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sidRPr="002F3891">
        <w:t>July 10, 2015</w:t>
      </w:r>
    </w:p>
    <w:p w14:paraId="771395F7" w14:textId="77777777" w:rsidR="001F7DB4" w:rsidRDefault="001F7DB4" w:rsidP="001F7DB4">
      <w:pPr>
        <w:rPr>
          <w:sz w:val="22"/>
        </w:rPr>
      </w:pPr>
    </w:p>
    <w:p w14:paraId="456D1739" w14:textId="77777777" w:rsidR="001F7DB4" w:rsidRPr="002F3891" w:rsidRDefault="001F7DB4" w:rsidP="001F7DB4">
      <w:r w:rsidRPr="002F3891">
        <w:t>Ms. Brenda Edwards, EE–41</w:t>
      </w:r>
    </w:p>
    <w:p w14:paraId="0520AE2B" w14:textId="77777777" w:rsidR="001F7DB4" w:rsidRPr="002F3891" w:rsidRDefault="001F7DB4" w:rsidP="001F7DB4">
      <w:r w:rsidRPr="002F3891">
        <w:t xml:space="preserve">Office of Energy Efficiency and Renewable Energy </w:t>
      </w:r>
    </w:p>
    <w:p w14:paraId="51C64D89" w14:textId="77777777" w:rsidR="001F7DB4" w:rsidRPr="002F3891" w:rsidRDefault="001F7DB4" w:rsidP="001F7DB4">
      <w:r w:rsidRPr="002F3891">
        <w:t xml:space="preserve">Energy Conservation Program for Consumer Products </w:t>
      </w:r>
    </w:p>
    <w:p w14:paraId="3F99572A" w14:textId="77777777" w:rsidR="001F7DB4" w:rsidRPr="002F3891" w:rsidRDefault="001F7DB4" w:rsidP="001F7DB4">
      <w:r w:rsidRPr="002F3891">
        <w:t>U.S. Department of Energy</w:t>
      </w:r>
    </w:p>
    <w:p w14:paraId="78B1AA4A" w14:textId="77777777" w:rsidR="001F7DB4" w:rsidRPr="002F3891" w:rsidRDefault="001F7DB4" w:rsidP="001F7DB4">
      <w:r w:rsidRPr="002F3891">
        <w:t>1000 Independence Avenue, SW.</w:t>
      </w:r>
    </w:p>
    <w:p w14:paraId="52DED663" w14:textId="77777777" w:rsidR="001F7DB4" w:rsidRPr="002F3891" w:rsidRDefault="001F7DB4" w:rsidP="001F7DB4">
      <w:pPr>
        <w:rPr>
          <w:lang w:val="de-DE"/>
        </w:rPr>
      </w:pPr>
      <w:r w:rsidRPr="002F3891">
        <w:rPr>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E1B30B" w14:textId="5F6B67A6" w:rsidR="006D17C5" w:rsidRPr="00BB55EC" w:rsidRDefault="006D17C5" w:rsidP="006D17C5">
      <w:pPr>
        <w:spacing w:after="240"/>
      </w:pPr>
      <w:r w:rsidRPr="00804B6C">
        <w:t xml:space="preserve">We appreciate this opportunity to provide the following comments on this NOPR. We commend DOE for the thorough analysis performed in support of a </w:t>
      </w:r>
      <w:r>
        <w:t xml:space="preserve">proposed standard </w:t>
      </w:r>
      <w:r w:rsidRPr="00804B6C">
        <w:t xml:space="preserve">level of 92 </w:t>
      </w:r>
      <w:r w:rsidRPr="009D138E">
        <w:t>Annual Fuel Utilization Efficiency (AFUE)</w:t>
      </w:r>
      <w:r w:rsidRPr="00804B6C">
        <w:t>. We offer these comments in support of the proposed standard and to encourage DOE to go even further and adopt higher efficiency standard</w:t>
      </w:r>
      <w:r>
        <w:t xml:space="preserve"> level</w:t>
      </w:r>
      <w:r w:rsidRPr="00804B6C">
        <w:t>s that DOE has already found to be cost-effective and technically feasible.</w:t>
      </w:r>
      <w:r>
        <w:t xml:space="preserve">  The resulting savings of 2.78 Quads makes this one an important DOE appliance standard. </w:t>
      </w:r>
      <w:r w:rsidR="00B4225D">
        <w:t xml:space="preserve"> If the standard is moved up to 95 AFUE the savings increase to 4.11 Quads.  </w:t>
      </w:r>
      <w:r>
        <w:t>Additionally, the last time minimum efficiency standards for this equipment were adopted was in 1987, almost 30 years ago.</w:t>
      </w:r>
    </w:p>
    <w:p w14:paraId="1F233B0A" w14:textId="0517713C" w:rsidR="00B67DF1" w:rsidRPr="003308BB" w:rsidRDefault="00CC4DC8" w:rsidP="00B65661">
      <w:pPr>
        <w:rPr>
          <w:b/>
          <w:i/>
          <w:szCs w:val="22"/>
        </w:rPr>
      </w:pPr>
      <w:r w:rsidRPr="003308BB">
        <w:rPr>
          <w:b/>
          <w:i/>
          <w:szCs w:val="22"/>
        </w:rPr>
        <w:t>PG&amp;E</w:t>
      </w:r>
      <w:r w:rsidR="00B67DF1" w:rsidRPr="003308BB">
        <w:rPr>
          <w:b/>
          <w:i/>
          <w:szCs w:val="22"/>
        </w:rPr>
        <w:t xml:space="preserve"> support</w:t>
      </w:r>
      <w:r w:rsidRPr="003308BB">
        <w:rPr>
          <w:b/>
          <w:i/>
          <w:szCs w:val="22"/>
        </w:rPr>
        <w:t>s</w:t>
      </w:r>
      <w:r w:rsidR="00B67DF1" w:rsidRPr="003308BB">
        <w:rPr>
          <w:b/>
          <w:i/>
          <w:szCs w:val="22"/>
        </w:rPr>
        <w:t xml:space="preserve"> the standard level proposed by DOE in the NOPR.</w:t>
      </w:r>
    </w:p>
    <w:p w14:paraId="3E116CBD" w14:textId="6298EA9E" w:rsidR="00140166" w:rsidRPr="00616CBC" w:rsidRDefault="00616CBC" w:rsidP="00140166">
      <w:pPr>
        <w:pStyle w:val="Caption"/>
        <w:rPr>
          <w:i w:val="0"/>
        </w:rPr>
      </w:pPr>
      <w:r>
        <w:rPr>
          <w:i w:val="0"/>
        </w:rPr>
        <w:t xml:space="preserve">PG&amp;E performed analysis using the </w:t>
      </w:r>
      <w:r w:rsidRPr="00616CBC">
        <w:rPr>
          <w:i w:val="0"/>
        </w:rPr>
        <w:t xml:space="preserve">DOE </w:t>
      </w:r>
      <w:r w:rsidR="006D17C5" w:rsidRPr="005C344F">
        <w:rPr>
          <w:i w:val="0"/>
        </w:rPr>
        <w:t>life cycle cost (LCC)</w:t>
      </w:r>
      <w:r w:rsidRPr="00616CBC">
        <w:rPr>
          <w:i w:val="0"/>
        </w:rPr>
        <w:t xml:space="preserve"> </w:t>
      </w:r>
      <w:r>
        <w:rPr>
          <w:i w:val="0"/>
        </w:rPr>
        <w:t xml:space="preserve">model and finds that DOE </w:t>
      </w:r>
      <w:r>
        <w:rPr>
          <w:i w:val="0"/>
        </w:rPr>
        <w:lastRenderedPageBreak/>
        <w:t>proposed standard 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25EDF91F" w14:textId="77777777" w:rsidR="00804B6C" w:rsidRPr="003308BB" w:rsidRDefault="00804B6C" w:rsidP="00B65661">
      <w:pPr>
        <w:tabs>
          <w:tab w:val="left" w:pos="2011"/>
        </w:tabs>
        <w:rPr>
          <w:b/>
          <w:i/>
          <w:szCs w:val="22"/>
        </w:rPr>
      </w:pPr>
      <w:r w:rsidRPr="003308BB">
        <w:rPr>
          <w:b/>
          <w:i/>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13E1FEAA" w14:textId="7D4CFA96" w:rsidR="006D17C5" w:rsidRDefault="00804B6C" w:rsidP="006D17C5">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w:t>
      </w:r>
      <w:r w:rsidR="006D17C5">
        <w:rPr>
          <w:szCs w:val="22"/>
        </w:rPr>
        <w:t xml:space="preserve">PG&amp;E’s </w:t>
      </w:r>
      <w:r w:rsidR="009F1E9A">
        <w:rPr>
          <w:szCs w:val="22"/>
        </w:rPr>
        <w:t xml:space="preserve">Codes &amp; Standards </w:t>
      </w:r>
      <w:r w:rsidR="006D71D3">
        <w:rPr>
          <w:szCs w:val="22"/>
        </w:rPr>
        <w:t xml:space="preserve">(C&amp;S) </w:t>
      </w:r>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w:t>
      </w:r>
      <w:r w:rsidR="00F806D1">
        <w:rPr>
          <w:szCs w:val="22"/>
        </w:rPr>
        <w:t>s</w:t>
      </w:r>
      <w:r w:rsidR="009F1E9A">
        <w:rPr>
          <w:szCs w:val="22"/>
        </w:rPr>
        <w:t xml:space="preserve"> of the </w:t>
      </w:r>
      <w:r w:rsidR="006D71D3">
        <w:rPr>
          <w:szCs w:val="22"/>
        </w:rPr>
        <w:t>California Energy Commission (</w:t>
      </w:r>
      <w:r w:rsidR="009F1E9A">
        <w:rPr>
          <w:szCs w:val="22"/>
        </w:rPr>
        <w:t>CEC</w:t>
      </w:r>
      <w:r w:rsidR="006D71D3">
        <w:rPr>
          <w:szCs w:val="22"/>
        </w:rPr>
        <w:t>)</w:t>
      </w:r>
      <w:r w:rsidR="009F1E9A">
        <w:rPr>
          <w:szCs w:val="22"/>
        </w:rPr>
        <w:t xml:space="preserve">. </w:t>
      </w:r>
      <w:r w:rsidR="00252764">
        <w:rPr>
          <w:szCs w:val="22"/>
        </w:rPr>
        <w:t xml:space="preserve">Since </w:t>
      </w:r>
      <w:r w:rsidR="006D17C5">
        <w:rPr>
          <w:szCs w:val="22"/>
        </w:rPr>
        <w:t xml:space="preserve">furnace standards are preempted by DOE we are </w:t>
      </w:r>
      <w:r w:rsidR="00F806D1">
        <w:rPr>
          <w:szCs w:val="22"/>
        </w:rPr>
        <w:t xml:space="preserve">supporting </w:t>
      </w:r>
      <w:r w:rsidR="006D17C5">
        <w:rPr>
          <w:szCs w:val="22"/>
        </w:rPr>
        <w:t xml:space="preserve">with CEC in raising the efficiency of gas furnaces. </w:t>
      </w:r>
    </w:p>
    <w:p w14:paraId="29CEB29C" w14:textId="77777777" w:rsidR="009F1E9A" w:rsidRDefault="009F1E9A" w:rsidP="00804B6C">
      <w:pPr>
        <w:tabs>
          <w:tab w:val="left" w:pos="2011"/>
        </w:tabs>
        <w:rPr>
          <w:szCs w:val="22"/>
        </w:rPr>
      </w:pPr>
    </w:p>
    <w:p w14:paraId="0281D2EC" w14:textId="78A50ABE"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w:t>
      </w:r>
      <w:r w:rsidR="006D71D3">
        <w:rPr>
          <w:szCs w:val="22"/>
        </w:rPr>
        <w:t xml:space="preserve">technological </w:t>
      </w:r>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r w:rsidR="006D71D3">
        <w:rPr>
          <w:szCs w:val="22"/>
        </w:rPr>
        <w:t xml:space="preserve">the </w:t>
      </w:r>
      <w:r w:rsidR="004D5A48">
        <w:rPr>
          <w:szCs w:val="22"/>
        </w:rPr>
        <w:t>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064A8518" w14:textId="0D852E03" w:rsidR="006D17C5" w:rsidRPr="003308BB" w:rsidRDefault="00857AD4" w:rsidP="006D17C5">
      <w:pPr>
        <w:pStyle w:val="Caption"/>
      </w:pPr>
      <w:r w:rsidRPr="003308BB">
        <w:rPr>
          <w:rFonts w:ascii="Times New Roman" w:eastAsia="Times New Roman" w:hAnsi="Times New Roman" w:cs="Times New Roman"/>
          <w:b/>
          <w:iCs w:val="0"/>
          <w:szCs w:val="22"/>
        </w:rPr>
        <w:t>A nationwide 92% AFUE standard is cost-effective and technically feasible</w:t>
      </w:r>
      <w:r w:rsidR="00BA461F" w:rsidRPr="003308BB">
        <w:rPr>
          <w:rFonts w:ascii="Times New Roman" w:eastAsia="Times New Roman" w:hAnsi="Times New Roman" w:cs="Times New Roman"/>
          <w:b/>
          <w:iCs w:val="0"/>
          <w:szCs w:val="22"/>
        </w:rPr>
        <w:t xml:space="preserve"> and improvements to DOE analysis make</w:t>
      </w:r>
      <w:r w:rsidRPr="003308BB">
        <w:rPr>
          <w:rFonts w:ascii="Times New Roman" w:eastAsia="Times New Roman" w:hAnsi="Times New Roman" w:cs="Times New Roman"/>
          <w:b/>
          <w:iCs w:val="0"/>
          <w:szCs w:val="22"/>
        </w:rPr>
        <w:t xml:space="preserve"> a 95% AFUE standard </w:t>
      </w:r>
      <w:r w:rsidR="006D17C5" w:rsidRPr="003308BB">
        <w:rPr>
          <w:rFonts w:ascii="Times New Roman" w:eastAsia="Times New Roman" w:hAnsi="Times New Roman" w:cs="Times New Roman"/>
          <w:b/>
          <w:iCs w:val="0"/>
          <w:szCs w:val="22"/>
        </w:rPr>
        <w:t xml:space="preserve">also cost effective </w:t>
      </w:r>
      <w:r w:rsidR="00DD7C23" w:rsidRPr="003308BB">
        <w:rPr>
          <w:rFonts w:ascii="Times New Roman" w:eastAsia="Times New Roman" w:hAnsi="Times New Roman" w:cs="Times New Roman"/>
          <w:b/>
          <w:iCs w:val="0"/>
          <w:szCs w:val="22"/>
        </w:rPr>
        <w:t>by</w:t>
      </w:r>
      <w:r w:rsidR="006D17C5" w:rsidRPr="003308BB">
        <w:rPr>
          <w:rFonts w:ascii="Times New Roman" w:eastAsia="Times New Roman" w:hAnsi="Times New Roman" w:cs="Times New Roman"/>
          <w:b/>
          <w:iCs w:val="0"/>
          <w:szCs w:val="22"/>
        </w:rPr>
        <w:t xml:space="preserve"> realizing additional energy savings.</w:t>
      </w:r>
    </w:p>
    <w:p w14:paraId="6C6EE195" w14:textId="047BCC43"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r w:rsidR="006D71D3">
        <w:t xml:space="preserve">that </w:t>
      </w:r>
      <w:r>
        <w:t xml:space="preserve">all possibilities associated with geographic, application, technical, and economic </w:t>
      </w:r>
      <w:r w:rsidR="006D71D3">
        <w:t xml:space="preserve">factors </w:t>
      </w:r>
      <w:r>
        <w:t>are included in the analysis</w:t>
      </w:r>
      <w:r w:rsidR="006D71D3">
        <w:t>,</w:t>
      </w:r>
      <w:r>
        <w:t xml:space="preserve"> along with their </w:t>
      </w:r>
      <w:r w:rsidR="006D71D3">
        <w:t xml:space="preserve">implications </w:t>
      </w:r>
      <w:r>
        <w:t>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5BFC94E5" w:rsidR="00695122" w:rsidRDefault="00695122" w:rsidP="00695122">
      <w:r>
        <w:lastRenderedPageBreak/>
        <w:t xml:space="preserve">We support national standards based on </w:t>
      </w:r>
      <w:r w:rsidR="006D17C5">
        <w:t>Trial Standard Level 4 (TSL 4 or Efficiency Level 3 – AFUE 95%)</w:t>
      </w:r>
      <w:r>
        <w:t xml:space="preserve">, because the DOE analysis shows that this standard level is cost effective on both national and regional basis. Results are even further cost effective with our modified </w:t>
      </w:r>
      <w:r w:rsidR="006D71D3">
        <w:t>analysis</w:t>
      </w:r>
      <w:r>
        <w:t>. Adopting a standard to dramatically reduce natural gas use is also critical for California to meet its NOx reduction target and US</w:t>
      </w:r>
      <w:r w:rsidR="006D17C5" w:rsidRPr="006D17C5">
        <w:t xml:space="preserve"> </w:t>
      </w:r>
      <w:r w:rsidR="006D17C5">
        <w:t>Environmental Protection Agency’s</w:t>
      </w:r>
      <w:r>
        <w:t xml:space="preserve"> </w:t>
      </w:r>
      <w:r w:rsidR="00DD7C23">
        <w:t>(</w:t>
      </w:r>
      <w:r>
        <w:t>EPA</w:t>
      </w:r>
      <w:r w:rsidR="00DD7C23">
        <w:t>)</w:t>
      </w:r>
      <w:r>
        <w:t xml:space="preserve"> smog control mandates.</w:t>
      </w:r>
    </w:p>
    <w:p w14:paraId="71228185" w14:textId="77777777" w:rsidR="00E6321B" w:rsidRDefault="00E6321B" w:rsidP="00695122"/>
    <w:p w14:paraId="53CFD0FD" w14:textId="2F62B63C"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w:t>
      </w:r>
      <w:r w:rsidR="006D17C5" w:rsidRPr="00E6321B">
        <w:t xml:space="preserve">But in case where it occurs it is important to consider </w:t>
      </w:r>
      <w:r w:rsidR="006D17C5">
        <w:t>that the impacts of fuel switching to manufacturers</w:t>
      </w:r>
      <w:r w:rsidR="006D17C5" w:rsidRPr="00E6321B">
        <w:t xml:space="preserve">, as shown in the </w:t>
      </w:r>
      <w:r w:rsidR="006D17C5">
        <w:t>Appliance Awareness Standards Project (</w:t>
      </w:r>
      <w:r w:rsidR="006D17C5" w:rsidRPr="00E6321B">
        <w:t>ASAP</w:t>
      </w:r>
      <w:r w:rsidR="006D17C5">
        <w:t>)</w:t>
      </w:r>
      <w:r w:rsidR="006D17C5" w:rsidRPr="00E6321B">
        <w:t xml:space="preserve"> comment letter, almost all of the manufacturers of furnaces also produce heat pumps.</w:t>
      </w:r>
      <w:r w:rsidRPr="00E6321B">
        <w:t xml:space="preserve">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38311F04" w:rsidR="00695122" w:rsidRPr="00B043D7" w:rsidRDefault="00695122" w:rsidP="00695122">
      <w:r w:rsidRPr="00B043D7">
        <w:t xml:space="preserve">Following are our </w:t>
      </w:r>
      <w:r w:rsidR="002F3891">
        <w:t xml:space="preserve">recommendations </w:t>
      </w:r>
      <w:r w:rsidRPr="00B043D7">
        <w:t>for improvements to the DOE analysis.</w:t>
      </w:r>
    </w:p>
    <w:p w14:paraId="164BBB43" w14:textId="6E796271" w:rsidR="00BA461F" w:rsidRPr="00B65661" w:rsidRDefault="00BA461F" w:rsidP="00594FCA">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r w:rsidR="00270F95">
        <w:rPr>
          <w:rFonts w:ascii="Times New Roman" w:hAnsi="Times New Roman" w:cs="Times New Roman"/>
          <w:b/>
          <w:i w:val="0"/>
        </w:rPr>
        <w:t>more reasonable</w:t>
      </w:r>
      <w:r w:rsidRPr="00B65661">
        <w:rPr>
          <w:rFonts w:ascii="Times New Roman" w:hAnsi="Times New Roman" w:cs="Times New Roman"/>
          <w:b/>
          <w:i w:val="0"/>
        </w:rPr>
        <w:t xml:space="preserve"> product markup assumptions</w:t>
      </w:r>
    </w:p>
    <w:p w14:paraId="205F8ED4" w14:textId="77777777" w:rsidR="00695122" w:rsidRPr="00B043D7" w:rsidRDefault="00BA461F" w:rsidP="00844859">
      <w:pPr>
        <w:spacing w:before="120" w:after="12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4D2A3528" w14:textId="6878B044" w:rsidR="006D17C5" w:rsidRPr="00B65661" w:rsidRDefault="00695122" w:rsidP="006D17C5">
      <w:pPr>
        <w:spacing w:before="120" w:after="120"/>
        <w:rPr>
          <w:rFonts w:eastAsiaTheme="minorHAnsi"/>
        </w:rPr>
      </w:pPr>
      <w:r w:rsidRPr="00B65661">
        <w:rPr>
          <w:rFonts w:eastAsiaTheme="minorHAnsi"/>
        </w:rPr>
        <w:t>Once the furnace efficiency standard takes effect, manufacturer, wholesaler, and contractor costs for furnaces meeting the new requirements are likely to drop due economies of scales for manufacturers (and thereby wholesalers), product familiarity for contractors</w:t>
      </w:r>
      <w:r w:rsidR="00270F95">
        <w:rPr>
          <w:rFonts w:eastAsiaTheme="minorHAnsi"/>
        </w:rPr>
        <w:t>, and change of high efficiency furnaces from premium to commodity price products</w:t>
      </w:r>
      <w:r w:rsidRPr="00B65661">
        <w:rPr>
          <w:rFonts w:eastAsiaTheme="minorHAnsi"/>
        </w:rPr>
        <w:t>. However, tables in Section 6.6.1</w:t>
      </w:r>
      <w:r w:rsidR="006D17C5">
        <w:rPr>
          <w:rFonts w:eastAsiaTheme="minorHAnsi"/>
        </w:rPr>
        <w:t xml:space="preserve"> of the TSD</w:t>
      </w:r>
      <w:r w:rsidRPr="00B65661">
        <w:rPr>
          <w:rFonts w:eastAsiaTheme="minorHAnsi"/>
        </w:rPr>
        <w:t xml:space="preserve"> show very high incremental markups, as high as 69% in Alaska. </w:t>
      </w:r>
      <w:r w:rsidR="006D17C5" w:rsidRPr="00B65661">
        <w:rPr>
          <w:rFonts w:eastAsiaTheme="minorHAnsi"/>
        </w:rPr>
        <w:t xml:space="preserve">These incremental markups are </w:t>
      </w:r>
      <w:r w:rsidR="009E276F">
        <w:rPr>
          <w:rFonts w:eastAsiaTheme="minorHAnsi"/>
        </w:rPr>
        <w:t>not reasonable</w:t>
      </w:r>
      <w:r w:rsidR="006D17C5" w:rsidRPr="00B65661">
        <w:rPr>
          <w:rFonts w:eastAsiaTheme="minorHAnsi"/>
        </w:rPr>
        <w:t xml:space="preserve"> in a market where manufacturers and contractors are competing to provide the best price for a furnace that </w:t>
      </w:r>
      <w:r w:rsidR="006D17C5">
        <w:rPr>
          <w:rFonts w:eastAsiaTheme="minorHAnsi"/>
        </w:rPr>
        <w:t xml:space="preserve">will be required to </w:t>
      </w:r>
      <w:r w:rsidR="006D17C5" w:rsidRPr="00B65661">
        <w:rPr>
          <w:rFonts w:eastAsiaTheme="minorHAnsi"/>
        </w:rPr>
        <w:t xml:space="preserve">meet the </w:t>
      </w:r>
      <w:r w:rsidR="006D17C5">
        <w:rPr>
          <w:rFonts w:eastAsiaTheme="minorHAnsi"/>
        </w:rPr>
        <w:t xml:space="preserve">new </w:t>
      </w:r>
      <w:r w:rsidR="006D17C5" w:rsidRPr="00B65661">
        <w:rPr>
          <w:rFonts w:eastAsiaTheme="minorHAnsi"/>
        </w:rPr>
        <w:t>federal standard</w:t>
      </w:r>
      <w:r w:rsidR="006D17C5">
        <w:rPr>
          <w:rFonts w:eastAsiaTheme="minorHAnsi"/>
        </w:rPr>
        <w:t>.</w:t>
      </w:r>
      <w:r w:rsidR="006D17C5" w:rsidRPr="00B65661">
        <w:rPr>
          <w:rFonts w:eastAsiaTheme="minorHAnsi"/>
        </w:rPr>
        <w:t xml:space="preserve"> </w:t>
      </w:r>
      <w:r w:rsidR="006D17C5">
        <w:rPr>
          <w:rFonts w:eastAsiaTheme="minorHAnsi"/>
        </w:rPr>
        <w:t>Incremental markups</w:t>
      </w:r>
      <w:r w:rsidR="006D17C5" w:rsidRPr="00B65661">
        <w:rPr>
          <w:rFonts w:eastAsiaTheme="minorHAnsi"/>
        </w:rPr>
        <w:t xml:space="preserve"> should be excluded altogether by treating the new standard as the baseline.</w:t>
      </w:r>
    </w:p>
    <w:p w14:paraId="725BB80D" w14:textId="6AFCD03D" w:rsidR="00BA461F" w:rsidRPr="00B65661" w:rsidRDefault="00BA461F" w:rsidP="00E6321B">
      <w:pPr>
        <w:spacing w:before="120" w:after="120"/>
        <w:ind w:left="180"/>
        <w:rPr>
          <w:rFonts w:eastAsiaTheme="minorHAnsi"/>
        </w:rPr>
      </w:pPr>
    </w:p>
    <w:p w14:paraId="605E36C6" w14:textId="41BD187E"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14:paraId="19683A53" w14:textId="41C27B2B" w:rsidR="00BA461F" w:rsidRPr="00B65661" w:rsidRDefault="00BA461F" w:rsidP="00594FCA">
      <w:pPr>
        <w:spacing w:before="120" w:after="120"/>
        <w:ind w:left="90"/>
        <w:rPr>
          <w:rFonts w:eastAsiaTheme="minorHAnsi"/>
        </w:rPr>
      </w:pPr>
      <w:r w:rsidRPr="00B65661">
        <w:rPr>
          <w:rFonts w:eastAsiaTheme="minorHAnsi"/>
        </w:rPr>
        <w:t>We believe that DOE’s assumptions on vent system upgrade for orphaned</w:t>
      </w:r>
      <w:commentRangeStart w:id="0"/>
      <w:r w:rsidRPr="00B65661">
        <w:rPr>
          <w:rFonts w:eastAsiaTheme="minorHAnsi"/>
        </w:rPr>
        <w:t xml:space="preserve"> waters</w:t>
      </w:r>
      <w:commentRangeEnd w:id="0"/>
      <w:r w:rsidR="00345BCC">
        <w:rPr>
          <w:rStyle w:val="CommentReference"/>
        </w:rPr>
        <w:commentReference w:id="0"/>
      </w:r>
      <w:r w:rsidRPr="00B65661">
        <w:rPr>
          <w:rFonts w:eastAsiaTheme="minorHAnsi"/>
        </w:rPr>
        <w:t xml:space="preserve"> </w:t>
      </w:r>
      <w:r w:rsidR="004D2C47">
        <w:rPr>
          <w:rFonts w:eastAsiaTheme="minorHAnsi"/>
        </w:rPr>
        <w:t xml:space="preserve">should </w:t>
      </w:r>
      <w:r w:rsidRPr="00B65661">
        <w:rPr>
          <w:rFonts w:eastAsiaTheme="minorHAnsi"/>
        </w:rPr>
        <w:t>be improved for replacement, new owner, and new construction installation</w:t>
      </w:r>
      <w:r w:rsidR="004D2C47">
        <w:rPr>
          <w:rFonts w:eastAsiaTheme="minorHAnsi"/>
        </w:rPr>
        <w:t xml:space="preserve"> categories</w:t>
      </w:r>
      <w:r w:rsidRPr="00B65661">
        <w:rPr>
          <w:rFonts w:eastAsiaTheme="minorHAnsi"/>
        </w:rPr>
        <w:t xml:space="preserve">. </w:t>
      </w:r>
    </w:p>
    <w:p w14:paraId="34201E00" w14:textId="50EFD7B6"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w:t>
      </w:r>
      <w:r w:rsidR="004D2C47">
        <w:rPr>
          <w:rFonts w:eastAsiaTheme="minorHAnsi"/>
        </w:rPr>
        <w:t xml:space="preserve">cause </w:t>
      </w:r>
      <w:r w:rsidRPr="00B65661">
        <w:rPr>
          <w:rFonts w:eastAsiaTheme="minorHAnsi"/>
        </w:rPr>
        <w:t xml:space="preserve">many homes to upgrade their vent for water heaters. For example, the 2009 DOE TSD on Residential Water Heaters, Direct Heating </w:t>
      </w:r>
      <w:r w:rsidRPr="00B65661">
        <w:rPr>
          <w:rFonts w:eastAsiaTheme="minorHAnsi"/>
        </w:rPr>
        <w:lastRenderedPageBreak/>
        <w:t>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w:t>
      </w:r>
      <w:r w:rsidR="004D2C47">
        <w:rPr>
          <w:rFonts w:eastAsiaTheme="minorHAnsi"/>
        </w:rPr>
        <w:t>newly constructed</w:t>
      </w:r>
      <w:r w:rsidRPr="00B65661">
        <w:rPr>
          <w:rFonts w:eastAsiaTheme="minorHAnsi"/>
        </w:rPr>
        <w:t xml:space="preserve"> homes. To accommodate high-efficiency water heaters, </w:t>
      </w:r>
      <w:r w:rsidR="004D2C47">
        <w:rPr>
          <w:rFonts w:eastAsiaTheme="minorHAnsi"/>
        </w:rPr>
        <w:t>newly constructed</w:t>
      </w:r>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r w:rsidR="004D2C47">
        <w:rPr>
          <w:rFonts w:eastAsiaTheme="minorHAnsi"/>
        </w:rPr>
        <w:t xml:space="preserve">a </w:t>
      </w:r>
      <w:r w:rsidR="006D17C5" w:rsidRPr="00B412A5">
        <w:rPr>
          <w:rFonts w:eastAsiaTheme="minorHAnsi"/>
        </w:rPr>
        <w:t xml:space="preserve">non-weatherized gas </w:t>
      </w:r>
      <w:commentRangeStart w:id="1"/>
      <w:r w:rsidR="006D17C5" w:rsidRPr="00B412A5">
        <w:rPr>
          <w:rFonts w:eastAsiaTheme="minorHAnsi"/>
        </w:rPr>
        <w:t>furnaces</w:t>
      </w:r>
      <w:r w:rsidR="006D17C5" w:rsidRPr="00B65661">
        <w:rPr>
          <w:rFonts w:eastAsiaTheme="minorHAnsi"/>
        </w:rPr>
        <w:t xml:space="preserve"> </w:t>
      </w:r>
      <w:commentRangeEnd w:id="1"/>
      <w:r w:rsidR="00A973A5">
        <w:rPr>
          <w:rStyle w:val="CommentReference"/>
        </w:rPr>
        <w:commentReference w:id="1"/>
      </w:r>
      <w:r w:rsidRPr="00B65661">
        <w:rPr>
          <w:rFonts w:eastAsiaTheme="minorHAnsi"/>
        </w:rPr>
        <w:t>NWGF and a natural vent water heater will be greatly reduced</w:t>
      </w:r>
      <w:r w:rsidR="004D2C47">
        <w:rPr>
          <w:rFonts w:eastAsiaTheme="minorHAnsi"/>
        </w:rPr>
        <w:t>, making DOE’s assumptions obsolete</w:t>
      </w:r>
      <w:r w:rsidRPr="00B65661">
        <w:rPr>
          <w:rFonts w:eastAsiaTheme="minorHAnsi"/>
        </w:rPr>
        <w:t xml:space="preserve">. </w:t>
      </w:r>
    </w:p>
    <w:p w14:paraId="55333BFE" w14:textId="1E2C929B" w:rsidR="004116AA" w:rsidRPr="00B65661" w:rsidRDefault="004116AA" w:rsidP="00B65661">
      <w:pPr>
        <w:pStyle w:val="ListParagraph"/>
        <w:ind w:left="540"/>
        <w:rPr>
          <w:rFonts w:eastAsiaTheme="minorHAnsi"/>
        </w:rPr>
      </w:pPr>
    </w:p>
    <w:p w14:paraId="5CC694A3" w14:textId="77D399DE" w:rsidR="00BA461F" w:rsidRDefault="00BA461F" w:rsidP="004D2C47">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w:t>
      </w:r>
      <w:r w:rsidR="004D2C47">
        <w:rPr>
          <w:rFonts w:eastAsiaTheme="minorHAnsi"/>
        </w:rPr>
        <w:t xml:space="preserve">the </w:t>
      </w:r>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r w:rsidR="004D2C47">
        <w:rPr>
          <w:rFonts w:eastAsiaTheme="minorHAnsi"/>
        </w:rPr>
        <w:t xml:space="preserve">in the current NOPR TSD </w:t>
      </w:r>
      <w:r w:rsidRPr="00B65661">
        <w:rPr>
          <w:rFonts w:eastAsiaTheme="minorHAnsi"/>
        </w:rPr>
        <w:t>without detailed explanation and any supporting data.</w:t>
      </w:r>
      <w:r w:rsidR="006D17C5" w:rsidRPr="006D17C5">
        <w:rPr>
          <w:rFonts w:eastAsiaTheme="minorHAnsi"/>
        </w:rPr>
        <w:t xml:space="preserve"> </w:t>
      </w:r>
      <w:r w:rsidR="006D17C5">
        <w:rPr>
          <w:rFonts w:eastAsiaTheme="minorHAnsi"/>
        </w:rPr>
        <w:t>(from 40% to 75% and 20% to 40%)</w:t>
      </w:r>
      <w:r w:rsidR="006D17C5" w:rsidRPr="00B65661">
        <w:rPr>
          <w:rFonts w:eastAsiaTheme="minorHAnsi"/>
        </w:rPr>
        <w:t xml:space="preserve">. </w:t>
      </w:r>
      <w:r w:rsidRPr="00B65661">
        <w:rPr>
          <w:rFonts w:eastAsiaTheme="minorHAnsi"/>
        </w:rPr>
        <w:t xml:space="preserve"> These frequencies represent the percentages of existing homes where the common vent for the non-condensing furnace and water heater would be too large for the orphaned water heater. As explained above, we expect that increased market adoption of high-efficiency water heaters would reduce these frequencies from the estimates provided in the consultant report. We recommend that DOE </w:t>
      </w:r>
      <w:r w:rsidR="004D2C47">
        <w:rPr>
          <w:rFonts w:eastAsiaTheme="minorHAnsi"/>
        </w:rPr>
        <w:t>not increase</w:t>
      </w:r>
      <w:r w:rsidRPr="00B65661">
        <w:rPr>
          <w:rFonts w:eastAsiaTheme="minorHAnsi"/>
        </w:rPr>
        <w:t xml:space="preserve"> the frequencies </w:t>
      </w:r>
      <w:r w:rsidR="004D2C47" w:rsidRPr="004D2C47">
        <w:rPr>
          <w:rFonts w:eastAsiaTheme="minorHAnsi"/>
        </w:rPr>
        <w:t xml:space="preserve">provided in the 2010 consultant report </w:t>
      </w:r>
      <w:r w:rsidR="004D2C47">
        <w:rPr>
          <w:rFonts w:eastAsiaTheme="minorHAnsi"/>
        </w:rPr>
        <w:t>for either</w:t>
      </w:r>
      <w:r w:rsidRPr="00B65661">
        <w:rPr>
          <w:rFonts w:eastAsiaTheme="minorHAnsi"/>
        </w:rPr>
        <w:t xml:space="preserve"> resizing orphaned water heater chimney or upgrading metal vent</w:t>
      </w:r>
      <w:r w:rsidR="004D2C47">
        <w:rPr>
          <w:rFonts w:eastAsiaTheme="minorHAnsi"/>
        </w:rPr>
        <w:t>s,</w:t>
      </w:r>
      <w:r w:rsidRPr="00B65661">
        <w:rPr>
          <w:rFonts w:eastAsiaTheme="minorHAnsi"/>
        </w:rPr>
        <w:t xml:space="preserve">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
      <w:tblGrid>
        <w:gridCol w:w="1419"/>
        <w:gridCol w:w="1516"/>
        <w:gridCol w:w="3211"/>
        <w:gridCol w:w="1710"/>
        <w:gridCol w:w="1735"/>
      </w:tblGrid>
      <w:tr w:rsidR="00BA461F" w:rsidRPr="00B65661" w14:paraId="4373396C" w14:textId="77777777" w:rsidTr="00AA6B5E">
        <w:trPr>
          <w:trHeight w:val="90"/>
          <w:jc w:val="center"/>
        </w:trPr>
        <w:tc>
          <w:tcPr>
            <w:tcW w:w="1419" w:type="dxa"/>
            <w:vMerge w:val="restart"/>
          </w:tcPr>
          <w:p w14:paraId="4941237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lastRenderedPageBreak/>
              <w:t>Existing Non-Condensing Furnace</w:t>
            </w:r>
          </w:p>
        </w:tc>
        <w:tc>
          <w:tcPr>
            <w:tcW w:w="1516" w:type="dxa"/>
            <w:vMerge w:val="restart"/>
          </w:tcPr>
          <w:p w14:paraId="62FAFF9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
          <w:p w14:paraId="522C693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
          <w:p w14:paraId="0CCD84F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AA6B5E">
        <w:trPr>
          <w:trHeight w:val="755"/>
          <w:jc w:val="center"/>
        </w:trPr>
        <w:tc>
          <w:tcPr>
            <w:tcW w:w="1419" w:type="dxa"/>
            <w:vMerge/>
          </w:tcPr>
          <w:p w14:paraId="366EAC7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3211" w:type="dxa"/>
            <w:vMerge/>
          </w:tcPr>
          <w:p w14:paraId="49A59C7C"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710" w:type="dxa"/>
          </w:tcPr>
          <w:p w14:paraId="71712A52" w14:textId="2AE73095" w:rsidR="00BA461F" w:rsidRPr="00B65661" w:rsidRDefault="004D2C47" w:rsidP="00AA6B5E">
            <w:pPr>
              <w:keepNext/>
              <w:keepLines/>
              <w:spacing w:before="120" w:after="120"/>
              <w:rPr>
                <w:rFonts w:ascii="Times New Roman" w:hAnsi="Times New Roman" w:cs="Times New Roman"/>
                <w:b/>
                <w:sz w:val="20"/>
                <w:szCs w:val="20"/>
              </w:rPr>
            </w:pPr>
            <w:r>
              <w:rPr>
                <w:rFonts w:ascii="Times New Roman" w:hAnsi="Times New Roman" w:cs="Times New Roman"/>
                <w:b/>
                <w:sz w:val="20"/>
                <w:szCs w:val="20"/>
              </w:rPr>
              <w:t xml:space="preserve">2010 </w:t>
            </w:r>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
          <w:p w14:paraId="1D716D7F" w14:textId="023F8565"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r w:rsidR="004D2C47">
              <w:rPr>
                <w:rFonts w:ascii="Times New Roman" w:hAnsi="Times New Roman" w:cs="Times New Roman"/>
                <w:b/>
                <w:sz w:val="20"/>
                <w:szCs w:val="20"/>
              </w:rPr>
              <w:t xml:space="preserve">NOPR </w:t>
            </w:r>
            <w:r w:rsidRPr="00B65661">
              <w:rPr>
                <w:rFonts w:ascii="Times New Roman" w:hAnsi="Times New Roman" w:cs="Times New Roman"/>
                <w:b/>
                <w:sz w:val="20"/>
                <w:szCs w:val="20"/>
              </w:rPr>
              <w:t>Analysis Table 8D.2.19</w:t>
            </w:r>
          </w:p>
        </w:tc>
      </w:tr>
      <w:tr w:rsidR="00BA461F" w:rsidRPr="00B65661" w14:paraId="25881F8A" w14:textId="77777777" w:rsidTr="00AA6B5E">
        <w:trPr>
          <w:jc w:val="center"/>
        </w:trPr>
        <w:tc>
          <w:tcPr>
            <w:tcW w:w="1419" w:type="dxa"/>
          </w:tcPr>
          <w:p w14:paraId="5EE5A3C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E6463E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
          <w:p w14:paraId="0C58B83C"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2A09530"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AA6B5E">
        <w:trPr>
          <w:jc w:val="center"/>
        </w:trPr>
        <w:tc>
          <w:tcPr>
            <w:tcW w:w="1419" w:type="dxa"/>
          </w:tcPr>
          <w:p w14:paraId="722EC77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6454E98"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7BE4E0CD"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
          <w:p w14:paraId="16911289"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AA6B5E">
        <w:trPr>
          <w:jc w:val="center"/>
        </w:trPr>
        <w:tc>
          <w:tcPr>
            <w:tcW w:w="1419" w:type="dxa"/>
          </w:tcPr>
          <w:p w14:paraId="24809A8B"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14:paraId="74B5983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759E62E1"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
          <w:p w14:paraId="58444234"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DACB775"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AA6B5E">
        <w:trPr>
          <w:jc w:val="center"/>
        </w:trPr>
        <w:tc>
          <w:tcPr>
            <w:tcW w:w="1419" w:type="dxa"/>
          </w:tcPr>
          <w:p w14:paraId="7ED6BC9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14:paraId="0F0ED03E"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4657A214"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2AF1C504"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
          <w:p w14:paraId="181FE593"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0F319583"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r w:rsidR="004D2C47">
        <w:rPr>
          <w:rFonts w:eastAsiaTheme="minorHAnsi"/>
          <w:b/>
        </w:rPr>
        <w:t xml:space="preserve">that are assumed to be </w:t>
      </w:r>
      <w:r w:rsidRPr="00B65661">
        <w:rPr>
          <w:rFonts w:eastAsiaTheme="minorHAnsi"/>
          <w:b/>
        </w:rPr>
        <w:t>common-vented with non-condensing water heaters:</w:t>
      </w:r>
      <w:commentRangeStart w:id="2"/>
      <w:r w:rsidRPr="00B65661">
        <w:rPr>
          <w:rFonts w:eastAsiaTheme="minorHAnsi"/>
          <w:b/>
        </w:rPr>
        <w:t xml:space="preserve"> </w:t>
      </w:r>
      <w:r w:rsidRPr="00B65661">
        <w:rPr>
          <w:rFonts w:eastAsiaTheme="minorHAnsi"/>
        </w:rPr>
        <w:t xml:space="preserve">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w:t>
      </w:r>
      <w:commentRangeEnd w:id="2"/>
      <w:r w:rsidR="002F0031">
        <w:rPr>
          <w:rStyle w:val="CommentReference"/>
        </w:rPr>
        <w:commentReference w:id="2"/>
      </w:r>
      <w:r w:rsidRPr="00B65661">
        <w:rPr>
          <w:rFonts w:eastAsiaTheme="minorHAnsi"/>
        </w:rPr>
        <w:t>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11E58E2F" w:rsidR="00BA461F" w:rsidRDefault="00BA461F" w:rsidP="00E03FBC">
      <w:pPr>
        <w:pStyle w:val="ListParagraph"/>
        <w:numPr>
          <w:ilvl w:val="0"/>
          <w:numId w:val="9"/>
        </w:numPr>
        <w:spacing w:before="120" w:after="240"/>
        <w:ind w:left="547"/>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r w:rsidR="004D2C47">
        <w:rPr>
          <w:rFonts w:eastAsiaTheme="minorHAnsi"/>
        </w:rPr>
        <w:t>newly constructed</w:t>
      </w:r>
      <w:r w:rsidRPr="00B65661">
        <w:rPr>
          <w:rFonts w:eastAsiaTheme="minorHAnsi"/>
        </w:rPr>
        <w:t xml:space="preserve"> homes </w:t>
      </w:r>
      <w:r w:rsidR="004D2C47">
        <w:rPr>
          <w:rFonts w:eastAsiaTheme="minorHAnsi"/>
        </w:rPr>
        <w:t xml:space="preserve">likely </w:t>
      </w:r>
      <w:r w:rsidRPr="00B65661">
        <w:rPr>
          <w:rFonts w:eastAsiaTheme="minorHAnsi"/>
        </w:rPr>
        <w:t xml:space="preserve">would have </w:t>
      </w:r>
      <w:r w:rsidR="004D2C47">
        <w:rPr>
          <w:rFonts w:eastAsiaTheme="minorHAnsi"/>
        </w:rPr>
        <w:t xml:space="preserve">a </w:t>
      </w:r>
      <w:r w:rsidRPr="00B65661">
        <w:rPr>
          <w:rFonts w:eastAsiaTheme="minorHAnsi"/>
        </w:rPr>
        <w:t xml:space="preserve">tankless water heater </w:t>
      </w:r>
      <w:r w:rsidR="005D1DD2">
        <w:rPr>
          <w:rFonts w:eastAsiaTheme="minorHAnsi"/>
        </w:rPr>
        <w:t xml:space="preserve">(0.82 EF) </w:t>
      </w:r>
      <w:r w:rsidRPr="00B65661">
        <w:rPr>
          <w:rFonts w:eastAsiaTheme="minorHAnsi"/>
        </w:rPr>
        <w:t xml:space="preserve">or </w:t>
      </w:r>
      <w:r w:rsidR="004D2C47">
        <w:rPr>
          <w:rFonts w:eastAsiaTheme="minorHAnsi"/>
        </w:rPr>
        <w:t xml:space="preserve">a storage water heater </w:t>
      </w:r>
      <w:r w:rsidRPr="00B65661">
        <w:rPr>
          <w:rFonts w:eastAsiaTheme="minorHAnsi"/>
        </w:rPr>
        <w:t xml:space="preserve">with </w:t>
      </w:r>
      <w:r w:rsidR="005D1DD2">
        <w:rPr>
          <w:rFonts w:eastAsiaTheme="minorHAnsi"/>
        </w:rPr>
        <w:t>similar</w:t>
      </w:r>
      <w:r w:rsidRPr="00B65661">
        <w:rPr>
          <w:rFonts w:eastAsiaTheme="minorHAnsi"/>
        </w:rPr>
        <w:t xml:space="preserve"> efficiency </w:t>
      </w:r>
      <w:r w:rsidR="004D2C47">
        <w:rPr>
          <w:rFonts w:eastAsiaTheme="minorHAnsi"/>
        </w:rPr>
        <w:t xml:space="preserve">(condensing water heater) </w:t>
      </w:r>
      <w:r w:rsidRPr="00B65661">
        <w:rPr>
          <w:rFonts w:eastAsiaTheme="minorHAnsi"/>
        </w:rPr>
        <w:t>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w:t>
      </w:r>
      <w:r w:rsidR="00844859">
        <w:rPr>
          <w:rFonts w:eastAsiaTheme="minorHAnsi"/>
        </w:rPr>
        <w:t>00</w:t>
      </w:r>
      <w:r w:rsidRPr="00B65661">
        <w:rPr>
          <w:rFonts w:eastAsiaTheme="minorHAnsi"/>
        </w:rPr>
        <w:t>-30%)).</w:t>
      </w:r>
    </w:p>
    <w:p w14:paraId="7779361C" w14:textId="001DCC08" w:rsidR="006D17C5" w:rsidRPr="00844859" w:rsidRDefault="00BA461F" w:rsidP="00E03FBC">
      <w:pPr>
        <w:pStyle w:val="ListParagraph"/>
        <w:numPr>
          <w:ilvl w:val="0"/>
          <w:numId w:val="9"/>
        </w:numPr>
        <w:spacing w:before="240" w:after="120"/>
        <w:ind w:left="547"/>
        <w:rPr>
          <w:rFonts w:eastAsiaTheme="minorHAnsi"/>
          <w:b/>
          <w:color w:val="000000"/>
        </w:rPr>
      </w:pPr>
      <w:r w:rsidRPr="00844859">
        <w:rPr>
          <w:rFonts w:eastAsia="Times"/>
          <w:b/>
          <w:iCs/>
        </w:rPr>
        <w:t>Include learning curve effects on product price trends</w:t>
      </w:r>
      <w:r w:rsidR="006D17C5" w:rsidRPr="00844859">
        <w:rPr>
          <w:rFonts w:eastAsia="Times"/>
          <w:b/>
          <w:iCs/>
        </w:rPr>
        <w:t xml:space="preserve"> the effect of which will reduce overall costs in DOE’s analysis</w:t>
      </w:r>
    </w:p>
    <w:p w14:paraId="3859DACC" w14:textId="77777777" w:rsidR="00BA461F" w:rsidRPr="00B65661" w:rsidRDefault="00BA461F" w:rsidP="00B4225D">
      <w:pPr>
        <w:pStyle w:val="ListParagraph"/>
        <w:rPr>
          <w:rFonts w:eastAsiaTheme="minorHAnsi"/>
          <w:b/>
          <w:color w:val="000000"/>
        </w:rPr>
      </w:pPr>
    </w:p>
    <w:p w14:paraId="6A2BA43D" w14:textId="4CB73628" w:rsidR="00BA461F" w:rsidRPr="00B65661" w:rsidRDefault="00BA461F" w:rsidP="00BA461F">
      <w:pPr>
        <w:spacing w:before="120" w:after="120"/>
        <w:ind w:left="180"/>
        <w:rPr>
          <w:rFonts w:eastAsiaTheme="minorHAnsi"/>
        </w:rPr>
      </w:pPr>
      <w:r w:rsidRPr="00B65661">
        <w:rPr>
          <w:rFonts w:eastAsiaTheme="minorHAnsi"/>
        </w:rPr>
        <w:lastRenderedPageBreak/>
        <w:t xml:space="preserve">The NOPR TSD section 8A.4 states the product price trends </w:t>
      </w:r>
      <w:commentRangeStart w:id="3"/>
      <w:r w:rsidRPr="00B65661">
        <w:rPr>
          <w:rFonts w:eastAsiaTheme="minorHAnsi"/>
        </w:rPr>
        <w:t>are set to decreasing due to technology learning, which</w:t>
      </w:r>
      <w:commentRangeEnd w:id="3"/>
      <w:r w:rsidR="007C3041">
        <w:rPr>
          <w:rStyle w:val="CommentReference"/>
        </w:rPr>
        <w:commentReference w:id="3"/>
      </w:r>
      <w:r w:rsidRPr="00B65661">
        <w:rPr>
          <w:rFonts w:eastAsiaTheme="minorHAnsi"/>
        </w:rPr>
        <w:t xml:space="preserve"> </w:t>
      </w:r>
      <w:r w:rsidR="005D1DD2">
        <w:rPr>
          <w:rFonts w:eastAsiaTheme="minorHAnsi"/>
        </w:rPr>
        <w:t xml:space="preserve">would result </w:t>
      </w:r>
      <w:r w:rsidRPr="00B65661">
        <w:rPr>
          <w:rFonts w:eastAsiaTheme="minorHAnsi"/>
        </w:rPr>
        <w:t>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07B20C8F"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r w:rsidR="005D1DD2">
        <w:rPr>
          <w:rFonts w:eastAsiaTheme="minorHAnsi"/>
        </w:rPr>
        <w:t xml:space="preserve">potentially </w:t>
      </w:r>
      <w:r w:rsidRPr="00B65661">
        <w:rPr>
          <w:rFonts w:eastAsiaTheme="minorHAnsi"/>
        </w:rPr>
        <w:t xml:space="preserve">in </w:t>
      </w:r>
      <w:r w:rsidR="005D1DD2">
        <w:rPr>
          <w:rFonts w:eastAsiaTheme="minorHAnsi"/>
        </w:rPr>
        <w:t xml:space="preserve">other </w:t>
      </w:r>
      <w:r w:rsidRPr="00B65661">
        <w:rPr>
          <w:rFonts w:eastAsiaTheme="minorHAnsi"/>
        </w:rPr>
        <w:t xml:space="preserve">existing conditions.  </w:t>
      </w:r>
      <w:r w:rsidR="00E70E8F" w:rsidRPr="00B65661">
        <w:rPr>
          <w:rFonts w:eastAsiaTheme="minorHAnsi"/>
        </w:rPr>
        <w:t xml:space="preserve">These </w:t>
      </w:r>
      <w:r w:rsidR="005D1DD2">
        <w:rPr>
          <w:rFonts w:eastAsiaTheme="minorHAnsi"/>
        </w:rPr>
        <w:t xml:space="preserve">should be </w:t>
      </w:r>
      <w:r w:rsidR="00E70E8F" w:rsidRPr="00B65661">
        <w:rPr>
          <w:rFonts w:eastAsiaTheme="minorHAnsi"/>
        </w:rPr>
        <w:t>addressed by using the “learning” concept.  In the case of row houses there are often existing masonry chimneys that go straight up</w:t>
      </w:r>
      <w:r w:rsidR="005D1DD2">
        <w:rPr>
          <w:rFonts w:eastAsiaTheme="minorHAnsi"/>
        </w:rPr>
        <w:t>,</w:t>
      </w:r>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14:paraId="2748BA16" w14:textId="65184094" w:rsidR="00BA461F" w:rsidRPr="00B043D7" w:rsidRDefault="00695122" w:rsidP="002F3891">
      <w:pPr>
        <w:spacing w:before="120" w:after="120"/>
        <w:jc w:val="center"/>
        <w:rPr>
          <w:rFonts w:eastAsiaTheme="minorHAnsi"/>
          <w:color w:val="000000"/>
          <w:u w:val="single"/>
        </w:rPr>
      </w:pPr>
      <w:r w:rsidRPr="00594FCA">
        <w:rPr>
          <w:rFonts w:eastAsiaTheme="minorHAnsi"/>
          <w:b/>
          <w:color w:val="000000"/>
        </w:rPr>
        <w:t xml:space="preserve">Revised </w:t>
      </w:r>
      <w:r w:rsidR="00BA461F" w:rsidRPr="00594FCA">
        <w:rPr>
          <w:rFonts w:eastAsiaTheme="minorHAnsi"/>
          <w:b/>
          <w:color w:val="000000"/>
        </w:rPr>
        <w:t>LCC analysis summary</w:t>
      </w:r>
    </w:p>
    <w:p w14:paraId="2C17B67C" w14:textId="14AB0FE5" w:rsidR="00BA461F" w:rsidRPr="00B043D7" w:rsidRDefault="00BA461F" w:rsidP="00E03FBC">
      <w:pPr>
        <w:spacing w:before="120" w:after="120"/>
        <w:rPr>
          <w:rFonts w:eastAsiaTheme="minorHAnsi"/>
        </w:rPr>
      </w:pPr>
      <w:r w:rsidRPr="00B043D7">
        <w:rPr>
          <w:rFonts w:eastAsiaTheme="minorHAnsi"/>
        </w:rPr>
        <w:t xml:space="preserve">We ran </w:t>
      </w:r>
      <w:r w:rsidR="002F3891">
        <w:rPr>
          <w:rFonts w:eastAsiaTheme="minorHAnsi"/>
        </w:rPr>
        <w:t>multiple scenarios</w:t>
      </w:r>
      <w:r w:rsidRPr="00B043D7">
        <w:rPr>
          <w:rFonts w:eastAsiaTheme="minorHAnsi"/>
        </w:rPr>
        <w:t xml:space="preserve"> using the DOE’s LCC tool with modified assumptions as described above, namely:</w:t>
      </w:r>
    </w:p>
    <w:p w14:paraId="24C07A61"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E03FBC">
      <w:pPr>
        <w:spacing w:before="120" w:after="120"/>
        <w:ind w:left="450"/>
        <w:rPr>
          <w:rFonts w:eastAsiaTheme="minorHAnsi"/>
        </w:rPr>
      </w:pPr>
    </w:p>
    <w:p w14:paraId="0AE6DCF5" w14:textId="77777777" w:rsidR="00BA461F" w:rsidRPr="00B043D7" w:rsidRDefault="00BA461F" w:rsidP="00E03FBC">
      <w:pPr>
        <w:spacing w:before="120" w:after="12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Original Results</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4D6E1877" w14:textId="77777777" w:rsidTr="00616CBC">
        <w:tc>
          <w:tcPr>
            <w:tcW w:w="1705" w:type="dxa"/>
            <w:vAlign w:val="bottom"/>
          </w:tcPr>
          <w:p w14:paraId="365881A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3D28E296" w:rsidR="00EF1327" w:rsidRPr="00B043D7" w:rsidRDefault="00EF1327" w:rsidP="00EF1327">
            <w:pPr>
              <w:spacing w:before="120" w:after="120"/>
              <w:ind w:left="180"/>
              <w:jc w:val="right"/>
              <w:rPr>
                <w:rFonts w:ascii="Times New Roman" w:hAnsi="Times New Roman" w:cs="Times New Roman"/>
                <w:sz w:val="20"/>
                <w:szCs w:val="20"/>
              </w:rPr>
            </w:pPr>
            <w:bookmarkStart w:id="4" w:name="RANGE!N7"/>
            <w:r w:rsidRPr="00450007">
              <w:rPr>
                <w:rFonts w:ascii="Times New Roman" w:hAnsi="Times New Roman" w:cs="Times New Roman"/>
                <w:sz w:val="20"/>
                <w:szCs w:val="20"/>
              </w:rPr>
              <w:t>$12,611</w:t>
            </w:r>
            <w:bookmarkEnd w:id="4"/>
          </w:p>
        </w:tc>
        <w:tc>
          <w:tcPr>
            <w:tcW w:w="850" w:type="dxa"/>
            <w:vAlign w:val="bottom"/>
          </w:tcPr>
          <w:p w14:paraId="6875A243" w14:textId="648956CD" w:rsidR="00EF1327" w:rsidRPr="00B043D7" w:rsidRDefault="00EF1327" w:rsidP="00EF1327">
            <w:pPr>
              <w:spacing w:before="120" w:after="120"/>
              <w:ind w:left="180"/>
              <w:jc w:val="center"/>
              <w:rPr>
                <w:rFonts w:ascii="Times New Roman" w:hAnsi="Times New Roman" w:cs="Times New Roman"/>
                <w:sz w:val="20"/>
                <w:szCs w:val="20"/>
              </w:rPr>
            </w:pPr>
            <w:bookmarkStart w:id="5" w:name="RANGE!O7"/>
            <w:r w:rsidRPr="00450007">
              <w:rPr>
                <w:rFonts w:ascii="Times New Roman" w:hAnsi="Times New Roman" w:cs="Times New Roman"/>
                <w:sz w:val="20"/>
                <w:szCs w:val="20"/>
              </w:rPr>
              <w:t>NA</w:t>
            </w:r>
            <w:bookmarkEnd w:id="5"/>
          </w:p>
        </w:tc>
        <w:tc>
          <w:tcPr>
            <w:tcW w:w="975" w:type="dxa"/>
            <w:vAlign w:val="bottom"/>
          </w:tcPr>
          <w:p w14:paraId="03DEDC27" w14:textId="03D3ED2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17B088A8" w14:textId="743E0CF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6A774941" w14:textId="0B836B9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7D42339A" w14:textId="4BC36B6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6FC297D9" w14:textId="22FB34D1"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1748583F" w14:textId="1A2601D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03CF0ACC" w14:textId="77777777" w:rsidTr="00616CBC">
        <w:tc>
          <w:tcPr>
            <w:tcW w:w="1705" w:type="dxa"/>
            <w:vAlign w:val="bottom"/>
          </w:tcPr>
          <w:p w14:paraId="13AD742F"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3F20FBE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$12,129</w:t>
            </w:r>
          </w:p>
        </w:tc>
        <w:tc>
          <w:tcPr>
            <w:tcW w:w="850" w:type="dxa"/>
            <w:vAlign w:val="bottom"/>
          </w:tcPr>
          <w:p w14:paraId="70A326DF" w14:textId="6F6DB21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$232  </w:t>
            </w:r>
          </w:p>
        </w:tc>
        <w:tc>
          <w:tcPr>
            <w:tcW w:w="975" w:type="dxa"/>
            <w:vAlign w:val="bottom"/>
          </w:tcPr>
          <w:p w14:paraId="3E172270" w14:textId="5E5664B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$14,835</w:t>
            </w:r>
          </w:p>
        </w:tc>
        <w:tc>
          <w:tcPr>
            <w:tcW w:w="1032" w:type="dxa"/>
            <w:vAlign w:val="bottom"/>
          </w:tcPr>
          <w:p w14:paraId="1890FA48" w14:textId="33628F3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$205  </w:t>
            </w:r>
          </w:p>
        </w:tc>
        <w:tc>
          <w:tcPr>
            <w:tcW w:w="908" w:type="dxa"/>
            <w:vAlign w:val="bottom"/>
          </w:tcPr>
          <w:p w14:paraId="0CDE5C99" w14:textId="671DA09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$9,078</w:t>
            </w:r>
          </w:p>
        </w:tc>
        <w:tc>
          <w:tcPr>
            <w:tcW w:w="986" w:type="dxa"/>
            <w:vAlign w:val="bottom"/>
          </w:tcPr>
          <w:p w14:paraId="49931526" w14:textId="76A709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$263  </w:t>
            </w:r>
          </w:p>
        </w:tc>
        <w:tc>
          <w:tcPr>
            <w:tcW w:w="904" w:type="dxa"/>
            <w:vAlign w:val="bottom"/>
          </w:tcPr>
          <w:p w14:paraId="2A9F3C28" w14:textId="0121F13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$8,301</w:t>
            </w:r>
          </w:p>
        </w:tc>
        <w:tc>
          <w:tcPr>
            <w:tcW w:w="990" w:type="dxa"/>
            <w:vAlign w:val="bottom"/>
          </w:tcPr>
          <w:p w14:paraId="39D38CD8" w14:textId="0E2EC70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$157  </w:t>
            </w:r>
          </w:p>
        </w:tc>
      </w:tr>
      <w:tr w:rsidR="00EF1327" w:rsidRPr="00B043D7" w14:paraId="12487476" w14:textId="77777777" w:rsidTr="00616CBC">
        <w:tc>
          <w:tcPr>
            <w:tcW w:w="1705" w:type="dxa"/>
            <w:vAlign w:val="bottom"/>
          </w:tcPr>
          <w:p w14:paraId="38DDDCCC"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33965CC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$11,984</w:t>
            </w:r>
          </w:p>
        </w:tc>
        <w:tc>
          <w:tcPr>
            <w:tcW w:w="850" w:type="dxa"/>
            <w:vAlign w:val="bottom"/>
          </w:tcPr>
          <w:p w14:paraId="7F578F63" w14:textId="2A71AEE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$301  </w:t>
            </w:r>
          </w:p>
        </w:tc>
        <w:tc>
          <w:tcPr>
            <w:tcW w:w="975" w:type="dxa"/>
            <w:vAlign w:val="bottom"/>
          </w:tcPr>
          <w:p w14:paraId="5D24D454" w14:textId="664F67A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$14,647</w:t>
            </w:r>
          </w:p>
        </w:tc>
        <w:tc>
          <w:tcPr>
            <w:tcW w:w="1032" w:type="dxa"/>
            <w:vAlign w:val="bottom"/>
          </w:tcPr>
          <w:p w14:paraId="68F29505" w14:textId="0F48A62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$273  </w:t>
            </w:r>
          </w:p>
        </w:tc>
        <w:tc>
          <w:tcPr>
            <w:tcW w:w="908" w:type="dxa"/>
            <w:vAlign w:val="bottom"/>
          </w:tcPr>
          <w:p w14:paraId="3D4BE058" w14:textId="711A3F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$8,983</w:t>
            </w:r>
          </w:p>
        </w:tc>
        <w:tc>
          <w:tcPr>
            <w:tcW w:w="986" w:type="dxa"/>
            <w:vAlign w:val="bottom"/>
          </w:tcPr>
          <w:p w14:paraId="22EA6FA7" w14:textId="17038AA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$333  </w:t>
            </w:r>
          </w:p>
        </w:tc>
        <w:tc>
          <w:tcPr>
            <w:tcW w:w="904" w:type="dxa"/>
            <w:vAlign w:val="bottom"/>
          </w:tcPr>
          <w:p w14:paraId="16CA31C9" w14:textId="7DEA6767"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$8,230</w:t>
            </w:r>
          </w:p>
        </w:tc>
        <w:tc>
          <w:tcPr>
            <w:tcW w:w="990" w:type="dxa"/>
            <w:vAlign w:val="bottom"/>
          </w:tcPr>
          <w:p w14:paraId="65E4B6DF" w14:textId="248DD29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$218  </w:t>
            </w:r>
          </w:p>
        </w:tc>
      </w:tr>
      <w:tr w:rsidR="00EF1327" w:rsidRPr="00B043D7" w14:paraId="7775BACD" w14:textId="77777777" w:rsidTr="00616CBC">
        <w:tc>
          <w:tcPr>
            <w:tcW w:w="1705" w:type="dxa"/>
            <w:vAlign w:val="bottom"/>
          </w:tcPr>
          <w:p w14:paraId="00A8987B"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6FD545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$11,867</w:t>
            </w:r>
          </w:p>
        </w:tc>
        <w:tc>
          <w:tcPr>
            <w:tcW w:w="850" w:type="dxa"/>
            <w:vAlign w:val="bottom"/>
          </w:tcPr>
          <w:p w14:paraId="778D1982" w14:textId="7B33CF6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$379  </w:t>
            </w:r>
          </w:p>
        </w:tc>
        <w:tc>
          <w:tcPr>
            <w:tcW w:w="975" w:type="dxa"/>
            <w:vAlign w:val="bottom"/>
          </w:tcPr>
          <w:p w14:paraId="7B1877D9" w14:textId="23E6332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$14,486</w:t>
            </w:r>
          </w:p>
        </w:tc>
        <w:tc>
          <w:tcPr>
            <w:tcW w:w="1032" w:type="dxa"/>
            <w:vAlign w:val="bottom"/>
          </w:tcPr>
          <w:p w14:paraId="74BAC820" w14:textId="51457EC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$363  </w:t>
            </w:r>
          </w:p>
        </w:tc>
        <w:tc>
          <w:tcPr>
            <w:tcW w:w="908" w:type="dxa"/>
            <w:vAlign w:val="bottom"/>
          </w:tcPr>
          <w:p w14:paraId="3C9C5D0D" w14:textId="721CFAF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$8,914</w:t>
            </w:r>
          </w:p>
        </w:tc>
        <w:tc>
          <w:tcPr>
            <w:tcW w:w="986" w:type="dxa"/>
            <w:vAlign w:val="bottom"/>
          </w:tcPr>
          <w:p w14:paraId="55AA8514" w14:textId="5CD5E1A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$398  </w:t>
            </w:r>
          </w:p>
        </w:tc>
        <w:tc>
          <w:tcPr>
            <w:tcW w:w="904" w:type="dxa"/>
            <w:vAlign w:val="bottom"/>
          </w:tcPr>
          <w:p w14:paraId="09C02371" w14:textId="143E956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$8,193</w:t>
            </w:r>
          </w:p>
        </w:tc>
        <w:tc>
          <w:tcPr>
            <w:tcW w:w="990" w:type="dxa"/>
            <w:vAlign w:val="bottom"/>
          </w:tcPr>
          <w:p w14:paraId="2B1C4AFE" w14:textId="3FF6E3D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$254  </w:t>
            </w:r>
          </w:p>
        </w:tc>
      </w:tr>
      <w:tr w:rsidR="00EF1327" w:rsidRPr="00B043D7" w14:paraId="18178C31" w14:textId="77777777" w:rsidTr="00616CBC">
        <w:tc>
          <w:tcPr>
            <w:tcW w:w="1705" w:type="dxa"/>
            <w:vAlign w:val="bottom"/>
          </w:tcPr>
          <w:p w14:paraId="7A8C4414"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D9085C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$11,823</w:t>
            </w:r>
          </w:p>
        </w:tc>
        <w:tc>
          <w:tcPr>
            <w:tcW w:w="850" w:type="dxa"/>
            <w:vAlign w:val="bottom"/>
          </w:tcPr>
          <w:p w14:paraId="50FE6146" w14:textId="2C68093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$422  </w:t>
            </w:r>
          </w:p>
        </w:tc>
        <w:tc>
          <w:tcPr>
            <w:tcW w:w="975" w:type="dxa"/>
            <w:vAlign w:val="bottom"/>
          </w:tcPr>
          <w:p w14:paraId="49E690F9" w14:textId="2E3757F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$14,406</w:t>
            </w:r>
          </w:p>
        </w:tc>
        <w:tc>
          <w:tcPr>
            <w:tcW w:w="1032" w:type="dxa"/>
            <w:vAlign w:val="bottom"/>
          </w:tcPr>
          <w:p w14:paraId="2D54726E" w14:textId="1C370477"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8" w:type="dxa"/>
            <w:vAlign w:val="bottom"/>
          </w:tcPr>
          <w:p w14:paraId="1BB6B4DD" w14:textId="05B2F94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$8,912</w:t>
            </w:r>
          </w:p>
        </w:tc>
        <w:tc>
          <w:tcPr>
            <w:tcW w:w="986" w:type="dxa"/>
            <w:vAlign w:val="bottom"/>
          </w:tcPr>
          <w:p w14:paraId="4B454007" w14:textId="3E11436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$400  </w:t>
            </w:r>
          </w:p>
        </w:tc>
        <w:tc>
          <w:tcPr>
            <w:tcW w:w="904" w:type="dxa"/>
            <w:vAlign w:val="bottom"/>
          </w:tcPr>
          <w:p w14:paraId="3AB619CB" w14:textId="37529104"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$8,289</w:t>
            </w:r>
          </w:p>
        </w:tc>
        <w:tc>
          <w:tcPr>
            <w:tcW w:w="990" w:type="dxa"/>
            <w:vAlign w:val="bottom"/>
          </w:tcPr>
          <w:p w14:paraId="770864FF" w14:textId="759229C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$158  </w:t>
            </w:r>
          </w:p>
        </w:tc>
      </w:tr>
    </w:tbl>
    <w:p w14:paraId="5A69E986" w14:textId="34E19315" w:rsidR="00AA6B5E" w:rsidRDefault="00AA6B5E" w:rsidP="00BA461F">
      <w:pPr>
        <w:spacing w:before="120" w:after="120"/>
        <w:ind w:left="180"/>
        <w:rPr>
          <w:rFonts w:eastAsiaTheme="minorHAnsi"/>
        </w:rPr>
      </w:pPr>
    </w:p>
    <w:p w14:paraId="4CD451F0" w14:textId="77777777" w:rsidR="00AA6B5E" w:rsidRDefault="00AA6B5E">
      <w:pPr>
        <w:rPr>
          <w:rFonts w:eastAsiaTheme="minorHAnsi"/>
        </w:rPr>
      </w:pPr>
      <w:r>
        <w:rPr>
          <w:rFonts w:eastAsiaTheme="minorHAnsi"/>
        </w:rPr>
        <w:br w:type="page"/>
      </w: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lastRenderedPageBreak/>
        <w:t>Without Incremental Markup</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2ADD9D43" w14:textId="77777777" w:rsidTr="00616CBC">
        <w:tc>
          <w:tcPr>
            <w:tcW w:w="1705" w:type="dxa"/>
            <w:vAlign w:val="bottom"/>
          </w:tcPr>
          <w:p w14:paraId="2322814D"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567CCD2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$12,611</w:t>
            </w:r>
          </w:p>
        </w:tc>
        <w:tc>
          <w:tcPr>
            <w:tcW w:w="850" w:type="dxa"/>
            <w:vAlign w:val="bottom"/>
          </w:tcPr>
          <w:p w14:paraId="5CD82238" w14:textId="0CD84B8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NA</w:t>
            </w:r>
          </w:p>
        </w:tc>
        <w:tc>
          <w:tcPr>
            <w:tcW w:w="975" w:type="dxa"/>
            <w:vAlign w:val="bottom"/>
          </w:tcPr>
          <w:p w14:paraId="6AA5B374" w14:textId="60D76B5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71E265AB" w14:textId="433EB463"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15634CFB" w14:textId="579B1F7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1D8CF667" w14:textId="75140354"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43D59041" w14:textId="41506FF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730BE859" w14:textId="05EE247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44F47300" w14:textId="77777777" w:rsidTr="00616CBC">
        <w:tc>
          <w:tcPr>
            <w:tcW w:w="1705" w:type="dxa"/>
            <w:vAlign w:val="bottom"/>
          </w:tcPr>
          <w:p w14:paraId="12E6E1A5"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3006BFA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$12,084</w:t>
            </w:r>
          </w:p>
        </w:tc>
        <w:tc>
          <w:tcPr>
            <w:tcW w:w="850" w:type="dxa"/>
            <w:vAlign w:val="bottom"/>
          </w:tcPr>
          <w:p w14:paraId="2F3608D5" w14:textId="0DF396A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$253  </w:t>
            </w:r>
          </w:p>
        </w:tc>
        <w:tc>
          <w:tcPr>
            <w:tcW w:w="975" w:type="dxa"/>
            <w:vAlign w:val="bottom"/>
          </w:tcPr>
          <w:p w14:paraId="46FD8E46" w14:textId="54E8545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$14,784</w:t>
            </w:r>
          </w:p>
        </w:tc>
        <w:tc>
          <w:tcPr>
            <w:tcW w:w="1032" w:type="dxa"/>
            <w:vAlign w:val="bottom"/>
          </w:tcPr>
          <w:p w14:paraId="0847E46E" w14:textId="6FF8AA9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$221  </w:t>
            </w:r>
          </w:p>
        </w:tc>
        <w:tc>
          <w:tcPr>
            <w:tcW w:w="908" w:type="dxa"/>
            <w:vAlign w:val="bottom"/>
          </w:tcPr>
          <w:p w14:paraId="49131100" w14:textId="31B4DE3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$9,041</w:t>
            </w:r>
          </w:p>
        </w:tc>
        <w:tc>
          <w:tcPr>
            <w:tcW w:w="986" w:type="dxa"/>
            <w:vAlign w:val="bottom"/>
          </w:tcPr>
          <w:p w14:paraId="7B7FF9F3" w14:textId="02BD8D92"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$288  </w:t>
            </w:r>
          </w:p>
        </w:tc>
        <w:tc>
          <w:tcPr>
            <w:tcW w:w="904" w:type="dxa"/>
            <w:vAlign w:val="bottom"/>
          </w:tcPr>
          <w:p w14:paraId="77A4CE05" w14:textId="45E3D60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$8,256</w:t>
            </w:r>
          </w:p>
        </w:tc>
        <w:tc>
          <w:tcPr>
            <w:tcW w:w="990" w:type="dxa"/>
            <w:vAlign w:val="bottom"/>
          </w:tcPr>
          <w:p w14:paraId="0880817E" w14:textId="79AD3C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$192  </w:t>
            </w:r>
          </w:p>
        </w:tc>
      </w:tr>
      <w:tr w:rsidR="00EF1327" w:rsidRPr="00B043D7" w14:paraId="1D0AE571" w14:textId="77777777" w:rsidTr="00616CBC">
        <w:tc>
          <w:tcPr>
            <w:tcW w:w="1705" w:type="dxa"/>
            <w:vAlign w:val="bottom"/>
          </w:tcPr>
          <w:p w14:paraId="70EC91A0"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3257951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$11,938</w:t>
            </w:r>
          </w:p>
        </w:tc>
        <w:tc>
          <w:tcPr>
            <w:tcW w:w="850" w:type="dxa"/>
            <w:vAlign w:val="bottom"/>
          </w:tcPr>
          <w:p w14:paraId="73F098F3" w14:textId="64FFFC8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$322  </w:t>
            </w:r>
          </w:p>
        </w:tc>
        <w:tc>
          <w:tcPr>
            <w:tcW w:w="975" w:type="dxa"/>
            <w:vAlign w:val="bottom"/>
          </w:tcPr>
          <w:p w14:paraId="70289E81" w14:textId="4B87D1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$14,590</w:t>
            </w:r>
          </w:p>
        </w:tc>
        <w:tc>
          <w:tcPr>
            <w:tcW w:w="1032" w:type="dxa"/>
            <w:vAlign w:val="bottom"/>
          </w:tcPr>
          <w:p w14:paraId="6155C135" w14:textId="347A7BF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$293  </w:t>
            </w:r>
          </w:p>
        </w:tc>
        <w:tc>
          <w:tcPr>
            <w:tcW w:w="908" w:type="dxa"/>
            <w:vAlign w:val="bottom"/>
          </w:tcPr>
          <w:p w14:paraId="31E20252" w14:textId="59F2C17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$8,947</w:t>
            </w:r>
          </w:p>
        </w:tc>
        <w:tc>
          <w:tcPr>
            <w:tcW w:w="986" w:type="dxa"/>
            <w:vAlign w:val="bottom"/>
          </w:tcPr>
          <w:p w14:paraId="467FC520" w14:textId="50F4F36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$355  </w:t>
            </w:r>
          </w:p>
        </w:tc>
        <w:tc>
          <w:tcPr>
            <w:tcW w:w="904" w:type="dxa"/>
            <w:vAlign w:val="bottom"/>
          </w:tcPr>
          <w:p w14:paraId="2EBA4573" w14:textId="5097BEF0"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$8,178</w:t>
            </w:r>
          </w:p>
        </w:tc>
        <w:tc>
          <w:tcPr>
            <w:tcW w:w="990" w:type="dxa"/>
            <w:vAlign w:val="bottom"/>
          </w:tcPr>
          <w:p w14:paraId="3B072B0A" w14:textId="1BF9DDB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$259  </w:t>
            </w:r>
          </w:p>
        </w:tc>
      </w:tr>
      <w:tr w:rsidR="00EF1327" w:rsidRPr="00B043D7" w14:paraId="51E3BFE8" w14:textId="77777777" w:rsidTr="00616CBC">
        <w:tc>
          <w:tcPr>
            <w:tcW w:w="1705" w:type="dxa"/>
            <w:vAlign w:val="bottom"/>
          </w:tcPr>
          <w:p w14:paraId="4610EC7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55CD4F8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$11,786</w:t>
            </w:r>
          </w:p>
        </w:tc>
        <w:tc>
          <w:tcPr>
            <w:tcW w:w="850" w:type="dxa"/>
            <w:vAlign w:val="bottom"/>
          </w:tcPr>
          <w:p w14:paraId="2B860A76" w14:textId="4071A71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$425  </w:t>
            </w:r>
          </w:p>
        </w:tc>
        <w:tc>
          <w:tcPr>
            <w:tcW w:w="975" w:type="dxa"/>
            <w:vAlign w:val="bottom"/>
          </w:tcPr>
          <w:p w14:paraId="504C28C2" w14:textId="632419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$14,387</w:t>
            </w:r>
          </w:p>
        </w:tc>
        <w:tc>
          <w:tcPr>
            <w:tcW w:w="1032" w:type="dxa"/>
            <w:vAlign w:val="bottom"/>
          </w:tcPr>
          <w:p w14:paraId="14C476CB" w14:textId="7AF38F9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$410  </w:t>
            </w:r>
          </w:p>
        </w:tc>
        <w:tc>
          <w:tcPr>
            <w:tcW w:w="908" w:type="dxa"/>
            <w:vAlign w:val="bottom"/>
          </w:tcPr>
          <w:p w14:paraId="500DF4D4" w14:textId="6CD8FF0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$8,855</w:t>
            </w:r>
          </w:p>
        </w:tc>
        <w:tc>
          <w:tcPr>
            <w:tcW w:w="986" w:type="dxa"/>
            <w:vAlign w:val="bottom"/>
          </w:tcPr>
          <w:p w14:paraId="427653DD" w14:textId="5BBD9C8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4" w:type="dxa"/>
            <w:vAlign w:val="bottom"/>
          </w:tcPr>
          <w:p w14:paraId="507C1FDF" w14:textId="6884CD9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$8,111</w:t>
            </w:r>
          </w:p>
        </w:tc>
        <w:tc>
          <w:tcPr>
            <w:tcW w:w="990" w:type="dxa"/>
            <w:vAlign w:val="bottom"/>
          </w:tcPr>
          <w:p w14:paraId="44DF9F01" w14:textId="5BBCAD2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$325  </w:t>
            </w:r>
          </w:p>
        </w:tc>
      </w:tr>
      <w:tr w:rsidR="00EF1327" w:rsidRPr="00B043D7" w14:paraId="7B656AE4" w14:textId="77777777" w:rsidTr="00616CBC">
        <w:tc>
          <w:tcPr>
            <w:tcW w:w="1705" w:type="dxa"/>
            <w:vAlign w:val="bottom"/>
          </w:tcPr>
          <w:p w14:paraId="2945F941"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03D7A48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$11,696</w:t>
            </w:r>
          </w:p>
        </w:tc>
        <w:tc>
          <w:tcPr>
            <w:tcW w:w="850" w:type="dxa"/>
            <w:vAlign w:val="bottom"/>
          </w:tcPr>
          <w:p w14:paraId="22DEE2B2" w14:textId="02D08CE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$514  </w:t>
            </w:r>
          </w:p>
        </w:tc>
        <w:tc>
          <w:tcPr>
            <w:tcW w:w="975" w:type="dxa"/>
            <w:vAlign w:val="bottom"/>
          </w:tcPr>
          <w:p w14:paraId="5BAB93EA" w14:textId="15B9CE3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$14,240</w:t>
            </w:r>
          </w:p>
        </w:tc>
        <w:tc>
          <w:tcPr>
            <w:tcW w:w="1032" w:type="dxa"/>
            <w:vAlign w:val="bottom"/>
          </w:tcPr>
          <w:p w14:paraId="60565C43" w14:textId="1429B19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$554  </w:t>
            </w:r>
          </w:p>
        </w:tc>
        <w:tc>
          <w:tcPr>
            <w:tcW w:w="908" w:type="dxa"/>
            <w:vAlign w:val="bottom"/>
          </w:tcPr>
          <w:p w14:paraId="6C1E5186" w14:textId="1E8F880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$8,828</w:t>
            </w:r>
          </w:p>
        </w:tc>
        <w:tc>
          <w:tcPr>
            <w:tcW w:w="986" w:type="dxa"/>
            <w:vAlign w:val="bottom"/>
          </w:tcPr>
          <w:p w14:paraId="622A840E" w14:textId="03629D5C"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$469  </w:t>
            </w:r>
          </w:p>
        </w:tc>
        <w:tc>
          <w:tcPr>
            <w:tcW w:w="904" w:type="dxa"/>
            <w:vAlign w:val="bottom"/>
          </w:tcPr>
          <w:p w14:paraId="1418E907" w14:textId="49CFC98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$8,123</w:t>
            </w:r>
          </w:p>
        </w:tc>
        <w:tc>
          <w:tcPr>
            <w:tcW w:w="990" w:type="dxa"/>
            <w:vAlign w:val="bottom"/>
          </w:tcPr>
          <w:p w14:paraId="1AB06027" w14:textId="704C411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$312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2DF76DDA" w14:textId="77777777" w:rsidTr="00616CBC">
        <w:tc>
          <w:tcPr>
            <w:tcW w:w="1705" w:type="dxa"/>
            <w:vAlign w:val="bottom"/>
          </w:tcPr>
          <w:p w14:paraId="7D10B489"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012586C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$12,533</w:t>
            </w:r>
          </w:p>
        </w:tc>
        <w:tc>
          <w:tcPr>
            <w:tcW w:w="850" w:type="dxa"/>
            <w:vAlign w:val="bottom"/>
          </w:tcPr>
          <w:p w14:paraId="41353A9B" w14:textId="17AFD583"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75" w:type="dxa"/>
            <w:vAlign w:val="bottom"/>
          </w:tcPr>
          <w:p w14:paraId="32162BEB" w14:textId="4F9EC0E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$15,333</w:t>
            </w:r>
          </w:p>
        </w:tc>
        <w:tc>
          <w:tcPr>
            <w:tcW w:w="1032" w:type="dxa"/>
            <w:vAlign w:val="bottom"/>
          </w:tcPr>
          <w:p w14:paraId="179FA785" w14:textId="185C549A"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8" w:type="dxa"/>
            <w:vAlign w:val="bottom"/>
          </w:tcPr>
          <w:p w14:paraId="62EA684A" w14:textId="2926438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$9,376</w:t>
            </w:r>
          </w:p>
        </w:tc>
        <w:tc>
          <w:tcPr>
            <w:tcW w:w="986" w:type="dxa"/>
            <w:vAlign w:val="bottom"/>
          </w:tcPr>
          <w:p w14:paraId="55AFC9F4" w14:textId="3BFA6D7C"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4" w:type="dxa"/>
            <w:vAlign w:val="bottom"/>
          </w:tcPr>
          <w:p w14:paraId="53E38522" w14:textId="1147122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$8,379</w:t>
            </w:r>
          </w:p>
        </w:tc>
        <w:tc>
          <w:tcPr>
            <w:tcW w:w="990" w:type="dxa"/>
            <w:vAlign w:val="bottom"/>
          </w:tcPr>
          <w:p w14:paraId="5A774DFB" w14:textId="6E902F6B" w:rsidR="00EF1327" w:rsidRPr="00B65661"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65661" w14:paraId="7334DA1E" w14:textId="77777777" w:rsidTr="00616CBC">
        <w:tc>
          <w:tcPr>
            <w:tcW w:w="1705" w:type="dxa"/>
            <w:vAlign w:val="bottom"/>
          </w:tcPr>
          <w:p w14:paraId="083E0B9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2C780020"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$12,042</w:t>
            </w:r>
          </w:p>
        </w:tc>
        <w:tc>
          <w:tcPr>
            <w:tcW w:w="850" w:type="dxa"/>
            <w:vAlign w:val="bottom"/>
          </w:tcPr>
          <w:p w14:paraId="48D405D6" w14:textId="12A9A6F7"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$236  </w:t>
            </w:r>
          </w:p>
        </w:tc>
        <w:tc>
          <w:tcPr>
            <w:tcW w:w="975" w:type="dxa"/>
            <w:vAlign w:val="bottom"/>
          </w:tcPr>
          <w:p w14:paraId="08F0C7E6" w14:textId="11771552"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$14,746</w:t>
            </w:r>
          </w:p>
        </w:tc>
        <w:tc>
          <w:tcPr>
            <w:tcW w:w="1032" w:type="dxa"/>
            <w:vAlign w:val="bottom"/>
          </w:tcPr>
          <w:p w14:paraId="18317E46" w14:textId="2079981F"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$208  </w:t>
            </w:r>
          </w:p>
        </w:tc>
        <w:tc>
          <w:tcPr>
            <w:tcW w:w="908" w:type="dxa"/>
            <w:vAlign w:val="bottom"/>
          </w:tcPr>
          <w:p w14:paraId="3DC6145A" w14:textId="73CDB2F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$8,994</w:t>
            </w:r>
          </w:p>
        </w:tc>
        <w:tc>
          <w:tcPr>
            <w:tcW w:w="986" w:type="dxa"/>
            <w:vAlign w:val="bottom"/>
          </w:tcPr>
          <w:p w14:paraId="7307A120" w14:textId="3558193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$267  </w:t>
            </w:r>
          </w:p>
        </w:tc>
        <w:tc>
          <w:tcPr>
            <w:tcW w:w="904" w:type="dxa"/>
            <w:vAlign w:val="bottom"/>
          </w:tcPr>
          <w:p w14:paraId="06BD4011" w14:textId="0FCCC2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$8,215</w:t>
            </w:r>
          </w:p>
        </w:tc>
        <w:tc>
          <w:tcPr>
            <w:tcW w:w="990" w:type="dxa"/>
            <w:vAlign w:val="bottom"/>
          </w:tcPr>
          <w:p w14:paraId="254F6DD2" w14:textId="3D49C3D4"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$156  </w:t>
            </w:r>
          </w:p>
        </w:tc>
      </w:tr>
      <w:tr w:rsidR="00EF1327" w:rsidRPr="00B65661" w14:paraId="60F507C6" w14:textId="77777777" w:rsidTr="00616CBC">
        <w:tc>
          <w:tcPr>
            <w:tcW w:w="1705" w:type="dxa"/>
            <w:vAlign w:val="bottom"/>
          </w:tcPr>
          <w:p w14:paraId="4DA0A00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51EA65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$11,897</w:t>
            </w:r>
          </w:p>
        </w:tc>
        <w:tc>
          <w:tcPr>
            <w:tcW w:w="850" w:type="dxa"/>
            <w:vAlign w:val="bottom"/>
          </w:tcPr>
          <w:p w14:paraId="59725D16" w14:textId="2845806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$305  </w:t>
            </w:r>
          </w:p>
        </w:tc>
        <w:tc>
          <w:tcPr>
            <w:tcW w:w="975" w:type="dxa"/>
            <w:vAlign w:val="bottom"/>
          </w:tcPr>
          <w:p w14:paraId="1369FCC5" w14:textId="0D5C98A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$14,556</w:t>
            </w:r>
          </w:p>
        </w:tc>
        <w:tc>
          <w:tcPr>
            <w:tcW w:w="1032" w:type="dxa"/>
            <w:vAlign w:val="bottom"/>
          </w:tcPr>
          <w:p w14:paraId="6412DAFF" w14:textId="345954AD"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$277  </w:t>
            </w:r>
          </w:p>
        </w:tc>
        <w:tc>
          <w:tcPr>
            <w:tcW w:w="908" w:type="dxa"/>
            <w:vAlign w:val="bottom"/>
          </w:tcPr>
          <w:p w14:paraId="426842C7" w14:textId="62123D0C"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$8,901</w:t>
            </w:r>
          </w:p>
        </w:tc>
        <w:tc>
          <w:tcPr>
            <w:tcW w:w="986" w:type="dxa"/>
            <w:vAlign w:val="bottom"/>
          </w:tcPr>
          <w:p w14:paraId="34D6937A" w14:textId="70BCEB2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$336  </w:t>
            </w:r>
          </w:p>
        </w:tc>
        <w:tc>
          <w:tcPr>
            <w:tcW w:w="904" w:type="dxa"/>
            <w:vAlign w:val="bottom"/>
          </w:tcPr>
          <w:p w14:paraId="26E4783A" w14:textId="1A95D8F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$8,140</w:t>
            </w:r>
          </w:p>
        </w:tc>
        <w:tc>
          <w:tcPr>
            <w:tcW w:w="990" w:type="dxa"/>
            <w:vAlign w:val="bottom"/>
          </w:tcPr>
          <w:p w14:paraId="25E518CC" w14:textId="01B12C3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$220  </w:t>
            </w:r>
          </w:p>
        </w:tc>
      </w:tr>
      <w:tr w:rsidR="00EF1327" w:rsidRPr="00B65661" w14:paraId="1E7F62AD" w14:textId="77777777" w:rsidTr="00616CBC">
        <w:tc>
          <w:tcPr>
            <w:tcW w:w="1705" w:type="dxa"/>
            <w:vAlign w:val="bottom"/>
          </w:tcPr>
          <w:p w14:paraId="3338239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04F9DB1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$11,773</w:t>
            </w:r>
          </w:p>
        </w:tc>
        <w:tc>
          <w:tcPr>
            <w:tcW w:w="850" w:type="dxa"/>
            <w:vAlign w:val="bottom"/>
          </w:tcPr>
          <w:p w14:paraId="6C3FFB1B" w14:textId="005732D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$388  </w:t>
            </w:r>
          </w:p>
        </w:tc>
        <w:tc>
          <w:tcPr>
            <w:tcW w:w="975" w:type="dxa"/>
            <w:vAlign w:val="bottom"/>
          </w:tcPr>
          <w:p w14:paraId="6D911A57" w14:textId="2C471E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$14,385</w:t>
            </w:r>
          </w:p>
        </w:tc>
        <w:tc>
          <w:tcPr>
            <w:tcW w:w="1032" w:type="dxa"/>
            <w:vAlign w:val="bottom"/>
          </w:tcPr>
          <w:p w14:paraId="72AC6C38" w14:textId="3F6AA186"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$374  </w:t>
            </w:r>
          </w:p>
        </w:tc>
        <w:tc>
          <w:tcPr>
            <w:tcW w:w="908" w:type="dxa"/>
            <w:vAlign w:val="bottom"/>
          </w:tcPr>
          <w:p w14:paraId="5BC0A0D8" w14:textId="78C35E5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$8,828</w:t>
            </w:r>
          </w:p>
        </w:tc>
        <w:tc>
          <w:tcPr>
            <w:tcW w:w="986" w:type="dxa"/>
            <w:vAlign w:val="bottom"/>
          </w:tcPr>
          <w:p w14:paraId="07E76C18" w14:textId="7A0825A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$404  </w:t>
            </w:r>
          </w:p>
        </w:tc>
        <w:tc>
          <w:tcPr>
            <w:tcW w:w="904" w:type="dxa"/>
            <w:vAlign w:val="bottom"/>
          </w:tcPr>
          <w:p w14:paraId="542A7E3A" w14:textId="2599218E"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$8,099</w:t>
            </w:r>
          </w:p>
        </w:tc>
        <w:tc>
          <w:tcPr>
            <w:tcW w:w="990" w:type="dxa"/>
            <w:vAlign w:val="bottom"/>
          </w:tcPr>
          <w:p w14:paraId="7D396908" w14:textId="7EA90CBD"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$261  </w:t>
            </w:r>
          </w:p>
        </w:tc>
      </w:tr>
      <w:tr w:rsidR="00EF1327" w:rsidRPr="00B65661" w14:paraId="19AF7215" w14:textId="77777777" w:rsidTr="00616CBC">
        <w:tc>
          <w:tcPr>
            <w:tcW w:w="1705" w:type="dxa"/>
            <w:vAlign w:val="bottom"/>
          </w:tcPr>
          <w:p w14:paraId="17F9499D"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365AABC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$11,718</w:t>
            </w:r>
          </w:p>
        </w:tc>
        <w:tc>
          <w:tcPr>
            <w:tcW w:w="850" w:type="dxa"/>
            <w:vAlign w:val="bottom"/>
          </w:tcPr>
          <w:p w14:paraId="2B9C00BD" w14:textId="4F7D4B6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$441  </w:t>
            </w:r>
          </w:p>
        </w:tc>
        <w:tc>
          <w:tcPr>
            <w:tcW w:w="975" w:type="dxa"/>
            <w:vAlign w:val="bottom"/>
          </w:tcPr>
          <w:p w14:paraId="1AD52097" w14:textId="14C2CB9F"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$14,290</w:t>
            </w:r>
          </w:p>
        </w:tc>
        <w:tc>
          <w:tcPr>
            <w:tcW w:w="1032" w:type="dxa"/>
            <w:vAlign w:val="bottom"/>
          </w:tcPr>
          <w:p w14:paraId="7D4FF0BB" w14:textId="100A4963"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$467  </w:t>
            </w:r>
          </w:p>
        </w:tc>
        <w:tc>
          <w:tcPr>
            <w:tcW w:w="908" w:type="dxa"/>
            <w:vAlign w:val="bottom"/>
          </w:tcPr>
          <w:p w14:paraId="7ED338C1" w14:textId="75AE1E66"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$8,820</w:t>
            </w:r>
          </w:p>
        </w:tc>
        <w:tc>
          <w:tcPr>
            <w:tcW w:w="986" w:type="dxa"/>
            <w:vAlign w:val="bottom"/>
          </w:tcPr>
          <w:p w14:paraId="083549DD" w14:textId="33D11B2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$412  </w:t>
            </w:r>
          </w:p>
        </w:tc>
        <w:tc>
          <w:tcPr>
            <w:tcW w:w="904" w:type="dxa"/>
            <w:vAlign w:val="bottom"/>
          </w:tcPr>
          <w:p w14:paraId="7F5F5F99" w14:textId="780C6B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$8,174</w:t>
            </w:r>
          </w:p>
        </w:tc>
        <w:tc>
          <w:tcPr>
            <w:tcW w:w="990" w:type="dxa"/>
            <w:vAlign w:val="bottom"/>
          </w:tcPr>
          <w:p w14:paraId="08E37941" w14:textId="0F8066DF"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$185  </w:t>
            </w:r>
          </w:p>
        </w:tc>
      </w:tr>
    </w:tbl>
    <w:p w14:paraId="50349F52" w14:textId="244DD9C0" w:rsidR="00583C69" w:rsidRDefault="00583C69">
      <w:pPr>
        <w:rPr>
          <w:rFonts w:eastAsiaTheme="minorHAnsi"/>
          <w:b/>
        </w:rPr>
      </w:pPr>
    </w:p>
    <w:p w14:paraId="0915DE71" w14:textId="5FF4DFA5" w:rsidR="00BA461F" w:rsidRPr="00B65661" w:rsidRDefault="00BA461F" w:rsidP="00BA461F">
      <w:pPr>
        <w:spacing w:before="120" w:after="120"/>
        <w:ind w:left="180"/>
        <w:rPr>
          <w:rFonts w:eastAsiaTheme="minorHAnsi"/>
          <w:b/>
        </w:rPr>
      </w:pPr>
      <w:r w:rsidRPr="00B65661">
        <w:rPr>
          <w:rFonts w:eastAsiaTheme="minorHAnsi"/>
          <w:b/>
        </w:rPr>
        <w:t>With</w:t>
      </w:r>
      <w:r w:rsidR="005D1DD2">
        <w:rPr>
          <w:rFonts w:eastAsiaTheme="minorHAnsi"/>
          <w:b/>
        </w:rPr>
        <w:t>out Incremental Markup and 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438A69D9" w14:textId="77777777" w:rsidTr="00616CBC">
        <w:tc>
          <w:tcPr>
            <w:tcW w:w="1705" w:type="dxa"/>
            <w:vAlign w:val="bottom"/>
          </w:tcPr>
          <w:p w14:paraId="1AE4B61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670430D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$12,533</w:t>
            </w:r>
          </w:p>
        </w:tc>
        <w:tc>
          <w:tcPr>
            <w:tcW w:w="850" w:type="dxa"/>
            <w:vAlign w:val="bottom"/>
          </w:tcPr>
          <w:p w14:paraId="2A2E1399" w14:textId="26D18EBB"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75" w:type="dxa"/>
            <w:vAlign w:val="bottom"/>
          </w:tcPr>
          <w:p w14:paraId="44B2A641" w14:textId="505D566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$15,333</w:t>
            </w:r>
          </w:p>
        </w:tc>
        <w:tc>
          <w:tcPr>
            <w:tcW w:w="1032" w:type="dxa"/>
            <w:vAlign w:val="bottom"/>
          </w:tcPr>
          <w:p w14:paraId="14A0E501" w14:textId="27C794CA"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8" w:type="dxa"/>
            <w:vAlign w:val="bottom"/>
          </w:tcPr>
          <w:p w14:paraId="7B7E2596" w14:textId="2EA3E32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$9,376</w:t>
            </w:r>
          </w:p>
        </w:tc>
        <w:tc>
          <w:tcPr>
            <w:tcW w:w="986" w:type="dxa"/>
            <w:vAlign w:val="bottom"/>
          </w:tcPr>
          <w:p w14:paraId="3174DD9C" w14:textId="604DF382"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4" w:type="dxa"/>
            <w:vAlign w:val="bottom"/>
          </w:tcPr>
          <w:p w14:paraId="6B6675B9" w14:textId="29839FB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$8,379</w:t>
            </w:r>
          </w:p>
        </w:tc>
        <w:tc>
          <w:tcPr>
            <w:tcW w:w="990" w:type="dxa"/>
            <w:vAlign w:val="bottom"/>
          </w:tcPr>
          <w:p w14:paraId="54BF220F" w14:textId="3993E383"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r>
      <w:tr w:rsidR="00EF1327" w:rsidRPr="00B65661" w14:paraId="0A86036B" w14:textId="77777777" w:rsidTr="00616CBC">
        <w:tc>
          <w:tcPr>
            <w:tcW w:w="1705" w:type="dxa"/>
            <w:vAlign w:val="bottom"/>
          </w:tcPr>
          <w:p w14:paraId="300B7FD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98BE7D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$12,003</w:t>
            </w:r>
          </w:p>
        </w:tc>
        <w:tc>
          <w:tcPr>
            <w:tcW w:w="850" w:type="dxa"/>
            <w:vAlign w:val="bottom"/>
          </w:tcPr>
          <w:p w14:paraId="3061D280" w14:textId="074AE9DF"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$252  </w:t>
            </w:r>
          </w:p>
        </w:tc>
        <w:tc>
          <w:tcPr>
            <w:tcW w:w="975" w:type="dxa"/>
            <w:vAlign w:val="bottom"/>
          </w:tcPr>
          <w:p w14:paraId="33D5339F" w14:textId="5FFAC8BB"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$14,697</w:t>
            </w:r>
          </w:p>
        </w:tc>
        <w:tc>
          <w:tcPr>
            <w:tcW w:w="1032" w:type="dxa"/>
            <w:vAlign w:val="bottom"/>
          </w:tcPr>
          <w:p w14:paraId="152A1A4E" w14:textId="32F39B08"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$224  </w:t>
            </w:r>
          </w:p>
        </w:tc>
        <w:tc>
          <w:tcPr>
            <w:tcW w:w="908" w:type="dxa"/>
            <w:vAlign w:val="bottom"/>
          </w:tcPr>
          <w:p w14:paraId="0B3FD704" w14:textId="468F475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$8,967</w:t>
            </w:r>
          </w:p>
        </w:tc>
        <w:tc>
          <w:tcPr>
            <w:tcW w:w="986" w:type="dxa"/>
            <w:vAlign w:val="bottom"/>
          </w:tcPr>
          <w:p w14:paraId="2B285C2B" w14:textId="01B1A33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$283  </w:t>
            </w:r>
          </w:p>
        </w:tc>
        <w:tc>
          <w:tcPr>
            <w:tcW w:w="904" w:type="dxa"/>
            <w:vAlign w:val="bottom"/>
          </w:tcPr>
          <w:p w14:paraId="46649B70" w14:textId="16D0169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$8,171</w:t>
            </w:r>
          </w:p>
        </w:tc>
        <w:tc>
          <w:tcPr>
            <w:tcW w:w="990" w:type="dxa"/>
            <w:vAlign w:val="bottom"/>
          </w:tcPr>
          <w:p w14:paraId="1CABEBE9" w14:textId="47FF072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$191  </w:t>
            </w:r>
          </w:p>
        </w:tc>
      </w:tr>
      <w:tr w:rsidR="00EF1327" w:rsidRPr="00B65661" w14:paraId="2D1DBE12" w14:textId="77777777" w:rsidTr="00616CBC">
        <w:tc>
          <w:tcPr>
            <w:tcW w:w="1705" w:type="dxa"/>
            <w:vAlign w:val="bottom"/>
          </w:tcPr>
          <w:p w14:paraId="523DD512"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1DC3514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$11,854</w:t>
            </w:r>
          </w:p>
        </w:tc>
        <w:tc>
          <w:tcPr>
            <w:tcW w:w="850" w:type="dxa"/>
            <w:vAlign w:val="bottom"/>
          </w:tcPr>
          <w:p w14:paraId="6222B63C" w14:textId="69118A92"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c>
          <w:tcPr>
            <w:tcW w:w="975" w:type="dxa"/>
            <w:vAlign w:val="bottom"/>
          </w:tcPr>
          <w:p w14:paraId="68B61900" w14:textId="60FE005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$14,500</w:t>
            </w:r>
          </w:p>
        </w:tc>
        <w:tc>
          <w:tcPr>
            <w:tcW w:w="1032" w:type="dxa"/>
            <w:vAlign w:val="bottom"/>
          </w:tcPr>
          <w:p w14:paraId="2CEA02D9" w14:textId="0B5F183E"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$298  </w:t>
            </w:r>
          </w:p>
        </w:tc>
        <w:tc>
          <w:tcPr>
            <w:tcW w:w="908" w:type="dxa"/>
            <w:vAlign w:val="bottom"/>
          </w:tcPr>
          <w:p w14:paraId="287BFD40" w14:textId="5A31BCD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$8,872</w:t>
            </w:r>
          </w:p>
        </w:tc>
        <w:tc>
          <w:tcPr>
            <w:tcW w:w="986" w:type="dxa"/>
            <w:vAlign w:val="bottom"/>
          </w:tcPr>
          <w:p w14:paraId="37AF3F7E" w14:textId="412583E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$352  </w:t>
            </w:r>
          </w:p>
        </w:tc>
        <w:tc>
          <w:tcPr>
            <w:tcW w:w="904" w:type="dxa"/>
            <w:vAlign w:val="bottom"/>
          </w:tcPr>
          <w:p w14:paraId="592383F0" w14:textId="574216E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$8,092</w:t>
            </w:r>
          </w:p>
        </w:tc>
        <w:tc>
          <w:tcPr>
            <w:tcW w:w="990" w:type="dxa"/>
            <w:vAlign w:val="bottom"/>
          </w:tcPr>
          <w:p w14:paraId="42896CBF" w14:textId="1D764C0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$258  </w:t>
            </w:r>
          </w:p>
        </w:tc>
      </w:tr>
      <w:tr w:rsidR="00EF1327" w:rsidRPr="00B65661" w14:paraId="32F3B45A" w14:textId="77777777" w:rsidTr="00616CBC">
        <w:tc>
          <w:tcPr>
            <w:tcW w:w="1705" w:type="dxa"/>
            <w:vAlign w:val="bottom"/>
          </w:tcPr>
          <w:p w14:paraId="6911747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5E50734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$11,700</w:t>
            </w:r>
          </w:p>
        </w:tc>
        <w:tc>
          <w:tcPr>
            <w:tcW w:w="850" w:type="dxa"/>
            <w:vAlign w:val="bottom"/>
          </w:tcPr>
          <w:p w14:paraId="09520DAA" w14:textId="4F633B7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$428  </w:t>
            </w:r>
          </w:p>
        </w:tc>
        <w:tc>
          <w:tcPr>
            <w:tcW w:w="975" w:type="dxa"/>
            <w:vAlign w:val="bottom"/>
          </w:tcPr>
          <w:p w14:paraId="2BE2DE98" w14:textId="2CEE1C4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$14,295</w:t>
            </w:r>
          </w:p>
        </w:tc>
        <w:tc>
          <w:tcPr>
            <w:tcW w:w="1032" w:type="dxa"/>
            <w:vAlign w:val="bottom"/>
          </w:tcPr>
          <w:p w14:paraId="39822AA9" w14:textId="45C09369"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$414  </w:t>
            </w:r>
          </w:p>
        </w:tc>
        <w:tc>
          <w:tcPr>
            <w:tcW w:w="908" w:type="dxa"/>
            <w:vAlign w:val="bottom"/>
          </w:tcPr>
          <w:p w14:paraId="51AB6D23" w14:textId="07E3EA0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$8,775</w:t>
            </w:r>
          </w:p>
        </w:tc>
        <w:tc>
          <w:tcPr>
            <w:tcW w:w="986" w:type="dxa"/>
            <w:vAlign w:val="bottom"/>
          </w:tcPr>
          <w:p w14:paraId="3886A617" w14:textId="4D95E1F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$443  </w:t>
            </w:r>
          </w:p>
        </w:tc>
        <w:tc>
          <w:tcPr>
            <w:tcW w:w="904" w:type="dxa"/>
            <w:vAlign w:val="bottom"/>
          </w:tcPr>
          <w:p w14:paraId="209E9A0C" w14:textId="0A09946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$8,024</w:t>
            </w:r>
          </w:p>
        </w:tc>
        <w:tc>
          <w:tcPr>
            <w:tcW w:w="990" w:type="dxa"/>
            <w:vAlign w:val="bottom"/>
          </w:tcPr>
          <w:p w14:paraId="7F888217" w14:textId="2C8EC939"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r>
      <w:tr w:rsidR="00EF1327" w:rsidRPr="00B65661" w14:paraId="4E00C39A" w14:textId="77777777" w:rsidTr="00616CBC">
        <w:tc>
          <w:tcPr>
            <w:tcW w:w="1705" w:type="dxa"/>
            <w:vAlign w:val="bottom"/>
          </w:tcPr>
          <w:p w14:paraId="4A5AAE3F"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CCA641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$11,600</w:t>
            </w:r>
          </w:p>
        </w:tc>
        <w:tc>
          <w:tcPr>
            <w:tcW w:w="850" w:type="dxa"/>
            <w:vAlign w:val="bottom"/>
          </w:tcPr>
          <w:p w14:paraId="66E3515F" w14:textId="7B6E1AF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$526  </w:t>
            </w:r>
          </w:p>
        </w:tc>
        <w:tc>
          <w:tcPr>
            <w:tcW w:w="975" w:type="dxa"/>
            <w:vAlign w:val="bottom"/>
          </w:tcPr>
          <w:p w14:paraId="39B58706" w14:textId="4A0D95D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$14,136</w:t>
            </w:r>
          </w:p>
        </w:tc>
        <w:tc>
          <w:tcPr>
            <w:tcW w:w="1032" w:type="dxa"/>
            <w:vAlign w:val="bottom"/>
          </w:tcPr>
          <w:p w14:paraId="0409BF09" w14:textId="063AAC7B"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$571  </w:t>
            </w:r>
          </w:p>
        </w:tc>
        <w:tc>
          <w:tcPr>
            <w:tcW w:w="908" w:type="dxa"/>
            <w:vAlign w:val="bottom"/>
          </w:tcPr>
          <w:p w14:paraId="04F2652F" w14:textId="13F7ADD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$8,742</w:t>
            </w:r>
          </w:p>
        </w:tc>
        <w:tc>
          <w:tcPr>
            <w:tcW w:w="986" w:type="dxa"/>
            <w:vAlign w:val="bottom"/>
          </w:tcPr>
          <w:p w14:paraId="6220764B" w14:textId="1FD4218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$476  </w:t>
            </w:r>
          </w:p>
        </w:tc>
        <w:tc>
          <w:tcPr>
            <w:tcW w:w="904" w:type="dxa"/>
            <w:vAlign w:val="bottom"/>
          </w:tcPr>
          <w:p w14:paraId="1266FA42" w14:textId="2817733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$8,018</w:t>
            </w:r>
          </w:p>
        </w:tc>
        <w:tc>
          <w:tcPr>
            <w:tcW w:w="990" w:type="dxa"/>
            <w:vAlign w:val="bottom"/>
          </w:tcPr>
          <w:p w14:paraId="139B75BE" w14:textId="26ABD4C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$330  </w:t>
            </w:r>
          </w:p>
        </w:tc>
      </w:tr>
    </w:tbl>
    <w:p w14:paraId="0E5CD306" w14:textId="77777777" w:rsidR="00BA461F" w:rsidRDefault="00BA461F" w:rsidP="00BA461F">
      <w:pPr>
        <w:spacing w:before="120" w:after="120"/>
        <w:ind w:left="180"/>
        <w:rPr>
          <w:rFonts w:eastAsiaTheme="minorHAnsi"/>
          <w:sz w:val="22"/>
          <w:szCs w:val="22"/>
        </w:rPr>
      </w:pPr>
    </w:p>
    <w:p w14:paraId="4CFF1C6D" w14:textId="2B088AA6" w:rsidR="004C0A40" w:rsidRDefault="004C0A40" w:rsidP="00E03FBC">
      <w:pPr>
        <w:spacing w:before="120" w:after="120"/>
      </w:pPr>
      <w:r>
        <w:t xml:space="preserve">As seen above, when including </w:t>
      </w:r>
      <w:r w:rsidR="005D1DD2">
        <w:t>the revised</w:t>
      </w:r>
      <w:r>
        <w:t xml:space="preserve"> assumptions</w:t>
      </w:r>
      <w:r w:rsidR="005D1DD2">
        <w:t xml:space="preserve"> recommended by PG&amp;E</w:t>
      </w:r>
      <w:r>
        <w:t>, the  LCC Savings for 95% AFUE furnaces increases over the original results by $</w:t>
      </w:r>
      <w:r w:rsidR="00EF1327">
        <w:t>49</w:t>
      </w:r>
      <w:r>
        <w:t xml:space="preserve"> for the U.S. and $</w:t>
      </w:r>
      <w:r w:rsidR="00EF1327">
        <w:t>72</w:t>
      </w:r>
      <w:r>
        <w:t xml:space="preserve"> for California. </w:t>
      </w:r>
      <w:r w:rsidR="00E03FBC">
        <w:t>T</w:t>
      </w:r>
      <w:r>
        <w:t xml:space="preserve">hese results will be further improved when revising inputs so that the </w:t>
      </w:r>
      <w:r w:rsidRPr="00D6451D">
        <w:t xml:space="preserve">new-owner common-vent </w:t>
      </w:r>
      <w:r w:rsidR="00E03FBC" w:rsidRPr="00D6451D">
        <w:t>installation is</w:t>
      </w:r>
      <w:r>
        <w:t xml:space="preserve"> </w:t>
      </w:r>
      <w:r w:rsidRPr="00D6451D">
        <w:t>0% and common-vente</w:t>
      </w:r>
      <w:r>
        <w:t>d new construction homes to 28%.</w:t>
      </w:r>
    </w:p>
    <w:p w14:paraId="1A184C1F" w14:textId="6F4BFCAA"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Clarify treatment of constant torque fan motor costs</w:t>
      </w:r>
      <w:r w:rsidR="003308BB" w:rsidRPr="003308BB">
        <w:rPr>
          <w:rFonts w:ascii="Times New Roman" w:hAnsi="Times New Roman" w:cs="Times New Roman"/>
          <w:b/>
        </w:rPr>
        <w:t>.</w:t>
      </w:r>
    </w:p>
    <w:p w14:paraId="312D0AEB" w14:textId="77777777" w:rsidR="00BA461F" w:rsidRPr="00B65661" w:rsidRDefault="00BA461F" w:rsidP="00844859">
      <w:pPr>
        <w:spacing w:before="120" w:after="12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17F0952E" w14:textId="77777777" w:rsidR="006D17C5" w:rsidRPr="00B65661" w:rsidRDefault="00BA461F" w:rsidP="00844859">
      <w:pPr>
        <w:spacing w:before="120" w:after="12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r w:rsidR="006D17C5">
        <w:rPr>
          <w:rFonts w:eastAsiaTheme="minorHAnsi"/>
        </w:rPr>
        <w:t xml:space="preserve"> and that no costs were assumed from a PSC motor to constant-torque BPM motor in the NOPR analysis</w:t>
      </w:r>
      <w:r w:rsidR="006D17C5" w:rsidRPr="00B65661">
        <w:rPr>
          <w:rFonts w:eastAsiaTheme="minorHAnsi"/>
        </w:rPr>
        <w:t>.</w:t>
      </w:r>
    </w:p>
    <w:p w14:paraId="6E3DADE7" w14:textId="58B8A155" w:rsidR="00BA461F" w:rsidRDefault="00BA461F" w:rsidP="00844859">
      <w:pPr>
        <w:spacing w:before="120" w:after="120"/>
        <w:rPr>
          <w:rFonts w:eastAsiaTheme="minorHAnsi"/>
        </w:rPr>
      </w:pPr>
      <w:r w:rsidRPr="00B65661">
        <w:rPr>
          <w:rFonts w:eastAsiaTheme="minorHAnsi"/>
        </w:rPr>
        <w:t xml:space="preserve">Furthermore, Table 5.8.1 suggests that incremental costs to </w:t>
      </w:r>
      <w:r w:rsidR="005D1DD2">
        <w:rPr>
          <w:rFonts w:eastAsiaTheme="minorHAnsi"/>
        </w:rPr>
        <w:t xml:space="preserve">change to </w:t>
      </w:r>
      <w:r w:rsidRPr="00B65661">
        <w:rPr>
          <w:rFonts w:eastAsiaTheme="minorHAnsi"/>
        </w:rPr>
        <w:t>constant-torque BPM motors are included in overall costs. Please confirm that the only incremental costs included in the analysis are from constant-torque to constant-airflow (e.g., for a 60 kBtuh/h NWGF, the incremental cost is $89.60 - $37.29 = $52.31).</w:t>
      </w:r>
    </w:p>
    <w:p w14:paraId="4F45674F" w14:textId="77777777"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Consider impending air quality regulations that will also increase demand for high-efficiency gas furnaces</w:t>
      </w:r>
    </w:p>
    <w:p w14:paraId="34992D39" w14:textId="1181D72C" w:rsidR="00BA461F" w:rsidRPr="00B65661" w:rsidRDefault="00BA461F" w:rsidP="008B5923">
      <w:pPr>
        <w:spacing w:before="120" w:after="120"/>
        <w:rPr>
          <w:rFonts w:eastAsiaTheme="minorHAnsi"/>
        </w:rPr>
      </w:pPr>
      <w:r w:rsidRPr="00B65661">
        <w:rPr>
          <w:rFonts w:eastAsiaTheme="minorHAnsi"/>
        </w:rPr>
        <w:t>California Air Quality Management Districts have set forth air quality action plans that mandate specific measures to reduce pollutant emissions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r w:rsidR="005D1DD2">
        <w:rPr>
          <w:rFonts w:eastAsiaTheme="minorHAnsi"/>
        </w:rPr>
        <w:t xml:space="preserve">, which represents </w:t>
      </w:r>
      <w:r w:rsidR="00DA6D65">
        <w:rPr>
          <w:rFonts w:eastAsiaTheme="minorHAnsi"/>
        </w:rPr>
        <w:t>60</w:t>
      </w:r>
      <w:r w:rsidR="005D1DD2">
        <w:rPr>
          <w:rFonts w:eastAsiaTheme="minorHAnsi"/>
        </w:rPr>
        <w:t>% of California’s population (</w:t>
      </w:r>
      <w:r w:rsidR="00DA6D65">
        <w:rPr>
          <w:rFonts w:eastAsiaTheme="minorHAnsi"/>
        </w:rPr>
        <w:t>7</w:t>
      </w:r>
      <w:r w:rsidR="005D1DD2">
        <w:rPr>
          <w:rFonts w:eastAsiaTheme="minorHAnsi"/>
        </w:rPr>
        <w:t>% of the U.S. population)</w:t>
      </w:r>
      <w:r w:rsidRPr="00B65661">
        <w:rPr>
          <w:rFonts w:eastAsiaTheme="minorHAnsi"/>
        </w:rPr>
        <w:t>. Of the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w:t>
      </w:r>
      <w:r w:rsidR="00D014A8" w:rsidRPr="00D014A8">
        <w:rPr>
          <w:rStyle w:val="FootnoteReference"/>
          <w:rFonts w:eastAsiaTheme="minorHAnsi"/>
        </w:rPr>
        <w:t xml:space="preserve"> </w:t>
      </w:r>
      <w:r w:rsidR="00D014A8">
        <w:rPr>
          <w:rStyle w:val="FootnoteReference"/>
          <w:rFonts w:eastAsiaTheme="minorHAnsi"/>
        </w:rPr>
        <w:footnoteReference w:id="6"/>
      </w:r>
      <w:r w:rsidRPr="00B65661">
        <w:rPr>
          <w:rFonts w:eastAsiaTheme="minorHAnsi"/>
        </w:rPr>
        <w:t xml:space="preserve">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296FDA10" w:rsidR="00BA461F" w:rsidRDefault="00BA461F" w:rsidP="008B5923">
      <w:pPr>
        <w:spacing w:before="120" w:after="12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w:t>
      </w:r>
      <w:r w:rsidR="00D014A8" w:rsidRPr="00D014A8">
        <w:rPr>
          <w:rStyle w:val="FootnoteReference"/>
          <w:rFonts w:eastAsiaTheme="minorHAnsi"/>
        </w:rPr>
        <w:t xml:space="preserve"> </w:t>
      </w:r>
      <w:r w:rsidR="00D014A8">
        <w:rPr>
          <w:rStyle w:val="FootnoteReference"/>
          <w:rFonts w:eastAsiaTheme="minorHAnsi"/>
        </w:rPr>
        <w:footnoteReference w:id="7"/>
      </w:r>
      <w:r w:rsidRPr="00B65661">
        <w:rPr>
          <w:rFonts w:eastAsiaTheme="minorHAnsi"/>
        </w:rPr>
        <w:t xml:space="preserve"> </w:t>
      </w:r>
      <w:r w:rsidR="00D014A8">
        <w:rPr>
          <w:rFonts w:eastAsiaTheme="minorHAnsi"/>
        </w:rPr>
        <w:t>A 2016 South Coast AQMD White Paper on Residential and Commercial Energy identifies gas-fired water and space heating as the second highest stationary emitters of NOx.</w:t>
      </w:r>
      <w:r w:rsidR="00D014A8">
        <w:rPr>
          <w:rStyle w:val="FootnoteReference"/>
          <w:rFonts w:eastAsiaTheme="minorHAnsi"/>
        </w:rPr>
        <w:footnoteReference w:id="8"/>
      </w:r>
      <w:r w:rsidRPr="00B65661">
        <w:rPr>
          <w:rFonts w:eastAsiaTheme="minorHAnsi"/>
        </w:rPr>
        <w:t xml:space="preserve"> Current air quality management plans throughout California require specific NOx </w:t>
      </w:r>
      <w:r w:rsidRPr="00B65661">
        <w:rPr>
          <w:rFonts w:eastAsiaTheme="minorHAnsi"/>
        </w:rPr>
        <w:lastRenderedPageBreak/>
        <w:t>emission targets for residential and small commercial furnaces that are less than 175,000 Btu/hr</w:t>
      </w:r>
      <w:r w:rsidR="00D014A8">
        <w:rPr>
          <w:rFonts w:eastAsiaTheme="minorHAnsi"/>
        </w:rPr>
        <w:t>, as shown in the table below</w:t>
      </w:r>
      <w:r w:rsidRPr="00B65661">
        <w:rPr>
          <w:rFonts w:eastAsiaTheme="minorHAnsi"/>
        </w:rPr>
        <w:t>. Many districts have recently reduced the target levels from 40 ng/J of heat output, which is the national standard, to 14 ng/J of heat output for furnaces of this capacity.</w:t>
      </w:r>
    </w:p>
    <w:p w14:paraId="5DEA215C" w14:textId="4BD609B9" w:rsidR="00D014A8" w:rsidRPr="00125F10" w:rsidRDefault="00125F10" w:rsidP="008B5923">
      <w:pPr>
        <w:spacing w:before="120" w:after="120"/>
        <w:rPr>
          <w:rFonts w:eastAsiaTheme="minorHAnsi"/>
          <w:b/>
        </w:rPr>
      </w:pPr>
      <w:r>
        <w:rPr>
          <w:rFonts w:eastAsiaTheme="minorHAnsi"/>
          <w:b/>
        </w:rPr>
        <w:t>Table of California Air Quality Management District NOx Rules</w:t>
      </w:r>
    </w:p>
    <w:tbl>
      <w:tblPr>
        <w:tblStyle w:val="TableGrid"/>
        <w:tblW w:w="0" w:type="auto"/>
        <w:tblInd w:w="180" w:type="dxa"/>
        <w:tblLook w:val="04A0" w:firstRow="1" w:lastRow="0" w:firstColumn="1" w:lastColumn="0" w:noHBand="0" w:noVBand="1"/>
      </w:tblPr>
      <w:tblGrid>
        <w:gridCol w:w="2808"/>
        <w:gridCol w:w="3780"/>
        <w:gridCol w:w="1170"/>
        <w:gridCol w:w="621"/>
        <w:gridCol w:w="1017"/>
      </w:tblGrid>
      <w:tr w:rsidR="00D014A8" w:rsidRPr="000E5A3C" w14:paraId="5EEE993E" w14:textId="77777777" w:rsidTr="00D014A8">
        <w:tc>
          <w:tcPr>
            <w:tcW w:w="2808" w:type="dxa"/>
          </w:tcPr>
          <w:p w14:paraId="42A1F915"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Jurisdiction</w:t>
            </w:r>
          </w:p>
        </w:tc>
        <w:tc>
          <w:tcPr>
            <w:tcW w:w="3780" w:type="dxa"/>
          </w:tcPr>
          <w:p w14:paraId="5ADD7E5B"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Description</w:t>
            </w:r>
          </w:p>
        </w:tc>
        <w:tc>
          <w:tcPr>
            <w:tcW w:w="1170" w:type="dxa"/>
          </w:tcPr>
          <w:p w14:paraId="7E456031"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Rule</w:t>
            </w:r>
          </w:p>
        </w:tc>
        <w:tc>
          <w:tcPr>
            <w:tcW w:w="621" w:type="dxa"/>
          </w:tcPr>
          <w:p w14:paraId="468830A9"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Date</w:t>
            </w:r>
          </w:p>
        </w:tc>
        <w:tc>
          <w:tcPr>
            <w:tcW w:w="1017" w:type="dxa"/>
          </w:tcPr>
          <w:p w14:paraId="71BF9CC8"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Standard</w:t>
            </w:r>
          </w:p>
        </w:tc>
      </w:tr>
      <w:tr w:rsidR="00D014A8" w:rsidRPr="000E5A3C" w14:paraId="0640863A" w14:textId="77777777" w:rsidTr="00D014A8">
        <w:tc>
          <w:tcPr>
            <w:tcW w:w="2808" w:type="dxa"/>
          </w:tcPr>
          <w:p w14:paraId="0279D1A5" w14:textId="77777777" w:rsidR="00D014A8" w:rsidRPr="000E5A3C" w:rsidRDefault="00D014A8" w:rsidP="008B5923">
            <w:pPr>
              <w:keepNext/>
              <w:rPr>
                <w:rFonts w:eastAsiaTheme="minorHAnsi"/>
                <w:b/>
                <w:sz w:val="20"/>
                <w:szCs w:val="20"/>
              </w:rPr>
            </w:pPr>
            <w:r w:rsidRPr="000E5A3C">
              <w:rPr>
                <w:rFonts w:eastAsiaTheme="minorHAnsi"/>
                <w:sz w:val="20"/>
                <w:szCs w:val="20"/>
              </w:rPr>
              <w:t>Bay Area AQMD</w:t>
            </w:r>
          </w:p>
        </w:tc>
        <w:tc>
          <w:tcPr>
            <w:tcW w:w="3780" w:type="dxa"/>
          </w:tcPr>
          <w:p w14:paraId="166C4C8F" w14:textId="77777777" w:rsidR="00D014A8" w:rsidRPr="000E5A3C" w:rsidRDefault="00D014A8" w:rsidP="008B5923">
            <w:pPr>
              <w:keepNext/>
              <w:rPr>
                <w:rFonts w:eastAsiaTheme="minorHAnsi"/>
                <w:b/>
                <w:sz w:val="20"/>
                <w:szCs w:val="20"/>
              </w:rPr>
            </w:pPr>
            <w:r w:rsidRPr="000E5A3C">
              <w:rPr>
                <w:sz w:val="20"/>
                <w:szCs w:val="20"/>
              </w:rPr>
              <w:t>Nitrogen Oxides from Fan Type Residential Central Furnaces</w:t>
            </w:r>
          </w:p>
        </w:tc>
        <w:tc>
          <w:tcPr>
            <w:tcW w:w="1170" w:type="dxa"/>
          </w:tcPr>
          <w:p w14:paraId="53C1C478" w14:textId="77777777" w:rsidR="00D014A8" w:rsidRPr="000E5A3C" w:rsidRDefault="00D014A8" w:rsidP="008B5923">
            <w:pPr>
              <w:keepNext/>
              <w:rPr>
                <w:rFonts w:eastAsiaTheme="minorHAnsi"/>
                <w:b/>
                <w:sz w:val="20"/>
                <w:szCs w:val="20"/>
              </w:rPr>
            </w:pPr>
            <w:r w:rsidRPr="000E5A3C">
              <w:rPr>
                <w:rFonts w:eastAsiaTheme="minorHAnsi"/>
                <w:sz w:val="20"/>
                <w:szCs w:val="20"/>
              </w:rPr>
              <w:t>Rule 9-4</w:t>
            </w:r>
          </w:p>
        </w:tc>
        <w:tc>
          <w:tcPr>
            <w:tcW w:w="621" w:type="dxa"/>
          </w:tcPr>
          <w:p w14:paraId="4B9B1B1E"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1983</w:t>
            </w:r>
          </w:p>
        </w:tc>
        <w:tc>
          <w:tcPr>
            <w:tcW w:w="1017" w:type="dxa"/>
          </w:tcPr>
          <w:p w14:paraId="186C1A7A"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7C0883B8" w14:textId="77777777" w:rsidTr="00D014A8">
        <w:tc>
          <w:tcPr>
            <w:tcW w:w="2808" w:type="dxa"/>
          </w:tcPr>
          <w:p w14:paraId="746A129E" w14:textId="77777777" w:rsidR="00D014A8" w:rsidRPr="000E5A3C" w:rsidRDefault="00D014A8" w:rsidP="008B5923">
            <w:pPr>
              <w:keepNext/>
              <w:rPr>
                <w:rFonts w:eastAsiaTheme="minorHAnsi"/>
                <w:b/>
                <w:sz w:val="20"/>
                <w:szCs w:val="20"/>
              </w:rPr>
            </w:pPr>
            <w:r w:rsidRPr="000E5A3C">
              <w:rPr>
                <w:rFonts w:eastAsiaTheme="minorHAnsi"/>
                <w:sz w:val="20"/>
                <w:szCs w:val="20"/>
              </w:rPr>
              <w:t>Ventura County Air Pollution Control District</w:t>
            </w:r>
          </w:p>
        </w:tc>
        <w:tc>
          <w:tcPr>
            <w:tcW w:w="3780" w:type="dxa"/>
          </w:tcPr>
          <w:p w14:paraId="24593667" w14:textId="77777777" w:rsidR="00D014A8" w:rsidRPr="000E5A3C" w:rsidRDefault="00D014A8" w:rsidP="008B5923">
            <w:pPr>
              <w:keepNext/>
              <w:rPr>
                <w:rFonts w:eastAsiaTheme="minorHAnsi"/>
                <w:b/>
                <w:sz w:val="20"/>
                <w:szCs w:val="20"/>
              </w:rPr>
            </w:pPr>
            <w:r w:rsidRPr="000E5A3C">
              <w:rPr>
                <w:sz w:val="20"/>
                <w:szCs w:val="20"/>
              </w:rPr>
              <w:t>Natural Gas-Fired, Fan-Type Central Furnaces</w:t>
            </w:r>
          </w:p>
        </w:tc>
        <w:tc>
          <w:tcPr>
            <w:tcW w:w="1170" w:type="dxa"/>
          </w:tcPr>
          <w:p w14:paraId="0D88E2C4" w14:textId="77777777" w:rsidR="00D014A8" w:rsidRPr="000E5A3C" w:rsidRDefault="00D014A8" w:rsidP="008B5923">
            <w:pPr>
              <w:keepNext/>
              <w:rPr>
                <w:rFonts w:eastAsiaTheme="minorHAnsi"/>
                <w:b/>
                <w:sz w:val="20"/>
                <w:szCs w:val="20"/>
              </w:rPr>
            </w:pPr>
            <w:r w:rsidRPr="000E5A3C">
              <w:rPr>
                <w:rFonts w:eastAsiaTheme="minorHAnsi"/>
                <w:sz w:val="20"/>
                <w:szCs w:val="20"/>
              </w:rPr>
              <w:t>Rule 74.22</w:t>
            </w:r>
          </w:p>
        </w:tc>
        <w:tc>
          <w:tcPr>
            <w:tcW w:w="621" w:type="dxa"/>
          </w:tcPr>
          <w:p w14:paraId="577028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1993</w:t>
            </w:r>
          </w:p>
        </w:tc>
        <w:tc>
          <w:tcPr>
            <w:tcW w:w="1017" w:type="dxa"/>
          </w:tcPr>
          <w:p w14:paraId="04CB084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4905AAF3" w14:textId="77777777" w:rsidTr="00D014A8">
        <w:tc>
          <w:tcPr>
            <w:tcW w:w="2808" w:type="dxa"/>
          </w:tcPr>
          <w:p w14:paraId="6DB22F70" w14:textId="77777777" w:rsidR="00D014A8" w:rsidRPr="000E5A3C" w:rsidRDefault="00D014A8" w:rsidP="008B5923">
            <w:pPr>
              <w:keepNext/>
              <w:rPr>
                <w:rFonts w:eastAsiaTheme="minorHAnsi"/>
                <w:b/>
                <w:sz w:val="20"/>
                <w:szCs w:val="20"/>
              </w:rPr>
            </w:pPr>
            <w:r w:rsidRPr="000E5A3C">
              <w:rPr>
                <w:rFonts w:eastAsiaTheme="minorHAnsi"/>
                <w:sz w:val="20"/>
                <w:szCs w:val="20"/>
              </w:rPr>
              <w:t>Yolo-Solano AQMD</w:t>
            </w:r>
          </w:p>
        </w:tc>
        <w:tc>
          <w:tcPr>
            <w:tcW w:w="3780" w:type="dxa"/>
          </w:tcPr>
          <w:p w14:paraId="67D2D6CB" w14:textId="77777777" w:rsidR="00D014A8" w:rsidRPr="000E5A3C" w:rsidRDefault="00D014A8" w:rsidP="008B5923">
            <w:pPr>
              <w:keepNext/>
              <w:rPr>
                <w:rFonts w:eastAsiaTheme="minorHAnsi"/>
                <w:b/>
                <w:sz w:val="20"/>
                <w:szCs w:val="20"/>
              </w:rPr>
            </w:pPr>
            <w:r w:rsidRPr="000E5A3C">
              <w:rPr>
                <w:sz w:val="20"/>
                <w:szCs w:val="20"/>
              </w:rPr>
              <w:t>Central Furnaces</w:t>
            </w:r>
          </w:p>
        </w:tc>
        <w:tc>
          <w:tcPr>
            <w:tcW w:w="1170" w:type="dxa"/>
          </w:tcPr>
          <w:p w14:paraId="1E87145F" w14:textId="77777777" w:rsidR="00D014A8" w:rsidRPr="000E5A3C" w:rsidRDefault="00D014A8" w:rsidP="008B5923">
            <w:pPr>
              <w:keepNext/>
              <w:rPr>
                <w:rFonts w:eastAsiaTheme="minorHAnsi"/>
                <w:b/>
                <w:sz w:val="20"/>
                <w:szCs w:val="20"/>
              </w:rPr>
            </w:pPr>
            <w:r w:rsidRPr="000E5A3C">
              <w:rPr>
                <w:rFonts w:eastAsiaTheme="minorHAnsi"/>
                <w:sz w:val="20"/>
                <w:szCs w:val="20"/>
              </w:rPr>
              <w:t>Rule 2.44</w:t>
            </w:r>
          </w:p>
        </w:tc>
        <w:tc>
          <w:tcPr>
            <w:tcW w:w="621" w:type="dxa"/>
          </w:tcPr>
          <w:p w14:paraId="3F25463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2009</w:t>
            </w:r>
          </w:p>
        </w:tc>
        <w:tc>
          <w:tcPr>
            <w:tcW w:w="1017" w:type="dxa"/>
          </w:tcPr>
          <w:p w14:paraId="1402C329"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650F6F8E" w14:textId="77777777" w:rsidTr="00D014A8">
        <w:tc>
          <w:tcPr>
            <w:tcW w:w="2808" w:type="dxa"/>
          </w:tcPr>
          <w:p w14:paraId="797C08D0" w14:textId="77777777" w:rsidR="00D014A8" w:rsidRPr="000E5A3C" w:rsidRDefault="00D014A8" w:rsidP="008B5923">
            <w:pPr>
              <w:keepNext/>
              <w:rPr>
                <w:rFonts w:eastAsiaTheme="minorHAnsi"/>
                <w:b/>
                <w:sz w:val="20"/>
                <w:szCs w:val="20"/>
              </w:rPr>
            </w:pPr>
            <w:r w:rsidRPr="000E5A3C">
              <w:rPr>
                <w:rFonts w:eastAsiaTheme="minorHAnsi"/>
                <w:sz w:val="20"/>
                <w:szCs w:val="20"/>
              </w:rPr>
              <w:t>Sacramento Metropolitan AQMD</w:t>
            </w:r>
          </w:p>
        </w:tc>
        <w:tc>
          <w:tcPr>
            <w:tcW w:w="3780" w:type="dxa"/>
          </w:tcPr>
          <w:p w14:paraId="266AF9EB" w14:textId="77777777" w:rsidR="00D014A8" w:rsidRPr="000E5A3C" w:rsidRDefault="00D014A8" w:rsidP="008B5923">
            <w:pPr>
              <w:keepNext/>
              <w:rPr>
                <w:rFonts w:eastAsiaTheme="minorHAnsi"/>
                <w:b/>
                <w:sz w:val="20"/>
                <w:szCs w:val="20"/>
              </w:rPr>
            </w:pPr>
            <w:r w:rsidRPr="000E5A3C">
              <w:rPr>
                <w:sz w:val="20"/>
                <w:szCs w:val="20"/>
              </w:rPr>
              <w:t>Water Heaters, Boilers and Process Heaters Rated Less than 1,000,000 Btu per Hour</w:t>
            </w:r>
          </w:p>
        </w:tc>
        <w:tc>
          <w:tcPr>
            <w:tcW w:w="1170" w:type="dxa"/>
          </w:tcPr>
          <w:p w14:paraId="710264A4" w14:textId="77777777" w:rsidR="00D014A8" w:rsidRPr="000E5A3C" w:rsidRDefault="00D014A8" w:rsidP="008B5923">
            <w:pPr>
              <w:keepNext/>
              <w:rPr>
                <w:rFonts w:eastAsiaTheme="minorHAnsi"/>
                <w:b/>
                <w:sz w:val="20"/>
                <w:szCs w:val="20"/>
              </w:rPr>
            </w:pPr>
            <w:r w:rsidRPr="000E5A3C">
              <w:rPr>
                <w:rFonts w:eastAsiaTheme="minorHAnsi"/>
                <w:sz w:val="20"/>
                <w:szCs w:val="20"/>
              </w:rPr>
              <w:t>Rule 414</w:t>
            </w:r>
          </w:p>
        </w:tc>
        <w:tc>
          <w:tcPr>
            <w:tcW w:w="621" w:type="dxa"/>
          </w:tcPr>
          <w:p w14:paraId="03DBD13B"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2010</w:t>
            </w:r>
          </w:p>
        </w:tc>
        <w:tc>
          <w:tcPr>
            <w:tcW w:w="1017" w:type="dxa"/>
          </w:tcPr>
          <w:p w14:paraId="22F67C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14 ng/J</w:t>
            </w:r>
          </w:p>
        </w:tc>
      </w:tr>
      <w:tr w:rsidR="00D014A8" w:rsidRPr="000E5A3C" w14:paraId="245571E8" w14:textId="77777777" w:rsidTr="00D014A8">
        <w:tc>
          <w:tcPr>
            <w:tcW w:w="2808" w:type="dxa"/>
          </w:tcPr>
          <w:p w14:paraId="1C378942" w14:textId="77777777" w:rsidR="00D014A8" w:rsidRPr="000E5A3C" w:rsidRDefault="00D014A8" w:rsidP="008B5923">
            <w:pPr>
              <w:keepNext/>
              <w:rPr>
                <w:rFonts w:eastAsiaTheme="minorHAnsi"/>
                <w:sz w:val="20"/>
                <w:szCs w:val="20"/>
              </w:rPr>
            </w:pPr>
            <w:r w:rsidRPr="000E5A3C">
              <w:rPr>
                <w:rFonts w:eastAsiaTheme="minorHAnsi"/>
                <w:sz w:val="20"/>
                <w:szCs w:val="20"/>
              </w:rPr>
              <w:t>South Coast AQMD</w:t>
            </w:r>
          </w:p>
        </w:tc>
        <w:tc>
          <w:tcPr>
            <w:tcW w:w="3780" w:type="dxa"/>
          </w:tcPr>
          <w:p w14:paraId="19996752" w14:textId="77777777" w:rsidR="00D014A8" w:rsidRPr="000E5A3C" w:rsidRDefault="00D014A8" w:rsidP="008B5923">
            <w:pPr>
              <w:keepNext/>
              <w:rPr>
                <w:rFonts w:eastAsiaTheme="minorHAnsi"/>
                <w:sz w:val="20"/>
                <w:szCs w:val="20"/>
              </w:rPr>
            </w:pPr>
            <w:r w:rsidRPr="000E5A3C">
              <w:rPr>
                <w:sz w:val="20"/>
                <w:szCs w:val="20"/>
              </w:rPr>
              <w:t>Reduction of NOx Emissions from Natural-Gas-Fired, Fan-Type Central Furnaces</w:t>
            </w:r>
          </w:p>
        </w:tc>
        <w:tc>
          <w:tcPr>
            <w:tcW w:w="1170" w:type="dxa"/>
          </w:tcPr>
          <w:p w14:paraId="2D1D6D10" w14:textId="77777777" w:rsidR="00D014A8" w:rsidRPr="000E5A3C" w:rsidRDefault="00D014A8" w:rsidP="008B5923">
            <w:pPr>
              <w:keepNext/>
              <w:rPr>
                <w:rFonts w:eastAsiaTheme="minorHAnsi"/>
                <w:sz w:val="20"/>
                <w:szCs w:val="20"/>
              </w:rPr>
            </w:pPr>
            <w:r w:rsidRPr="000E5A3C">
              <w:rPr>
                <w:rFonts w:eastAsiaTheme="minorHAnsi"/>
                <w:sz w:val="20"/>
                <w:szCs w:val="20"/>
              </w:rPr>
              <w:t>Rule 1111</w:t>
            </w:r>
          </w:p>
        </w:tc>
        <w:tc>
          <w:tcPr>
            <w:tcW w:w="621" w:type="dxa"/>
          </w:tcPr>
          <w:p w14:paraId="5CEDC219"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2014</w:t>
            </w:r>
          </w:p>
        </w:tc>
        <w:tc>
          <w:tcPr>
            <w:tcW w:w="1017" w:type="dxa"/>
          </w:tcPr>
          <w:p w14:paraId="283C1745"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r w:rsidR="00D014A8" w:rsidRPr="000E5A3C" w14:paraId="6920C699" w14:textId="77777777" w:rsidTr="00D014A8">
        <w:tc>
          <w:tcPr>
            <w:tcW w:w="2808" w:type="dxa"/>
          </w:tcPr>
          <w:p w14:paraId="7CFFA1D3" w14:textId="77777777" w:rsidR="00D014A8" w:rsidRPr="000E5A3C" w:rsidRDefault="00D014A8" w:rsidP="008B5923">
            <w:pPr>
              <w:keepNext/>
              <w:rPr>
                <w:rFonts w:eastAsiaTheme="minorHAnsi"/>
                <w:sz w:val="20"/>
                <w:szCs w:val="20"/>
              </w:rPr>
            </w:pPr>
            <w:r w:rsidRPr="000E5A3C">
              <w:rPr>
                <w:rFonts w:eastAsiaTheme="minorHAnsi"/>
                <w:sz w:val="20"/>
                <w:szCs w:val="20"/>
              </w:rPr>
              <w:t xml:space="preserve">San Joaquin Valley Air Pollution Control District </w:t>
            </w:r>
          </w:p>
        </w:tc>
        <w:tc>
          <w:tcPr>
            <w:tcW w:w="3780" w:type="dxa"/>
          </w:tcPr>
          <w:p w14:paraId="75F025F8" w14:textId="77777777" w:rsidR="00D014A8" w:rsidRPr="000E5A3C" w:rsidRDefault="00D014A8" w:rsidP="008B5923">
            <w:pPr>
              <w:keepNext/>
              <w:rPr>
                <w:rFonts w:eastAsiaTheme="minorHAnsi"/>
                <w:sz w:val="20"/>
                <w:szCs w:val="20"/>
              </w:rPr>
            </w:pPr>
            <w:r w:rsidRPr="000E5A3C">
              <w:rPr>
                <w:sz w:val="20"/>
                <w:szCs w:val="20"/>
              </w:rPr>
              <w:t>Natural Gas-Fired, Fan-Type Central Furnaces</w:t>
            </w:r>
          </w:p>
        </w:tc>
        <w:tc>
          <w:tcPr>
            <w:tcW w:w="1170" w:type="dxa"/>
          </w:tcPr>
          <w:p w14:paraId="18ED80ED" w14:textId="77777777" w:rsidR="00D014A8" w:rsidRPr="000E5A3C" w:rsidRDefault="00D014A8" w:rsidP="008B5923">
            <w:pPr>
              <w:keepNext/>
              <w:rPr>
                <w:rFonts w:eastAsiaTheme="minorHAnsi"/>
                <w:sz w:val="20"/>
                <w:szCs w:val="20"/>
              </w:rPr>
            </w:pPr>
            <w:r w:rsidRPr="000E5A3C">
              <w:rPr>
                <w:rFonts w:eastAsiaTheme="minorHAnsi"/>
                <w:sz w:val="20"/>
                <w:szCs w:val="20"/>
              </w:rPr>
              <w:t>Rule 4905</w:t>
            </w:r>
          </w:p>
        </w:tc>
        <w:tc>
          <w:tcPr>
            <w:tcW w:w="621" w:type="dxa"/>
          </w:tcPr>
          <w:p w14:paraId="6A77B1E0"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2015</w:t>
            </w:r>
          </w:p>
        </w:tc>
        <w:tc>
          <w:tcPr>
            <w:tcW w:w="1017" w:type="dxa"/>
          </w:tcPr>
          <w:p w14:paraId="0CEFDDE8"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bl>
    <w:p w14:paraId="47A93D50" w14:textId="77777777" w:rsidR="00D014A8" w:rsidRPr="00B65661" w:rsidRDefault="00D014A8" w:rsidP="008B5923">
      <w:pPr>
        <w:spacing w:before="120" w:after="120"/>
        <w:rPr>
          <w:rFonts w:eastAsiaTheme="minorHAnsi"/>
        </w:rPr>
      </w:pPr>
    </w:p>
    <w:p w14:paraId="123FAC6D" w14:textId="129C669D" w:rsidR="00BA461F" w:rsidRPr="00B65661" w:rsidRDefault="00BA461F" w:rsidP="008B5923">
      <w:pPr>
        <w:spacing w:before="120" w:after="120"/>
        <w:rPr>
          <w:rFonts w:eastAsiaTheme="minorHAnsi"/>
        </w:rPr>
      </w:pPr>
      <w:r w:rsidRPr="00B65661">
        <w:rPr>
          <w:rFonts w:eastAsiaTheme="minorHAnsi"/>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92 is 15% more efficient at producing heat output from the same amount of fuel input as a furnace with a 80 AFUE. Therefore, high efficiency, condensing furnaces can result in a 15% reduction in NOx emissions due to less fuel input required for the same heat output. </w:t>
      </w:r>
    </w:p>
    <w:p w14:paraId="3BACA8A4" w14:textId="69CE7185" w:rsidR="00A14155" w:rsidRDefault="00A14155" w:rsidP="008B5923">
      <w:pPr>
        <w:spacing w:before="120" w:after="120"/>
        <w:rPr>
          <w:rFonts w:eastAsiaTheme="minorHAnsi"/>
        </w:rPr>
      </w:pPr>
      <w:r>
        <w:rPr>
          <w:rFonts w:eastAsiaTheme="minorHAnsi"/>
        </w:rPr>
        <w:t>According to an Air Quality Specialist</w:t>
      </w:r>
      <w:r>
        <w:rPr>
          <w:rStyle w:val="FootnoteReference"/>
          <w:rFonts w:eastAsiaTheme="minorHAnsi"/>
        </w:rPr>
        <w:footnoteReference w:id="9"/>
      </w:r>
      <w:r>
        <w:rPr>
          <w:rFonts w:eastAsiaTheme="minorHAnsi"/>
        </w:rPr>
        <w:t xml:space="preserve"> at SCAQMD who led a technical study on the feasibility of reaching the 14 ng/J NOx emissions for all furnace types, although there are other factors to consider, condensing furnaces generally will be able to achieve lower NOx emissions than a standard efficiency furnace when combined with low NOx burner technology.</w:t>
      </w:r>
    </w:p>
    <w:p w14:paraId="797672BC" w14:textId="77777777" w:rsidR="00A14155" w:rsidRPr="00FC5363" w:rsidRDefault="00A14155" w:rsidP="008B5923">
      <w:pPr>
        <w:spacing w:before="120" w:after="120"/>
        <w:rPr>
          <w:rFonts w:eastAsiaTheme="minorHAnsi"/>
        </w:rPr>
      </w:pPr>
      <w:r>
        <w:rPr>
          <w:rFonts w:eastAsiaTheme="minorHAnsi"/>
        </w:rPr>
        <w:t>M</w:t>
      </w:r>
      <w:r w:rsidRPr="00FC5363">
        <w:rPr>
          <w:rFonts w:eastAsiaTheme="minorHAnsi"/>
        </w:rPr>
        <w:t>anufacturers requested that the reduced NOx emission targets go into effect for condensing furnaces prior to other furnace types because</w:t>
      </w:r>
      <w:r>
        <w:rPr>
          <w:rFonts w:eastAsiaTheme="minorHAnsi"/>
        </w:rPr>
        <w:t>, according to an Air Quality Specialist</w:t>
      </w:r>
      <w:r>
        <w:rPr>
          <w:rStyle w:val="FootnoteReference"/>
          <w:rFonts w:eastAsiaTheme="minorHAnsi"/>
        </w:rPr>
        <w:footnoteReference w:id="10"/>
      </w:r>
      <w:r>
        <w:rPr>
          <w:rFonts w:eastAsiaTheme="minorHAnsi"/>
        </w:rPr>
        <w:t xml:space="preserve"> at SCAQMD who helped develop the 14 ng/J requirement,</w:t>
      </w:r>
      <w:r w:rsidRPr="00FC5363">
        <w:rPr>
          <w:rFonts w:eastAsiaTheme="minorHAnsi"/>
        </w:rPr>
        <w:t xml:space="preserve"> it is easier to </w:t>
      </w:r>
      <w:r>
        <w:rPr>
          <w:rFonts w:eastAsiaTheme="minorHAnsi"/>
        </w:rPr>
        <w:t>meet the NOx emission limits with</w:t>
      </w:r>
      <w:r w:rsidRPr="00FC5363">
        <w:rPr>
          <w:rFonts w:eastAsiaTheme="minorHAnsi"/>
        </w:rPr>
        <w:t xml:space="preserve"> these furnace types; whereas further technology developments are required to get standard efficiency furnaces in compliance. Another </w:t>
      </w:r>
      <w:r>
        <w:rPr>
          <w:rFonts w:eastAsiaTheme="minorHAnsi"/>
        </w:rPr>
        <w:t>Air Quality Specialist</w:t>
      </w:r>
      <w:r>
        <w:rPr>
          <w:rStyle w:val="FootnoteReference"/>
          <w:rFonts w:eastAsiaTheme="minorHAnsi"/>
        </w:rPr>
        <w:footnoteReference w:id="11"/>
      </w:r>
      <w:r>
        <w:rPr>
          <w:rFonts w:eastAsiaTheme="minorHAnsi"/>
        </w:rPr>
        <w:t xml:space="preserve"> </w:t>
      </w:r>
      <w:r w:rsidRPr="00FC5363">
        <w:rPr>
          <w:rFonts w:eastAsiaTheme="minorHAnsi"/>
        </w:rPr>
        <w:t xml:space="preserve">from </w:t>
      </w:r>
      <w:r>
        <w:rPr>
          <w:rFonts w:eastAsiaTheme="minorHAnsi"/>
        </w:rPr>
        <w:t xml:space="preserve">the San Joaquin Valley Pollution Control </w:t>
      </w:r>
      <w:r w:rsidRPr="00FC5363">
        <w:rPr>
          <w:rFonts w:eastAsiaTheme="minorHAnsi"/>
        </w:rPr>
        <w:t xml:space="preserve">District stated that although the NOx reduction rule does not specify any particular type of furnace technology, high efficiency furnaces would certainly help to meet NOx emission reduction goals. </w:t>
      </w:r>
    </w:p>
    <w:p w14:paraId="1CBDD7AB" w14:textId="61495824" w:rsidR="00A14155" w:rsidRDefault="00A14155" w:rsidP="008B5923">
      <w:pPr>
        <w:spacing w:before="120" w:after="120"/>
        <w:rPr>
          <w:rFonts w:eastAsiaTheme="minorHAnsi"/>
        </w:rPr>
      </w:pPr>
      <w:r w:rsidRPr="00FC5363">
        <w:rPr>
          <w:rFonts w:eastAsiaTheme="minorHAnsi"/>
        </w:rPr>
        <w:t>Moving forward, Air Quality Management District</w:t>
      </w:r>
      <w:r w:rsidR="00125F10">
        <w:rPr>
          <w:rFonts w:eastAsiaTheme="minorHAnsi"/>
        </w:rPr>
        <w:t>s</w:t>
      </w:r>
      <w:r w:rsidRPr="00FC5363">
        <w:rPr>
          <w:rFonts w:eastAsiaTheme="minorHAnsi"/>
        </w:rPr>
        <w:t xml:space="preserve"> will likely need to implement further measures to reach pollutant emission goals by their target dates. Districts have already implemented the majority of low hanging fruit measures, and, according to </w:t>
      </w:r>
      <w:r>
        <w:rPr>
          <w:rFonts w:eastAsiaTheme="minorHAnsi"/>
        </w:rPr>
        <w:t>air quality management</w:t>
      </w:r>
      <w:r w:rsidRPr="00FC5363">
        <w:rPr>
          <w:rFonts w:eastAsiaTheme="minorHAnsi"/>
        </w:rPr>
        <w:t xml:space="preserve"> plans, will begin to look at energy conservation measures as opportunities to further </w:t>
      </w:r>
      <w:r w:rsidRPr="00FC5363">
        <w:rPr>
          <w:rFonts w:eastAsiaTheme="minorHAnsi"/>
        </w:rPr>
        <w:lastRenderedPageBreak/>
        <w:t xml:space="preserve">reduce emissions from combustion equipment. </w:t>
      </w:r>
      <w:r>
        <w:rPr>
          <w:rFonts w:eastAsiaTheme="minorHAnsi"/>
        </w:rPr>
        <w:t xml:space="preserve">The 2016 white paper from SCAQMD specifically notes that, in regards to residential and commercial gas-fired water and space heaters, the district should look at energy efficiency as an effective means to further reduce NOx emissions. The white paper suggests offering financial incentives to encourage installation of equipment beyond regulatory minimum efficiencies to supplement utility incentives. </w:t>
      </w:r>
      <w:r w:rsidR="00BA461F" w:rsidRPr="00B65661">
        <w:rPr>
          <w:rFonts w:eastAsiaTheme="minorHAnsi"/>
        </w:rPr>
        <w:t xml:space="preserve"> </w:t>
      </w:r>
    </w:p>
    <w:p w14:paraId="6DF1BB50" w14:textId="3A0788F9" w:rsidR="00BA461F" w:rsidRPr="00B65661" w:rsidRDefault="00BA461F" w:rsidP="008B5923">
      <w:pPr>
        <w:spacing w:before="120" w:after="120"/>
        <w:rPr>
          <w:rFonts w:eastAsiaTheme="minorHAnsi"/>
        </w:rPr>
      </w:pPr>
      <w:r w:rsidRPr="00B65661">
        <w:rPr>
          <w:rFonts w:eastAsiaTheme="minorHAnsi"/>
        </w:rPr>
        <w:t>It is not clear at this time what measures the Air Quality Management Districts will push forward in their air quality action plans; however, it is clear that condensing furnaces are a readily available technology that can reduce NOx emissions and meet federal standards.</w:t>
      </w:r>
      <w:r w:rsidR="00FF4CAE">
        <w:rPr>
          <w:rFonts w:eastAsiaTheme="minorHAnsi"/>
        </w:rPr>
        <w:t xml:space="preserve">  DOE should account for this co-benefit of meeting EPA Standards through a reduction in compliance costs under the NOPR analysis.</w:t>
      </w:r>
    </w:p>
    <w:p w14:paraId="68B69AA6" w14:textId="484167DE" w:rsidR="00857AD4" w:rsidRPr="003308BB" w:rsidRDefault="00857AD4" w:rsidP="003308BB">
      <w:pPr>
        <w:pStyle w:val="Caption"/>
        <w:rPr>
          <w:rFonts w:ascii="Times New Roman" w:hAnsi="Times New Roman" w:cs="Times New Roman"/>
          <w:b/>
        </w:rPr>
      </w:pPr>
      <w:r w:rsidRPr="003308BB">
        <w:rPr>
          <w:rFonts w:ascii="Times New Roman" w:hAnsi="Times New Roman" w:cs="Times New Roman"/>
          <w:b/>
        </w:rPr>
        <w:t xml:space="preserve">Highly efficient furnaces benefit </w:t>
      </w:r>
      <w:r w:rsidR="00120545" w:rsidRPr="003308BB">
        <w:rPr>
          <w:rFonts w:ascii="Times New Roman" w:hAnsi="Times New Roman" w:cs="Times New Roman"/>
          <w:b/>
        </w:rPr>
        <w:t xml:space="preserve">renters and </w:t>
      </w:r>
      <w:r w:rsidRPr="003308BB">
        <w:rPr>
          <w:rFonts w:ascii="Times New Roman" w:hAnsi="Times New Roman" w:cs="Times New Roman"/>
          <w:b/>
        </w:rPr>
        <w:t>low-income consumers.</w:t>
      </w:r>
    </w:p>
    <w:p w14:paraId="2ECE7749" w14:textId="5838450B" w:rsidR="00474D12" w:rsidRDefault="004530EC" w:rsidP="008B5923">
      <w:pPr>
        <w:spacing w:before="120" w:after="12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r w:rsidR="00FF4CAE">
        <w:t xml:space="preserve">for </w:t>
      </w:r>
      <w:r w:rsidR="00EE0B91">
        <w:t xml:space="preserve">household incomes </w:t>
      </w:r>
      <w:r w:rsidR="00FF4CAE">
        <w:t>at or below</w:t>
      </w:r>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12"/>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B5923">
      <w:pPr>
        <w:pStyle w:val="Caption"/>
        <w:rPr>
          <w:i w:val="0"/>
        </w:rPr>
      </w:pPr>
    </w:p>
    <w:p w14:paraId="1BA2EFE9" w14:textId="7437D326" w:rsidR="00FB59CB" w:rsidRDefault="00561E2F" w:rsidP="008B5923">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B5923">
      <w:pPr>
        <w:pStyle w:val="Caption"/>
        <w:rPr>
          <w:i w:val="0"/>
        </w:rPr>
      </w:pPr>
    </w:p>
    <w:p w14:paraId="35A5E88B" w14:textId="5714446E" w:rsidR="00BE78A3" w:rsidRPr="00BE78A3" w:rsidRDefault="00EE0B91" w:rsidP="008B5923">
      <w:pPr>
        <w:spacing w:before="120" w:after="120"/>
        <w:rPr>
          <w:color w:val="424858"/>
          <w:sz w:val="20"/>
          <w:szCs w:val="20"/>
        </w:rPr>
      </w:pPr>
      <w:r>
        <w:t>Nationally t</w:t>
      </w:r>
      <w:r w:rsidR="00BE78A3">
        <w:t>he trend is for more rentals as noted in an article by Diana Orlick of CBNC.</w:t>
      </w:r>
      <w:r w:rsidR="00BE78A3">
        <w:rPr>
          <w:rStyle w:val="FootnoteReference"/>
        </w:rPr>
        <w:footnoteReference w:id="13"/>
      </w:r>
      <w:r w:rsidR="00BE78A3">
        <w:t xml:space="preserve"> </w:t>
      </w:r>
    </w:p>
    <w:p w14:paraId="55679BA4" w14:textId="77777777" w:rsidR="00BE78A3" w:rsidRPr="00BE78A3" w:rsidRDefault="00BE78A3" w:rsidP="008B5923">
      <w:pPr>
        <w:shd w:val="clear" w:color="auto" w:fill="FFFFFF"/>
        <w:spacing w:after="270" w:line="160" w:lineRule="atLeast"/>
        <w:rPr>
          <w:rFonts w:ascii="Gotham Narrow SSm 4r" w:hAnsi="Gotham Narrow SSm 4r"/>
          <w:color w:val="424858"/>
          <w:sz w:val="20"/>
        </w:rPr>
      </w:pPr>
      <w:r w:rsidRPr="00BE78A3">
        <w:rPr>
          <w:rFonts w:ascii="Gotham Narrow SSm 4r" w:hAnsi="Gotham Narrow SSm 4r"/>
          <w:color w:val="424858"/>
          <w:sz w:val="20"/>
        </w:rPr>
        <w:t>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w:t>
      </w:r>
      <w:bookmarkStart w:id="6" w:name="_GoBack"/>
      <w:bookmarkEnd w:id="6"/>
      <w:r w:rsidRPr="00BE78A3">
        <w:rPr>
          <w:rFonts w:ascii="Gotham Narrow SSm 4r" w:hAnsi="Gotham Narrow SSm 4r"/>
          <w:color w:val="424858"/>
          <w:sz w:val="20"/>
        </w:rPr>
        <w:t xml:space="preserve">ents. </w:t>
      </w:r>
    </w:p>
    <w:p w14:paraId="02CAB96D" w14:textId="1D8A45C2" w:rsidR="00BE78A3" w:rsidRDefault="00BE78A3" w:rsidP="008B5923">
      <w:pPr>
        <w:shd w:val="clear" w:color="auto" w:fill="FFFFFF"/>
        <w:spacing w:after="270" w:line="160" w:lineRule="atLeast"/>
        <w:rPr>
          <w:rFonts w:ascii="Gotham Narrow SSm 4r" w:hAnsi="Gotham Narrow SSm 4r"/>
          <w:color w:val="424858"/>
        </w:rPr>
      </w:pPr>
      <w:r w:rsidRPr="00BE78A3">
        <w:rPr>
          <w:rFonts w:ascii="Gotham Narrow SSm 4r" w:hAnsi="Gotham Narrow SSm 4r"/>
          <w:color w:val="424858"/>
          <w:sz w:val="20"/>
        </w:rPr>
        <w:lastRenderedPageBreak/>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75123AF2" w:rsidR="005B21F0" w:rsidRDefault="00BE78A3" w:rsidP="008B5923">
      <w:pPr>
        <w:spacing w:before="120" w:after="12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r w:rsidR="00FF4CAE">
        <w:t xml:space="preserve">in </w:t>
      </w:r>
      <w:r w:rsidR="005B21F0">
        <w:t>a recent California report:</w:t>
      </w:r>
    </w:p>
    <w:p w14:paraId="7DBAAC45" w14:textId="076A009F" w:rsidR="00F26326" w:rsidRDefault="005B21F0" w:rsidP="008B5923">
      <w:pPr>
        <w:autoSpaceDE w:val="0"/>
        <w:autoSpaceDN w:val="0"/>
        <w:adjustRightInd w:val="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14"/>
      </w:r>
      <w:r>
        <w:rPr>
          <w:i/>
        </w:rPr>
        <w:t xml:space="preserve"> </w:t>
      </w:r>
    </w:p>
    <w:p w14:paraId="429D5F1D" w14:textId="01BD8DFE" w:rsidR="00BE78A3" w:rsidRDefault="004620EB" w:rsidP="008B5923">
      <w:pPr>
        <w:spacing w:before="120" w:after="12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r w:rsidR="00FF4CAE">
        <w:t xml:space="preserve">effectively </w:t>
      </w:r>
      <w:r>
        <w:t xml:space="preserve">addressed </w:t>
      </w:r>
      <w:r w:rsidR="00FF4CAE">
        <w:t xml:space="preserve">through </w:t>
      </w:r>
      <w:r>
        <w:t xml:space="preserve">minimum appliance efficiency standards.   </w:t>
      </w:r>
    </w:p>
    <w:p w14:paraId="103A9A93" w14:textId="5FC7DDF8" w:rsidR="00120545" w:rsidRDefault="00474D12" w:rsidP="008B5923">
      <w:pPr>
        <w:spacing w:before="120" w:after="12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353D940A" w:rsidR="00CA2CBB" w:rsidRDefault="004530EC" w:rsidP="008B5923">
      <w:pPr>
        <w:spacing w:before="120" w:after="12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1EED4D49" w14:textId="0BDC50C7" w:rsidR="007A7F6C" w:rsidRPr="002B673F" w:rsidRDefault="007A7F6C" w:rsidP="002B673F">
      <w:pPr>
        <w:rPr>
          <w:b/>
          <w:szCs w:val="22"/>
        </w:rPr>
      </w:pPr>
      <w:r w:rsidRPr="002B673F">
        <w:rPr>
          <w:b/>
        </w:rPr>
        <w:t>Use region-specific source energy multipliers and accurately represent renewable generation</w:t>
      </w:r>
    </w:p>
    <w:p w14:paraId="10BA9D86" w14:textId="049EEB95" w:rsidR="007A7F6C" w:rsidRDefault="007A7F6C" w:rsidP="00125F10">
      <w:pPr>
        <w:spacing w:before="120" w:after="120"/>
      </w:pPr>
      <w:r>
        <w:t>The NOPR TSD references the Energy Information Administration’s (EIA) Annual Energy Outlook (AEO) 2014</w:t>
      </w:r>
      <w:r>
        <w:rPr>
          <w:rStyle w:val="FootnoteReference"/>
        </w:rPr>
        <w:footnoteReference w:id="15"/>
      </w:r>
      <w:r>
        <w:t xml:space="preserve"> for the assumption of primary/site conversion factors for electricity, calculated as the heat input (Btu/hr)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125F10">
      <w:pPr>
        <w:spacing w:before="120" w:after="120"/>
      </w:pPr>
      <w:r>
        <w:t xml:space="preserve">Table A17 in AEO 2014 states that </w:t>
      </w:r>
      <w:r>
        <w:rPr>
          <w:i/>
        </w:rPr>
        <w:t>"Consumption at hydroelectric, geothermal, solar, and wind facilities is determined by using the fossil fuel equivalent of 9,716 Btu per kilowatthour</w:t>
      </w:r>
      <w:r>
        <w:t>.” A fossil fuel equivalent is an inaccurate representation of the heat rate for renewable energy sources, considering that renewable energy input rate can be treated as ‘zero’ for all practical purposes.</w:t>
      </w:r>
    </w:p>
    <w:p w14:paraId="22F5BFD8" w14:textId="3BEE3386" w:rsidR="007A7F6C" w:rsidRDefault="007A7F6C" w:rsidP="00125F10">
      <w:pPr>
        <w:spacing w:before="120" w:after="12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6"/>
      </w:r>
      <w:r>
        <w:t xml:space="preserve"> which includes natural gas, solar, geothermal nuclear, coal, biomass, hydroelectric, </w:t>
      </w:r>
      <w:r>
        <w:lastRenderedPageBreak/>
        <w:t xml:space="preserve">and wind plants, is approximately 6,700 Btu/kWh. This is 30% less than the value used in the NOPR TSD. The largest utilities in California are currently serving 23% renewable power, which will increase to 33% in 2020 as </w:t>
      </w:r>
      <w:r w:rsidR="00FF4CAE">
        <w:t xml:space="preserve">required by </w:t>
      </w:r>
      <w:r w:rsidRPr="004E4C17">
        <w:t>California’s Renewables Portfolio Standard (RPS)</w:t>
      </w:r>
      <w:r>
        <w:t>.</w:t>
      </w:r>
      <w:r>
        <w:rPr>
          <w:rStyle w:val="FootnoteReference"/>
        </w:rPr>
        <w:footnoteReference w:id="17"/>
      </w:r>
      <w:r>
        <w:t xml:space="preserve"> Many other states have similar RPS requirements. Increases in renewable energy will drive the heat rate further down. Using region specific heat rates that accurately capture the benefits of renewable sources and </w:t>
      </w:r>
      <w:r w:rsidR="00FF4CAE">
        <w:t xml:space="preserve">coming </w:t>
      </w:r>
      <w:r>
        <w:t xml:space="preserve">increases </w:t>
      </w:r>
      <w:r w:rsidR="00FF4CAE">
        <w:t xml:space="preserve">in </w:t>
      </w:r>
      <w:r>
        <w:t>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Pr="003308BB" w:rsidRDefault="007A7F6C" w:rsidP="007A7F6C">
      <w:pPr>
        <w:rPr>
          <w:b/>
          <w:i/>
        </w:rPr>
      </w:pPr>
      <w:r w:rsidRPr="003308BB">
        <w:rPr>
          <w:b/>
          <w:i/>
        </w:rPr>
        <w:t>Conclusion</w:t>
      </w:r>
    </w:p>
    <w:p w14:paraId="510E0323" w14:textId="43F7520A" w:rsidR="00077C31" w:rsidRDefault="00F26326" w:rsidP="00077C31">
      <w:r>
        <w:t xml:space="preserve"> </w:t>
      </w:r>
      <w:r w:rsidR="006D17C5">
        <w:t xml:space="preserve">PG&amp;E supports DOE adopting a national 92 AFUE at a minimum and consider the option of moving to 95 AFUE based on a revised analysis incorporating the comments outlined in this letter.  </w:t>
      </w:r>
    </w:p>
    <w:p w14:paraId="0213135E" w14:textId="77777777" w:rsidR="00B4225D" w:rsidRDefault="00B4225D" w:rsidP="00077C31">
      <w:pPr>
        <w:rPr>
          <w:szCs w:val="22"/>
        </w:rPr>
      </w:pP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1A970305" w14:textId="1E073960" w:rsidR="00B440F2" w:rsidRPr="00695122" w:rsidRDefault="001F575D" w:rsidP="00B440F2">
            <w:pPr>
              <w:rPr>
                <w:sz w:val="22"/>
                <w:szCs w:val="22"/>
              </w:rPr>
            </w:pPr>
            <w:r w:rsidRPr="00695122">
              <w:rPr>
                <w:sz w:val="22"/>
                <w:szCs w:val="22"/>
              </w:rPr>
              <w:t>Pacific Gas and Electric Company</w:t>
            </w: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CA2BD6">
      <w:pPr>
        <w:rPr>
          <w:sz w:val="22"/>
          <w:szCs w:val="22"/>
        </w:rPr>
      </w:pPr>
    </w:p>
    <w:sectPr w:rsidR="00640C10" w:rsidRPr="00640C10" w:rsidSect="004E76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liott, Ed" w:date="2015-07-09T09:14:00Z" w:initials="EsE">
    <w:p w14:paraId="41689D16" w14:textId="457D02B1" w:rsidR="00345BCC" w:rsidRDefault="00345BCC">
      <w:pPr>
        <w:pStyle w:val="CommentText"/>
      </w:pPr>
      <w:r>
        <w:rPr>
          <w:rStyle w:val="CommentReference"/>
        </w:rPr>
        <w:annotationRef/>
      </w:r>
      <w:r>
        <w:t>“…water heaters”??</w:t>
      </w:r>
    </w:p>
  </w:comment>
  <w:comment w:id="1" w:author="Elliott, Ed" w:date="2015-07-09T09:33:00Z" w:initials="EsE">
    <w:p w14:paraId="4608D980" w14:textId="4A553337" w:rsidR="00A973A5" w:rsidRDefault="00A973A5">
      <w:pPr>
        <w:pStyle w:val="CommentText"/>
      </w:pPr>
      <w:r>
        <w:rPr>
          <w:rStyle w:val="CommentReference"/>
        </w:rPr>
        <w:annotationRef/>
      </w:r>
      <w:r>
        <w:t>“..furnace”</w:t>
      </w:r>
    </w:p>
  </w:comment>
  <w:comment w:id="2" w:author="Elliott, Ed" w:date="2015-07-09T09:44:00Z" w:initials="EsE">
    <w:p w14:paraId="031DE671" w14:textId="71F3A2CA" w:rsidR="002F0031" w:rsidRDefault="002F0031">
      <w:pPr>
        <w:pStyle w:val="CommentText"/>
      </w:pPr>
      <w:r>
        <w:rPr>
          <w:rStyle w:val="CommentReference"/>
        </w:rPr>
        <w:annotationRef/>
      </w:r>
      <w:r>
        <w:t xml:space="preserve">Marshall: It’s unclear if you mean a new-construction  HOME or an existing home with  a open gas heater or electric heater, but with a new OWNER. Maybe be a little clearer on the description. </w:t>
      </w:r>
    </w:p>
  </w:comment>
  <w:comment w:id="3" w:author="Elliott, Ed" w:date="2015-07-09T09:54:00Z" w:initials="EsE">
    <w:p w14:paraId="2AB9188B" w14:textId="38325018" w:rsidR="007C3041" w:rsidRDefault="007C3041">
      <w:pPr>
        <w:pStyle w:val="CommentText"/>
      </w:pPr>
      <w:r>
        <w:rPr>
          <w:rStyle w:val="CommentReference"/>
        </w:rPr>
        <w:annotationRef/>
      </w:r>
      <w:r>
        <w:t>Marshall: This is kind of redundant. I think you dan leave it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0B5E6" w15:done="0"/>
  <w15:commentEx w15:paraId="7205A8DA" w15:done="0"/>
  <w15:commentEx w15:paraId="178F2A56" w15:done="0"/>
  <w15:commentEx w15:paraId="05B020BA" w15:done="0"/>
  <w15:commentEx w15:paraId="13F70261" w15:done="0"/>
  <w15:commentEx w15:paraId="59ED2F2F" w15:done="0"/>
  <w15:commentEx w15:paraId="58D78EB6" w15:done="0"/>
  <w15:commentEx w15:paraId="07A48B1C" w15:paraIdParent="58D78EB6" w15:done="0"/>
  <w15:commentEx w15:paraId="4D00CDB4" w15:done="0"/>
  <w15:commentEx w15:paraId="1D068CDE" w15:done="0"/>
  <w15:commentEx w15:paraId="22187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9D6A" w14:textId="77777777" w:rsidR="0020652A" w:rsidRDefault="0020652A">
      <w:r>
        <w:separator/>
      </w:r>
    </w:p>
  </w:endnote>
  <w:endnote w:type="continuationSeparator" w:id="0">
    <w:p w14:paraId="0F67BB05" w14:textId="77777777" w:rsidR="0020652A" w:rsidRDefault="0020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447599" w:rsidRDefault="0044759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447599" w:rsidRDefault="00447599"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447599" w:rsidRDefault="0044759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0E4">
      <w:rPr>
        <w:rStyle w:val="PageNumber"/>
        <w:noProof/>
      </w:rPr>
      <w:t>11</w:t>
    </w:r>
    <w:r>
      <w:rPr>
        <w:rStyle w:val="PageNumber"/>
      </w:rPr>
      <w:fldChar w:fldCharType="end"/>
    </w:r>
  </w:p>
  <w:p w14:paraId="0A4D7083" w14:textId="77777777" w:rsidR="00447599" w:rsidRDefault="00447599"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447599" w:rsidRDefault="00447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76A8" w14:textId="77777777" w:rsidR="0020652A" w:rsidRDefault="0020652A">
      <w:r>
        <w:separator/>
      </w:r>
    </w:p>
  </w:footnote>
  <w:footnote w:type="continuationSeparator" w:id="0">
    <w:p w14:paraId="088C5B59" w14:textId="77777777" w:rsidR="0020652A" w:rsidRDefault="0020652A">
      <w:r>
        <w:continuationSeparator/>
      </w:r>
    </w:p>
  </w:footnote>
  <w:footnote w:id="1">
    <w:p w14:paraId="6C8B7158" w14:textId="09964FE0" w:rsidR="00447599" w:rsidRDefault="00447599">
      <w:pPr>
        <w:pStyle w:val="FootnoteText"/>
      </w:pPr>
      <w:r>
        <w:rPr>
          <w:rStyle w:val="FootnoteReference"/>
        </w:rPr>
        <w:footnoteRef/>
      </w:r>
      <w:r>
        <w:t xml:space="preserve"> </w:t>
      </w:r>
      <w:r w:rsidRPr="004D5A48">
        <w:t>http://www.cpuc.ca.gov/PUC/energy/Energy+Efficiency/eesp/</w:t>
      </w:r>
    </w:p>
  </w:footnote>
  <w:footnote w:id="2">
    <w:p w14:paraId="4B067582" w14:textId="2740E5CB" w:rsidR="00447599" w:rsidRDefault="00447599">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447599" w:rsidRDefault="00447599"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447599" w:rsidRDefault="00447599"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447599" w:rsidRDefault="00447599"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7ABC1A9E" w14:textId="770DF7AC" w:rsidR="00447599" w:rsidRDefault="00447599" w:rsidP="00D014A8">
      <w:pPr>
        <w:pStyle w:val="FootnoteText"/>
      </w:pPr>
      <w:r>
        <w:rPr>
          <w:rStyle w:val="FootnoteReference"/>
        </w:rPr>
        <w:footnoteRef/>
      </w:r>
      <w:r>
        <w:t xml:space="preserve"> EPA. (2015). “Overview of Greenhouse Gases: Nitrous Oxide Emissions”. Available at: h</w:t>
      </w:r>
      <w:r w:rsidRPr="00A87C81">
        <w:t>ttp://epa.gov/climatechange/ghgemissions/gases/n2o.html</w:t>
      </w:r>
    </w:p>
  </w:footnote>
  <w:footnote w:id="7">
    <w:p w14:paraId="3F5847FA" w14:textId="77777777" w:rsidR="00447599" w:rsidRDefault="00447599" w:rsidP="00D014A8">
      <w:pPr>
        <w:pStyle w:val="FootnoteText"/>
      </w:pPr>
      <w:r>
        <w:rPr>
          <w:rStyle w:val="FootnoteReference"/>
        </w:rPr>
        <w:footnoteRef/>
      </w:r>
      <w:r>
        <w:t xml:space="preserve"> SCAQMD. (2013). Final 2012 Air Quality Management Plan.</w:t>
      </w:r>
    </w:p>
  </w:footnote>
  <w:footnote w:id="8">
    <w:p w14:paraId="554D5257" w14:textId="77777777" w:rsidR="00447599" w:rsidRDefault="00447599" w:rsidP="00D014A8">
      <w:pPr>
        <w:pStyle w:val="FootnoteText"/>
      </w:pPr>
      <w:r>
        <w:rPr>
          <w:rStyle w:val="FootnoteReference"/>
        </w:rPr>
        <w:footnoteRef/>
      </w:r>
      <w:r>
        <w:t xml:space="preserve"> Katzenstein, A. (2015). South Coast AQMD Residential and Commercial Energy White Paper – Draft. </w:t>
      </w:r>
    </w:p>
  </w:footnote>
  <w:footnote w:id="9">
    <w:p w14:paraId="2FE5E245" w14:textId="77777777" w:rsidR="00447599" w:rsidRDefault="00447599" w:rsidP="00A14155">
      <w:pPr>
        <w:pStyle w:val="FootnoteText"/>
      </w:pPr>
      <w:r>
        <w:rPr>
          <w:rStyle w:val="FootnoteReference"/>
        </w:rPr>
        <w:footnoteRef/>
      </w:r>
      <w:r>
        <w:t xml:space="preserve"> Personal Communication. Brian Choe, SCAQMD, June 30, 2015</w:t>
      </w:r>
    </w:p>
  </w:footnote>
  <w:footnote w:id="10">
    <w:p w14:paraId="501C9FB7" w14:textId="77777777" w:rsidR="00447599" w:rsidRDefault="00447599" w:rsidP="00A14155">
      <w:pPr>
        <w:pStyle w:val="FootnoteText"/>
      </w:pPr>
      <w:r>
        <w:rPr>
          <w:rStyle w:val="FootnoteReference"/>
        </w:rPr>
        <w:footnoteRef/>
      </w:r>
      <w:r>
        <w:t xml:space="preserve"> Personal Communication. Wayne Barcikowski, June 26, 2015.</w:t>
      </w:r>
    </w:p>
  </w:footnote>
  <w:footnote w:id="11">
    <w:p w14:paraId="75280E69" w14:textId="77777777" w:rsidR="00447599" w:rsidRDefault="00447599" w:rsidP="00A14155">
      <w:pPr>
        <w:pStyle w:val="FootnoteText"/>
      </w:pPr>
      <w:r>
        <w:rPr>
          <w:rStyle w:val="FootnoteReference"/>
        </w:rPr>
        <w:footnoteRef/>
      </w:r>
      <w:r>
        <w:t xml:space="preserve"> Personal Communication. Jesse Madsen, SJVAPCD, June 29, 2015</w:t>
      </w:r>
    </w:p>
  </w:footnote>
  <w:footnote w:id="12">
    <w:p w14:paraId="403537CE" w14:textId="77777777" w:rsidR="00447599" w:rsidRDefault="00447599"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447599" w:rsidRDefault="00447599">
      <w:pPr>
        <w:pStyle w:val="FootnoteText"/>
      </w:pPr>
    </w:p>
  </w:footnote>
  <w:footnote w:id="13">
    <w:p w14:paraId="2024A579" w14:textId="62A6369E" w:rsidR="00447599" w:rsidRDefault="00447599">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14">
    <w:p w14:paraId="4EEB5363" w14:textId="59CC2310" w:rsidR="00447599" w:rsidRDefault="00447599">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447599" w:rsidRDefault="00447599">
      <w:pPr>
        <w:pStyle w:val="FootnoteText"/>
      </w:pPr>
    </w:p>
  </w:footnote>
  <w:footnote w:id="15">
    <w:p w14:paraId="242DB270" w14:textId="77777777" w:rsidR="00447599" w:rsidRDefault="00447599"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6">
    <w:p w14:paraId="082325B8" w14:textId="77777777" w:rsidR="00447599" w:rsidRDefault="00447599"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7">
    <w:p w14:paraId="476AABB5" w14:textId="77777777" w:rsidR="00447599" w:rsidRDefault="00447599"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447599" w:rsidRDefault="00447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4096E6E1" w:rsidR="00447599" w:rsidRDefault="00447599" w:rsidP="00640C10">
    <w:pPr>
      <w:pStyle w:val="Header"/>
      <w:jc w:val="center"/>
    </w:pPr>
    <w:r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447599" w:rsidRDefault="00447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C736DA6C"/>
    <w:lvl w:ilvl="0" w:tplc="8ACE7E7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25F10"/>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0652A"/>
    <w:rsid w:val="0021061E"/>
    <w:rsid w:val="00221402"/>
    <w:rsid w:val="00230E7F"/>
    <w:rsid w:val="002343CC"/>
    <w:rsid w:val="00242654"/>
    <w:rsid w:val="00245C0E"/>
    <w:rsid w:val="0024683E"/>
    <w:rsid w:val="00252764"/>
    <w:rsid w:val="002554D9"/>
    <w:rsid w:val="00266DDC"/>
    <w:rsid w:val="00270F95"/>
    <w:rsid w:val="002710AA"/>
    <w:rsid w:val="00284C52"/>
    <w:rsid w:val="002907AC"/>
    <w:rsid w:val="002A1345"/>
    <w:rsid w:val="002A3493"/>
    <w:rsid w:val="002B5A8E"/>
    <w:rsid w:val="002B673F"/>
    <w:rsid w:val="002E75AD"/>
    <w:rsid w:val="002F0031"/>
    <w:rsid w:val="002F3891"/>
    <w:rsid w:val="002F424C"/>
    <w:rsid w:val="002F7030"/>
    <w:rsid w:val="00310446"/>
    <w:rsid w:val="00313445"/>
    <w:rsid w:val="00322122"/>
    <w:rsid w:val="00322C81"/>
    <w:rsid w:val="003240E4"/>
    <w:rsid w:val="00324FDD"/>
    <w:rsid w:val="003308BB"/>
    <w:rsid w:val="00333F77"/>
    <w:rsid w:val="0033641F"/>
    <w:rsid w:val="00345BCC"/>
    <w:rsid w:val="003577C4"/>
    <w:rsid w:val="0036465D"/>
    <w:rsid w:val="00366EF3"/>
    <w:rsid w:val="0037155A"/>
    <w:rsid w:val="00380F2A"/>
    <w:rsid w:val="00394BFB"/>
    <w:rsid w:val="00396FDD"/>
    <w:rsid w:val="00397DB3"/>
    <w:rsid w:val="003A0BD3"/>
    <w:rsid w:val="003A13F1"/>
    <w:rsid w:val="003A7A55"/>
    <w:rsid w:val="003B78FB"/>
    <w:rsid w:val="003E1E36"/>
    <w:rsid w:val="003F7E1E"/>
    <w:rsid w:val="00404426"/>
    <w:rsid w:val="004116AA"/>
    <w:rsid w:val="00416E4C"/>
    <w:rsid w:val="00420D8A"/>
    <w:rsid w:val="00435FD0"/>
    <w:rsid w:val="00447599"/>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3C69"/>
    <w:rsid w:val="00585729"/>
    <w:rsid w:val="00587FD9"/>
    <w:rsid w:val="00594FCA"/>
    <w:rsid w:val="005B21F0"/>
    <w:rsid w:val="005D1DD2"/>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854FD"/>
    <w:rsid w:val="00691B4E"/>
    <w:rsid w:val="00695122"/>
    <w:rsid w:val="006A27DA"/>
    <w:rsid w:val="006A3747"/>
    <w:rsid w:val="006A4CBB"/>
    <w:rsid w:val="006B456A"/>
    <w:rsid w:val="006B6740"/>
    <w:rsid w:val="006B7A8E"/>
    <w:rsid w:val="006C1476"/>
    <w:rsid w:val="006C29BC"/>
    <w:rsid w:val="006C5C8E"/>
    <w:rsid w:val="006D17C5"/>
    <w:rsid w:val="006D71D3"/>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C3041"/>
    <w:rsid w:val="007D445E"/>
    <w:rsid w:val="00800B9A"/>
    <w:rsid w:val="00800BAE"/>
    <w:rsid w:val="00804B6C"/>
    <w:rsid w:val="0083366E"/>
    <w:rsid w:val="00835E84"/>
    <w:rsid w:val="0083758F"/>
    <w:rsid w:val="00837658"/>
    <w:rsid w:val="00844859"/>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B5923"/>
    <w:rsid w:val="008C04D8"/>
    <w:rsid w:val="008C1C4C"/>
    <w:rsid w:val="008D0EAB"/>
    <w:rsid w:val="008E27FB"/>
    <w:rsid w:val="008F221D"/>
    <w:rsid w:val="00901743"/>
    <w:rsid w:val="0090199C"/>
    <w:rsid w:val="00942FE9"/>
    <w:rsid w:val="00945738"/>
    <w:rsid w:val="00952231"/>
    <w:rsid w:val="00952F45"/>
    <w:rsid w:val="00956B3C"/>
    <w:rsid w:val="009A4EBB"/>
    <w:rsid w:val="009B51CC"/>
    <w:rsid w:val="009D1722"/>
    <w:rsid w:val="009E276F"/>
    <w:rsid w:val="009E6BF3"/>
    <w:rsid w:val="009E7A23"/>
    <w:rsid w:val="009F1E9A"/>
    <w:rsid w:val="009F7A9F"/>
    <w:rsid w:val="00A14155"/>
    <w:rsid w:val="00A22EB9"/>
    <w:rsid w:val="00A55A20"/>
    <w:rsid w:val="00A63154"/>
    <w:rsid w:val="00A850B7"/>
    <w:rsid w:val="00A92FA2"/>
    <w:rsid w:val="00A96BA3"/>
    <w:rsid w:val="00A973A5"/>
    <w:rsid w:val="00AA6B5E"/>
    <w:rsid w:val="00AB4F01"/>
    <w:rsid w:val="00AC035E"/>
    <w:rsid w:val="00AD4F19"/>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31DC"/>
    <w:rsid w:val="00D234F2"/>
    <w:rsid w:val="00D25C77"/>
    <w:rsid w:val="00D31E00"/>
    <w:rsid w:val="00D33971"/>
    <w:rsid w:val="00D37B9C"/>
    <w:rsid w:val="00D469E3"/>
    <w:rsid w:val="00D53587"/>
    <w:rsid w:val="00D53688"/>
    <w:rsid w:val="00D90459"/>
    <w:rsid w:val="00D965F8"/>
    <w:rsid w:val="00DA0712"/>
    <w:rsid w:val="00DA2F78"/>
    <w:rsid w:val="00DA6D65"/>
    <w:rsid w:val="00DB04FD"/>
    <w:rsid w:val="00DB5902"/>
    <w:rsid w:val="00DD529F"/>
    <w:rsid w:val="00DD7C23"/>
    <w:rsid w:val="00DF4904"/>
    <w:rsid w:val="00E01C6F"/>
    <w:rsid w:val="00E03FBC"/>
    <w:rsid w:val="00E06707"/>
    <w:rsid w:val="00E3283C"/>
    <w:rsid w:val="00E36B6F"/>
    <w:rsid w:val="00E4176F"/>
    <w:rsid w:val="00E547FD"/>
    <w:rsid w:val="00E6321B"/>
    <w:rsid w:val="00E70E8F"/>
    <w:rsid w:val="00E71718"/>
    <w:rsid w:val="00E8521B"/>
    <w:rsid w:val="00E970A1"/>
    <w:rsid w:val="00EA0F80"/>
    <w:rsid w:val="00EB31CC"/>
    <w:rsid w:val="00EC2F22"/>
    <w:rsid w:val="00EC557E"/>
    <w:rsid w:val="00ED020C"/>
    <w:rsid w:val="00EE0B91"/>
    <w:rsid w:val="00EE6ABE"/>
    <w:rsid w:val="00EF1327"/>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806D1"/>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74B33-3695-4089-AEA9-977780C8B8E4}"/>
</file>

<file path=customXml/itemProps2.xml><?xml version="1.0" encoding="utf-8"?>
<ds:datastoreItem xmlns:ds="http://schemas.openxmlformats.org/officeDocument/2006/customXml" ds:itemID="{076F3961-2AE8-4B16-99FF-4C2118667F17}"/>
</file>

<file path=customXml/itemProps3.xml><?xml version="1.0" encoding="utf-8"?>
<ds:datastoreItem xmlns:ds="http://schemas.openxmlformats.org/officeDocument/2006/customXml" ds:itemID="{95691F6A-571B-4903-8C77-672E30F5C5D2}"/>
</file>

<file path=customXml/itemProps4.xml><?xml version="1.0" encoding="utf-8"?>
<ds:datastoreItem xmlns:ds="http://schemas.openxmlformats.org/officeDocument/2006/customXml" ds:itemID="{A4092B31-7761-475D-B014-CEEE8DA4336B}"/>
</file>

<file path=docProps/app.xml><?xml version="1.0" encoding="utf-8"?>
<Properties xmlns="http://schemas.openxmlformats.org/officeDocument/2006/extended-properties" xmlns:vt="http://schemas.openxmlformats.org/officeDocument/2006/docPropsVTypes">
  <Template>Normal.dotm</Template>
  <TotalTime>1</TotalTime>
  <Pages>12</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Elliott, Ed</cp:lastModifiedBy>
  <cp:revision>2</cp:revision>
  <cp:lastPrinted>2015-07-08T15:05:00Z</cp:lastPrinted>
  <dcterms:created xsi:type="dcterms:W3CDTF">2015-07-09T17:17:00Z</dcterms:created>
  <dcterms:modified xsi:type="dcterms:W3CDTF">2015-07-09T17:17:00Z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