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99F2" w14:textId="77777777" w:rsidR="00436DC3" w:rsidRPr="00436DC3" w:rsidRDefault="00436DC3" w:rsidP="00436DC3">
      <w:pPr>
        <w:spacing w:before="3500"/>
        <w:ind w:left="245"/>
        <w:jc w:val="center"/>
        <w:rPr>
          <w:rFonts w:ascii="Arial" w:eastAsia="Calibri" w:hAnsi="Arial"/>
          <w:b/>
          <w:noProof/>
          <w:sz w:val="48"/>
          <w:szCs w:val="32"/>
        </w:rPr>
      </w:pPr>
      <w:bookmarkStart w:id="0" w:name="_GoBack"/>
      <w:bookmarkEnd w:id="0"/>
      <w:r w:rsidRPr="00436DC3">
        <w:rPr>
          <w:rFonts w:ascii="Arial" w:eastAsia="Calibri" w:hAnsi="Arial"/>
          <w:b/>
          <w:noProof/>
          <w:sz w:val="48"/>
          <w:szCs w:val="32"/>
        </w:rPr>
        <w:t>Pacific Gas and Electric Company</w:t>
      </w:r>
    </w:p>
    <w:p w14:paraId="2988397D" w14:textId="5A2F9018" w:rsidR="008C0868" w:rsidRDefault="00AD5075" w:rsidP="00436DC3">
      <w:pPr>
        <w:shd w:val="clear" w:color="auto" w:fill="000000"/>
        <w:tabs>
          <w:tab w:val="right" w:pos="9270"/>
        </w:tabs>
        <w:spacing w:before="240" w:after="240"/>
        <w:ind w:left="-1530" w:right="-1440"/>
        <w:jc w:val="center"/>
        <w:rPr>
          <w:rFonts w:ascii="Arial Narrow" w:eastAsia="Calibri" w:hAnsi="Arial Narrow"/>
          <w:b/>
          <w:sz w:val="72"/>
          <w:szCs w:val="52"/>
        </w:rPr>
      </w:pPr>
      <w:r>
        <w:rPr>
          <w:rFonts w:ascii="Arial Narrow" w:eastAsia="Calibri" w:hAnsi="Arial Narrow"/>
          <w:b/>
          <w:sz w:val="72"/>
          <w:szCs w:val="52"/>
        </w:rPr>
        <w:t>2017</w:t>
      </w:r>
      <w:r w:rsidR="00436DC3" w:rsidRPr="00436DC3">
        <w:rPr>
          <w:rFonts w:ascii="Arial Narrow" w:eastAsia="Calibri" w:hAnsi="Arial Narrow"/>
          <w:b/>
          <w:sz w:val="72"/>
          <w:szCs w:val="52"/>
        </w:rPr>
        <w:t xml:space="preserve"> </w:t>
      </w:r>
      <w:r w:rsidR="008C0868" w:rsidRPr="008C0868">
        <w:rPr>
          <w:rFonts w:ascii="Arial Narrow" w:eastAsia="Calibri" w:hAnsi="Arial Narrow"/>
          <w:b/>
          <w:sz w:val="72"/>
          <w:szCs w:val="52"/>
        </w:rPr>
        <w:t>Business Energy Solutions</w:t>
      </w:r>
    </w:p>
    <w:p w14:paraId="6AD199F3" w14:textId="6A123D0F" w:rsidR="00436DC3" w:rsidRDefault="00521CF9" w:rsidP="00436DC3">
      <w:pPr>
        <w:shd w:val="clear" w:color="auto" w:fill="000000"/>
        <w:tabs>
          <w:tab w:val="right" w:pos="9270"/>
        </w:tabs>
        <w:spacing w:before="240" w:after="240"/>
        <w:ind w:left="-1530" w:right="-1440"/>
        <w:jc w:val="center"/>
        <w:rPr>
          <w:rFonts w:ascii="Arial Narrow" w:eastAsia="Calibri" w:hAnsi="Arial Narrow"/>
          <w:b/>
          <w:sz w:val="72"/>
          <w:szCs w:val="52"/>
        </w:rPr>
      </w:pPr>
      <w:r>
        <w:rPr>
          <w:rFonts w:ascii="Arial Narrow" w:eastAsia="Calibri" w:hAnsi="Arial Narrow"/>
          <w:b/>
          <w:sz w:val="72"/>
          <w:szCs w:val="52"/>
        </w:rPr>
        <w:t>Time Keeping</w:t>
      </w:r>
      <w:r w:rsidR="00436DC3" w:rsidRPr="00436DC3">
        <w:rPr>
          <w:rFonts w:ascii="Arial Narrow" w:eastAsia="Calibri" w:hAnsi="Arial Narrow"/>
          <w:b/>
          <w:sz w:val="72"/>
          <w:szCs w:val="52"/>
        </w:rPr>
        <w:t xml:space="preserve"> Guidelines</w:t>
      </w:r>
    </w:p>
    <w:p w14:paraId="6AD199F4" w14:textId="113FE129" w:rsidR="00436DC3" w:rsidRPr="00436DC3" w:rsidRDefault="00436DC3" w:rsidP="00436DC3">
      <w:pPr>
        <w:spacing w:before="480"/>
        <w:ind w:left="245"/>
        <w:jc w:val="right"/>
        <w:rPr>
          <w:rFonts w:ascii="Arial Narrow" w:eastAsia="Calibri" w:hAnsi="Arial Narrow"/>
          <w:sz w:val="40"/>
          <w:szCs w:val="40"/>
        </w:rPr>
      </w:pPr>
      <w:r w:rsidRPr="00436DC3">
        <w:rPr>
          <w:rFonts w:ascii="Arial Narrow" w:eastAsia="Calibri" w:hAnsi="Arial Narrow"/>
          <w:sz w:val="40"/>
          <w:szCs w:val="40"/>
        </w:rPr>
        <w:t>Version 1</w:t>
      </w:r>
      <w:r w:rsidR="00AD5075">
        <w:rPr>
          <w:rFonts w:ascii="Arial Narrow" w:eastAsia="Calibri" w:hAnsi="Arial Narrow"/>
          <w:sz w:val="40"/>
          <w:szCs w:val="40"/>
        </w:rPr>
        <w:t>.</w:t>
      </w:r>
      <w:r w:rsidR="008F75E5">
        <w:rPr>
          <w:rFonts w:ascii="Arial Narrow" w:eastAsia="Calibri" w:hAnsi="Arial Narrow"/>
          <w:sz w:val="40"/>
          <w:szCs w:val="40"/>
        </w:rPr>
        <w:t>0</w:t>
      </w:r>
      <w:r w:rsidRPr="00436DC3">
        <w:rPr>
          <w:rFonts w:ascii="Arial Narrow" w:eastAsia="Calibri" w:hAnsi="Arial Narrow"/>
          <w:sz w:val="40"/>
          <w:szCs w:val="40"/>
        </w:rPr>
        <w:br/>
      </w:r>
      <w:r w:rsidR="00E057A1">
        <w:rPr>
          <w:rFonts w:ascii="Arial Narrow" w:eastAsia="Calibri" w:hAnsi="Arial Narrow"/>
          <w:sz w:val="40"/>
          <w:szCs w:val="40"/>
        </w:rPr>
        <w:t xml:space="preserve">January </w:t>
      </w:r>
      <w:r w:rsidR="000670C1">
        <w:rPr>
          <w:rFonts w:ascii="Arial Narrow" w:eastAsia="Calibri" w:hAnsi="Arial Narrow"/>
          <w:sz w:val="40"/>
          <w:szCs w:val="40"/>
        </w:rPr>
        <w:t>23</w:t>
      </w:r>
      <w:r w:rsidR="00E057A1">
        <w:rPr>
          <w:rFonts w:ascii="Arial Narrow" w:eastAsia="Calibri" w:hAnsi="Arial Narrow"/>
          <w:sz w:val="40"/>
          <w:szCs w:val="40"/>
        </w:rPr>
        <w:t>, 2017</w:t>
      </w:r>
    </w:p>
    <w:p w14:paraId="6AD199F5" w14:textId="77777777" w:rsidR="00521CF9" w:rsidRDefault="00521CF9">
      <w:pPr>
        <w:rPr>
          <w:rFonts w:ascii="Calibri" w:hAnsi="Calibri"/>
          <w:b/>
          <w:sz w:val="28"/>
          <w:szCs w:val="22"/>
        </w:rPr>
        <w:sectPr w:rsidR="00521CF9" w:rsidSect="00436DC3">
          <w:headerReference w:type="default" r:id="rId12"/>
          <w:footerReference w:type="default" r:id="rId13"/>
          <w:pgSz w:w="12240" w:h="15840"/>
          <w:pgMar w:top="578" w:right="1152" w:bottom="1152" w:left="1152" w:header="576" w:footer="720" w:gutter="0"/>
          <w:pgNumType w:fmt="lowerRoman"/>
          <w:cols w:space="720"/>
          <w:docGrid w:linePitch="360"/>
        </w:sectPr>
      </w:pPr>
    </w:p>
    <w:sdt>
      <w:sdtPr>
        <w:rPr>
          <w:rFonts w:ascii="Arial Narrow" w:eastAsia="Calibri" w:hAnsi="Arial Narrow"/>
          <w:b/>
          <w:sz w:val="36"/>
          <w:szCs w:val="22"/>
        </w:rPr>
        <w:id w:val="198612132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Cs/>
          <w:noProof/>
          <w:sz w:val="24"/>
          <w:szCs w:val="24"/>
        </w:rPr>
      </w:sdtEndPr>
      <w:sdtContent>
        <w:p w14:paraId="6AD199F6" w14:textId="77777777" w:rsidR="009E26A9" w:rsidRPr="008D249C" w:rsidRDefault="009E26A9" w:rsidP="008D249C">
          <w:pPr>
            <w:keepNext/>
            <w:spacing w:after="240" w:line="276" w:lineRule="auto"/>
            <w:rPr>
              <w:rFonts w:ascii="Arial Narrow" w:eastAsia="Calibri" w:hAnsi="Arial Narrow"/>
              <w:b/>
              <w:sz w:val="36"/>
              <w:szCs w:val="22"/>
            </w:rPr>
          </w:pPr>
          <w:r w:rsidRPr="008D249C">
            <w:rPr>
              <w:rFonts w:ascii="Arial Narrow" w:eastAsia="Calibri" w:hAnsi="Arial Narrow"/>
              <w:b/>
              <w:sz w:val="36"/>
              <w:szCs w:val="22"/>
            </w:rPr>
            <w:t>Table of Contents</w:t>
          </w:r>
        </w:p>
        <w:p w14:paraId="67080449" w14:textId="77777777" w:rsidR="00ED7B9A" w:rsidRDefault="008D249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6B13">
            <w:rPr>
              <w:rFonts w:ascii="Arial" w:hAnsi="Arial" w:cs="Arial"/>
            </w:rPr>
            <w:fldChar w:fldCharType="begin"/>
          </w:r>
          <w:r w:rsidRPr="00C66B13">
            <w:rPr>
              <w:rFonts w:ascii="Arial" w:hAnsi="Arial" w:cs="Arial"/>
            </w:rPr>
            <w:instrText xml:space="preserve"> TOC \o "1-3" \h \z \u </w:instrText>
          </w:r>
          <w:r w:rsidRPr="00C66B13">
            <w:rPr>
              <w:rFonts w:ascii="Arial" w:hAnsi="Arial" w:cs="Arial"/>
            </w:rPr>
            <w:fldChar w:fldCharType="separate"/>
          </w:r>
          <w:hyperlink w:anchor="_Toc444923827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Business Energy Solutions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_Toc444923827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1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39996120" w14:textId="77777777" w:rsidR="00ED7B9A" w:rsidRDefault="003B11F2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28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CEE (Balancing Account)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_Toc444923828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3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4C2FE516" w14:textId="77777777" w:rsidR="00ED7B9A" w:rsidRDefault="003B11F2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29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On-Bill Financing (OBF) (Balancing Account)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_Toc444923829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4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64745C60" w14:textId="77777777" w:rsidR="00ED7B9A" w:rsidRDefault="003B11F2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0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Demand Response (DR) (Balancing Account)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_Toc444923830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4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5F08B17B" w14:textId="77777777" w:rsidR="00ED7B9A" w:rsidRDefault="003B11F2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1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Non- Balancing Work (Prg IV)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_Toc444923831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5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31E784C4" w14:textId="77777777" w:rsidR="00ED7B9A" w:rsidRDefault="003B11F2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3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Solar Choice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_Toc444923833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5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19DD26E7" w14:textId="77777777" w:rsidR="00ED7B9A" w:rsidRDefault="003B11F2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4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Time-Varying Pricing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_Toc444923834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6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542A1B46" w14:textId="77777777" w:rsidR="00ED7B9A" w:rsidRDefault="003B11F2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5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Storms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_Toc444923835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6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6E651E79" w14:textId="77777777" w:rsidR="00ED7B9A" w:rsidRDefault="003B11F2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6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Unique Situations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_Toc444923836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7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384F0430" w14:textId="77777777" w:rsidR="00ED7B9A" w:rsidRDefault="003B11F2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7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BES Leadership &amp; Administrative Assistant Charging Guidelines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_Toc444923837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4C6E02">
              <w:rPr>
                <w:noProof/>
                <w:webHidden/>
              </w:rPr>
              <w:t>8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6AD19A04" w14:textId="77777777" w:rsidR="009E26A9" w:rsidRDefault="008D249C">
          <w:r w:rsidRPr="00C66B13">
            <w:rPr>
              <w:rFonts w:ascii="Arial" w:hAnsi="Arial" w:cs="Arial"/>
            </w:rPr>
            <w:fldChar w:fldCharType="end"/>
          </w:r>
        </w:p>
      </w:sdtContent>
    </w:sdt>
    <w:p w14:paraId="6AD19A05" w14:textId="77777777" w:rsidR="00C66B13" w:rsidRDefault="00C66B13">
      <w:pPr>
        <w:rPr>
          <w:rFonts w:ascii="Arial Narrow" w:hAnsi="Arial Narrow"/>
          <w:bCs/>
          <w:color w:val="FFFFFF" w:themeColor="background1"/>
          <w:sz w:val="36"/>
          <w:szCs w:val="36"/>
        </w:rPr>
        <w:sectPr w:rsidR="00C66B13" w:rsidSect="00DF34EF">
          <w:pgSz w:w="12240" w:h="15840"/>
          <w:pgMar w:top="578" w:right="1152" w:bottom="1152" w:left="1152" w:header="576" w:footer="720" w:gutter="0"/>
          <w:pgNumType w:fmt="lowerRoman"/>
          <w:cols w:space="720"/>
          <w:docGrid w:linePitch="360"/>
        </w:sectPr>
      </w:pPr>
    </w:p>
    <w:p w14:paraId="6AD19A06" w14:textId="05924823" w:rsidR="004B0CCE" w:rsidRPr="004E080C" w:rsidRDefault="0020218D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" w:name="_Toc444923827"/>
      <w:r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B</w:t>
      </w:r>
      <w:r w:rsidR="0013499E">
        <w:rPr>
          <w:rFonts w:ascii="Arial Narrow" w:hAnsi="Arial Narrow"/>
          <w:bCs w:val="0"/>
          <w:color w:val="FFFFFF" w:themeColor="background1"/>
          <w:sz w:val="36"/>
          <w:szCs w:val="36"/>
        </w:rPr>
        <w:t>usiness Energy Solutions</w:t>
      </w:r>
      <w:bookmarkEnd w:id="1"/>
    </w:p>
    <w:p w14:paraId="6AD19A07" w14:textId="77777777" w:rsidR="00AB012F" w:rsidRPr="001B2D50" w:rsidRDefault="00AB012F" w:rsidP="00A36510">
      <w:pPr>
        <w:rPr>
          <w:rFonts w:ascii="Arial" w:hAnsi="Arial" w:cs="Arial"/>
          <w:sz w:val="20"/>
          <w:szCs w:val="20"/>
        </w:rPr>
      </w:pPr>
    </w:p>
    <w:p w14:paraId="26D8631D" w14:textId="20C6681A" w:rsidR="00747C9B" w:rsidRDefault="0020218D" w:rsidP="00A36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Energy Solutions (BES) use</w:t>
      </w:r>
      <w:r w:rsidR="0013499E">
        <w:rPr>
          <w:rFonts w:ascii="Arial" w:hAnsi="Arial" w:cs="Arial"/>
          <w:sz w:val="20"/>
          <w:szCs w:val="20"/>
        </w:rPr>
        <w:t>s</w:t>
      </w:r>
      <w:r w:rsidR="00E1455B" w:rsidRPr="001B2D50">
        <w:rPr>
          <w:rFonts w:ascii="Arial" w:hAnsi="Arial" w:cs="Arial"/>
          <w:sz w:val="20"/>
          <w:szCs w:val="20"/>
        </w:rPr>
        <w:t xml:space="preserve"> </w:t>
      </w:r>
      <w:r w:rsidR="00110872" w:rsidRPr="001B2D50">
        <w:rPr>
          <w:rFonts w:ascii="Arial" w:hAnsi="Arial" w:cs="Arial"/>
          <w:b/>
          <w:sz w:val="20"/>
          <w:szCs w:val="20"/>
        </w:rPr>
        <w:t>PG&amp;E @ Work for Me Time Entry Application</w:t>
      </w:r>
      <w:r w:rsidR="00E1455B" w:rsidRPr="001B2D50">
        <w:rPr>
          <w:rFonts w:ascii="Arial" w:hAnsi="Arial" w:cs="Arial"/>
          <w:sz w:val="20"/>
          <w:szCs w:val="20"/>
        </w:rPr>
        <w:t xml:space="preserve"> to charge time against the various programs and initiatives the department </w:t>
      </w:r>
      <w:r w:rsidR="0013499E">
        <w:rPr>
          <w:rFonts w:ascii="Arial" w:hAnsi="Arial" w:cs="Arial"/>
          <w:sz w:val="20"/>
          <w:szCs w:val="20"/>
        </w:rPr>
        <w:t>is</w:t>
      </w:r>
      <w:r w:rsidR="00E1455B" w:rsidRPr="001B2D50">
        <w:rPr>
          <w:rFonts w:ascii="Arial" w:hAnsi="Arial" w:cs="Arial"/>
          <w:sz w:val="20"/>
          <w:szCs w:val="20"/>
        </w:rPr>
        <w:t xml:space="preserve"> involved in. </w:t>
      </w:r>
      <w:r w:rsidR="0088759F" w:rsidRPr="001B2D50">
        <w:rPr>
          <w:rFonts w:ascii="Arial" w:hAnsi="Arial" w:cs="Arial"/>
          <w:sz w:val="20"/>
          <w:szCs w:val="20"/>
        </w:rPr>
        <w:t>It is</w:t>
      </w:r>
      <w:r w:rsidR="00D20587" w:rsidRPr="001B2D50">
        <w:rPr>
          <w:rFonts w:ascii="Arial" w:hAnsi="Arial" w:cs="Arial"/>
          <w:sz w:val="20"/>
          <w:szCs w:val="20"/>
        </w:rPr>
        <w:t xml:space="preserve"> structured by </w:t>
      </w:r>
      <w:r w:rsidR="00110872" w:rsidRPr="001B2D50">
        <w:rPr>
          <w:rFonts w:ascii="Arial" w:hAnsi="Arial" w:cs="Arial"/>
          <w:sz w:val="20"/>
          <w:szCs w:val="20"/>
        </w:rPr>
        <w:t>Activity Type, Order Number and Type</w:t>
      </w:r>
      <w:r w:rsidR="00D20587" w:rsidRPr="001B2D50">
        <w:rPr>
          <w:rFonts w:ascii="Arial" w:hAnsi="Arial" w:cs="Arial"/>
          <w:sz w:val="20"/>
          <w:szCs w:val="20"/>
        </w:rPr>
        <w:t xml:space="preserve">. This document </w:t>
      </w:r>
      <w:r w:rsidR="00D6459B" w:rsidRPr="001B2D50">
        <w:rPr>
          <w:rFonts w:ascii="Arial" w:hAnsi="Arial" w:cs="Arial"/>
          <w:sz w:val="20"/>
          <w:szCs w:val="20"/>
        </w:rPr>
        <w:t>serves as timekeeping</w:t>
      </w:r>
      <w:r w:rsidR="0088759F" w:rsidRPr="001B2D50">
        <w:rPr>
          <w:rFonts w:ascii="Arial" w:hAnsi="Arial" w:cs="Arial"/>
          <w:sz w:val="20"/>
          <w:szCs w:val="20"/>
        </w:rPr>
        <w:t xml:space="preserve"> governance for </w:t>
      </w:r>
      <w:r>
        <w:rPr>
          <w:rFonts w:ascii="Arial" w:hAnsi="Arial" w:cs="Arial"/>
          <w:sz w:val="20"/>
          <w:szCs w:val="20"/>
        </w:rPr>
        <w:t>B</w:t>
      </w:r>
      <w:r w:rsidR="0013499E">
        <w:rPr>
          <w:rFonts w:ascii="Arial" w:hAnsi="Arial" w:cs="Arial"/>
          <w:sz w:val="20"/>
          <w:szCs w:val="20"/>
        </w:rPr>
        <w:t xml:space="preserve">ES </w:t>
      </w:r>
      <w:r w:rsidR="00D6459B" w:rsidRPr="001B2D50">
        <w:rPr>
          <w:rFonts w:ascii="Arial" w:hAnsi="Arial" w:cs="Arial"/>
          <w:sz w:val="20"/>
          <w:szCs w:val="20"/>
        </w:rPr>
        <w:t xml:space="preserve">in addition to the Web Training Course </w:t>
      </w:r>
      <w:r w:rsidR="00B77D23" w:rsidRPr="001B2D50">
        <w:rPr>
          <w:rFonts w:ascii="Arial" w:hAnsi="Arial" w:cs="Arial"/>
          <w:b/>
          <w:bCs/>
          <w:sz w:val="20"/>
          <w:szCs w:val="20"/>
        </w:rPr>
        <w:t>TIME-0005WBT (</w:t>
      </w:r>
      <w:r w:rsidR="00796BCF" w:rsidRPr="001B2D50">
        <w:rPr>
          <w:rFonts w:ascii="Arial" w:hAnsi="Arial" w:cs="Arial"/>
          <w:b/>
          <w:bCs/>
          <w:sz w:val="20"/>
          <w:szCs w:val="20"/>
        </w:rPr>
        <w:t>Self-Service Time Entry and Approval</w:t>
      </w:r>
      <w:r w:rsidR="00B77D23" w:rsidRPr="001B2D50">
        <w:rPr>
          <w:rFonts w:ascii="Arial" w:hAnsi="Arial" w:cs="Arial"/>
          <w:b/>
          <w:bCs/>
          <w:sz w:val="20"/>
          <w:szCs w:val="20"/>
        </w:rPr>
        <w:t>)</w:t>
      </w:r>
      <w:r w:rsidR="00D6459B" w:rsidRPr="001B2D50">
        <w:rPr>
          <w:rFonts w:ascii="Arial" w:hAnsi="Arial" w:cs="Arial"/>
          <w:sz w:val="20"/>
          <w:szCs w:val="20"/>
        </w:rPr>
        <w:t xml:space="preserve"> in My Learning</w:t>
      </w:r>
      <w:r w:rsidR="00D20587" w:rsidRPr="001B2D50">
        <w:rPr>
          <w:rFonts w:ascii="Arial" w:hAnsi="Arial" w:cs="Arial"/>
          <w:sz w:val="20"/>
          <w:szCs w:val="20"/>
        </w:rPr>
        <w:t>.</w:t>
      </w:r>
      <w:r w:rsidR="00A57152" w:rsidRPr="001B2D50">
        <w:rPr>
          <w:rFonts w:ascii="Arial" w:hAnsi="Arial" w:cs="Arial"/>
          <w:sz w:val="20"/>
          <w:szCs w:val="20"/>
        </w:rPr>
        <w:t xml:space="preserve"> </w:t>
      </w:r>
      <w:r w:rsidR="0088759F" w:rsidRPr="001B2D50">
        <w:rPr>
          <w:rFonts w:ascii="Arial" w:hAnsi="Arial" w:cs="Arial"/>
          <w:sz w:val="20"/>
          <w:szCs w:val="20"/>
        </w:rPr>
        <w:t>Nearly</w:t>
      </w:r>
      <w:r w:rsidR="00A57152" w:rsidRPr="001B2D50">
        <w:rPr>
          <w:rFonts w:ascii="Arial" w:hAnsi="Arial" w:cs="Arial"/>
          <w:sz w:val="20"/>
          <w:szCs w:val="20"/>
        </w:rPr>
        <w:t xml:space="preserve"> all of the timekeeping categories described in this document apply to </w:t>
      </w:r>
      <w:r>
        <w:rPr>
          <w:rFonts w:ascii="Arial" w:hAnsi="Arial" w:cs="Arial"/>
          <w:sz w:val="20"/>
          <w:szCs w:val="20"/>
        </w:rPr>
        <w:t>B</w:t>
      </w:r>
      <w:r w:rsidR="0013499E">
        <w:rPr>
          <w:rFonts w:ascii="Arial" w:hAnsi="Arial" w:cs="Arial"/>
          <w:sz w:val="20"/>
          <w:szCs w:val="20"/>
        </w:rPr>
        <w:t>ES</w:t>
      </w:r>
      <w:r w:rsidR="009E237B" w:rsidRPr="001B2D50">
        <w:rPr>
          <w:rFonts w:ascii="Arial" w:hAnsi="Arial" w:cs="Arial"/>
          <w:sz w:val="20"/>
          <w:szCs w:val="20"/>
        </w:rPr>
        <w:t>;</w:t>
      </w:r>
      <w:r w:rsidR="00A57152" w:rsidRPr="001B2D50">
        <w:rPr>
          <w:rFonts w:ascii="Arial" w:hAnsi="Arial" w:cs="Arial"/>
          <w:sz w:val="20"/>
          <w:szCs w:val="20"/>
        </w:rPr>
        <w:t xml:space="preserve"> </w:t>
      </w:r>
      <w:r w:rsidR="00CF67A0">
        <w:rPr>
          <w:rFonts w:ascii="Arial" w:hAnsi="Arial" w:cs="Arial"/>
          <w:sz w:val="20"/>
          <w:szCs w:val="20"/>
        </w:rPr>
        <w:t xml:space="preserve">although </w:t>
      </w:r>
      <w:r w:rsidR="00A57152" w:rsidRPr="001B2D50">
        <w:rPr>
          <w:rFonts w:ascii="Arial" w:hAnsi="Arial" w:cs="Arial"/>
          <w:sz w:val="20"/>
          <w:szCs w:val="20"/>
        </w:rPr>
        <w:t>there may be some minor differences with</w:t>
      </w:r>
      <w:r w:rsidR="00596417" w:rsidRPr="001B2D50">
        <w:rPr>
          <w:rFonts w:ascii="Arial" w:hAnsi="Arial" w:cs="Arial"/>
          <w:sz w:val="20"/>
          <w:szCs w:val="20"/>
        </w:rPr>
        <w:t>in</w:t>
      </w:r>
      <w:r w:rsidR="00A57152" w:rsidRPr="001B2D50">
        <w:rPr>
          <w:rFonts w:ascii="Arial" w:hAnsi="Arial" w:cs="Arial"/>
          <w:sz w:val="20"/>
          <w:szCs w:val="20"/>
        </w:rPr>
        <w:t xml:space="preserve"> your a</w:t>
      </w:r>
      <w:r w:rsidR="00991E1F" w:rsidRPr="001B2D50">
        <w:rPr>
          <w:rFonts w:ascii="Arial" w:hAnsi="Arial" w:cs="Arial"/>
          <w:sz w:val="20"/>
          <w:szCs w:val="20"/>
        </w:rPr>
        <w:t xml:space="preserve">rea. </w:t>
      </w:r>
      <w:r w:rsidR="001B71DE" w:rsidRPr="001B2D50">
        <w:rPr>
          <w:rFonts w:ascii="Arial" w:hAnsi="Arial" w:cs="Arial"/>
          <w:sz w:val="20"/>
          <w:szCs w:val="20"/>
        </w:rPr>
        <w:t xml:space="preserve"> </w:t>
      </w:r>
    </w:p>
    <w:p w14:paraId="180E843A" w14:textId="77777777" w:rsidR="00747C9B" w:rsidRDefault="00747C9B" w:rsidP="00A36510">
      <w:pPr>
        <w:rPr>
          <w:rFonts w:ascii="Arial" w:hAnsi="Arial" w:cs="Arial"/>
          <w:sz w:val="20"/>
          <w:szCs w:val="20"/>
        </w:rPr>
      </w:pPr>
    </w:p>
    <w:p w14:paraId="381CA790" w14:textId="6425FF77" w:rsidR="00747C9B" w:rsidRDefault="00747C9B" w:rsidP="00A36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 is divided into 3 groups: Large Enterprise Energy Solutions, SMB Energy Solutions</w:t>
      </w:r>
      <w:r w:rsidR="00CF67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Business Customer Success.  Each group has their own orders.</w:t>
      </w:r>
    </w:p>
    <w:p w14:paraId="7FF36954" w14:textId="77777777" w:rsidR="00747C9B" w:rsidRDefault="00747C9B" w:rsidP="00A36510">
      <w:pPr>
        <w:rPr>
          <w:rFonts w:ascii="Arial" w:hAnsi="Arial" w:cs="Arial"/>
          <w:sz w:val="20"/>
          <w:szCs w:val="20"/>
        </w:rPr>
      </w:pPr>
    </w:p>
    <w:p w14:paraId="513C258E" w14:textId="77777777" w:rsidR="00FC406E" w:rsidRDefault="00FC406E" w:rsidP="00A36510">
      <w:pPr>
        <w:rPr>
          <w:rFonts w:ascii="Arial" w:hAnsi="Arial" w:cs="Arial"/>
          <w:b/>
          <w:sz w:val="20"/>
          <w:szCs w:val="20"/>
        </w:rPr>
      </w:pPr>
    </w:p>
    <w:p w14:paraId="6AD19A0A" w14:textId="77777777" w:rsidR="00734618" w:rsidRPr="001B2D50" w:rsidRDefault="00991E1F" w:rsidP="00A36510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1</w:t>
      </w:r>
      <w:r w:rsidR="00734618" w:rsidRPr="001B2D50">
        <w:rPr>
          <w:rFonts w:ascii="Arial" w:hAnsi="Arial" w:cs="Arial"/>
          <w:b/>
          <w:sz w:val="20"/>
          <w:szCs w:val="20"/>
        </w:rPr>
        <w:t xml:space="preserve"> – </w:t>
      </w:r>
      <w:r w:rsidR="00B77D23" w:rsidRPr="001B2D50">
        <w:rPr>
          <w:rFonts w:ascii="Arial" w:hAnsi="Arial" w:cs="Arial"/>
          <w:b/>
          <w:sz w:val="20"/>
          <w:szCs w:val="20"/>
        </w:rPr>
        <w:t>Order</w:t>
      </w:r>
      <w:r w:rsidR="00734618" w:rsidRPr="001B2D50">
        <w:rPr>
          <w:rFonts w:ascii="Arial" w:hAnsi="Arial" w:cs="Arial"/>
          <w:b/>
          <w:sz w:val="20"/>
          <w:szCs w:val="20"/>
        </w:rPr>
        <w:t xml:space="preserve"> Structure</w:t>
      </w:r>
    </w:p>
    <w:p w14:paraId="6AD19A0B" w14:textId="77777777" w:rsidR="004E1E6B" w:rsidRPr="001B2D50" w:rsidRDefault="004E1E6B" w:rsidP="00A36510">
      <w:pPr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1606"/>
        <w:gridCol w:w="2643"/>
        <w:gridCol w:w="5848"/>
      </w:tblGrid>
      <w:tr w:rsidR="0082618A" w14:paraId="6AD19A10" w14:textId="77777777" w:rsidTr="00634C4B">
        <w:trPr>
          <w:trHeight w:val="615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6AD19A0C" w14:textId="77777777" w:rsidR="0082618A" w:rsidRPr="00431F32" w:rsidRDefault="008261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Work Type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AD19A0D" w14:textId="77777777" w:rsidR="0082618A" w:rsidRPr="00431F32" w:rsidRDefault="008261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Attendance / Absence Type</w:t>
            </w:r>
          </w:p>
        </w:tc>
        <w:tc>
          <w:tcPr>
            <w:tcW w:w="2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6AD19A0F" w14:textId="77777777" w:rsidR="0082618A" w:rsidRPr="00431F32" w:rsidRDefault="008261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2618A" w14:paraId="210EB96D" w14:textId="77777777" w:rsidTr="00634C4B">
        <w:trPr>
          <w:trHeight w:val="491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7B18D254" w14:textId="4581023E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Non-Billable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DC00" w14:textId="596267B1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Non-Billable Employee - 1036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C63C" w14:textId="76946830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552A">
              <w:rPr>
                <w:rFonts w:ascii="Arial" w:hAnsi="Arial" w:cs="Arial"/>
                <w:sz w:val="16"/>
                <w:szCs w:val="18"/>
              </w:rPr>
              <w:t xml:space="preserve">For </w:t>
            </w:r>
            <w:r w:rsidR="00CF67A0">
              <w:rPr>
                <w:rFonts w:ascii="Arial" w:hAnsi="Arial" w:cs="Arial"/>
                <w:sz w:val="16"/>
                <w:szCs w:val="18"/>
              </w:rPr>
              <w:t>Supervisor/</w:t>
            </w:r>
            <w:r w:rsidRPr="0084552A">
              <w:rPr>
                <w:rFonts w:ascii="Arial" w:hAnsi="Arial" w:cs="Arial"/>
                <w:sz w:val="16"/>
                <w:szCs w:val="18"/>
              </w:rPr>
              <w:t>Managers/Directors/Admins ONLY</w:t>
            </w:r>
          </w:p>
        </w:tc>
      </w:tr>
      <w:tr w:rsidR="0082618A" w14:paraId="6AD19A15" w14:textId="77777777" w:rsidTr="00BD2582">
        <w:trPr>
          <w:trHeight w:val="2049"/>
        </w:trPr>
        <w:tc>
          <w:tcPr>
            <w:tcW w:w="7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AD19A11" w14:textId="013FF020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12" w14:textId="4CEC44F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Administration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- 1022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C5EB" w14:textId="77777777" w:rsidR="0082618A" w:rsidRPr="0082618A" w:rsidRDefault="0082618A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 w:rsidRPr="0082618A">
              <w:rPr>
                <w:rFonts w:cs="Arial"/>
                <w:color w:val="000000"/>
                <w:sz w:val="16"/>
                <w:szCs w:val="18"/>
              </w:rPr>
              <w:t>General administrative tasks</w:t>
            </w:r>
          </w:p>
          <w:p w14:paraId="7F4963D2" w14:textId="1370558D" w:rsidR="0082618A" w:rsidRPr="0082618A" w:rsidRDefault="00634C4B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R</w:t>
            </w:r>
            <w:r w:rsidR="0082618A" w:rsidRPr="0082618A">
              <w:rPr>
                <w:rFonts w:cs="Arial"/>
                <w:color w:val="000000"/>
                <w:sz w:val="16"/>
                <w:szCs w:val="18"/>
              </w:rPr>
              <w:t>eading general email</w:t>
            </w:r>
          </w:p>
          <w:p w14:paraId="4DFF3E1F" w14:textId="05854452" w:rsidR="0082618A" w:rsidRPr="0082618A" w:rsidRDefault="00634C4B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Time entry</w:t>
            </w:r>
          </w:p>
          <w:p w14:paraId="7B6A9FDE" w14:textId="52AF31F0" w:rsidR="0082618A" w:rsidRPr="0082618A" w:rsidRDefault="00634C4B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S</w:t>
            </w:r>
            <w:r w:rsidR="0082618A" w:rsidRPr="0082618A">
              <w:rPr>
                <w:rFonts w:cs="Arial"/>
                <w:color w:val="000000"/>
                <w:sz w:val="16"/>
                <w:szCs w:val="18"/>
              </w:rPr>
              <w:t>taff meetings in general (unless it is broken out by productive categories)</w:t>
            </w:r>
          </w:p>
          <w:p w14:paraId="7068098C" w14:textId="69977CA7" w:rsidR="0082618A" w:rsidRPr="0082618A" w:rsidRDefault="0082618A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 w:rsidRPr="0082618A">
              <w:rPr>
                <w:rFonts w:cs="Arial"/>
                <w:color w:val="000000"/>
                <w:sz w:val="16"/>
                <w:szCs w:val="18"/>
              </w:rPr>
              <w:t>Attending  personal development trainings not re</w:t>
            </w:r>
            <w:r w:rsidR="00634C4B">
              <w:rPr>
                <w:rFonts w:cs="Arial"/>
                <w:color w:val="000000"/>
                <w:sz w:val="16"/>
                <w:szCs w:val="18"/>
              </w:rPr>
              <w:t>lated to a specific program</w:t>
            </w:r>
          </w:p>
          <w:p w14:paraId="397A1016" w14:textId="77777777" w:rsidR="0082618A" w:rsidRPr="0082618A" w:rsidRDefault="0082618A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 w:rsidRPr="0082618A">
              <w:rPr>
                <w:rFonts w:cs="Arial"/>
                <w:color w:val="000000"/>
                <w:sz w:val="16"/>
                <w:szCs w:val="18"/>
              </w:rPr>
              <w:t>Participation in safety meetings and activities</w:t>
            </w:r>
          </w:p>
          <w:p w14:paraId="6AD19A14" w14:textId="1AC7ED84" w:rsidR="0082618A" w:rsidRPr="0082618A" w:rsidRDefault="0082618A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 w:rsidRPr="0082618A">
              <w:rPr>
                <w:rFonts w:cs="Arial"/>
                <w:color w:val="000000"/>
                <w:sz w:val="16"/>
                <w:szCs w:val="18"/>
              </w:rPr>
              <w:t>Participation in  PG&amp;E sanctioned event where no PG&amp;E business topics are discussed or presented (e.g. volunteering at Food Bank)</w:t>
            </w:r>
          </w:p>
        </w:tc>
      </w:tr>
      <w:tr w:rsidR="0082618A" w14:paraId="6AD19A5B" w14:textId="77777777" w:rsidTr="00634C4B">
        <w:trPr>
          <w:trHeight w:val="2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AD19A57" w14:textId="77777777" w:rsidR="0082618A" w:rsidRPr="00431F32" w:rsidRDefault="0082618A" w:rsidP="00BD25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Productive</w:t>
            </w:r>
          </w:p>
        </w:tc>
        <w:tc>
          <w:tcPr>
            <w:tcW w:w="1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58" w14:textId="0005E856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Hours Worked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- 1000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5A" w14:textId="31CB5DA1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Customer Energy Efficiency (CEE)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See 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_Ref406141781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4C6E0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3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60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5C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5D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5F" w14:textId="352E799A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On-Bill Financing (OBF)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_Ref406141803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4C6E0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4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65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61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62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64" w14:textId="1204296B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DR / Ld Mgt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_Ref406141829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4C6E0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4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6A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66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67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69" w14:textId="3EA2C9F8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Non-Balancing Work (Prg IV)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_Ref406141837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4C6E0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5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6F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6B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6C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6E" w14:textId="34AE40B6" w:rsidR="0082618A" w:rsidRPr="00747C9B" w:rsidRDefault="00CF67A0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Time-</w: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t>Varying Pricing</w:t>
            </w:r>
            <w:r w:rsidR="0082618A"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_Ref406141859 </w:instrTex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4C6E0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5</w: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74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70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71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73" w14:textId="4B85BDB5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Pipeline Pathways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_Ref406141875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4C6E0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6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79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75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76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78" w14:textId="5F76BDBB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Storms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_Ref406141883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4C6E02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6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:rsidRPr="00747C9B" w14:paraId="4478B74C" w14:textId="77777777" w:rsidTr="00634C4B">
        <w:trPr>
          <w:trHeight w:val="187"/>
        </w:trPr>
        <w:tc>
          <w:tcPr>
            <w:tcW w:w="7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B54A2C0" w14:textId="77777777" w:rsidR="0082618A" w:rsidRDefault="0082618A" w:rsidP="002064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Non-Productive</w:t>
            </w:r>
          </w:p>
          <w:p w14:paraId="3C3D5375" w14:textId="59E61919" w:rsidR="000670C1" w:rsidRPr="000670C1" w:rsidRDefault="000670C1" w:rsidP="002064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70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(most common types)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7677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Safety</w:t>
            </w:r>
          </w:p>
        </w:tc>
        <w:tc>
          <w:tcPr>
            <w:tcW w:w="2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D1E86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68E672B2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61CB66C" w14:textId="77777777" w:rsidR="0082618A" w:rsidRPr="00431F32" w:rsidRDefault="0082618A" w:rsidP="002064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8F0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Floating Holiday</w:t>
            </w:r>
          </w:p>
        </w:tc>
        <w:tc>
          <w:tcPr>
            <w:tcW w:w="2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3385F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6457C8CA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CAFCDD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A132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Company Holiday - Paid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E4772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2607D308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BEC833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5B3" w14:textId="10B6128B" w:rsidR="0082618A" w:rsidRPr="00747C9B" w:rsidRDefault="00374E37" w:rsidP="00374E3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Incidental Sick Family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6BA59" w14:textId="04FF4EE8" w:rsidR="0082618A" w:rsidRPr="00747C9B" w:rsidRDefault="000670C1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Typically used for occasional time-off from work and before capped sick leave</w:t>
            </w:r>
          </w:p>
        </w:tc>
      </w:tr>
      <w:tr w:rsidR="0082618A" w:rsidRPr="00747C9B" w14:paraId="0CEBD5B1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37A690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8ED3" w14:textId="3FC2A3CE" w:rsidR="0082618A" w:rsidRPr="00747C9B" w:rsidRDefault="001E661F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Incidental </w: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t>Sick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6D2A5" w14:textId="1CB38DEC" w:rsidR="0082618A" w:rsidRPr="00747C9B" w:rsidRDefault="000670C1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Typically used for occasional time-off from work and before capped sick leave</w:t>
            </w:r>
          </w:p>
        </w:tc>
      </w:tr>
      <w:tr w:rsidR="001E661F" w:rsidRPr="00747C9B" w14:paraId="1C073797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A0DE29" w14:textId="77777777" w:rsidR="001E661F" w:rsidRPr="00431F32" w:rsidRDefault="001E661F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7EF8" w14:textId="558DCE34" w:rsidR="001E661F" w:rsidRDefault="001E661F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Capped Sick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ED326" w14:textId="77777777" w:rsidR="001E661F" w:rsidRPr="00747C9B" w:rsidRDefault="001E661F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374E37" w:rsidRPr="00747C9B" w14:paraId="4A9EDA28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FF2B45" w14:textId="77777777" w:rsidR="00374E37" w:rsidRPr="00431F32" w:rsidRDefault="00374E37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D54D" w14:textId="71BE1B2F" w:rsidR="00374E37" w:rsidRDefault="00374E37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Capped Sick Family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2BFA4" w14:textId="77777777" w:rsidR="00374E37" w:rsidRPr="00747C9B" w:rsidRDefault="00374E37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0562ED45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71A14B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AAB6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Vacation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FB21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29FF6D14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352019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31D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Vacation Buy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61C10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43FA39D5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0854E2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9EB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Funeral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B5F0D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67EB4795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8989FD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9CD4" w14:textId="20FECA7E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Indust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rial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Injury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66630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3B55BB28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25FA9E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0EB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Jury Duty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CFC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291C7863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F9BC6E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AC11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Time Off w/ perm w/o pay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79ADA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1C6F78A8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43239D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19F8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Time Off w/o perm w/o pay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540B0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1C41EAA4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747AE7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E0C3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Military Leave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92CA1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1A19EB5E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35A5D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1E1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Time Off w/ perm w/ pay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6F7B7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</w:tbl>
    <w:p w14:paraId="6AD19A8A" w14:textId="18867E2E" w:rsidR="00C66B13" w:rsidRDefault="00C66B13">
      <w:pPr>
        <w:rPr>
          <w:rFonts w:ascii="Calibri" w:hAnsi="Calibri"/>
          <w:b/>
          <w:sz w:val="22"/>
          <w:szCs w:val="22"/>
        </w:rPr>
      </w:pPr>
    </w:p>
    <w:p w14:paraId="67DA9B86" w14:textId="0A70AF08" w:rsidR="00747C9B" w:rsidRPr="00CF67A0" w:rsidRDefault="00634C4B">
      <w:pPr>
        <w:rPr>
          <w:rFonts w:ascii="Arial" w:hAnsi="Arial" w:cs="Arial"/>
          <w:sz w:val="20"/>
          <w:szCs w:val="20"/>
        </w:rPr>
      </w:pPr>
      <w:r w:rsidRPr="00BD2582">
        <w:rPr>
          <w:rFonts w:ascii="Arial" w:hAnsi="Arial" w:cs="Arial"/>
          <w:b/>
          <w:sz w:val="20"/>
          <w:szCs w:val="20"/>
        </w:rPr>
        <w:t xml:space="preserve">IMPORTANT: </w:t>
      </w:r>
      <w:r w:rsidRPr="00BD2582">
        <w:rPr>
          <w:rFonts w:ascii="Arial" w:hAnsi="Arial" w:cs="Arial"/>
          <w:sz w:val="20"/>
          <w:szCs w:val="20"/>
        </w:rPr>
        <w:t xml:space="preserve">The “Non-Billable Employee” attendance type </w:t>
      </w:r>
      <w:r w:rsidR="00CF67A0">
        <w:rPr>
          <w:rFonts w:ascii="Arial" w:hAnsi="Arial" w:cs="Arial"/>
          <w:sz w:val="20"/>
          <w:szCs w:val="20"/>
        </w:rPr>
        <w:t xml:space="preserve">*Non-Billable Employee – 1036) </w:t>
      </w:r>
      <w:r w:rsidRPr="00BD2582">
        <w:rPr>
          <w:rFonts w:ascii="Arial" w:hAnsi="Arial" w:cs="Arial"/>
          <w:sz w:val="20"/>
          <w:szCs w:val="20"/>
        </w:rPr>
        <w:t>is EXCLUSIVELY for the use of Directors</w:t>
      </w:r>
      <w:r w:rsidR="00BD2582">
        <w:rPr>
          <w:rFonts w:ascii="Arial" w:hAnsi="Arial" w:cs="Arial"/>
          <w:sz w:val="20"/>
          <w:szCs w:val="20"/>
        </w:rPr>
        <w:t xml:space="preserve">, </w:t>
      </w:r>
      <w:r w:rsidR="00CF67A0">
        <w:rPr>
          <w:rFonts w:ascii="Arial" w:hAnsi="Arial" w:cs="Arial"/>
          <w:sz w:val="20"/>
          <w:szCs w:val="20"/>
        </w:rPr>
        <w:t xml:space="preserve">Managers, </w:t>
      </w:r>
      <w:r w:rsidR="00BD2582">
        <w:rPr>
          <w:rFonts w:ascii="Arial" w:hAnsi="Arial" w:cs="Arial"/>
          <w:sz w:val="20"/>
          <w:szCs w:val="20"/>
        </w:rPr>
        <w:t>Supervisors</w:t>
      </w:r>
      <w:r w:rsidRPr="00BD2582">
        <w:rPr>
          <w:rFonts w:ascii="Arial" w:hAnsi="Arial" w:cs="Arial"/>
          <w:sz w:val="20"/>
          <w:szCs w:val="20"/>
        </w:rPr>
        <w:t xml:space="preserve"> and Administrative Assistants.  All other team members shall use the attendance types listed above.</w:t>
      </w:r>
    </w:p>
    <w:p w14:paraId="672D9F5D" w14:textId="77777777" w:rsidR="002624A1" w:rsidRDefault="002624A1" w:rsidP="009E26A9">
      <w:pPr>
        <w:rPr>
          <w:rFonts w:ascii="Arial" w:hAnsi="Arial" w:cs="Arial"/>
          <w:b/>
          <w:sz w:val="20"/>
          <w:szCs w:val="20"/>
        </w:rPr>
      </w:pPr>
    </w:p>
    <w:p w14:paraId="6AD19A8B" w14:textId="46C0A72F" w:rsidR="00F61281" w:rsidRPr="001B2D50" w:rsidRDefault="00C068B9" w:rsidP="009E26A9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Figure 1 - PG&amp;E @ Work for Me Time Entry Application</w:t>
      </w:r>
    </w:p>
    <w:p w14:paraId="6AD19A8C" w14:textId="77777777" w:rsidR="004D0BDB" w:rsidRPr="001B2D50" w:rsidRDefault="004D0BDB" w:rsidP="009E26A9">
      <w:pPr>
        <w:rPr>
          <w:rFonts w:ascii="Arial" w:hAnsi="Arial" w:cs="Arial"/>
          <w:b/>
          <w:sz w:val="20"/>
          <w:szCs w:val="20"/>
        </w:rPr>
      </w:pPr>
    </w:p>
    <w:p w14:paraId="6AD19A8D" w14:textId="1D5856BA" w:rsidR="00F61281" w:rsidRPr="002624A1" w:rsidRDefault="002624A1" w:rsidP="009E26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A</w:t>
      </w:r>
      <w:r w:rsidR="00F61281" w:rsidRPr="002624A1">
        <w:rPr>
          <w:rFonts w:ascii="Arial" w:hAnsi="Arial" w:cs="Arial"/>
          <w:sz w:val="18"/>
          <w:szCs w:val="18"/>
          <w:bdr w:val="single" w:sz="4" w:space="0" w:color="auto"/>
        </w:rPr>
        <w:t>ctivity Type</w:t>
      </w: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</w:t>
      </w:r>
      <w:r w:rsidRPr="002624A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</w:t>
      </w:r>
      <w:r w:rsidRPr="002624A1">
        <w:rPr>
          <w:rFonts w:ascii="Arial" w:hAnsi="Arial" w:cs="Arial"/>
          <w:sz w:val="18"/>
          <w:szCs w:val="18"/>
        </w:rPr>
        <w:t xml:space="preserve"> </w:t>
      </w:r>
      <w:r w:rsidR="00F61281" w:rsidRPr="002624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R</w:t>
      </w:r>
      <w:r w:rsidR="00F61281" w:rsidRPr="002624A1">
        <w:rPr>
          <w:rFonts w:ascii="Arial" w:hAnsi="Arial" w:cs="Arial"/>
          <w:sz w:val="18"/>
          <w:szCs w:val="18"/>
          <w:bdr w:val="single" w:sz="4" w:space="0" w:color="auto"/>
        </w:rPr>
        <w:t>eceiving O</w:t>
      </w:r>
      <w:r w:rsidR="008D249C" w:rsidRPr="002624A1">
        <w:rPr>
          <w:rFonts w:ascii="Arial" w:hAnsi="Arial" w:cs="Arial"/>
          <w:sz w:val="18"/>
          <w:szCs w:val="18"/>
          <w:bdr w:val="single" w:sz="4" w:space="0" w:color="auto"/>
        </w:rPr>
        <w:t>rder Number</w:t>
      </w: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</w:t>
      </w:r>
      <w:r w:rsidRPr="002624A1">
        <w:rPr>
          <w:rFonts w:ascii="Arial" w:hAnsi="Arial" w:cs="Arial"/>
          <w:sz w:val="18"/>
          <w:szCs w:val="18"/>
        </w:rPr>
        <w:t xml:space="preserve">  </w:t>
      </w:r>
      <w:r w:rsidR="008D249C" w:rsidRPr="002624A1">
        <w:rPr>
          <w:rFonts w:ascii="Arial" w:hAnsi="Arial" w:cs="Arial"/>
          <w:sz w:val="18"/>
          <w:szCs w:val="18"/>
        </w:rPr>
        <w:t xml:space="preserve"> </w:t>
      </w:r>
      <w:r w:rsidRPr="002624A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A</w:t>
      </w:r>
      <w:r w:rsidR="008D249C" w:rsidRPr="002624A1">
        <w:rPr>
          <w:rFonts w:ascii="Arial" w:hAnsi="Arial" w:cs="Arial"/>
          <w:sz w:val="18"/>
          <w:szCs w:val="18"/>
          <w:bdr w:val="single" w:sz="4" w:space="0" w:color="auto"/>
        </w:rPr>
        <w:t>ttendance/Absence</w:t>
      </w:r>
      <w:r w:rsidRPr="002624A1">
        <w:rPr>
          <w:rFonts w:ascii="Arial" w:hAnsi="Arial" w:cs="Arial"/>
          <w:sz w:val="18"/>
          <w:szCs w:val="18"/>
          <w:bdr w:val="single" w:sz="4" w:space="0" w:color="auto"/>
        </w:rPr>
        <w:t xml:space="preserve"> Type</w:t>
      </w: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</w:t>
      </w:r>
      <w:r w:rsidRPr="002624A1">
        <w:rPr>
          <w:rFonts w:ascii="Arial" w:hAnsi="Arial" w:cs="Arial"/>
          <w:sz w:val="18"/>
          <w:szCs w:val="18"/>
        </w:rPr>
        <w:t xml:space="preserve">           </w:t>
      </w:r>
      <w:r w:rsidRPr="002624A1">
        <w:rPr>
          <w:rFonts w:ascii="Arial" w:hAnsi="Arial" w:cs="Arial"/>
          <w:sz w:val="18"/>
          <w:szCs w:val="18"/>
          <w:bdr w:val="single" w:sz="4" w:space="0" w:color="auto"/>
        </w:rPr>
        <w:t xml:space="preserve"> Hours </w:t>
      </w:r>
      <w:r w:rsidRPr="002624A1">
        <w:rPr>
          <w:rFonts w:ascii="Arial" w:hAnsi="Arial" w:cs="Arial"/>
          <w:sz w:val="18"/>
          <w:szCs w:val="18"/>
        </w:rPr>
        <w:t xml:space="preserve">  </w:t>
      </w:r>
    </w:p>
    <w:p w14:paraId="6AD19A8E" w14:textId="0D2CF093" w:rsidR="00C068B9" w:rsidRPr="001B2D50" w:rsidRDefault="002624A1" w:rsidP="009E26A9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19BB7" wp14:editId="249C2B3F">
                <wp:simplePos x="0" y="0"/>
                <wp:positionH relativeFrom="column">
                  <wp:posOffset>4629785</wp:posOffset>
                </wp:positionH>
                <wp:positionV relativeFrom="paragraph">
                  <wp:posOffset>-635</wp:posOffset>
                </wp:positionV>
                <wp:extent cx="442595" cy="765810"/>
                <wp:effectExtent l="0" t="0" r="71755" b="533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64.55pt;margin-top:-.05pt;width:34.85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hUOg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19BB5" wp14:editId="28F1F1D3">
                <wp:simplePos x="0" y="0"/>
                <wp:positionH relativeFrom="column">
                  <wp:posOffset>4629785</wp:posOffset>
                </wp:positionH>
                <wp:positionV relativeFrom="paragraph">
                  <wp:posOffset>-635</wp:posOffset>
                </wp:positionV>
                <wp:extent cx="1094740" cy="765810"/>
                <wp:effectExtent l="0" t="0" r="67310" b="5334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64.55pt;margin-top:-.05pt;width:86.2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pF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19BB3" wp14:editId="1E25BDE0">
                <wp:simplePos x="0" y="0"/>
                <wp:positionH relativeFrom="column">
                  <wp:posOffset>4630189</wp:posOffset>
                </wp:positionH>
                <wp:positionV relativeFrom="paragraph">
                  <wp:posOffset>-173</wp:posOffset>
                </wp:positionV>
                <wp:extent cx="1651000" cy="765810"/>
                <wp:effectExtent l="0" t="0" r="82550" b="5334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4.6pt;margin-top:0;width:130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T6OgIAAGM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19BBB" wp14:editId="1796282F">
                <wp:simplePos x="0" y="0"/>
                <wp:positionH relativeFrom="column">
                  <wp:posOffset>404495</wp:posOffset>
                </wp:positionH>
                <wp:positionV relativeFrom="paragraph">
                  <wp:posOffset>-635</wp:posOffset>
                </wp:positionV>
                <wp:extent cx="412115" cy="765810"/>
                <wp:effectExtent l="0" t="0" r="83185" b="533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.85pt;margin-top:-.05pt;width:32.45pt;height:6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">
                <v:stroke endarrow="block"/>
              </v:shape>
            </w:pict>
          </mc:Fallback>
        </mc:AlternateContent>
      </w:r>
      <w:r w:rsidRPr="002624A1">
        <w:rPr>
          <w:rFonts w:ascii="Arial" w:hAnsi="Arial" w:cs="Arial"/>
          <w:b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19BB1" wp14:editId="76906066">
                <wp:simplePos x="0" y="0"/>
                <wp:positionH relativeFrom="column">
                  <wp:posOffset>1332230</wp:posOffset>
                </wp:positionH>
                <wp:positionV relativeFrom="paragraph">
                  <wp:posOffset>-635</wp:posOffset>
                </wp:positionV>
                <wp:extent cx="332105" cy="779145"/>
                <wp:effectExtent l="38100" t="0" r="29845" b="590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77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4.9pt;margin-top:-.05pt;width:26.15pt;height:61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bcPwIAAGw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19BB9" wp14:editId="667F078D">
                <wp:simplePos x="0" y="0"/>
                <wp:positionH relativeFrom="column">
                  <wp:posOffset>1914699</wp:posOffset>
                </wp:positionH>
                <wp:positionV relativeFrom="paragraph">
                  <wp:posOffset>-924</wp:posOffset>
                </wp:positionV>
                <wp:extent cx="1392381" cy="765810"/>
                <wp:effectExtent l="38100" t="0" r="17780" b="533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2381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0.75pt;margin-top:-.05pt;width:109.65pt;height:60.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</w:p>
    <w:p w14:paraId="6AD19A8F" w14:textId="77777777" w:rsidR="00944C77" w:rsidRDefault="00287B31" w:rsidP="009E26A9">
      <w:pPr>
        <w:rPr>
          <w:rFonts w:ascii="Arial Narrow" w:hAnsi="Arial Narrow"/>
          <w:sz w:val="36"/>
          <w:szCs w:val="36"/>
        </w:rPr>
      </w:pPr>
      <w:r>
        <w:rPr>
          <w:noProof/>
        </w:rPr>
        <w:drawing>
          <wp:inline distT="0" distB="0" distL="0" distR="0" wp14:anchorId="6AD19BBD" wp14:editId="70E6DDCF">
            <wp:extent cx="6432550" cy="2409190"/>
            <wp:effectExtent l="0" t="0" r="6350" b="0"/>
            <wp:docPr id="2" name="Picture 1" descr="cid:image003.jpg@01CFFE8D.FC4F8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FE8D.FC4F8F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9A90" w14:textId="77777777" w:rsidR="00944C77" w:rsidRPr="00944C77" w:rsidRDefault="00944C77" w:rsidP="00944C77"/>
    <w:p w14:paraId="6AD19A91" w14:textId="77777777" w:rsidR="0060470C" w:rsidRDefault="0060470C">
      <w:pPr>
        <w:rPr>
          <w:rFonts w:ascii="Arial Narrow" w:eastAsiaTheme="majorEastAsia" w:hAnsi="Arial Narrow"/>
          <w:b/>
          <w:bCs/>
          <w:sz w:val="36"/>
          <w:szCs w:val="36"/>
        </w:rPr>
      </w:pPr>
      <w:r>
        <w:rPr>
          <w:rFonts w:ascii="Arial Narrow" w:hAnsi="Arial Narrow"/>
          <w:sz w:val="36"/>
          <w:szCs w:val="36"/>
        </w:rPr>
        <w:br w:type="page"/>
      </w:r>
    </w:p>
    <w:p w14:paraId="6AD19A92" w14:textId="120D3C50" w:rsidR="00750AF6" w:rsidRPr="004E080C" w:rsidRDefault="00991E1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2" w:name="_Ref406141781"/>
      <w:bookmarkStart w:id="3" w:name="_Toc444923828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CEE (Balancing Account)</w:t>
      </w:r>
      <w:bookmarkEnd w:id="2"/>
      <w:bookmarkEnd w:id="3"/>
    </w:p>
    <w:p w14:paraId="6AD19A93" w14:textId="77777777" w:rsidR="00750AF6" w:rsidRPr="001B2D50" w:rsidRDefault="00750AF6" w:rsidP="00991E1F">
      <w:pPr>
        <w:rPr>
          <w:rFonts w:ascii="Arial" w:hAnsi="Arial" w:cs="Arial"/>
          <w:sz w:val="20"/>
          <w:szCs w:val="20"/>
        </w:rPr>
      </w:pPr>
    </w:p>
    <w:p w14:paraId="6AD19A94" w14:textId="77777777" w:rsidR="00991E1F" w:rsidRPr="001B2D50" w:rsidRDefault="00991E1F" w:rsidP="00991E1F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Cust</w:t>
      </w:r>
      <w:r w:rsidR="00FB1FCD" w:rsidRPr="001B2D50">
        <w:rPr>
          <w:rFonts w:ascii="Arial" w:hAnsi="Arial" w:cs="Arial"/>
          <w:sz w:val="20"/>
          <w:szCs w:val="20"/>
        </w:rPr>
        <w:t>omers contribute to the Public P</w:t>
      </w:r>
      <w:r w:rsidRPr="001B2D50">
        <w:rPr>
          <w:rFonts w:ascii="Arial" w:hAnsi="Arial" w:cs="Arial"/>
          <w:sz w:val="20"/>
          <w:szCs w:val="20"/>
        </w:rPr>
        <w:t>urpose</w:t>
      </w:r>
      <w:r w:rsidR="00FB1FCD" w:rsidRPr="001B2D50">
        <w:rPr>
          <w:rFonts w:ascii="Arial" w:hAnsi="Arial" w:cs="Arial"/>
          <w:sz w:val="20"/>
          <w:szCs w:val="20"/>
        </w:rPr>
        <w:t xml:space="preserve"> Program (PPP)</w:t>
      </w:r>
      <w:r w:rsidRPr="001B2D50">
        <w:rPr>
          <w:rFonts w:ascii="Arial" w:hAnsi="Arial" w:cs="Arial"/>
          <w:sz w:val="20"/>
          <w:szCs w:val="20"/>
        </w:rPr>
        <w:t xml:space="preserve"> charge on their monthly bills, and this is the money that funds the b</w:t>
      </w:r>
      <w:r w:rsidR="00E16378" w:rsidRPr="001B2D50">
        <w:rPr>
          <w:rFonts w:ascii="Arial" w:hAnsi="Arial" w:cs="Arial"/>
          <w:sz w:val="20"/>
          <w:szCs w:val="20"/>
        </w:rPr>
        <w:t xml:space="preserve">alancing account. </w:t>
      </w:r>
      <w:r w:rsidR="00FB1FCD" w:rsidRPr="001B2D50">
        <w:rPr>
          <w:rFonts w:ascii="Arial" w:hAnsi="Arial" w:cs="Arial"/>
          <w:sz w:val="20"/>
          <w:szCs w:val="20"/>
        </w:rPr>
        <w:t>Customer Energy Efficiency (CEE) is a significant portion of the PPP charge.</w:t>
      </w:r>
    </w:p>
    <w:p w14:paraId="6AD19A95" w14:textId="77777777" w:rsidR="00991E1F" w:rsidRPr="001B2D50" w:rsidRDefault="00991E1F" w:rsidP="00A36510">
      <w:pPr>
        <w:rPr>
          <w:rFonts w:ascii="Arial" w:hAnsi="Arial" w:cs="Arial"/>
          <w:sz w:val="20"/>
          <w:szCs w:val="20"/>
        </w:rPr>
      </w:pPr>
    </w:p>
    <w:p w14:paraId="6AD19A96" w14:textId="77777777" w:rsidR="00E16378" w:rsidRPr="001B2D50" w:rsidRDefault="00E16378" w:rsidP="00A36510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2 – CEE Work Categories</w:t>
      </w:r>
    </w:p>
    <w:p w14:paraId="6AD19A97" w14:textId="77777777" w:rsidR="00B9288C" w:rsidRPr="001B2D50" w:rsidRDefault="00B9288C" w:rsidP="004D0BDB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2178"/>
        <w:gridCol w:w="3600"/>
        <w:gridCol w:w="1711"/>
        <w:gridCol w:w="2879"/>
      </w:tblGrid>
      <w:tr w:rsidR="001D3A18" w14:paraId="6AD19A9C" w14:textId="77777777" w:rsidTr="00AD5075">
        <w:trPr>
          <w:trHeight w:val="705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8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9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A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 should use it?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B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782CDD" w14:paraId="6AD19AA1" w14:textId="77777777" w:rsidTr="00AD5075">
        <w:trPr>
          <w:trHeight w:val="600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58F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8D">
              <w:rPr>
                <w:rFonts w:ascii="Arial" w:hAnsi="Arial" w:cs="Arial"/>
                <w:color w:val="000000"/>
                <w:sz w:val="20"/>
                <w:szCs w:val="20"/>
              </w:rPr>
              <w:t xml:space="preserve">CEE Allocation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20218D">
              <w:rPr>
                <w:rFonts w:ascii="Arial" w:hAnsi="Arial" w:cs="Arial"/>
                <w:color w:val="000000"/>
                <w:sz w:val="20"/>
                <w:szCs w:val="20"/>
              </w:rPr>
              <w:t xml:space="preserve"> Implementation</w:t>
            </w:r>
          </w:p>
          <w:p w14:paraId="6AD19A9D" w14:textId="426A12D4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9E" w14:textId="69AB18BD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Any direct interaction with customers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9F" w14:textId="7E71A508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CRMs, SAMs &amp; CSMs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0" w14:textId="68D51319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Non-CRM/account reps employees can use this category if they have direct interaction with customers</w:t>
            </w:r>
          </w:p>
        </w:tc>
      </w:tr>
      <w:tr w:rsidR="00782CDD" w14:paraId="6AD19AA6" w14:textId="77777777" w:rsidTr="00AD5075">
        <w:trPr>
          <w:trHeight w:val="30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9AA2" w14:textId="75EAA752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3" w14:textId="03AE1A7E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Customer touches</w:t>
            </w: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4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5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CDD" w14:paraId="6AD19AAB" w14:textId="77777777" w:rsidTr="00AD5075">
        <w:trPr>
          <w:trHeight w:val="30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9AA7" w14:textId="7C64F770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8" w14:textId="43E4B28A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Energy Audits</w:t>
            </w: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9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A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CDD" w14:paraId="6AD19AB0" w14:textId="77777777" w:rsidTr="00AD5075">
        <w:trPr>
          <w:trHeight w:val="120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9AAC" w14:textId="7F6E2A76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D" w14:textId="0D244F33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921">
              <w:rPr>
                <w:rFonts w:ascii="Arial" w:hAnsi="Arial" w:cs="Arial"/>
                <w:color w:val="000000"/>
                <w:sz w:val="20"/>
                <w:szCs w:val="20"/>
              </w:rPr>
              <w:t>Training and education for CEE product and program offerings provided by CEE program administrators (Core, 3P, GP, etc.)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E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Anyone receiving program specific training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DCF1" w14:textId="1C836380" w:rsidR="00782CDD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NOT include personal development training (sales </w:t>
            </w:r>
            <w:r w:rsidR="00AD5075">
              <w:rPr>
                <w:rFonts w:ascii="Arial" w:hAnsi="Arial" w:cs="Arial"/>
                <w:color w:val="000000"/>
                <w:sz w:val="20"/>
                <w:szCs w:val="20"/>
              </w:rPr>
              <w:t>training, skills courses, etc.)</w:t>
            </w: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D19AAF" w14:textId="65CA6DF5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CDD" w14:paraId="6AD19ABA" w14:textId="77777777" w:rsidTr="00AD5075">
        <w:trPr>
          <w:trHeight w:val="64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B6" w14:textId="47FA2F1C" w:rsidR="00782CDD" w:rsidRPr="000F0EDB" w:rsidRDefault="00782CDD" w:rsidP="00F02031">
            <w:pPr>
              <w:spacing w:before="120" w:after="1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7" w14:textId="5DB5BBDD" w:rsidR="00782CDD" w:rsidRPr="005A47A7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2921">
              <w:rPr>
                <w:rFonts w:ascii="Arial" w:hAnsi="Arial" w:cs="Arial"/>
                <w:color w:val="000000"/>
                <w:sz w:val="20"/>
                <w:szCs w:val="20"/>
              </w:rPr>
              <w:t xml:space="preserve">Travel-related costs (labor, fees, lodging, </w:t>
            </w:r>
            <w:r w:rsidR="00AD5075" w:rsidRPr="00812921">
              <w:rPr>
                <w:rFonts w:ascii="Arial" w:hAnsi="Arial" w:cs="Arial"/>
                <w:color w:val="000000"/>
                <w:sz w:val="20"/>
                <w:szCs w:val="20"/>
              </w:rPr>
              <w:t>and travel</w:t>
            </w:r>
            <w:r w:rsidRPr="00812921">
              <w:rPr>
                <w:rFonts w:ascii="Arial" w:hAnsi="Arial" w:cs="Arial"/>
                <w:color w:val="000000"/>
                <w:sz w:val="20"/>
                <w:szCs w:val="20"/>
              </w:rPr>
              <w:t>) for the trainings referenced above and for any internal Energy Efficiency related meetings (quarter</w:t>
            </w:r>
            <w:r w:rsidR="00AD5075">
              <w:rPr>
                <w:rFonts w:ascii="Arial" w:hAnsi="Arial" w:cs="Arial"/>
                <w:color w:val="000000"/>
                <w:sz w:val="20"/>
                <w:szCs w:val="20"/>
              </w:rPr>
              <w:t>ly meetings, strategy meetings)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8" w14:textId="5745EA44" w:rsidR="00782CDD" w:rsidRPr="005A47A7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CRMs, SAMs &amp; CSMs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9" w14:textId="30391768" w:rsidR="00782CDD" w:rsidRPr="005A47A7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DD" w14:paraId="58923CC2" w14:textId="77777777" w:rsidTr="00AD5075">
        <w:trPr>
          <w:trHeight w:val="64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6118" w14:textId="5379FDE7" w:rsidR="00782CDD" w:rsidRPr="00DD6C0E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C1D7" w14:textId="610AFABE" w:rsidR="00782CDD" w:rsidRPr="005A47A7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6C0E">
              <w:rPr>
                <w:rFonts w:ascii="Arial" w:hAnsi="Arial" w:cs="Arial"/>
                <w:sz w:val="20"/>
                <w:szCs w:val="20"/>
              </w:rPr>
              <w:t>Sales Strategy and Planning Meetings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3324" w14:textId="4359CEEB" w:rsidR="00782CDD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CRMs, SAMs &amp; CSMs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C458" w14:textId="77777777" w:rsidR="00782CDD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C0E" w14:paraId="49410C30" w14:textId="77777777" w:rsidTr="00AD5075">
        <w:trPr>
          <w:trHeight w:val="64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426B" w14:textId="7FC29C9C" w:rsidR="00DD6C0E" w:rsidRPr="00DD6C0E" w:rsidRDefault="00DD6C0E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C0E">
              <w:rPr>
                <w:rFonts w:ascii="Arial" w:hAnsi="Arial" w:cs="Arial"/>
                <w:color w:val="000000"/>
                <w:sz w:val="20"/>
                <w:szCs w:val="20"/>
              </w:rPr>
              <w:t>CEE Allocation - Administration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E300" w14:textId="40A4D98E" w:rsidR="00DD6C0E" w:rsidRPr="005A47A7" w:rsidRDefault="00000F45" w:rsidP="00782C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0F45">
              <w:rPr>
                <w:rFonts w:ascii="Arial" w:hAnsi="Arial" w:cs="Arial"/>
                <w:color w:val="000000"/>
                <w:sz w:val="20"/>
                <w:szCs w:val="20"/>
              </w:rPr>
              <w:t>Travel-related costs (labor, fees, lodging, travel) for attending national events with energy efficiency themes (ACEEE, EEI)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78ED" w14:textId="22B1B866" w:rsidR="00DD6C0E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CRMs, SAMs &amp; CSMs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F496" w14:textId="77777777" w:rsidR="00DD6C0E" w:rsidRPr="005A47A7" w:rsidRDefault="00DD6C0E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19AC5" w14:textId="77777777" w:rsidR="00B9288C" w:rsidRDefault="00B9288C" w:rsidP="00734618"/>
    <w:p w14:paraId="6AD19AC6" w14:textId="77777777" w:rsidR="0060470C" w:rsidRDefault="006047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D19AC7" w14:textId="77777777" w:rsidR="002224FF" w:rsidRPr="004E080C" w:rsidRDefault="002224F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4" w:name="_Ref406141803"/>
      <w:bookmarkStart w:id="5" w:name="_Toc444923829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On-Bill Financing (OBF) (Balancing Account)</w:t>
      </w:r>
      <w:bookmarkEnd w:id="4"/>
      <w:bookmarkEnd w:id="5"/>
    </w:p>
    <w:p w14:paraId="6AD19AC8" w14:textId="77777777" w:rsidR="00D072A4" w:rsidRPr="001B2D50" w:rsidRDefault="00D072A4" w:rsidP="00D072A4">
      <w:pPr>
        <w:rPr>
          <w:rFonts w:ascii="Arial" w:hAnsi="Arial" w:cs="Arial"/>
          <w:sz w:val="20"/>
          <w:szCs w:val="20"/>
        </w:rPr>
      </w:pPr>
    </w:p>
    <w:p w14:paraId="6AD19AC9" w14:textId="1A4F53F1" w:rsidR="00CC63F0" w:rsidRPr="001B2D50" w:rsidRDefault="00CC63F0" w:rsidP="00CC63F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 xml:space="preserve">OBF is a financing program that issues 0% </w:t>
      </w:r>
      <w:r w:rsidR="00CF67A0">
        <w:rPr>
          <w:rFonts w:ascii="Arial" w:hAnsi="Arial" w:cs="Arial"/>
          <w:sz w:val="20"/>
          <w:szCs w:val="20"/>
        </w:rPr>
        <w:t>i</w:t>
      </w:r>
      <w:r w:rsidRPr="001B2D50">
        <w:rPr>
          <w:rFonts w:ascii="Arial" w:hAnsi="Arial" w:cs="Arial"/>
          <w:sz w:val="20"/>
          <w:szCs w:val="20"/>
        </w:rPr>
        <w:t xml:space="preserve">nterest, zero penalty loans for installation of qualifying EE measures. OBF serves as an enhancement to PG&amp;E’s existing rebate and/or incentive programs. </w:t>
      </w:r>
      <w:r w:rsidR="0013499E">
        <w:rPr>
          <w:rFonts w:ascii="Arial" w:hAnsi="Arial" w:cs="Arial"/>
          <w:sz w:val="20"/>
          <w:szCs w:val="20"/>
        </w:rPr>
        <w:t>BES</w:t>
      </w:r>
      <w:r w:rsidRPr="001B2D50">
        <w:rPr>
          <w:rFonts w:ascii="Arial" w:hAnsi="Arial" w:cs="Arial"/>
          <w:sz w:val="20"/>
          <w:szCs w:val="20"/>
        </w:rPr>
        <w:t xml:space="preserve"> supports this program with two work categories: OBF Implementation and OBF Marketing</w:t>
      </w:r>
      <w:r w:rsidR="003C7520" w:rsidRPr="001B2D50">
        <w:rPr>
          <w:rFonts w:ascii="Arial" w:hAnsi="Arial" w:cs="Arial"/>
          <w:sz w:val="20"/>
          <w:szCs w:val="20"/>
        </w:rPr>
        <w:t>.</w:t>
      </w:r>
    </w:p>
    <w:p w14:paraId="6AD19ACA" w14:textId="77777777" w:rsidR="00CC63F0" w:rsidRPr="001B2D50" w:rsidRDefault="00CC63F0" w:rsidP="00D072A4">
      <w:pPr>
        <w:rPr>
          <w:rFonts w:ascii="Arial" w:hAnsi="Arial" w:cs="Arial"/>
          <w:sz w:val="20"/>
          <w:szCs w:val="20"/>
        </w:rPr>
      </w:pPr>
    </w:p>
    <w:p w14:paraId="6AD19ACB" w14:textId="77777777" w:rsidR="00CC63F0" w:rsidRPr="001B2D50" w:rsidRDefault="00CC63F0" w:rsidP="00CC63F0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3 – OBF Work Categories</w:t>
      </w:r>
    </w:p>
    <w:p w14:paraId="6AD19ACC" w14:textId="77777777" w:rsidR="00BC295B" w:rsidRPr="001B2D50" w:rsidRDefault="00BC295B" w:rsidP="004D0BD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560"/>
        <w:gridCol w:w="6120"/>
      </w:tblGrid>
      <w:tr w:rsidR="00BC295B" w14:paraId="6AD19ACF" w14:textId="77777777" w:rsidTr="00BC295B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CD" w14:textId="77777777" w:rsidR="00BC295B" w:rsidRPr="001B2D50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CE" w14:textId="77777777" w:rsidR="00BC295B" w:rsidRPr="001B2D50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BC295B" w14:paraId="6AD19AD2" w14:textId="77777777" w:rsidTr="00C66B13">
        <w:trPr>
          <w:trHeight w:val="60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9AD0" w14:textId="2B7C0608" w:rsidR="00BC295B" w:rsidRPr="001B2D50" w:rsidRDefault="0013499E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CEE OBF - Implementation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1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Assisting a customer with the completion of the Payment History Review Template</w:t>
            </w:r>
          </w:p>
        </w:tc>
      </w:tr>
      <w:tr w:rsidR="00BC295B" w14:paraId="6AD19AD5" w14:textId="77777777" w:rsidTr="00C66B13">
        <w:trPr>
          <w:trHeight w:val="6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3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4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Reviewing and providing the Payment History Review Template to the OBF Program</w:t>
            </w:r>
          </w:p>
        </w:tc>
      </w:tr>
      <w:tr w:rsidR="00BC295B" w14:paraId="6AD19AD8" w14:textId="77777777" w:rsidTr="00C66B13">
        <w:trPr>
          <w:trHeight w:val="6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6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7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Collection, completion, review and submission of application package materials required for Pre-Field Review</w:t>
            </w:r>
          </w:p>
        </w:tc>
      </w:tr>
      <w:tr w:rsidR="00BC295B" w14:paraId="6AD19ADB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9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A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Review, execution and submission of Loan Agreement</w:t>
            </w:r>
          </w:p>
        </w:tc>
      </w:tr>
      <w:tr w:rsidR="00BC295B" w14:paraId="6AD19ADE" w14:textId="77777777" w:rsidTr="00C66B13">
        <w:trPr>
          <w:trHeight w:val="6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C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D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Collection, completion, and submission of application package materials required for Post-Field Review</w:t>
            </w:r>
          </w:p>
        </w:tc>
      </w:tr>
      <w:tr w:rsidR="00BC295B" w14:paraId="6AD19AE1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F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0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Execution and submission of Loan Modification Agreement</w:t>
            </w:r>
          </w:p>
        </w:tc>
      </w:tr>
      <w:tr w:rsidR="00BC295B" w14:paraId="6AD19AE4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E2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3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Miscellaneous application questions and inquiries</w:t>
            </w:r>
          </w:p>
        </w:tc>
      </w:tr>
      <w:tr w:rsidR="00BC295B" w14:paraId="6AD19AE7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E5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6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Troubleshooting causes of failed payment screen</w:t>
            </w:r>
          </w:p>
        </w:tc>
      </w:tr>
      <w:tr w:rsidR="00BC295B" w14:paraId="6AD19AEA" w14:textId="77777777" w:rsidTr="00C66B13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E8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9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Coordinating between the customer/vendor/OBF</w:t>
            </w:r>
          </w:p>
        </w:tc>
      </w:tr>
      <w:tr w:rsidR="00BC295B" w14:paraId="6AD19AED" w14:textId="77777777" w:rsidTr="00C66B13">
        <w:trPr>
          <w:trHeight w:val="600"/>
        </w:trPr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9AEB" w14:textId="59D36CA0" w:rsidR="00BC295B" w:rsidRPr="001B2D50" w:rsidRDefault="0013499E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CEE OBF - Marketing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C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Delivering OBF Presentations to potential customers and/or Implementers</w:t>
            </w:r>
          </w:p>
        </w:tc>
      </w:tr>
      <w:tr w:rsidR="00BC295B" w14:paraId="6AD19AF0" w14:textId="77777777" w:rsidTr="00C66B13">
        <w:trPr>
          <w:trHeight w:val="300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EE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F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Meeting and discussions for OBF offerings with customers</w:t>
            </w:r>
          </w:p>
        </w:tc>
      </w:tr>
      <w:tr w:rsidR="00BC295B" w14:paraId="6AD19AF3" w14:textId="77777777" w:rsidTr="00C66B13">
        <w:trPr>
          <w:trHeight w:val="315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F1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F2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Miscellaneous program inquiries</w:t>
            </w:r>
          </w:p>
        </w:tc>
      </w:tr>
    </w:tbl>
    <w:p w14:paraId="6AD19AF4" w14:textId="77777777" w:rsidR="00D072A4" w:rsidRPr="001B2D50" w:rsidRDefault="00D072A4" w:rsidP="004D0BDB">
      <w:pPr>
        <w:jc w:val="both"/>
        <w:rPr>
          <w:rFonts w:ascii="Arial" w:hAnsi="Arial" w:cs="Arial"/>
          <w:sz w:val="20"/>
          <w:szCs w:val="20"/>
        </w:rPr>
      </w:pPr>
    </w:p>
    <w:p w14:paraId="6AD19AF5" w14:textId="77777777" w:rsidR="004D0BDB" w:rsidRPr="001B2D50" w:rsidRDefault="004D0BDB" w:rsidP="00E16378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AD19AF6" w14:textId="77777777" w:rsidR="0060470C" w:rsidRPr="001B2D50" w:rsidRDefault="0060470C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6AD19AF7" w14:textId="77777777" w:rsidR="00E16378" w:rsidRPr="004E080C" w:rsidRDefault="00E16378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6" w:name="_Ref406141829"/>
      <w:bookmarkStart w:id="7" w:name="_Toc440289312"/>
      <w:bookmarkStart w:id="8" w:name="_Toc444923830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Demand Response</w:t>
      </w:r>
      <w:r w:rsidR="00A57E5F"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(DR)</w:t>
      </w:r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(Balancing Account)</w:t>
      </w:r>
      <w:bookmarkEnd w:id="6"/>
      <w:bookmarkEnd w:id="7"/>
      <w:bookmarkEnd w:id="8"/>
    </w:p>
    <w:p w14:paraId="6AD19AF8" w14:textId="77777777" w:rsidR="00E16378" w:rsidRPr="001B2D50" w:rsidRDefault="00E16378" w:rsidP="00E16378">
      <w:pPr>
        <w:rPr>
          <w:rFonts w:ascii="Arial" w:hAnsi="Arial" w:cs="Arial"/>
          <w:sz w:val="20"/>
          <w:szCs w:val="20"/>
        </w:rPr>
      </w:pPr>
    </w:p>
    <w:p w14:paraId="6AD19AF9" w14:textId="77777777" w:rsidR="00734618" w:rsidRPr="001B2D50" w:rsidRDefault="00D7622A" w:rsidP="00A3651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PG&amp;E's Demand R</w:t>
      </w:r>
      <w:r w:rsidR="00195332" w:rsidRPr="001B2D50">
        <w:rPr>
          <w:rFonts w:ascii="Arial" w:hAnsi="Arial" w:cs="Arial"/>
          <w:sz w:val="20"/>
          <w:szCs w:val="20"/>
        </w:rPr>
        <w:t xml:space="preserve">esponse programs are designed to enable customers to contribute to energy load reduction during times of peak demand. </w:t>
      </w:r>
      <w:r w:rsidRPr="001B2D50">
        <w:rPr>
          <w:rFonts w:ascii="Arial" w:hAnsi="Arial" w:cs="Arial"/>
          <w:sz w:val="20"/>
          <w:szCs w:val="20"/>
        </w:rPr>
        <w:t xml:space="preserve">DR programs offer incentives to businesses that reduce the energy use of their facilities during times of peak demand. </w:t>
      </w:r>
    </w:p>
    <w:p w14:paraId="6AD19AFA" w14:textId="77777777" w:rsidR="00FC4A3C" w:rsidRPr="001B2D50" w:rsidRDefault="00FC4A3C" w:rsidP="00A36510">
      <w:pPr>
        <w:rPr>
          <w:rFonts w:ascii="Arial" w:hAnsi="Arial" w:cs="Arial"/>
          <w:sz w:val="20"/>
          <w:szCs w:val="20"/>
        </w:rPr>
      </w:pPr>
    </w:p>
    <w:p w14:paraId="6AD19AFB" w14:textId="77777777" w:rsidR="00D7622A" w:rsidRPr="001B2D50" w:rsidRDefault="00D7622A" w:rsidP="00D7622A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 xml:space="preserve">Table </w:t>
      </w:r>
      <w:r w:rsidR="0096106F" w:rsidRPr="001B2D50">
        <w:rPr>
          <w:rFonts w:ascii="Arial" w:hAnsi="Arial" w:cs="Arial"/>
          <w:b/>
          <w:sz w:val="20"/>
          <w:szCs w:val="20"/>
        </w:rPr>
        <w:t>4</w:t>
      </w:r>
      <w:r w:rsidRPr="001B2D50">
        <w:rPr>
          <w:rFonts w:ascii="Arial" w:hAnsi="Arial" w:cs="Arial"/>
          <w:b/>
          <w:sz w:val="20"/>
          <w:szCs w:val="20"/>
        </w:rPr>
        <w:t xml:space="preserve"> – DR Work Categories</w:t>
      </w:r>
    </w:p>
    <w:p w14:paraId="6AD19AFC" w14:textId="77777777" w:rsidR="00FC4A3C" w:rsidRPr="001B2D50" w:rsidRDefault="00FC4A3C" w:rsidP="00D762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4695"/>
        <w:gridCol w:w="5580"/>
      </w:tblGrid>
      <w:tr w:rsidR="00BC295B" w14:paraId="6AD19AFF" w14:textId="77777777" w:rsidTr="007879A9">
        <w:trPr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FD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FE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BC295B" w14:paraId="6AD19B02" w14:textId="77777777" w:rsidTr="007879A9">
        <w:trPr>
          <w:trHeight w:val="33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0" w14:textId="764688F3" w:rsidR="00BC295B" w:rsidRPr="00C66B13" w:rsidRDefault="0013499E" w:rsidP="007879A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DREBA</w:t>
            </w:r>
            <w:r w:rsidR="007879A9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879A9">
              <w:rPr>
                <w:rFonts w:ascii="Arial" w:hAnsi="Arial" w:cs="Arial"/>
                <w:color w:val="000000"/>
                <w:sz w:val="20"/>
                <w:szCs w:val="20"/>
              </w:rPr>
              <w:t xml:space="preserve">DR </w:t>
            </w: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COR</w:t>
            </w:r>
            <w:r w:rsidR="007879A9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1349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MK</w:t>
            </w:r>
            <w:r w:rsidR="007879A9">
              <w:rPr>
                <w:rFonts w:ascii="Arial" w:hAnsi="Arial" w:cs="Arial"/>
                <w:color w:val="000000"/>
                <w:sz w:val="20"/>
                <w:szCs w:val="20"/>
              </w:rPr>
              <w:t>-10847-CHIN-BES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1" w14:textId="77777777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Interaction with customers as it relates to DR programs</w:t>
            </w:r>
          </w:p>
        </w:tc>
      </w:tr>
      <w:tr w:rsidR="00BC295B" w14:paraId="6AD19B05" w14:textId="77777777" w:rsidTr="007879A9">
        <w:trPr>
          <w:trHeight w:val="18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3" w14:textId="647CDAA9" w:rsidR="00BC295B" w:rsidRPr="00C66B13" w:rsidRDefault="007879A9" w:rsidP="007879A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DREBA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</w:t>
            </w: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COR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E&amp;T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-10847-CHIN-BES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4" w14:textId="77777777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Participation or attendance of DR training and education</w:t>
            </w:r>
          </w:p>
        </w:tc>
      </w:tr>
    </w:tbl>
    <w:p w14:paraId="6AD19B06" w14:textId="138F39AC" w:rsidR="001B2D50" w:rsidRDefault="001B2D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AD19B07" w14:textId="77777777" w:rsidR="00734618" w:rsidRPr="004E080C" w:rsidRDefault="00A57E5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9" w:name="_Ref406141837"/>
      <w:bookmarkStart w:id="10" w:name="_Toc444923831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Non- Balancing Work (Prg IV)</w:t>
      </w:r>
      <w:bookmarkEnd w:id="9"/>
      <w:bookmarkEnd w:id="10"/>
    </w:p>
    <w:p w14:paraId="6AD19B08" w14:textId="77777777" w:rsidR="00734618" w:rsidRPr="001B2D50" w:rsidRDefault="00734618" w:rsidP="00A36510">
      <w:pPr>
        <w:rPr>
          <w:rFonts w:ascii="Arial" w:hAnsi="Arial" w:cs="Arial"/>
          <w:sz w:val="20"/>
          <w:szCs w:val="20"/>
        </w:rPr>
      </w:pPr>
    </w:p>
    <w:p w14:paraId="6AD19B09" w14:textId="77777777" w:rsidR="00A00CBD" w:rsidRPr="001B2D50" w:rsidRDefault="00FB1FCD" w:rsidP="00A3651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Non-Balancing work includes all electric/gas service work with our existing customers, not the sales (Energy Efficiency) aspect of dealing with customers. It is funded by the General Rate Case (GRC).</w:t>
      </w:r>
    </w:p>
    <w:p w14:paraId="6AD19B0A" w14:textId="77777777" w:rsidR="00FB1FCD" w:rsidRPr="001B2D50" w:rsidRDefault="00FB1FCD" w:rsidP="00A36510">
      <w:pPr>
        <w:rPr>
          <w:rFonts w:ascii="Arial" w:hAnsi="Arial" w:cs="Arial"/>
          <w:sz w:val="20"/>
          <w:szCs w:val="20"/>
        </w:rPr>
      </w:pPr>
    </w:p>
    <w:p w14:paraId="6AD19B0B" w14:textId="77777777" w:rsidR="00D35047" w:rsidRPr="001B2D50" w:rsidRDefault="0096106F" w:rsidP="00D35047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5</w:t>
      </w:r>
      <w:r w:rsidR="00D35047" w:rsidRPr="001B2D50">
        <w:rPr>
          <w:rFonts w:ascii="Arial" w:hAnsi="Arial" w:cs="Arial"/>
          <w:b/>
          <w:sz w:val="20"/>
          <w:szCs w:val="20"/>
        </w:rPr>
        <w:t xml:space="preserve"> – Non-Bal Work Categories</w:t>
      </w:r>
    </w:p>
    <w:p w14:paraId="6AD19B0C" w14:textId="77777777" w:rsidR="00BC295B" w:rsidRPr="001B2D50" w:rsidRDefault="00BC295B" w:rsidP="004D0BDB">
      <w:pPr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785"/>
        <w:gridCol w:w="5130"/>
      </w:tblGrid>
      <w:tr w:rsidR="00BC295B" w14:paraId="6AD19B0F" w14:textId="77777777" w:rsidTr="00C66B13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B0D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B0E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BC295B" w14:paraId="6AD19B12" w14:textId="77777777" w:rsidTr="00F02031">
        <w:trPr>
          <w:trHeight w:val="284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0" w14:textId="4474E5BE" w:rsidR="00BC295B" w:rsidRPr="00C66B13" w:rsidRDefault="00747C9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C9B">
              <w:rPr>
                <w:rFonts w:ascii="Arial" w:hAnsi="Arial" w:cs="Arial"/>
                <w:color w:val="000000"/>
                <w:sz w:val="20"/>
                <w:szCs w:val="20"/>
              </w:rPr>
              <w:t>IV Metering Billing Credit</w:t>
            </w:r>
            <w:r w:rsidR="00EE4D83">
              <w:rPr>
                <w:rFonts w:ascii="Arial" w:hAnsi="Arial" w:cs="Arial"/>
                <w:color w:val="000000"/>
                <w:sz w:val="20"/>
                <w:szCs w:val="20"/>
              </w:rPr>
              <w:t xml:space="preserve"> (LCIA &amp; SMB)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1" w14:textId="77777777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Time spent on resolving Billing/Credit, and Metering issues</w:t>
            </w:r>
          </w:p>
        </w:tc>
      </w:tr>
      <w:tr w:rsidR="00BC295B" w14:paraId="6AD19B15" w14:textId="77777777" w:rsidTr="00565346">
        <w:trPr>
          <w:trHeight w:val="60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3" w14:textId="428FD4ED" w:rsidR="00BC295B" w:rsidRPr="00C66B1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IV Rates Rules Contracts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(LCIA &amp; SMB)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4" w14:textId="57F83AB4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Customer interaction relating to Rates, Rules, Contracts, Tariffs</w:t>
            </w:r>
          </w:p>
        </w:tc>
      </w:tr>
      <w:tr w:rsidR="00BC295B" w14:paraId="6AD19B18" w14:textId="77777777" w:rsidTr="00565346">
        <w:trPr>
          <w:trHeight w:val="833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6" w14:textId="484702C1" w:rsidR="00BC295B" w:rsidRPr="00C66B1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IV Reliability &amp; Svc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(LCIA &amp; SMB)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7" w14:textId="0709B00E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Any time spent on electric/gas service related activities like: outages, service planning, etc. Reliability is the most common Non-Bal Work Category</w:t>
            </w:r>
          </w:p>
        </w:tc>
      </w:tr>
      <w:tr w:rsidR="00EE4D83" w14:paraId="31DC6AA7" w14:textId="77777777" w:rsidTr="00565346">
        <w:trPr>
          <w:trHeight w:val="60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D246" w14:textId="35A0EF6E" w:rsidR="00EE4D83" w:rsidRPr="00EE4D8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Svc Plan/Elec Gen Interconnect</w:t>
            </w:r>
            <w:r w:rsidR="00EE0748">
              <w:rPr>
                <w:rFonts w:ascii="Arial" w:hAnsi="Arial" w:cs="Arial"/>
                <w:color w:val="000000"/>
                <w:sz w:val="20"/>
                <w:szCs w:val="20"/>
              </w:rPr>
              <w:t xml:space="preserve"> (LCIA &amp; SMB)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9E6C" w14:textId="6034FF74" w:rsidR="00EE4D83" w:rsidRPr="00C66B1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Time spent on service planning issues speci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fic to customers that generate</w:t>
            </w: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electricity</w:t>
            </w:r>
          </w:p>
        </w:tc>
      </w:tr>
      <w:tr w:rsidR="00EE4D83" w14:paraId="2FC99C61" w14:textId="77777777" w:rsidTr="00565346">
        <w:trPr>
          <w:trHeight w:val="60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B8E7" w14:textId="6476F88E" w:rsidR="00EE4D83" w:rsidRPr="00EE4D8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BES START Team - SBUA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E5F45" w14:textId="2DA1025D" w:rsidR="00EE4D83" w:rsidRPr="00C66B13" w:rsidRDefault="00565346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spent on outreach to SMB customer</w:t>
            </w:r>
            <w:r w:rsidR="0016394D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newly started services.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be used by the START Team</w:t>
            </w:r>
          </w:p>
        </w:tc>
      </w:tr>
    </w:tbl>
    <w:p w14:paraId="3AD7DCC1" w14:textId="77777777" w:rsidR="00281CE5" w:rsidRDefault="00281CE5" w:rsidP="004D0BDB">
      <w:pPr>
        <w:rPr>
          <w:rFonts w:ascii="Arial" w:hAnsi="Arial" w:cs="Arial"/>
          <w:sz w:val="20"/>
          <w:szCs w:val="20"/>
        </w:rPr>
      </w:pPr>
    </w:p>
    <w:p w14:paraId="0C384511" w14:textId="77777777" w:rsidR="00131F68" w:rsidRPr="001B2D50" w:rsidRDefault="00131F68" w:rsidP="004D0BDB">
      <w:pPr>
        <w:rPr>
          <w:rFonts w:ascii="Arial" w:hAnsi="Arial" w:cs="Arial"/>
          <w:sz w:val="20"/>
          <w:szCs w:val="20"/>
        </w:rPr>
      </w:pPr>
    </w:p>
    <w:p w14:paraId="6AD19B20" w14:textId="77777777" w:rsidR="001B2D50" w:rsidRPr="001B2D50" w:rsidRDefault="001B2D50" w:rsidP="004D0BDB">
      <w:pPr>
        <w:rPr>
          <w:rFonts w:ascii="Arial" w:hAnsi="Arial" w:cs="Arial"/>
          <w:sz w:val="20"/>
          <w:szCs w:val="20"/>
        </w:rPr>
      </w:pPr>
    </w:p>
    <w:p w14:paraId="045BCE0F" w14:textId="4C1D807D" w:rsidR="00ED7B9A" w:rsidRPr="004E080C" w:rsidRDefault="00ED7B9A" w:rsidP="00ED7B9A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1" w:name="_Toc444923833"/>
      <w:bookmarkStart w:id="12" w:name="_Ref406141859"/>
      <w:r>
        <w:rPr>
          <w:rFonts w:ascii="Arial Narrow" w:hAnsi="Arial Narrow"/>
          <w:bCs w:val="0"/>
          <w:color w:val="FFFFFF" w:themeColor="background1"/>
          <w:sz w:val="36"/>
          <w:szCs w:val="36"/>
        </w:rPr>
        <w:t>Solar Choice</w:t>
      </w:r>
      <w:bookmarkEnd w:id="11"/>
    </w:p>
    <w:p w14:paraId="50FCD330" w14:textId="77777777" w:rsidR="00ED7B9A" w:rsidRPr="001B2D50" w:rsidRDefault="00ED7B9A" w:rsidP="00ED7B9A">
      <w:pPr>
        <w:rPr>
          <w:rFonts w:ascii="Arial" w:hAnsi="Arial" w:cs="Arial"/>
          <w:b/>
          <w:sz w:val="20"/>
          <w:szCs w:val="20"/>
        </w:rPr>
      </w:pPr>
    </w:p>
    <w:p w14:paraId="0E3ECC0E" w14:textId="57473758" w:rsidR="00ED7B9A" w:rsidRPr="001B2D50" w:rsidRDefault="00ED7B9A" w:rsidP="00ED7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</w:t>
      </w:r>
      <w:r w:rsidR="004F280D">
        <w:rPr>
          <w:rFonts w:ascii="Arial" w:hAnsi="Arial" w:cs="Arial"/>
          <w:b/>
          <w:sz w:val="20"/>
          <w:szCs w:val="20"/>
        </w:rPr>
        <w:t>6</w:t>
      </w:r>
      <w:r w:rsidRPr="001B2D50">
        <w:rPr>
          <w:rFonts w:ascii="Arial" w:hAnsi="Arial" w:cs="Arial"/>
          <w:b/>
          <w:sz w:val="20"/>
          <w:szCs w:val="20"/>
        </w:rPr>
        <w:t xml:space="preserve"> – </w:t>
      </w:r>
      <w:r w:rsidR="00C26D59">
        <w:rPr>
          <w:rFonts w:ascii="Arial" w:hAnsi="Arial" w:cs="Arial"/>
          <w:b/>
          <w:sz w:val="20"/>
          <w:szCs w:val="20"/>
        </w:rPr>
        <w:t>Solar Choice</w:t>
      </w:r>
      <w:r w:rsidRPr="001B2D50">
        <w:rPr>
          <w:rFonts w:ascii="Arial" w:hAnsi="Arial" w:cs="Arial"/>
          <w:b/>
          <w:sz w:val="20"/>
          <w:szCs w:val="20"/>
        </w:rPr>
        <w:t xml:space="preserve"> Work Categories</w:t>
      </w:r>
    </w:p>
    <w:p w14:paraId="1A26F2FB" w14:textId="77777777" w:rsidR="00ED7B9A" w:rsidRPr="001B2D50" w:rsidRDefault="00ED7B9A" w:rsidP="00ED7B9A">
      <w:pPr>
        <w:rPr>
          <w:rFonts w:ascii="Arial" w:hAnsi="Arial" w:cs="Arial"/>
          <w:b/>
          <w:sz w:val="20"/>
          <w:szCs w:val="20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785"/>
        <w:gridCol w:w="5130"/>
      </w:tblGrid>
      <w:tr w:rsidR="00ED7B9A" w14:paraId="77BFD298" w14:textId="77777777" w:rsidTr="00026B7A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3443C02" w14:textId="77777777" w:rsidR="00ED7B9A" w:rsidRPr="00C66B13" w:rsidRDefault="00ED7B9A" w:rsidP="00026B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4BBEF4BD" w14:textId="77777777" w:rsidR="00ED7B9A" w:rsidRPr="00C66B13" w:rsidRDefault="00ED7B9A" w:rsidP="00026B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ED7B9A" w14:paraId="3DA913C7" w14:textId="77777777" w:rsidTr="00026B7A">
        <w:trPr>
          <w:trHeight w:val="221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C8E" w14:textId="18B5FB83" w:rsidR="00ED7B9A" w:rsidRPr="00C66B13" w:rsidRDefault="00ED7B9A" w:rsidP="00026B7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B9A">
              <w:rPr>
                <w:rFonts w:ascii="Arial" w:hAnsi="Arial" w:cs="Arial"/>
                <w:color w:val="000000"/>
                <w:sz w:val="20"/>
                <w:szCs w:val="20"/>
              </w:rPr>
              <w:t>Solar Choice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15651" w14:textId="17BFA2C1" w:rsidR="00ED7B9A" w:rsidRPr="00C66B13" w:rsidRDefault="00ED7B9A" w:rsidP="00ED7B9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Time spent supporting Solar Choice </w:t>
            </w:r>
            <w:r w:rsidR="005C1DF1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</w:t>
            </w:r>
          </w:p>
        </w:tc>
      </w:tr>
    </w:tbl>
    <w:p w14:paraId="0D8BCE98" w14:textId="77777777" w:rsidR="00ED7B9A" w:rsidRDefault="00ED7B9A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</w:p>
    <w:p w14:paraId="31A8D6E6" w14:textId="77777777" w:rsidR="00CD57AD" w:rsidRDefault="00CD57AD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  <w:r>
        <w:rPr>
          <w:rFonts w:ascii="Arial Narrow" w:hAnsi="Arial Narrow"/>
          <w:bCs/>
          <w:color w:val="FFFFFF" w:themeColor="background1"/>
          <w:sz w:val="36"/>
          <w:szCs w:val="36"/>
        </w:rPr>
        <w:br w:type="page"/>
      </w:r>
    </w:p>
    <w:p w14:paraId="6AD19B29" w14:textId="4C7AF339" w:rsidR="008C68A8" w:rsidRPr="004E080C" w:rsidRDefault="00CF67A0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3" w:name="_Toc444923834"/>
      <w:r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Time-</w:t>
      </w:r>
      <w:r w:rsidR="00D069AD"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Varying Pricing</w:t>
      </w:r>
      <w:bookmarkEnd w:id="12"/>
      <w:bookmarkEnd w:id="13"/>
    </w:p>
    <w:p w14:paraId="6AD19B2A" w14:textId="77777777" w:rsidR="00D069AD" w:rsidRPr="001B2D50" w:rsidRDefault="00D069AD" w:rsidP="000B0832">
      <w:pPr>
        <w:rPr>
          <w:rFonts w:ascii="Arial" w:hAnsi="Arial" w:cs="Arial"/>
          <w:sz w:val="20"/>
          <w:szCs w:val="20"/>
        </w:rPr>
      </w:pPr>
    </w:p>
    <w:p w14:paraId="2D381659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>As part of a plan by the California Public Utilities Commission to ensure greater power reliability and a better energy future, businesses are transitioning to a Time-Varying Pricing electric rate structure. Many customers have already made this transition, with more to come in the future.  These include: Large Agriculture, Large Commercial / Industrial, Small / Medium Business, as well as Small / Medium Agriculture Customers.</w:t>
      </w:r>
    </w:p>
    <w:p w14:paraId="5BBE12D2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</w:p>
    <w:p w14:paraId="25E4EEDD" w14:textId="77777777" w:rsidR="003839C3" w:rsidRPr="007879A9" w:rsidRDefault="003839C3" w:rsidP="003839C3">
      <w:pPr>
        <w:rPr>
          <w:rFonts w:ascii="Arial" w:hAnsi="Arial" w:cs="Arial"/>
          <w:sz w:val="20"/>
          <w:szCs w:val="20"/>
        </w:rPr>
      </w:pPr>
      <w:r w:rsidRPr="007879A9">
        <w:rPr>
          <w:rFonts w:ascii="Arial" w:hAnsi="Arial" w:cs="Arial"/>
          <w:b/>
          <w:bCs/>
          <w:sz w:val="20"/>
          <w:szCs w:val="20"/>
        </w:rPr>
        <w:t>Only customer-facing interactions should be charged to TVP</w:t>
      </w:r>
    </w:p>
    <w:p w14:paraId="0702EB9D" w14:textId="77777777" w:rsidR="002E110A" w:rsidRPr="007879A9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879A9">
        <w:rPr>
          <w:rFonts w:ascii="Arial" w:hAnsi="Arial" w:cs="Arial"/>
          <w:sz w:val="20"/>
          <w:szCs w:val="20"/>
        </w:rPr>
        <w:t>Non customer-facing personnel (local support, administrators, etc</w:t>
      </w:r>
      <w:r w:rsidR="00AD5075" w:rsidRPr="007879A9">
        <w:rPr>
          <w:rFonts w:ascii="Arial" w:hAnsi="Arial" w:cs="Arial"/>
          <w:sz w:val="20"/>
          <w:szCs w:val="20"/>
        </w:rPr>
        <w:t>.</w:t>
      </w:r>
      <w:r w:rsidRPr="007879A9">
        <w:rPr>
          <w:rFonts w:ascii="Arial" w:hAnsi="Arial" w:cs="Arial"/>
          <w:sz w:val="20"/>
          <w:szCs w:val="20"/>
        </w:rPr>
        <w:t>) w</w:t>
      </w:r>
      <w:r w:rsidR="002E110A" w:rsidRPr="007879A9">
        <w:rPr>
          <w:rFonts w:ascii="Arial" w:hAnsi="Arial" w:cs="Arial"/>
          <w:sz w:val="20"/>
          <w:szCs w:val="20"/>
        </w:rPr>
        <w:t>ill not charge any time to TVP</w:t>
      </w:r>
    </w:p>
    <w:p w14:paraId="5AAC4F54" w14:textId="7259CBC8" w:rsidR="003839C3" w:rsidRPr="007879A9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879A9">
        <w:rPr>
          <w:rFonts w:ascii="Arial" w:hAnsi="Arial" w:cs="Arial"/>
          <w:sz w:val="20"/>
          <w:szCs w:val="20"/>
        </w:rPr>
        <w:t>Employee expenses (mileage, meals, lodging, etc</w:t>
      </w:r>
      <w:r w:rsidR="002E110A" w:rsidRPr="007879A9">
        <w:rPr>
          <w:rFonts w:ascii="Arial" w:hAnsi="Arial" w:cs="Arial"/>
          <w:sz w:val="20"/>
          <w:szCs w:val="20"/>
        </w:rPr>
        <w:t>.) will not be allocated to TVP</w:t>
      </w:r>
    </w:p>
    <w:p w14:paraId="1F6C2874" w14:textId="77777777" w:rsidR="003839C3" w:rsidRPr="007879A9" w:rsidRDefault="003839C3" w:rsidP="003839C3">
      <w:pPr>
        <w:rPr>
          <w:rFonts w:ascii="Arial" w:hAnsi="Arial" w:cs="Arial"/>
          <w:sz w:val="20"/>
          <w:szCs w:val="20"/>
        </w:rPr>
      </w:pPr>
    </w:p>
    <w:p w14:paraId="1358A2F0" w14:textId="77777777" w:rsidR="003839C3" w:rsidRPr="007879A9" w:rsidRDefault="003839C3" w:rsidP="003839C3">
      <w:pPr>
        <w:rPr>
          <w:rFonts w:ascii="Arial" w:hAnsi="Arial" w:cs="Arial"/>
          <w:sz w:val="20"/>
          <w:szCs w:val="20"/>
        </w:rPr>
      </w:pPr>
      <w:r w:rsidRPr="007879A9">
        <w:rPr>
          <w:rFonts w:ascii="Arial" w:hAnsi="Arial" w:cs="Arial"/>
          <w:b/>
          <w:bCs/>
          <w:sz w:val="20"/>
          <w:szCs w:val="20"/>
        </w:rPr>
        <w:t>Only identified ‘Most Impacted’ educations should be charged to TVP</w:t>
      </w:r>
    </w:p>
    <w:p w14:paraId="7D6300F5" w14:textId="77777777" w:rsidR="002E110A" w:rsidRPr="007879A9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879A9">
        <w:rPr>
          <w:rFonts w:ascii="Arial" w:hAnsi="Arial" w:cs="Arial"/>
          <w:sz w:val="20"/>
          <w:szCs w:val="20"/>
        </w:rPr>
        <w:t>Customer-facing employees will only charge to a TVP order number when working toward an identi</w:t>
      </w:r>
      <w:r w:rsidR="002E110A" w:rsidRPr="007879A9">
        <w:rPr>
          <w:rFonts w:ascii="Arial" w:hAnsi="Arial" w:cs="Arial"/>
          <w:sz w:val="20"/>
          <w:szCs w:val="20"/>
        </w:rPr>
        <w:t>fied ‘Most Impacted’ education</w:t>
      </w:r>
    </w:p>
    <w:p w14:paraId="4A6F9EE3" w14:textId="628FE633" w:rsidR="003839C3" w:rsidRPr="007879A9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879A9">
        <w:rPr>
          <w:rFonts w:ascii="Arial" w:hAnsi="Arial" w:cs="Arial"/>
          <w:sz w:val="20"/>
          <w:szCs w:val="20"/>
        </w:rPr>
        <w:t>This includes preparation time directly related to a specific customer interaction (EI research, Tableau, etc</w:t>
      </w:r>
      <w:r w:rsidR="00AD5075" w:rsidRPr="007879A9">
        <w:rPr>
          <w:rFonts w:ascii="Arial" w:hAnsi="Arial" w:cs="Arial"/>
          <w:sz w:val="20"/>
          <w:szCs w:val="20"/>
        </w:rPr>
        <w:t>.</w:t>
      </w:r>
      <w:r w:rsidR="002E110A" w:rsidRPr="007879A9">
        <w:rPr>
          <w:rFonts w:ascii="Arial" w:hAnsi="Arial" w:cs="Arial"/>
          <w:sz w:val="20"/>
          <w:szCs w:val="20"/>
        </w:rPr>
        <w:t>)</w:t>
      </w:r>
    </w:p>
    <w:p w14:paraId="372F522B" w14:textId="77777777" w:rsidR="003839C3" w:rsidRPr="007879A9" w:rsidRDefault="003839C3" w:rsidP="003839C3">
      <w:pPr>
        <w:rPr>
          <w:rFonts w:ascii="Arial" w:hAnsi="Arial" w:cs="Arial"/>
          <w:sz w:val="20"/>
          <w:szCs w:val="20"/>
        </w:rPr>
      </w:pPr>
    </w:p>
    <w:p w14:paraId="2D6FFE15" w14:textId="77777777" w:rsidR="003839C3" w:rsidRPr="007879A9" w:rsidRDefault="003839C3" w:rsidP="003839C3">
      <w:pPr>
        <w:rPr>
          <w:rFonts w:ascii="Arial" w:hAnsi="Arial" w:cs="Arial"/>
          <w:b/>
          <w:bCs/>
          <w:sz w:val="20"/>
          <w:szCs w:val="20"/>
        </w:rPr>
      </w:pPr>
      <w:r w:rsidRPr="007879A9">
        <w:rPr>
          <w:rFonts w:ascii="Arial" w:hAnsi="Arial" w:cs="Arial"/>
          <w:b/>
          <w:bCs/>
          <w:sz w:val="20"/>
          <w:szCs w:val="20"/>
        </w:rPr>
        <w:t>Ongoing PDP and TOU activities will be charged to appropriate, existing order numbers</w:t>
      </w:r>
    </w:p>
    <w:p w14:paraId="0E292657" w14:textId="77777777" w:rsidR="002E110A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879A9">
        <w:rPr>
          <w:rFonts w:ascii="Arial" w:hAnsi="Arial" w:cs="Arial"/>
          <w:sz w:val="20"/>
          <w:szCs w:val="20"/>
        </w:rPr>
        <w:t xml:space="preserve">Ongoing </w:t>
      </w:r>
      <w:r w:rsidR="0024195A" w:rsidRPr="007879A9">
        <w:rPr>
          <w:rFonts w:ascii="Arial" w:hAnsi="Arial" w:cs="Arial"/>
          <w:sz w:val="20"/>
          <w:szCs w:val="20"/>
        </w:rPr>
        <w:t>BES</w:t>
      </w:r>
      <w:r w:rsidRPr="007879A9">
        <w:rPr>
          <w:rFonts w:ascii="Arial" w:hAnsi="Arial" w:cs="Arial"/>
          <w:sz w:val="20"/>
          <w:szCs w:val="20"/>
        </w:rPr>
        <w:t xml:space="preserve"> TVP activities (PDP notifications, Customer-Facing Events, BLT reporting,</w:t>
      </w:r>
      <w:r w:rsidRPr="003839C3">
        <w:rPr>
          <w:rFonts w:ascii="Arial" w:hAnsi="Arial" w:cs="Arial"/>
          <w:sz w:val="20"/>
          <w:szCs w:val="20"/>
        </w:rPr>
        <w:t xml:space="preserve"> etc</w:t>
      </w:r>
      <w:r w:rsidR="002E110A">
        <w:rPr>
          <w:rFonts w:ascii="Arial" w:hAnsi="Arial" w:cs="Arial"/>
          <w:sz w:val="20"/>
          <w:szCs w:val="20"/>
        </w:rPr>
        <w:t>.) will continue</w:t>
      </w:r>
    </w:p>
    <w:p w14:paraId="3C7349E4" w14:textId="0F3C3F14" w:rsidR="003839C3" w:rsidRPr="003839C3" w:rsidRDefault="002E110A" w:rsidP="002E110A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839C3" w:rsidRPr="003839C3">
        <w:rPr>
          <w:rFonts w:ascii="Arial" w:hAnsi="Arial" w:cs="Arial"/>
          <w:sz w:val="20"/>
          <w:szCs w:val="20"/>
        </w:rPr>
        <w:t xml:space="preserve">harging for these activities will use appropriate order numbers such as Non-Bal Rates, DR, Energy Efficiency, and others. </w:t>
      </w:r>
    </w:p>
    <w:p w14:paraId="2DE676A3" w14:textId="36C30411" w:rsidR="003839C3" w:rsidRPr="000670C1" w:rsidRDefault="003839C3" w:rsidP="000670C1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0670C1">
        <w:rPr>
          <w:rFonts w:cs="Arial"/>
          <w:sz w:val="20"/>
          <w:szCs w:val="20"/>
        </w:rPr>
        <w:t xml:space="preserve">Ongoing TVP Specialist activities will continue to be charged </w:t>
      </w:r>
      <w:r w:rsidR="002E110A" w:rsidRPr="000670C1">
        <w:rPr>
          <w:rFonts w:cs="Arial"/>
          <w:sz w:val="20"/>
          <w:szCs w:val="20"/>
        </w:rPr>
        <w:t>to the designated order numbers</w:t>
      </w:r>
    </w:p>
    <w:p w14:paraId="6AD19B34" w14:textId="77777777" w:rsidR="00D069AD" w:rsidRPr="001B2D50" w:rsidRDefault="00D069AD" w:rsidP="000B0832">
      <w:pPr>
        <w:rPr>
          <w:rFonts w:ascii="Arial" w:hAnsi="Arial" w:cs="Arial"/>
          <w:b/>
          <w:sz w:val="20"/>
          <w:szCs w:val="20"/>
        </w:rPr>
      </w:pPr>
    </w:p>
    <w:p w14:paraId="11E1AC24" w14:textId="77777777" w:rsidR="000670C1" w:rsidRDefault="000670C1" w:rsidP="000670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7 – Time-Varying </w:t>
      </w:r>
      <w:r w:rsidRPr="00843162">
        <w:rPr>
          <w:rFonts w:ascii="Arial" w:hAnsi="Arial" w:cs="Arial"/>
          <w:b/>
          <w:sz w:val="20"/>
          <w:szCs w:val="20"/>
        </w:rPr>
        <w:t>Pricing Work Categories</w:t>
      </w:r>
    </w:p>
    <w:p w14:paraId="1995AF02" w14:textId="77777777" w:rsidR="000670C1" w:rsidRPr="001B2D50" w:rsidRDefault="000670C1" w:rsidP="000670C1">
      <w:pPr>
        <w:rPr>
          <w:rFonts w:ascii="Arial" w:hAnsi="Arial" w:cs="Arial"/>
          <w:b/>
          <w:sz w:val="20"/>
          <w:szCs w:val="20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785"/>
        <w:gridCol w:w="5130"/>
      </w:tblGrid>
      <w:tr w:rsidR="000670C1" w:rsidRPr="00C66B13" w14:paraId="576CA9F3" w14:textId="77777777" w:rsidTr="00822033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E678F9C" w14:textId="77777777" w:rsidR="000670C1" w:rsidRPr="00C66B13" w:rsidRDefault="000670C1" w:rsidP="008220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5FD09C6" w14:textId="77777777" w:rsidR="000670C1" w:rsidRPr="00C66B13" w:rsidRDefault="000670C1" w:rsidP="008220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0670C1" w:rsidRPr="00C66B13" w14:paraId="4184E0B6" w14:textId="77777777" w:rsidTr="00822033">
        <w:trPr>
          <w:trHeight w:val="221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B1E1" w14:textId="77777777" w:rsidR="000670C1" w:rsidRPr="00C66B13" w:rsidRDefault="000670C1" w:rsidP="0082203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TBD – TVP (TOU and PDP)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670" w14:textId="77777777" w:rsidR="000670C1" w:rsidRPr="00C66B13" w:rsidRDefault="000670C1" w:rsidP="0082203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spent supporting TVP program activities</w:t>
            </w:r>
          </w:p>
        </w:tc>
      </w:tr>
    </w:tbl>
    <w:p w14:paraId="6AD19B35" w14:textId="77777777" w:rsidR="0060470C" w:rsidRPr="001B2D50" w:rsidRDefault="0060470C" w:rsidP="000B0832">
      <w:pPr>
        <w:rPr>
          <w:rFonts w:ascii="Arial" w:hAnsi="Arial" w:cs="Arial"/>
          <w:b/>
          <w:sz w:val="20"/>
          <w:szCs w:val="20"/>
        </w:rPr>
      </w:pPr>
    </w:p>
    <w:p w14:paraId="6AD19B36" w14:textId="77777777" w:rsidR="0060470C" w:rsidRPr="001B2D50" w:rsidRDefault="0060470C" w:rsidP="000B0832">
      <w:pPr>
        <w:rPr>
          <w:rFonts w:ascii="Arial" w:hAnsi="Arial" w:cs="Arial"/>
          <w:b/>
          <w:sz w:val="20"/>
          <w:szCs w:val="20"/>
        </w:rPr>
      </w:pPr>
    </w:p>
    <w:p w14:paraId="6AD19B44" w14:textId="7759C5B9" w:rsidR="001B2D50" w:rsidRDefault="001B2D50">
      <w:pPr>
        <w:rPr>
          <w:rFonts w:ascii="Arial" w:hAnsi="Arial" w:cs="Arial"/>
          <w:sz w:val="20"/>
          <w:szCs w:val="20"/>
        </w:rPr>
      </w:pPr>
      <w:bookmarkStart w:id="14" w:name="_Ref406141875"/>
    </w:p>
    <w:p w14:paraId="6AD19B5C" w14:textId="77777777" w:rsidR="00600575" w:rsidRPr="004E080C" w:rsidRDefault="00600575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5" w:name="_Ref406141883"/>
      <w:bookmarkStart w:id="16" w:name="_Toc444923835"/>
      <w:bookmarkEnd w:id="14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Storms</w:t>
      </w:r>
      <w:bookmarkEnd w:id="15"/>
      <w:bookmarkEnd w:id="16"/>
    </w:p>
    <w:p w14:paraId="6AD19B5D" w14:textId="77777777" w:rsidR="000B0832" w:rsidRPr="001B2D50" w:rsidRDefault="000B0832" w:rsidP="000B0832">
      <w:pPr>
        <w:rPr>
          <w:rFonts w:ascii="Arial" w:hAnsi="Arial" w:cs="Arial"/>
          <w:sz w:val="20"/>
          <w:szCs w:val="20"/>
        </w:rPr>
      </w:pPr>
    </w:p>
    <w:p w14:paraId="6AD19B5E" w14:textId="2EEFD72E" w:rsidR="00A00CBD" w:rsidRPr="001B2D50" w:rsidRDefault="008C0868" w:rsidP="000B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</w:t>
      </w:r>
      <w:r w:rsidR="00F1412D" w:rsidRPr="001B2D50">
        <w:rPr>
          <w:rFonts w:ascii="Arial" w:hAnsi="Arial" w:cs="Arial"/>
          <w:sz w:val="20"/>
          <w:szCs w:val="20"/>
        </w:rPr>
        <w:t xml:space="preserve"> supports Major Events (Storms, etc.) by providing assistance to Electric Operations at the </w:t>
      </w:r>
      <w:r w:rsidR="00681DAE" w:rsidRPr="001B2D50">
        <w:rPr>
          <w:rFonts w:ascii="Arial" w:hAnsi="Arial" w:cs="Arial"/>
          <w:sz w:val="20"/>
          <w:szCs w:val="20"/>
        </w:rPr>
        <w:t>Region Emergency Centers (REC) and Operations Emergency Centers (OEC)</w:t>
      </w:r>
      <w:r w:rsidR="00F1412D" w:rsidRPr="001B2D50">
        <w:rPr>
          <w:rFonts w:ascii="Arial" w:hAnsi="Arial" w:cs="Arial"/>
          <w:sz w:val="20"/>
          <w:szCs w:val="20"/>
        </w:rPr>
        <w:t>.  The REC/OEC</w:t>
      </w:r>
      <w:r w:rsidR="0005480D" w:rsidRPr="001B2D50">
        <w:rPr>
          <w:rFonts w:ascii="Arial" w:hAnsi="Arial" w:cs="Arial"/>
          <w:sz w:val="20"/>
          <w:szCs w:val="20"/>
        </w:rPr>
        <w:t xml:space="preserve"> Incident Commander or your supervisor</w:t>
      </w:r>
      <w:r w:rsidR="00F1412D" w:rsidRPr="001B2D50">
        <w:rPr>
          <w:rFonts w:ascii="Arial" w:hAnsi="Arial" w:cs="Arial"/>
          <w:sz w:val="20"/>
          <w:szCs w:val="20"/>
        </w:rPr>
        <w:t xml:space="preserve"> will provide order numbers to use for your time.</w:t>
      </w:r>
      <w:r w:rsidR="00681DAE" w:rsidRPr="001B2D50">
        <w:rPr>
          <w:rFonts w:ascii="Arial" w:hAnsi="Arial" w:cs="Arial"/>
          <w:sz w:val="20"/>
          <w:szCs w:val="20"/>
        </w:rPr>
        <w:t xml:space="preserve"> </w:t>
      </w:r>
      <w:r w:rsidR="0005480D" w:rsidRPr="001B2D50">
        <w:rPr>
          <w:rFonts w:ascii="Arial" w:hAnsi="Arial" w:cs="Arial"/>
          <w:sz w:val="20"/>
          <w:szCs w:val="20"/>
        </w:rPr>
        <w:t>Each storm will have unique orders.  These orders are to be used only for time spent in the REC/OEC.  Storm support performed from other locations will</w:t>
      </w:r>
      <w:r w:rsidR="000670C1">
        <w:rPr>
          <w:rFonts w:ascii="Arial" w:hAnsi="Arial" w:cs="Arial"/>
          <w:sz w:val="20"/>
          <w:szCs w:val="20"/>
        </w:rPr>
        <w:t xml:space="preserve"> be charged to IV – RELIABILITY </w:t>
      </w:r>
      <w:r w:rsidR="0005480D" w:rsidRPr="001B2D50">
        <w:rPr>
          <w:rFonts w:ascii="Arial" w:hAnsi="Arial" w:cs="Arial"/>
          <w:sz w:val="20"/>
          <w:szCs w:val="20"/>
        </w:rPr>
        <w:t xml:space="preserve">&amp; SERVICE.  </w:t>
      </w:r>
    </w:p>
    <w:p w14:paraId="6AD19B5F" w14:textId="77777777" w:rsidR="00681DAE" w:rsidRPr="001B2D50" w:rsidRDefault="00681DAE" w:rsidP="000B0832">
      <w:pPr>
        <w:rPr>
          <w:rFonts w:ascii="Arial" w:hAnsi="Arial" w:cs="Arial"/>
          <w:sz w:val="20"/>
          <w:szCs w:val="20"/>
        </w:rPr>
      </w:pPr>
    </w:p>
    <w:p w14:paraId="6AD19B60" w14:textId="77777777" w:rsidR="0060470C" w:rsidRPr="001B2D50" w:rsidRDefault="0060470C" w:rsidP="000B0832">
      <w:pPr>
        <w:rPr>
          <w:rFonts w:ascii="Arial" w:hAnsi="Arial" w:cs="Arial"/>
          <w:sz w:val="20"/>
          <w:szCs w:val="20"/>
        </w:rPr>
      </w:pPr>
    </w:p>
    <w:p w14:paraId="6AD19B61" w14:textId="77777777" w:rsidR="0060470C" w:rsidRPr="001B2D50" w:rsidRDefault="0060470C" w:rsidP="000B0832">
      <w:pPr>
        <w:rPr>
          <w:rFonts w:ascii="Arial" w:hAnsi="Arial" w:cs="Arial"/>
          <w:sz w:val="20"/>
          <w:szCs w:val="20"/>
        </w:rPr>
      </w:pPr>
    </w:p>
    <w:p w14:paraId="7B530F6D" w14:textId="77777777" w:rsidR="00CD57AD" w:rsidRDefault="00CD57AD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  <w:r>
        <w:rPr>
          <w:rFonts w:ascii="Arial Narrow" w:hAnsi="Arial Narrow"/>
          <w:bCs/>
          <w:color w:val="FFFFFF" w:themeColor="background1"/>
          <w:sz w:val="36"/>
          <w:szCs w:val="36"/>
        </w:rPr>
        <w:br w:type="page"/>
      </w:r>
    </w:p>
    <w:p w14:paraId="6AD19B62" w14:textId="4A034AA2" w:rsidR="00681DAE" w:rsidRPr="004E080C" w:rsidRDefault="0005480D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7" w:name="_Toc444923836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Unique Situations</w:t>
      </w:r>
      <w:bookmarkEnd w:id="17"/>
    </w:p>
    <w:p w14:paraId="6AD19B63" w14:textId="77777777" w:rsidR="0005480D" w:rsidRPr="001B2D50" w:rsidRDefault="0005480D" w:rsidP="00832ECC">
      <w:pPr>
        <w:rPr>
          <w:rFonts w:ascii="Arial" w:hAnsi="Arial" w:cs="Arial"/>
          <w:sz w:val="20"/>
          <w:szCs w:val="20"/>
        </w:rPr>
      </w:pPr>
    </w:p>
    <w:p w14:paraId="6AD19B64" w14:textId="7A7E030C" w:rsidR="0005480D" w:rsidRPr="001B2D50" w:rsidRDefault="00ED7B9A" w:rsidP="0005480D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Table 8</w:t>
      </w:r>
      <w:r w:rsidR="0005480D" w:rsidRPr="001B2D50">
        <w:rPr>
          <w:rFonts w:ascii="Arial" w:eastAsia="Calibri" w:hAnsi="Arial" w:cs="Arial"/>
          <w:b/>
          <w:bCs/>
          <w:sz w:val="20"/>
          <w:szCs w:val="20"/>
        </w:rPr>
        <w:t xml:space="preserve"> – Unique Situation Charging Guidance</w:t>
      </w:r>
    </w:p>
    <w:p w14:paraId="6AD19B65" w14:textId="77777777" w:rsidR="004E080C" w:rsidRPr="001B2D50" w:rsidRDefault="004E080C" w:rsidP="0005480D">
      <w:pPr>
        <w:rPr>
          <w:rFonts w:ascii="Arial" w:eastAsia="Calibri" w:hAnsi="Arial" w:cs="Arial"/>
          <w:sz w:val="20"/>
          <w:szCs w:val="20"/>
        </w:rPr>
      </w:pPr>
    </w:p>
    <w:tbl>
      <w:tblPr>
        <w:tblW w:w="9990" w:type="dxa"/>
        <w:tblInd w:w="108" w:type="dxa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680"/>
      </w:tblGrid>
      <w:tr w:rsidR="0005480D" w:rsidRPr="0005480D" w14:paraId="6AD19B68" w14:textId="77777777" w:rsidTr="002E110A"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9B66" w14:textId="77777777" w:rsidR="0005480D" w:rsidRPr="00C66B13" w:rsidRDefault="0005480D" w:rsidP="00C66B1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b/>
                <w:sz w:val="20"/>
                <w:szCs w:val="20"/>
              </w:rPr>
              <w:t>Situation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9B67" w14:textId="77777777" w:rsidR="0005480D" w:rsidRPr="00C66B13" w:rsidRDefault="0005480D" w:rsidP="00C66B1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b/>
                <w:sz w:val="20"/>
                <w:szCs w:val="20"/>
              </w:rPr>
              <w:t>Guidelines:</w:t>
            </w:r>
          </w:p>
        </w:tc>
      </w:tr>
      <w:tr w:rsidR="0005480D" w:rsidRPr="0005480D" w14:paraId="6AD19B6B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9" w14:textId="421EBB34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are driving after hours to another location for a meeting that will take place the following 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A" w14:textId="09EA5349" w:rsidR="0005480D" w:rsidRPr="00C66B13" w:rsidRDefault="00821C53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821C53">
              <w:rPr>
                <w:rFonts w:ascii="Arial" w:eastAsia="Calibri" w:hAnsi="Arial" w:cs="Arial"/>
                <w:sz w:val="20"/>
                <w:szCs w:val="20"/>
              </w:rPr>
              <w:t>Charge out the after-hours drive time to the same ratio of order numbers you used for the meeting itself, but use the “administrative” attendance type</w:t>
            </w:r>
          </w:p>
        </w:tc>
      </w:tr>
      <w:tr w:rsidR="0005480D" w:rsidRPr="0005480D" w14:paraId="6AD19B6E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C" w14:textId="5C05D875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a very long day and your supervisor approves you to leave a small amount earlier on the following day or another day within that same week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D" w14:textId="3BBA58AB" w:rsidR="0005480D" w:rsidRPr="00C66B13" w:rsidRDefault="00821C53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821C53">
              <w:rPr>
                <w:rFonts w:ascii="Arial" w:eastAsia="Calibri" w:hAnsi="Arial" w:cs="Arial"/>
                <w:sz w:val="20"/>
                <w:szCs w:val="20"/>
              </w:rPr>
              <w:t>Charge the extra hours to the order number you were working on. On the short day, charge your actual hours wor</w:t>
            </w:r>
            <w:r w:rsidR="002E110A">
              <w:rPr>
                <w:rFonts w:ascii="Arial" w:eastAsia="Calibri" w:hAnsi="Arial" w:cs="Arial"/>
                <w:sz w:val="20"/>
                <w:szCs w:val="20"/>
              </w:rPr>
              <w:t>ked (even if less than 8 hours)</w:t>
            </w:r>
          </w:p>
        </w:tc>
      </w:tr>
      <w:tr w:rsidR="0005480D" w:rsidRPr="0005480D" w14:paraId="6AD19B71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F" w14:textId="6E39C13B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on-call duties in the middle of the night but don’t report to the EOC for a storm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0" w14:textId="77777777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those hours to reliability</w:t>
            </w:r>
          </w:p>
        </w:tc>
      </w:tr>
      <w:tr w:rsidR="0005480D" w:rsidRPr="0005480D" w14:paraId="6AD19B74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2" w14:textId="756EC9FB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EOC duties for a storm due to a request to report to the EOC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3" w14:textId="77777777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to the order number given for the storm</w:t>
            </w:r>
          </w:p>
        </w:tc>
      </w:tr>
      <w:tr w:rsidR="0005480D" w:rsidRPr="0005480D" w14:paraId="6AD19B77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5" w14:textId="05FC148D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a community event on a weekend</w:t>
            </w:r>
            <w:r w:rsidR="00821C53">
              <w:rPr>
                <w:rFonts w:ascii="Arial" w:eastAsia="Calibri" w:hAnsi="Arial" w:cs="Arial"/>
                <w:sz w:val="20"/>
                <w:szCs w:val="20"/>
              </w:rPr>
              <w:t xml:space="preserve"> or after hours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6" w14:textId="1626908E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 xml:space="preserve">Charge to the </w:t>
            </w:r>
            <w:r w:rsidR="00F02031" w:rsidRPr="00F02031">
              <w:rPr>
                <w:rFonts w:ascii="Arial" w:eastAsia="Calibri" w:hAnsi="Arial" w:cs="Arial"/>
                <w:sz w:val="20"/>
                <w:szCs w:val="20"/>
              </w:rPr>
              <w:t>Community Education &amp; Outreach</w:t>
            </w:r>
          </w:p>
        </w:tc>
      </w:tr>
      <w:tr w:rsidR="0005480D" w:rsidRPr="0005480D" w14:paraId="6AD19B7D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B" w14:textId="322C0823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are on an RDO schedule and there is a holiday that 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C" w14:textId="1A35C682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Be sure to add in one hour of “floating holiday” to the normal holiday to get to the required 9 hours for that day</w:t>
            </w:r>
          </w:p>
        </w:tc>
      </w:tr>
      <w:tr w:rsidR="0005480D" w:rsidRPr="0005480D" w14:paraId="6AD19B80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E" w14:textId="04D463E8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want to do a one-time switch of your RDO to another week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F" w14:textId="76E8758E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need the timekeeper to do a temporary schedule change in CATS</w:t>
            </w:r>
          </w:p>
        </w:tc>
      </w:tr>
      <w:tr w:rsidR="0005480D" w:rsidRPr="0005480D" w14:paraId="6AD19B83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81" w14:textId="60A2CFDF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are authorized to charge over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time for Storm 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>activities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 where you were physically located in the OEC or REC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 This starts at 2 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>hour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>s past your scheduled work day (i.e. overtim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>e would be everything past 10 hour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s on an 8 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 xml:space="preserve">hour 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day, or everything past 2 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>hour</w:t>
            </w:r>
            <w:r w:rsidR="002E110A">
              <w:rPr>
                <w:rFonts w:ascii="Arial" w:eastAsia="Calibri" w:hAnsi="Arial" w:cs="Arial"/>
                <w:sz w:val="20"/>
                <w:szCs w:val="20"/>
              </w:rPr>
              <w:t>s on a holiday or weekend)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82" w14:textId="55D0AF23" w:rsidR="0005480D" w:rsidRPr="00C66B13" w:rsidRDefault="009C3859" w:rsidP="00AD507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Enter 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storm 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 xml:space="preserve">order number given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into SAP the receiving column, 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>“4” in the work reason column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for “overtime at standard rate”,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>hour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 worked” in the activity type column, 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>and “0005” in the Operation Column</w:t>
            </w:r>
            <w:r w:rsidR="00BB74D1">
              <w:rPr>
                <w:rFonts w:ascii="Arial" w:eastAsia="Calibri" w:hAnsi="Arial" w:cs="Arial"/>
                <w:sz w:val="20"/>
                <w:szCs w:val="20"/>
              </w:rPr>
              <w:t xml:space="preserve"> (you may have to add some of these columns back into SAP</w:t>
            </w:r>
            <w:r w:rsidR="00126256">
              <w:rPr>
                <w:rFonts w:ascii="Arial" w:eastAsia="Calibri" w:hAnsi="Arial" w:cs="Arial"/>
                <w:sz w:val="20"/>
                <w:szCs w:val="20"/>
              </w:rPr>
              <w:t xml:space="preserve"> to be visible</w:t>
            </w:r>
            <w:r w:rsidR="00BB74D1">
              <w:rPr>
                <w:rFonts w:ascii="Arial" w:eastAsia="Calibri" w:hAnsi="Arial" w:cs="Arial"/>
                <w:sz w:val="20"/>
                <w:szCs w:val="20"/>
              </w:rPr>
              <w:t xml:space="preserve"> if your</w:t>
            </w:r>
            <w:r w:rsidR="002E110A">
              <w:rPr>
                <w:rFonts w:ascii="Arial" w:eastAsia="Calibri" w:hAnsi="Arial" w:cs="Arial"/>
                <w:sz w:val="20"/>
                <w:szCs w:val="20"/>
              </w:rPr>
              <w:t xml:space="preserve"> removed them in your template)</w:t>
            </w:r>
          </w:p>
        </w:tc>
      </w:tr>
    </w:tbl>
    <w:p w14:paraId="629DBCEE" w14:textId="77777777" w:rsidR="00CD57AD" w:rsidRDefault="00CD57AD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  <w:r>
        <w:rPr>
          <w:rFonts w:ascii="Arial Narrow" w:hAnsi="Arial Narrow"/>
          <w:bCs/>
          <w:color w:val="FFFFFF" w:themeColor="background1"/>
          <w:sz w:val="36"/>
          <w:szCs w:val="36"/>
        </w:rPr>
        <w:br w:type="page"/>
      </w:r>
    </w:p>
    <w:p w14:paraId="6AD19B86" w14:textId="4D76D387" w:rsidR="006357CC" w:rsidRPr="004E080C" w:rsidRDefault="008C0868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8" w:name="_Toc444923837"/>
      <w:r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BES</w:t>
      </w:r>
      <w:r w:rsidR="006357CC"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Leadership </w:t>
      </w:r>
      <w:r w:rsidR="0096191C">
        <w:rPr>
          <w:rFonts w:ascii="Arial Narrow" w:hAnsi="Arial Narrow"/>
          <w:bCs w:val="0"/>
          <w:color w:val="FFFFFF" w:themeColor="background1"/>
          <w:sz w:val="36"/>
          <w:szCs w:val="36"/>
        </w:rPr>
        <w:t>&amp; Admin</w:t>
      </w:r>
      <w:r w:rsidR="0051515E">
        <w:rPr>
          <w:rFonts w:ascii="Arial Narrow" w:hAnsi="Arial Narrow"/>
          <w:bCs w:val="0"/>
          <w:color w:val="FFFFFF" w:themeColor="background1"/>
          <w:sz w:val="36"/>
          <w:szCs w:val="36"/>
        </w:rPr>
        <w:t>istrative Assistant</w:t>
      </w:r>
      <w:r w:rsidR="0096191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</w:t>
      </w:r>
      <w:r w:rsidR="006357CC"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Charging Guidelines</w:t>
      </w:r>
      <w:bookmarkEnd w:id="18"/>
    </w:p>
    <w:p w14:paraId="6AD19B87" w14:textId="77777777" w:rsidR="006357CC" w:rsidRPr="001B2D50" w:rsidRDefault="006357CC" w:rsidP="006357CC">
      <w:pPr>
        <w:rPr>
          <w:rFonts w:ascii="Arial" w:hAnsi="Arial" w:cs="Arial"/>
          <w:sz w:val="20"/>
          <w:szCs w:val="20"/>
        </w:rPr>
      </w:pPr>
    </w:p>
    <w:p w14:paraId="33A32D38" w14:textId="77777777" w:rsidR="005F3252" w:rsidRDefault="005F3252" w:rsidP="005F3252">
      <w:pPr>
        <w:rPr>
          <w:rFonts w:ascii="Arial" w:hAnsi="Arial" w:cs="Arial"/>
          <w:b/>
          <w:sz w:val="22"/>
          <w:szCs w:val="20"/>
        </w:rPr>
      </w:pPr>
    </w:p>
    <w:p w14:paraId="75832AE4" w14:textId="77777777" w:rsidR="005F3252" w:rsidRPr="00205432" w:rsidRDefault="005F3252" w:rsidP="005F3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ADMINS: </w:t>
      </w:r>
      <w:r w:rsidRPr="00205432">
        <w:rPr>
          <w:rFonts w:ascii="Arial" w:hAnsi="Arial" w:cs="Arial"/>
          <w:sz w:val="20"/>
          <w:szCs w:val="20"/>
        </w:rPr>
        <w:t>All a</w:t>
      </w:r>
      <w:r>
        <w:rPr>
          <w:rFonts w:ascii="Arial" w:hAnsi="Arial" w:cs="Arial"/>
          <w:sz w:val="20"/>
          <w:szCs w:val="20"/>
        </w:rPr>
        <w:t xml:space="preserve">dministrative assistants should charge their time to “Non-billable employee” attendance type or other standard exceptions (Sick, Holiday, etc.). </w:t>
      </w:r>
    </w:p>
    <w:p w14:paraId="44115CD9" w14:textId="77777777" w:rsidR="005F3252" w:rsidRDefault="005F3252" w:rsidP="005F3252">
      <w:pPr>
        <w:rPr>
          <w:rFonts w:ascii="Arial" w:hAnsi="Arial" w:cs="Arial"/>
          <w:b/>
          <w:sz w:val="22"/>
          <w:szCs w:val="20"/>
        </w:rPr>
      </w:pPr>
    </w:p>
    <w:p w14:paraId="6923B996" w14:textId="4140155E" w:rsidR="005F3252" w:rsidRPr="001B2D50" w:rsidRDefault="00821C53" w:rsidP="005F3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SUPERVISORS, </w:t>
      </w:r>
      <w:r w:rsidR="00AD5075">
        <w:rPr>
          <w:rFonts w:ascii="Arial" w:hAnsi="Arial" w:cs="Arial"/>
          <w:b/>
          <w:sz w:val="22"/>
          <w:szCs w:val="20"/>
        </w:rPr>
        <w:t xml:space="preserve">MANAGERS and </w:t>
      </w:r>
      <w:r w:rsidR="005F3252">
        <w:rPr>
          <w:rFonts w:ascii="Arial" w:hAnsi="Arial" w:cs="Arial"/>
          <w:b/>
          <w:sz w:val="22"/>
          <w:szCs w:val="20"/>
        </w:rPr>
        <w:t>DIRECTORS</w:t>
      </w:r>
      <w:r w:rsidR="005F3252" w:rsidRPr="00690B1B">
        <w:rPr>
          <w:rFonts w:ascii="Arial" w:hAnsi="Arial" w:cs="Arial"/>
          <w:b/>
          <w:sz w:val="22"/>
          <w:szCs w:val="20"/>
        </w:rPr>
        <w:t>:</w:t>
      </w:r>
      <w:r w:rsidR="005F3252" w:rsidRPr="001B2D50">
        <w:rPr>
          <w:rFonts w:ascii="Arial" w:hAnsi="Arial" w:cs="Arial"/>
          <w:sz w:val="20"/>
          <w:szCs w:val="20"/>
        </w:rPr>
        <w:t xml:space="preserve"> </w:t>
      </w:r>
      <w:r w:rsidR="005F3252">
        <w:rPr>
          <w:rFonts w:ascii="Arial" w:hAnsi="Arial" w:cs="Arial"/>
          <w:sz w:val="20"/>
          <w:szCs w:val="20"/>
        </w:rPr>
        <w:t xml:space="preserve">All </w:t>
      </w:r>
      <w:r w:rsidR="005F3252" w:rsidRPr="001B2D50">
        <w:rPr>
          <w:rFonts w:ascii="Arial" w:hAnsi="Arial" w:cs="Arial"/>
          <w:sz w:val="20"/>
          <w:szCs w:val="20"/>
        </w:rPr>
        <w:t xml:space="preserve">time should be charged to </w:t>
      </w:r>
      <w:r w:rsidR="005F3252">
        <w:rPr>
          <w:rFonts w:ascii="Arial" w:hAnsi="Arial" w:cs="Arial"/>
          <w:sz w:val="20"/>
          <w:szCs w:val="20"/>
        </w:rPr>
        <w:t>“Non-billable employee”</w:t>
      </w:r>
      <w:r w:rsidR="005F3252" w:rsidRPr="001B2D50">
        <w:rPr>
          <w:rFonts w:ascii="Arial" w:hAnsi="Arial" w:cs="Arial"/>
          <w:sz w:val="20"/>
          <w:szCs w:val="20"/>
        </w:rPr>
        <w:t xml:space="preserve"> or other standard </w:t>
      </w:r>
      <w:r w:rsidR="005F3252">
        <w:rPr>
          <w:rFonts w:ascii="Arial" w:hAnsi="Arial" w:cs="Arial"/>
          <w:sz w:val="20"/>
          <w:szCs w:val="20"/>
        </w:rPr>
        <w:t>exceptions (Sick, Holiday, etc.).</w:t>
      </w:r>
      <w:r w:rsidR="005F3252" w:rsidRPr="001B2D50">
        <w:rPr>
          <w:rFonts w:ascii="Arial" w:hAnsi="Arial" w:cs="Arial"/>
          <w:sz w:val="20"/>
          <w:szCs w:val="20"/>
        </w:rPr>
        <w:t xml:space="preserve"> The following additional e</w:t>
      </w:r>
      <w:r w:rsidR="005F3252">
        <w:rPr>
          <w:rFonts w:ascii="Arial" w:hAnsi="Arial" w:cs="Arial"/>
          <w:sz w:val="20"/>
          <w:szCs w:val="20"/>
        </w:rPr>
        <w:t>xceptions should be used</w:t>
      </w:r>
      <w:r w:rsidR="005F3252" w:rsidRPr="001B2D50">
        <w:rPr>
          <w:rFonts w:ascii="Arial" w:hAnsi="Arial" w:cs="Arial"/>
          <w:sz w:val="20"/>
          <w:szCs w:val="20"/>
        </w:rPr>
        <w:t>:</w:t>
      </w:r>
    </w:p>
    <w:p w14:paraId="1A9397A5" w14:textId="77777777" w:rsidR="005F3252" w:rsidRPr="001B2D50" w:rsidRDefault="005F3252" w:rsidP="005F3252">
      <w:pPr>
        <w:rPr>
          <w:rFonts w:ascii="Arial" w:hAnsi="Arial" w:cs="Arial"/>
          <w:sz w:val="20"/>
          <w:szCs w:val="20"/>
        </w:rPr>
      </w:pPr>
    </w:p>
    <w:p w14:paraId="2B2D5ADA" w14:textId="0B34A436" w:rsidR="005F3252" w:rsidRDefault="005F3252" w:rsidP="005F3252">
      <w:pPr>
        <w:rPr>
          <w:rFonts w:ascii="Arial" w:eastAsia="Calibri" w:hAnsi="Arial" w:cs="Arial"/>
          <w:b/>
          <w:bCs/>
          <w:sz w:val="20"/>
          <w:szCs w:val="20"/>
        </w:rPr>
      </w:pP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Table </w:t>
      </w:r>
      <w:r w:rsidR="00ED7B9A">
        <w:rPr>
          <w:rFonts w:ascii="Arial" w:eastAsia="Calibri" w:hAnsi="Arial" w:cs="Arial"/>
          <w:b/>
          <w:bCs/>
          <w:sz w:val="20"/>
          <w:szCs w:val="20"/>
        </w:rPr>
        <w:t>9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– </w:t>
      </w:r>
      <w:r w:rsidR="00CF67A0">
        <w:rPr>
          <w:rFonts w:ascii="Arial" w:eastAsia="Calibri" w:hAnsi="Arial" w:cs="Arial"/>
          <w:b/>
          <w:bCs/>
          <w:sz w:val="20"/>
          <w:szCs w:val="20"/>
        </w:rPr>
        <w:t>Supervisor/</w:t>
      </w:r>
      <w:r>
        <w:rPr>
          <w:rFonts w:ascii="Arial" w:eastAsia="Calibri" w:hAnsi="Arial" w:cs="Arial"/>
          <w:b/>
          <w:bCs/>
          <w:sz w:val="20"/>
          <w:szCs w:val="20"/>
        </w:rPr>
        <w:t>Manager/Director</w:t>
      </w: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 Unique Situation Charging Guidelines</w:t>
      </w:r>
    </w:p>
    <w:p w14:paraId="060322BC" w14:textId="77777777" w:rsidR="005F3252" w:rsidRPr="001B2D50" w:rsidRDefault="005F3252" w:rsidP="005F3252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5310"/>
        <w:gridCol w:w="4680"/>
      </w:tblGrid>
      <w:tr w:rsidR="005F3252" w:rsidRPr="00C66B13" w14:paraId="41DE6FD4" w14:textId="77777777" w:rsidTr="002E110A">
        <w:trPr>
          <w:trHeight w:val="31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15828FD" w14:textId="77777777" w:rsidR="005F3252" w:rsidRPr="00C66B13" w:rsidRDefault="005F3252" w:rsidP="0020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E294F91" w14:textId="77777777" w:rsidR="005F3252" w:rsidRPr="00C66B13" w:rsidRDefault="005F3252" w:rsidP="0020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Guideline:</w:t>
            </w:r>
          </w:p>
        </w:tc>
      </w:tr>
      <w:tr w:rsidR="005F3252" w:rsidRPr="001B2D50" w14:paraId="45D6B828" w14:textId="77777777" w:rsidTr="002E110A">
        <w:trPr>
          <w:trHeight w:val="6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DF20" w14:textId="107D99AF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work EOC duties for a storm due to a request to report to the EOC or REC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9090" w14:textId="52809B54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the Storm order number associated with that storm</w:t>
            </w:r>
          </w:p>
        </w:tc>
      </w:tr>
      <w:tr w:rsidR="005F3252" w:rsidRPr="001B2D50" w14:paraId="7E395A23" w14:textId="77777777" w:rsidTr="002E110A">
        <w:trPr>
          <w:trHeight w:val="6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BA2F" w14:textId="5C2DBB23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work a community event that none of your employees attend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8D3D" w14:textId="77777777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to the Community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Education &amp; Outreach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order</w:t>
            </w:r>
          </w:p>
        </w:tc>
      </w:tr>
      <w:tr w:rsidR="005F3252" w:rsidRPr="001B2D50" w14:paraId="60151DA4" w14:textId="77777777" w:rsidTr="002E110A">
        <w:trPr>
          <w:trHeight w:val="6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F004" w14:textId="5390A1AA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are brought in to work on a special project or issue with a spec</w:t>
            </w:r>
            <w:r>
              <w:rPr>
                <w:rFonts w:ascii="Arial" w:hAnsi="Arial" w:cs="Arial"/>
                <w:sz w:val="20"/>
                <w:szCs w:val="20"/>
              </w:rPr>
              <w:t xml:space="preserve">ial order number </w:t>
            </w:r>
            <w:r w:rsidRPr="001B2D50">
              <w:rPr>
                <w:rFonts w:ascii="Arial" w:hAnsi="Arial" w:cs="Arial"/>
                <w:sz w:val="20"/>
                <w:szCs w:val="20"/>
              </w:rPr>
              <w:t>that wouldn’t be appropriately distributed in the right ratio amongst your employees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BAAC" w14:textId="079FF487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that order number</w:t>
            </w:r>
          </w:p>
        </w:tc>
      </w:tr>
    </w:tbl>
    <w:p w14:paraId="251F0F85" w14:textId="77777777" w:rsidR="005F3252" w:rsidRDefault="005F3252" w:rsidP="005F3252">
      <w:pPr>
        <w:rPr>
          <w:rFonts w:ascii="Arial" w:hAnsi="Arial" w:cs="Arial"/>
          <w:sz w:val="20"/>
          <w:szCs w:val="20"/>
        </w:rPr>
      </w:pPr>
    </w:p>
    <w:p w14:paraId="206F43B5" w14:textId="77777777" w:rsidR="007A4A23" w:rsidRPr="00690B1B" w:rsidRDefault="007A4A23" w:rsidP="006357CC">
      <w:pPr>
        <w:rPr>
          <w:rFonts w:ascii="Arial" w:hAnsi="Arial" w:cs="Arial"/>
          <w:b/>
          <w:sz w:val="18"/>
          <w:szCs w:val="20"/>
        </w:rPr>
      </w:pPr>
    </w:p>
    <w:sectPr w:rsidR="007A4A23" w:rsidRPr="00690B1B" w:rsidSect="00431F32">
      <w:pgSz w:w="12240" w:h="15840"/>
      <w:pgMar w:top="578" w:right="1152" w:bottom="1152" w:left="1152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5735" w14:textId="77777777" w:rsidR="003B11F2" w:rsidRDefault="003B11F2" w:rsidP="00D20587">
      <w:r>
        <w:separator/>
      </w:r>
    </w:p>
    <w:p w14:paraId="6A768290" w14:textId="77777777" w:rsidR="003B11F2" w:rsidRDefault="003B11F2"/>
    <w:p w14:paraId="5F7BC752" w14:textId="77777777" w:rsidR="003B11F2" w:rsidRDefault="003B11F2" w:rsidP="00797EE0"/>
  </w:endnote>
  <w:endnote w:type="continuationSeparator" w:id="0">
    <w:p w14:paraId="03957104" w14:textId="77777777" w:rsidR="003B11F2" w:rsidRDefault="003B11F2" w:rsidP="00D20587">
      <w:r>
        <w:continuationSeparator/>
      </w:r>
    </w:p>
    <w:p w14:paraId="171D50B7" w14:textId="77777777" w:rsidR="003B11F2" w:rsidRDefault="003B11F2"/>
    <w:p w14:paraId="5AAE410A" w14:textId="77777777" w:rsidR="003B11F2" w:rsidRDefault="003B11F2" w:rsidP="00797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7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53599" w14:textId="19381EC4" w:rsidR="00DF34EF" w:rsidRDefault="00DF34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DE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6AD19BCD" w14:textId="77777777" w:rsidR="008C0868" w:rsidRPr="00436DC3" w:rsidRDefault="008C0868" w:rsidP="0043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7759B" w14:textId="77777777" w:rsidR="003B11F2" w:rsidRDefault="003B11F2" w:rsidP="00D20587">
      <w:r>
        <w:separator/>
      </w:r>
    </w:p>
    <w:p w14:paraId="43A785DD" w14:textId="77777777" w:rsidR="003B11F2" w:rsidRDefault="003B11F2"/>
    <w:p w14:paraId="0CC73EDD" w14:textId="77777777" w:rsidR="003B11F2" w:rsidRDefault="003B11F2" w:rsidP="00797EE0"/>
  </w:footnote>
  <w:footnote w:type="continuationSeparator" w:id="0">
    <w:p w14:paraId="2A7AEBFB" w14:textId="77777777" w:rsidR="003B11F2" w:rsidRDefault="003B11F2" w:rsidP="00D20587">
      <w:r>
        <w:continuationSeparator/>
      </w:r>
    </w:p>
    <w:p w14:paraId="48BBBD72" w14:textId="77777777" w:rsidR="003B11F2" w:rsidRDefault="003B11F2"/>
    <w:p w14:paraId="655FA045" w14:textId="77777777" w:rsidR="003B11F2" w:rsidRDefault="003B11F2" w:rsidP="00797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9BCB" w14:textId="77777777" w:rsidR="008C0868" w:rsidRPr="00436DC3" w:rsidRDefault="008C0868" w:rsidP="00436DC3">
    <w:pPr>
      <w:pBdr>
        <w:bottom w:val="single" w:sz="4" w:space="1" w:color="7F7F7F"/>
      </w:pBdr>
      <w:tabs>
        <w:tab w:val="center" w:pos="4680"/>
        <w:tab w:val="right" w:pos="9450"/>
      </w:tabs>
      <w:spacing w:after="720"/>
      <w:rPr>
        <w:rFonts w:ascii="Arial Narrow" w:hAnsi="Arial Narrow"/>
        <w:b/>
        <w:color w:val="000000"/>
        <w:sz w:val="20"/>
        <w:szCs w:val="22"/>
      </w:rPr>
    </w:pPr>
    <w:r w:rsidRPr="00436DC3">
      <w:rPr>
        <w:rFonts w:ascii="Arial Narrow" w:hAnsi="Arial Narrow"/>
        <w:b/>
        <w:color w:val="000000"/>
        <w:sz w:val="20"/>
        <w:szCs w:val="22"/>
      </w:rPr>
      <w:tab/>
    </w:r>
    <w:r w:rsidRPr="00436DC3">
      <w:rPr>
        <w:rFonts w:ascii="Arial Narrow" w:hAnsi="Arial Narrow"/>
        <w:b/>
        <w:color w:val="000000"/>
        <w:sz w:val="20"/>
        <w:szCs w:val="22"/>
      </w:rPr>
      <w:tab/>
    </w:r>
    <w:r w:rsidRPr="00436DC3">
      <w:rPr>
        <w:rFonts w:ascii="Arial Narrow" w:hAnsi="Arial Narrow"/>
        <w:b/>
        <w:noProof/>
        <w:color w:val="000000"/>
        <w:sz w:val="20"/>
        <w:szCs w:val="22"/>
      </w:rPr>
      <w:drawing>
        <wp:inline distT="0" distB="0" distL="0" distR="0" wp14:anchorId="6AD19BCE" wp14:editId="6AD19BCF">
          <wp:extent cx="447675" cy="485775"/>
          <wp:effectExtent l="0" t="0" r="9525" b="9525"/>
          <wp:docPr id="10" name="Picture 10" descr="Description: BWpge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Wpge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FB5"/>
    <w:multiLevelType w:val="hybridMultilevel"/>
    <w:tmpl w:val="8136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54C"/>
    <w:multiLevelType w:val="hybridMultilevel"/>
    <w:tmpl w:val="4EFC7DBA"/>
    <w:lvl w:ilvl="0" w:tplc="7D72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E6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0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6F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E1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8F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8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8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78170F"/>
    <w:multiLevelType w:val="hybridMultilevel"/>
    <w:tmpl w:val="B41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0995"/>
    <w:multiLevelType w:val="hybridMultilevel"/>
    <w:tmpl w:val="3D66ED94"/>
    <w:lvl w:ilvl="0" w:tplc="1F66F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584F"/>
    <w:multiLevelType w:val="hybridMultilevel"/>
    <w:tmpl w:val="7A523160"/>
    <w:lvl w:ilvl="0" w:tplc="EC02C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6335"/>
    <w:multiLevelType w:val="hybridMultilevel"/>
    <w:tmpl w:val="4ECAEAFE"/>
    <w:lvl w:ilvl="0" w:tplc="4F861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A12EF4"/>
    <w:multiLevelType w:val="hybridMultilevel"/>
    <w:tmpl w:val="C5DE4BA8"/>
    <w:lvl w:ilvl="0" w:tplc="5832D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10"/>
    <w:rsid w:val="00000F45"/>
    <w:rsid w:val="0001458B"/>
    <w:rsid w:val="00037F0A"/>
    <w:rsid w:val="0005480D"/>
    <w:rsid w:val="00063E0A"/>
    <w:rsid w:val="0006680C"/>
    <w:rsid w:val="000670C1"/>
    <w:rsid w:val="000A1110"/>
    <w:rsid w:val="000B0832"/>
    <w:rsid w:val="000C7EC5"/>
    <w:rsid w:val="000D682E"/>
    <w:rsid w:val="000F0EDB"/>
    <w:rsid w:val="00101169"/>
    <w:rsid w:val="00110872"/>
    <w:rsid w:val="0011185D"/>
    <w:rsid w:val="00126256"/>
    <w:rsid w:val="00131F68"/>
    <w:rsid w:val="00134513"/>
    <w:rsid w:val="0013499E"/>
    <w:rsid w:val="00135C06"/>
    <w:rsid w:val="001370C1"/>
    <w:rsid w:val="00154FCE"/>
    <w:rsid w:val="0016394D"/>
    <w:rsid w:val="00182153"/>
    <w:rsid w:val="001862A2"/>
    <w:rsid w:val="00195332"/>
    <w:rsid w:val="001954E1"/>
    <w:rsid w:val="001B2D50"/>
    <w:rsid w:val="001B71DE"/>
    <w:rsid w:val="001C0590"/>
    <w:rsid w:val="001D3A18"/>
    <w:rsid w:val="001E661F"/>
    <w:rsid w:val="001F0BB4"/>
    <w:rsid w:val="001F3FD6"/>
    <w:rsid w:val="001F65C8"/>
    <w:rsid w:val="0020218D"/>
    <w:rsid w:val="0020375E"/>
    <w:rsid w:val="002151FA"/>
    <w:rsid w:val="002224FF"/>
    <w:rsid w:val="0024195A"/>
    <w:rsid w:val="00244A39"/>
    <w:rsid w:val="0025199C"/>
    <w:rsid w:val="00256787"/>
    <w:rsid w:val="00260942"/>
    <w:rsid w:val="002624A1"/>
    <w:rsid w:val="0028085F"/>
    <w:rsid w:val="0028155D"/>
    <w:rsid w:val="00281CE5"/>
    <w:rsid w:val="00287B31"/>
    <w:rsid w:val="002A345D"/>
    <w:rsid w:val="002B3108"/>
    <w:rsid w:val="002E110A"/>
    <w:rsid w:val="002E315F"/>
    <w:rsid w:val="002E7A8B"/>
    <w:rsid w:val="002F0829"/>
    <w:rsid w:val="002F65F1"/>
    <w:rsid w:val="00310F74"/>
    <w:rsid w:val="00312B64"/>
    <w:rsid w:val="00327517"/>
    <w:rsid w:val="003316FF"/>
    <w:rsid w:val="0034259C"/>
    <w:rsid w:val="00345015"/>
    <w:rsid w:val="00374E37"/>
    <w:rsid w:val="00380B74"/>
    <w:rsid w:val="003839C3"/>
    <w:rsid w:val="003876D7"/>
    <w:rsid w:val="0038787C"/>
    <w:rsid w:val="0039689B"/>
    <w:rsid w:val="003B11F2"/>
    <w:rsid w:val="003C7520"/>
    <w:rsid w:val="003D2D88"/>
    <w:rsid w:val="003D3B13"/>
    <w:rsid w:val="003E36E8"/>
    <w:rsid w:val="003E6B6E"/>
    <w:rsid w:val="003E760A"/>
    <w:rsid w:val="003E7720"/>
    <w:rsid w:val="003E7BA4"/>
    <w:rsid w:val="003F6C95"/>
    <w:rsid w:val="004132FD"/>
    <w:rsid w:val="00431F32"/>
    <w:rsid w:val="00436DC3"/>
    <w:rsid w:val="004423ED"/>
    <w:rsid w:val="00447411"/>
    <w:rsid w:val="004545EB"/>
    <w:rsid w:val="004660AD"/>
    <w:rsid w:val="00475E61"/>
    <w:rsid w:val="004A2568"/>
    <w:rsid w:val="004A7024"/>
    <w:rsid w:val="004B0CCE"/>
    <w:rsid w:val="004B2DF6"/>
    <w:rsid w:val="004C6E02"/>
    <w:rsid w:val="004D0370"/>
    <w:rsid w:val="004D0BDB"/>
    <w:rsid w:val="004D6D8D"/>
    <w:rsid w:val="004E080C"/>
    <w:rsid w:val="004E1E6B"/>
    <w:rsid w:val="004E7516"/>
    <w:rsid w:val="004F280D"/>
    <w:rsid w:val="00503CD0"/>
    <w:rsid w:val="00511DB0"/>
    <w:rsid w:val="0051515E"/>
    <w:rsid w:val="00521A02"/>
    <w:rsid w:val="00521CF9"/>
    <w:rsid w:val="00540AC3"/>
    <w:rsid w:val="00557DBF"/>
    <w:rsid w:val="00565346"/>
    <w:rsid w:val="00565B85"/>
    <w:rsid w:val="005706D6"/>
    <w:rsid w:val="005723EA"/>
    <w:rsid w:val="005819DB"/>
    <w:rsid w:val="0059074A"/>
    <w:rsid w:val="00596417"/>
    <w:rsid w:val="005A47A7"/>
    <w:rsid w:val="005C1DF1"/>
    <w:rsid w:val="005C6458"/>
    <w:rsid w:val="005E5D32"/>
    <w:rsid w:val="005E77BA"/>
    <w:rsid w:val="005F2E36"/>
    <w:rsid w:val="005F3252"/>
    <w:rsid w:val="005F548D"/>
    <w:rsid w:val="00600575"/>
    <w:rsid w:val="0060470C"/>
    <w:rsid w:val="00606BAE"/>
    <w:rsid w:val="00606EC2"/>
    <w:rsid w:val="00613BCD"/>
    <w:rsid w:val="0062176E"/>
    <w:rsid w:val="00622389"/>
    <w:rsid w:val="00634C4B"/>
    <w:rsid w:val="006357CC"/>
    <w:rsid w:val="0066420E"/>
    <w:rsid w:val="00681DAE"/>
    <w:rsid w:val="00690B1B"/>
    <w:rsid w:val="006942F8"/>
    <w:rsid w:val="006A6431"/>
    <w:rsid w:val="006B4F4C"/>
    <w:rsid w:val="006B7881"/>
    <w:rsid w:val="006C2450"/>
    <w:rsid w:val="006D7DFC"/>
    <w:rsid w:val="0073294C"/>
    <w:rsid w:val="00734618"/>
    <w:rsid w:val="00747C9B"/>
    <w:rsid w:val="007500F0"/>
    <w:rsid w:val="00750AF6"/>
    <w:rsid w:val="007540CC"/>
    <w:rsid w:val="00770188"/>
    <w:rsid w:val="00773E3A"/>
    <w:rsid w:val="00782CDD"/>
    <w:rsid w:val="007879A9"/>
    <w:rsid w:val="00796BCF"/>
    <w:rsid w:val="00797EE0"/>
    <w:rsid w:val="007A3B1F"/>
    <w:rsid w:val="007A4A23"/>
    <w:rsid w:val="007C4632"/>
    <w:rsid w:val="007C58F5"/>
    <w:rsid w:val="007C7032"/>
    <w:rsid w:val="007F0F13"/>
    <w:rsid w:val="00804630"/>
    <w:rsid w:val="008103E2"/>
    <w:rsid w:val="00812921"/>
    <w:rsid w:val="00821C53"/>
    <w:rsid w:val="0082618A"/>
    <w:rsid w:val="00832ECC"/>
    <w:rsid w:val="008867CA"/>
    <w:rsid w:val="0088759F"/>
    <w:rsid w:val="00896600"/>
    <w:rsid w:val="008C0066"/>
    <w:rsid w:val="008C0868"/>
    <w:rsid w:val="008C4705"/>
    <w:rsid w:val="008C5A24"/>
    <w:rsid w:val="008C68A8"/>
    <w:rsid w:val="008C7CC6"/>
    <w:rsid w:val="008D249C"/>
    <w:rsid w:val="008E5597"/>
    <w:rsid w:val="008E6E3F"/>
    <w:rsid w:val="008F75E5"/>
    <w:rsid w:val="0090118C"/>
    <w:rsid w:val="00901B86"/>
    <w:rsid w:val="00902881"/>
    <w:rsid w:val="009245C8"/>
    <w:rsid w:val="009251FE"/>
    <w:rsid w:val="00935951"/>
    <w:rsid w:val="00944C77"/>
    <w:rsid w:val="009577A4"/>
    <w:rsid w:val="0096106F"/>
    <w:rsid w:val="0096191C"/>
    <w:rsid w:val="00973DA7"/>
    <w:rsid w:val="00991E1F"/>
    <w:rsid w:val="00994B98"/>
    <w:rsid w:val="009977CB"/>
    <w:rsid w:val="009B28D6"/>
    <w:rsid w:val="009C3859"/>
    <w:rsid w:val="009E237B"/>
    <w:rsid w:val="009E26A9"/>
    <w:rsid w:val="009F4F58"/>
    <w:rsid w:val="00A00CBD"/>
    <w:rsid w:val="00A36510"/>
    <w:rsid w:val="00A37B46"/>
    <w:rsid w:val="00A54D3F"/>
    <w:rsid w:val="00A57152"/>
    <w:rsid w:val="00A57E5F"/>
    <w:rsid w:val="00A70873"/>
    <w:rsid w:val="00A75401"/>
    <w:rsid w:val="00AA4169"/>
    <w:rsid w:val="00AB012F"/>
    <w:rsid w:val="00AC5B71"/>
    <w:rsid w:val="00AD5075"/>
    <w:rsid w:val="00B43AF2"/>
    <w:rsid w:val="00B73605"/>
    <w:rsid w:val="00B74838"/>
    <w:rsid w:val="00B7658D"/>
    <w:rsid w:val="00B77D23"/>
    <w:rsid w:val="00B77DCA"/>
    <w:rsid w:val="00B83752"/>
    <w:rsid w:val="00B90EC6"/>
    <w:rsid w:val="00B9288C"/>
    <w:rsid w:val="00BB74D1"/>
    <w:rsid w:val="00BC295B"/>
    <w:rsid w:val="00BC63AF"/>
    <w:rsid w:val="00BD1638"/>
    <w:rsid w:val="00BD1B37"/>
    <w:rsid w:val="00BD2582"/>
    <w:rsid w:val="00BE28D6"/>
    <w:rsid w:val="00BF4337"/>
    <w:rsid w:val="00C03ACA"/>
    <w:rsid w:val="00C068B9"/>
    <w:rsid w:val="00C13C67"/>
    <w:rsid w:val="00C157A1"/>
    <w:rsid w:val="00C26D59"/>
    <w:rsid w:val="00C4198A"/>
    <w:rsid w:val="00C436EE"/>
    <w:rsid w:val="00C452D3"/>
    <w:rsid w:val="00C61445"/>
    <w:rsid w:val="00C640B6"/>
    <w:rsid w:val="00C66B13"/>
    <w:rsid w:val="00C7134C"/>
    <w:rsid w:val="00C7336B"/>
    <w:rsid w:val="00CA2EFA"/>
    <w:rsid w:val="00CB1CD0"/>
    <w:rsid w:val="00CC63F0"/>
    <w:rsid w:val="00CD2A88"/>
    <w:rsid w:val="00CD57AD"/>
    <w:rsid w:val="00CE6F26"/>
    <w:rsid w:val="00CF67A0"/>
    <w:rsid w:val="00D069AD"/>
    <w:rsid w:val="00D072A4"/>
    <w:rsid w:val="00D20587"/>
    <w:rsid w:val="00D226C4"/>
    <w:rsid w:val="00D25DEA"/>
    <w:rsid w:val="00D35047"/>
    <w:rsid w:val="00D40248"/>
    <w:rsid w:val="00D6043A"/>
    <w:rsid w:val="00D6459B"/>
    <w:rsid w:val="00D67511"/>
    <w:rsid w:val="00D7622A"/>
    <w:rsid w:val="00D81894"/>
    <w:rsid w:val="00D822FF"/>
    <w:rsid w:val="00DA5052"/>
    <w:rsid w:val="00DD6C0E"/>
    <w:rsid w:val="00DD782A"/>
    <w:rsid w:val="00DF08B2"/>
    <w:rsid w:val="00DF34EF"/>
    <w:rsid w:val="00E057A1"/>
    <w:rsid w:val="00E117CE"/>
    <w:rsid w:val="00E1455B"/>
    <w:rsid w:val="00E16378"/>
    <w:rsid w:val="00E308AE"/>
    <w:rsid w:val="00E46FAA"/>
    <w:rsid w:val="00E831DE"/>
    <w:rsid w:val="00E96606"/>
    <w:rsid w:val="00EB44F5"/>
    <w:rsid w:val="00EB699B"/>
    <w:rsid w:val="00EC0325"/>
    <w:rsid w:val="00EC5141"/>
    <w:rsid w:val="00ED4720"/>
    <w:rsid w:val="00ED7B9A"/>
    <w:rsid w:val="00EE0748"/>
    <w:rsid w:val="00EE3411"/>
    <w:rsid w:val="00EE4D83"/>
    <w:rsid w:val="00F02031"/>
    <w:rsid w:val="00F1412D"/>
    <w:rsid w:val="00F61281"/>
    <w:rsid w:val="00F74405"/>
    <w:rsid w:val="00F76B8C"/>
    <w:rsid w:val="00F80FA5"/>
    <w:rsid w:val="00F822B7"/>
    <w:rsid w:val="00FB1FCD"/>
    <w:rsid w:val="00FC0D73"/>
    <w:rsid w:val="00FC406E"/>
    <w:rsid w:val="00FC4A3C"/>
    <w:rsid w:val="00FF3796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19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05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05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05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0587"/>
    <w:rPr>
      <w:sz w:val="24"/>
      <w:szCs w:val="24"/>
    </w:rPr>
  </w:style>
  <w:style w:type="paragraph" w:styleId="BalloonText">
    <w:name w:val="Balloon Text"/>
    <w:basedOn w:val="Normal"/>
    <w:link w:val="BalloonTextChar"/>
    <w:rsid w:val="00B7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21CF9"/>
    <w:pPr>
      <w:spacing w:after="180" w:line="276" w:lineRule="auto"/>
      <w:ind w:left="720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CF9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C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60470C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A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9E26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05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05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05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0587"/>
    <w:rPr>
      <w:sz w:val="24"/>
      <w:szCs w:val="24"/>
    </w:rPr>
  </w:style>
  <w:style w:type="paragraph" w:styleId="BalloonText">
    <w:name w:val="Balloon Text"/>
    <w:basedOn w:val="Normal"/>
    <w:link w:val="BalloonTextChar"/>
    <w:rsid w:val="00B7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21CF9"/>
    <w:pPr>
      <w:spacing w:after="180" w:line="276" w:lineRule="auto"/>
      <w:ind w:left="720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CF9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C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60470C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A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9E26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2550">
                              <w:marLeft w:val="30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3">
                              <w:marLeft w:val="30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3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cid:image003.jpg@01CFFE8D.FC4F8F3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C45EF8E2FD446A6BF5F081E820FE8" ma:contentTypeVersion="0" ma:contentTypeDescription="Create a new document." ma:contentTypeScope="" ma:versionID="d6d1c370e9600e2df9487745f6a8e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EFEA5-4FB2-40F9-BEA4-79DA25768616}"/>
</file>

<file path=customXml/itemProps2.xml><?xml version="1.0" encoding="utf-8"?>
<ds:datastoreItem xmlns:ds="http://schemas.openxmlformats.org/officeDocument/2006/customXml" ds:itemID="{F4D3F431-5907-4EC6-AB66-0620D56E032B}"/>
</file>

<file path=customXml/itemProps3.xml><?xml version="1.0" encoding="utf-8"?>
<ds:datastoreItem xmlns:ds="http://schemas.openxmlformats.org/officeDocument/2006/customXml" ds:itemID="{CA3104CA-57AD-44C3-A703-B6C7CE1B430C}"/>
</file>

<file path=customXml/itemProps4.xml><?xml version="1.0" encoding="utf-8"?>
<ds:datastoreItem xmlns:ds="http://schemas.openxmlformats.org/officeDocument/2006/customXml" ds:itemID="{4F97F5D4-29D1-449A-8759-8FE70D5CE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we all love doing our timecards </vt:lpstr>
    </vt:vector>
  </TitlesOfParts>
  <Company>Pacific Gas and Electric Co.</Company>
  <LinksUpToDate>false</LinksUpToDate>
  <CharactersWithSpaces>12758</CharactersWithSpaces>
  <SharedDoc>false</SharedDoc>
  <HLinks>
    <vt:vector size="6" baseType="variant">
      <vt:variant>
        <vt:i4>2555979</vt:i4>
      </vt:variant>
      <vt:variant>
        <vt:i4>2881</vt:i4>
      </vt:variant>
      <vt:variant>
        <vt:i4>1025</vt:i4>
      </vt:variant>
      <vt:variant>
        <vt:i4>1</vt:i4>
      </vt:variant>
      <vt:variant>
        <vt:lpwstr>cid:image003.jpg@01CFFE8D.FC4F8F30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we all love doing our timecards </dc:title>
  <dc:creator>Ashley Matsu</dc:creator>
  <cp:lastModifiedBy>Mayer, Stephen</cp:lastModifiedBy>
  <cp:revision>2</cp:revision>
  <cp:lastPrinted>2017-01-18T20:39:00Z</cp:lastPrinted>
  <dcterms:created xsi:type="dcterms:W3CDTF">2017-06-13T17:55:00Z</dcterms:created>
  <dcterms:modified xsi:type="dcterms:W3CDTF">2017-06-13T17:55:00Z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0x0101006B2C45EF8E2FD446A6BF5F081E820FE8</vt:lpwstr>
  </property>
</Properties>
</file>