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6C" w:rsidRDefault="00557D6C" w:rsidP="00557D6C">
      <w:pPr>
        <w:pStyle w:val="Heading1"/>
      </w:pPr>
      <w:r>
        <w:t>Summary of D</w:t>
      </w:r>
      <w:r w:rsidRPr="00247B91">
        <w:t xml:space="preserve">ifferences </w:t>
      </w:r>
      <w:r>
        <w:t>B</w:t>
      </w:r>
      <w:r w:rsidRPr="00247B91">
        <w:t xml:space="preserve">etween </w:t>
      </w:r>
      <w:r>
        <w:t>PG&amp;E-led</w:t>
      </w:r>
      <w:r w:rsidRPr="00247B91">
        <w:t xml:space="preserve"> and </w:t>
      </w:r>
      <w:r>
        <w:t>SoCalGas Letters</w:t>
      </w:r>
    </w:p>
    <w:p w:rsidR="00557D6C" w:rsidRDefault="00557D6C" w:rsidP="00557D6C">
      <w:r>
        <w:t>The PG&amp;E letter cited DOE literature and environmental advocate research claiming expansive nationwide energy and cost savings due to past DOE EERE rulemakings. They cite EPCA, including the anti-backsliding provision, and claim that all prior rulemakings were economically justified, with savings likely greater than predicted by DOE. The PG&amp;E letter does offer a few suggestions for improvements to future rulemakings</w:t>
      </w:r>
    </w:p>
    <w:p w:rsidR="00557D6C" w:rsidRDefault="00557D6C" w:rsidP="00557D6C">
      <w:r>
        <w:t xml:space="preserve">The SoCalGas letter praises DOE and EPA’s Energy Star program for realizing nationwide savings and spurring innovation. However, the letter offers more constructive criticism, including to completed and near-completed </w:t>
      </w:r>
      <w:r w:rsidR="00086359">
        <w:t xml:space="preserve">(e.g. furnace) </w:t>
      </w:r>
      <w:r>
        <w:t>rulemakings</w:t>
      </w:r>
      <w:r w:rsidR="00086359">
        <w:t>.</w:t>
      </w:r>
    </w:p>
    <w:p w:rsidR="00557D6C" w:rsidRPr="005A1DD5" w:rsidRDefault="00557D6C" w:rsidP="00557D6C">
      <w:r>
        <w:t>Here below is a table of the major points by each party for each question.</w:t>
      </w:r>
    </w:p>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sidRPr="006E2FC5">
              <w:rPr>
                <w:i/>
              </w:rPr>
              <w:t>Question 1: How can DOE best promote meaningful regulatory cost reduction while achieving its regulatory objectives, and how can it best identify those rules that might be modified, streamlined, or repealed?</w:t>
            </w:r>
          </w:p>
        </w:tc>
      </w:tr>
      <w:tr w:rsidR="00557D6C" w:rsidTr="00FC4401">
        <w:tc>
          <w:tcPr>
            <w:tcW w:w="4675" w:type="dxa"/>
          </w:tcPr>
          <w:p w:rsidR="00557D6C" w:rsidRDefault="00557D6C" w:rsidP="00FC4401">
            <w:r>
              <w:t>PG&amp;E-led</w:t>
            </w:r>
          </w:p>
        </w:tc>
        <w:tc>
          <w:tcPr>
            <w:tcW w:w="4675" w:type="dxa"/>
          </w:tcPr>
          <w:p w:rsidR="00557D6C" w:rsidRDefault="00557D6C" w:rsidP="00FC4401">
            <w:r>
              <w:t>SoCalGas</w:t>
            </w:r>
          </w:p>
        </w:tc>
      </w:tr>
      <w:tr w:rsidR="00557D6C" w:rsidTr="00FC4401">
        <w:tc>
          <w:tcPr>
            <w:tcW w:w="4675" w:type="dxa"/>
          </w:tcPr>
          <w:p w:rsidR="00557D6C" w:rsidRDefault="00557D6C" w:rsidP="00557D6C">
            <w:pPr>
              <w:pStyle w:val="ListParagraph"/>
              <w:numPr>
                <w:ilvl w:val="0"/>
                <w:numId w:val="2"/>
              </w:numPr>
            </w:pPr>
            <w:r>
              <w:t>Supports more extensive use of ASRAC, used the commercial package air conditioners final rule as an example of success, and supports multi-tier standards.</w:t>
            </w:r>
          </w:p>
        </w:tc>
        <w:tc>
          <w:tcPr>
            <w:tcW w:w="4675" w:type="dxa"/>
          </w:tcPr>
          <w:p w:rsidR="00557D6C" w:rsidRDefault="00557D6C" w:rsidP="00557D6C">
            <w:pPr>
              <w:pStyle w:val="ListParagraph"/>
              <w:numPr>
                <w:ilvl w:val="0"/>
                <w:numId w:val="2"/>
              </w:numPr>
            </w:pPr>
            <w:r>
              <w:t>Qualified support for the ASRAC process.</w:t>
            </w:r>
          </w:p>
        </w:tc>
      </w:tr>
    </w:tbl>
    <w:p w:rsidR="00557D6C" w:rsidRPr="006E2FC5" w:rsidRDefault="00557D6C" w:rsidP="00557D6C">
      <w:pPr>
        <w:rPr>
          <w:i/>
        </w:rPr>
      </w:pPr>
    </w:p>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sidRPr="006E2FC5">
              <w:rPr>
                <w:i/>
              </w:rPr>
              <w:t>Question 2: What factors should DOE consider in selecting and prioritizing rules and reporting requirements for reform?</w:t>
            </w:r>
          </w:p>
        </w:tc>
      </w:tr>
      <w:tr w:rsidR="00557D6C" w:rsidTr="00FC4401">
        <w:tc>
          <w:tcPr>
            <w:tcW w:w="4675" w:type="dxa"/>
          </w:tcPr>
          <w:p w:rsidR="00557D6C" w:rsidRDefault="00557D6C" w:rsidP="00FC4401">
            <w:bookmarkStart w:id="0" w:name="_GoBack"/>
            <w:r>
              <w:t>PG&amp;E-led</w:t>
            </w:r>
          </w:p>
        </w:tc>
        <w:tc>
          <w:tcPr>
            <w:tcW w:w="4675" w:type="dxa"/>
          </w:tcPr>
          <w:p w:rsidR="00557D6C" w:rsidRDefault="00557D6C" w:rsidP="00FC4401">
            <w:r>
              <w:t>SoCalGas</w:t>
            </w:r>
          </w:p>
        </w:tc>
      </w:tr>
      <w:bookmarkEnd w:id="0"/>
      <w:tr w:rsidR="00557D6C" w:rsidTr="00FC4401">
        <w:tc>
          <w:tcPr>
            <w:tcW w:w="4675" w:type="dxa"/>
          </w:tcPr>
          <w:p w:rsidR="00557D6C" w:rsidRDefault="00557D6C" w:rsidP="00557D6C">
            <w:pPr>
              <w:pStyle w:val="ListParagraph"/>
              <w:numPr>
                <w:ilvl w:val="0"/>
                <w:numId w:val="2"/>
              </w:numPr>
            </w:pPr>
            <w:r>
              <w:t>Supports regional regulations and used the residential central air conditioners and heat pumps rulemaking as an example of success.</w:t>
            </w:r>
          </w:p>
          <w:p w:rsidR="00557D6C" w:rsidRDefault="00557D6C" w:rsidP="00557D6C">
            <w:pPr>
              <w:pStyle w:val="ListParagraph"/>
              <w:numPr>
                <w:ilvl w:val="0"/>
                <w:numId w:val="2"/>
              </w:numPr>
            </w:pPr>
            <w:r>
              <w:t>Supports shorter time gap (&lt; 5 years) between final rule publication and compliance date for newly covered products.</w:t>
            </w:r>
          </w:p>
        </w:tc>
        <w:tc>
          <w:tcPr>
            <w:tcW w:w="4675" w:type="dxa"/>
          </w:tcPr>
          <w:p w:rsidR="00557D6C" w:rsidRDefault="00557D6C" w:rsidP="00557D6C">
            <w:pPr>
              <w:pStyle w:val="ListParagraph"/>
              <w:numPr>
                <w:ilvl w:val="0"/>
                <w:numId w:val="2"/>
              </w:numPr>
            </w:pPr>
            <w:r>
              <w:t>Supports more emphasis on customer preference.</w:t>
            </w:r>
          </w:p>
          <w:p w:rsidR="00557D6C" w:rsidRDefault="00557D6C" w:rsidP="00557D6C">
            <w:pPr>
              <w:pStyle w:val="ListParagraph"/>
              <w:numPr>
                <w:ilvl w:val="0"/>
                <w:numId w:val="2"/>
              </w:numPr>
            </w:pPr>
            <w:r>
              <w:t>Supports de-prioritization of equipment when above-code equipment is already often preferred by customers.</w:t>
            </w:r>
          </w:p>
          <w:p w:rsidR="00557D6C" w:rsidRDefault="00557D6C" w:rsidP="00557D6C">
            <w:pPr>
              <w:pStyle w:val="ListParagraph"/>
              <w:numPr>
                <w:ilvl w:val="0"/>
                <w:numId w:val="2"/>
              </w:numPr>
            </w:pPr>
            <w:r>
              <w:t>Supports regional regulations.</w:t>
            </w:r>
          </w:p>
        </w:tc>
      </w:tr>
    </w:tbl>
    <w:p w:rsidR="00557D6C" w:rsidRPr="001A4915" w:rsidRDefault="00557D6C" w:rsidP="00557D6C"/>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sidRPr="006E2FC5">
              <w:rPr>
                <w:i/>
              </w:rPr>
              <w:t>Question 3: 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tc>
      </w:tr>
      <w:tr w:rsidR="00557D6C" w:rsidTr="00FC4401">
        <w:tc>
          <w:tcPr>
            <w:tcW w:w="4675" w:type="dxa"/>
          </w:tcPr>
          <w:p w:rsidR="00557D6C" w:rsidRDefault="00557D6C" w:rsidP="00FC4401">
            <w:r>
              <w:t>PG&amp;E-led</w:t>
            </w:r>
          </w:p>
        </w:tc>
        <w:tc>
          <w:tcPr>
            <w:tcW w:w="4675" w:type="dxa"/>
          </w:tcPr>
          <w:p w:rsidR="00557D6C" w:rsidRDefault="00557D6C" w:rsidP="00FC4401">
            <w:r>
              <w:t>SoCalGas</w:t>
            </w:r>
          </w:p>
        </w:tc>
      </w:tr>
      <w:tr w:rsidR="00557D6C" w:rsidTr="00FC4401">
        <w:tc>
          <w:tcPr>
            <w:tcW w:w="4675" w:type="dxa"/>
          </w:tcPr>
          <w:p w:rsidR="00557D6C" w:rsidRDefault="00557D6C" w:rsidP="00557D6C">
            <w:pPr>
              <w:pStyle w:val="ListParagraph"/>
              <w:numPr>
                <w:ilvl w:val="0"/>
                <w:numId w:val="2"/>
              </w:numPr>
            </w:pPr>
            <w:r>
              <w:t>Claims that DOE overestimates equipment price increases and underestimates consumer benefits, using clothes washers and other electrically-</w:t>
            </w:r>
            <w:r>
              <w:lastRenderedPageBreak/>
              <w:t>powered residential equipment as the primary examples.</w:t>
            </w:r>
          </w:p>
        </w:tc>
        <w:tc>
          <w:tcPr>
            <w:tcW w:w="4675" w:type="dxa"/>
          </w:tcPr>
          <w:p w:rsidR="00557D6C" w:rsidRDefault="00557D6C" w:rsidP="00557D6C">
            <w:pPr>
              <w:pStyle w:val="ListParagraph"/>
              <w:numPr>
                <w:ilvl w:val="0"/>
                <w:numId w:val="2"/>
              </w:numPr>
            </w:pPr>
            <w:r>
              <w:lastRenderedPageBreak/>
              <w:t>Acknowledges environmental advocate research on this topic but urges DOE to also find research by other groups.</w:t>
            </w:r>
          </w:p>
          <w:p w:rsidR="00557D6C" w:rsidRDefault="00557D6C" w:rsidP="00557D6C">
            <w:pPr>
              <w:pStyle w:val="ListParagraph"/>
              <w:numPr>
                <w:ilvl w:val="0"/>
                <w:numId w:val="2"/>
              </w:numPr>
            </w:pPr>
            <w:r>
              <w:lastRenderedPageBreak/>
              <w:t>Emphasizes that every rulemaking has unique qualities, so retrospective studies shouldn’t be over-generalized.</w:t>
            </w:r>
          </w:p>
        </w:tc>
      </w:tr>
    </w:tbl>
    <w:p w:rsidR="00557D6C" w:rsidRPr="001A4915" w:rsidRDefault="00557D6C" w:rsidP="00557D6C"/>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sidRPr="006E2FC5">
              <w:rPr>
                <w:i/>
              </w:rPr>
              <w:t>Question 4: Are there regulations that simply make no sense or have become unnecessary, ineffective, or ill-advised and if so what are they? Are there rules that can simply be repealed without impairing DOE’s statutory obligations and, if so, what are they?</w:t>
            </w:r>
          </w:p>
        </w:tc>
      </w:tr>
      <w:tr w:rsidR="00557D6C" w:rsidTr="00FC4401">
        <w:tc>
          <w:tcPr>
            <w:tcW w:w="4675" w:type="dxa"/>
          </w:tcPr>
          <w:p w:rsidR="00557D6C" w:rsidRDefault="00557D6C" w:rsidP="00FC4401">
            <w:r>
              <w:t>PG&amp;E-led</w:t>
            </w:r>
          </w:p>
        </w:tc>
        <w:tc>
          <w:tcPr>
            <w:tcW w:w="4675" w:type="dxa"/>
          </w:tcPr>
          <w:p w:rsidR="00557D6C" w:rsidRDefault="00557D6C" w:rsidP="00FC4401">
            <w:r>
              <w:t>SoCalGas</w:t>
            </w:r>
          </w:p>
        </w:tc>
      </w:tr>
      <w:tr w:rsidR="00557D6C" w:rsidTr="00FC4401">
        <w:tc>
          <w:tcPr>
            <w:tcW w:w="4675" w:type="dxa"/>
          </w:tcPr>
          <w:p w:rsidR="00557D6C" w:rsidRDefault="00557D6C" w:rsidP="00557D6C">
            <w:pPr>
              <w:pStyle w:val="ListParagraph"/>
              <w:numPr>
                <w:ilvl w:val="0"/>
                <w:numId w:val="2"/>
              </w:numPr>
            </w:pPr>
            <w:r>
              <w:t xml:space="preserve">Claims that the EPCA anti-backsliding provision prevents DOE from repealing any existing rulemakings. </w:t>
            </w:r>
          </w:p>
        </w:tc>
        <w:tc>
          <w:tcPr>
            <w:tcW w:w="4675" w:type="dxa"/>
          </w:tcPr>
          <w:p w:rsidR="00557D6C" w:rsidRDefault="00557D6C" w:rsidP="00557D6C">
            <w:pPr>
              <w:pStyle w:val="ListParagraph"/>
              <w:numPr>
                <w:ilvl w:val="0"/>
                <w:numId w:val="2"/>
              </w:numPr>
            </w:pPr>
            <w:r>
              <w:t>Critiqued the LCC Methodology</w:t>
            </w:r>
          </w:p>
          <w:p w:rsidR="00557D6C" w:rsidRDefault="00557D6C" w:rsidP="00557D6C">
            <w:pPr>
              <w:pStyle w:val="ListParagraph"/>
              <w:numPr>
                <w:ilvl w:val="0"/>
                <w:numId w:val="2"/>
              </w:numPr>
            </w:pPr>
            <w:r>
              <w:t>Stated that these criticisms apply to future rulemakings as well as the furnace rulemaking, which is not finalized.</w:t>
            </w:r>
          </w:p>
        </w:tc>
      </w:tr>
    </w:tbl>
    <w:p w:rsidR="00557D6C" w:rsidRPr="00900AD2" w:rsidRDefault="00557D6C" w:rsidP="00557D6C"/>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Pr>
                <w:i/>
              </w:rPr>
              <w:t xml:space="preserve">Question 5: </w:t>
            </w:r>
            <w:r w:rsidRPr="006E2FC5">
              <w:rPr>
                <w:i/>
              </w:rPr>
              <w:t>Are there rules or reporting requirements that have become outdated and, if so, how can they be modernized to better accomplish their objective?</w:t>
            </w:r>
          </w:p>
        </w:tc>
      </w:tr>
      <w:tr w:rsidR="00557D6C" w:rsidTr="00FC4401">
        <w:tc>
          <w:tcPr>
            <w:tcW w:w="4675" w:type="dxa"/>
          </w:tcPr>
          <w:p w:rsidR="00557D6C" w:rsidRDefault="00557D6C" w:rsidP="00FC4401">
            <w:r>
              <w:t>PG&amp;E-led</w:t>
            </w:r>
          </w:p>
        </w:tc>
        <w:tc>
          <w:tcPr>
            <w:tcW w:w="4675" w:type="dxa"/>
          </w:tcPr>
          <w:p w:rsidR="00557D6C" w:rsidRDefault="00557D6C" w:rsidP="00FC4401">
            <w:r>
              <w:t>SoCalGas</w:t>
            </w:r>
          </w:p>
        </w:tc>
      </w:tr>
      <w:tr w:rsidR="00557D6C" w:rsidTr="00FC4401">
        <w:tc>
          <w:tcPr>
            <w:tcW w:w="4675" w:type="dxa"/>
          </w:tcPr>
          <w:p w:rsidR="00557D6C" w:rsidRDefault="00557D6C" w:rsidP="00557D6C">
            <w:pPr>
              <w:pStyle w:val="ListParagraph"/>
              <w:numPr>
                <w:ilvl w:val="0"/>
                <w:numId w:val="2"/>
              </w:numPr>
            </w:pPr>
            <w:r>
              <w:t>No comment.</w:t>
            </w:r>
          </w:p>
        </w:tc>
        <w:tc>
          <w:tcPr>
            <w:tcW w:w="4675" w:type="dxa"/>
          </w:tcPr>
          <w:p w:rsidR="00557D6C" w:rsidRDefault="00557D6C" w:rsidP="00557D6C">
            <w:pPr>
              <w:pStyle w:val="ListParagraph"/>
              <w:numPr>
                <w:ilvl w:val="0"/>
                <w:numId w:val="2"/>
              </w:numPr>
            </w:pPr>
            <w:r>
              <w:t>Suggested that TDV or other time dependent valuations of energy should be considered for energy pricing.</w:t>
            </w:r>
          </w:p>
        </w:tc>
      </w:tr>
    </w:tbl>
    <w:p w:rsidR="00557D6C" w:rsidRPr="00900AD2" w:rsidRDefault="00557D6C" w:rsidP="00557D6C"/>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Pr>
                <w:i/>
              </w:rPr>
              <w:t xml:space="preserve">Question 8: </w:t>
            </w:r>
            <w:r w:rsidRPr="006E2FC5">
              <w:rPr>
                <w:i/>
              </w:rPr>
              <w:t>Does DOE currently collect information that it does not need or use effectively?</w:t>
            </w:r>
          </w:p>
        </w:tc>
      </w:tr>
      <w:tr w:rsidR="00557D6C" w:rsidTr="00FC4401">
        <w:tc>
          <w:tcPr>
            <w:tcW w:w="4675" w:type="dxa"/>
          </w:tcPr>
          <w:p w:rsidR="00557D6C" w:rsidRDefault="00557D6C" w:rsidP="00FC4401">
            <w:r>
              <w:t>PG&amp;E-led</w:t>
            </w:r>
          </w:p>
        </w:tc>
        <w:tc>
          <w:tcPr>
            <w:tcW w:w="4675" w:type="dxa"/>
          </w:tcPr>
          <w:p w:rsidR="00557D6C" w:rsidRDefault="00557D6C" w:rsidP="00FC4401">
            <w:r>
              <w:t>SoCalGas</w:t>
            </w:r>
          </w:p>
        </w:tc>
      </w:tr>
      <w:tr w:rsidR="00557D6C" w:rsidTr="00FC4401">
        <w:tc>
          <w:tcPr>
            <w:tcW w:w="4675" w:type="dxa"/>
          </w:tcPr>
          <w:p w:rsidR="00557D6C" w:rsidRDefault="00557D6C" w:rsidP="00557D6C">
            <w:pPr>
              <w:pStyle w:val="ListParagraph"/>
              <w:numPr>
                <w:ilvl w:val="0"/>
                <w:numId w:val="2"/>
              </w:numPr>
            </w:pPr>
            <w:r>
              <w:t>Supports the collection of more data.</w:t>
            </w:r>
          </w:p>
        </w:tc>
        <w:tc>
          <w:tcPr>
            <w:tcW w:w="4675" w:type="dxa"/>
          </w:tcPr>
          <w:p w:rsidR="00557D6C" w:rsidRDefault="00557D6C" w:rsidP="00557D6C">
            <w:pPr>
              <w:pStyle w:val="ListParagraph"/>
              <w:numPr>
                <w:ilvl w:val="0"/>
                <w:numId w:val="2"/>
              </w:numPr>
            </w:pPr>
            <w:r>
              <w:t>Supports the collection of more data.</w:t>
            </w:r>
          </w:p>
          <w:p w:rsidR="00557D6C" w:rsidRDefault="00557D6C" w:rsidP="00557D6C">
            <w:pPr>
              <w:pStyle w:val="ListParagraph"/>
              <w:numPr>
                <w:ilvl w:val="0"/>
                <w:numId w:val="2"/>
              </w:numPr>
            </w:pPr>
            <w:r>
              <w:t>Supports better application of data to consumer choice models.</w:t>
            </w:r>
          </w:p>
          <w:p w:rsidR="00557D6C" w:rsidRDefault="00557D6C" w:rsidP="00557D6C">
            <w:pPr>
              <w:pStyle w:val="ListParagraph"/>
              <w:numPr>
                <w:ilvl w:val="0"/>
                <w:numId w:val="2"/>
              </w:numPr>
            </w:pPr>
            <w:r>
              <w:t>Recommends that DOE share all collected data for free to stakeholders.</w:t>
            </w:r>
          </w:p>
        </w:tc>
      </w:tr>
    </w:tbl>
    <w:p w:rsidR="00557D6C" w:rsidRPr="00900AD2" w:rsidRDefault="00557D6C" w:rsidP="00557D6C"/>
    <w:tbl>
      <w:tblPr>
        <w:tblStyle w:val="TableGrid"/>
        <w:tblW w:w="0" w:type="auto"/>
        <w:tblLook w:val="04A0" w:firstRow="1" w:lastRow="0" w:firstColumn="1" w:lastColumn="0" w:noHBand="0" w:noVBand="1"/>
      </w:tblPr>
      <w:tblGrid>
        <w:gridCol w:w="4675"/>
        <w:gridCol w:w="4675"/>
      </w:tblGrid>
      <w:tr w:rsidR="00557D6C" w:rsidTr="00FC4401">
        <w:tc>
          <w:tcPr>
            <w:tcW w:w="9350" w:type="dxa"/>
            <w:gridSpan w:val="2"/>
          </w:tcPr>
          <w:p w:rsidR="00557D6C" w:rsidRDefault="00557D6C" w:rsidP="00FC4401">
            <w:r>
              <w:rPr>
                <w:i/>
              </w:rPr>
              <w:t xml:space="preserve">Question 9: </w:t>
            </w:r>
            <w:r w:rsidRPr="006E2FC5">
              <w:rPr>
                <w:i/>
              </w:rPr>
              <w:t>Are there regulations, reporting requirements, or regulatory processes that are unnecessarily complicated or could be streamlined to achieve statutory obligations in more efficient ways?</w:t>
            </w:r>
          </w:p>
        </w:tc>
      </w:tr>
      <w:tr w:rsidR="00557D6C" w:rsidTr="00FC4401">
        <w:tc>
          <w:tcPr>
            <w:tcW w:w="4675" w:type="dxa"/>
          </w:tcPr>
          <w:p w:rsidR="00557D6C" w:rsidRDefault="00557D6C" w:rsidP="00FC4401">
            <w:r>
              <w:t>PG&amp;E-led</w:t>
            </w:r>
          </w:p>
        </w:tc>
        <w:tc>
          <w:tcPr>
            <w:tcW w:w="4675" w:type="dxa"/>
          </w:tcPr>
          <w:p w:rsidR="00557D6C" w:rsidRDefault="00557D6C" w:rsidP="00FC4401">
            <w:r>
              <w:t>SoCalGas</w:t>
            </w:r>
          </w:p>
        </w:tc>
      </w:tr>
      <w:tr w:rsidR="00557D6C" w:rsidTr="00FC4401">
        <w:tc>
          <w:tcPr>
            <w:tcW w:w="4675" w:type="dxa"/>
          </w:tcPr>
          <w:p w:rsidR="00557D6C" w:rsidRDefault="00557D6C" w:rsidP="00557D6C">
            <w:pPr>
              <w:pStyle w:val="ListParagraph"/>
              <w:numPr>
                <w:ilvl w:val="0"/>
                <w:numId w:val="2"/>
              </w:numPr>
            </w:pPr>
            <w:r>
              <w:t>Supports no overlap of test procedures and energy conservation standards.</w:t>
            </w:r>
          </w:p>
          <w:p w:rsidR="00557D6C" w:rsidRDefault="00557D6C" w:rsidP="00557D6C">
            <w:pPr>
              <w:pStyle w:val="ListParagraph"/>
              <w:numPr>
                <w:ilvl w:val="0"/>
                <w:numId w:val="2"/>
              </w:numPr>
            </w:pPr>
            <w:r>
              <w:t>Supports collaboration with EPA, CEC, and others to reduce duplicated work.</w:t>
            </w:r>
          </w:p>
          <w:p w:rsidR="00557D6C" w:rsidRDefault="00557D6C" w:rsidP="00557D6C">
            <w:pPr>
              <w:pStyle w:val="ListParagraph"/>
              <w:numPr>
                <w:ilvl w:val="0"/>
                <w:numId w:val="2"/>
              </w:numPr>
            </w:pPr>
            <w:r>
              <w:t xml:space="preserve">Support improvement of compliance certification database. </w:t>
            </w:r>
          </w:p>
        </w:tc>
        <w:tc>
          <w:tcPr>
            <w:tcW w:w="4675" w:type="dxa"/>
          </w:tcPr>
          <w:p w:rsidR="00557D6C" w:rsidRDefault="00557D6C" w:rsidP="00557D6C">
            <w:pPr>
              <w:pStyle w:val="ListParagraph"/>
              <w:numPr>
                <w:ilvl w:val="0"/>
                <w:numId w:val="2"/>
              </w:numPr>
            </w:pPr>
            <w:r>
              <w:t>Similar comments to PG&amp;E-led letter, but added a critique of the LCC methodology.</w:t>
            </w:r>
          </w:p>
        </w:tc>
      </w:tr>
    </w:tbl>
    <w:p w:rsidR="00BD197E" w:rsidRDefault="00BD197E" w:rsidP="00557D6C"/>
    <w:sectPr w:rsidR="00BD19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BE" w:rsidRDefault="003556BE" w:rsidP="00970B3E">
      <w:pPr>
        <w:spacing w:after="0" w:line="240" w:lineRule="auto"/>
      </w:pPr>
      <w:r>
        <w:separator/>
      </w:r>
    </w:p>
  </w:endnote>
  <w:endnote w:type="continuationSeparator" w:id="0">
    <w:p w:rsidR="003556BE" w:rsidRDefault="003556BE" w:rsidP="0097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3E" w:rsidRPr="00970B3E" w:rsidRDefault="00970B3E" w:rsidP="00970B3E">
    <w:pPr>
      <w:pStyle w:val="Footer"/>
      <w:jc w:val="right"/>
      <w:rPr>
        <w:sz w:val="20"/>
      </w:rPr>
    </w:pPr>
    <w:r w:rsidRPr="00970B3E">
      <w:rPr>
        <w:sz w:val="20"/>
      </w:rPr>
      <w:t xml:space="preserve">Page </w:t>
    </w:r>
    <w:r w:rsidRPr="00970B3E">
      <w:rPr>
        <w:b/>
        <w:bCs/>
        <w:sz w:val="20"/>
      </w:rPr>
      <w:fldChar w:fldCharType="begin"/>
    </w:r>
    <w:r w:rsidRPr="00970B3E">
      <w:rPr>
        <w:b/>
        <w:bCs/>
        <w:sz w:val="20"/>
      </w:rPr>
      <w:instrText xml:space="preserve"> PAGE  \* Arabic  \* MERGEFORMAT </w:instrText>
    </w:r>
    <w:r w:rsidRPr="00970B3E">
      <w:rPr>
        <w:b/>
        <w:bCs/>
        <w:sz w:val="20"/>
      </w:rPr>
      <w:fldChar w:fldCharType="separate"/>
    </w:r>
    <w:r w:rsidR="00923235">
      <w:rPr>
        <w:b/>
        <w:bCs/>
        <w:noProof/>
        <w:sz w:val="20"/>
      </w:rPr>
      <w:t>1</w:t>
    </w:r>
    <w:r w:rsidRPr="00970B3E">
      <w:rPr>
        <w:b/>
        <w:bCs/>
        <w:sz w:val="20"/>
      </w:rPr>
      <w:fldChar w:fldCharType="end"/>
    </w:r>
    <w:r w:rsidRPr="00970B3E">
      <w:rPr>
        <w:sz w:val="20"/>
      </w:rPr>
      <w:t xml:space="preserve"> of </w:t>
    </w:r>
    <w:r w:rsidRPr="00970B3E">
      <w:rPr>
        <w:b/>
        <w:bCs/>
        <w:sz w:val="20"/>
      </w:rPr>
      <w:fldChar w:fldCharType="begin"/>
    </w:r>
    <w:r w:rsidRPr="00970B3E">
      <w:rPr>
        <w:b/>
        <w:bCs/>
        <w:sz w:val="20"/>
      </w:rPr>
      <w:instrText xml:space="preserve"> NUMPAGES  \* Arabic  \* MERGEFORMAT </w:instrText>
    </w:r>
    <w:r w:rsidRPr="00970B3E">
      <w:rPr>
        <w:b/>
        <w:bCs/>
        <w:sz w:val="20"/>
      </w:rPr>
      <w:fldChar w:fldCharType="separate"/>
    </w:r>
    <w:r w:rsidR="00923235">
      <w:rPr>
        <w:b/>
        <w:bCs/>
        <w:noProof/>
        <w:sz w:val="20"/>
      </w:rPr>
      <w:t>2</w:t>
    </w:r>
    <w:r w:rsidRPr="00970B3E">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BE" w:rsidRDefault="003556BE" w:rsidP="00970B3E">
      <w:pPr>
        <w:spacing w:after="0" w:line="240" w:lineRule="auto"/>
      </w:pPr>
      <w:r>
        <w:separator/>
      </w:r>
    </w:p>
  </w:footnote>
  <w:footnote w:type="continuationSeparator" w:id="0">
    <w:p w:rsidR="003556BE" w:rsidRDefault="003556BE" w:rsidP="0097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00F1"/>
    <w:multiLevelType w:val="hybridMultilevel"/>
    <w:tmpl w:val="76F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2318C"/>
    <w:multiLevelType w:val="hybridMultilevel"/>
    <w:tmpl w:val="1DA0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3E"/>
    <w:rsid w:val="00086359"/>
    <w:rsid w:val="00133E4A"/>
    <w:rsid w:val="003556BE"/>
    <w:rsid w:val="00484044"/>
    <w:rsid w:val="00557D6C"/>
    <w:rsid w:val="00565EB0"/>
    <w:rsid w:val="00597C1C"/>
    <w:rsid w:val="00923235"/>
    <w:rsid w:val="0094157A"/>
    <w:rsid w:val="00970B3E"/>
    <w:rsid w:val="00BD197E"/>
    <w:rsid w:val="00C97A4F"/>
    <w:rsid w:val="00CA33E9"/>
    <w:rsid w:val="00CF282E"/>
    <w:rsid w:val="00D96075"/>
    <w:rsid w:val="00F0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486C"/>
  <w15:chartTrackingRefBased/>
  <w15:docId w15:val="{4900264D-5DE2-4563-A945-89AB421D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7D6C"/>
  </w:style>
  <w:style w:type="paragraph" w:styleId="Heading1">
    <w:name w:val="heading 1"/>
    <w:basedOn w:val="Normal"/>
    <w:next w:val="Normal"/>
    <w:link w:val="Heading1Char"/>
    <w:uiPriority w:val="9"/>
    <w:qFormat/>
    <w:rsid w:val="00557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3E"/>
  </w:style>
  <w:style w:type="paragraph" w:styleId="Footer">
    <w:name w:val="footer"/>
    <w:basedOn w:val="Normal"/>
    <w:link w:val="FooterChar"/>
    <w:uiPriority w:val="99"/>
    <w:unhideWhenUsed/>
    <w:rsid w:val="0097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3E"/>
  </w:style>
  <w:style w:type="character" w:styleId="Hyperlink">
    <w:name w:val="Hyperlink"/>
    <w:basedOn w:val="DefaultParagraphFont"/>
    <w:uiPriority w:val="99"/>
    <w:unhideWhenUsed/>
    <w:rsid w:val="00970B3E"/>
    <w:rPr>
      <w:color w:val="0563C1" w:themeColor="hyperlink"/>
      <w:u w:val="single"/>
    </w:rPr>
  </w:style>
  <w:style w:type="paragraph" w:styleId="ListParagraph">
    <w:name w:val="List Paragraph"/>
    <w:basedOn w:val="Normal"/>
    <w:uiPriority w:val="34"/>
    <w:qFormat/>
    <w:rsid w:val="00BD197E"/>
    <w:pPr>
      <w:ind w:left="720"/>
      <w:contextualSpacing/>
    </w:pPr>
  </w:style>
  <w:style w:type="table" w:styleId="TableGrid">
    <w:name w:val="Table Grid"/>
    <w:basedOn w:val="TableNormal"/>
    <w:uiPriority w:val="39"/>
    <w:rsid w:val="00C9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7D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73F40-7B66-4316-8ED6-54A01424A6B6}"/>
</file>

<file path=customXml/itemProps2.xml><?xml version="1.0" encoding="utf-8"?>
<ds:datastoreItem xmlns:ds="http://schemas.openxmlformats.org/officeDocument/2006/customXml" ds:itemID="{5C9F4004-CFEA-431A-B082-537AE4342D01}"/>
</file>

<file path=customXml/itemProps3.xml><?xml version="1.0" encoding="utf-8"?>
<ds:datastoreItem xmlns:ds="http://schemas.openxmlformats.org/officeDocument/2006/customXml" ds:itemID="{64DAFF03-C394-4032-875E-EF063C7B8DEA}"/>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Garcia, Daniela</cp:lastModifiedBy>
  <cp:revision>3</cp:revision>
  <dcterms:created xsi:type="dcterms:W3CDTF">2017-07-24T23:31:00Z</dcterms:created>
  <dcterms:modified xsi:type="dcterms:W3CDTF">2017-07-24T23:33:00Z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