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3A" w:rsidRPr="00C446D4" w:rsidRDefault="00C446D4">
      <w:pPr>
        <w:rPr>
          <w:u w:val="single"/>
        </w:rPr>
      </w:pPr>
      <w:r w:rsidRPr="00C446D4">
        <w:rPr>
          <w:u w:val="single"/>
        </w:rPr>
        <w:t>Review by Marshall Hunt, mbh9@pge.com</w:t>
      </w:r>
    </w:p>
    <w:p w:rsidR="00C446D4" w:rsidRPr="00C446D4" w:rsidRDefault="00C446D4" w:rsidP="00C446D4">
      <w:pPr>
        <w:spacing w:after="240" w:line="240" w:lineRule="auto"/>
        <w:rPr>
          <w:rFonts w:ascii="Franklin Gothic Medium" w:eastAsia="Times New Roman" w:hAnsi="Franklin Gothic Medium" w:cs="Times New Roman"/>
          <w:sz w:val="28"/>
          <w:szCs w:val="28"/>
        </w:rPr>
      </w:pPr>
      <w:r w:rsidRPr="00C446D4">
        <w:rPr>
          <w:rFonts w:ascii="Franklin Gothic Medium" w:eastAsia="Times New Roman" w:hAnsi="Franklin Gothic Medium" w:cs="Times New Roman"/>
          <w:sz w:val="28"/>
          <w:szCs w:val="28"/>
        </w:rPr>
        <w:t>Analysis of Comparative Energy Use of Residential Furnaces and Heat Pumps</w:t>
      </w:r>
    </w:p>
    <w:p w:rsidR="00C446D4" w:rsidRPr="00C446D4" w:rsidRDefault="00C446D4" w:rsidP="00C446D4">
      <w:pPr>
        <w:spacing w:after="60" w:line="240" w:lineRule="auto"/>
        <w:rPr>
          <w:rFonts w:ascii="Franklin Gothic Book" w:eastAsia="Times New Roman" w:hAnsi="Franklin Gothic Book" w:cs="Times New Roman"/>
          <w:szCs w:val="20"/>
        </w:rPr>
      </w:pPr>
      <w:r w:rsidRPr="00C446D4">
        <w:rPr>
          <w:rFonts w:ascii="Franklin Gothic Book" w:eastAsia="Times New Roman" w:hAnsi="Franklin Gothic Book" w:cs="Times New Roman"/>
          <w:szCs w:val="20"/>
        </w:rPr>
        <w:t>Steven Nadel</w:t>
      </w:r>
    </w:p>
    <w:p w:rsidR="00C446D4" w:rsidRPr="00C446D4" w:rsidRDefault="0002303F" w:rsidP="00C446D4">
      <w:pPr>
        <w:spacing w:after="60" w:line="240" w:lineRule="auto"/>
        <w:rPr>
          <w:rFonts w:ascii="Franklin Gothic Book" w:eastAsia="Times New Roman" w:hAnsi="Franklin Gothic Book" w:cs="Times New Roman"/>
          <w:szCs w:val="20"/>
        </w:rPr>
      </w:pPr>
      <w:r>
        <w:rPr>
          <w:rFonts w:ascii="Franklin Gothic Book" w:eastAsia="Times New Roman" w:hAnsi="Franklin Gothic Book" w:cs="Times New Roman"/>
          <w:szCs w:val="20"/>
        </w:rPr>
        <w:t xml:space="preserve">DRAFT January </w:t>
      </w:r>
      <w:r w:rsidR="00C446D4" w:rsidRPr="00C446D4">
        <w:rPr>
          <w:rFonts w:ascii="Franklin Gothic Book" w:eastAsia="Times New Roman" w:hAnsi="Franklin Gothic Book" w:cs="Times New Roman"/>
          <w:szCs w:val="20"/>
        </w:rPr>
        <w:t>2016</w:t>
      </w:r>
    </w:p>
    <w:p w:rsidR="00C446D4" w:rsidRDefault="00C446D4" w:rsidP="00C446D4">
      <w:pPr>
        <w:spacing w:after="0" w:line="240" w:lineRule="auto"/>
        <w:rPr>
          <w:rFonts w:ascii="Franklin Gothic Book" w:eastAsia="Times New Roman" w:hAnsi="Franklin Gothic Book" w:cs="Times New Roman"/>
          <w:szCs w:val="20"/>
        </w:rPr>
      </w:pPr>
      <w:r w:rsidRPr="00C446D4">
        <w:rPr>
          <w:rFonts w:ascii="Franklin Gothic Book" w:eastAsia="Times New Roman" w:hAnsi="Franklin Gothic Book" w:cs="Times New Roman"/>
          <w:szCs w:val="20"/>
        </w:rPr>
        <w:t>An ACEEE White Paper</w:t>
      </w:r>
    </w:p>
    <w:p w:rsidR="00C446D4" w:rsidRDefault="00C446D4" w:rsidP="00C446D4">
      <w:pPr>
        <w:spacing w:after="0" w:line="240" w:lineRule="auto"/>
        <w:rPr>
          <w:rFonts w:ascii="Franklin Gothic Book" w:eastAsia="Times New Roman" w:hAnsi="Franklin Gothic Book" w:cs="Times New Roman"/>
          <w:szCs w:val="20"/>
        </w:rPr>
      </w:pPr>
    </w:p>
    <w:p w:rsidR="00C446D4" w:rsidRDefault="00F8262E" w:rsidP="00C446D4">
      <w:pPr>
        <w:spacing w:after="0" w:line="240" w:lineRule="auto"/>
        <w:rPr>
          <w:rFonts w:ascii="Franklin Gothic Book" w:eastAsia="Times New Roman" w:hAnsi="Franklin Gothic Book" w:cs="Times New Roman"/>
          <w:szCs w:val="20"/>
        </w:rPr>
      </w:pPr>
      <w:r>
        <w:rPr>
          <w:rFonts w:ascii="Franklin Gothic Book" w:eastAsia="Times New Roman" w:hAnsi="Franklin Gothic Book" w:cs="Times New Roman"/>
          <w:szCs w:val="20"/>
        </w:rPr>
        <w:t>High level observations</w:t>
      </w:r>
      <w:r w:rsidR="00C446D4">
        <w:rPr>
          <w:rFonts w:ascii="Franklin Gothic Book" w:eastAsia="Times New Roman" w:hAnsi="Franklin Gothic Book" w:cs="Times New Roman"/>
          <w:szCs w:val="20"/>
        </w:rPr>
        <w:t>:</w:t>
      </w:r>
    </w:p>
    <w:p w:rsidR="001D779B" w:rsidRDefault="001D779B" w:rsidP="00C446D4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Cs w:val="20"/>
        </w:rPr>
      </w:pPr>
      <w:r>
        <w:rPr>
          <w:rFonts w:ascii="Franklin Gothic Book" w:eastAsia="Times New Roman" w:hAnsi="Franklin Gothic Book" w:cs="Times New Roman"/>
          <w:szCs w:val="20"/>
        </w:rPr>
        <w:t xml:space="preserve">ACEEE analysis is </w:t>
      </w:r>
      <w:r w:rsidR="009B02FA">
        <w:rPr>
          <w:rFonts w:ascii="Franklin Gothic Book" w:eastAsia="Times New Roman" w:hAnsi="Franklin Gothic Book" w:cs="Times New Roman"/>
          <w:szCs w:val="20"/>
        </w:rPr>
        <w:t>of interest to PG&amp;E</w:t>
      </w:r>
      <w:r w:rsidR="00FB38A9">
        <w:rPr>
          <w:rFonts w:ascii="Franklin Gothic Book" w:eastAsia="Times New Roman" w:hAnsi="Franklin Gothic Book" w:cs="Times New Roman"/>
          <w:szCs w:val="20"/>
        </w:rPr>
        <w:t xml:space="preserve"> but not </w:t>
      </w:r>
      <w:r w:rsidR="00075C66">
        <w:rPr>
          <w:rFonts w:ascii="Franklin Gothic Book" w:eastAsia="Times New Roman" w:hAnsi="Franklin Gothic Book" w:cs="Times New Roman"/>
          <w:szCs w:val="20"/>
        </w:rPr>
        <w:t xml:space="preserve">directly </w:t>
      </w:r>
      <w:r w:rsidR="00FB38A9">
        <w:rPr>
          <w:rFonts w:ascii="Franklin Gothic Book" w:eastAsia="Times New Roman" w:hAnsi="Franklin Gothic Book" w:cs="Times New Roman"/>
          <w:szCs w:val="20"/>
        </w:rPr>
        <w:t>applicable</w:t>
      </w:r>
      <w:r>
        <w:rPr>
          <w:rFonts w:ascii="Franklin Gothic Book" w:eastAsia="Times New Roman" w:hAnsi="Franklin Gothic Book" w:cs="Times New Roman"/>
          <w:szCs w:val="20"/>
        </w:rPr>
        <w:t>.</w:t>
      </w:r>
    </w:p>
    <w:p w:rsidR="00C446D4" w:rsidRPr="001D779B" w:rsidRDefault="00C446D4" w:rsidP="001D779B">
      <w:pPr>
        <w:pStyle w:val="ListParagraph"/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18"/>
          <w:szCs w:val="20"/>
        </w:rPr>
      </w:pPr>
      <w:r w:rsidRPr="001D779B">
        <w:rPr>
          <w:rFonts w:ascii="Franklin Gothic Book" w:eastAsia="Times New Roman" w:hAnsi="Franklin Gothic Book" w:cs="Times New Roman"/>
          <w:sz w:val="18"/>
          <w:szCs w:val="20"/>
        </w:rPr>
        <w:t>DOE Full Fuel Cycle (FFC) values for Therms and kWh used which is equivalent to the source energy multiplier of 3</w:t>
      </w:r>
      <w:r w:rsidR="001D779B">
        <w:rPr>
          <w:rFonts w:ascii="Franklin Gothic Book" w:eastAsia="Times New Roman" w:hAnsi="Franklin Gothic Book" w:cs="Times New Roman"/>
          <w:sz w:val="18"/>
          <w:szCs w:val="20"/>
        </w:rPr>
        <w:t>,</w:t>
      </w:r>
      <w:r w:rsidRPr="001D779B">
        <w:rPr>
          <w:rFonts w:ascii="Franklin Gothic Book" w:eastAsia="Times New Roman" w:hAnsi="Franklin Gothic Book" w:cs="Times New Roman"/>
          <w:sz w:val="18"/>
          <w:szCs w:val="20"/>
        </w:rPr>
        <w:t xml:space="preserve"> while CEC uses Time Dependent Value (TDV) which results in a 3.8</w:t>
      </w:r>
      <w:r w:rsidR="00FB7288" w:rsidRPr="001D779B">
        <w:rPr>
          <w:rFonts w:ascii="Franklin Gothic Book" w:eastAsia="Times New Roman" w:hAnsi="Franklin Gothic Book" w:cs="Times New Roman"/>
          <w:sz w:val="18"/>
          <w:szCs w:val="20"/>
        </w:rPr>
        <w:t xml:space="preserve"> multiplier</w:t>
      </w:r>
      <w:r w:rsidR="0002303F" w:rsidRPr="001D779B">
        <w:rPr>
          <w:rFonts w:ascii="Franklin Gothic Book" w:eastAsia="Times New Roman" w:hAnsi="Franklin Gothic Book" w:cs="Times New Roman"/>
          <w:sz w:val="18"/>
          <w:szCs w:val="20"/>
        </w:rPr>
        <w:t>.</w:t>
      </w:r>
    </w:p>
    <w:p w:rsidR="00C446D4" w:rsidRPr="001D779B" w:rsidRDefault="00754981" w:rsidP="001D779B">
      <w:pPr>
        <w:pStyle w:val="ListParagraph"/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18"/>
          <w:szCs w:val="20"/>
        </w:rPr>
      </w:pPr>
      <w:r w:rsidRPr="001D779B">
        <w:rPr>
          <w:rFonts w:ascii="Franklin Gothic Book" w:eastAsia="Times New Roman" w:hAnsi="Franklin Gothic Book" w:cs="Times New Roman"/>
          <w:sz w:val="18"/>
          <w:szCs w:val="20"/>
        </w:rPr>
        <w:t>Analysis uses 4 power plant heat rates (</w:t>
      </w:r>
      <w:r w:rsidR="0002303F" w:rsidRPr="001D779B">
        <w:rPr>
          <w:rFonts w:ascii="Franklin Gothic Book" w:eastAsia="Times New Roman" w:hAnsi="Franklin Gothic Book" w:cs="Times New Roman"/>
          <w:sz w:val="18"/>
          <w:szCs w:val="20"/>
        </w:rPr>
        <w:t xml:space="preserve">HR - </w:t>
      </w:r>
      <w:r w:rsidRPr="001D779B">
        <w:rPr>
          <w:rFonts w:ascii="Franklin Gothic Book" w:eastAsia="Times New Roman" w:hAnsi="Franklin Gothic Book" w:cs="Times New Roman"/>
          <w:sz w:val="18"/>
          <w:szCs w:val="20"/>
        </w:rPr>
        <w:t>Btu/kWh): 6161, 6503, 7667, and 1035</w:t>
      </w:r>
      <w:r w:rsidR="0096190E" w:rsidRPr="001D779B">
        <w:rPr>
          <w:rFonts w:ascii="Franklin Gothic Book" w:eastAsia="Times New Roman" w:hAnsi="Franklin Gothic Book" w:cs="Times New Roman"/>
          <w:sz w:val="18"/>
          <w:szCs w:val="20"/>
        </w:rPr>
        <w:t xml:space="preserve">4.  CEC finds CA </w:t>
      </w:r>
      <w:r w:rsidR="001D779B">
        <w:rPr>
          <w:rFonts w:ascii="Franklin Gothic Book" w:eastAsia="Times New Roman" w:hAnsi="Franklin Gothic Book" w:cs="Times New Roman"/>
          <w:sz w:val="18"/>
          <w:szCs w:val="20"/>
        </w:rPr>
        <w:t xml:space="preserve">that </w:t>
      </w:r>
      <w:r w:rsidR="0096190E" w:rsidRPr="001D779B">
        <w:rPr>
          <w:rFonts w:ascii="Franklin Gothic Book" w:eastAsia="Times New Roman" w:hAnsi="Franklin Gothic Book" w:cs="Times New Roman"/>
          <w:sz w:val="18"/>
          <w:szCs w:val="20"/>
        </w:rPr>
        <w:t>electricity production heat rate is 7260</w:t>
      </w:r>
      <w:r w:rsidRPr="001D779B">
        <w:rPr>
          <w:rFonts w:ascii="Franklin Gothic Book" w:eastAsia="Times New Roman" w:hAnsi="Franklin Gothic Book" w:cs="Times New Roman"/>
          <w:sz w:val="18"/>
          <w:szCs w:val="20"/>
        </w:rPr>
        <w:t xml:space="preserve">. </w:t>
      </w:r>
      <w:r w:rsidR="0096190E" w:rsidRPr="001D779B">
        <w:rPr>
          <w:rFonts w:ascii="Franklin Gothic Book" w:eastAsia="Times New Roman" w:hAnsi="Franklin Gothic Book" w:cs="Times New Roman"/>
          <w:sz w:val="18"/>
          <w:szCs w:val="20"/>
        </w:rPr>
        <w:t xml:space="preserve"> </w:t>
      </w:r>
    </w:p>
    <w:p w:rsidR="0096190E" w:rsidRPr="001D779B" w:rsidRDefault="002838E5" w:rsidP="001D779B">
      <w:pPr>
        <w:pStyle w:val="ListParagraph"/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18"/>
          <w:szCs w:val="20"/>
        </w:rPr>
      </w:pPr>
      <w:r w:rsidRPr="001D779B">
        <w:rPr>
          <w:rFonts w:ascii="Franklin Gothic Book" w:eastAsia="Times New Roman" w:hAnsi="Franklin Gothic Book" w:cs="Times New Roman"/>
          <w:sz w:val="18"/>
          <w:szCs w:val="20"/>
        </w:rPr>
        <w:t>Renewable procurement at 33% creates a net heat rate of 4792.</w:t>
      </w:r>
    </w:p>
    <w:p w:rsidR="00771159" w:rsidRPr="001D779B" w:rsidRDefault="00771159" w:rsidP="001D779B">
      <w:pPr>
        <w:pStyle w:val="ListParagraph"/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18"/>
          <w:szCs w:val="20"/>
        </w:rPr>
      </w:pPr>
      <w:r w:rsidRPr="001D779B">
        <w:rPr>
          <w:rFonts w:ascii="Franklin Gothic Book" w:eastAsia="Times New Roman" w:hAnsi="Franklin Gothic Book" w:cs="Times New Roman"/>
          <w:sz w:val="18"/>
          <w:szCs w:val="20"/>
        </w:rPr>
        <w:t>HSPF over estimates heating efficiency nationally but</w:t>
      </w:r>
      <w:r w:rsidR="0002303F" w:rsidRPr="001D779B">
        <w:rPr>
          <w:rFonts w:ascii="Franklin Gothic Book" w:eastAsia="Times New Roman" w:hAnsi="Franklin Gothic Book" w:cs="Times New Roman"/>
          <w:sz w:val="18"/>
          <w:szCs w:val="20"/>
        </w:rPr>
        <w:t xml:space="preserve"> probably</w:t>
      </w:r>
      <w:r w:rsidR="001D779B">
        <w:rPr>
          <w:rFonts w:ascii="Franklin Gothic Book" w:eastAsia="Times New Roman" w:hAnsi="Franklin Gothic Book" w:cs="Times New Roman"/>
          <w:sz w:val="18"/>
          <w:szCs w:val="20"/>
        </w:rPr>
        <w:t xml:space="preserve"> appropriate for California’s mild climates</w:t>
      </w:r>
      <w:r w:rsidRPr="001D779B">
        <w:rPr>
          <w:rFonts w:ascii="Franklin Gothic Book" w:eastAsia="Times New Roman" w:hAnsi="Franklin Gothic Book" w:cs="Times New Roman"/>
          <w:sz w:val="18"/>
          <w:szCs w:val="20"/>
        </w:rPr>
        <w:t>.</w:t>
      </w:r>
    </w:p>
    <w:p w:rsidR="001D779B" w:rsidRPr="001D779B" w:rsidRDefault="00771159" w:rsidP="001D779B">
      <w:pPr>
        <w:pStyle w:val="ListParagraph"/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18"/>
          <w:szCs w:val="20"/>
        </w:rPr>
      </w:pPr>
      <w:r w:rsidRPr="001D779B">
        <w:rPr>
          <w:rFonts w:ascii="Franklin Gothic Book" w:eastAsia="Times New Roman" w:hAnsi="Franklin Gothic Book" w:cs="Times New Roman"/>
          <w:sz w:val="18"/>
          <w:szCs w:val="20"/>
        </w:rPr>
        <w:t xml:space="preserve">Low net heat rate </w:t>
      </w:r>
      <w:r w:rsidR="0002303F" w:rsidRPr="001D779B">
        <w:rPr>
          <w:rFonts w:ascii="Franklin Gothic Book" w:eastAsia="Times New Roman" w:hAnsi="Franklin Gothic Book" w:cs="Times New Roman"/>
          <w:sz w:val="18"/>
          <w:szCs w:val="20"/>
        </w:rPr>
        <w:t xml:space="preserve">(NG plant HR * renewable percentage) </w:t>
      </w:r>
      <w:r w:rsidRPr="001D779B">
        <w:rPr>
          <w:rFonts w:ascii="Franklin Gothic Book" w:eastAsia="Times New Roman" w:hAnsi="Franklin Gothic Book" w:cs="Times New Roman"/>
          <w:sz w:val="18"/>
          <w:szCs w:val="20"/>
        </w:rPr>
        <w:t>offsets difference between FFC and TDV making ACEEE analysis germane to California.</w:t>
      </w:r>
      <w:r w:rsidR="001D779B" w:rsidRPr="001D779B">
        <w:rPr>
          <w:rFonts w:ascii="Franklin Gothic Book" w:eastAsia="Times New Roman" w:hAnsi="Franklin Gothic Book" w:cs="Times New Roman"/>
          <w:szCs w:val="20"/>
        </w:rPr>
        <w:t xml:space="preserve"> </w:t>
      </w:r>
    </w:p>
    <w:p w:rsidR="00771159" w:rsidRPr="001D779B" w:rsidRDefault="001B591E" w:rsidP="001D779B">
      <w:pPr>
        <w:pStyle w:val="ListParagraph"/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14"/>
          <w:szCs w:val="20"/>
        </w:rPr>
      </w:pPr>
      <w:r>
        <w:rPr>
          <w:rFonts w:ascii="Franklin Gothic Book" w:eastAsia="Times New Roman" w:hAnsi="Franklin Gothic Book" w:cs="Times New Roman"/>
          <w:sz w:val="18"/>
          <w:szCs w:val="20"/>
        </w:rPr>
        <w:t xml:space="preserve">Analysis shows </w:t>
      </w:r>
      <w:r w:rsidR="001D779B" w:rsidRPr="001D779B">
        <w:rPr>
          <w:rFonts w:ascii="Franklin Gothic Book" w:eastAsia="Times New Roman" w:hAnsi="Franklin Gothic Book" w:cs="Times New Roman"/>
          <w:sz w:val="18"/>
          <w:szCs w:val="20"/>
        </w:rPr>
        <w:t>Heat Pumps in California are more energy efficient than furnaces.</w:t>
      </w:r>
    </w:p>
    <w:p w:rsidR="00771159" w:rsidRPr="001D779B" w:rsidRDefault="001D779B" w:rsidP="001D779B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Cs w:val="20"/>
        </w:rPr>
      </w:pPr>
      <w:r>
        <w:rPr>
          <w:rFonts w:ascii="Franklin Gothic Book" w:eastAsia="Times New Roman" w:hAnsi="Franklin Gothic Book" w:cs="Times New Roman"/>
          <w:szCs w:val="20"/>
        </w:rPr>
        <w:t xml:space="preserve">Heat Pumps have no efficiency credit in CEC </w:t>
      </w:r>
      <w:r w:rsidR="0002303F">
        <w:rPr>
          <w:rFonts w:ascii="Franklin Gothic Book" w:eastAsia="Times New Roman" w:hAnsi="Franklin Gothic Book" w:cs="Times New Roman"/>
          <w:szCs w:val="20"/>
        </w:rPr>
        <w:t xml:space="preserve">Title 24 </w:t>
      </w:r>
      <w:r>
        <w:rPr>
          <w:rFonts w:ascii="Franklin Gothic Book" w:eastAsia="Times New Roman" w:hAnsi="Franklin Gothic Book" w:cs="Times New Roman"/>
          <w:szCs w:val="20"/>
        </w:rPr>
        <w:t xml:space="preserve">because </w:t>
      </w:r>
      <w:r w:rsidR="009B02FA">
        <w:rPr>
          <w:rFonts w:ascii="Franklin Gothic Book" w:eastAsia="Times New Roman" w:hAnsi="Franklin Gothic Book" w:cs="Times New Roman"/>
          <w:szCs w:val="20"/>
        </w:rPr>
        <w:t xml:space="preserve">the </w:t>
      </w:r>
      <w:r>
        <w:rPr>
          <w:rFonts w:ascii="Franklin Gothic Book" w:eastAsia="Times New Roman" w:hAnsi="Franklin Gothic Book" w:cs="Times New Roman"/>
          <w:szCs w:val="20"/>
        </w:rPr>
        <w:t>DOE minimum efficiency of each</w:t>
      </w:r>
      <w:r w:rsidR="009B02FA">
        <w:rPr>
          <w:rFonts w:ascii="Franklin Gothic Book" w:eastAsia="Times New Roman" w:hAnsi="Franklin Gothic Book" w:cs="Times New Roman"/>
          <w:szCs w:val="20"/>
        </w:rPr>
        <w:t xml:space="preserve"> (Furnaces at 80 AFUE and Heat Pumps at 8.2 HSPF)</w:t>
      </w:r>
      <w:r>
        <w:rPr>
          <w:rFonts w:ascii="Franklin Gothic Book" w:eastAsia="Times New Roman" w:hAnsi="Franklin Gothic Book" w:cs="Times New Roman"/>
          <w:szCs w:val="20"/>
        </w:rPr>
        <w:t xml:space="preserve"> </w:t>
      </w:r>
      <w:r w:rsidR="009B02FA">
        <w:rPr>
          <w:rFonts w:ascii="Franklin Gothic Book" w:eastAsia="Times New Roman" w:hAnsi="Franklin Gothic Book" w:cs="Times New Roman"/>
          <w:szCs w:val="20"/>
        </w:rPr>
        <w:t xml:space="preserve">is </w:t>
      </w:r>
      <w:r>
        <w:rPr>
          <w:rFonts w:ascii="Franklin Gothic Book" w:eastAsia="Times New Roman" w:hAnsi="Franklin Gothic Book" w:cs="Times New Roman"/>
          <w:szCs w:val="20"/>
        </w:rPr>
        <w:t>used to set the heating budget.</w:t>
      </w:r>
    </w:p>
    <w:p w:rsidR="00771159" w:rsidRDefault="0002303F" w:rsidP="00C446D4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Cs w:val="20"/>
        </w:rPr>
      </w:pPr>
      <w:r>
        <w:rPr>
          <w:rFonts w:ascii="Franklin Gothic Book" w:eastAsia="Times New Roman" w:hAnsi="Franklin Gothic Book" w:cs="Times New Roman"/>
          <w:szCs w:val="20"/>
        </w:rPr>
        <w:t xml:space="preserve">Heat Pumps are </w:t>
      </w:r>
      <w:r>
        <w:rPr>
          <w:rFonts w:ascii="Franklin Gothic Book" w:eastAsia="Times New Roman" w:hAnsi="Franklin Gothic Book" w:cs="Times New Roman"/>
          <w:szCs w:val="20"/>
        </w:rPr>
        <w:t>1.8 times</w:t>
      </w:r>
      <w:r>
        <w:rPr>
          <w:rFonts w:ascii="Franklin Gothic Book" w:eastAsia="Times New Roman" w:hAnsi="Franklin Gothic Book" w:cs="Times New Roman"/>
          <w:szCs w:val="20"/>
        </w:rPr>
        <w:t xml:space="preserve"> more expensive to operate with electricity at $0.27/kWh and gas at $1.83/Therm. </w:t>
      </w:r>
    </w:p>
    <w:p w:rsidR="00075C66" w:rsidRDefault="00075C66" w:rsidP="001D779B">
      <w:pPr>
        <w:spacing w:after="0" w:line="240" w:lineRule="auto"/>
        <w:rPr>
          <w:rFonts w:ascii="Franklin Gothic Book" w:eastAsia="Times New Roman" w:hAnsi="Franklin Gothic Book" w:cs="Times New Roman"/>
          <w:szCs w:val="20"/>
        </w:rPr>
      </w:pPr>
    </w:p>
    <w:p w:rsidR="001D779B" w:rsidRDefault="001D779B" w:rsidP="001D779B">
      <w:pPr>
        <w:spacing w:after="0" w:line="240" w:lineRule="auto"/>
        <w:rPr>
          <w:rFonts w:ascii="Franklin Gothic Book" w:eastAsia="Times New Roman" w:hAnsi="Franklin Gothic Book" w:cs="Times New Roman"/>
          <w:szCs w:val="20"/>
        </w:rPr>
      </w:pPr>
      <w:r>
        <w:rPr>
          <w:rFonts w:ascii="Franklin Gothic Book" w:eastAsia="Times New Roman" w:hAnsi="Franklin Gothic Book" w:cs="Times New Roman"/>
          <w:szCs w:val="20"/>
        </w:rPr>
        <w:t>Conclusions</w:t>
      </w:r>
    </w:p>
    <w:p w:rsidR="001D779B" w:rsidRDefault="001D779B" w:rsidP="001D779B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eastAsia="Times New Roman" w:hAnsi="Franklin Gothic Book" w:cs="Times New Roman"/>
          <w:szCs w:val="20"/>
        </w:rPr>
      </w:pPr>
      <w:r>
        <w:rPr>
          <w:rFonts w:ascii="Franklin Gothic Book" w:eastAsia="Times New Roman" w:hAnsi="Franklin Gothic Book" w:cs="Times New Roman"/>
          <w:szCs w:val="20"/>
        </w:rPr>
        <w:t xml:space="preserve">Current </w:t>
      </w:r>
      <w:r w:rsidR="00FB38A9">
        <w:rPr>
          <w:rFonts w:ascii="Franklin Gothic Book" w:eastAsia="Times New Roman" w:hAnsi="Franklin Gothic Book" w:cs="Times New Roman"/>
          <w:szCs w:val="20"/>
        </w:rPr>
        <w:t>CEC Title 24 makes HP and Furnace heating separate but equal.</w:t>
      </w:r>
    </w:p>
    <w:p w:rsidR="00FB38A9" w:rsidRDefault="00FB38A9" w:rsidP="001D779B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eastAsia="Times New Roman" w:hAnsi="Franklin Gothic Book" w:cs="Times New Roman"/>
          <w:szCs w:val="20"/>
        </w:rPr>
      </w:pPr>
      <w:r>
        <w:rPr>
          <w:rFonts w:ascii="Franklin Gothic Book" w:eastAsia="Times New Roman" w:hAnsi="Franklin Gothic Book" w:cs="Times New Roman"/>
          <w:szCs w:val="20"/>
        </w:rPr>
        <w:t>Current CPUC approved rates make natural gas heating much less expensive.</w:t>
      </w:r>
    </w:p>
    <w:p w:rsidR="00FB38A9" w:rsidRDefault="00FB38A9" w:rsidP="001D779B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eastAsia="Times New Roman" w:hAnsi="Franklin Gothic Book" w:cs="Times New Roman"/>
          <w:szCs w:val="20"/>
        </w:rPr>
      </w:pPr>
      <w:r>
        <w:rPr>
          <w:rFonts w:ascii="Franklin Gothic Book" w:eastAsia="Times New Roman" w:hAnsi="Franklin Gothic Book" w:cs="Times New Roman"/>
          <w:szCs w:val="20"/>
        </w:rPr>
        <w:t xml:space="preserve">Future electricity rates at $0.19/kWh </w:t>
      </w:r>
      <w:r w:rsidR="001B591E">
        <w:rPr>
          <w:rFonts w:ascii="Franklin Gothic Book" w:eastAsia="Times New Roman" w:hAnsi="Franklin Gothic Book" w:cs="Times New Roman"/>
          <w:szCs w:val="20"/>
        </w:rPr>
        <w:t>could</w:t>
      </w:r>
      <w:bookmarkStart w:id="0" w:name="_GoBack"/>
      <w:bookmarkEnd w:id="0"/>
      <w:r>
        <w:rPr>
          <w:rFonts w:ascii="Franklin Gothic Book" w:eastAsia="Times New Roman" w:hAnsi="Franklin Gothic Book" w:cs="Times New Roman"/>
          <w:szCs w:val="20"/>
        </w:rPr>
        <w:t xml:space="preserve"> make operating cost equal</w:t>
      </w:r>
      <w:r w:rsidR="00B6365B">
        <w:rPr>
          <w:rFonts w:ascii="Franklin Gothic Book" w:eastAsia="Times New Roman" w:hAnsi="Franklin Gothic Book" w:cs="Times New Roman"/>
          <w:szCs w:val="20"/>
        </w:rPr>
        <w:t xml:space="preserve"> for furnaces and heat pumps</w:t>
      </w:r>
      <w:r>
        <w:rPr>
          <w:rFonts w:ascii="Franklin Gothic Book" w:eastAsia="Times New Roman" w:hAnsi="Franklin Gothic Book" w:cs="Times New Roman"/>
          <w:szCs w:val="20"/>
        </w:rPr>
        <w:t xml:space="preserve">. </w:t>
      </w:r>
    </w:p>
    <w:p w:rsidR="00FB38A9" w:rsidRDefault="00FB38A9" w:rsidP="001D779B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eastAsia="Times New Roman" w:hAnsi="Franklin Gothic Book" w:cs="Times New Roman"/>
          <w:szCs w:val="20"/>
        </w:rPr>
      </w:pPr>
      <w:r>
        <w:rPr>
          <w:rFonts w:ascii="Franklin Gothic Book" w:eastAsia="Times New Roman" w:hAnsi="Franklin Gothic Book" w:cs="Times New Roman"/>
          <w:szCs w:val="20"/>
        </w:rPr>
        <w:t>CEC definition of Zero Net Energy as being TDV = 0 allows gas usage to be offset by on site PV kWh.</w:t>
      </w:r>
    </w:p>
    <w:p w:rsidR="00FB38A9" w:rsidRPr="001D779B" w:rsidRDefault="00075C66" w:rsidP="001D779B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eastAsia="Times New Roman" w:hAnsi="Franklin Gothic Book" w:cs="Times New Roman"/>
          <w:szCs w:val="20"/>
        </w:rPr>
      </w:pPr>
      <w:r w:rsidRPr="00B6365B">
        <w:rPr>
          <w:rFonts w:ascii="Franklin Gothic Book" w:eastAsia="Times New Roman" w:hAnsi="Franklin Gothic Book" w:cs="Times New Roman"/>
          <w:szCs w:val="20"/>
          <w:u w:val="single"/>
        </w:rPr>
        <w:t>No action needed</w:t>
      </w:r>
      <w:r>
        <w:rPr>
          <w:rFonts w:ascii="Franklin Gothic Book" w:eastAsia="Times New Roman" w:hAnsi="Franklin Gothic Book" w:cs="Times New Roman"/>
          <w:szCs w:val="20"/>
        </w:rPr>
        <w:t xml:space="preserve"> other than sending ACEEE my “track changes” edits of the draft.</w:t>
      </w:r>
    </w:p>
    <w:p w:rsidR="00C446D4" w:rsidRDefault="00C446D4"/>
    <w:p w:rsidR="001B591E" w:rsidRPr="001B591E" w:rsidRDefault="001B591E" w:rsidP="001B591E">
      <w:pPr>
        <w:spacing w:after="0" w:line="240" w:lineRule="auto"/>
        <w:rPr>
          <w:rFonts w:ascii="Book Antiqua" w:eastAsia="Times New Roman" w:hAnsi="Book Antiqua" w:cs="Times New Roman"/>
          <w:color w:val="4F81BD" w:themeColor="accent1"/>
          <w:sz w:val="16"/>
        </w:rPr>
      </w:pPr>
      <w:r w:rsidRPr="001B591E">
        <w:rPr>
          <w:rFonts w:ascii="Book Antiqua" w:eastAsia="Times New Roman" w:hAnsi="Book Antiqua" w:cs="Times New Roman"/>
          <w:color w:val="4F81BD" w:themeColor="accent1"/>
          <w:sz w:val="16"/>
        </w:rPr>
        <w:t>Figure 1 for ACEEE Draft</w:t>
      </w:r>
    </w:p>
    <w:p w:rsidR="001B591E" w:rsidRPr="001B591E" w:rsidRDefault="001B591E" w:rsidP="001B591E">
      <w:pPr>
        <w:spacing w:after="0" w:line="240" w:lineRule="auto"/>
        <w:rPr>
          <w:rFonts w:ascii="Book Antiqua" w:eastAsia="Times New Roman" w:hAnsi="Book Antiqua" w:cs="Times New Roman"/>
          <w:sz w:val="16"/>
        </w:rPr>
      </w:pPr>
      <w:r w:rsidRPr="001B591E">
        <w:rPr>
          <w:rFonts w:ascii="Book Antiqua" w:eastAsia="Times New Roman" w:hAnsi="Book Antiqua" w:cs="Times New Roman"/>
          <w:color w:val="4F81BD" w:themeColor="accent1"/>
          <w:sz w:val="16"/>
        </w:rPr>
        <w:t xml:space="preserve">Comparison of </w:t>
      </w:r>
      <w:r w:rsidRPr="001B591E">
        <w:rPr>
          <w:rFonts w:ascii="Book Antiqua" w:eastAsia="Times New Roman" w:hAnsi="Book Antiqua" w:cs="Times New Roman"/>
          <w:color w:val="4F81BD" w:themeColor="accent1"/>
          <w:sz w:val="16"/>
        </w:rPr>
        <w:t xml:space="preserve">current DOE minimum efficiency </w:t>
      </w:r>
      <w:r w:rsidRPr="001B591E">
        <w:rPr>
          <w:rFonts w:ascii="Book Antiqua" w:eastAsia="Times New Roman" w:hAnsi="Book Antiqua" w:cs="Times New Roman"/>
          <w:color w:val="4F81BD" w:themeColor="accent1"/>
          <w:sz w:val="16"/>
        </w:rPr>
        <w:t>80%AFUE furnace with an 8.2 HSPF electric heat pump</w:t>
      </w:r>
      <w:r w:rsidRPr="001B591E">
        <w:rPr>
          <w:rFonts w:ascii="Book Antiqua" w:eastAsia="Times New Roman" w:hAnsi="Book Antiqua" w:cs="Times New Roman"/>
          <w:color w:val="4F81BD" w:themeColor="accent1"/>
          <w:sz w:val="16"/>
        </w:rPr>
        <w:t xml:space="preserve"> based on DOE FFC multiplier.</w:t>
      </w:r>
    </w:p>
    <w:p w:rsidR="00771159" w:rsidRDefault="001B591E">
      <w:r>
        <w:rPr>
          <w:noProof/>
        </w:rPr>
        <w:drawing>
          <wp:inline distT="0" distB="0" distL="0" distR="0" wp14:anchorId="258DCAF2" wp14:editId="4BAF7616">
            <wp:extent cx="4344162" cy="234098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129" cy="2340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71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262B"/>
    <w:multiLevelType w:val="hybridMultilevel"/>
    <w:tmpl w:val="D3B45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C6332"/>
    <w:multiLevelType w:val="hybridMultilevel"/>
    <w:tmpl w:val="8C288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6D4"/>
    <w:rsid w:val="0002303F"/>
    <w:rsid w:val="0003145B"/>
    <w:rsid w:val="00075C66"/>
    <w:rsid w:val="001B591E"/>
    <w:rsid w:val="001D779B"/>
    <w:rsid w:val="002838E5"/>
    <w:rsid w:val="004633E1"/>
    <w:rsid w:val="00754981"/>
    <w:rsid w:val="00771159"/>
    <w:rsid w:val="0096190E"/>
    <w:rsid w:val="009B02FA"/>
    <w:rsid w:val="00B6365B"/>
    <w:rsid w:val="00C446D4"/>
    <w:rsid w:val="00F8262E"/>
    <w:rsid w:val="00FB38A9"/>
    <w:rsid w:val="00FB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435662BCEB47BBD83BD0933A752E" ma:contentTypeVersion="2" ma:contentTypeDescription="Create a new document." ma:contentTypeScope="" ma:versionID="24849355d23d09a214ed68b7d35d2f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DFA01B-C958-4178-B48F-D492E0BE6D07}"/>
</file>

<file path=customXml/itemProps2.xml><?xml version="1.0" encoding="utf-8"?>
<ds:datastoreItem xmlns:ds="http://schemas.openxmlformats.org/officeDocument/2006/customXml" ds:itemID="{D24051FE-A4E1-4DAC-9F38-C0C5E8664AEC}"/>
</file>

<file path=customXml/itemProps3.xml><?xml version="1.0" encoding="utf-8"?>
<ds:datastoreItem xmlns:ds="http://schemas.openxmlformats.org/officeDocument/2006/customXml" ds:itemID="{704D4F6D-CB63-422E-85B2-D569FBE984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Gas and Electric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 B. Hunt</dc:creator>
  <cp:lastModifiedBy>Marshall B. Hunt</cp:lastModifiedBy>
  <cp:revision>3</cp:revision>
  <dcterms:created xsi:type="dcterms:W3CDTF">2016-02-03T14:07:00Z</dcterms:created>
  <dcterms:modified xsi:type="dcterms:W3CDTF">2016-02-03T17:28:00Z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0x010100C8EB435662BCEB47BBD83BD0933A752E</vt:lpwstr>
  </property>
</Properties>
</file>