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3B29" w14:textId="46C1EC7C" w:rsidR="00E463DE" w:rsidRPr="00290E40" w:rsidRDefault="006900F0" w:rsidP="008318C5">
      <w:pPr>
        <w:jc w:val="right"/>
        <w:rPr>
          <w:rFonts w:asciiTheme="minorHAnsi" w:hAnsiTheme="minorHAnsi" w:cstheme="minorHAnsi"/>
          <w:b/>
        </w:rPr>
      </w:pP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cstate="print">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F92C30">
        <w:rPr>
          <w:rFonts w:asciiTheme="minorHAnsi" w:hAnsiTheme="minorHAnsi" w:cstheme="minorHAnsi"/>
          <w:b/>
        </w:rPr>
        <w:t>Sue Kristjansson</w:t>
      </w:r>
    </w:p>
    <w:p w14:paraId="256EC5CA" w14:textId="189A1D1A" w:rsidR="00E463DE" w:rsidRPr="00290E40" w:rsidRDefault="00F92C30" w:rsidP="00290E40">
      <w:pPr>
        <w:ind w:left="5846" w:firstLine="94"/>
        <w:jc w:val="right"/>
        <w:rPr>
          <w:rFonts w:asciiTheme="minorHAnsi" w:hAnsiTheme="minorHAnsi" w:cstheme="minorHAnsi"/>
        </w:rPr>
      </w:pPr>
      <w:r>
        <w:rPr>
          <w:rFonts w:asciiTheme="minorHAnsi" w:hAnsiTheme="minorHAnsi" w:cstheme="minorHAnsi"/>
        </w:rPr>
        <w:t>Manager, Codes &amp; Standards</w:t>
      </w:r>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0E0ADC33"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w:t>
      </w:r>
      <w:r w:rsidR="00F92C30">
        <w:rPr>
          <w:rFonts w:asciiTheme="minorHAnsi" w:hAnsiTheme="minorHAnsi" w:cstheme="minorHAnsi"/>
        </w:rPr>
        <w:t>5535</w:t>
      </w:r>
    </w:p>
    <w:p w14:paraId="4386672D" w14:textId="51AE4C8B" w:rsidR="006900F0" w:rsidRDefault="007A467C" w:rsidP="008318C5">
      <w:pPr>
        <w:ind w:left="5850"/>
        <w:jc w:val="right"/>
        <w:rPr>
          <w:rFonts w:asciiTheme="minorHAnsi" w:hAnsiTheme="minorHAnsi" w:cstheme="minorHAnsi"/>
          <w:i/>
        </w:rPr>
      </w:pPr>
      <w:hyperlink r:id="rId9" w:history="1">
        <w:r w:rsidR="00F92C30" w:rsidRPr="00F92C30">
          <w:rPr>
            <w:rStyle w:val="Hyperlink"/>
            <w:rFonts w:asciiTheme="minorHAnsi" w:hAnsiTheme="minorHAnsi" w:cstheme="minorHAnsi"/>
          </w:rPr>
          <w:t>SKristjansson</w:t>
        </w:r>
        <w:r w:rsidR="00F92C30" w:rsidRPr="00EF7F3D">
          <w:rPr>
            <w:rStyle w:val="Hyperlink"/>
            <w:rFonts w:asciiTheme="minorHAnsi" w:hAnsiTheme="minorHAnsi" w:cstheme="minorHAnsi"/>
          </w:rPr>
          <w:t>@semprautilities.com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040B6E63"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1A4D32">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4A4919B5"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F92C30">
        <w:rPr>
          <w:rFonts w:asciiTheme="minorHAnsi" w:hAnsiTheme="minorHAnsi" w:cstheme="minorHAnsi"/>
        </w:rPr>
        <w:t>Our commitment to the success of the Appliance and Equipment Standards Program increased significantly in 2016, when SoCalGas’ nominee to the</w:t>
      </w:r>
      <w:r w:rsidR="00EE3B52">
        <w:rPr>
          <w:rFonts w:asciiTheme="minorHAnsi" w:hAnsiTheme="minorHAnsi" w:cstheme="minorHAnsi"/>
        </w:rPr>
        <w:t xml:space="preserve"> </w:t>
      </w:r>
      <w:r w:rsidR="00D62282" w:rsidRPr="00290E40">
        <w:rPr>
          <w:rFonts w:asciiTheme="minorHAnsi" w:hAnsiTheme="minorHAnsi" w:cstheme="minorHAnsi"/>
          <w:color w:val="000000"/>
        </w:rPr>
        <w:t>Appliance Standard and Rulemaking Federal Advisory Committee (ASRAC)</w:t>
      </w:r>
      <w:r w:rsidR="00F92C30">
        <w:rPr>
          <w:rFonts w:asciiTheme="minorHAnsi" w:hAnsiTheme="minorHAnsi" w:cstheme="minorHAnsi"/>
          <w:color w:val="000000"/>
        </w:rPr>
        <w:t xml:space="preserve"> was invited </w:t>
      </w:r>
      <w:r w:rsidR="00E22F32">
        <w:rPr>
          <w:rFonts w:asciiTheme="minorHAnsi" w:hAnsiTheme="minorHAnsi" w:cstheme="minorHAnsi"/>
          <w:color w:val="000000"/>
        </w:rPr>
        <w:t xml:space="preserve">to join </w:t>
      </w:r>
      <w:r w:rsidR="00F92C30">
        <w:rPr>
          <w:rFonts w:asciiTheme="minorHAnsi" w:hAnsiTheme="minorHAnsi" w:cstheme="minorHAnsi"/>
          <w:color w:val="000000"/>
        </w:rPr>
        <w:t>by then Secretary Moniz.</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3A725F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E66552">
        <w:rPr>
          <w:rFonts w:asciiTheme="minorHAnsi" w:hAnsiTheme="minorHAnsi" w:cstheme="minorHAns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F92C30">
        <w:rPr>
          <w:rFonts w:asciiTheme="minorHAnsi" w:hAnsiTheme="minorHAnsi" w:cstheme="minorHAnsi"/>
        </w:rPr>
        <w:t>, however some areas could benefit from improvement</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076B19CB" w:rsidR="00F12F03" w:rsidRDefault="00F12F03" w:rsidP="00A979A8">
      <w:pPr>
        <w:jc w:val="both"/>
        <w:rPr>
          <w:rFonts w:asciiTheme="minorHAnsi" w:hAnsiTheme="minorHAnsi" w:cstheme="minorHAnsi"/>
        </w:rPr>
      </w:pPr>
    </w:p>
    <w:p w14:paraId="32C9362C" w14:textId="77777777" w:rsidR="00EE3B52" w:rsidRPr="00290E40" w:rsidRDefault="00EE3B52"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055FC76"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0" w:name="m_1_A"/>
      <w:bookmarkStart w:id="1" w:name="m_1_B"/>
      <w:bookmarkEnd w:id="0"/>
      <w:bookmarkEnd w:id="1"/>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2CCBB493" w:rsidR="00147B64" w:rsidRPr="008318C5" w:rsidRDefault="00663C41" w:rsidP="008318C5">
      <w:pPr>
        <w:ind w:left="360"/>
        <w:jc w:val="both"/>
        <w:rPr>
          <w:rFonts w:asciiTheme="minorHAnsi" w:hAnsiTheme="minorHAnsi" w:cstheme="minorHAnsi"/>
        </w:rPr>
      </w:pPr>
      <w:r>
        <w:rPr>
          <w:rFonts w:asciiTheme="minorHAnsi" w:hAnsiTheme="minorHAnsi" w:cstheme="minorHAnsi"/>
        </w:rPr>
        <w:t xml:space="preserve">Assuming that DOE selects committee members fairly and thoughtfully, </w:t>
      </w:r>
      <w:r w:rsidR="00A979A8" w:rsidRPr="008318C5">
        <w:rPr>
          <w:rFonts w:asciiTheme="minorHAnsi" w:hAnsiTheme="minorHAnsi" w:cstheme="minorHAnsi"/>
        </w:rPr>
        <w:t>SoCalGas</w:t>
      </w:r>
      <w:r w:rsidR="002201B5" w:rsidRPr="008318C5">
        <w:rPr>
          <w:rFonts w:asciiTheme="minorHAnsi" w:hAnsiTheme="minorHAnsi" w:cstheme="minorHAnsi"/>
        </w:rPr>
        <w:t xml:space="preserve"> </w:t>
      </w:r>
      <w:r>
        <w:rPr>
          <w:rFonts w:asciiTheme="minorHAnsi" w:hAnsiTheme="minorHAnsi" w:cstheme="minorHAnsi"/>
        </w:rPr>
        <w:t xml:space="preserve">believes that </w:t>
      </w:r>
      <w:r w:rsidR="000F7D31" w:rsidRPr="008318C5">
        <w:rPr>
          <w:rFonts w:asciiTheme="minorHAnsi" w:hAnsiTheme="minorHAnsi" w:cstheme="minorHAnsi"/>
        </w:rPr>
        <w:t xml:space="preserve">the </w:t>
      </w:r>
      <w:r w:rsidR="00140224" w:rsidRPr="008318C5">
        <w:rPr>
          <w:rFonts w:asciiTheme="minorHAnsi" w:hAnsiTheme="minorHAnsi" w:cstheme="minorHAnsi"/>
        </w:rPr>
        <w:t xml:space="preserve">Appliance Standards and Rulemaking Federal Advisory Committee (ASRAC) </w:t>
      </w:r>
      <w:r>
        <w:rPr>
          <w:rFonts w:asciiTheme="minorHAnsi" w:hAnsiTheme="minorHAnsi" w:cstheme="minorHAnsi"/>
        </w:rPr>
        <w:t xml:space="preserve">can </w:t>
      </w:r>
      <w:r w:rsidR="009C123A">
        <w:rPr>
          <w:rFonts w:asciiTheme="minorHAnsi" w:hAnsiTheme="minorHAnsi" w:cstheme="minorHAnsi"/>
        </w:rPr>
        <w:t xml:space="preserve">streamline </w:t>
      </w:r>
      <w:r w:rsidR="00BC2C28" w:rsidRPr="008318C5">
        <w:rPr>
          <w:rFonts w:asciiTheme="minorHAnsi" w:hAnsiTheme="minorHAnsi" w:cstheme="minorHAnsi"/>
        </w:rPr>
        <w:t>the process of establishing and updating energy efficiency r</w:t>
      </w:r>
      <w:r w:rsidR="00D04310" w:rsidRPr="008318C5">
        <w:rPr>
          <w:rFonts w:asciiTheme="minorHAnsi" w:hAnsiTheme="minorHAnsi" w:cstheme="minorHAnsi"/>
        </w:rPr>
        <w:t xml:space="preserve">egulations. </w:t>
      </w:r>
      <w:r w:rsidR="00591DA0" w:rsidRPr="008318C5">
        <w:rPr>
          <w:rFonts w:asciiTheme="minorHAnsi" w:hAnsiTheme="minorHAnsi" w:cstheme="minorHAnsi"/>
        </w:rPr>
        <w:t>SoCalGas</w:t>
      </w:r>
      <w:r>
        <w:rPr>
          <w:rFonts w:asciiTheme="minorHAnsi" w:hAnsiTheme="minorHAnsi" w:cstheme="minorHAnsi"/>
        </w:rPr>
        <w:t xml:space="preserve"> was recently appointed as </w:t>
      </w:r>
      <w:r w:rsidR="002201B5" w:rsidRPr="008318C5">
        <w:rPr>
          <w:rFonts w:asciiTheme="minorHAnsi" w:hAnsiTheme="minorHAnsi" w:cstheme="minorHAnsi"/>
        </w:rPr>
        <w:t>a member</w:t>
      </w:r>
      <w:r w:rsidR="00147B64" w:rsidRPr="008318C5">
        <w:rPr>
          <w:rFonts w:asciiTheme="minorHAnsi" w:hAnsiTheme="minorHAnsi" w:cstheme="minorHAnsi"/>
        </w:rPr>
        <w:t xml:space="preserve"> of ASRAC.</w:t>
      </w:r>
      <w:r>
        <w:rPr>
          <w:rFonts w:asciiTheme="minorHAnsi" w:hAnsiTheme="minorHAnsi" w:cstheme="minorHAnsi"/>
        </w:rPr>
        <w:t xml:space="preserve"> Some of SoCalGas’ goals are to </w:t>
      </w:r>
      <w:r w:rsidRPr="00663C41">
        <w:rPr>
          <w:rFonts w:asciiTheme="minorHAnsi" w:hAnsiTheme="minorHAnsi" w:cstheme="minorHAnsi"/>
        </w:rPr>
        <w:t>ensure that</w:t>
      </w:r>
      <w:r w:rsidR="00F34612">
        <w:rPr>
          <w:rFonts w:asciiTheme="minorHAnsi" w:hAnsiTheme="minorHAnsi" w:cstheme="minorHAnsi"/>
        </w:rPr>
        <w:t xml:space="preserve"> energy efficiency regulations do not put excessive burdens on customers, and </w:t>
      </w:r>
      <w:r w:rsidRPr="00663C41">
        <w:rPr>
          <w:rFonts w:asciiTheme="minorHAnsi" w:hAnsiTheme="minorHAnsi" w:cstheme="minorHAnsi"/>
        </w:rPr>
        <w:t xml:space="preserve">to ensure that </w:t>
      </w:r>
      <w:r w:rsidR="00F34612">
        <w:rPr>
          <w:rFonts w:asciiTheme="minorHAnsi" w:hAnsiTheme="minorHAnsi" w:cstheme="minorHAnsi"/>
        </w:rPr>
        <w:t>regulations</w:t>
      </w:r>
      <w:r w:rsidRPr="00663C41">
        <w:rPr>
          <w:rFonts w:asciiTheme="minorHAnsi" w:hAnsiTheme="minorHAnsi" w:cstheme="minorHAnsi"/>
        </w:rPr>
        <w:t xml:space="preserve"> consider a balanced energy approach that does not exclude any one energy option</w:t>
      </w:r>
      <w:r w:rsidR="00F34612">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44777D4E" w14:textId="640348CD" w:rsidR="006F7F9C" w:rsidRDefault="00EF7F3D">
      <w:pPr>
        <w:pStyle w:val="ListParagraph"/>
        <w:ind w:left="360"/>
        <w:jc w:val="both"/>
        <w:rPr>
          <w:rFonts w:asciiTheme="minorHAnsi" w:hAnsiTheme="minorHAnsi" w:cstheme="minorHAnsi"/>
        </w:rPr>
      </w:pPr>
      <w:r>
        <w:rPr>
          <w:rFonts w:asciiTheme="minorHAnsi" w:hAnsiTheme="minorHAnsi" w:cstheme="minorHAnsi"/>
        </w:rPr>
        <w:t>ASRAC has the opportunity to recommend changes that would bring consensus to and significantly streamline the process. Multi-tiered standards have been discussed for some time and provide</w:t>
      </w:r>
      <w:r w:rsidR="006F7F9C" w:rsidRPr="00290E40">
        <w:rPr>
          <w:rFonts w:asciiTheme="minorHAnsi" w:hAnsiTheme="minorHAnsi" w:cstheme="minorHAnsi"/>
        </w:rPr>
        <w:t xml:space="preserve"> manufacturers with regulatory certainty over a 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updates at future dates. </w:t>
      </w:r>
    </w:p>
    <w:p w14:paraId="5FA9EF0E" w14:textId="72DE5DFE" w:rsidR="00870299" w:rsidRDefault="00870299" w:rsidP="008318C5">
      <w:pPr>
        <w:pStyle w:val="ListParagraph"/>
        <w:ind w:left="360"/>
        <w:jc w:val="both"/>
        <w:rPr>
          <w:rFonts w:asciiTheme="minorHAnsi" w:hAnsiTheme="minorHAnsi" w:cstheme="minorHAnsi"/>
        </w:rPr>
      </w:pPr>
    </w:p>
    <w:p w14:paraId="78C986CA" w14:textId="1DDB3091" w:rsidR="003B05DF" w:rsidRDefault="00EE2787" w:rsidP="003F295E">
      <w:pPr>
        <w:pStyle w:val="DOEQuestion"/>
        <w:jc w:val="both"/>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6D9A0BB" w14:textId="354D531A" w:rsidR="003F295E" w:rsidRPr="00C534DF" w:rsidRDefault="003F295E" w:rsidP="003F295E">
      <w:pPr>
        <w:ind w:left="360"/>
        <w:jc w:val="both"/>
        <w:rPr>
          <w:rFonts w:asciiTheme="minorHAnsi" w:hAnsiTheme="minorHAnsi" w:cstheme="minorHAnsi"/>
        </w:rPr>
      </w:pPr>
      <w:r w:rsidRPr="00C534DF">
        <w:rPr>
          <w:rFonts w:asciiTheme="minorHAnsi" w:hAnsiTheme="minorHAnsi" w:cstheme="minorHAnsi"/>
        </w:rPr>
        <w:t xml:space="preserve">SoCalGas and other utilities alike </w:t>
      </w:r>
      <w:r>
        <w:rPr>
          <w:rFonts w:asciiTheme="minorHAnsi" w:hAnsiTheme="minorHAnsi" w:cstheme="minorHAnsi"/>
        </w:rPr>
        <w:t xml:space="preserve">have an obligation to prioritize their </w:t>
      </w:r>
      <w:r w:rsidRPr="00C534DF">
        <w:rPr>
          <w:rFonts w:asciiTheme="minorHAnsi" w:hAnsiTheme="minorHAnsi" w:cstheme="minorHAnsi"/>
        </w:rPr>
        <w:t xml:space="preserve">territory’s </w:t>
      </w:r>
      <w:r>
        <w:rPr>
          <w:rFonts w:asciiTheme="minorHAnsi" w:hAnsiTheme="minorHAnsi" w:cstheme="minorHAnsi"/>
        </w:rPr>
        <w:t>consumer interests</w:t>
      </w:r>
      <w:r w:rsidRPr="00C534DF">
        <w:rPr>
          <w:rFonts w:asciiTheme="minorHAnsi" w:hAnsiTheme="minorHAnsi" w:cstheme="minorHAnsi"/>
        </w:rPr>
        <w:t xml:space="preserve">. </w:t>
      </w:r>
      <w:r>
        <w:rPr>
          <w:rFonts w:asciiTheme="minorHAnsi" w:hAnsiTheme="minorHAnsi" w:cstheme="minorHAnsi"/>
        </w:rPr>
        <w:t>In our experience, new DOE regulations are rarely welcome by consumers. This is in part due to a consumers’ general dislike to make technology investments with simple payback times exceeding 2-3 years. We understand that while perhaps desirable from an all-consumer-advocate standpoint, such short payback times cannot always be accomplished for all. However, we have also repeatedly found in DOE’s analyses, and pointed out in our docketed comments, that consumers can be negatively impacted by undesirable qualitative aspects of new rules. Those are often not sufficiently considered by DOE’s – primarily economic –  assessments. Examples are loss or change of f</w:t>
      </w:r>
      <w:r w:rsidR="001A4D32">
        <w:rPr>
          <w:rFonts w:asciiTheme="minorHAnsi" w:hAnsiTheme="minorHAnsi" w:cstheme="minorHAnsi"/>
        </w:rPr>
        <w:t>unctionality in appliances</w:t>
      </w:r>
      <w:r>
        <w:rPr>
          <w:rFonts w:asciiTheme="minorHAnsi" w:hAnsiTheme="minorHAnsi" w:cstheme="minorHAnsi"/>
        </w:rPr>
        <w:t xml:space="preserve">, or </w:t>
      </w:r>
      <w:r w:rsidR="001A4D32">
        <w:rPr>
          <w:rFonts w:asciiTheme="minorHAnsi" w:hAnsiTheme="minorHAnsi" w:cstheme="minorHAnsi"/>
        </w:rPr>
        <w:lastRenderedPageBreak/>
        <w:t>de</w:t>
      </w:r>
      <w:r>
        <w:rPr>
          <w:rFonts w:asciiTheme="minorHAnsi" w:hAnsiTheme="minorHAnsi" w:cstheme="minorHAnsi"/>
        </w:rPr>
        <w:t xml:space="preserve">creased first hour ratings of heat pump water heaters when compared to natural gas water heaters. We urge the DOE to assign a higher priority to consumer preference and comfort concerns in future rulemakings, and to prioritize revisiting those rulemakings where it is presently known that </w:t>
      </w:r>
      <w:r w:rsidR="001A4D32">
        <w:rPr>
          <w:rFonts w:asciiTheme="minorHAnsi" w:hAnsiTheme="minorHAnsi" w:cstheme="minorHAnsi"/>
        </w:rPr>
        <w:t>consumers</w:t>
      </w:r>
      <w:r>
        <w:rPr>
          <w:rFonts w:asciiTheme="minorHAnsi" w:hAnsiTheme="minorHAnsi" w:cstheme="minorHAnsi"/>
        </w:rPr>
        <w:t xml:space="preserve"> are dissatisfied with certain non-economic aspects of the standards. </w:t>
      </w:r>
    </w:p>
    <w:p w14:paraId="15F81E92" w14:textId="77777777" w:rsidR="003F295E" w:rsidRPr="00C534DF" w:rsidRDefault="003F295E" w:rsidP="003F295E">
      <w:pPr>
        <w:ind w:left="360"/>
        <w:jc w:val="both"/>
        <w:rPr>
          <w:rFonts w:asciiTheme="minorHAnsi" w:hAnsiTheme="minorHAnsi" w:cstheme="minorHAnsi"/>
        </w:rPr>
      </w:pPr>
    </w:p>
    <w:p w14:paraId="6AB98B99" w14:textId="77777777" w:rsidR="003F295E" w:rsidRPr="00657CA6" w:rsidRDefault="003F295E" w:rsidP="003F295E">
      <w:pPr>
        <w:ind w:left="360"/>
        <w:jc w:val="both"/>
        <w:rPr>
          <w:rFonts w:asciiTheme="minorHAnsi" w:hAnsiTheme="minorHAnsi" w:cstheme="minorHAnsi"/>
          <w:color w:val="263238"/>
        </w:rPr>
      </w:pPr>
      <w:r w:rsidRPr="00657CA6">
        <w:rPr>
          <w:rFonts w:asciiTheme="minorHAnsi" w:hAnsiTheme="minorHAnsi" w:cstheme="minorHAnsi"/>
          <w:color w:val="263238"/>
        </w:rPr>
        <w:t xml:space="preserve">DOE </w:t>
      </w:r>
      <w:r>
        <w:rPr>
          <w:rFonts w:asciiTheme="minorHAnsi" w:hAnsiTheme="minorHAnsi" w:cstheme="minorHAnsi"/>
          <w:color w:val="263238"/>
        </w:rPr>
        <w:t>may consider de</w:t>
      </w:r>
      <w:r w:rsidRPr="00657CA6">
        <w:rPr>
          <w:rFonts w:asciiTheme="minorHAnsi" w:hAnsiTheme="minorHAnsi" w:cstheme="minorHAnsi"/>
          <w:color w:val="263238"/>
        </w:rPr>
        <w:t>prioritiz</w:t>
      </w:r>
      <w:r>
        <w:rPr>
          <w:rFonts w:asciiTheme="minorHAnsi" w:hAnsiTheme="minorHAnsi" w:cstheme="minorHAnsi"/>
          <w:color w:val="263238"/>
        </w:rPr>
        <w:t xml:space="preserve">ing </w:t>
      </w:r>
      <w:r w:rsidRPr="00657CA6">
        <w:rPr>
          <w:rFonts w:asciiTheme="minorHAnsi" w:hAnsiTheme="minorHAnsi" w:cstheme="minorHAnsi"/>
          <w:color w:val="263238"/>
        </w:rPr>
        <w:t xml:space="preserve">efficiency regulations where above-code equipment has already proven to be successful in the marketplace for </w:t>
      </w:r>
      <w:r>
        <w:rPr>
          <w:rFonts w:asciiTheme="minorHAnsi" w:hAnsiTheme="minorHAnsi" w:cstheme="minorHAnsi"/>
          <w:color w:val="263238"/>
        </w:rPr>
        <w:t xml:space="preserve">many </w:t>
      </w:r>
      <w:r w:rsidRPr="00657CA6">
        <w:rPr>
          <w:rFonts w:asciiTheme="minorHAnsi" w:hAnsiTheme="minorHAnsi" w:cstheme="minorHAnsi"/>
          <w:color w:val="263238"/>
        </w:rPr>
        <w:t xml:space="preserve">applications and customers. </w:t>
      </w:r>
      <w:r>
        <w:rPr>
          <w:rFonts w:asciiTheme="minorHAnsi" w:hAnsiTheme="minorHAnsi" w:cstheme="minorHAnsi"/>
          <w:color w:val="263238"/>
        </w:rPr>
        <w:t xml:space="preserve">In these situations, one can support </w:t>
      </w:r>
      <w:r w:rsidRPr="005B3A2C">
        <w:rPr>
          <w:rFonts w:asciiTheme="minorHAnsi" w:hAnsiTheme="minorHAnsi" w:cstheme="minorHAnsi"/>
          <w:color w:val="263238"/>
        </w:rPr>
        <w:t xml:space="preserve">the position that </w:t>
      </w:r>
      <w:r>
        <w:rPr>
          <w:rFonts w:asciiTheme="minorHAnsi" w:hAnsiTheme="minorHAnsi" w:cstheme="minorHAnsi"/>
          <w:color w:val="263238"/>
        </w:rPr>
        <w:t xml:space="preserve">a </w:t>
      </w:r>
      <w:r w:rsidRPr="005B3A2C">
        <w:rPr>
          <w:rFonts w:asciiTheme="minorHAnsi" w:hAnsiTheme="minorHAnsi" w:cstheme="minorHAnsi"/>
          <w:color w:val="263238"/>
        </w:rPr>
        <w:t xml:space="preserve">standard is not needed, because the higher efficiencies </w:t>
      </w:r>
      <w:r>
        <w:rPr>
          <w:rFonts w:asciiTheme="minorHAnsi" w:hAnsiTheme="minorHAnsi" w:cstheme="minorHAnsi"/>
          <w:color w:val="263238"/>
        </w:rPr>
        <w:t xml:space="preserve">are attractive enough to be </w:t>
      </w:r>
      <w:r w:rsidRPr="005B3A2C">
        <w:rPr>
          <w:rFonts w:asciiTheme="minorHAnsi" w:hAnsiTheme="minorHAnsi" w:cstheme="minorHAnsi"/>
          <w:color w:val="263238"/>
        </w:rPr>
        <w:t>adopted by</w:t>
      </w:r>
      <w:r>
        <w:rPr>
          <w:rFonts w:asciiTheme="minorHAnsi" w:hAnsiTheme="minorHAnsi" w:cstheme="minorHAnsi"/>
          <w:color w:val="263238"/>
        </w:rPr>
        <w:t xml:space="preserve"> </w:t>
      </w:r>
      <w:r w:rsidRPr="005B3A2C">
        <w:rPr>
          <w:rFonts w:asciiTheme="minorHAnsi" w:hAnsiTheme="minorHAnsi" w:cstheme="minorHAnsi"/>
          <w:color w:val="263238"/>
        </w:rPr>
        <w:t>consumers</w:t>
      </w:r>
      <w:r>
        <w:rPr>
          <w:rFonts w:asciiTheme="minorHAnsi" w:hAnsiTheme="minorHAnsi" w:cstheme="minorHAnsi"/>
          <w:color w:val="263238"/>
        </w:rPr>
        <w:t xml:space="preserve"> without government </w:t>
      </w:r>
      <w:r w:rsidRPr="005B3A2C">
        <w:rPr>
          <w:rFonts w:asciiTheme="minorHAnsi" w:hAnsiTheme="minorHAnsi" w:cstheme="minorHAnsi"/>
          <w:color w:val="263238"/>
        </w:rPr>
        <w:t>intervention.</w:t>
      </w:r>
      <w:r>
        <w:rPr>
          <w:rFonts w:asciiTheme="minorHAnsi" w:hAnsiTheme="minorHAnsi" w:cstheme="minorHAnsi"/>
          <w:color w:val="263238"/>
        </w:rPr>
        <w:t xml:space="preserve"> Where regional differences or other circumstances may result in lower than desired market penetration, state policymakers and programs could help close the gap. </w:t>
      </w:r>
      <w:r w:rsidRPr="00657CA6">
        <w:rPr>
          <w:rFonts w:asciiTheme="minorHAnsi" w:hAnsiTheme="minorHAnsi" w:cstheme="minorHAnsi"/>
          <w:color w:val="263238"/>
        </w:rPr>
        <w:t xml:space="preserve">This approach </w:t>
      </w:r>
      <w:r>
        <w:rPr>
          <w:rFonts w:asciiTheme="minorHAnsi" w:hAnsiTheme="minorHAnsi" w:cstheme="minorHAnsi"/>
          <w:color w:val="263238"/>
        </w:rPr>
        <w:t xml:space="preserve">is sensible towards customers that would otherwise be </w:t>
      </w:r>
      <w:r w:rsidRPr="00657CA6">
        <w:rPr>
          <w:rFonts w:asciiTheme="minorHAnsi" w:hAnsiTheme="minorHAnsi" w:cstheme="minorHAnsi"/>
          <w:color w:val="263238"/>
        </w:rPr>
        <w:t>negatively impact</w:t>
      </w:r>
      <w:r>
        <w:rPr>
          <w:rFonts w:asciiTheme="minorHAnsi" w:hAnsiTheme="minorHAnsi" w:cstheme="minorHAnsi"/>
          <w:color w:val="263238"/>
        </w:rPr>
        <w:t xml:space="preserve">ed, because these customers now have a choice to opt out of higher efficiency equipment. </w:t>
      </w:r>
    </w:p>
    <w:p w14:paraId="757A57C5" w14:textId="77777777" w:rsidR="00A05483" w:rsidRDefault="00A05483" w:rsidP="008318C5">
      <w:pPr>
        <w:ind w:left="360"/>
        <w:jc w:val="both"/>
        <w:rPr>
          <w:rFonts w:asciiTheme="minorHAnsi" w:hAnsiTheme="minorHAnsi" w:cstheme="minorHAnsi"/>
        </w:rPr>
      </w:pPr>
    </w:p>
    <w:p w14:paraId="546E6A0F" w14:textId="1A719101" w:rsidR="00EE2787" w:rsidRPr="008318C5" w:rsidRDefault="006C6FF4" w:rsidP="008318C5">
      <w:pPr>
        <w:ind w:left="360"/>
        <w:jc w:val="both"/>
        <w:rPr>
          <w:rFonts w:asciiTheme="minorHAnsi" w:hAnsiTheme="minorHAnsi" w:cstheme="minorHAnsi"/>
        </w:rPr>
      </w:pPr>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47DFD678" w14:textId="21B840C9" w:rsidR="006A0F13"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w:t>
      </w:r>
      <w:r w:rsidR="0089470F">
        <w:rPr>
          <w:rFonts w:asciiTheme="minorHAnsi" w:hAnsiTheme="minorHAnsi" w:cstheme="minorHAnsi"/>
        </w:rPr>
        <w:t xml:space="preserve">by environmental advocates </w:t>
      </w:r>
      <w:r w:rsidRPr="008318C5">
        <w:rPr>
          <w:rFonts w:asciiTheme="minorHAnsi" w:hAnsiTheme="minorHAnsi" w:cstheme="minorHAnsi"/>
        </w:rPr>
        <w:t>that have reviewed the impacts of DOE efficiency regulations</w:t>
      </w:r>
      <w:r w:rsidR="0089470F">
        <w:rPr>
          <w:rFonts w:asciiTheme="minorHAnsi" w:hAnsiTheme="minorHAnsi" w:cstheme="minorHAnsi"/>
        </w:rPr>
        <w:t xml:space="preserve"> </w:t>
      </w:r>
      <w:sdt>
        <w:sdtPr>
          <w:rPr>
            <w:rFonts w:asciiTheme="minorHAnsi" w:hAnsiTheme="minorHAnsi" w:cstheme="minorHAnsi"/>
          </w:rPr>
          <w:id w:val="-1872991510"/>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Gol11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(Gold, et al. 2011)</w:t>
          </w:r>
          <w:r w:rsidR="0089470F" w:rsidRPr="00290E40">
            <w:rPr>
              <w:rFonts w:asciiTheme="minorHAnsi" w:hAnsiTheme="minorHAnsi" w:cstheme="minorHAnsi"/>
            </w:rPr>
            <w:fldChar w:fldCharType="end"/>
          </w:r>
        </w:sdtContent>
      </w:sdt>
      <w:r w:rsidR="0089470F">
        <w:rPr>
          <w:rFonts w:asciiTheme="minorHAnsi" w:hAnsiTheme="minorHAnsi" w:cstheme="minorHAnsi"/>
        </w:rPr>
        <w:t xml:space="preserve"> </w:t>
      </w:r>
      <w:sdt>
        <w:sdtPr>
          <w:rPr>
            <w:rFonts w:asciiTheme="minorHAnsi" w:hAnsiTheme="minorHAnsi" w:cstheme="minorHAnsi"/>
          </w:rPr>
          <w:id w:val="-27571861"/>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Wei10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(Wei, Patadia and Kammen 2010)</w:t>
          </w:r>
          <w:r w:rsidR="0089470F" w:rsidRPr="00290E40">
            <w:rPr>
              <w:rFonts w:asciiTheme="minorHAnsi" w:hAnsiTheme="minorHAnsi" w:cstheme="minorHAnsi"/>
            </w:rPr>
            <w:fldChar w:fldCharType="end"/>
          </w:r>
        </w:sdtContent>
      </w:sdt>
      <w:r w:rsidR="0089470F" w:rsidRPr="0089470F">
        <w:rPr>
          <w:rFonts w:asciiTheme="minorHAnsi" w:hAnsiTheme="minorHAnsi" w:cstheme="minorHAnsi"/>
        </w:rPr>
        <w:t xml:space="preserve"> </w:t>
      </w:r>
      <w:sdt>
        <w:sdtPr>
          <w:rPr>
            <w:rFonts w:asciiTheme="minorHAnsi" w:hAnsiTheme="minorHAnsi" w:cstheme="minorHAnsi"/>
          </w:rPr>
          <w:id w:val="-1419699224"/>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CITATION Tay15 \l 1033 </w:instrText>
          </w:r>
          <w:r w:rsidR="0089470F" w:rsidRPr="00290E40">
            <w:rPr>
              <w:rFonts w:asciiTheme="minorHAnsi" w:hAnsiTheme="minorHAnsi" w:cstheme="minorHAnsi"/>
            </w:rPr>
            <w:fldChar w:fldCharType="separate"/>
          </w:r>
          <w:r w:rsidR="0089470F" w:rsidRPr="00713430">
            <w:rPr>
              <w:rFonts w:asciiTheme="minorHAnsi" w:hAnsiTheme="minorHAnsi" w:cstheme="minorHAnsi"/>
              <w:noProof/>
            </w:rPr>
            <w:t>(Taylor, Spurlock and Yang 2015)</w:t>
          </w:r>
          <w:r w:rsidR="0089470F" w:rsidRPr="00290E40">
            <w:rPr>
              <w:rFonts w:asciiTheme="minorHAnsi" w:hAnsiTheme="minorHAnsi" w:cstheme="minorHAnsi"/>
            </w:rPr>
            <w:fldChar w:fldCharType="end"/>
          </w:r>
        </w:sdtContent>
      </w:sdt>
      <w:r w:rsidR="0089470F" w:rsidRPr="00290E40">
        <w:rPr>
          <w:rFonts w:asciiTheme="minorHAnsi" w:hAnsiTheme="minorHAnsi" w:cstheme="minorHAnsi"/>
        </w:rPr>
        <w:t>.</w:t>
      </w:r>
      <w:r w:rsidRPr="008318C5">
        <w:rPr>
          <w:rFonts w:asciiTheme="minorHAnsi" w:hAnsiTheme="minorHAnsi" w:cstheme="minorHAnsi"/>
        </w:rPr>
        <w:t xml:space="preserve">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2D43CF1" w14:textId="5D7186DB" w:rsidR="006A0F13" w:rsidRDefault="006A0F13" w:rsidP="008318C5">
      <w:pPr>
        <w:ind w:left="360"/>
        <w:jc w:val="both"/>
        <w:rPr>
          <w:rFonts w:asciiTheme="minorHAnsi" w:hAnsiTheme="minorHAnsi" w:cstheme="minorHAnsi"/>
        </w:rPr>
      </w:pPr>
    </w:p>
    <w:p w14:paraId="674F61A3" w14:textId="7F980AAF" w:rsidR="006A0F13" w:rsidRPr="008318C5" w:rsidRDefault="006A0F13" w:rsidP="008318C5">
      <w:pPr>
        <w:ind w:left="360"/>
        <w:jc w:val="both"/>
        <w:rPr>
          <w:rFonts w:asciiTheme="minorHAnsi" w:hAnsiTheme="minorHAnsi" w:cstheme="minorHAnsi"/>
        </w:rPr>
      </w:pPr>
      <w:r>
        <w:rPr>
          <w:rFonts w:asciiTheme="minorHAnsi" w:hAnsiTheme="minorHAnsi" w:cstheme="minorHAnsi"/>
        </w:rPr>
        <w:lastRenderedPageBreak/>
        <w:t>We have not identified research on the same topic by other important stakeholders such as low-income customer advocacy groups, energy company associations, or manufacturer associations. Their findings should be weighed against those above. In addition, readers should be careful not to over-generalize any findings given the uniqueness of any given rulemaking.</w:t>
      </w:r>
    </w:p>
    <w:p w14:paraId="5337F794" w14:textId="77777777" w:rsidR="00513EC3" w:rsidRPr="00290E40" w:rsidRDefault="00513EC3" w:rsidP="00860117">
      <w:pPr>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5CF3CCD9" w:rsidR="000A5310" w:rsidRDefault="008473B7" w:rsidP="008318C5">
      <w:pPr>
        <w:pStyle w:val="ListParagraph"/>
        <w:ind w:left="360"/>
        <w:jc w:val="both"/>
        <w:rPr>
          <w:rFonts w:asciiTheme="minorHAnsi" w:hAnsiTheme="minorHAnsi" w:cstheme="minorHAnsi"/>
        </w:rPr>
      </w:pPr>
      <w:r>
        <w:rPr>
          <w:rFonts w:asciiTheme="minorHAnsi" w:hAnsiTheme="minorHAnsi" w:cstheme="minorHAnsi"/>
        </w:rPr>
        <w:t xml:space="preserve">SoCalGas understands the DOE statutory obligations with respect </w:t>
      </w:r>
      <w:r w:rsidR="00EE3B52">
        <w:rPr>
          <w:rFonts w:asciiTheme="minorHAnsi" w:hAnsiTheme="minorHAnsi" w:cstheme="minorHAnsi"/>
        </w:rPr>
        <w:t xml:space="preserve">to </w:t>
      </w:r>
      <w:r>
        <w:rPr>
          <w:rFonts w:asciiTheme="minorHAnsi" w:hAnsiTheme="minorHAnsi" w:cstheme="minorHAnsi"/>
        </w:rPr>
        <w:t>the anti-backsliding provision of EPCA but believe that there is opportunity within the</w:t>
      </w:r>
      <w:r w:rsidR="00B30CAC"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18A7AB56" w:rsidR="000A5310" w:rsidRPr="00290E40" w:rsidRDefault="00625C99" w:rsidP="008318C5">
      <w:pPr>
        <w:pStyle w:val="ListParagraph"/>
        <w:numPr>
          <w:ilvl w:val="0"/>
          <w:numId w:val="9"/>
        </w:numPr>
        <w:ind w:left="1140"/>
        <w:jc w:val="both"/>
        <w:rPr>
          <w:rFonts w:asciiTheme="minorHAnsi" w:hAnsiTheme="minorHAnsi" w:cstheme="minorHAnsi"/>
        </w:rPr>
      </w:pPr>
      <w:r>
        <w:rPr>
          <w:rFonts w:asciiTheme="minorHAnsi" w:hAnsiTheme="minorHAnsi" w:cstheme="minorHAnsi"/>
        </w:rPr>
        <w:t>Many input data points were non</w:t>
      </w:r>
      <w:r w:rsidR="000A5310" w:rsidRPr="00290E40">
        <w:rPr>
          <w:rFonts w:asciiTheme="minorHAnsi" w:hAnsiTheme="minorHAnsi" w:cstheme="minorHAnsi"/>
        </w:rPr>
        <w:t xml:space="preserve">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 xml:space="preserve">electric vehicle, </w:t>
      </w:r>
      <w:r w:rsidR="0040378A" w:rsidRPr="00BE53CD">
        <w:rPr>
          <w:rFonts w:asciiTheme="minorHAnsi" w:hAnsiTheme="minorHAnsi" w:cstheme="minorHAnsi"/>
        </w:rPr>
        <w:lastRenderedPageBreak/>
        <w:t>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17A0B112" w:rsidR="001F287F" w:rsidRPr="008318C5" w:rsidRDefault="00A92025" w:rsidP="008318C5">
      <w:pPr>
        <w:ind w:left="360"/>
        <w:jc w:val="both"/>
        <w:rPr>
          <w:rFonts w:asciiTheme="minorHAnsi" w:hAnsiTheme="minorHAnsi" w:cstheme="minorHAnsi"/>
        </w:rPr>
      </w:pPr>
      <w:r>
        <w:rPr>
          <w:rFonts w:asciiTheme="minorHAnsi" w:hAnsiTheme="minorHAnsi" w:cstheme="minorHAnsi"/>
        </w:rPr>
        <w:t>No comment, but please refer to the responses to related questions 1 and 2.</w:t>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4B6F13A6" w14:textId="77777777" w:rsidR="003F295E" w:rsidRDefault="003F295E" w:rsidP="003F295E">
      <w:pPr>
        <w:ind w:left="360"/>
        <w:jc w:val="both"/>
        <w:rPr>
          <w:rFonts w:asciiTheme="minorHAnsi" w:hAnsiTheme="minorHAnsi" w:cstheme="minorHAnsi"/>
        </w:rPr>
      </w:pPr>
      <w:r w:rsidRPr="008318C5">
        <w:rPr>
          <w:rFonts w:asciiTheme="minorHAnsi" w:hAnsiTheme="minorHAnsi" w:cstheme="minorHAnsi"/>
        </w:rPr>
        <w:t xml:space="preserve">SoCalGas </w:t>
      </w:r>
      <w:r>
        <w:rPr>
          <w:rFonts w:asciiTheme="minorHAnsi" w:hAnsiTheme="minorHAnsi" w:cstheme="minorHAnsi"/>
        </w:rPr>
        <w:t xml:space="preserve">recognizes the need for fair and accurate data to allow for appropriate analysis of proposed standards, and </w:t>
      </w:r>
      <w:r w:rsidRPr="008318C5">
        <w:rPr>
          <w:rFonts w:asciiTheme="minorHAnsi" w:hAnsiTheme="minorHAnsi" w:cstheme="minorHAnsi"/>
        </w:rPr>
        <w:t xml:space="preserve">supports DOE’s efforts to collect information </w:t>
      </w:r>
      <w:r>
        <w:rPr>
          <w:rFonts w:asciiTheme="minorHAnsi" w:hAnsiTheme="minorHAnsi" w:cstheme="minorHAnsi"/>
        </w:rPr>
        <w:t xml:space="preserve">from </w:t>
      </w:r>
      <w:r w:rsidRPr="008318C5">
        <w:rPr>
          <w:rFonts w:asciiTheme="minorHAnsi" w:hAnsiTheme="minorHAnsi" w:cstheme="minorHAnsi"/>
        </w:rPr>
        <w:t>stakeholders, such as trade organizations</w:t>
      </w:r>
      <w:r>
        <w:rPr>
          <w:rFonts w:asciiTheme="minorHAnsi" w:hAnsiTheme="minorHAnsi" w:cstheme="minorHAnsi"/>
        </w:rPr>
        <w:t xml:space="preserve">, manufacturers, testing laboratories, consumers, </w:t>
      </w:r>
      <w:r w:rsidRPr="008318C5">
        <w:rPr>
          <w:rFonts w:asciiTheme="minorHAnsi" w:hAnsiTheme="minorHAnsi" w:cstheme="minorHAnsi"/>
        </w:rPr>
        <w:t>and others</w:t>
      </w:r>
      <w:r>
        <w:rPr>
          <w:rFonts w:asciiTheme="minorHAnsi" w:hAnsiTheme="minorHAnsi" w:cstheme="minorHAnsi"/>
        </w:rPr>
        <w:t xml:space="preserve">. It does not appear from our experience that DOE collects data that is unneeded. Conversely, </w:t>
      </w:r>
      <w:r>
        <w:rPr>
          <w:rFonts w:asciiTheme="minorHAnsi" w:hAnsiTheme="minorHAnsi" w:cstheme="minorHAnsi"/>
        </w:rPr>
        <w:lastRenderedPageBreak/>
        <w:t xml:space="preserve">SoCalGas finds that some data may be missing, may not be sufficiently fine-grained, or may not be utilized to the level necessary with respect to highlighting regional variations, consumer circumstances, and justification of assumptions. For instance, in the scope of the furnace rulemaking, California and several other states were grouped into one climate region. This decision was not well justified, and when scrutinized by SoCalGas, it was found that it had resulted in life cycle cost savings that were highly overstated for California in general and for Southern California in particular. Similarly, the consumer choice model used in the furnace rulemaking was not found to line up with California’s market realities. SoCalGas believes that for rulemakings where results may vary with climate, consumer choice or other factors that presently are averaged or coarsely bucketed by DOE, it behooves the DOE to collect and/or utilize additional, more detailed data, for improved results. </w:t>
      </w:r>
    </w:p>
    <w:p w14:paraId="7F51A39D" w14:textId="77777777" w:rsidR="003F295E" w:rsidRDefault="003F295E" w:rsidP="003F295E">
      <w:pPr>
        <w:ind w:left="360"/>
        <w:jc w:val="both"/>
        <w:rPr>
          <w:rFonts w:asciiTheme="minorHAnsi" w:hAnsiTheme="minorHAnsi" w:cstheme="minorHAnsi"/>
        </w:rPr>
      </w:pPr>
    </w:p>
    <w:p w14:paraId="79FEB5D8" w14:textId="77777777" w:rsidR="003F295E" w:rsidRPr="008318C5" w:rsidRDefault="003F295E" w:rsidP="003F295E">
      <w:pPr>
        <w:ind w:left="360"/>
        <w:jc w:val="both"/>
        <w:rPr>
          <w:rFonts w:asciiTheme="minorHAnsi" w:hAnsiTheme="minorHAnsi" w:cstheme="minorHAnsi"/>
        </w:rPr>
      </w:pPr>
      <w:r>
        <w:rPr>
          <w:rFonts w:asciiTheme="minorHAnsi" w:hAnsiTheme="minorHAnsi" w:cstheme="minorHAnsi"/>
        </w:rPr>
        <w:t xml:space="preserve">We also find that </w:t>
      </w:r>
      <w:r w:rsidRPr="008318C5">
        <w:rPr>
          <w:rFonts w:asciiTheme="minorHAnsi" w:hAnsiTheme="minorHAnsi" w:cstheme="minorHAnsi"/>
        </w:rPr>
        <w:t xml:space="preserve">it will be helpful to expand public knowledge of appliance shipment information due to the gaps in the data provided by manufacturers and their associations. </w:t>
      </w:r>
    </w:p>
    <w:p w14:paraId="3B930A64" w14:textId="77777777" w:rsidR="003F295E" w:rsidRPr="00290E40" w:rsidRDefault="003F295E" w:rsidP="003F295E">
      <w:pPr>
        <w:jc w:val="both"/>
        <w:rPr>
          <w:rFonts w:asciiTheme="minorHAnsi" w:hAnsiTheme="minorHAnsi" w:cstheme="minorHAnsi"/>
        </w:rPr>
      </w:pPr>
    </w:p>
    <w:p w14:paraId="13027FF6" w14:textId="221EE793" w:rsidR="003F295E" w:rsidRDefault="003F295E" w:rsidP="003F295E">
      <w:pPr>
        <w:ind w:left="360"/>
        <w:jc w:val="both"/>
        <w:rPr>
          <w:rFonts w:asciiTheme="minorHAnsi" w:hAnsiTheme="minorHAnsi" w:cstheme="minorHAnsi"/>
        </w:rPr>
      </w:pPr>
      <w:r w:rsidRPr="00290E40">
        <w:rPr>
          <w:rFonts w:asciiTheme="minorHAnsi" w:hAnsiTheme="minorHAnsi" w:cstheme="minorHAnsi"/>
        </w:rPr>
        <w:t xml:space="preserve">To </w:t>
      </w:r>
      <w:r>
        <w:rPr>
          <w:rFonts w:asciiTheme="minorHAnsi" w:hAnsiTheme="minorHAnsi" w:cstheme="minorHAnsi"/>
        </w:rPr>
        <w:t xml:space="preserve">facilitate the collection of accurate and complete data, </w:t>
      </w:r>
      <w:r w:rsidRPr="00290E40">
        <w:rPr>
          <w:rFonts w:asciiTheme="minorHAnsi" w:hAnsiTheme="minorHAnsi" w:cstheme="minorHAnsi"/>
        </w:rPr>
        <w:t xml:space="preserve">DOE </w:t>
      </w:r>
      <w:r>
        <w:rPr>
          <w:rFonts w:asciiTheme="minorHAnsi" w:hAnsiTheme="minorHAnsi" w:cstheme="minorHAnsi"/>
        </w:rPr>
        <w:t xml:space="preserve">may consider </w:t>
      </w:r>
      <w:r w:rsidRPr="00290E40">
        <w:rPr>
          <w:rFonts w:asciiTheme="minorHAnsi" w:hAnsiTheme="minorHAnsi" w:cstheme="minorHAnsi"/>
        </w:rPr>
        <w:t>provid</w:t>
      </w:r>
      <w:r>
        <w:rPr>
          <w:rFonts w:asciiTheme="minorHAnsi" w:hAnsiTheme="minorHAnsi" w:cstheme="minorHAnsi"/>
        </w:rPr>
        <w:t xml:space="preserve">ing more </w:t>
      </w:r>
      <w:r w:rsidRPr="00290E40">
        <w:rPr>
          <w:rFonts w:asciiTheme="minorHAnsi" w:hAnsiTheme="minorHAnsi" w:cstheme="minorHAnsi"/>
        </w:rPr>
        <w:t>notice</w:t>
      </w:r>
      <w:r w:rsidRPr="00290E40" w:rsidDel="00A84884">
        <w:rPr>
          <w:rFonts w:asciiTheme="minorHAnsi" w:hAnsiTheme="minorHAnsi" w:cstheme="minorHAnsi"/>
        </w:rPr>
        <w:t xml:space="preserve"> </w:t>
      </w:r>
      <w:r w:rsidRPr="00290E40">
        <w:rPr>
          <w:rFonts w:asciiTheme="minorHAnsi" w:hAnsiTheme="minorHAnsi" w:cstheme="minorHAnsi"/>
        </w:rPr>
        <w:t xml:space="preserve">about its own planned data collection activities in support of future standards and test procedures rulemakings. If DOE’s stakeholders, both manufacturers and non-manufacturers, had a better understanding </w:t>
      </w:r>
      <w:r>
        <w:rPr>
          <w:rFonts w:asciiTheme="minorHAnsi" w:hAnsiTheme="minorHAnsi" w:cstheme="minorHAnsi"/>
        </w:rPr>
        <w:t>and advance</w:t>
      </w:r>
      <w:r w:rsidR="00625C99">
        <w:rPr>
          <w:rFonts w:asciiTheme="minorHAnsi" w:hAnsiTheme="minorHAnsi" w:cstheme="minorHAnsi"/>
        </w:rPr>
        <w:t>d</w:t>
      </w:r>
      <w:r>
        <w:rPr>
          <w:rFonts w:asciiTheme="minorHAnsi" w:hAnsiTheme="minorHAnsi" w:cstheme="minorHAnsi"/>
        </w:rPr>
        <w:t xml:space="preserve"> notice </w:t>
      </w:r>
      <w:r w:rsidRPr="00290E40">
        <w:rPr>
          <w:rFonts w:asciiTheme="minorHAnsi" w:hAnsiTheme="minorHAnsi" w:cstheme="minorHAnsi"/>
        </w:rPr>
        <w:t>of DOE’s plans for data collection for rulemakings, they would be better able to effectively contribute to the process, while simultaneously strengthening DOE’s analyses and re</w:t>
      </w:r>
      <w:bookmarkStart w:id="2" w:name="_GoBack"/>
      <w:bookmarkEnd w:id="2"/>
      <w:r w:rsidRPr="00290E40">
        <w:rPr>
          <w:rFonts w:asciiTheme="minorHAnsi" w:hAnsiTheme="minorHAnsi" w:cstheme="minorHAnsi"/>
        </w:rPr>
        <w:t xml:space="preserve">ducing DOE’s regulatory costs. Examples of product data that </w:t>
      </w:r>
      <w:r>
        <w:rPr>
          <w:rFonts w:asciiTheme="minorHAnsi" w:hAnsiTheme="minorHAnsi" w:cstheme="minorHAnsi"/>
        </w:rPr>
        <w:t xml:space="preserve">DOE should seek out from </w:t>
      </w:r>
      <w:r w:rsidRPr="00290E40">
        <w:rPr>
          <w:rFonts w:asciiTheme="minorHAnsi" w:hAnsiTheme="minorHAnsi" w:cstheme="minorHAnsi"/>
        </w:rPr>
        <w:t>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lastRenderedPageBreak/>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162D1942" w:rsidR="00B20EE7" w:rsidRPr="008318C5" w:rsidRDefault="00B20EE7" w:rsidP="00B20EE7">
      <w:pPr>
        <w:pStyle w:val="NoSpacing"/>
        <w:rPr>
          <w:rFonts w:asciiTheme="minorHAnsi" w:hAnsiTheme="minorHAnsi"/>
          <w:szCs w:val="24"/>
        </w:rPr>
      </w:pPr>
    </w:p>
    <w:p w14:paraId="5064E891" w14:textId="7A41B4D3" w:rsidR="00B20EE7" w:rsidRPr="008318C5" w:rsidRDefault="00EE3B52" w:rsidP="00B20EE7">
      <w:pPr>
        <w:pStyle w:val="NoSpacing"/>
        <w:rPr>
          <w:rFonts w:asciiTheme="minorHAnsi" w:hAnsiTheme="minorHAnsi"/>
          <w:szCs w:val="24"/>
        </w:rPr>
      </w:pPr>
      <w:r>
        <w:rPr>
          <w:rFonts w:asciiTheme="minorHAnsi" w:hAnsiTheme="minorHAnsi"/>
          <w:noProof/>
          <w:szCs w:val="24"/>
        </w:rPr>
        <w:drawing>
          <wp:inline distT="0" distB="0" distL="0" distR="0" wp14:anchorId="01012688" wp14:editId="4C01C079">
            <wp:extent cx="26701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951230"/>
                    </a:xfrm>
                    <a:prstGeom prst="rect">
                      <a:avLst/>
                    </a:prstGeom>
                    <a:noFill/>
                  </pic:spPr>
                </pic:pic>
              </a:graphicData>
            </a:graphic>
          </wp:inline>
        </w:drawing>
      </w:r>
    </w:p>
    <w:p w14:paraId="4A3ADA7E" w14:textId="77777777" w:rsidR="00B20EE7" w:rsidRPr="008318C5" w:rsidRDefault="00B20EE7" w:rsidP="00B20EE7">
      <w:pPr>
        <w:pStyle w:val="NoSpacing"/>
        <w:rPr>
          <w:rFonts w:asciiTheme="minorHAnsi" w:hAnsiTheme="minorHAnsi"/>
          <w:szCs w:val="24"/>
        </w:rPr>
      </w:pPr>
    </w:p>
    <w:p w14:paraId="74CEDE4B" w14:textId="484EF77E" w:rsidR="009D7F1E" w:rsidRDefault="009D7F1E" w:rsidP="00B20EE7">
      <w:pPr>
        <w:pStyle w:val="NoSpacing"/>
        <w:rPr>
          <w:rFonts w:asciiTheme="minorHAnsi" w:hAnsiTheme="minorHAnsi"/>
          <w:szCs w:val="24"/>
        </w:rPr>
      </w:pPr>
      <w:r>
        <w:rPr>
          <w:rFonts w:asciiTheme="minorHAnsi" w:hAnsiTheme="minorHAnsi"/>
          <w:szCs w:val="24"/>
        </w:rPr>
        <w:t>Sue Kristjansson</w:t>
      </w:r>
    </w:p>
    <w:p w14:paraId="5F736EBB" w14:textId="23028EF2" w:rsidR="009D7F1E" w:rsidRPr="008318C5" w:rsidRDefault="009D7F1E" w:rsidP="00B20EE7">
      <w:pPr>
        <w:pStyle w:val="NoSpacing"/>
        <w:rPr>
          <w:rFonts w:asciiTheme="minorHAnsi" w:hAnsiTheme="minorHAnsi"/>
          <w:szCs w:val="24"/>
        </w:rPr>
      </w:pPr>
      <w:r>
        <w:rPr>
          <w:rFonts w:asciiTheme="minorHAnsi" w:hAnsiTheme="minorHAnsi"/>
          <w:szCs w:val="24"/>
        </w:rPr>
        <w:t>Manager, Codes &amp; Standards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21C325DA" w14:textId="77777777" w:rsidR="003F295E" w:rsidRPr="00860117" w:rsidRDefault="00430642" w:rsidP="00860117">
                  <w:pPr>
                    <w:pStyle w:val="Bibliography"/>
                    <w:ind w:left="720" w:hanging="720"/>
                    <w:rPr>
                      <w:rFonts w:asciiTheme="minorHAnsi" w:hAnsiTheme="minorHAnsi" w:cstheme="minorHAnsi"/>
                      <w:noProof/>
                    </w:rPr>
                  </w:pPr>
                  <w:r w:rsidRPr="00860117">
                    <w:rPr>
                      <w:rFonts w:asciiTheme="minorHAnsi" w:hAnsiTheme="minorHAnsi" w:cstheme="minorHAnsi"/>
                    </w:rPr>
                    <w:fldChar w:fldCharType="begin"/>
                  </w:r>
                  <w:r w:rsidRPr="00860117">
                    <w:rPr>
                      <w:rFonts w:asciiTheme="minorHAnsi" w:hAnsiTheme="minorHAnsi" w:cstheme="minorHAnsi"/>
                    </w:rPr>
                    <w:instrText xml:space="preserve"> BIBLIOGRAPHY </w:instrText>
                  </w:r>
                  <w:r w:rsidRPr="00860117">
                    <w:rPr>
                      <w:rFonts w:asciiTheme="minorHAnsi" w:hAnsiTheme="minorHAnsi" w:cstheme="minorHAnsi"/>
                    </w:rPr>
                    <w:fldChar w:fldCharType="separate"/>
                  </w:r>
                  <w:r w:rsidR="003F295E" w:rsidRPr="00860117">
                    <w:rPr>
                      <w:rFonts w:asciiTheme="minorHAnsi" w:hAnsiTheme="minorHAnsi" w:cstheme="minorHAnsi"/>
                      <w:noProof/>
                    </w:rPr>
                    <w:t>California Public Utility Commission. 2008. "California Long Term Energy Efficiency Strategic Plan ."</w:t>
                  </w:r>
                </w:p>
                <w:p w14:paraId="568FCFE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60117">
                    <w:rPr>
                      <w:rFonts w:asciiTheme="minorHAnsi" w:hAnsiTheme="minorHAnsi" w:cstheme="minorHAnsi"/>
                      <w:i/>
                      <w:iCs/>
                      <w:noProof/>
                    </w:rPr>
                    <w:t>EERE-2013-BT-STD-0007-0113.</w:t>
                  </w:r>
                  <w:r w:rsidRPr="00860117">
                    <w:rPr>
                      <w:rFonts w:asciiTheme="minorHAnsi" w:hAnsiTheme="minorHAnsi" w:cstheme="minorHAnsi"/>
                      <w:noProof/>
                    </w:rPr>
                    <w:t xml:space="preserve"> </w:t>
                  </w:r>
                </w:p>
                <w:p w14:paraId="66276AC4"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Gold, Rachel, Steven Nadel, John A Laitner, and Andrew deLaski. 2011. </w:t>
                  </w:r>
                  <w:r w:rsidRPr="00860117">
                    <w:rPr>
                      <w:rFonts w:asciiTheme="minorHAnsi" w:hAnsiTheme="minorHAnsi" w:cstheme="minorHAnsi"/>
                      <w:i/>
                      <w:iCs/>
                      <w:noProof/>
                    </w:rPr>
                    <w:t>Appliance and Equipment Efficiency Standards: A Money Maker and Job Creator.</w:t>
                  </w:r>
                  <w:r w:rsidRPr="00860117">
                    <w:rPr>
                      <w:rFonts w:asciiTheme="minorHAnsi" w:hAnsiTheme="minorHAnsi" w:cstheme="minorHAnsi"/>
                      <w:noProof/>
                    </w:rPr>
                    <w:t xml:space="preserve"> ACEEE &amp; ASAP.</w:t>
                  </w:r>
                </w:p>
                <w:p w14:paraId="1137D499"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Taylor, Margarat, C. Anna Spurlock, and Hung-Chia Yang. 2015. </w:t>
                  </w:r>
                  <w:r w:rsidRPr="00860117">
                    <w:rPr>
                      <w:rFonts w:asciiTheme="minorHAnsi" w:hAnsiTheme="minorHAnsi" w:cstheme="minorHAnsi"/>
                      <w:i/>
                      <w:iCs/>
                      <w:noProof/>
                    </w:rPr>
                    <w:t>Confronting Regulatory Cost and Quality Expectations: An Exploration of Technical Change in Minimum Efficiency Performance Standards.</w:t>
                  </w:r>
                  <w:r w:rsidRPr="00860117">
                    <w:rPr>
                      <w:rFonts w:asciiTheme="minorHAnsi" w:hAnsiTheme="minorHAnsi" w:cstheme="minorHAnsi"/>
                      <w:noProof/>
                    </w:rPr>
                    <w:t xml:space="preserve"> Berkeley: Lawrence Berkeley National Laboratory.</w:t>
                  </w:r>
                </w:p>
                <w:p w14:paraId="25E39A92"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The Office of the White House. 2017. "Executive Order 13771." </w:t>
                  </w:r>
                  <w:r w:rsidRPr="00860117">
                    <w:rPr>
                      <w:rFonts w:asciiTheme="minorHAnsi" w:hAnsiTheme="minorHAnsi" w:cstheme="minorHAnsi"/>
                      <w:i/>
                      <w:iCs/>
                      <w:noProof/>
                    </w:rPr>
                    <w:t>Reducing Regulation and Controlling Regulatory Costs.</w:t>
                  </w:r>
                  <w:r w:rsidRPr="00860117">
                    <w:rPr>
                      <w:rFonts w:asciiTheme="minorHAnsi" w:hAnsiTheme="minorHAnsi" w:cstheme="minorHAnsi"/>
                      <w:noProof/>
                    </w:rPr>
                    <w:t xml:space="preserve"> January 30.</w:t>
                  </w:r>
                </w:p>
                <w:p w14:paraId="27AD943A"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2017. "Presidential Executive Order 13777: Enforcing the Regulatory Reform Agenda." February 24.</w:t>
                  </w:r>
                </w:p>
                <w:p w14:paraId="491C4FF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lang w:val="de-DE"/>
                    </w:rPr>
                    <w:t xml:space="preserve">Wei, Max, Shana Patadia, and Daniel M Kammen. </w:t>
                  </w:r>
                  <w:r w:rsidRPr="00860117">
                    <w:rPr>
                      <w:rFonts w:asciiTheme="minorHAnsi" w:hAnsiTheme="minorHAnsi" w:cstheme="minorHAnsi"/>
                      <w:noProof/>
                    </w:rPr>
                    <w:t xml:space="preserve">2010. "Putting renewables and energy efficiency to work: How many jobs can the clean energy industry generate in the US?" </w:t>
                  </w:r>
                  <w:r w:rsidRPr="00860117">
                    <w:rPr>
                      <w:rFonts w:asciiTheme="minorHAnsi" w:hAnsiTheme="minorHAnsi" w:cstheme="minorHAnsi"/>
                      <w:i/>
                      <w:iCs/>
                      <w:noProof/>
                    </w:rPr>
                    <w:t>Energy Policy.</w:t>
                  </w:r>
                  <w:r w:rsidRPr="00860117">
                    <w:rPr>
                      <w:rFonts w:asciiTheme="minorHAnsi" w:hAnsiTheme="minorHAnsi" w:cstheme="minorHAnsi"/>
                      <w:noProof/>
                    </w:rPr>
                    <w:t xml:space="preserve"> </w:t>
                  </w:r>
                </w:p>
                <w:p w14:paraId="1CA06FCA" w14:textId="20C9E99E" w:rsidR="00430642" w:rsidRPr="00290E40" w:rsidRDefault="00430642" w:rsidP="00860117">
                  <w:pPr>
                    <w:pStyle w:val="Bibliography"/>
                    <w:jc w:val="both"/>
                    <w:rPr>
                      <w:rFonts w:asciiTheme="minorHAnsi" w:hAnsiTheme="minorHAnsi" w:cstheme="minorHAnsi"/>
                    </w:rPr>
                  </w:pPr>
                  <w:r w:rsidRPr="00860117">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9828" w14:textId="77777777" w:rsidR="007A467C" w:rsidRDefault="007A467C">
      <w:r>
        <w:separator/>
      </w:r>
    </w:p>
  </w:endnote>
  <w:endnote w:type="continuationSeparator" w:id="0">
    <w:p w14:paraId="7FDA81FD" w14:textId="77777777" w:rsidR="007A467C" w:rsidRDefault="007A467C">
      <w:r>
        <w:continuationSeparator/>
      </w:r>
    </w:p>
  </w:endnote>
  <w:endnote w:type="continuationNotice" w:id="1">
    <w:p w14:paraId="7BA011BB" w14:textId="77777777" w:rsidR="007A467C" w:rsidRDefault="007A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5119"/>
      <w:docPartObj>
        <w:docPartGallery w:val="Page Numbers (Bottom of Page)"/>
        <w:docPartUnique/>
      </w:docPartObj>
    </w:sdtPr>
    <w:sdtEndPr>
      <w:rPr>
        <w:noProof/>
      </w:rPr>
    </w:sdtEndPr>
    <w:sdtContent>
      <w:p w14:paraId="2269FE3F" w14:textId="6EC2165D" w:rsidR="008D7FE8" w:rsidRDefault="008D7FE8">
        <w:pPr>
          <w:pStyle w:val="Footer"/>
          <w:jc w:val="center"/>
        </w:pPr>
        <w:r>
          <w:fldChar w:fldCharType="begin"/>
        </w:r>
        <w:r>
          <w:instrText xml:space="preserve"> PAGE   \* MERGEFORMAT </w:instrText>
        </w:r>
        <w:r>
          <w:fldChar w:fldCharType="separate"/>
        </w:r>
        <w:r w:rsidR="00625C99">
          <w:rPr>
            <w:noProof/>
          </w:rPr>
          <w:t>1</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0728" w14:textId="77777777" w:rsidR="007A467C" w:rsidRDefault="007A467C">
      <w:r>
        <w:separator/>
      </w:r>
    </w:p>
  </w:footnote>
  <w:footnote w:type="continuationSeparator" w:id="0">
    <w:p w14:paraId="1E5FAF25" w14:textId="77777777" w:rsidR="007A467C" w:rsidRDefault="007A467C">
      <w:r>
        <w:continuationSeparator/>
      </w:r>
    </w:p>
  </w:footnote>
  <w:footnote w:type="continuationNotice" w:id="1">
    <w:p w14:paraId="35D644D8" w14:textId="77777777" w:rsidR="007A467C" w:rsidRDefault="007A4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36825"/>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B461D"/>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4D32"/>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4851"/>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17A2"/>
    <w:rsid w:val="003A7A55"/>
    <w:rsid w:val="003B05DF"/>
    <w:rsid w:val="003B0A70"/>
    <w:rsid w:val="003B5AA9"/>
    <w:rsid w:val="003B78FB"/>
    <w:rsid w:val="003C22A5"/>
    <w:rsid w:val="003D2051"/>
    <w:rsid w:val="003D23DB"/>
    <w:rsid w:val="003E16F8"/>
    <w:rsid w:val="003E5893"/>
    <w:rsid w:val="003E60F6"/>
    <w:rsid w:val="003F246B"/>
    <w:rsid w:val="003F295E"/>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4D5"/>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4A72"/>
    <w:rsid w:val="00547152"/>
    <w:rsid w:val="00552CF6"/>
    <w:rsid w:val="00557040"/>
    <w:rsid w:val="00557CEB"/>
    <w:rsid w:val="005607F5"/>
    <w:rsid w:val="00562B9F"/>
    <w:rsid w:val="005650B3"/>
    <w:rsid w:val="005731F1"/>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5C99"/>
    <w:rsid w:val="0062752E"/>
    <w:rsid w:val="00631282"/>
    <w:rsid w:val="006315C8"/>
    <w:rsid w:val="00631E46"/>
    <w:rsid w:val="00632476"/>
    <w:rsid w:val="006373AC"/>
    <w:rsid w:val="00640C10"/>
    <w:rsid w:val="0064169F"/>
    <w:rsid w:val="006424B6"/>
    <w:rsid w:val="0064393E"/>
    <w:rsid w:val="00651CEC"/>
    <w:rsid w:val="00653B50"/>
    <w:rsid w:val="00663C41"/>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0B77"/>
    <w:rsid w:val="006A0F13"/>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0854"/>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467C"/>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3C6E"/>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0117"/>
    <w:rsid w:val="00862430"/>
    <w:rsid w:val="00862E74"/>
    <w:rsid w:val="00870299"/>
    <w:rsid w:val="00872BF1"/>
    <w:rsid w:val="0087582F"/>
    <w:rsid w:val="00883E23"/>
    <w:rsid w:val="008842B9"/>
    <w:rsid w:val="00885531"/>
    <w:rsid w:val="00885587"/>
    <w:rsid w:val="00886117"/>
    <w:rsid w:val="00886733"/>
    <w:rsid w:val="00887E79"/>
    <w:rsid w:val="008907CF"/>
    <w:rsid w:val="0089470F"/>
    <w:rsid w:val="008A186E"/>
    <w:rsid w:val="008A18DE"/>
    <w:rsid w:val="008A1B00"/>
    <w:rsid w:val="008A42C9"/>
    <w:rsid w:val="008A5238"/>
    <w:rsid w:val="008A79B3"/>
    <w:rsid w:val="008B0E95"/>
    <w:rsid w:val="008B6556"/>
    <w:rsid w:val="008C0D1C"/>
    <w:rsid w:val="008C195A"/>
    <w:rsid w:val="008C1BF4"/>
    <w:rsid w:val="008C5ECF"/>
    <w:rsid w:val="008C5F4C"/>
    <w:rsid w:val="008C5F62"/>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483"/>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025"/>
    <w:rsid w:val="00A92FA2"/>
    <w:rsid w:val="00A93A0B"/>
    <w:rsid w:val="00A95EE5"/>
    <w:rsid w:val="00A979A8"/>
    <w:rsid w:val="00A97BAA"/>
    <w:rsid w:val="00AA040E"/>
    <w:rsid w:val="00AA1836"/>
    <w:rsid w:val="00AA1E63"/>
    <w:rsid w:val="00AA579A"/>
    <w:rsid w:val="00AA7FB2"/>
    <w:rsid w:val="00AB028B"/>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2FCC"/>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1F45"/>
    <w:rsid w:val="00DD4899"/>
    <w:rsid w:val="00DD529F"/>
    <w:rsid w:val="00DE5CA3"/>
    <w:rsid w:val="00DE609E"/>
    <w:rsid w:val="00DF3FF1"/>
    <w:rsid w:val="00DF4904"/>
    <w:rsid w:val="00DF730B"/>
    <w:rsid w:val="00E026EF"/>
    <w:rsid w:val="00E0612D"/>
    <w:rsid w:val="00E06707"/>
    <w:rsid w:val="00E133AA"/>
    <w:rsid w:val="00E15FEC"/>
    <w:rsid w:val="00E16F11"/>
    <w:rsid w:val="00E2053D"/>
    <w:rsid w:val="00E22F32"/>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66552"/>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3B52"/>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34612"/>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87F7C"/>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1">
    <w:name w:val="Unresolved Mention1"/>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253672">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412753">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2271979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Kristjansson@semprautilitie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5</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6</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A465-549A-4DED-942C-BD9015DCB490}"/>
</file>

<file path=customXml/itemProps2.xml><?xml version="1.0" encoding="utf-8"?>
<ds:datastoreItem xmlns:ds="http://schemas.openxmlformats.org/officeDocument/2006/customXml" ds:itemID="{D2D6D1C5-4DF3-4C89-A9A5-E26BBBE5D4A0}"/>
</file>

<file path=customXml/itemProps3.xml><?xml version="1.0" encoding="utf-8"?>
<ds:datastoreItem xmlns:ds="http://schemas.openxmlformats.org/officeDocument/2006/customXml" ds:itemID="{AD69EEFE-090D-43A4-AFA5-27BCD06B4628}"/>
</file>

<file path=customXml/itemProps4.xml><?xml version="1.0" encoding="utf-8"?>
<ds:datastoreItem xmlns:ds="http://schemas.openxmlformats.org/officeDocument/2006/customXml" ds:itemID="{04A85C60-331B-4307-97A1-CE1B13DAB41C}"/>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2017-07-14T23:40:00Z</dcterms:created>
  <dcterms:modified xsi:type="dcterms:W3CDTF">2017-07-14T23:41:00Z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