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79E6" w14:textId="4DBFB60D" w:rsidR="009079DE" w:rsidRDefault="009079DE" w:rsidP="009079DE">
      <w:pPr>
        <w:pStyle w:val="Body"/>
      </w:pPr>
      <w:bookmarkStart w:id="0" w:name="_GoBack"/>
      <w:bookmarkEnd w:id="0"/>
      <w:r>
        <w:t xml:space="preserve">Notes from Energy Efficiency </w:t>
      </w:r>
      <w:r w:rsidR="001845AB">
        <w:t xml:space="preserve">Commercial Sector </w:t>
      </w:r>
      <w:r w:rsidR="00D11294">
        <w:t>Subcommittee</w:t>
      </w:r>
    </w:p>
    <w:p w14:paraId="7E6B17EF" w14:textId="53CD7F52" w:rsidR="009079DE" w:rsidRDefault="00D11294" w:rsidP="009079DE">
      <w:pPr>
        <w:rPr>
          <w:sz w:val="20"/>
          <w:szCs w:val="20"/>
        </w:rPr>
      </w:pPr>
      <w:r>
        <w:rPr>
          <w:sz w:val="20"/>
          <w:szCs w:val="20"/>
        </w:rPr>
        <w:t>4/15</w:t>
      </w:r>
      <w:r w:rsidR="009079DE" w:rsidRPr="001A3CF3">
        <w:rPr>
          <w:sz w:val="20"/>
          <w:szCs w:val="20"/>
        </w:rPr>
        <w:t>/2016</w:t>
      </w:r>
      <w:r w:rsidR="009079DE">
        <w:rPr>
          <w:sz w:val="20"/>
          <w:szCs w:val="20"/>
        </w:rPr>
        <w:t xml:space="preserve"> </w:t>
      </w:r>
      <w:r>
        <w:rPr>
          <w:sz w:val="20"/>
          <w:szCs w:val="20"/>
        </w:rPr>
        <w:t>9:00am-4:30pm</w:t>
      </w:r>
    </w:p>
    <w:p w14:paraId="6D82328B" w14:textId="6D3CB4E1" w:rsidR="009079DE" w:rsidRDefault="009079DE" w:rsidP="009079DE">
      <w:pPr>
        <w:rPr>
          <w:sz w:val="20"/>
          <w:szCs w:val="20"/>
        </w:rPr>
      </w:pPr>
      <w:r>
        <w:rPr>
          <w:sz w:val="20"/>
          <w:szCs w:val="20"/>
        </w:rPr>
        <w:t xml:space="preserve">Location:  </w:t>
      </w:r>
      <w:r w:rsidR="00D11294">
        <w:rPr>
          <w:sz w:val="20"/>
          <w:szCs w:val="20"/>
        </w:rPr>
        <w:t>Pacific Energy Center</w:t>
      </w:r>
      <w:r w:rsidR="00C1037D">
        <w:rPr>
          <w:sz w:val="20"/>
          <w:szCs w:val="20"/>
        </w:rPr>
        <w:t xml:space="preserve"> (SF)</w:t>
      </w:r>
      <w:r w:rsidR="00D11294">
        <w:rPr>
          <w:sz w:val="20"/>
          <w:szCs w:val="20"/>
        </w:rPr>
        <w:t xml:space="preserve">, </w:t>
      </w:r>
      <w:r w:rsidR="001845AB">
        <w:rPr>
          <w:sz w:val="20"/>
          <w:szCs w:val="20"/>
        </w:rPr>
        <w:t>Energy Resources Center</w:t>
      </w:r>
      <w:r w:rsidR="00C1037D">
        <w:rPr>
          <w:sz w:val="20"/>
          <w:szCs w:val="20"/>
        </w:rPr>
        <w:t xml:space="preserve"> (LA)</w:t>
      </w:r>
      <w:r w:rsidR="001845AB">
        <w:rPr>
          <w:sz w:val="20"/>
          <w:szCs w:val="20"/>
        </w:rPr>
        <w:t>, and by Webcast</w:t>
      </w:r>
    </w:p>
    <w:p w14:paraId="36D9EF1D" w14:textId="2B0A5C2B" w:rsidR="009079DE" w:rsidRPr="00D11294" w:rsidRDefault="009079DE" w:rsidP="00D11294">
      <w:pPr>
        <w:rPr>
          <w:sz w:val="20"/>
          <w:szCs w:val="20"/>
        </w:rPr>
      </w:pPr>
      <w:r>
        <w:rPr>
          <w:sz w:val="20"/>
          <w:szCs w:val="20"/>
        </w:rPr>
        <w:t xml:space="preserve">Meeting Co-Chairs:  </w:t>
      </w:r>
      <w:r w:rsidR="00D11294">
        <w:rPr>
          <w:sz w:val="20"/>
          <w:szCs w:val="20"/>
        </w:rPr>
        <w:t xml:space="preserve">Alex Porteshawver; </w:t>
      </w:r>
      <w:r w:rsidR="00D11294" w:rsidRPr="00D11294">
        <w:rPr>
          <w:sz w:val="20"/>
          <w:szCs w:val="20"/>
        </w:rPr>
        <w:t>Harry Charalambides</w:t>
      </w:r>
    </w:p>
    <w:p w14:paraId="61B705AC" w14:textId="5B921EB8" w:rsidR="009079DE" w:rsidRDefault="009079DE" w:rsidP="009079DE">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w:t>
      </w:r>
      <w:r w:rsidR="00D11294">
        <w:rPr>
          <w:color w:val="000000" w:themeColor="text1"/>
          <w:sz w:val="20"/>
          <w:szCs w:val="20"/>
        </w:rPr>
        <w:t>/NRDC</w:t>
      </w:r>
    </w:p>
    <w:p w14:paraId="11C3E643" w14:textId="611AB6B2" w:rsidR="003E2525" w:rsidRPr="00852075" w:rsidRDefault="003E2525" w:rsidP="009079DE">
      <w:pPr>
        <w:rPr>
          <w:color w:val="000000" w:themeColor="text1"/>
          <w:sz w:val="20"/>
          <w:szCs w:val="20"/>
        </w:rPr>
      </w:pPr>
      <w:r>
        <w:rPr>
          <w:color w:val="000000" w:themeColor="text1"/>
          <w:sz w:val="20"/>
          <w:szCs w:val="20"/>
        </w:rPr>
        <w:t xml:space="preserve">Click </w:t>
      </w:r>
      <w:hyperlink r:id="rId7" w:anchor="!blank-25/tul9c" w:history="1">
        <w:r w:rsidRPr="003E2525">
          <w:rPr>
            <w:rStyle w:val="Hyperlink"/>
            <w:sz w:val="20"/>
            <w:szCs w:val="20"/>
          </w:rPr>
          <w:t>here</w:t>
        </w:r>
      </w:hyperlink>
      <w:r>
        <w:rPr>
          <w:color w:val="000000" w:themeColor="text1"/>
          <w:sz w:val="20"/>
          <w:szCs w:val="20"/>
        </w:rPr>
        <w:t xml:space="preserve"> for meeting documents</w:t>
      </w:r>
    </w:p>
    <w:p w14:paraId="45618508" w14:textId="77777777" w:rsidR="009079DE" w:rsidRDefault="009079DE" w:rsidP="009079DE">
      <w:pPr>
        <w:rPr>
          <w:sz w:val="20"/>
          <w:szCs w:val="20"/>
        </w:rPr>
      </w:pPr>
    </w:p>
    <w:p w14:paraId="49394CD0" w14:textId="77777777" w:rsidR="009079DE" w:rsidRPr="002527A5" w:rsidRDefault="009079DE" w:rsidP="009079DE">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8" w:history="1">
        <w:r w:rsidRPr="00806522">
          <w:rPr>
            <w:rStyle w:val="Hyperlink"/>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5F3B5DC8" w14:textId="77777777" w:rsidR="00F6300F" w:rsidRDefault="00F6300F">
      <w:pPr>
        <w:pStyle w:val="BodyA"/>
      </w:pPr>
    </w:p>
    <w:p w14:paraId="03899D26" w14:textId="18D50C57" w:rsidR="00F6300F" w:rsidRDefault="009079DE">
      <w:pPr>
        <w:pStyle w:val="BodyA"/>
        <w:rPr>
          <w:rStyle w:val="Hyperlink0"/>
        </w:rPr>
      </w:pPr>
      <w:r>
        <w:rPr>
          <w:rStyle w:val="Hyperlink0"/>
        </w:rPr>
        <w:t>Welc</w:t>
      </w:r>
      <w:r w:rsidR="002248E0">
        <w:rPr>
          <w:rStyle w:val="Hyperlink0"/>
        </w:rPr>
        <w:t xml:space="preserve">ome and Background – </w:t>
      </w:r>
      <w:r w:rsidR="00983FFC">
        <w:rPr>
          <w:rStyle w:val="Hyperlink0"/>
        </w:rPr>
        <w:t>Alex P., Harry C., Ted P</w:t>
      </w:r>
      <w:r w:rsidR="004E7876">
        <w:rPr>
          <w:rStyle w:val="Hyperlink0"/>
        </w:rPr>
        <w:t>.</w:t>
      </w:r>
    </w:p>
    <w:p w14:paraId="515E716D" w14:textId="77777777" w:rsidR="00F6300F" w:rsidRDefault="00F6300F">
      <w:pPr>
        <w:pStyle w:val="BodyA"/>
        <w:rPr>
          <w:rStyle w:val="Hyperlink0"/>
        </w:rPr>
      </w:pPr>
    </w:p>
    <w:p w14:paraId="22FD021F" w14:textId="77777777" w:rsidR="004E7876" w:rsidRDefault="00983FFC" w:rsidP="004E7876">
      <w:pPr>
        <w:pStyle w:val="BodyA"/>
        <w:numPr>
          <w:ilvl w:val="0"/>
          <w:numId w:val="9"/>
        </w:numPr>
      </w:pPr>
      <w:r>
        <w:t>Introductions around the room in ERC (SCG Energy Resources Center) and PEC</w:t>
      </w:r>
      <w:r w:rsidR="004E7876">
        <w:t>.</w:t>
      </w:r>
    </w:p>
    <w:p w14:paraId="70C9D96F" w14:textId="77777777" w:rsidR="004E7876" w:rsidRDefault="00983FFC" w:rsidP="004E7876">
      <w:pPr>
        <w:pStyle w:val="BodyA"/>
        <w:numPr>
          <w:ilvl w:val="0"/>
          <w:numId w:val="9"/>
        </w:numPr>
      </w:pPr>
      <w:r>
        <w:t>Disc</w:t>
      </w:r>
      <w:r w:rsidR="004E7876">
        <w:t xml:space="preserve">ussion of process (we’re in Stage 2 of 4 stages) </w:t>
      </w:r>
    </w:p>
    <w:p w14:paraId="709C4C47" w14:textId="77777777" w:rsidR="004E7876" w:rsidRDefault="004E7876" w:rsidP="004E7876">
      <w:pPr>
        <w:pStyle w:val="BodyA"/>
        <w:numPr>
          <w:ilvl w:val="0"/>
          <w:numId w:val="9"/>
        </w:numPr>
      </w:pPr>
      <w:r>
        <w:t>R</w:t>
      </w:r>
      <w:r w:rsidR="00983FFC">
        <w:t>ole of the Coordinating Committee (CC)</w:t>
      </w:r>
      <w:r>
        <w:t xml:space="preserve"> and Subcommittees (SC)</w:t>
      </w:r>
    </w:p>
    <w:p w14:paraId="66458AB1" w14:textId="6002B96D" w:rsidR="009079DE" w:rsidRDefault="004E7876" w:rsidP="004E7876">
      <w:pPr>
        <w:pStyle w:val="BodyA"/>
        <w:numPr>
          <w:ilvl w:val="1"/>
          <w:numId w:val="9"/>
        </w:numPr>
      </w:pPr>
      <w:r>
        <w:t>early opportunities to weigh into BPs</w:t>
      </w:r>
    </w:p>
    <w:p w14:paraId="77F72992" w14:textId="39973E40" w:rsidR="004E7876" w:rsidRDefault="004E7876" w:rsidP="004E7876">
      <w:pPr>
        <w:pStyle w:val="BodyA"/>
        <w:numPr>
          <w:ilvl w:val="1"/>
          <w:numId w:val="9"/>
        </w:numPr>
      </w:pPr>
      <w:r>
        <w:t>stay high level</w:t>
      </w:r>
    </w:p>
    <w:p w14:paraId="696DCC89" w14:textId="77777777" w:rsidR="00F6300F" w:rsidRDefault="00F6300F">
      <w:pPr>
        <w:pStyle w:val="BodyA"/>
      </w:pPr>
    </w:p>
    <w:p w14:paraId="344C8182" w14:textId="0CBBCD75" w:rsidR="00F6300F" w:rsidRPr="009079DE" w:rsidRDefault="004E7876">
      <w:pPr>
        <w:pStyle w:val="BodyA"/>
        <w:rPr>
          <w:u w:val="single"/>
        </w:rPr>
      </w:pPr>
      <w:r>
        <w:rPr>
          <w:u w:val="single"/>
        </w:rPr>
        <w:t>PG&amp;E Vision</w:t>
      </w:r>
      <w:r w:rsidR="003E2525">
        <w:rPr>
          <w:u w:val="single"/>
        </w:rPr>
        <w:t xml:space="preserve"> (graphic will be online when finalized) </w:t>
      </w:r>
      <w:r>
        <w:rPr>
          <w:u w:val="single"/>
        </w:rPr>
        <w:t>– presented by Meghan Dewey</w:t>
      </w:r>
    </w:p>
    <w:p w14:paraId="78F5528F" w14:textId="77777777" w:rsidR="00F6300F" w:rsidRDefault="00F6300F">
      <w:pPr>
        <w:pStyle w:val="BodyA"/>
      </w:pPr>
    </w:p>
    <w:p w14:paraId="63DC762C" w14:textId="5C1A3889" w:rsidR="000038FF" w:rsidRPr="009079DE" w:rsidRDefault="000038FF" w:rsidP="000038FF">
      <w:pPr>
        <w:pStyle w:val="BodyA"/>
        <w:rPr>
          <w:u w:val="single"/>
        </w:rPr>
      </w:pPr>
      <w:r>
        <w:rPr>
          <w:u w:val="single"/>
        </w:rPr>
        <w:t>PG&amp;E Commercial Stage 2</w:t>
      </w:r>
      <w:r w:rsidR="003E2525">
        <w:rPr>
          <w:u w:val="single"/>
        </w:rPr>
        <w:t xml:space="preserve"> </w:t>
      </w:r>
      <w:r>
        <w:rPr>
          <w:u w:val="single"/>
        </w:rPr>
        <w:t>– presented by Jane Kruse</w:t>
      </w:r>
    </w:p>
    <w:p w14:paraId="598F271D" w14:textId="77777777" w:rsidR="000038FF" w:rsidRDefault="000038FF">
      <w:pPr>
        <w:pStyle w:val="BodyA"/>
      </w:pPr>
    </w:p>
    <w:p w14:paraId="766D4081" w14:textId="0B130EFB" w:rsidR="00F6300F" w:rsidRDefault="00FC3A31">
      <w:pPr>
        <w:pStyle w:val="BodyA"/>
      </w:pPr>
      <w:r w:rsidRPr="001E7F60">
        <w:rPr>
          <w:b/>
        </w:rPr>
        <w:t>Question:</w:t>
      </w:r>
      <w:r>
        <w:t xml:space="preserve"> </w:t>
      </w:r>
      <w:r w:rsidR="00FD7257">
        <w:t xml:space="preserve">re: Figure 1 on p.5 – </w:t>
      </w:r>
      <w:r w:rsidR="003E2525">
        <w:t xml:space="preserve">can you </w:t>
      </w:r>
      <w:r w:rsidR="00FD7257">
        <w:t>describe EE/DR/DG offering</w:t>
      </w:r>
      <w:r w:rsidR="003E2525">
        <w:t xml:space="preserve"> thinking?</w:t>
      </w:r>
    </w:p>
    <w:p w14:paraId="6B7C39AD" w14:textId="28404296" w:rsidR="00F6300F" w:rsidRDefault="00FC3A31">
      <w:pPr>
        <w:pStyle w:val="BodyA"/>
      </w:pPr>
      <w:r w:rsidRPr="001E7F60">
        <w:rPr>
          <w:b/>
        </w:rPr>
        <w:t>Response:</w:t>
      </w:r>
      <w:r>
        <w:t xml:space="preserve"> </w:t>
      </w:r>
      <w:r w:rsidR="007820B3">
        <w:t>Conceptually, we want to do integration better but will need to use this forum to discuss how best to do that</w:t>
      </w:r>
      <w:r w:rsidR="003E2525">
        <w:t>, including incorporating input from the IDER proceeding</w:t>
      </w:r>
      <w:r w:rsidR="007820B3">
        <w:t xml:space="preserve">. </w:t>
      </w:r>
    </w:p>
    <w:p w14:paraId="17BD8761" w14:textId="77777777" w:rsidR="00F6300F" w:rsidRDefault="00F6300F">
      <w:pPr>
        <w:pStyle w:val="BodyA"/>
      </w:pPr>
    </w:p>
    <w:p w14:paraId="5CFF4C82" w14:textId="67244FAF" w:rsidR="00F6300F" w:rsidRDefault="00203382">
      <w:pPr>
        <w:pStyle w:val="BodyA"/>
      </w:pPr>
      <w:r w:rsidRPr="001E7F60">
        <w:rPr>
          <w:b/>
        </w:rPr>
        <w:t>Question:</w:t>
      </w:r>
      <w:r>
        <w:t xml:space="preserve"> </w:t>
      </w:r>
      <w:r w:rsidR="006217AC">
        <w:t>Re: the comment in the presentation that monetary i</w:t>
      </w:r>
      <w:r w:rsidR="00FD7257">
        <w:t xml:space="preserve">ncentives are not sustainable, can you discuss successes, challenges, and why </w:t>
      </w:r>
      <w:r w:rsidR="006217AC">
        <w:t xml:space="preserve">PG&amp;E is considering </w:t>
      </w:r>
      <w:r w:rsidR="00FD7257">
        <w:t xml:space="preserve">changing </w:t>
      </w:r>
      <w:r w:rsidR="006217AC">
        <w:t>what it offers to customers</w:t>
      </w:r>
      <w:r w:rsidR="00FD7257">
        <w:t>?</w:t>
      </w:r>
    </w:p>
    <w:p w14:paraId="0648C301" w14:textId="00A8EA1D" w:rsidR="00F6300F" w:rsidRDefault="00A715F7">
      <w:pPr>
        <w:pStyle w:val="BodyA"/>
      </w:pPr>
      <w:r w:rsidRPr="001E7F60">
        <w:rPr>
          <w:b/>
        </w:rPr>
        <w:t>Response:</w:t>
      </w:r>
      <w:r w:rsidR="00FD7257">
        <w:t xml:space="preserve"> </w:t>
      </w:r>
      <w:r w:rsidR="006217AC">
        <w:t xml:space="preserve">Paying $$ to customers is </w:t>
      </w:r>
      <w:r w:rsidR="00FD7257">
        <w:t xml:space="preserve">not sustainable if we </w:t>
      </w:r>
      <w:r w:rsidR="006217AC">
        <w:t xml:space="preserve">need to dramatically </w:t>
      </w:r>
      <w:r w:rsidR="00FD7257">
        <w:t>scale</w:t>
      </w:r>
      <w:r w:rsidR="00BF5F4D">
        <w:t xml:space="preserve"> up efforts </w:t>
      </w:r>
      <w:r w:rsidR="006217AC">
        <w:t xml:space="preserve">as it would </w:t>
      </w:r>
      <w:r w:rsidR="00BF5F4D">
        <w:t xml:space="preserve">dramatically </w:t>
      </w:r>
      <w:r w:rsidR="00FD7257">
        <w:t>raise the cost</w:t>
      </w:r>
      <w:r w:rsidR="006217AC">
        <w:t xml:space="preserve"> of delivering EE</w:t>
      </w:r>
      <w:r w:rsidR="00FD7257">
        <w:t xml:space="preserve">. Want to be responsible with </w:t>
      </w:r>
      <w:r w:rsidR="006217AC">
        <w:t xml:space="preserve">billpayer </w:t>
      </w:r>
      <w:r w:rsidR="00FD7257">
        <w:t xml:space="preserve">funding and </w:t>
      </w:r>
      <w:r w:rsidR="006217AC">
        <w:t>therefore looking to other opportunities to support customers and double efficiency. Will</w:t>
      </w:r>
      <w:r w:rsidR="002B5A2B">
        <w:t xml:space="preserve"> still</w:t>
      </w:r>
      <w:r w:rsidR="006217AC">
        <w:t xml:space="preserve"> need to figure out </w:t>
      </w:r>
      <w:r w:rsidR="002B5A2B">
        <w:t xml:space="preserve">with CPUC </w:t>
      </w:r>
      <w:r w:rsidR="006217AC">
        <w:t xml:space="preserve">how </w:t>
      </w:r>
      <w:r w:rsidR="002B5A2B">
        <w:t>those offerings are</w:t>
      </w:r>
      <w:r w:rsidR="006217AC">
        <w:t xml:space="preserve"> reviewed, measured, evaluated, etc.</w:t>
      </w:r>
    </w:p>
    <w:p w14:paraId="434F6B64" w14:textId="77777777" w:rsidR="002A6C80" w:rsidRDefault="002A6C80">
      <w:pPr>
        <w:pStyle w:val="BodyA"/>
      </w:pPr>
    </w:p>
    <w:p w14:paraId="306DC37F" w14:textId="6B2A0F6F" w:rsidR="00F6300F" w:rsidRDefault="00FC3A31">
      <w:pPr>
        <w:pStyle w:val="BodyA"/>
      </w:pPr>
      <w:r w:rsidRPr="001E7F60">
        <w:rPr>
          <w:b/>
        </w:rPr>
        <w:t>Question:</w:t>
      </w:r>
      <w:r>
        <w:t xml:space="preserve"> </w:t>
      </w:r>
      <w:r w:rsidR="00FD7257">
        <w:t>Can you speak to simplifying the portfolio while providing more customized services</w:t>
      </w:r>
      <w:r w:rsidR="002B5A2B">
        <w:t>?</w:t>
      </w:r>
    </w:p>
    <w:p w14:paraId="20C7827D" w14:textId="2AC71F07" w:rsidR="00184D4C" w:rsidRDefault="00184D4C" w:rsidP="00184D4C">
      <w:pPr>
        <w:pStyle w:val="BodyA"/>
      </w:pPr>
      <w:r w:rsidRPr="001E7F60">
        <w:rPr>
          <w:b/>
        </w:rPr>
        <w:t>Response:</w:t>
      </w:r>
      <w:r>
        <w:t xml:space="preserve"> </w:t>
      </w:r>
      <w:r w:rsidR="00FD7257">
        <w:t xml:space="preserve">A lot of this is how we speak to the customer. PG&amp;E realigned the account reps to be around segment lines to better </w:t>
      </w:r>
      <w:r w:rsidR="002B5A2B">
        <w:t xml:space="preserve">interact with </w:t>
      </w:r>
      <w:r w:rsidR="00FD7257">
        <w:t>the customer</w:t>
      </w:r>
      <w:r w:rsidR="002B5A2B">
        <w:t xml:space="preserve"> where they need</w:t>
      </w:r>
      <w:r w:rsidR="00FD7257">
        <w:t xml:space="preserve">. Reps will be dedicated to large customers and </w:t>
      </w:r>
      <w:r w:rsidR="00471A1C">
        <w:t xml:space="preserve">other organizational improvements to be </w:t>
      </w:r>
      <w:r w:rsidR="00FD7257">
        <w:t xml:space="preserve">better aligned. Same for medium and small to help enable the personalization of the messages and program opportunities from a sales perspective. Second, </w:t>
      </w:r>
      <w:r w:rsidR="00F17219">
        <w:t xml:space="preserve">PG&amp;E hasn’t yet identified specific </w:t>
      </w:r>
      <w:r w:rsidR="00FD7257">
        <w:t xml:space="preserve">programs, etc. b/c trying to leave it open to think about new strategies and ways to engage in the future. </w:t>
      </w:r>
    </w:p>
    <w:p w14:paraId="34884DEE" w14:textId="77777777" w:rsidR="00F6300F" w:rsidRDefault="00F6300F">
      <w:pPr>
        <w:pStyle w:val="BodyA"/>
      </w:pPr>
    </w:p>
    <w:p w14:paraId="1CEF06D3" w14:textId="1449D623" w:rsidR="00D8420F" w:rsidRDefault="00D8420F" w:rsidP="00D8420F">
      <w:pPr>
        <w:pStyle w:val="BodyA"/>
      </w:pPr>
      <w:r w:rsidRPr="001E7F60">
        <w:rPr>
          <w:b/>
        </w:rPr>
        <w:t>Question:</w:t>
      </w:r>
      <w:r>
        <w:t xml:space="preserve"> </w:t>
      </w:r>
      <w:r w:rsidR="002C6529">
        <w:t>Were there no end use problem statements? Or where do end uses come into play?</w:t>
      </w:r>
    </w:p>
    <w:p w14:paraId="18E5848D" w14:textId="11C15A11" w:rsidR="00D8420F" w:rsidRDefault="00D8420F" w:rsidP="00D8420F">
      <w:pPr>
        <w:pStyle w:val="BodyA"/>
      </w:pPr>
      <w:r w:rsidRPr="001E7F60">
        <w:rPr>
          <w:b/>
        </w:rPr>
        <w:t>Response:</w:t>
      </w:r>
      <w:r>
        <w:t xml:space="preserve"> </w:t>
      </w:r>
      <w:r w:rsidR="002C6529">
        <w:t xml:space="preserve">No end-use specific problem statement, rather it is more about how the end uses are addressed within the larger problem statements. The end uses will </w:t>
      </w:r>
      <w:r w:rsidR="00D35388">
        <w:t>be specifically addressed in implementation plan programs. The bigger issue is why the customers aren’t doing efficiency. Solutions to get more of those savings is the next step.</w:t>
      </w:r>
    </w:p>
    <w:p w14:paraId="73D3232D" w14:textId="1F3BF5DD" w:rsidR="00CB65B9" w:rsidRPr="00CB65B9" w:rsidRDefault="00CB65B9" w:rsidP="00D8420F">
      <w:pPr>
        <w:pStyle w:val="BodyA"/>
      </w:pPr>
      <w:r w:rsidRPr="00CB65B9">
        <w:rPr>
          <w:b/>
        </w:rPr>
        <w:lastRenderedPageBreak/>
        <w:t>Follow up:</w:t>
      </w:r>
      <w:r>
        <w:rPr>
          <w:b/>
        </w:rPr>
        <w:t xml:space="preserve"> </w:t>
      </w:r>
      <w:r>
        <w:t>May work this way, but there is clearly a problem within HVAC, how will PG&amp;E (other PAs) address that specific end use challenge embedded with</w:t>
      </w:r>
      <w:r w:rsidR="006C3205">
        <w:t>in the other problem statements?</w:t>
      </w:r>
    </w:p>
    <w:p w14:paraId="0B6AD80C" w14:textId="77777777" w:rsidR="00D8420F" w:rsidRDefault="00D8420F">
      <w:pPr>
        <w:pStyle w:val="BodyA"/>
      </w:pPr>
    </w:p>
    <w:p w14:paraId="25F8AE6B" w14:textId="0963E6EF" w:rsidR="00D8420F" w:rsidRDefault="00D8420F" w:rsidP="0027187C">
      <w:pPr>
        <w:pStyle w:val="BodyA"/>
        <w:keepNext/>
        <w:rPr>
          <w:u w:val="single"/>
        </w:rPr>
      </w:pPr>
      <w:r>
        <w:rPr>
          <w:u w:val="single"/>
        </w:rPr>
        <w:t>MCE Commercial Stage 2 (see CAEECC for links to MCE BP ) – presented by Katie Elliot</w:t>
      </w:r>
    </w:p>
    <w:p w14:paraId="0DEA6DF6" w14:textId="77777777" w:rsidR="0056015D" w:rsidRDefault="0056015D" w:rsidP="0027187C">
      <w:pPr>
        <w:pStyle w:val="BodyA"/>
        <w:keepNext/>
        <w:rPr>
          <w:b/>
        </w:rPr>
      </w:pPr>
    </w:p>
    <w:p w14:paraId="7F6847A5" w14:textId="7C180F45" w:rsidR="0056015D" w:rsidRDefault="0056015D" w:rsidP="0027187C">
      <w:pPr>
        <w:pStyle w:val="BodyA"/>
        <w:keepNext/>
      </w:pPr>
      <w:r w:rsidRPr="0056015D">
        <w:rPr>
          <w:b/>
        </w:rPr>
        <w:t>Question</w:t>
      </w:r>
      <w:r>
        <w:rPr>
          <w:b/>
        </w:rPr>
        <w:t xml:space="preserve">: </w:t>
      </w:r>
      <w:r>
        <w:t>What are the specific problem statements that these programs/implementation plans address?</w:t>
      </w:r>
    </w:p>
    <w:p w14:paraId="291740A7" w14:textId="1ACFAED0" w:rsidR="0056015D" w:rsidRPr="0056015D" w:rsidRDefault="0056015D" w:rsidP="00D8420F">
      <w:pPr>
        <w:pStyle w:val="BodyA"/>
      </w:pPr>
      <w:r w:rsidRPr="0056015D">
        <w:rPr>
          <w:b/>
        </w:rPr>
        <w:t>Response:</w:t>
      </w:r>
      <w:r>
        <w:rPr>
          <w:b/>
        </w:rPr>
        <w:t xml:space="preserve"> </w:t>
      </w:r>
      <w:r>
        <w:t>MCE wasn’t prepared to discuss specific problem statements, the barriers are identified in the business plans that are linked on the MCE one-pager.</w:t>
      </w:r>
    </w:p>
    <w:p w14:paraId="4488D5DA" w14:textId="77777777" w:rsidR="001E7F60" w:rsidRDefault="001E7F60" w:rsidP="002C6529">
      <w:pPr>
        <w:pStyle w:val="BodyA"/>
        <w:rPr>
          <w:u w:val="single"/>
        </w:rPr>
      </w:pPr>
    </w:p>
    <w:p w14:paraId="7A6E2D3A" w14:textId="3A45A20C" w:rsidR="002C6529" w:rsidRDefault="002C6529" w:rsidP="002C6529">
      <w:pPr>
        <w:pStyle w:val="BodyA"/>
        <w:rPr>
          <w:u w:val="single"/>
        </w:rPr>
      </w:pPr>
      <w:r>
        <w:rPr>
          <w:u w:val="single"/>
        </w:rPr>
        <w:t>BayREN Commercial Stage 2 (see CAEECC) – presented by Rich Chien</w:t>
      </w:r>
    </w:p>
    <w:p w14:paraId="4AB7B92A" w14:textId="77777777" w:rsidR="00D35388" w:rsidRPr="009079DE" w:rsidRDefault="00D35388" w:rsidP="002C6529">
      <w:pPr>
        <w:pStyle w:val="BodyA"/>
        <w:rPr>
          <w:u w:val="single"/>
        </w:rPr>
      </w:pPr>
    </w:p>
    <w:p w14:paraId="7DDBFB07" w14:textId="49AB3694" w:rsidR="00D8420F" w:rsidRPr="005C0238" w:rsidRDefault="00F609DB">
      <w:pPr>
        <w:pStyle w:val="BodyA"/>
      </w:pPr>
      <w:r>
        <w:rPr>
          <w:b/>
        </w:rPr>
        <w:t>Observation</w:t>
      </w:r>
      <w:r w:rsidR="001E7F60" w:rsidRPr="001E7F60">
        <w:rPr>
          <w:b/>
        </w:rPr>
        <w:t>:</w:t>
      </w:r>
      <w:r w:rsidR="001E7F60">
        <w:rPr>
          <w:b/>
        </w:rPr>
        <w:t xml:space="preserve"> </w:t>
      </w:r>
      <w:r>
        <w:t>Haven’t seen as a problem statement, “how do programs manage the difference between comprehensive once vs. sequence/path to comprehensive retrofit.”</w:t>
      </w:r>
    </w:p>
    <w:p w14:paraId="4859B9D6" w14:textId="77777777" w:rsidR="00F609DB" w:rsidRDefault="00F609DB">
      <w:pPr>
        <w:pStyle w:val="BodyA"/>
        <w:rPr>
          <w:b/>
        </w:rPr>
      </w:pPr>
    </w:p>
    <w:p w14:paraId="353B1A10" w14:textId="31B656DD" w:rsidR="00F609DB" w:rsidRPr="00EE321F" w:rsidRDefault="00F609DB">
      <w:pPr>
        <w:pStyle w:val="BodyA"/>
      </w:pPr>
      <w:r>
        <w:rPr>
          <w:b/>
        </w:rPr>
        <w:t>Question:</w:t>
      </w:r>
      <w:r w:rsidR="00EE321F">
        <w:rPr>
          <w:b/>
        </w:rPr>
        <w:t xml:space="preserve"> </w:t>
      </w:r>
      <w:r w:rsidR="00EE321F">
        <w:t>Has BayREN considered integrated demand side?</w:t>
      </w:r>
    </w:p>
    <w:p w14:paraId="5080E61C" w14:textId="46AACD80" w:rsidR="001E7F60" w:rsidRDefault="001E7F60">
      <w:pPr>
        <w:pStyle w:val="BodyA"/>
      </w:pPr>
      <w:r w:rsidRPr="001E7F60">
        <w:rPr>
          <w:b/>
        </w:rPr>
        <w:t>Response:</w:t>
      </w:r>
      <w:r>
        <w:rPr>
          <w:b/>
        </w:rPr>
        <w:t xml:space="preserve"> </w:t>
      </w:r>
      <w:r w:rsidR="00EE321F">
        <w:t>Not at the moment. Looking at SMB as underserved and meet</w:t>
      </w:r>
      <w:r w:rsidR="00306CB4">
        <w:t>ing</w:t>
      </w:r>
      <w:r w:rsidR="00EE321F">
        <w:t xml:space="preserve"> them where their needs are is the first foot forward to get at that segment</w:t>
      </w:r>
      <w:r w:rsidR="00306CB4">
        <w:t>. I</w:t>
      </w:r>
      <w:r w:rsidR="00EE321F">
        <w:t xml:space="preserve">nterested in thinking </w:t>
      </w:r>
      <w:r w:rsidR="00306CB4">
        <w:t xml:space="preserve">more </w:t>
      </w:r>
      <w:r w:rsidR="00EE321F">
        <w:t xml:space="preserve">about that in the future. </w:t>
      </w:r>
    </w:p>
    <w:p w14:paraId="3321BBB1" w14:textId="77777777" w:rsidR="0000311E" w:rsidRDefault="0000311E">
      <w:pPr>
        <w:pStyle w:val="BodyA"/>
      </w:pPr>
    </w:p>
    <w:p w14:paraId="5DAD1D7B" w14:textId="5EBF30BD" w:rsidR="0000311E" w:rsidRPr="00EE321F" w:rsidRDefault="0000311E" w:rsidP="0000311E">
      <w:pPr>
        <w:pStyle w:val="BodyA"/>
      </w:pPr>
      <w:r>
        <w:rPr>
          <w:b/>
        </w:rPr>
        <w:t xml:space="preserve">Question: </w:t>
      </w:r>
      <w:r>
        <w:t>Good to see focus on “customer.” Does the customer approach help or complicate overlap areas of service territories?</w:t>
      </w:r>
    </w:p>
    <w:p w14:paraId="5550CFE0" w14:textId="7FD768FC" w:rsidR="0000311E" w:rsidRPr="0000311E" w:rsidRDefault="0000311E" w:rsidP="0000311E">
      <w:pPr>
        <w:pStyle w:val="BodyA"/>
      </w:pPr>
      <w:r w:rsidRPr="001E7F60">
        <w:rPr>
          <w:b/>
        </w:rPr>
        <w:t>Response:</w:t>
      </w:r>
      <w:r>
        <w:rPr>
          <w:b/>
        </w:rPr>
        <w:t xml:space="preserve"> </w:t>
      </w:r>
      <w:r>
        <w:t xml:space="preserve">Remains to be seen how that gets worked out. But going through the current </w:t>
      </w:r>
      <w:r w:rsidR="00EF217D">
        <w:t>structure and will discuss how to address that issue.</w:t>
      </w:r>
    </w:p>
    <w:p w14:paraId="302A312B" w14:textId="77777777" w:rsidR="0000311E" w:rsidRDefault="0000311E">
      <w:pPr>
        <w:pStyle w:val="BodyA"/>
      </w:pPr>
    </w:p>
    <w:p w14:paraId="16B4427C" w14:textId="7306C0B6" w:rsidR="00882E31" w:rsidRDefault="00920CC8" w:rsidP="00882E31">
      <w:pPr>
        <w:pStyle w:val="BodyA"/>
        <w:rPr>
          <w:u w:val="single"/>
        </w:rPr>
      </w:pPr>
      <w:r>
        <w:rPr>
          <w:u w:val="single"/>
        </w:rPr>
        <w:t xml:space="preserve">SDG&amp;E </w:t>
      </w:r>
      <w:r w:rsidR="00A314C4">
        <w:rPr>
          <w:u w:val="single"/>
        </w:rPr>
        <w:t xml:space="preserve">Commercial Stage 2 </w:t>
      </w:r>
      <w:r w:rsidR="00882E31">
        <w:rPr>
          <w:u w:val="single"/>
        </w:rPr>
        <w:t xml:space="preserve">– presented by </w:t>
      </w:r>
      <w:r>
        <w:rPr>
          <w:u w:val="single"/>
        </w:rPr>
        <w:t>Michelle Costello</w:t>
      </w:r>
    </w:p>
    <w:p w14:paraId="1C675E66" w14:textId="77777777" w:rsidR="00882E31" w:rsidRDefault="00882E31" w:rsidP="00882E31">
      <w:pPr>
        <w:pStyle w:val="BodyA"/>
        <w:rPr>
          <w:u w:val="single"/>
        </w:rPr>
      </w:pPr>
    </w:p>
    <w:p w14:paraId="2C48943B" w14:textId="22143EBE" w:rsidR="0032559D" w:rsidRPr="00EE321F" w:rsidRDefault="0032559D" w:rsidP="0032559D">
      <w:pPr>
        <w:pStyle w:val="BodyA"/>
      </w:pPr>
      <w:r>
        <w:rPr>
          <w:b/>
        </w:rPr>
        <w:t xml:space="preserve">Question: </w:t>
      </w:r>
      <w:r>
        <w:t>Did you parse out the large commercial/small chains in small biz?</w:t>
      </w:r>
    </w:p>
    <w:p w14:paraId="776B5EA4" w14:textId="556413EE" w:rsidR="0032559D" w:rsidRPr="0000311E" w:rsidRDefault="0032559D" w:rsidP="0032559D">
      <w:pPr>
        <w:pStyle w:val="BodyA"/>
      </w:pPr>
      <w:r w:rsidRPr="001E7F60">
        <w:rPr>
          <w:b/>
        </w:rPr>
        <w:t>Response:</w:t>
      </w:r>
      <w:r>
        <w:rPr>
          <w:b/>
        </w:rPr>
        <w:t xml:space="preserve"> </w:t>
      </w:r>
      <w:r w:rsidR="00A314C4">
        <w:t xml:space="preserve">Didn’t, but could </w:t>
      </w:r>
      <w:r>
        <w:t xml:space="preserve">pull that out. </w:t>
      </w:r>
      <w:r w:rsidR="00A314C4">
        <w:t>Need to remember that l</w:t>
      </w:r>
      <w:r>
        <w:t>arge commercial customers have small buildings</w:t>
      </w:r>
      <w:r w:rsidR="00A314C4">
        <w:t xml:space="preserve"> as well</w:t>
      </w:r>
      <w:r>
        <w:t>.</w:t>
      </w:r>
    </w:p>
    <w:p w14:paraId="49571189" w14:textId="77777777" w:rsidR="0032559D" w:rsidRDefault="0032559D" w:rsidP="00882E31">
      <w:pPr>
        <w:pStyle w:val="BodyA"/>
        <w:rPr>
          <w:u w:val="single"/>
        </w:rPr>
      </w:pPr>
    </w:p>
    <w:p w14:paraId="0302B837" w14:textId="22A15A12" w:rsidR="00543501" w:rsidRPr="00EE321F" w:rsidRDefault="00543501" w:rsidP="00543501">
      <w:pPr>
        <w:pStyle w:val="BodyA"/>
      </w:pPr>
      <w:r>
        <w:rPr>
          <w:b/>
        </w:rPr>
        <w:t xml:space="preserve">Question: </w:t>
      </w:r>
      <w:r w:rsidR="00636639">
        <w:t>Clarify H</w:t>
      </w:r>
      <w:r>
        <w:t xml:space="preserve">VAC slide on p.8? </w:t>
      </w:r>
    </w:p>
    <w:p w14:paraId="1A61D659" w14:textId="2309262E" w:rsidR="00543501" w:rsidRPr="0000311E" w:rsidRDefault="00543501" w:rsidP="00543501">
      <w:pPr>
        <w:pStyle w:val="BodyA"/>
      </w:pPr>
      <w:r w:rsidRPr="001E7F60">
        <w:rPr>
          <w:b/>
        </w:rPr>
        <w:t>Response:</w:t>
      </w:r>
      <w:r>
        <w:rPr>
          <w:b/>
        </w:rPr>
        <w:t xml:space="preserve"> </w:t>
      </w:r>
      <w:r>
        <w:t>30% of commercial market</w:t>
      </w:r>
      <w:r w:rsidR="00636639">
        <w:t xml:space="preserve"> only</w:t>
      </w:r>
    </w:p>
    <w:p w14:paraId="73A4594C" w14:textId="77777777" w:rsidR="00543501" w:rsidRPr="009079DE" w:rsidRDefault="00543501" w:rsidP="00882E31">
      <w:pPr>
        <w:pStyle w:val="BodyA"/>
        <w:rPr>
          <w:u w:val="single"/>
        </w:rPr>
      </w:pPr>
    </w:p>
    <w:p w14:paraId="69A61E18" w14:textId="6A515409" w:rsidR="00EE70B6" w:rsidRPr="00EE321F" w:rsidRDefault="00EE70B6" w:rsidP="00EE70B6">
      <w:pPr>
        <w:pStyle w:val="BodyA"/>
      </w:pPr>
      <w:r>
        <w:rPr>
          <w:b/>
        </w:rPr>
        <w:t xml:space="preserve">Question: </w:t>
      </w:r>
      <w:r>
        <w:t>The term “value proposition” was used a lot. Many members of WHPA (including PAs, Industries in and out of CA, and state agencies), struggling with value proposition for systems. Large systems may be easier, but the vast majority that has packaged/roof units don’t have a value for the operations of those systems. How do you get proof for that value proposition. What efforts do the IOUs have to advance that proof?</w:t>
      </w:r>
      <w:r w:rsidR="009131B7">
        <w:t xml:space="preserve"> Need a foundational protocol.</w:t>
      </w:r>
    </w:p>
    <w:p w14:paraId="24DD6F7D" w14:textId="1AFFCC61" w:rsidR="00EE70B6" w:rsidRPr="0000311E" w:rsidRDefault="00EE70B6" w:rsidP="00EE70B6">
      <w:pPr>
        <w:pStyle w:val="BodyA"/>
      </w:pPr>
      <w:r w:rsidRPr="001E7F60">
        <w:rPr>
          <w:b/>
        </w:rPr>
        <w:t>Response:</w:t>
      </w:r>
      <w:r>
        <w:rPr>
          <w:b/>
        </w:rPr>
        <w:t xml:space="preserve"> </w:t>
      </w:r>
      <w:r w:rsidR="00DD63BB">
        <w:t xml:space="preserve">Value proposition is different depending on which decision </w:t>
      </w:r>
      <w:r w:rsidR="00D06BDB">
        <w:t>maker and the size of the HVAC but agree need that data</w:t>
      </w:r>
      <w:r w:rsidR="001D791A">
        <w:t xml:space="preserve"> for the customer</w:t>
      </w:r>
      <w:r w:rsidR="00D06BDB">
        <w:t>.</w:t>
      </w:r>
    </w:p>
    <w:p w14:paraId="6F547909" w14:textId="77777777" w:rsidR="00882E31" w:rsidRDefault="00882E31">
      <w:pPr>
        <w:pStyle w:val="BodyA"/>
      </w:pPr>
    </w:p>
    <w:p w14:paraId="75CB2D1A" w14:textId="435648E3" w:rsidR="00941BBA" w:rsidRDefault="00941BBA">
      <w:pPr>
        <w:pStyle w:val="BodyA"/>
        <w:rPr>
          <w:u w:val="single"/>
        </w:rPr>
      </w:pPr>
      <w:r>
        <w:rPr>
          <w:u w:val="single"/>
        </w:rPr>
        <w:t xml:space="preserve">SCE Commercial Stage 2 – presented by Marissa </w:t>
      </w:r>
      <w:r w:rsidRPr="00941BBA">
        <w:rPr>
          <w:u w:val="single"/>
        </w:rPr>
        <w:t>Barrera</w:t>
      </w:r>
    </w:p>
    <w:p w14:paraId="18731901" w14:textId="77777777" w:rsidR="00DC087B" w:rsidRDefault="00DC087B">
      <w:pPr>
        <w:pStyle w:val="BodyA"/>
        <w:rPr>
          <w:u w:val="single"/>
        </w:rPr>
      </w:pPr>
    </w:p>
    <w:p w14:paraId="70F7B33F" w14:textId="6037154A" w:rsidR="00DC087B" w:rsidRPr="00DC087B" w:rsidRDefault="00DC087B" w:rsidP="00DC087B">
      <w:pPr>
        <w:pStyle w:val="BodyA"/>
      </w:pPr>
      <w:r>
        <w:rPr>
          <w:b/>
        </w:rPr>
        <w:t xml:space="preserve">Question: </w:t>
      </w:r>
      <w:r w:rsidR="00942C87">
        <w:t xml:space="preserve"> How do </w:t>
      </w:r>
      <w:r>
        <w:t>the</w:t>
      </w:r>
      <w:r w:rsidR="001D791A">
        <w:t>se</w:t>
      </w:r>
      <w:r>
        <w:t xml:space="preserve"> measures play out? Are they limited to Deemed?</w:t>
      </w:r>
    </w:p>
    <w:p w14:paraId="69A46BA6" w14:textId="1049B8E0" w:rsidR="00DC087B" w:rsidRPr="0000311E" w:rsidRDefault="00DC087B" w:rsidP="00DC087B">
      <w:pPr>
        <w:pStyle w:val="BodyA"/>
      </w:pPr>
      <w:r w:rsidRPr="001E7F60">
        <w:rPr>
          <w:b/>
        </w:rPr>
        <w:t>Response:</w:t>
      </w:r>
      <w:r>
        <w:rPr>
          <w:b/>
        </w:rPr>
        <w:t xml:space="preserve"> </w:t>
      </w:r>
      <w:r w:rsidRPr="00DC087B">
        <w:t>To be</w:t>
      </w:r>
      <w:r>
        <w:t xml:space="preserve"> determined, it’s an implementation plan level discussion and some policies also need to be addressed.</w:t>
      </w:r>
    </w:p>
    <w:p w14:paraId="1292FAD5" w14:textId="77777777" w:rsidR="00DC087B" w:rsidRDefault="00DC087B">
      <w:pPr>
        <w:pStyle w:val="BodyA"/>
      </w:pPr>
    </w:p>
    <w:p w14:paraId="316348A8" w14:textId="3C389625" w:rsidR="00DC087B" w:rsidRPr="00EE321F" w:rsidRDefault="00DC087B" w:rsidP="00DC087B">
      <w:pPr>
        <w:pStyle w:val="BodyA"/>
      </w:pPr>
      <w:r>
        <w:rPr>
          <w:b/>
        </w:rPr>
        <w:lastRenderedPageBreak/>
        <w:t xml:space="preserve">Question: </w:t>
      </w:r>
      <w:r w:rsidR="00653AB9">
        <w:t xml:space="preserve">Is there going to be one metric </w:t>
      </w:r>
      <w:r w:rsidR="001D791A">
        <w:t>only?</w:t>
      </w:r>
    </w:p>
    <w:p w14:paraId="48E72594" w14:textId="2C50E6EC" w:rsidR="00DC087B" w:rsidRPr="0000311E" w:rsidRDefault="00DC087B" w:rsidP="00DC087B">
      <w:pPr>
        <w:pStyle w:val="BodyA"/>
      </w:pPr>
      <w:r w:rsidRPr="001E7F60">
        <w:rPr>
          <w:b/>
        </w:rPr>
        <w:t>Response:</w:t>
      </w:r>
      <w:r>
        <w:rPr>
          <w:b/>
        </w:rPr>
        <w:t xml:space="preserve"> </w:t>
      </w:r>
      <w:r w:rsidR="001D791A" w:rsidRPr="001D791A">
        <w:t>SCE just</w:t>
      </w:r>
      <w:r w:rsidR="001D791A">
        <w:t xml:space="preserve"> identified one metric, but yet to be determined (see metric discussion </w:t>
      </w:r>
      <w:r w:rsidR="00EA57D7">
        <w:t>later in the notes</w:t>
      </w:r>
      <w:r w:rsidR="001D791A">
        <w:t>).</w:t>
      </w:r>
    </w:p>
    <w:p w14:paraId="74746C15" w14:textId="77777777" w:rsidR="00DC087B" w:rsidRDefault="00DC087B">
      <w:pPr>
        <w:pStyle w:val="BodyA"/>
      </w:pPr>
    </w:p>
    <w:p w14:paraId="4EEA9F28" w14:textId="40DBE454" w:rsidR="00DC087B" w:rsidRDefault="00DC087B" w:rsidP="00DC087B">
      <w:pPr>
        <w:pStyle w:val="BodyA"/>
        <w:rPr>
          <w:u w:val="single"/>
        </w:rPr>
      </w:pPr>
      <w:r>
        <w:rPr>
          <w:u w:val="single"/>
        </w:rPr>
        <w:t>SCG Commercial Stage 2</w:t>
      </w:r>
      <w:r w:rsidR="00EA57D7">
        <w:rPr>
          <w:u w:val="single"/>
        </w:rPr>
        <w:t xml:space="preserve"> </w:t>
      </w:r>
      <w:r>
        <w:rPr>
          <w:u w:val="single"/>
        </w:rPr>
        <w:t>– presented by Shawn Fife</w:t>
      </w:r>
    </w:p>
    <w:p w14:paraId="19E8A723" w14:textId="77777777" w:rsidR="00DC087B" w:rsidRDefault="00DC087B" w:rsidP="00DC087B">
      <w:pPr>
        <w:pStyle w:val="BodyA"/>
        <w:rPr>
          <w:u w:val="single"/>
        </w:rPr>
      </w:pPr>
    </w:p>
    <w:p w14:paraId="0D60A8E2" w14:textId="73E90C0D" w:rsidR="00DC087B" w:rsidRPr="007955EA" w:rsidRDefault="00DC087B" w:rsidP="00DC087B">
      <w:pPr>
        <w:pStyle w:val="BodyA"/>
      </w:pPr>
      <w:r>
        <w:rPr>
          <w:b/>
        </w:rPr>
        <w:t>Question:</w:t>
      </w:r>
      <w:r w:rsidR="007955EA">
        <w:rPr>
          <w:b/>
        </w:rPr>
        <w:t xml:space="preserve"> </w:t>
      </w:r>
      <w:r w:rsidR="007955EA">
        <w:t xml:space="preserve">Noted there </w:t>
      </w:r>
      <w:r w:rsidR="001845AB">
        <w:t>were few</w:t>
      </w:r>
      <w:r w:rsidR="00EA57D7">
        <w:t xml:space="preserve"> examples of commercial ZNE, but </w:t>
      </w:r>
      <w:r w:rsidR="007955EA">
        <w:t xml:space="preserve">when google searched </w:t>
      </w:r>
      <w:r w:rsidR="00EA57D7">
        <w:t xml:space="preserve">it </w:t>
      </w:r>
      <w:r w:rsidR="007955EA">
        <w:t xml:space="preserve">showed a number </w:t>
      </w:r>
      <w:r w:rsidR="00EA57D7">
        <w:t xml:space="preserve">of examples </w:t>
      </w:r>
      <w:r w:rsidR="007955EA">
        <w:t>across the country.</w:t>
      </w:r>
      <w:r w:rsidR="00EA57D7">
        <w:t xml:space="preserve"> Including New Buildings Institute (NBI).</w:t>
      </w:r>
    </w:p>
    <w:p w14:paraId="503B9E4C" w14:textId="50AA8FB9" w:rsidR="00DC087B" w:rsidRDefault="00DC087B" w:rsidP="00DC087B">
      <w:pPr>
        <w:pStyle w:val="BodyA"/>
      </w:pPr>
      <w:r w:rsidRPr="001E7F60">
        <w:rPr>
          <w:b/>
        </w:rPr>
        <w:t>Response:</w:t>
      </w:r>
      <w:r>
        <w:rPr>
          <w:b/>
        </w:rPr>
        <w:t xml:space="preserve"> </w:t>
      </w:r>
      <w:r w:rsidR="007955EA">
        <w:t xml:space="preserve">SCG checked with NBI and noted there are a variety of categories, but yes they are working with that group to look at examples. </w:t>
      </w:r>
    </w:p>
    <w:p w14:paraId="44E5B61E" w14:textId="77777777" w:rsidR="0010583D" w:rsidRDefault="0010583D" w:rsidP="00DC087B">
      <w:pPr>
        <w:pStyle w:val="BodyA"/>
      </w:pPr>
    </w:p>
    <w:p w14:paraId="3B8869C7" w14:textId="1610C130" w:rsidR="0010583D" w:rsidRDefault="0010583D" w:rsidP="00DC087B">
      <w:pPr>
        <w:pStyle w:val="BodyA"/>
      </w:pPr>
      <w:r>
        <w:t>DISCUSSION</w:t>
      </w:r>
    </w:p>
    <w:p w14:paraId="7B4EB8B4" w14:textId="77777777" w:rsidR="0010583D" w:rsidRDefault="0010583D" w:rsidP="00DC087B">
      <w:pPr>
        <w:pStyle w:val="BodyA"/>
      </w:pPr>
    </w:p>
    <w:p w14:paraId="1BD00237" w14:textId="763F7729" w:rsidR="0010583D" w:rsidRDefault="0010583D" w:rsidP="00DC087B">
      <w:pPr>
        <w:pStyle w:val="BodyA"/>
      </w:pPr>
      <w:r>
        <w:t>Business Plan vs. Implementation Plan</w:t>
      </w:r>
    </w:p>
    <w:p w14:paraId="06A4B206" w14:textId="58AE645B" w:rsidR="0010583D" w:rsidRDefault="0010583D" w:rsidP="0010583D">
      <w:pPr>
        <w:pStyle w:val="BodyA"/>
        <w:numPr>
          <w:ilvl w:val="0"/>
          <w:numId w:val="10"/>
        </w:numPr>
      </w:pPr>
      <w:r>
        <w:t>BP</w:t>
      </w:r>
      <w:r w:rsidR="0078445D">
        <w:t>s are high level, strategic approaches to identified problems. These are filed in an application and approved by the Commission</w:t>
      </w:r>
      <w:r w:rsidR="00C22565">
        <w:t>.</w:t>
      </w:r>
      <w:r w:rsidR="0078445D">
        <w:t xml:space="preserve"> </w:t>
      </w:r>
    </w:p>
    <w:p w14:paraId="63B5FEA8" w14:textId="4A253384" w:rsidR="0010583D" w:rsidRDefault="0010583D" w:rsidP="0010583D">
      <w:pPr>
        <w:pStyle w:val="BodyA"/>
        <w:numPr>
          <w:ilvl w:val="0"/>
          <w:numId w:val="10"/>
        </w:numPr>
      </w:pPr>
      <w:r>
        <w:t>IP</w:t>
      </w:r>
      <w:r w:rsidR="0078445D">
        <w:t xml:space="preserve">s are details of HOW those strategies will </w:t>
      </w:r>
      <w:r w:rsidR="00EA57D7">
        <w:t>be accomplished.</w:t>
      </w:r>
    </w:p>
    <w:p w14:paraId="6729B524" w14:textId="336FAA53" w:rsidR="0005285F" w:rsidRDefault="00EA57D7" w:rsidP="0005285F">
      <w:pPr>
        <w:pStyle w:val="BodyA"/>
        <w:numPr>
          <w:ilvl w:val="0"/>
          <w:numId w:val="10"/>
        </w:numPr>
      </w:pPr>
      <w:r>
        <w:t>Concept being that BPs will be developed first, for approval, then the subcommittees will vet new IPs after BP approval</w:t>
      </w:r>
      <w:r w:rsidR="00C22565">
        <w:t>.</w:t>
      </w:r>
    </w:p>
    <w:p w14:paraId="42CA2A5F" w14:textId="77777777" w:rsidR="0010583D" w:rsidRDefault="0010583D" w:rsidP="000F1635">
      <w:pPr>
        <w:pStyle w:val="BodyA"/>
      </w:pPr>
    </w:p>
    <w:p w14:paraId="15F1BF2A" w14:textId="1A64E350" w:rsidR="0010583D" w:rsidRDefault="0010583D" w:rsidP="000F1635">
      <w:pPr>
        <w:pStyle w:val="BodyA"/>
      </w:pPr>
      <w:r w:rsidRPr="0010583D">
        <w:rPr>
          <w:b/>
        </w:rPr>
        <w:t>Question:</w:t>
      </w:r>
      <w:r>
        <w:t xml:space="preserve"> What needs to be uploaded in September? Are the BPs supposed to have all the new Implementation Plans uploaded?</w:t>
      </w:r>
    </w:p>
    <w:p w14:paraId="7BCB55FA" w14:textId="72418613" w:rsidR="0010583D" w:rsidRDefault="0010583D" w:rsidP="000F1635">
      <w:pPr>
        <w:pStyle w:val="BodyA"/>
      </w:pPr>
      <w:r w:rsidRPr="0010583D">
        <w:rPr>
          <w:b/>
        </w:rPr>
        <w:t>Response:</w:t>
      </w:r>
      <w:r>
        <w:t xml:space="preserve"> Unlikely the PAs will spend time on new IPs until they get approval by the CPUC for the BPs. However, they can reference/include the existing strategies that are helping </w:t>
      </w:r>
      <w:r w:rsidR="00C22565">
        <w:t>these approaches (seen a lot of “existing” programs). Can indicate the need for additional IPs in the BP. Also, still unclear how much detail they need for budgets (e.g., if it’s “commercial budget” vs. “each program in commercial budget” then don’t need the IPs). Waiting for CPUC guidance on this.</w:t>
      </w:r>
    </w:p>
    <w:p w14:paraId="5DE5F330" w14:textId="77777777" w:rsidR="0005285F" w:rsidRDefault="0005285F" w:rsidP="000F1635">
      <w:pPr>
        <w:pStyle w:val="BodyA"/>
      </w:pPr>
    </w:p>
    <w:p w14:paraId="74AAF58D" w14:textId="24CC4465" w:rsidR="009114B4" w:rsidRDefault="0005285F" w:rsidP="0005285F">
      <w:pPr>
        <w:pStyle w:val="BodyA"/>
      </w:pPr>
      <w:r w:rsidRPr="0005285F">
        <w:rPr>
          <w:b/>
        </w:rPr>
        <w:t>Response:</w:t>
      </w:r>
      <w:r>
        <w:t xml:space="preserve"> </w:t>
      </w:r>
      <w:r w:rsidR="009114B4">
        <w:t xml:space="preserve">Suggestion that the PAs include a timeline to clarify what is anticipated in 2017, 2018 and beyond. For example, to give industry a sense of when things will be bid, this timeline could indicate proposed approach. </w:t>
      </w:r>
    </w:p>
    <w:p w14:paraId="15B390F2" w14:textId="77777777" w:rsidR="009114B4" w:rsidRDefault="009114B4" w:rsidP="0005285F">
      <w:pPr>
        <w:pStyle w:val="BodyA"/>
      </w:pPr>
    </w:p>
    <w:p w14:paraId="4B689E2C" w14:textId="6F3978D8" w:rsidR="009114B4" w:rsidRPr="009114B4" w:rsidRDefault="009114B4" w:rsidP="0005285F">
      <w:pPr>
        <w:pStyle w:val="BodyA"/>
        <w:rPr>
          <w:b/>
        </w:rPr>
      </w:pPr>
      <w:r w:rsidRPr="009114B4">
        <w:rPr>
          <w:b/>
        </w:rPr>
        <w:t>Question:</w:t>
      </w:r>
      <w:r>
        <w:rPr>
          <w:b/>
        </w:rPr>
        <w:t xml:space="preserve"> </w:t>
      </w:r>
      <w:r w:rsidRPr="009114B4">
        <w:t>Ho</w:t>
      </w:r>
      <w:r>
        <w:t>w do we address the challenges with T24 updates and the impact on the portfolio. Where do we address that in the proposed timeline? This needs immediate attention, could it be include</w:t>
      </w:r>
      <w:r w:rsidR="0096048E">
        <w:t>d in the BPs?</w:t>
      </w:r>
    </w:p>
    <w:p w14:paraId="31EC6071" w14:textId="77777777" w:rsidR="0010583D" w:rsidRDefault="0010583D" w:rsidP="000F1635">
      <w:pPr>
        <w:pStyle w:val="BodyA"/>
      </w:pPr>
    </w:p>
    <w:p w14:paraId="365EA20B" w14:textId="02FE83DB" w:rsidR="0010583D" w:rsidRPr="0010583D" w:rsidRDefault="0010583D" w:rsidP="000F1635">
      <w:pPr>
        <w:pStyle w:val="BodyA"/>
      </w:pPr>
      <w:r w:rsidRPr="0010583D">
        <w:rPr>
          <w:b/>
        </w:rPr>
        <w:t>Question:</w:t>
      </w:r>
      <w:r>
        <w:rPr>
          <w:b/>
        </w:rPr>
        <w:t xml:space="preserve"> </w:t>
      </w:r>
      <w:r>
        <w:t>Appreciated barriers and strategies and existing vs. new</w:t>
      </w:r>
      <w:r w:rsidR="003E1182">
        <w:t xml:space="preserve"> approaches</w:t>
      </w:r>
      <w:r>
        <w:t xml:space="preserve">. </w:t>
      </w:r>
      <w:r w:rsidR="003E1182">
        <w:t>Have you considered w</w:t>
      </w:r>
      <w:r>
        <w:t xml:space="preserve">hether or not </w:t>
      </w:r>
      <w:r w:rsidR="003E1182">
        <w:t xml:space="preserve">the </w:t>
      </w:r>
      <w:r>
        <w:t xml:space="preserve">audits need to be changed from energy audits vs. other value to motivate. E.g., can you audit for noise reduction and then tie </w:t>
      </w:r>
      <w:r w:rsidR="003E1182">
        <w:t>EE to how to help improve that? The energy audit would be relevant for the cost-effectiveness and the other parts of the audit would be relevant for the customer.</w:t>
      </w:r>
    </w:p>
    <w:p w14:paraId="677B57CF" w14:textId="478D974A" w:rsidR="0010583D" w:rsidRDefault="0010583D" w:rsidP="000F1635">
      <w:pPr>
        <w:pStyle w:val="BodyA"/>
      </w:pPr>
      <w:r w:rsidRPr="0010583D">
        <w:rPr>
          <w:b/>
        </w:rPr>
        <w:t>Response:</w:t>
      </w:r>
      <w:r w:rsidR="00DF543A">
        <w:rPr>
          <w:b/>
        </w:rPr>
        <w:t xml:space="preserve"> </w:t>
      </w:r>
      <w:r w:rsidR="003E1182" w:rsidRPr="003E1182">
        <w:t>If PAs</w:t>
      </w:r>
      <w:r w:rsidR="003E1182">
        <w:rPr>
          <w:b/>
        </w:rPr>
        <w:t xml:space="preserve"> </w:t>
      </w:r>
      <w:r w:rsidR="003E1182">
        <w:t>agree with this idea, the c</w:t>
      </w:r>
      <w:r w:rsidR="00DF543A">
        <w:t xml:space="preserve">oncept should be in the </w:t>
      </w:r>
      <w:r w:rsidR="00A14D22">
        <w:t xml:space="preserve">strategies of the BP, but what </w:t>
      </w:r>
      <w:r w:rsidR="003E1182">
        <w:t xml:space="preserve">specifically </w:t>
      </w:r>
      <w:r w:rsidR="00A14D22">
        <w:t>goes in that audit</w:t>
      </w:r>
      <w:r w:rsidR="003E1182">
        <w:t xml:space="preserve"> would be in the IPs</w:t>
      </w:r>
      <w:r w:rsidR="00D35E98">
        <w:t>.</w:t>
      </w:r>
    </w:p>
    <w:p w14:paraId="0AB0E0A7" w14:textId="77777777" w:rsidR="00DF543A" w:rsidRDefault="00DF543A" w:rsidP="000F1635">
      <w:pPr>
        <w:pStyle w:val="BodyA"/>
      </w:pPr>
    </w:p>
    <w:p w14:paraId="3EA725C2" w14:textId="1552D7C3" w:rsidR="00DF543A" w:rsidRDefault="00DF543A" w:rsidP="000F1635">
      <w:pPr>
        <w:pStyle w:val="BodyA"/>
      </w:pPr>
      <w:r>
        <w:rPr>
          <w:b/>
        </w:rPr>
        <w:t>Question:</w:t>
      </w:r>
      <w:r>
        <w:t xml:space="preserve"> How can topics (e.g., generation for ZNE) be raised in this effort?</w:t>
      </w:r>
    </w:p>
    <w:p w14:paraId="54C7F019" w14:textId="62144E80" w:rsidR="00DF543A" w:rsidRDefault="00DF543A" w:rsidP="000F1635">
      <w:pPr>
        <w:pStyle w:val="BodyA"/>
      </w:pPr>
      <w:r w:rsidRPr="00DF543A">
        <w:rPr>
          <w:b/>
        </w:rPr>
        <w:t>Response:</w:t>
      </w:r>
      <w:r>
        <w:t xml:space="preserve"> Current rules, you can’t comingle funds but can market IDSM. Depends on what it is, but with the collisi</w:t>
      </w:r>
      <w:r w:rsidR="00D35E98">
        <w:t xml:space="preserve">on of all of these proceedings it’s hoped that all these different things </w:t>
      </w:r>
      <w:r>
        <w:t xml:space="preserve">will </w:t>
      </w:r>
      <w:r>
        <w:lastRenderedPageBreak/>
        <w:t>become rationalized.</w:t>
      </w:r>
      <w:r w:rsidR="00D35E98">
        <w:t xml:space="preserve"> The CC could raise it as an issue for consideration, but this wouldn’t necessarily be something for the BPs as there are currently other efforts. </w:t>
      </w:r>
    </w:p>
    <w:p w14:paraId="7887F582" w14:textId="77777777" w:rsidR="00A14D22" w:rsidRDefault="00A14D22" w:rsidP="000F1635">
      <w:pPr>
        <w:pStyle w:val="BodyA"/>
      </w:pPr>
    </w:p>
    <w:p w14:paraId="12E2758A" w14:textId="74C1A8B0" w:rsidR="00A14D22" w:rsidRPr="00A14D22" w:rsidRDefault="00A14D22" w:rsidP="000F1635">
      <w:pPr>
        <w:pStyle w:val="BodyA"/>
        <w:rPr>
          <w:b/>
        </w:rPr>
      </w:pPr>
      <w:r w:rsidRPr="00A14D22">
        <w:rPr>
          <w:b/>
        </w:rPr>
        <w:t>Question:</w:t>
      </w:r>
      <w:r>
        <w:rPr>
          <w:b/>
        </w:rPr>
        <w:t xml:space="preserve"> </w:t>
      </w:r>
      <w:r w:rsidRPr="00A14D22">
        <w:t xml:space="preserve">How are we getting to the difference in </w:t>
      </w:r>
      <w:r w:rsidR="0094498C">
        <w:t xml:space="preserve">what </w:t>
      </w:r>
      <w:r w:rsidRPr="00A14D22">
        <w:t>local governments</w:t>
      </w:r>
      <w:r w:rsidR="0094498C">
        <w:t xml:space="preserve"> have for incentives vs. that additional step they want to do? </w:t>
      </w:r>
      <w:r>
        <w:t>Is that implementation or BP?</w:t>
      </w:r>
    </w:p>
    <w:p w14:paraId="01BB3912" w14:textId="49EF2A47" w:rsidR="00A14D22" w:rsidRDefault="00A14D22" w:rsidP="000F1635">
      <w:pPr>
        <w:pStyle w:val="BodyA"/>
      </w:pPr>
      <w:r w:rsidRPr="00A14D22">
        <w:rPr>
          <w:b/>
        </w:rPr>
        <w:t>Response:</w:t>
      </w:r>
      <w:r>
        <w:t xml:space="preserve"> Fits in the </w:t>
      </w:r>
      <w:r w:rsidR="0094498C">
        <w:t xml:space="preserve">broader financing </w:t>
      </w:r>
      <w:r>
        <w:t>strategy (e.g., PG&amp;E #4)</w:t>
      </w:r>
      <w:r w:rsidR="0094498C">
        <w:t xml:space="preserve"> but then the specifics of that strategy would be in IP.</w:t>
      </w:r>
    </w:p>
    <w:p w14:paraId="10CB98AB" w14:textId="77777777" w:rsidR="00A14D22" w:rsidRDefault="00A14D22" w:rsidP="000F1635">
      <w:pPr>
        <w:pStyle w:val="BodyA"/>
      </w:pPr>
    </w:p>
    <w:p w14:paraId="0DB0F290" w14:textId="0A6D0BE5" w:rsidR="00A14D22" w:rsidRDefault="00A14D22" w:rsidP="000F1635">
      <w:pPr>
        <w:pStyle w:val="BodyA"/>
      </w:pPr>
      <w:r w:rsidRPr="00E50DAD">
        <w:rPr>
          <w:b/>
        </w:rPr>
        <w:t>Question:</w:t>
      </w:r>
      <w:r>
        <w:t xml:space="preserve"> </w:t>
      </w:r>
      <w:r w:rsidR="00310A3A">
        <w:t xml:space="preserve">How do these relate to </w:t>
      </w:r>
      <w:r>
        <w:t>AB 758/Strategic plan</w:t>
      </w:r>
      <w:r w:rsidR="00D30593">
        <w:t>? How do the PA strategies track with those documents?</w:t>
      </w:r>
      <w:r w:rsidR="00310A3A">
        <w:t xml:space="preserve"> Maybe these proposals align well, but many folks don’t know so should have a bridge to be clear.</w:t>
      </w:r>
    </w:p>
    <w:p w14:paraId="58562C3E" w14:textId="6AA783A1" w:rsidR="00A14D22" w:rsidRDefault="00A14D22" w:rsidP="000F1635">
      <w:pPr>
        <w:pStyle w:val="BodyA"/>
      </w:pPr>
      <w:r w:rsidRPr="00E50DAD">
        <w:rPr>
          <w:b/>
        </w:rPr>
        <w:t>Response:</w:t>
      </w:r>
      <w:r w:rsidR="00D30593">
        <w:t xml:space="preserve"> Happy to note it</w:t>
      </w:r>
      <w:r w:rsidR="003D5F5C">
        <w:t xml:space="preserve"> in the BP</w:t>
      </w:r>
      <w:r w:rsidR="00D30593">
        <w:t xml:space="preserve">, but </w:t>
      </w:r>
      <w:r w:rsidR="003D5F5C">
        <w:t xml:space="preserve">PAs </w:t>
      </w:r>
      <w:r w:rsidR="00D30593">
        <w:t xml:space="preserve">want to be clear what exactly we’re talking about so there’s not duplication and the information is relevant. </w:t>
      </w:r>
    </w:p>
    <w:p w14:paraId="0B9F2A92" w14:textId="77777777" w:rsidR="00A14D22" w:rsidRDefault="00A14D22" w:rsidP="000F1635">
      <w:pPr>
        <w:pStyle w:val="BodyA"/>
      </w:pPr>
    </w:p>
    <w:p w14:paraId="107FD92E" w14:textId="3771A5A2" w:rsidR="00A14D22" w:rsidRDefault="00A14D22" w:rsidP="000F1635">
      <w:pPr>
        <w:pStyle w:val="BodyA"/>
      </w:pPr>
      <w:r w:rsidRPr="00E50DAD">
        <w:rPr>
          <w:b/>
        </w:rPr>
        <w:t>Question:</w:t>
      </w:r>
      <w:r>
        <w:t xml:space="preserve"> </w:t>
      </w:r>
      <w:r w:rsidR="00D30593">
        <w:t xml:space="preserve">Can you elaborate </w:t>
      </w:r>
      <w:r>
        <w:t xml:space="preserve">on </w:t>
      </w:r>
      <w:r w:rsidR="003D5F5C">
        <w:t xml:space="preserve">the </w:t>
      </w:r>
      <w:r>
        <w:t>code readiness concept</w:t>
      </w:r>
      <w:r w:rsidR="00D30593">
        <w:t>?</w:t>
      </w:r>
    </w:p>
    <w:p w14:paraId="13BB77D4" w14:textId="2E3680FC" w:rsidR="00A14D22" w:rsidRDefault="00A14D22" w:rsidP="000F1635">
      <w:pPr>
        <w:pStyle w:val="BodyA"/>
      </w:pPr>
      <w:r w:rsidRPr="00E50DAD">
        <w:rPr>
          <w:b/>
        </w:rPr>
        <w:t>Response:</w:t>
      </w:r>
      <w:r w:rsidR="00E8646B">
        <w:t xml:space="preserve"> PG&amp;E referenced</w:t>
      </w:r>
      <w:r w:rsidR="00E50DAD">
        <w:t xml:space="preserve"> their last page of the draft document (timeline). </w:t>
      </w:r>
      <w:r w:rsidR="0078445D">
        <w:t xml:space="preserve">There are pilots </w:t>
      </w:r>
      <w:r w:rsidR="00E8646B">
        <w:t>in process to get customers ready for the next code</w:t>
      </w:r>
      <w:r w:rsidR="0078445D">
        <w:t>. Need to get the market/customers prepared for the updated codes so there is less stranded potential moving forward.</w:t>
      </w:r>
    </w:p>
    <w:p w14:paraId="45787409" w14:textId="77777777" w:rsidR="00A14D22" w:rsidRDefault="00A14D22" w:rsidP="000F1635">
      <w:pPr>
        <w:pStyle w:val="BodyA"/>
      </w:pPr>
    </w:p>
    <w:p w14:paraId="107E3949" w14:textId="7BFF1F41" w:rsidR="00A14D22" w:rsidRPr="003E1556" w:rsidRDefault="00A14D22" w:rsidP="000F1635">
      <w:pPr>
        <w:pStyle w:val="BodyA"/>
      </w:pPr>
      <w:r w:rsidRPr="0078445D">
        <w:rPr>
          <w:b/>
        </w:rPr>
        <w:t>Question:</w:t>
      </w:r>
      <w:r w:rsidR="003E1556">
        <w:rPr>
          <w:b/>
        </w:rPr>
        <w:t xml:space="preserve"> </w:t>
      </w:r>
      <w:r w:rsidR="003E1556">
        <w:t>For the PAs, looking forward to IDERs. How can these business plans reflect that it is coming? And the need to be prepared with integration and procurement approaches?</w:t>
      </w:r>
      <w:r w:rsidR="00CA504F">
        <w:t xml:space="preserve"> Current approach is to bid incremental to the portfolio</w:t>
      </w:r>
      <w:r w:rsidR="002D1AA0">
        <w:t>, what about a more systematic procurement approach?</w:t>
      </w:r>
    </w:p>
    <w:p w14:paraId="0D278F3D" w14:textId="44B56482" w:rsidR="00DC087B" w:rsidRDefault="0078445D" w:rsidP="000F1635">
      <w:pPr>
        <w:pStyle w:val="BodyA"/>
      </w:pPr>
      <w:r w:rsidRPr="00E50DAD">
        <w:rPr>
          <w:b/>
        </w:rPr>
        <w:t>Response:</w:t>
      </w:r>
      <w:r>
        <w:t xml:space="preserve"> </w:t>
      </w:r>
      <w:r w:rsidR="00CA504F">
        <w:t xml:space="preserve">Interested in looking at this. Need some policy issues </w:t>
      </w:r>
      <w:r w:rsidR="00086D18">
        <w:t xml:space="preserve">addressed prior to addressing some of these potential approaches </w:t>
      </w:r>
      <w:r w:rsidR="00CA504F">
        <w:t xml:space="preserve">(e.g., </w:t>
      </w:r>
      <w:r w:rsidR="00086D18">
        <w:t>what is incremental and how are these efforts being measured, etc.</w:t>
      </w:r>
      <w:r w:rsidR="00CA504F">
        <w:t xml:space="preserve">). </w:t>
      </w:r>
    </w:p>
    <w:p w14:paraId="17FA432A" w14:textId="77777777" w:rsidR="000F1635" w:rsidRDefault="000F1635" w:rsidP="000F1635">
      <w:pPr>
        <w:pStyle w:val="BodyA"/>
      </w:pPr>
    </w:p>
    <w:p w14:paraId="76EF4FE3" w14:textId="0BED019F" w:rsidR="000F1635" w:rsidRDefault="000F1635" w:rsidP="000F1635">
      <w:pPr>
        <w:pStyle w:val="BodyA"/>
      </w:pPr>
      <w:r w:rsidRPr="000F1635">
        <w:rPr>
          <w:b/>
        </w:rPr>
        <w:t>Question:</w:t>
      </w:r>
      <w:r>
        <w:t xml:space="preserve"> Can we consider a contingency budget approach? </w:t>
      </w:r>
      <w:r w:rsidR="00C52E37">
        <w:t>Meaning, can we have part of the budget for things that are approved and</w:t>
      </w:r>
      <w:r w:rsidR="00EB5802">
        <w:t xml:space="preserve"> so those can</w:t>
      </w:r>
      <w:r w:rsidR="00C52E37">
        <w:t xml:space="preserve"> go forward while also having a separate path for those programs that are not yet approved. </w:t>
      </w:r>
    </w:p>
    <w:p w14:paraId="0C14AF34" w14:textId="735790B2" w:rsidR="000F1635" w:rsidRDefault="000F1635" w:rsidP="000F1635">
      <w:pPr>
        <w:pStyle w:val="BodyA"/>
      </w:pPr>
      <w:r w:rsidRPr="000F1635">
        <w:rPr>
          <w:b/>
        </w:rPr>
        <w:t>Answer:</w:t>
      </w:r>
      <w:r>
        <w:rPr>
          <w:b/>
        </w:rPr>
        <w:t xml:space="preserve"> </w:t>
      </w:r>
      <w:r w:rsidR="00C52E37" w:rsidRPr="00C52E37">
        <w:t>TBD</w:t>
      </w:r>
      <w:r w:rsidR="00EB5802">
        <w:t>. This is a CPUC question. Can explore it with ED, but can’t do much about it here.</w:t>
      </w:r>
    </w:p>
    <w:p w14:paraId="014B13A0" w14:textId="77777777" w:rsidR="00F848CF" w:rsidRDefault="00F848CF" w:rsidP="000F1635">
      <w:pPr>
        <w:pStyle w:val="BodyA"/>
      </w:pPr>
    </w:p>
    <w:p w14:paraId="5A96A5A9" w14:textId="56A03323" w:rsidR="00F848CF" w:rsidRDefault="00F848CF" w:rsidP="000F1635">
      <w:pPr>
        <w:pStyle w:val="BodyA"/>
      </w:pPr>
      <w:r w:rsidRPr="00F848CF">
        <w:rPr>
          <w:b/>
        </w:rPr>
        <w:t>Question:</w:t>
      </w:r>
      <w:r>
        <w:rPr>
          <w:b/>
        </w:rPr>
        <w:t xml:space="preserve"> </w:t>
      </w:r>
      <w:r>
        <w:t>Thoughts from the utilities on how to provide more data to vendors to better be able</w:t>
      </w:r>
      <w:r w:rsidR="0070720F">
        <w:t xml:space="preserve"> target the locational approach? How can vendors who are not specific 3</w:t>
      </w:r>
      <w:r w:rsidR="0070720F" w:rsidRPr="00D476C2">
        <w:rPr>
          <w:vertAlign w:val="superscript"/>
        </w:rPr>
        <w:t>rd</w:t>
      </w:r>
      <w:r w:rsidR="0070720F">
        <w:t xml:space="preserve"> party vendors get access to that information. Not necessarily for right now, but suggest to look forward to that approach as the new realm. </w:t>
      </w:r>
    </w:p>
    <w:p w14:paraId="4743185E" w14:textId="6F43647B" w:rsidR="00D476C2" w:rsidRDefault="00F848CF" w:rsidP="000F1635">
      <w:pPr>
        <w:pStyle w:val="BodyA"/>
      </w:pPr>
      <w:r w:rsidRPr="00F848CF">
        <w:rPr>
          <w:b/>
        </w:rPr>
        <w:t>Response:</w:t>
      </w:r>
      <w:r>
        <w:rPr>
          <w:b/>
        </w:rPr>
        <w:t xml:space="preserve"> </w:t>
      </w:r>
      <w:r w:rsidR="0070720F" w:rsidRPr="0070720F">
        <w:t>Currently,</w:t>
      </w:r>
      <w:r w:rsidR="0070720F">
        <w:rPr>
          <w:b/>
        </w:rPr>
        <w:t xml:space="preserve"> </w:t>
      </w:r>
      <w:r w:rsidR="0070720F">
        <w:t xml:space="preserve">implementers who are vendors are allotted access to data. What about for those who are not vendors, b/c they are looking at more procurement options. </w:t>
      </w:r>
      <w:r>
        <w:t xml:space="preserve">Local governments have access to some of that data. </w:t>
      </w:r>
      <w:r w:rsidR="00D476C2">
        <w:t>Need security</w:t>
      </w:r>
      <w:r w:rsidR="0070720F">
        <w:t xml:space="preserve">/privacy </w:t>
      </w:r>
      <w:r w:rsidR="00D476C2">
        <w:t xml:space="preserve">protocols to have a certain level of access. </w:t>
      </w:r>
    </w:p>
    <w:p w14:paraId="55E17D58" w14:textId="77777777" w:rsidR="00D476C2" w:rsidRDefault="00D476C2" w:rsidP="000F1635">
      <w:pPr>
        <w:pStyle w:val="BodyA"/>
      </w:pPr>
    </w:p>
    <w:p w14:paraId="46926EC3" w14:textId="572CCA84" w:rsidR="00D476C2" w:rsidRDefault="00D476C2" w:rsidP="000F1635">
      <w:pPr>
        <w:pStyle w:val="BodyA"/>
      </w:pPr>
      <w:r w:rsidRPr="00D476C2">
        <w:rPr>
          <w:b/>
        </w:rPr>
        <w:t>Question:</w:t>
      </w:r>
      <w:r>
        <w:t xml:space="preserve"> Now that there are reorientation</w:t>
      </w:r>
      <w:r w:rsidR="007D1828">
        <w:t>s</w:t>
      </w:r>
      <w:r>
        <w:t xml:space="preserve"> toward going to the customer, whole portfolio options, etc.</w:t>
      </w:r>
      <w:r w:rsidR="007D1828">
        <w:t>,</w:t>
      </w:r>
      <w:r w:rsidR="00CF3EBD">
        <w:t xml:space="preserve"> </w:t>
      </w:r>
      <w:r w:rsidR="007D1828">
        <w:t>there is an implication to help early commercialization</w:t>
      </w:r>
      <w:r w:rsidR="00CF3EBD">
        <w:t xml:space="preserve"> (e.g., those types of programs that </w:t>
      </w:r>
      <w:r w:rsidR="007D1828">
        <w:t xml:space="preserve">. </w:t>
      </w:r>
      <w:r>
        <w:t>Does that hurt or help the process to the com</w:t>
      </w:r>
      <w:r w:rsidR="001F2B15">
        <w:t>mer</w:t>
      </w:r>
      <w:r>
        <w:t>c</w:t>
      </w:r>
      <w:r w:rsidR="001F2B15">
        <w:t>i</w:t>
      </w:r>
      <w:r>
        <w:t>alization?</w:t>
      </w:r>
      <w:r w:rsidR="001F2B15">
        <w:t xml:space="preserve"> Beyond </w:t>
      </w:r>
    </w:p>
    <w:p w14:paraId="383C8564" w14:textId="6CB32EB7" w:rsidR="00F848CF" w:rsidRDefault="00D476C2" w:rsidP="000F1635">
      <w:pPr>
        <w:pStyle w:val="BodyA"/>
        <w:rPr>
          <w:b/>
        </w:rPr>
      </w:pPr>
      <w:r w:rsidRPr="00D476C2">
        <w:rPr>
          <w:b/>
        </w:rPr>
        <w:t xml:space="preserve">Response: </w:t>
      </w:r>
      <w:r w:rsidR="001F2B15">
        <w:t>No answer at the moment, but agree it is something to look at.</w:t>
      </w:r>
      <w:r w:rsidR="00F848CF" w:rsidRPr="00D476C2">
        <w:rPr>
          <w:b/>
        </w:rPr>
        <w:t xml:space="preserve"> </w:t>
      </w:r>
      <w:r w:rsidR="000B14B7" w:rsidRPr="000B14B7">
        <w:t>Suggestion</w:t>
      </w:r>
      <w:r w:rsidR="000B14B7">
        <w:t xml:space="preserve"> to work with other sectors and ET x-cutting to ensure this question is addressed where appropriate. </w:t>
      </w:r>
    </w:p>
    <w:p w14:paraId="42F75982" w14:textId="77777777" w:rsidR="00520D5C" w:rsidRDefault="00520D5C" w:rsidP="000F1635">
      <w:pPr>
        <w:pStyle w:val="BodyA"/>
        <w:rPr>
          <w:b/>
        </w:rPr>
      </w:pPr>
    </w:p>
    <w:p w14:paraId="29268315" w14:textId="609C7B70" w:rsidR="00894437" w:rsidRDefault="00894437" w:rsidP="000F1635">
      <w:pPr>
        <w:pStyle w:val="BodyA"/>
      </w:pPr>
      <w:r>
        <w:rPr>
          <w:b/>
        </w:rPr>
        <w:lastRenderedPageBreak/>
        <w:t xml:space="preserve">Question: </w:t>
      </w:r>
      <w:r>
        <w:t>List of potential partners, but what exactly do you mean?</w:t>
      </w:r>
      <w:r w:rsidR="001A729E">
        <w:t xml:space="preserve"> What will you be doing with them?</w:t>
      </w:r>
    </w:p>
    <w:p w14:paraId="61E3AB99" w14:textId="01A23976" w:rsidR="00894437" w:rsidRDefault="00894437" w:rsidP="000F1635">
      <w:pPr>
        <w:pStyle w:val="BodyA"/>
      </w:pPr>
      <w:r w:rsidRPr="00894437">
        <w:rPr>
          <w:b/>
        </w:rPr>
        <w:t>Response:</w:t>
      </w:r>
      <w:r>
        <w:t xml:space="preserve"> Could say a bit more on how these partners would be integral to the process in the BP,</w:t>
      </w:r>
      <w:r w:rsidR="001A729E">
        <w:t xml:space="preserve"> such as creating partnerships and leveraging existing folks on the group. However, the </w:t>
      </w:r>
      <w:r>
        <w:t>specifics of WHAT they would do would be more described in IPs.</w:t>
      </w:r>
    </w:p>
    <w:p w14:paraId="0B96F3DD" w14:textId="763AF99A" w:rsidR="00894437" w:rsidRPr="00894437" w:rsidRDefault="00894437" w:rsidP="000F1635">
      <w:pPr>
        <w:pStyle w:val="BodyA"/>
        <w:rPr>
          <w:b/>
        </w:rPr>
      </w:pPr>
      <w:r w:rsidRPr="00894437">
        <w:rPr>
          <w:b/>
        </w:rPr>
        <w:t xml:space="preserve"> </w:t>
      </w:r>
    </w:p>
    <w:p w14:paraId="2631A80B" w14:textId="57708E89" w:rsidR="00520D5C" w:rsidRDefault="00520D5C" w:rsidP="000F1635">
      <w:pPr>
        <w:pStyle w:val="BodyA"/>
      </w:pPr>
      <w:r>
        <w:rPr>
          <w:b/>
        </w:rPr>
        <w:t>Question:</w:t>
      </w:r>
      <w:r>
        <w:t xml:space="preserve"> </w:t>
      </w:r>
      <w:r w:rsidR="0096048E">
        <w:t>Should get on the same page about what metrics, how many, at what level. The decision notes some, but what are the PAs planning to do?</w:t>
      </w:r>
    </w:p>
    <w:p w14:paraId="68DDC3D7" w14:textId="77777777" w:rsidR="0096048E" w:rsidRDefault="00520D5C" w:rsidP="008D0B1C">
      <w:pPr>
        <w:pStyle w:val="BodyA"/>
      </w:pPr>
      <w:r w:rsidRPr="00520D5C">
        <w:rPr>
          <w:b/>
        </w:rPr>
        <w:t>Response:</w:t>
      </w:r>
      <w:r w:rsidR="00025B7F">
        <w:rPr>
          <w:b/>
        </w:rPr>
        <w:t xml:space="preserve"> </w:t>
      </w:r>
      <w:r w:rsidR="0096048E">
        <w:t xml:space="preserve">Not </w:t>
      </w:r>
      <w:r w:rsidR="00025B7F">
        <w:t>a one size fits all</w:t>
      </w:r>
      <w:r w:rsidR="0096048E">
        <w:t xml:space="preserve">, but citations in D.15-10-028. </w:t>
      </w:r>
    </w:p>
    <w:p w14:paraId="4A12D108" w14:textId="77777777" w:rsidR="0096048E" w:rsidRDefault="008D0B1C" w:rsidP="008D0B1C">
      <w:pPr>
        <w:pStyle w:val="BodyA"/>
        <w:numPr>
          <w:ilvl w:val="0"/>
          <w:numId w:val="11"/>
        </w:numPr>
      </w:pPr>
      <w:r>
        <w:t>p.47 D.15-10-028: “</w:t>
      </w:r>
      <w:r w:rsidRPr="008D0B1C">
        <w:t>Portfolio and sector level m</w:t>
      </w:r>
      <w:r>
        <w:t xml:space="preserve">etrics for regulatory oversight </w:t>
      </w:r>
      <w:r w:rsidRPr="008D0B1C">
        <w:t>(gWh, MW, therms, cost-effectiveness, and other metrics</w:t>
      </w:r>
      <w:r>
        <w:t xml:space="preserve"> </w:t>
      </w:r>
      <w:r w:rsidRPr="008D0B1C">
        <w:t>where applicable), including performance metrics for nonresource</w:t>
      </w:r>
      <w:r>
        <w:t xml:space="preserve"> </w:t>
      </w:r>
      <w:r w:rsidRPr="008D0B1C">
        <w:t>programs;</w:t>
      </w:r>
    </w:p>
    <w:p w14:paraId="4AA09E40" w14:textId="77777777" w:rsidR="0096048E" w:rsidRDefault="008D0B1C" w:rsidP="00B653E0">
      <w:pPr>
        <w:pStyle w:val="BodyA"/>
        <w:numPr>
          <w:ilvl w:val="0"/>
          <w:numId w:val="11"/>
        </w:numPr>
      </w:pPr>
      <w:r>
        <w:t>p.48 D.15-10-028: “</w:t>
      </w:r>
      <w:r w:rsidRPr="008D0B1C">
        <w:t>Separate milestones wit</w:t>
      </w:r>
      <w:r>
        <w:t xml:space="preserve">h associated timelines to track </w:t>
      </w:r>
      <w:r w:rsidRPr="008D0B1C">
        <w:t>PA programs in a sector, that are not formally reported</w:t>
      </w:r>
      <w:r>
        <w:t>.”</w:t>
      </w:r>
    </w:p>
    <w:p w14:paraId="31E93AC8" w14:textId="08B555C3" w:rsidR="00B653E0" w:rsidRDefault="00B653E0" w:rsidP="00B653E0">
      <w:pPr>
        <w:pStyle w:val="BodyA"/>
        <w:numPr>
          <w:ilvl w:val="0"/>
          <w:numId w:val="11"/>
        </w:numPr>
      </w:pPr>
      <w:r>
        <w:t>p.53 D.15-10-028: “</w:t>
      </w:r>
      <w:r w:rsidRPr="00B653E0">
        <w:t>PAs must establish up-front expectations for their activities. To that end,</w:t>
      </w:r>
      <w:r w:rsidR="0096048E">
        <w:t xml:space="preserve"> </w:t>
      </w:r>
      <w:r w:rsidRPr="00B653E0">
        <w:t>business plans shall contain sector-level metrics (not necessarily PPMs or MTIs).</w:t>
      </w:r>
      <w:r>
        <w:t>”</w:t>
      </w:r>
    </w:p>
    <w:p w14:paraId="3CD70377" w14:textId="010F376E" w:rsidR="00D215A6" w:rsidRDefault="00D215A6" w:rsidP="00D215A6">
      <w:pPr>
        <w:pStyle w:val="BodyA"/>
        <w:numPr>
          <w:ilvl w:val="0"/>
          <w:numId w:val="11"/>
        </w:numPr>
      </w:pPr>
      <w:r>
        <w:t>p.53 D.15-10-028: “</w:t>
      </w:r>
      <w:r w:rsidRPr="00D215A6">
        <w:t>PAs will still need to set more granular metrics than just sector-level</w:t>
      </w:r>
      <w:r>
        <w:t xml:space="preserve"> </w:t>
      </w:r>
      <w:r w:rsidRPr="00D215A6">
        <w:t>metrics, but they will do so in implementation plans, not business plans. It is in</w:t>
      </w:r>
      <w:r>
        <w:t xml:space="preserve"> </w:t>
      </w:r>
      <w:r w:rsidRPr="00D215A6">
        <w:t xml:space="preserve">the implementation plans that we want to see </w:t>
      </w:r>
      <w:r w:rsidRPr="00D215A6">
        <w:rPr>
          <w:i/>
          <w:iCs/>
        </w:rPr>
        <w:t xml:space="preserve">at least </w:t>
      </w:r>
      <w:r w:rsidRPr="00D215A6">
        <w:t>one metric for each</w:t>
      </w:r>
      <w:r>
        <w:t xml:space="preserve"> </w:t>
      </w:r>
      <w:r w:rsidRPr="00D215A6">
        <w:t>program/strategy/sub-sector/intervention strategy; more than one where</w:t>
      </w:r>
      <w:r>
        <w:t xml:space="preserve"> </w:t>
      </w:r>
      <w:r w:rsidRPr="00D215A6">
        <w:t>appropriate. The business plan is not the place for that additional level of detail.</w:t>
      </w:r>
      <w:r>
        <w:t>”</w:t>
      </w:r>
    </w:p>
    <w:p w14:paraId="202AEC49" w14:textId="77777777" w:rsidR="007D1828" w:rsidRDefault="007D1828" w:rsidP="000F1635">
      <w:pPr>
        <w:pStyle w:val="BodyA"/>
      </w:pPr>
    </w:p>
    <w:sectPr w:rsidR="007D18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CAE1E" w14:textId="77777777" w:rsidR="00EF2662" w:rsidRDefault="00EF2662">
      <w:r>
        <w:separator/>
      </w:r>
    </w:p>
  </w:endnote>
  <w:endnote w:type="continuationSeparator" w:id="0">
    <w:p w14:paraId="2C626B89" w14:textId="77777777" w:rsidR="00EF2662" w:rsidRDefault="00EF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E88990"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E1F6" w14:textId="77777777" w:rsidR="00B61EEE" w:rsidRDefault="00B61EEE" w:rsidP="002F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2211" w14:textId="77777777" w:rsidR="00B61EEE" w:rsidRDefault="00B61EEE" w:rsidP="00673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3A4">
      <w:rPr>
        <w:rStyle w:val="PageNumber"/>
        <w:noProof/>
      </w:rPr>
      <w:t>5</w:t>
    </w:r>
    <w:r>
      <w:rPr>
        <w:rStyle w:val="PageNumber"/>
      </w:rPr>
      <w:fldChar w:fldCharType="end"/>
    </w:r>
  </w:p>
  <w:p w14:paraId="42FA3923" w14:textId="77777777" w:rsidR="00B61EEE" w:rsidRDefault="00B61EEE" w:rsidP="002F00C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FC7F5" w14:textId="77777777" w:rsidR="00B61EEE" w:rsidRDefault="00B6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74BA" w14:textId="77777777" w:rsidR="00EF2662" w:rsidRDefault="00EF2662">
      <w:r>
        <w:separator/>
      </w:r>
    </w:p>
  </w:footnote>
  <w:footnote w:type="continuationSeparator" w:id="0">
    <w:p w14:paraId="1CF70678" w14:textId="77777777" w:rsidR="00EF2662" w:rsidRDefault="00EF26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A4A07E" w14:textId="4C68CABF" w:rsidR="00B61EEE" w:rsidRDefault="00EF2662">
    <w:pPr>
      <w:pStyle w:val="Header"/>
    </w:pPr>
    <w:r>
      <w:rPr>
        <w:noProof/>
      </w:rPr>
      <w:pict w14:anchorId="66D31F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62707" w14:textId="30D11C6C" w:rsidR="00B61EEE" w:rsidRDefault="00EF2662">
    <w:pPr>
      <w:pStyle w:val="HeaderFooter"/>
    </w:pPr>
    <w:r>
      <w:rPr>
        <w:noProof/>
      </w:rPr>
      <w:pict w14:anchorId="099B95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0DF981" w14:textId="20B830A3" w:rsidR="00B61EEE" w:rsidRDefault="00EF2662">
    <w:pPr>
      <w:pStyle w:val="Header"/>
    </w:pPr>
    <w:r>
      <w:rPr>
        <w:noProof/>
      </w:rPr>
      <w:pict w14:anchorId="010B1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354 4154 104 4362 35 4673 623 5815 623 15785 104 16927 35 17238 20562 17238 20596 17238 20458 16823 19973 15785 19938 7477 21358 7477 21531 7269 21531 4362 11631 4154 11354 41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9AD"/>
    <w:multiLevelType w:val="hybridMultilevel"/>
    <w:tmpl w:val="DEA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AE7"/>
    <w:multiLevelType w:val="hybridMultilevel"/>
    <w:tmpl w:val="441E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F56"/>
    <w:multiLevelType w:val="hybridMultilevel"/>
    <w:tmpl w:val="DB6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571"/>
    <w:multiLevelType w:val="hybridMultilevel"/>
    <w:tmpl w:val="EBF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F1CB1"/>
    <w:multiLevelType w:val="hybridMultilevel"/>
    <w:tmpl w:val="EFB0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4493"/>
    <w:multiLevelType w:val="hybridMultilevel"/>
    <w:tmpl w:val="FC2A8102"/>
    <w:styleLink w:val="Bullets"/>
    <w:lvl w:ilvl="0" w:tplc="AF84CD6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0120C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1E60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F50B8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D62CF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16A81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800B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5D24A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3848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59E7860"/>
    <w:multiLevelType w:val="hybridMultilevel"/>
    <w:tmpl w:val="8B92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87464"/>
    <w:multiLevelType w:val="hybridMultilevel"/>
    <w:tmpl w:val="C0B6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E1FEE"/>
    <w:multiLevelType w:val="hybridMultilevel"/>
    <w:tmpl w:val="FC2A8102"/>
    <w:numStyleLink w:val="Bullets"/>
  </w:abstractNum>
  <w:abstractNum w:abstractNumId="9">
    <w:nsid w:val="6DA06001"/>
    <w:multiLevelType w:val="hybridMultilevel"/>
    <w:tmpl w:val="96E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0EA"/>
    <w:multiLevelType w:val="hybridMultilevel"/>
    <w:tmpl w:val="406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6"/>
  </w:num>
  <w:num w:numId="6">
    <w:abstractNumId w:val="2"/>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F"/>
    <w:rsid w:val="0000311E"/>
    <w:rsid w:val="000038FF"/>
    <w:rsid w:val="000076C9"/>
    <w:rsid w:val="0001307B"/>
    <w:rsid w:val="00025B7F"/>
    <w:rsid w:val="00040CA3"/>
    <w:rsid w:val="00041909"/>
    <w:rsid w:val="0005285F"/>
    <w:rsid w:val="00052FCA"/>
    <w:rsid w:val="00057AAA"/>
    <w:rsid w:val="00063744"/>
    <w:rsid w:val="000658A0"/>
    <w:rsid w:val="00086D18"/>
    <w:rsid w:val="000B14B7"/>
    <w:rsid w:val="000B34EC"/>
    <w:rsid w:val="000D00AB"/>
    <w:rsid w:val="000D1132"/>
    <w:rsid w:val="000D43A4"/>
    <w:rsid w:val="000E20E2"/>
    <w:rsid w:val="000E5B56"/>
    <w:rsid w:val="000F1635"/>
    <w:rsid w:val="000F708F"/>
    <w:rsid w:val="000F7EE0"/>
    <w:rsid w:val="0010583D"/>
    <w:rsid w:val="00152DF9"/>
    <w:rsid w:val="001700E5"/>
    <w:rsid w:val="001845AB"/>
    <w:rsid w:val="00184D4C"/>
    <w:rsid w:val="001A729E"/>
    <w:rsid w:val="001B6EBC"/>
    <w:rsid w:val="001C554A"/>
    <w:rsid w:val="001D791A"/>
    <w:rsid w:val="001E7F60"/>
    <w:rsid w:val="001F2B15"/>
    <w:rsid w:val="00203382"/>
    <w:rsid w:val="0020794A"/>
    <w:rsid w:val="00210BF9"/>
    <w:rsid w:val="002248E0"/>
    <w:rsid w:val="0023645E"/>
    <w:rsid w:val="0027187C"/>
    <w:rsid w:val="0028016D"/>
    <w:rsid w:val="002825BD"/>
    <w:rsid w:val="00285DBD"/>
    <w:rsid w:val="002A3C05"/>
    <w:rsid w:val="002A6C80"/>
    <w:rsid w:val="002A74FC"/>
    <w:rsid w:val="002B5A2B"/>
    <w:rsid w:val="002C6529"/>
    <w:rsid w:val="002D0F69"/>
    <w:rsid w:val="002D1AA0"/>
    <w:rsid w:val="002F00C0"/>
    <w:rsid w:val="00306CB4"/>
    <w:rsid w:val="00310A3A"/>
    <w:rsid w:val="0032559D"/>
    <w:rsid w:val="00332001"/>
    <w:rsid w:val="00341B3D"/>
    <w:rsid w:val="00343BDB"/>
    <w:rsid w:val="003D5F5C"/>
    <w:rsid w:val="003E1182"/>
    <w:rsid w:val="003E1556"/>
    <w:rsid w:val="003E2525"/>
    <w:rsid w:val="003F0D56"/>
    <w:rsid w:val="00403F15"/>
    <w:rsid w:val="00463140"/>
    <w:rsid w:val="00471A1C"/>
    <w:rsid w:val="004735FA"/>
    <w:rsid w:val="004A2F36"/>
    <w:rsid w:val="004D6385"/>
    <w:rsid w:val="004E2D0B"/>
    <w:rsid w:val="004E7876"/>
    <w:rsid w:val="00502464"/>
    <w:rsid w:val="00520D5C"/>
    <w:rsid w:val="00543501"/>
    <w:rsid w:val="00554AAD"/>
    <w:rsid w:val="0056015D"/>
    <w:rsid w:val="00563D76"/>
    <w:rsid w:val="005761C0"/>
    <w:rsid w:val="005A6B96"/>
    <w:rsid w:val="005C0238"/>
    <w:rsid w:val="005C0782"/>
    <w:rsid w:val="005C263F"/>
    <w:rsid w:val="005D1B07"/>
    <w:rsid w:val="0061563B"/>
    <w:rsid w:val="006217AC"/>
    <w:rsid w:val="00636639"/>
    <w:rsid w:val="0065291A"/>
    <w:rsid w:val="00653AB9"/>
    <w:rsid w:val="00673705"/>
    <w:rsid w:val="00687C81"/>
    <w:rsid w:val="006C3205"/>
    <w:rsid w:val="006C644B"/>
    <w:rsid w:val="0070640B"/>
    <w:rsid w:val="0070720F"/>
    <w:rsid w:val="007610A4"/>
    <w:rsid w:val="00767FFE"/>
    <w:rsid w:val="00781333"/>
    <w:rsid w:val="007820B3"/>
    <w:rsid w:val="00783A0F"/>
    <w:rsid w:val="0078445D"/>
    <w:rsid w:val="007955EA"/>
    <w:rsid w:val="0079645E"/>
    <w:rsid w:val="007D1828"/>
    <w:rsid w:val="00804E3B"/>
    <w:rsid w:val="008613A7"/>
    <w:rsid w:val="008636AC"/>
    <w:rsid w:val="00882E31"/>
    <w:rsid w:val="008836A3"/>
    <w:rsid w:val="00894437"/>
    <w:rsid w:val="00895333"/>
    <w:rsid w:val="0089649E"/>
    <w:rsid w:val="008A4BBF"/>
    <w:rsid w:val="008C5807"/>
    <w:rsid w:val="008D0B1C"/>
    <w:rsid w:val="008E40DD"/>
    <w:rsid w:val="009079DE"/>
    <w:rsid w:val="009114B4"/>
    <w:rsid w:val="0091227B"/>
    <w:rsid w:val="009131B7"/>
    <w:rsid w:val="00920CC8"/>
    <w:rsid w:val="00922A50"/>
    <w:rsid w:val="00922A93"/>
    <w:rsid w:val="009238CA"/>
    <w:rsid w:val="00941BBA"/>
    <w:rsid w:val="00942C87"/>
    <w:rsid w:val="0094345F"/>
    <w:rsid w:val="0094498C"/>
    <w:rsid w:val="0096048E"/>
    <w:rsid w:val="00967FCD"/>
    <w:rsid w:val="00983FFC"/>
    <w:rsid w:val="0098401A"/>
    <w:rsid w:val="00A14D22"/>
    <w:rsid w:val="00A314C4"/>
    <w:rsid w:val="00A715F7"/>
    <w:rsid w:val="00A7652F"/>
    <w:rsid w:val="00AA7B8D"/>
    <w:rsid w:val="00AB1302"/>
    <w:rsid w:val="00AB6514"/>
    <w:rsid w:val="00B02F89"/>
    <w:rsid w:val="00B15E99"/>
    <w:rsid w:val="00B25F34"/>
    <w:rsid w:val="00B457EA"/>
    <w:rsid w:val="00B613D2"/>
    <w:rsid w:val="00B61B90"/>
    <w:rsid w:val="00B61EEE"/>
    <w:rsid w:val="00B653E0"/>
    <w:rsid w:val="00BB4E74"/>
    <w:rsid w:val="00BC2A00"/>
    <w:rsid w:val="00BD2FB4"/>
    <w:rsid w:val="00BF5F4D"/>
    <w:rsid w:val="00C1037D"/>
    <w:rsid w:val="00C12779"/>
    <w:rsid w:val="00C22565"/>
    <w:rsid w:val="00C37256"/>
    <w:rsid w:val="00C52E37"/>
    <w:rsid w:val="00CA504F"/>
    <w:rsid w:val="00CB65B9"/>
    <w:rsid w:val="00CB7449"/>
    <w:rsid w:val="00CC0B04"/>
    <w:rsid w:val="00CC681D"/>
    <w:rsid w:val="00CF3EBD"/>
    <w:rsid w:val="00D03699"/>
    <w:rsid w:val="00D05AF5"/>
    <w:rsid w:val="00D06BDB"/>
    <w:rsid w:val="00D11294"/>
    <w:rsid w:val="00D215A6"/>
    <w:rsid w:val="00D30593"/>
    <w:rsid w:val="00D35388"/>
    <w:rsid w:val="00D35E98"/>
    <w:rsid w:val="00D476C2"/>
    <w:rsid w:val="00D8420F"/>
    <w:rsid w:val="00D8780F"/>
    <w:rsid w:val="00D91D74"/>
    <w:rsid w:val="00DA1FC9"/>
    <w:rsid w:val="00DC087B"/>
    <w:rsid w:val="00DC0F93"/>
    <w:rsid w:val="00DC3CFE"/>
    <w:rsid w:val="00DD63BB"/>
    <w:rsid w:val="00DF3BB6"/>
    <w:rsid w:val="00DF543A"/>
    <w:rsid w:val="00E00D3A"/>
    <w:rsid w:val="00E239EE"/>
    <w:rsid w:val="00E41CED"/>
    <w:rsid w:val="00E50DAD"/>
    <w:rsid w:val="00E71A1F"/>
    <w:rsid w:val="00E8646B"/>
    <w:rsid w:val="00EA57D7"/>
    <w:rsid w:val="00EB5802"/>
    <w:rsid w:val="00EE321F"/>
    <w:rsid w:val="00EE70B6"/>
    <w:rsid w:val="00EF217D"/>
    <w:rsid w:val="00EF2662"/>
    <w:rsid w:val="00EF395C"/>
    <w:rsid w:val="00F136F5"/>
    <w:rsid w:val="00F17219"/>
    <w:rsid w:val="00F2384B"/>
    <w:rsid w:val="00F41695"/>
    <w:rsid w:val="00F47CCA"/>
    <w:rsid w:val="00F609DB"/>
    <w:rsid w:val="00F6300F"/>
    <w:rsid w:val="00F74C1A"/>
    <w:rsid w:val="00F848CF"/>
    <w:rsid w:val="00F9210C"/>
    <w:rsid w:val="00F96DC4"/>
    <w:rsid w:val="00FB03A1"/>
    <w:rsid w:val="00FC3A31"/>
    <w:rsid w:val="00FD7257"/>
    <w:rsid w:val="00FE3178"/>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21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lang w:val="en-US"/>
    </w:rPr>
  </w:style>
  <w:style w:type="numbering" w:customStyle="1" w:styleId="Bullets">
    <w:name w:val="Bullets"/>
    <w:pPr>
      <w:numPr>
        <w:numId w:val="1"/>
      </w:numPr>
    </w:pPr>
  </w:style>
  <w:style w:type="paragraph" w:customStyle="1" w:styleId="Body">
    <w:name w:val="Body"/>
    <w:rsid w:val="009079DE"/>
    <w:rPr>
      <w:rFonts w:ascii="Helvetica" w:hAnsi="Helvetica" w:cs="Arial Unicode MS"/>
      <w:color w:val="000000"/>
      <w:sz w:val="22"/>
      <w:szCs w:val="22"/>
    </w:rPr>
  </w:style>
  <w:style w:type="paragraph" w:styleId="Footer">
    <w:name w:val="footer"/>
    <w:basedOn w:val="Normal"/>
    <w:link w:val="FooterChar"/>
    <w:uiPriority w:val="99"/>
    <w:unhideWhenUsed/>
    <w:rsid w:val="002F00C0"/>
    <w:pPr>
      <w:tabs>
        <w:tab w:val="center" w:pos="4680"/>
        <w:tab w:val="right" w:pos="9360"/>
      </w:tabs>
    </w:pPr>
  </w:style>
  <w:style w:type="character" w:customStyle="1" w:styleId="FooterChar">
    <w:name w:val="Footer Char"/>
    <w:basedOn w:val="DefaultParagraphFont"/>
    <w:link w:val="Footer"/>
    <w:uiPriority w:val="99"/>
    <w:rsid w:val="002F00C0"/>
    <w:rPr>
      <w:sz w:val="24"/>
      <w:szCs w:val="24"/>
    </w:rPr>
  </w:style>
  <w:style w:type="character" w:styleId="PageNumber">
    <w:name w:val="page number"/>
    <w:basedOn w:val="DefaultParagraphFont"/>
    <w:uiPriority w:val="99"/>
    <w:semiHidden/>
    <w:unhideWhenUsed/>
    <w:rsid w:val="002F00C0"/>
  </w:style>
  <w:style w:type="character" w:styleId="FollowedHyperlink">
    <w:name w:val="FollowedHyperlink"/>
    <w:basedOn w:val="DefaultParagraphFont"/>
    <w:uiPriority w:val="99"/>
    <w:semiHidden/>
    <w:unhideWhenUsed/>
    <w:rsid w:val="00783A0F"/>
    <w:rPr>
      <w:color w:val="FF00FF" w:themeColor="followedHyperlink"/>
      <w:u w:val="single"/>
    </w:rPr>
  </w:style>
  <w:style w:type="paragraph" w:styleId="ListParagraph">
    <w:name w:val="List Paragraph"/>
    <w:basedOn w:val="Normal"/>
    <w:uiPriority w:val="34"/>
    <w:qFormat/>
    <w:rsid w:val="009238CA"/>
    <w:pPr>
      <w:ind w:left="720"/>
      <w:contextualSpacing/>
    </w:pPr>
  </w:style>
  <w:style w:type="paragraph" w:styleId="BalloonText">
    <w:name w:val="Balloon Text"/>
    <w:basedOn w:val="Normal"/>
    <w:link w:val="BalloonTextChar"/>
    <w:uiPriority w:val="99"/>
    <w:semiHidden/>
    <w:unhideWhenUsed/>
    <w:rsid w:val="00203382"/>
    <w:rPr>
      <w:sz w:val="18"/>
      <w:szCs w:val="18"/>
    </w:rPr>
  </w:style>
  <w:style w:type="character" w:customStyle="1" w:styleId="BalloonTextChar">
    <w:name w:val="Balloon Text Char"/>
    <w:basedOn w:val="DefaultParagraphFont"/>
    <w:link w:val="BalloonText"/>
    <w:uiPriority w:val="99"/>
    <w:semiHidden/>
    <w:rsid w:val="00203382"/>
    <w:rPr>
      <w:sz w:val="18"/>
      <w:szCs w:val="18"/>
    </w:rPr>
  </w:style>
  <w:style w:type="character" w:styleId="CommentReference">
    <w:name w:val="annotation reference"/>
    <w:basedOn w:val="DefaultParagraphFont"/>
    <w:uiPriority w:val="99"/>
    <w:semiHidden/>
    <w:unhideWhenUsed/>
    <w:rsid w:val="00203382"/>
    <w:rPr>
      <w:sz w:val="18"/>
      <w:szCs w:val="18"/>
    </w:rPr>
  </w:style>
  <w:style w:type="paragraph" w:styleId="CommentText">
    <w:name w:val="annotation text"/>
    <w:basedOn w:val="Normal"/>
    <w:link w:val="CommentTextChar"/>
    <w:uiPriority w:val="99"/>
    <w:semiHidden/>
    <w:unhideWhenUsed/>
    <w:rsid w:val="00203382"/>
  </w:style>
  <w:style w:type="character" w:customStyle="1" w:styleId="CommentTextChar">
    <w:name w:val="Comment Text Char"/>
    <w:basedOn w:val="DefaultParagraphFont"/>
    <w:link w:val="CommentText"/>
    <w:uiPriority w:val="99"/>
    <w:semiHidden/>
    <w:rsid w:val="00203382"/>
    <w:rPr>
      <w:sz w:val="24"/>
      <w:szCs w:val="24"/>
    </w:rPr>
  </w:style>
  <w:style w:type="paragraph" w:styleId="CommentSubject">
    <w:name w:val="annotation subject"/>
    <w:basedOn w:val="CommentText"/>
    <w:next w:val="CommentText"/>
    <w:link w:val="CommentSubjectChar"/>
    <w:uiPriority w:val="99"/>
    <w:semiHidden/>
    <w:unhideWhenUsed/>
    <w:rsid w:val="00203382"/>
    <w:rPr>
      <w:b/>
      <w:bCs/>
      <w:sz w:val="20"/>
      <w:szCs w:val="20"/>
    </w:rPr>
  </w:style>
  <w:style w:type="character" w:customStyle="1" w:styleId="CommentSubjectChar">
    <w:name w:val="Comment Subject Char"/>
    <w:basedOn w:val="CommentTextChar"/>
    <w:link w:val="CommentSubject"/>
    <w:uiPriority w:val="99"/>
    <w:semiHidden/>
    <w:rsid w:val="00203382"/>
    <w:rPr>
      <w:b/>
      <w:bCs/>
      <w:sz w:val="24"/>
      <w:szCs w:val="24"/>
    </w:rPr>
  </w:style>
  <w:style w:type="paragraph" w:styleId="Header">
    <w:name w:val="header"/>
    <w:basedOn w:val="Normal"/>
    <w:link w:val="HeaderChar"/>
    <w:uiPriority w:val="99"/>
    <w:unhideWhenUsed/>
    <w:rsid w:val="00DC0F93"/>
    <w:pPr>
      <w:tabs>
        <w:tab w:val="center" w:pos="4680"/>
        <w:tab w:val="right" w:pos="9360"/>
      </w:tabs>
    </w:pPr>
  </w:style>
  <w:style w:type="character" w:customStyle="1" w:styleId="HeaderChar">
    <w:name w:val="Header Char"/>
    <w:basedOn w:val="DefaultParagraphFont"/>
    <w:link w:val="Header"/>
    <w:uiPriority w:val="99"/>
    <w:rsid w:val="00DC0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2016-05-06T04:40:00Z</dcterms:created>
  <dcterms:modified xsi:type="dcterms:W3CDTF">2016-05-06T04:40:00Z</dcterms:modified>
</cp:coreProperties>
</file>