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C1513" w14:textId="4E86E576" w:rsidR="00612D53" w:rsidRDefault="009079DE" w:rsidP="009079DE">
      <w:pPr>
        <w:pStyle w:val="Body"/>
      </w:pPr>
      <w:bookmarkStart w:id="0" w:name="_GoBack"/>
      <w:bookmarkEnd w:id="0"/>
      <w:r>
        <w:t xml:space="preserve">Notes from </w:t>
      </w:r>
      <w:r w:rsidR="004B6F1D">
        <w:t xml:space="preserve">the Agricultural Sector Stage 2 Subcommittee Meeting </w:t>
      </w:r>
    </w:p>
    <w:p w14:paraId="7E6B17EF" w14:textId="37A3278C" w:rsidR="009079DE" w:rsidRDefault="00123FB8" w:rsidP="009079DE">
      <w:pPr>
        <w:rPr>
          <w:sz w:val="20"/>
          <w:szCs w:val="20"/>
        </w:rPr>
      </w:pPr>
      <w:r>
        <w:rPr>
          <w:sz w:val="20"/>
          <w:szCs w:val="20"/>
        </w:rPr>
        <w:t>5/13/2016</w:t>
      </w:r>
    </w:p>
    <w:p w14:paraId="6D82328B" w14:textId="5775CB10" w:rsidR="009079DE" w:rsidRDefault="009079DE" w:rsidP="009079DE">
      <w:pPr>
        <w:rPr>
          <w:sz w:val="20"/>
          <w:szCs w:val="20"/>
        </w:rPr>
      </w:pPr>
      <w:r>
        <w:rPr>
          <w:sz w:val="20"/>
          <w:szCs w:val="20"/>
        </w:rPr>
        <w:t xml:space="preserve">Location:  </w:t>
      </w:r>
      <w:r w:rsidR="00123FB8">
        <w:rPr>
          <w:sz w:val="20"/>
          <w:szCs w:val="20"/>
        </w:rPr>
        <w:t>Pacific Energy Center</w:t>
      </w:r>
    </w:p>
    <w:p w14:paraId="36D9EF1D" w14:textId="36A0943B" w:rsidR="009079DE" w:rsidRPr="00D11294" w:rsidRDefault="009079DE" w:rsidP="00D11294">
      <w:pPr>
        <w:rPr>
          <w:sz w:val="20"/>
          <w:szCs w:val="20"/>
        </w:rPr>
      </w:pPr>
      <w:r>
        <w:rPr>
          <w:sz w:val="20"/>
          <w:szCs w:val="20"/>
        </w:rPr>
        <w:t xml:space="preserve">Meeting Co-Chairs:  </w:t>
      </w:r>
      <w:r w:rsidR="00123FB8">
        <w:rPr>
          <w:sz w:val="20"/>
          <w:szCs w:val="20"/>
        </w:rPr>
        <w:t>Caroline Chen and Elsia Galawish</w:t>
      </w:r>
    </w:p>
    <w:p w14:paraId="23E9CD8D" w14:textId="6A5106D9" w:rsidR="00612D53" w:rsidRDefault="009079DE" w:rsidP="009079DE">
      <w:pPr>
        <w:rPr>
          <w:color w:val="000000" w:themeColor="text1"/>
          <w:sz w:val="20"/>
          <w:szCs w:val="20"/>
        </w:rPr>
      </w:pPr>
      <w:r w:rsidRPr="00852075">
        <w:rPr>
          <w:color w:val="000000" w:themeColor="text1"/>
          <w:sz w:val="20"/>
          <w:szCs w:val="20"/>
        </w:rPr>
        <w:t>Facilitator</w:t>
      </w:r>
      <w:r w:rsidR="00123FB8">
        <w:rPr>
          <w:color w:val="000000" w:themeColor="text1"/>
          <w:sz w:val="20"/>
          <w:szCs w:val="20"/>
        </w:rPr>
        <w:t>: Ted Pope</w:t>
      </w:r>
    </w:p>
    <w:p w14:paraId="61B705AC" w14:textId="281DCEFD" w:rsidR="009079DE" w:rsidRDefault="009079DE" w:rsidP="009079DE">
      <w:pPr>
        <w:rPr>
          <w:color w:val="000000" w:themeColor="text1"/>
          <w:sz w:val="20"/>
          <w:szCs w:val="20"/>
        </w:rPr>
      </w:pPr>
      <w:r w:rsidRPr="00852075">
        <w:rPr>
          <w:color w:val="000000" w:themeColor="text1"/>
          <w:sz w:val="20"/>
          <w:szCs w:val="20"/>
        </w:rPr>
        <w:t xml:space="preserve">Notes: </w:t>
      </w:r>
      <w:r w:rsidR="004B6F1D">
        <w:rPr>
          <w:color w:val="000000" w:themeColor="text1"/>
          <w:sz w:val="20"/>
          <w:szCs w:val="20"/>
        </w:rPr>
        <w:t>Caroline Chen &amp; Elsia Galawish</w:t>
      </w:r>
    </w:p>
    <w:p w14:paraId="11C3E643" w14:textId="1201AEF7" w:rsidR="003E2525" w:rsidRPr="00852075" w:rsidRDefault="004B6F1D" w:rsidP="009079DE">
      <w:pPr>
        <w:rPr>
          <w:color w:val="000000" w:themeColor="text1"/>
          <w:sz w:val="20"/>
          <w:szCs w:val="20"/>
        </w:rPr>
      </w:pPr>
      <w:r>
        <w:rPr>
          <w:color w:val="000000" w:themeColor="text1"/>
          <w:sz w:val="20"/>
          <w:szCs w:val="20"/>
        </w:rPr>
        <w:t xml:space="preserve">Link to </w:t>
      </w:r>
      <w:r w:rsidR="003E2525">
        <w:rPr>
          <w:color w:val="000000" w:themeColor="text1"/>
          <w:sz w:val="20"/>
          <w:szCs w:val="20"/>
        </w:rPr>
        <w:t>meeting documents</w:t>
      </w:r>
      <w:r>
        <w:rPr>
          <w:color w:val="000000" w:themeColor="text1"/>
          <w:sz w:val="20"/>
          <w:szCs w:val="20"/>
        </w:rPr>
        <w:t xml:space="preserve">:  </w:t>
      </w:r>
      <w:hyperlink r:id="rId7" w:anchor="!blank-27/t6wpi" w:history="1">
        <w:r w:rsidRPr="00636958">
          <w:rPr>
            <w:rStyle w:val="Hyperlink"/>
            <w:sz w:val="20"/>
            <w:szCs w:val="20"/>
          </w:rPr>
          <w:t>http://www.caeecc.org/#!blank-27/t6wpi</w:t>
        </w:r>
      </w:hyperlink>
      <w:r>
        <w:rPr>
          <w:color w:val="000000" w:themeColor="text1"/>
          <w:sz w:val="20"/>
          <w:szCs w:val="20"/>
        </w:rPr>
        <w:t xml:space="preserve">  </w:t>
      </w:r>
    </w:p>
    <w:p w14:paraId="45618508" w14:textId="77777777" w:rsidR="009079DE" w:rsidRDefault="009079DE" w:rsidP="009079DE">
      <w:pPr>
        <w:rPr>
          <w:sz w:val="20"/>
          <w:szCs w:val="20"/>
        </w:rPr>
      </w:pPr>
    </w:p>
    <w:p w14:paraId="49394CD0" w14:textId="77777777" w:rsidR="009079DE" w:rsidRPr="002527A5" w:rsidRDefault="009079DE" w:rsidP="009079DE">
      <w:pPr>
        <w:rPr>
          <w:i/>
          <w:sz w:val="20"/>
          <w:szCs w:val="20"/>
        </w:rPr>
      </w:pPr>
      <w:r w:rsidRPr="002527A5">
        <w:rPr>
          <w:i/>
          <w:sz w:val="20"/>
          <w:szCs w:val="20"/>
        </w:rPr>
        <w:t>Note</w:t>
      </w:r>
      <w:r>
        <w:rPr>
          <w:i/>
          <w:sz w:val="20"/>
          <w:szCs w:val="20"/>
        </w:rPr>
        <w:t>s</w:t>
      </w:r>
      <w:r w:rsidRPr="002527A5">
        <w:rPr>
          <w:i/>
          <w:sz w:val="20"/>
          <w:szCs w:val="20"/>
        </w:rPr>
        <w:t xml:space="preserve">: </w:t>
      </w:r>
      <w:r>
        <w:rPr>
          <w:i/>
          <w:sz w:val="20"/>
          <w:szCs w:val="20"/>
        </w:rPr>
        <w:t>P</w:t>
      </w:r>
      <w:r w:rsidRPr="002527A5">
        <w:rPr>
          <w:i/>
          <w:sz w:val="20"/>
          <w:szCs w:val="20"/>
        </w:rPr>
        <w:t>resentations are</w:t>
      </w:r>
      <w:r>
        <w:rPr>
          <w:i/>
          <w:sz w:val="20"/>
          <w:szCs w:val="20"/>
        </w:rPr>
        <w:t xml:space="preserve"> generally</w:t>
      </w:r>
      <w:r w:rsidRPr="002527A5">
        <w:rPr>
          <w:i/>
          <w:sz w:val="20"/>
          <w:szCs w:val="20"/>
        </w:rPr>
        <w:t xml:space="preserve"> not summarized in these notes</w:t>
      </w:r>
      <w:r>
        <w:rPr>
          <w:i/>
          <w:sz w:val="20"/>
          <w:szCs w:val="20"/>
        </w:rPr>
        <w:t>. P</w:t>
      </w:r>
      <w:r w:rsidRPr="002527A5">
        <w:rPr>
          <w:i/>
          <w:sz w:val="20"/>
          <w:szCs w:val="20"/>
        </w:rPr>
        <w:t>lease see presentation slides</w:t>
      </w:r>
      <w:r>
        <w:rPr>
          <w:i/>
          <w:sz w:val="20"/>
          <w:szCs w:val="20"/>
        </w:rPr>
        <w:t xml:space="preserve"> on </w:t>
      </w:r>
      <w:hyperlink r:id="rId8" w:history="1">
        <w:r w:rsidRPr="00806522">
          <w:rPr>
            <w:rStyle w:val="Hyperlink"/>
            <w:i/>
            <w:sz w:val="20"/>
            <w:szCs w:val="20"/>
          </w:rPr>
          <w:t>www.CAEECC.org</w:t>
        </w:r>
      </w:hyperlink>
      <w:r>
        <w:rPr>
          <w:i/>
          <w:sz w:val="20"/>
          <w:szCs w:val="20"/>
        </w:rPr>
        <w:t xml:space="preserve">  website for context</w:t>
      </w:r>
      <w:r w:rsidRPr="002527A5">
        <w:rPr>
          <w:i/>
          <w:sz w:val="20"/>
          <w:szCs w:val="20"/>
        </w:rPr>
        <w:t xml:space="preserve">. </w:t>
      </w:r>
      <w:r>
        <w:rPr>
          <w:i/>
          <w:sz w:val="20"/>
          <w:szCs w:val="20"/>
        </w:rPr>
        <w:t>Lack of attribution for meeting participant comments is intentional by agreement of Coordinating Committee.</w:t>
      </w:r>
    </w:p>
    <w:p w14:paraId="5F3B5DC8" w14:textId="77777777" w:rsidR="00F6300F" w:rsidRDefault="00F6300F">
      <w:pPr>
        <w:pStyle w:val="BodyA"/>
      </w:pPr>
    </w:p>
    <w:p w14:paraId="03899D26" w14:textId="2B93A327" w:rsidR="00F6300F" w:rsidRDefault="009079DE" w:rsidP="00E1141E">
      <w:pPr>
        <w:pStyle w:val="Heading1"/>
        <w:rPr>
          <w:rStyle w:val="Hyperlink0"/>
        </w:rPr>
      </w:pPr>
      <w:r>
        <w:rPr>
          <w:rStyle w:val="Hyperlink0"/>
        </w:rPr>
        <w:t>Welc</w:t>
      </w:r>
      <w:r w:rsidR="002248E0">
        <w:rPr>
          <w:rStyle w:val="Hyperlink0"/>
        </w:rPr>
        <w:t xml:space="preserve">ome and Background – </w:t>
      </w:r>
      <w:r w:rsidR="00123FB8">
        <w:rPr>
          <w:rStyle w:val="Hyperlink0"/>
        </w:rPr>
        <w:t>Caroline Chen &amp; Ted Pope</w:t>
      </w:r>
    </w:p>
    <w:p w14:paraId="515E716D" w14:textId="77777777" w:rsidR="00F6300F" w:rsidRDefault="00F6300F">
      <w:pPr>
        <w:pStyle w:val="BodyA"/>
        <w:rPr>
          <w:rStyle w:val="Hyperlink0"/>
        </w:rPr>
      </w:pPr>
    </w:p>
    <w:p w14:paraId="696DCC89" w14:textId="697FF325" w:rsidR="00F6300F" w:rsidRDefault="00EA2BCD" w:rsidP="00EA2BCD">
      <w:pPr>
        <w:pStyle w:val="BodyA"/>
        <w:numPr>
          <w:ilvl w:val="0"/>
          <w:numId w:val="9"/>
        </w:numPr>
      </w:pPr>
      <w:r>
        <w:t xml:space="preserve">High level description of what happened (e.g., intros, logistics, etc.) </w:t>
      </w:r>
    </w:p>
    <w:p w14:paraId="6C9FC5E7" w14:textId="77777777" w:rsidR="00EA2BCD" w:rsidRDefault="00EA2BCD" w:rsidP="00EA2BCD">
      <w:pPr>
        <w:pStyle w:val="BodyA"/>
        <w:ind w:left="720"/>
      </w:pPr>
    </w:p>
    <w:p w14:paraId="24CB1C4D" w14:textId="049619DE" w:rsidR="00CC4468" w:rsidRDefault="00CC4468" w:rsidP="008C3D87">
      <w:pPr>
        <w:pStyle w:val="Heading1"/>
      </w:pPr>
      <w:r>
        <w:t>Session-1</w:t>
      </w:r>
    </w:p>
    <w:p w14:paraId="20663B37" w14:textId="1F097D88" w:rsidR="00123FB8" w:rsidRPr="00AD13C5" w:rsidRDefault="00123FB8" w:rsidP="008C3D87">
      <w:pPr>
        <w:pStyle w:val="Heading1"/>
      </w:pPr>
      <w:r w:rsidRPr="00AD13C5">
        <w:t>[</w:t>
      </w:r>
      <w:r w:rsidR="00CC4468" w:rsidRPr="00AD13C5">
        <w:t>Sandra</w:t>
      </w:r>
      <w:r w:rsidR="00CC4468">
        <w:t xml:space="preserve"> Webb</w:t>
      </w:r>
      <w:r w:rsidR="00CC4468" w:rsidRPr="00AD13C5">
        <w:t xml:space="preserve"> &amp; Michelle</w:t>
      </w:r>
      <w:r w:rsidR="00CC4468">
        <w:t xml:space="preserve"> Costello/</w:t>
      </w:r>
      <w:r w:rsidRPr="00AD13C5">
        <w:t>SDG&amp;E]</w:t>
      </w:r>
    </w:p>
    <w:p w14:paraId="5C357F86" w14:textId="17ED85A5" w:rsidR="00400C6E" w:rsidRDefault="00400C6E" w:rsidP="00400C6E">
      <w:pPr>
        <w:pStyle w:val="BodyA"/>
        <w:numPr>
          <w:ilvl w:val="0"/>
          <w:numId w:val="9"/>
        </w:numPr>
      </w:pPr>
      <w:r w:rsidRPr="00400C6E">
        <w:t>2200 accounts</w:t>
      </w:r>
      <w:r w:rsidR="00CC4468">
        <w:t xml:space="preserve"> only</w:t>
      </w:r>
    </w:p>
    <w:p w14:paraId="3B9D634F" w14:textId="64F0E7C9" w:rsidR="00400C6E" w:rsidRDefault="00400C6E" w:rsidP="00400C6E">
      <w:pPr>
        <w:pStyle w:val="BodyA"/>
        <w:numPr>
          <w:ilvl w:val="0"/>
          <w:numId w:val="9"/>
        </w:numPr>
      </w:pPr>
      <w:r>
        <w:t>Some of the accounts may be served by residential accou</w:t>
      </w:r>
      <w:r w:rsidR="00CC4468">
        <w:t>nts such as family run wineries</w:t>
      </w:r>
    </w:p>
    <w:p w14:paraId="1504981A" w14:textId="4F500056" w:rsidR="00400C6E" w:rsidRDefault="00400C6E" w:rsidP="00400C6E">
      <w:pPr>
        <w:pStyle w:val="BodyA"/>
        <w:numPr>
          <w:ilvl w:val="0"/>
          <w:numId w:val="9"/>
        </w:numPr>
      </w:pPr>
      <w:r>
        <w:t>Importance of water m</w:t>
      </w:r>
      <w:r w:rsidR="00CC4468">
        <w:t>anagement for today’s operation</w:t>
      </w:r>
    </w:p>
    <w:p w14:paraId="4C998E82" w14:textId="19FA2F4E" w:rsidR="00400C6E" w:rsidRPr="00400C6E" w:rsidRDefault="00C951EB" w:rsidP="004B6F1D">
      <w:pPr>
        <w:pStyle w:val="BodyA"/>
        <w:numPr>
          <w:ilvl w:val="0"/>
          <w:numId w:val="9"/>
        </w:numPr>
      </w:pPr>
      <w:r>
        <w:t>Operators struggle to initiate projects outsi</w:t>
      </w:r>
      <w:r w:rsidR="00CC4468">
        <w:t>de of their mainline operations</w:t>
      </w:r>
    </w:p>
    <w:p w14:paraId="78F5528F" w14:textId="77777777" w:rsidR="00F6300F" w:rsidRDefault="00F6300F">
      <w:pPr>
        <w:pStyle w:val="BodyA"/>
      </w:pPr>
    </w:p>
    <w:p w14:paraId="66F3ABE6" w14:textId="1E88C397" w:rsidR="001A107A" w:rsidRDefault="001A107A" w:rsidP="00EA2BCD">
      <w:pPr>
        <w:pStyle w:val="BodyA"/>
      </w:pPr>
      <w:r>
        <w:rPr>
          <w:b/>
        </w:rPr>
        <w:t>Question &amp; Answer</w:t>
      </w:r>
    </w:p>
    <w:p w14:paraId="7DF12CB1" w14:textId="77777777" w:rsidR="001A107A" w:rsidRDefault="001A107A" w:rsidP="00EA2BCD">
      <w:pPr>
        <w:pStyle w:val="BodyA"/>
      </w:pPr>
    </w:p>
    <w:p w14:paraId="5FD74850" w14:textId="41C80C06" w:rsidR="004B6F1D" w:rsidRDefault="004B6F1D" w:rsidP="001A107A">
      <w:pPr>
        <w:pStyle w:val="BodyA"/>
      </w:pPr>
      <w:r w:rsidRPr="004B6F1D">
        <w:rPr>
          <w:b/>
        </w:rPr>
        <w:t>Question</w:t>
      </w:r>
      <w:r>
        <w:t xml:space="preserve">:  </w:t>
      </w:r>
      <w:r w:rsidR="003F4C6D">
        <w:t xml:space="preserve"> How do you actually characterize accounts.  Is this production agriculture customers?  Did you include food processors?  There is a disconnect between how IOUs and CEC classify accounts. </w:t>
      </w:r>
      <w:r>
        <w:t>Where do food processors and water utilities fit in?</w:t>
      </w:r>
      <w:r w:rsidR="003F4C6D">
        <w:t xml:space="preserve"> This group of customers do not have time to chase pennies</w:t>
      </w:r>
      <w:r>
        <w:t>.  Uncertainty of getting incentives after taking time to engage is a big disincentive</w:t>
      </w:r>
      <w:r w:rsidR="003F4C6D">
        <w:t>.  Keeping program intervention simple is a good approach.</w:t>
      </w:r>
      <w:r w:rsidR="001A107A">
        <w:t xml:space="preserve"> </w:t>
      </w:r>
    </w:p>
    <w:p w14:paraId="59428900" w14:textId="07DBC35D" w:rsidR="004B6F1D" w:rsidRDefault="004B6F1D" w:rsidP="001A107A">
      <w:pPr>
        <w:pStyle w:val="BodyA"/>
      </w:pPr>
      <w:r w:rsidRPr="004B6F1D">
        <w:rPr>
          <w:b/>
        </w:rPr>
        <w:t>Response</w:t>
      </w:r>
      <w:r>
        <w:t>: We get the time commitment/attention challenge.  We are looking to leverage other meetings and events that Ag industry people participate in already.  Our market characterization</w:t>
      </w:r>
      <w:r w:rsidR="003F4C6D">
        <w:t xml:space="preserve"> is based on billable accounts.  SDG&amp;E included agriculture and pumping accounts. We will take a look at the possible disconnect between IOUs and CEC classifications.</w:t>
      </w:r>
      <w:r w:rsidR="001A107A">
        <w:t xml:space="preserve"> </w:t>
      </w:r>
    </w:p>
    <w:p w14:paraId="302DD4BE" w14:textId="4E8E0387" w:rsidR="003F4C6D" w:rsidRPr="003F4C6D" w:rsidRDefault="004B6F1D" w:rsidP="001A107A">
      <w:pPr>
        <w:pStyle w:val="BodyA"/>
      </w:pPr>
      <w:r w:rsidRPr="004B6F1D">
        <w:rPr>
          <w:b/>
        </w:rPr>
        <w:t>Response</w:t>
      </w:r>
      <w:r>
        <w:t xml:space="preserve">: </w:t>
      </w:r>
      <w:r w:rsidR="003F4C6D" w:rsidRPr="003F4C6D">
        <w:t>Can Farm Bureau provide feedback</w:t>
      </w:r>
      <w:r>
        <w:t xml:space="preserve"> to SDG&amp;E</w:t>
      </w:r>
      <w:r w:rsidR="003F4C6D" w:rsidRPr="003F4C6D">
        <w:t xml:space="preserve"> on how best to imp</w:t>
      </w:r>
      <w:r w:rsidR="00AD13C5">
        <w:t xml:space="preserve">lement some of these strategies? </w:t>
      </w:r>
      <w:r>
        <w:t xml:space="preserve"> We would like to hear from you, especially on how to reach agricultural customers with our WE&amp;T program services. This market is hard to engage on training.</w:t>
      </w:r>
    </w:p>
    <w:p w14:paraId="5B1611B2" w14:textId="00C70926" w:rsidR="003F4C6D" w:rsidRPr="003F4C6D" w:rsidRDefault="003F4C6D" w:rsidP="003F4C6D">
      <w:pPr>
        <w:pStyle w:val="BodyA"/>
      </w:pPr>
    </w:p>
    <w:p w14:paraId="4FDD7CAF" w14:textId="3D550CEA" w:rsidR="004B6F1D" w:rsidRDefault="004B6F1D" w:rsidP="003F4C6D">
      <w:pPr>
        <w:pStyle w:val="BodyA"/>
      </w:pPr>
      <w:r w:rsidRPr="004B6F1D">
        <w:rPr>
          <w:b/>
        </w:rPr>
        <w:t>Question</w:t>
      </w:r>
      <w:r>
        <w:t>:  D</w:t>
      </w:r>
      <w:r w:rsidR="003F4C6D" w:rsidRPr="003F4C6D">
        <w:t>o you do any pump test</w:t>
      </w:r>
      <w:r>
        <w:t xml:space="preserve">? </w:t>
      </w:r>
    </w:p>
    <w:p w14:paraId="2BEE7579" w14:textId="2DF5880C" w:rsidR="003F4C6D" w:rsidRDefault="004B6F1D" w:rsidP="003F4C6D">
      <w:pPr>
        <w:pStyle w:val="BodyA"/>
      </w:pPr>
      <w:r w:rsidRPr="004B6F1D">
        <w:rPr>
          <w:b/>
        </w:rPr>
        <w:t>Response</w:t>
      </w:r>
      <w:r>
        <w:t>: W</w:t>
      </w:r>
      <w:r w:rsidR="003F4C6D" w:rsidRPr="003F4C6D">
        <w:t>e are a</w:t>
      </w:r>
      <w:r w:rsidR="003F4C6D">
        <w:t>ll struggling with pump testing due to</w:t>
      </w:r>
      <w:r w:rsidR="00CC4468">
        <w:t xml:space="preserve"> the</w:t>
      </w:r>
      <w:r w:rsidR="003F4C6D">
        <w:t xml:space="preserve"> work</w:t>
      </w:r>
      <w:r>
        <w:t xml:space="preserve"> </w:t>
      </w:r>
      <w:r w:rsidR="003F4C6D">
        <w:t>paper disposition.</w:t>
      </w:r>
    </w:p>
    <w:p w14:paraId="6704592D" w14:textId="77777777" w:rsidR="003F4C6D" w:rsidRPr="003F4C6D" w:rsidRDefault="003F4C6D" w:rsidP="003F4C6D">
      <w:pPr>
        <w:pStyle w:val="BodyA"/>
      </w:pPr>
    </w:p>
    <w:p w14:paraId="7B61821E" w14:textId="33B12587" w:rsidR="004B6F1D" w:rsidRDefault="004B6F1D" w:rsidP="004B6F1D">
      <w:pPr>
        <w:pStyle w:val="BodyA"/>
      </w:pPr>
      <w:r w:rsidRPr="004B6F1D">
        <w:rPr>
          <w:b/>
        </w:rPr>
        <w:t>Comment</w:t>
      </w:r>
      <w:r>
        <w:t xml:space="preserve">: </w:t>
      </w:r>
      <w:r w:rsidR="003F4C6D" w:rsidRPr="003F4C6D">
        <w:t>The availability of pump testing is more important than ever in California</w:t>
      </w:r>
      <w:r>
        <w:t xml:space="preserve"> from the Farm Bureau’s perspective given new ground water rules. </w:t>
      </w:r>
    </w:p>
    <w:p w14:paraId="1D04BC8C" w14:textId="7960C083" w:rsidR="003F4C6D" w:rsidRDefault="004B6F1D" w:rsidP="00AD13C5">
      <w:pPr>
        <w:pStyle w:val="BodyA"/>
      </w:pPr>
      <w:r w:rsidRPr="004B6F1D">
        <w:rPr>
          <w:b/>
        </w:rPr>
        <w:t>Response</w:t>
      </w:r>
      <w:r>
        <w:t xml:space="preserve">:  </w:t>
      </w:r>
      <w:r w:rsidR="00AD13C5">
        <w:t>We appreciate your input.</w:t>
      </w:r>
    </w:p>
    <w:p w14:paraId="52F636C8" w14:textId="77777777" w:rsidR="00AD13C5" w:rsidRPr="003F4C6D" w:rsidRDefault="00AD13C5" w:rsidP="00AD13C5">
      <w:pPr>
        <w:pStyle w:val="BodyA"/>
      </w:pPr>
    </w:p>
    <w:p w14:paraId="363F12BA" w14:textId="77777777" w:rsidR="004B6F1D" w:rsidRDefault="004B6F1D" w:rsidP="00AD13C5">
      <w:pPr>
        <w:pStyle w:val="BodyA"/>
      </w:pPr>
      <w:r w:rsidRPr="004B6F1D">
        <w:rPr>
          <w:b/>
        </w:rPr>
        <w:lastRenderedPageBreak/>
        <w:t>Comment</w:t>
      </w:r>
      <w:r>
        <w:t>:</w:t>
      </w:r>
      <w:r w:rsidR="003F4C6D" w:rsidRPr="003F4C6D">
        <w:t xml:space="preserve"> We see a need for more flow-meter for growers.  Are you open to incentive</w:t>
      </w:r>
      <w:r>
        <w:t>s</w:t>
      </w:r>
      <w:r w:rsidR="003F4C6D" w:rsidRPr="003F4C6D">
        <w:t xml:space="preserve"> or fi</w:t>
      </w:r>
      <w:r w:rsidR="00AD13C5">
        <w:t xml:space="preserve">nancing to support flow-meters? </w:t>
      </w:r>
    </w:p>
    <w:p w14:paraId="1A43CF95" w14:textId="3786C05C" w:rsidR="003F4C6D" w:rsidRDefault="004B6F1D" w:rsidP="00AD13C5">
      <w:pPr>
        <w:pStyle w:val="BodyA"/>
      </w:pPr>
      <w:r w:rsidRPr="004B6F1D">
        <w:rPr>
          <w:b/>
        </w:rPr>
        <w:t>Response</w:t>
      </w:r>
      <w:r>
        <w:t xml:space="preserve">:  </w:t>
      </w:r>
      <w:r w:rsidR="003F4C6D" w:rsidRPr="003F4C6D">
        <w:t>Please provide more information</w:t>
      </w:r>
      <w:r>
        <w:t xml:space="preserve"> to SDG&amp;E</w:t>
      </w:r>
      <w:r w:rsidR="003F4C6D" w:rsidRPr="003F4C6D">
        <w:t xml:space="preserve"> on the flow-meters.</w:t>
      </w:r>
    </w:p>
    <w:p w14:paraId="6EE64037" w14:textId="77777777" w:rsidR="00AD13C5" w:rsidRPr="003F4C6D" w:rsidRDefault="00AD13C5" w:rsidP="00AD13C5">
      <w:pPr>
        <w:pStyle w:val="BodyA"/>
      </w:pPr>
    </w:p>
    <w:p w14:paraId="73332366" w14:textId="3C7193CA" w:rsidR="003F4C6D" w:rsidRPr="003F4C6D" w:rsidRDefault="004B6F1D" w:rsidP="00AD13C5">
      <w:pPr>
        <w:pStyle w:val="BodyA"/>
      </w:pPr>
      <w:r w:rsidRPr="004B6F1D">
        <w:rPr>
          <w:b/>
        </w:rPr>
        <w:t>Comment</w:t>
      </w:r>
      <w:r>
        <w:t>:</w:t>
      </w:r>
      <w:r w:rsidR="003F4C6D" w:rsidRPr="003F4C6D">
        <w:t xml:space="preserve"> California provides over $20M financial assistance to water needs.</w:t>
      </w:r>
    </w:p>
    <w:p w14:paraId="22B44BD8" w14:textId="77777777" w:rsidR="00EA2BCD" w:rsidRDefault="00EA2BCD">
      <w:pPr>
        <w:pStyle w:val="BodyA"/>
        <w:rPr>
          <w:u w:val="single"/>
        </w:rPr>
      </w:pPr>
    </w:p>
    <w:p w14:paraId="27CDE69D" w14:textId="77777777" w:rsidR="001A107A" w:rsidRDefault="001A107A">
      <w:pPr>
        <w:pStyle w:val="BodyA"/>
        <w:rPr>
          <w:b/>
          <w:u w:val="single"/>
        </w:rPr>
      </w:pPr>
    </w:p>
    <w:p w14:paraId="6468775F" w14:textId="0D6B1931" w:rsidR="00EA2BCD" w:rsidRPr="00AD13C5" w:rsidRDefault="00BA0949" w:rsidP="008C3D87">
      <w:pPr>
        <w:pStyle w:val="Heading1"/>
      </w:pPr>
      <w:r>
        <w:t xml:space="preserve"> </w:t>
      </w:r>
      <w:r w:rsidR="004B6F1D">
        <w:t>[Shawn Fife</w:t>
      </w:r>
      <w:r w:rsidR="00AD13C5" w:rsidRPr="00AD13C5">
        <w:t>/SCG]</w:t>
      </w:r>
    </w:p>
    <w:p w14:paraId="14B9D406" w14:textId="6C5C7CD2" w:rsidR="00AD13C5" w:rsidRDefault="00AD13C5">
      <w:pPr>
        <w:pStyle w:val="BodyA"/>
        <w:rPr>
          <w:u w:val="single"/>
        </w:rPr>
      </w:pPr>
    </w:p>
    <w:p w14:paraId="332D8791" w14:textId="2CBB1366" w:rsidR="00AD13C5" w:rsidRDefault="00AD13C5" w:rsidP="00AD13C5">
      <w:pPr>
        <w:pStyle w:val="BodyA"/>
        <w:numPr>
          <w:ilvl w:val="0"/>
          <w:numId w:val="12"/>
        </w:numPr>
      </w:pPr>
      <w:r w:rsidRPr="00AD13C5">
        <w:t>2000 agriculture customers</w:t>
      </w:r>
      <w:r>
        <w:t>.  If the produce is trucked to another location for processing, then that would be co</w:t>
      </w:r>
      <w:r w:rsidR="00CC4468">
        <w:t>nsidered industrial activities</w:t>
      </w:r>
      <w:r>
        <w:t xml:space="preserve"> </w:t>
      </w:r>
    </w:p>
    <w:p w14:paraId="0172756C" w14:textId="0629583C" w:rsidR="00AD13C5" w:rsidRDefault="00AD13C5" w:rsidP="00AD13C5">
      <w:pPr>
        <w:pStyle w:val="BodyA"/>
        <w:numPr>
          <w:ilvl w:val="0"/>
          <w:numId w:val="12"/>
        </w:numPr>
      </w:pPr>
      <w:r>
        <w:t>50% energy savings came from green h</w:t>
      </w:r>
      <w:r w:rsidR="00CC4468">
        <w:t>ouses, followed by farming, etc</w:t>
      </w:r>
    </w:p>
    <w:p w14:paraId="487ACD89" w14:textId="2F9E293D" w:rsidR="00AD13C5" w:rsidRDefault="00AD13C5" w:rsidP="00AD13C5">
      <w:pPr>
        <w:pStyle w:val="BodyA"/>
        <w:numPr>
          <w:ilvl w:val="0"/>
          <w:numId w:val="12"/>
        </w:numPr>
      </w:pPr>
      <w:r>
        <w:t>This sector has a small potential for energy savings as</w:t>
      </w:r>
      <w:r w:rsidR="00CC4468">
        <w:t xml:space="preserve"> reported by the Navigant study</w:t>
      </w:r>
    </w:p>
    <w:p w14:paraId="48493504" w14:textId="3F6E110F" w:rsidR="00AD13C5" w:rsidRDefault="00AD13C5" w:rsidP="00AD13C5">
      <w:pPr>
        <w:pStyle w:val="BodyA"/>
        <w:numPr>
          <w:ilvl w:val="0"/>
          <w:numId w:val="12"/>
        </w:numPr>
      </w:pPr>
      <w:r>
        <w:t>AMI will allow SCG to look at usage more closely to facilitate analysis</w:t>
      </w:r>
      <w:r w:rsidR="0088502E">
        <w:t xml:space="preserve"> to find more cost-effective opportunities</w:t>
      </w:r>
    </w:p>
    <w:p w14:paraId="77BE17CA" w14:textId="1EE87313" w:rsidR="004B6F1D" w:rsidRDefault="004B6F1D" w:rsidP="00AD13C5">
      <w:pPr>
        <w:pStyle w:val="BodyA"/>
        <w:numPr>
          <w:ilvl w:val="0"/>
          <w:numId w:val="12"/>
        </w:numPr>
      </w:pPr>
      <w:r>
        <w:t>Selected industries such as greenhouses and vineyards</w:t>
      </w:r>
      <w:r w:rsidR="00CC4468">
        <w:t xml:space="preserve"> share information effectively, </w:t>
      </w:r>
      <w:r>
        <w:t>othe</w:t>
      </w:r>
      <w:r w:rsidR="00CC4468">
        <w:t>rs are very isolated and follow</w:t>
      </w:r>
      <w:r>
        <w:t xml:space="preserve"> </w:t>
      </w:r>
      <w:r w:rsidR="00CC4468">
        <w:t xml:space="preserve">traditional </w:t>
      </w:r>
      <w:r>
        <w:t xml:space="preserve">family processes. </w:t>
      </w:r>
    </w:p>
    <w:p w14:paraId="446592EC" w14:textId="05F80BAB" w:rsidR="00AD13C5" w:rsidRDefault="0098163D" w:rsidP="00AD13C5">
      <w:pPr>
        <w:pStyle w:val="BodyA"/>
        <w:numPr>
          <w:ilvl w:val="0"/>
          <w:numId w:val="12"/>
        </w:numPr>
      </w:pPr>
      <w:r>
        <w:t>Rebates may need to suppor</w:t>
      </w:r>
      <w:r w:rsidR="00CC4468">
        <w:t>ted by low-or-no interest loans</w:t>
      </w:r>
    </w:p>
    <w:p w14:paraId="72A4E480" w14:textId="2DF980FA" w:rsidR="0098163D" w:rsidRDefault="0098163D" w:rsidP="00AD13C5">
      <w:pPr>
        <w:pStyle w:val="BodyA"/>
        <w:numPr>
          <w:ilvl w:val="0"/>
          <w:numId w:val="12"/>
        </w:numPr>
      </w:pPr>
      <w:r>
        <w:t>Develop industry baseline, which would be diff</w:t>
      </w:r>
      <w:r w:rsidR="00CC4468">
        <w:t>icult</w:t>
      </w:r>
    </w:p>
    <w:p w14:paraId="0AD3D83E" w14:textId="275B5A61" w:rsidR="00AD13C5" w:rsidRPr="0098163D" w:rsidRDefault="0098163D" w:rsidP="0098163D">
      <w:pPr>
        <w:pStyle w:val="BodyA"/>
        <w:numPr>
          <w:ilvl w:val="0"/>
          <w:numId w:val="12"/>
        </w:numPr>
      </w:pPr>
      <w:r>
        <w:t>Goal is to design a simple program that would foc</w:t>
      </w:r>
      <w:r w:rsidR="004B6F1D">
        <w:t>us on whole system optimization</w:t>
      </w:r>
    </w:p>
    <w:p w14:paraId="3528F17E" w14:textId="77777777" w:rsidR="00A44FDC" w:rsidRDefault="00A44FDC" w:rsidP="00A44FDC">
      <w:pPr>
        <w:pStyle w:val="BodyA"/>
        <w:rPr>
          <w:b/>
        </w:rPr>
      </w:pPr>
    </w:p>
    <w:p w14:paraId="6AF54245" w14:textId="522F1F62" w:rsidR="004D471D" w:rsidRPr="001A107A" w:rsidRDefault="0098163D" w:rsidP="00A44FDC">
      <w:pPr>
        <w:pStyle w:val="BodyA"/>
        <w:rPr>
          <w:b/>
        </w:rPr>
      </w:pPr>
      <w:r w:rsidRPr="001A107A">
        <w:rPr>
          <w:b/>
        </w:rPr>
        <w:t>Question</w:t>
      </w:r>
      <w:r w:rsidR="004D471D" w:rsidRPr="001A107A">
        <w:rPr>
          <w:b/>
        </w:rPr>
        <w:t xml:space="preserve"> &amp; Answer</w:t>
      </w:r>
    </w:p>
    <w:p w14:paraId="0C2E7E26" w14:textId="77777777" w:rsidR="004D471D" w:rsidRDefault="004D471D" w:rsidP="00A44FDC">
      <w:pPr>
        <w:pStyle w:val="BodyA"/>
      </w:pPr>
    </w:p>
    <w:p w14:paraId="65E69287" w14:textId="77777777" w:rsidR="004B6F1D" w:rsidRDefault="004B6F1D" w:rsidP="00A44FDC">
      <w:pPr>
        <w:pStyle w:val="BodyA"/>
      </w:pPr>
      <w:r w:rsidRPr="004B6F1D">
        <w:rPr>
          <w:b/>
        </w:rPr>
        <w:t>Question</w:t>
      </w:r>
      <w:r>
        <w:t xml:space="preserve">: </w:t>
      </w:r>
      <w:r w:rsidR="004D471D" w:rsidRPr="004D471D">
        <w:t xml:space="preserve"> EPIC has offered s</w:t>
      </w:r>
      <w:r w:rsidR="006745B2">
        <w:t>everal RFP</w:t>
      </w:r>
      <w:r>
        <w:t>s</w:t>
      </w:r>
      <w:r w:rsidR="006745B2">
        <w:t xml:space="preserve"> for water </w:t>
      </w:r>
      <w:r w:rsidR="00AC0891">
        <w:t xml:space="preserve">energy </w:t>
      </w:r>
      <w:r w:rsidR="006745B2">
        <w:t xml:space="preserve">projects, are you tracking or coordinating these activities.  </w:t>
      </w:r>
    </w:p>
    <w:p w14:paraId="577CC1ED" w14:textId="5D20F92E" w:rsidR="004B6F1D" w:rsidRDefault="004B6F1D" w:rsidP="00A44FDC">
      <w:pPr>
        <w:pStyle w:val="BodyA"/>
      </w:pPr>
      <w:r w:rsidRPr="004B6F1D">
        <w:rPr>
          <w:b/>
        </w:rPr>
        <w:t>Response</w:t>
      </w:r>
      <w:r>
        <w:t xml:space="preserve">: SCG </w:t>
      </w:r>
      <w:r w:rsidR="004D471D" w:rsidRPr="004D471D">
        <w:t>Emerging Technology is looking for new but available products.  We also have a new R&amp;D group looking at new products/technologies</w:t>
      </w:r>
      <w:r w:rsidR="00AC0891">
        <w:t xml:space="preserve"> nationwide across all sectors. </w:t>
      </w:r>
      <w:r w:rsidR="004D471D" w:rsidRPr="004D471D">
        <w:t>We are currently working to scr</w:t>
      </w:r>
      <w:r w:rsidR="004D471D">
        <w:t xml:space="preserve">een these products/technologies. </w:t>
      </w:r>
    </w:p>
    <w:p w14:paraId="22A623B9" w14:textId="2CF67BF7" w:rsidR="0098163D" w:rsidRPr="004D471D" w:rsidRDefault="004B6F1D" w:rsidP="00A44FDC">
      <w:pPr>
        <w:pStyle w:val="BodyA"/>
      </w:pPr>
      <w:r w:rsidRPr="00BA0949">
        <w:rPr>
          <w:b/>
        </w:rPr>
        <w:t>Response</w:t>
      </w:r>
      <w:r>
        <w:t>:</w:t>
      </w:r>
      <w:r w:rsidR="004D471D">
        <w:t xml:space="preserve"> </w:t>
      </w:r>
      <w:r w:rsidR="00BA0949">
        <w:t xml:space="preserve">PG&amp;E is </w:t>
      </w:r>
      <w:r w:rsidR="004D471D">
        <w:t>working with teams who are submitting EPIC grants</w:t>
      </w:r>
      <w:r w:rsidR="00BA0949">
        <w:t>, so we are getting that new technology information</w:t>
      </w:r>
      <w:r w:rsidR="004D471D">
        <w:t>.</w:t>
      </w:r>
    </w:p>
    <w:p w14:paraId="6D24C093" w14:textId="77777777" w:rsidR="0098163D" w:rsidRDefault="0098163D" w:rsidP="00A44FDC">
      <w:pPr>
        <w:pStyle w:val="BodyA"/>
        <w:rPr>
          <w:b/>
        </w:rPr>
      </w:pPr>
    </w:p>
    <w:p w14:paraId="0FAE3831" w14:textId="1A5EA723" w:rsidR="009345A6" w:rsidRDefault="00BA0949" w:rsidP="00A44FDC">
      <w:pPr>
        <w:pStyle w:val="BodyA"/>
      </w:pPr>
      <w:r w:rsidRPr="00BA0949">
        <w:rPr>
          <w:b/>
        </w:rPr>
        <w:t>Comment</w:t>
      </w:r>
      <w:r>
        <w:t xml:space="preserve">: </w:t>
      </w:r>
      <w:r w:rsidR="004D471D">
        <w:t xml:space="preserve">The small versus large account distinction is not clear.  </w:t>
      </w:r>
      <w:r w:rsidR="009345A6">
        <w:t xml:space="preserve">But there is a very big difference to the access and information received </w:t>
      </w:r>
      <w:r w:rsidR="00CC4468">
        <w:t>by</w:t>
      </w:r>
      <w:r w:rsidR="009345A6">
        <w:t xml:space="preserve"> different</w:t>
      </w:r>
      <w:r w:rsidR="00CC4468">
        <w:t>-</w:t>
      </w:r>
      <w:r w:rsidR="009345A6">
        <w:t xml:space="preserve">sized customers. </w:t>
      </w:r>
      <w:r w:rsidR="004D471D">
        <w:t xml:space="preserve">The large accounts get </w:t>
      </w:r>
      <w:r w:rsidR="00AC0891">
        <w:t xml:space="preserve">a dedicated </w:t>
      </w:r>
      <w:r w:rsidR="004D471D">
        <w:t>account rep who would offer much more support.  Perhaps, the distinction should be if the account has an account rep assigned</w:t>
      </w:r>
      <w:r w:rsidR="00BF3386">
        <w:t>.  This is a critical distinction, especially as it relates to how you get the info out to customers</w:t>
      </w:r>
      <w:r w:rsidR="004D471D">
        <w:t xml:space="preserve">.  For on-bill financing, have you looked at the restrictions for the crop loan? We need to make sure the utility’s finance program would not violate the restrictions of the crop loan.  </w:t>
      </w:r>
    </w:p>
    <w:p w14:paraId="18170DB9" w14:textId="2B7DD3E4" w:rsidR="009345A6" w:rsidRDefault="009345A6" w:rsidP="00A44FDC">
      <w:pPr>
        <w:pStyle w:val="BodyA"/>
      </w:pPr>
      <w:r w:rsidRPr="009345A6">
        <w:rPr>
          <w:b/>
        </w:rPr>
        <w:t>Response</w:t>
      </w:r>
      <w:r>
        <w:t xml:space="preserve">:  </w:t>
      </w:r>
      <w:r w:rsidR="004D471D">
        <w:t>I am not familiar with th</w:t>
      </w:r>
      <w:r>
        <w:t>e restriction with the crop loan</w:t>
      </w:r>
      <w:r w:rsidR="00CC4468">
        <w:t xml:space="preserve"> but we (SCG) can look into that. </w:t>
      </w:r>
    </w:p>
    <w:p w14:paraId="0FE0910A" w14:textId="079F3CE0" w:rsidR="00A44FDC" w:rsidRDefault="009345A6" w:rsidP="00A44FDC">
      <w:pPr>
        <w:pStyle w:val="BodyA"/>
      </w:pPr>
      <w:r w:rsidRPr="009345A6">
        <w:rPr>
          <w:b/>
        </w:rPr>
        <w:t>Response</w:t>
      </w:r>
      <w:r>
        <w:t>:  At SDG&amp;E t</w:t>
      </w:r>
      <w:r w:rsidR="004D471D">
        <w:t>he on-bill financing is more focused on the account’s ability to make payments and prior payment history.  This on-bill financing may show up more as ongoing maintenance rather than additional debt.</w:t>
      </w:r>
    </w:p>
    <w:p w14:paraId="67DD9E85" w14:textId="77777777" w:rsidR="0098163D" w:rsidRDefault="0098163D" w:rsidP="00EA2BCD">
      <w:pPr>
        <w:pStyle w:val="BodyA"/>
        <w:rPr>
          <w:u w:val="single"/>
        </w:rPr>
      </w:pPr>
    </w:p>
    <w:p w14:paraId="3BD3A7DD" w14:textId="153699B0" w:rsidR="00EA2BCD" w:rsidRPr="001A107A" w:rsidRDefault="004D471D" w:rsidP="008C3D87">
      <w:pPr>
        <w:pStyle w:val="Heading1"/>
      </w:pPr>
      <w:r w:rsidRPr="005C6041">
        <w:t xml:space="preserve"> [</w:t>
      </w:r>
      <w:r w:rsidR="007224E5" w:rsidRPr="005C6041">
        <w:t>Jarred</w:t>
      </w:r>
      <w:r w:rsidR="007F6392">
        <w:t xml:space="preserve"> Ross</w:t>
      </w:r>
      <w:r w:rsidR="007224E5" w:rsidRPr="005C6041">
        <w:t xml:space="preserve"> </w:t>
      </w:r>
      <w:r w:rsidRPr="005C6041">
        <w:t>/SCE]</w:t>
      </w:r>
    </w:p>
    <w:p w14:paraId="62CCF859" w14:textId="4C160888" w:rsidR="00BE5BD5" w:rsidRDefault="00BE5BD5" w:rsidP="00BE5BD5">
      <w:pPr>
        <w:pStyle w:val="BodyA"/>
        <w:numPr>
          <w:ilvl w:val="0"/>
          <w:numId w:val="13"/>
        </w:numPr>
      </w:pPr>
      <w:r>
        <w:t>Energy itself is not a primary driver for the business</w:t>
      </w:r>
      <w:r w:rsidR="00124749">
        <w:t xml:space="preserve"> </w:t>
      </w:r>
    </w:p>
    <w:p w14:paraId="3C288EAE" w14:textId="5D48A74B" w:rsidR="00BE5BD5" w:rsidRDefault="00BE5BD5" w:rsidP="00BE5BD5">
      <w:pPr>
        <w:pStyle w:val="BodyA"/>
        <w:numPr>
          <w:ilvl w:val="0"/>
          <w:numId w:val="13"/>
        </w:numPr>
      </w:pPr>
      <w:r>
        <w:lastRenderedPageBreak/>
        <w:t>3% of EE portfolio with 3% of portfolio savings, supported by the agriculture pump program</w:t>
      </w:r>
    </w:p>
    <w:p w14:paraId="09F08EC9" w14:textId="64104F60" w:rsidR="00BE5BD5" w:rsidRDefault="00BE5BD5" w:rsidP="00BE5BD5">
      <w:pPr>
        <w:pStyle w:val="BodyA"/>
        <w:numPr>
          <w:ilvl w:val="0"/>
          <w:numId w:val="13"/>
        </w:numPr>
      </w:pPr>
      <w:r>
        <w:t>We see opportunities in</w:t>
      </w:r>
      <w:r w:rsidR="00CC4468">
        <w:t xml:space="preserve"> our mid-size account customers</w:t>
      </w:r>
    </w:p>
    <w:p w14:paraId="78DB7543" w14:textId="0D1E59BF" w:rsidR="00A55E31" w:rsidRDefault="00BE5BD5" w:rsidP="00A55E31">
      <w:pPr>
        <w:pStyle w:val="BodyA"/>
        <w:numPr>
          <w:ilvl w:val="0"/>
          <w:numId w:val="13"/>
        </w:numPr>
      </w:pPr>
      <w:r>
        <w:t xml:space="preserve">Decision to change irrigation system may change the crop’s growing </w:t>
      </w:r>
      <w:r w:rsidR="00CC4468">
        <w:t>behavior (i.e. almond trees)</w:t>
      </w:r>
    </w:p>
    <w:p w14:paraId="756E1223" w14:textId="3A0796E0" w:rsidR="00A55E31" w:rsidRDefault="00A55E31" w:rsidP="00A55E31">
      <w:pPr>
        <w:pStyle w:val="BodyA"/>
        <w:numPr>
          <w:ilvl w:val="0"/>
          <w:numId w:val="13"/>
        </w:numPr>
      </w:pPr>
      <w:r>
        <w:t>We need to address in-door and cannabis growers’ energy efficiency practices—this is difficult to talk about but the market is emerging.  These growers may be a</w:t>
      </w:r>
      <w:r w:rsidR="00CC4468">
        <w:t>ble to incorporate EE practices</w:t>
      </w:r>
    </w:p>
    <w:p w14:paraId="0D11C72A" w14:textId="72A0937C" w:rsidR="00A55E31" w:rsidRDefault="00A55E31" w:rsidP="00F357C6">
      <w:pPr>
        <w:pStyle w:val="BodyA"/>
        <w:numPr>
          <w:ilvl w:val="0"/>
          <w:numId w:val="13"/>
        </w:numPr>
      </w:pPr>
      <w:r>
        <w:t xml:space="preserve">OBF participation has been historically low for this group.  Customers tend to have very short term borrowing needs.  12-month on-time payment and deposit on account are the current OBF loan requisite.  These </w:t>
      </w:r>
      <w:r w:rsidR="0068394D">
        <w:t xml:space="preserve">qualifying standards </w:t>
      </w:r>
      <w:r>
        <w:t>may need to be modified to make the OBF more accessible t</w:t>
      </w:r>
      <w:r w:rsidR="00CC4468">
        <w:t>o the smaller farming customers</w:t>
      </w:r>
    </w:p>
    <w:p w14:paraId="689B7DAE" w14:textId="5F6793A6" w:rsidR="007224E5" w:rsidRPr="00F357C6" w:rsidRDefault="007224E5" w:rsidP="00F357C6">
      <w:pPr>
        <w:pStyle w:val="BodyA"/>
        <w:numPr>
          <w:ilvl w:val="0"/>
          <w:numId w:val="13"/>
        </w:numPr>
      </w:pPr>
      <w:r>
        <w:t>Pump test is the primary entry for Agricultu</w:t>
      </w:r>
      <w:r w:rsidR="00CC4468">
        <w:t>ral customers into our programs</w:t>
      </w:r>
    </w:p>
    <w:p w14:paraId="0B4948C3" w14:textId="12F8B948" w:rsidR="00BE5BD5" w:rsidRPr="004D471D" w:rsidRDefault="00BE5BD5" w:rsidP="00EA2BCD">
      <w:pPr>
        <w:pStyle w:val="BodyA"/>
        <w:rPr>
          <w:u w:val="single"/>
        </w:rPr>
      </w:pPr>
    </w:p>
    <w:p w14:paraId="1405C141" w14:textId="77777777" w:rsidR="00EA2BCD" w:rsidRDefault="00EA2BCD">
      <w:pPr>
        <w:pStyle w:val="BodyA"/>
      </w:pPr>
    </w:p>
    <w:p w14:paraId="534C2B43" w14:textId="734652FA" w:rsidR="00A44FDC" w:rsidRPr="00613175" w:rsidRDefault="00613175" w:rsidP="00A44FDC">
      <w:pPr>
        <w:pStyle w:val="BodyA"/>
      </w:pPr>
      <w:r>
        <w:rPr>
          <w:b/>
        </w:rPr>
        <w:t xml:space="preserve">Question &amp; </w:t>
      </w:r>
      <w:r w:rsidR="00A44FDC" w:rsidRPr="00EA2BCD">
        <w:rPr>
          <w:b/>
        </w:rPr>
        <w:t>Response:</w:t>
      </w:r>
      <w:r w:rsidR="00A44FDC">
        <w:t xml:space="preserve"> </w:t>
      </w:r>
      <w:r w:rsidR="00A44FDC">
        <w:rPr>
          <w:b/>
        </w:rPr>
        <w:t xml:space="preserve"> </w:t>
      </w:r>
      <w:r w:rsidR="00A44FDC" w:rsidRPr="00EA2BCD">
        <w:rPr>
          <w:b/>
        </w:rPr>
        <w:t xml:space="preserve"> </w:t>
      </w:r>
    </w:p>
    <w:p w14:paraId="7EC545D6" w14:textId="7E886778" w:rsidR="00A44FDC" w:rsidRDefault="00A44FDC">
      <w:pPr>
        <w:pStyle w:val="BodyA"/>
      </w:pPr>
    </w:p>
    <w:p w14:paraId="51F656FC" w14:textId="76962013" w:rsidR="00613175" w:rsidRDefault="007224E5">
      <w:pPr>
        <w:pStyle w:val="BodyA"/>
      </w:pPr>
      <w:r w:rsidRPr="007224E5">
        <w:rPr>
          <w:b/>
        </w:rPr>
        <w:t>Comment</w:t>
      </w:r>
      <w:r>
        <w:t>: Staff</w:t>
      </w:r>
      <w:r w:rsidR="00613175">
        <w:t xml:space="preserve"> understand</w:t>
      </w:r>
      <w:r>
        <w:t>s</w:t>
      </w:r>
      <w:r w:rsidR="00613175">
        <w:t xml:space="preserve"> the importance of the pump testing program and we are looking at how to attribute pump testing savings.  We just want to make sure the energy savings are linked to the program activities.  </w:t>
      </w:r>
    </w:p>
    <w:p w14:paraId="17A34A72" w14:textId="7AB91DA7" w:rsidR="00613175" w:rsidRDefault="00613175">
      <w:pPr>
        <w:pStyle w:val="BodyA"/>
      </w:pPr>
    </w:p>
    <w:p w14:paraId="30C99D81" w14:textId="77777777" w:rsidR="007224E5" w:rsidRDefault="007224E5">
      <w:pPr>
        <w:pStyle w:val="BodyA"/>
      </w:pPr>
      <w:r w:rsidRPr="007224E5">
        <w:rPr>
          <w:b/>
        </w:rPr>
        <w:t>Comment</w:t>
      </w:r>
      <w:r>
        <w:t xml:space="preserve">:  </w:t>
      </w:r>
      <w:r w:rsidR="00613175">
        <w:t xml:space="preserve">Can you talk about the incoming farmers with formal education?  </w:t>
      </w:r>
    </w:p>
    <w:p w14:paraId="178F1734" w14:textId="77777777" w:rsidR="007224E5" w:rsidRDefault="007224E5">
      <w:pPr>
        <w:pStyle w:val="BodyA"/>
      </w:pPr>
      <w:r w:rsidRPr="007224E5">
        <w:rPr>
          <w:b/>
        </w:rPr>
        <w:t>Response</w:t>
      </w:r>
      <w:r>
        <w:t xml:space="preserve">:  </w:t>
      </w:r>
      <w:r w:rsidR="00613175">
        <w:t>We are working with Cal Poly and others to incorporate EE into the edu</w:t>
      </w:r>
      <w:r w:rsidR="00E87001">
        <w:t>cational program</w:t>
      </w:r>
      <w:r>
        <w:t xml:space="preserve"> at SCE</w:t>
      </w:r>
      <w:r w:rsidR="00E87001">
        <w:t xml:space="preserve">.  </w:t>
      </w:r>
    </w:p>
    <w:p w14:paraId="6C9205D9" w14:textId="77777777" w:rsidR="007F46AB" w:rsidRDefault="007224E5">
      <w:pPr>
        <w:pStyle w:val="BodyA"/>
      </w:pPr>
      <w:r w:rsidRPr="007F46AB">
        <w:rPr>
          <w:b/>
        </w:rPr>
        <w:t>Response</w:t>
      </w:r>
      <w:r>
        <w:t xml:space="preserve">:  </w:t>
      </w:r>
      <w:r w:rsidR="00613175">
        <w:t xml:space="preserve">This is definitely something </w:t>
      </w:r>
      <w:r w:rsidR="007F46AB">
        <w:t xml:space="preserve">PG&amp;E is </w:t>
      </w:r>
      <w:r w:rsidR="00613175">
        <w:t xml:space="preserve">doing.  </w:t>
      </w:r>
    </w:p>
    <w:p w14:paraId="2AB383E2" w14:textId="51B924C4" w:rsidR="00613175" w:rsidRDefault="007F46AB">
      <w:pPr>
        <w:pStyle w:val="BodyA"/>
      </w:pPr>
      <w:r w:rsidRPr="007F46AB">
        <w:rPr>
          <w:b/>
        </w:rPr>
        <w:t>Response</w:t>
      </w:r>
      <w:r>
        <w:t>:  SDG&amp;E</w:t>
      </w:r>
      <w:r w:rsidR="00613175">
        <w:t xml:space="preserve"> will take the feedback and will work with community college to strengthen this area.  It has been hard for the customers from this sector to take time to provide feedback, but we are looking forward to more feedback.</w:t>
      </w:r>
    </w:p>
    <w:p w14:paraId="3EA1226E" w14:textId="027DDD0B" w:rsidR="00613175" w:rsidRDefault="00613175">
      <w:pPr>
        <w:pStyle w:val="BodyA"/>
      </w:pPr>
    </w:p>
    <w:p w14:paraId="4B28B056" w14:textId="77777777" w:rsidR="007F46AB" w:rsidRDefault="007F46AB">
      <w:pPr>
        <w:pStyle w:val="BodyA"/>
      </w:pPr>
      <w:r w:rsidRPr="007F46AB">
        <w:rPr>
          <w:b/>
        </w:rPr>
        <w:t>Question</w:t>
      </w:r>
      <w:r>
        <w:t xml:space="preserve">: </w:t>
      </w:r>
      <w:r w:rsidR="00613175">
        <w:t xml:space="preserve">Has PACE </w:t>
      </w:r>
      <w:r w:rsidR="00227CDF">
        <w:t xml:space="preserve">been </w:t>
      </w:r>
      <w:r w:rsidR="00613175">
        <w:t>identified as a loan/financing solution?</w:t>
      </w:r>
      <w:r w:rsidR="00740B62">
        <w:t xml:space="preserve"> </w:t>
      </w:r>
    </w:p>
    <w:p w14:paraId="3195930A" w14:textId="1E00C439" w:rsidR="00613175" w:rsidRDefault="007F46AB">
      <w:pPr>
        <w:pStyle w:val="BodyA"/>
      </w:pPr>
      <w:r w:rsidRPr="007F46AB">
        <w:rPr>
          <w:b/>
        </w:rPr>
        <w:t>Response</w:t>
      </w:r>
      <w:r>
        <w:t>:</w:t>
      </w:r>
      <w:r w:rsidR="00740B62">
        <w:t xml:space="preserve"> No, </w:t>
      </w:r>
      <w:r>
        <w:t xml:space="preserve">SCE has </w:t>
      </w:r>
      <w:r w:rsidR="00740B62">
        <w:t>not looked at this.</w:t>
      </w:r>
    </w:p>
    <w:p w14:paraId="2824B0A1" w14:textId="77777777" w:rsidR="00740B62" w:rsidRDefault="00740B62">
      <w:pPr>
        <w:pStyle w:val="BodyA"/>
      </w:pPr>
    </w:p>
    <w:p w14:paraId="16CE8C21" w14:textId="61C4FB81" w:rsidR="00613175" w:rsidRDefault="00613175">
      <w:pPr>
        <w:pStyle w:val="BodyA"/>
      </w:pPr>
    </w:p>
    <w:p w14:paraId="1F366EDD" w14:textId="77777777" w:rsidR="00CC4468" w:rsidRDefault="00123FB8" w:rsidP="008C3D87">
      <w:pPr>
        <w:pStyle w:val="Heading1"/>
      </w:pPr>
      <w:r w:rsidRPr="001A107A">
        <w:t>Session-</w:t>
      </w:r>
      <w:r w:rsidR="00CC4468">
        <w:t>2</w:t>
      </w:r>
    </w:p>
    <w:p w14:paraId="239D6253" w14:textId="54A67202" w:rsidR="00EA2BCD" w:rsidRPr="001A107A" w:rsidRDefault="00740B62" w:rsidP="008C3D87">
      <w:pPr>
        <w:pStyle w:val="Heading1"/>
      </w:pPr>
      <w:r w:rsidRPr="001A107A">
        <w:t>[</w:t>
      </w:r>
      <w:r w:rsidR="005C6041" w:rsidRPr="005C6041">
        <w:t>Colleen Breitenstein</w:t>
      </w:r>
      <w:r w:rsidRPr="005C6041">
        <w:t>/PG&amp;E]</w:t>
      </w:r>
    </w:p>
    <w:p w14:paraId="41DBAD8A" w14:textId="627CB6F6" w:rsidR="00EA2BCD" w:rsidRDefault="00EA2BCD">
      <w:pPr>
        <w:pStyle w:val="BodyA"/>
      </w:pPr>
    </w:p>
    <w:p w14:paraId="6583EB9C" w14:textId="48E2A24C" w:rsidR="00740B62" w:rsidRDefault="00740B62" w:rsidP="00740B62">
      <w:pPr>
        <w:pStyle w:val="BodyA"/>
        <w:numPr>
          <w:ilvl w:val="0"/>
          <w:numId w:val="14"/>
        </w:numPr>
      </w:pPr>
      <w:r>
        <w:t xml:space="preserve">9600 </w:t>
      </w:r>
      <w:r w:rsidR="00CC4468">
        <w:t>electric and 2500 gas customers</w:t>
      </w:r>
    </w:p>
    <w:p w14:paraId="4355FDDA" w14:textId="751DED1A" w:rsidR="00740B62" w:rsidRDefault="00740B62" w:rsidP="00740B62">
      <w:pPr>
        <w:pStyle w:val="BodyA"/>
        <w:numPr>
          <w:ilvl w:val="0"/>
          <w:numId w:val="14"/>
        </w:numPr>
      </w:pPr>
      <w:r>
        <w:t>We want to continue</w:t>
      </w:r>
      <w:r w:rsidR="00776C39">
        <w:t xml:space="preserve"> </w:t>
      </w:r>
      <w:r>
        <w:t xml:space="preserve">successful </w:t>
      </w:r>
      <w:r w:rsidR="00776C39">
        <w:t xml:space="preserve">program </w:t>
      </w:r>
      <w:r w:rsidR="00CC4468">
        <w:t>measures to assist customers</w:t>
      </w:r>
    </w:p>
    <w:p w14:paraId="541BFD3F" w14:textId="50EA419F" w:rsidR="00740B62" w:rsidRDefault="00740B62" w:rsidP="00740B62">
      <w:pPr>
        <w:pStyle w:val="BodyA"/>
        <w:numPr>
          <w:ilvl w:val="0"/>
          <w:numId w:val="14"/>
        </w:numPr>
      </w:pPr>
      <w:r>
        <w:t>We want to continue to offer technical assi</w:t>
      </w:r>
      <w:r w:rsidR="00CC4468">
        <w:t>stance, and educate the vendors</w:t>
      </w:r>
    </w:p>
    <w:p w14:paraId="51D05D25" w14:textId="62BE1FBA" w:rsidR="00740B62" w:rsidRDefault="00556CBA" w:rsidP="00740B62">
      <w:pPr>
        <w:pStyle w:val="BodyA"/>
        <w:numPr>
          <w:ilvl w:val="0"/>
          <w:numId w:val="14"/>
        </w:numPr>
      </w:pPr>
      <w:r>
        <w:t>Over</w:t>
      </w:r>
      <w:r w:rsidR="007F46AB">
        <w:t xml:space="preserve"> </w:t>
      </w:r>
      <w:r>
        <w:t>time, we may need to phase-out incentive</w:t>
      </w:r>
      <w:r w:rsidR="007F46AB">
        <w:t>s</w:t>
      </w:r>
      <w:r>
        <w:t xml:space="preserve"> but not to create a void. We will be working with other partners to provid</w:t>
      </w:r>
      <w:r w:rsidR="00CC4468">
        <w:t>e services and financing offers</w:t>
      </w:r>
    </w:p>
    <w:p w14:paraId="0AE069F4" w14:textId="0C081CFB" w:rsidR="00776C39" w:rsidRDefault="00776C39" w:rsidP="00740B62">
      <w:pPr>
        <w:pStyle w:val="BodyA"/>
        <w:numPr>
          <w:ilvl w:val="0"/>
          <w:numId w:val="14"/>
        </w:numPr>
      </w:pPr>
      <w:r>
        <w:t>We want to move to create awareness of energy usage to as</w:t>
      </w:r>
      <w:r w:rsidR="00CC4468">
        <w:t>sist energy savings persistence</w:t>
      </w:r>
    </w:p>
    <w:p w14:paraId="78C7FC10" w14:textId="47880EDE" w:rsidR="00776C39" w:rsidRDefault="00776C39" w:rsidP="00740B62">
      <w:pPr>
        <w:pStyle w:val="BodyA"/>
        <w:numPr>
          <w:ilvl w:val="0"/>
          <w:numId w:val="14"/>
        </w:numPr>
      </w:pPr>
      <w:r>
        <w:t>Problem—water.  Decreasing availability of measures.  Custo</w:t>
      </w:r>
      <w:r w:rsidR="00CC4468">
        <w:t>mers lacks financial resources</w:t>
      </w:r>
    </w:p>
    <w:p w14:paraId="6B12678B" w14:textId="626C0659" w:rsidR="00776C39" w:rsidRDefault="00776C39" w:rsidP="00740B62">
      <w:pPr>
        <w:pStyle w:val="BodyA"/>
        <w:numPr>
          <w:ilvl w:val="0"/>
          <w:numId w:val="14"/>
        </w:numPr>
      </w:pPr>
      <w:r>
        <w:lastRenderedPageBreak/>
        <w:t>Would like to work on irrigation system optimization—perhaps the incentive can be offered by the water district, so PG&amp;E can offer services.  We need to work with partners.</w:t>
      </w:r>
      <w:r w:rsidR="007F46AB">
        <w:t xml:space="preserve">  We don’t have a “back bench” of measures waiting</w:t>
      </w:r>
      <w:r w:rsidR="00CC4468">
        <w:t xml:space="preserve"> to be deployed</w:t>
      </w:r>
    </w:p>
    <w:p w14:paraId="0BA1C265" w14:textId="585FEADF" w:rsidR="00776C39" w:rsidRDefault="00776C39" w:rsidP="00740B62">
      <w:pPr>
        <w:pStyle w:val="BodyA"/>
        <w:numPr>
          <w:ilvl w:val="0"/>
          <w:numId w:val="14"/>
        </w:numPr>
      </w:pPr>
      <w:r>
        <w:t>Want to in</w:t>
      </w:r>
      <w:r w:rsidR="00CC4468">
        <w:t>crease outreach and education</w:t>
      </w:r>
    </w:p>
    <w:p w14:paraId="33A33B9F" w14:textId="72C2475F" w:rsidR="00776C39" w:rsidRDefault="007F46AB" w:rsidP="00740B62">
      <w:pPr>
        <w:pStyle w:val="BodyA"/>
        <w:numPr>
          <w:ilvl w:val="0"/>
          <w:numId w:val="14"/>
        </w:numPr>
      </w:pPr>
      <w:r>
        <w:t xml:space="preserve">Farmers like deemed savings. Want to know what they are going to get up front. </w:t>
      </w:r>
      <w:r w:rsidR="00776C39">
        <w:t>Develop a calculator to support calculated program offering</w:t>
      </w:r>
      <w:r>
        <w:t xml:space="preserve"> but which reduces uncertainty up front</w:t>
      </w:r>
    </w:p>
    <w:p w14:paraId="700830B6" w14:textId="0140055A" w:rsidR="00673A66" w:rsidRDefault="00673A66" w:rsidP="00317AE3">
      <w:pPr>
        <w:pStyle w:val="BodyA"/>
        <w:numPr>
          <w:ilvl w:val="0"/>
          <w:numId w:val="14"/>
        </w:numPr>
      </w:pPr>
      <w:r>
        <w:t>The $100,000 cap for OBF is not enough for meaningful financing offering. PG&amp;E is looking at on-bill repayment as option</w:t>
      </w:r>
      <w:r w:rsidR="007F46AB">
        <w:t>, especially to work with Ag oriented banks that already have the relationships</w:t>
      </w:r>
      <w:r>
        <w:t>.  We need to work wi</w:t>
      </w:r>
      <w:r w:rsidR="00CC4468">
        <w:t>th the banks to explore options</w:t>
      </w:r>
    </w:p>
    <w:p w14:paraId="4C0B8115" w14:textId="505E2A26" w:rsidR="007F46AB" w:rsidRDefault="007F46AB" w:rsidP="00317AE3">
      <w:pPr>
        <w:pStyle w:val="BodyA"/>
        <w:numPr>
          <w:ilvl w:val="0"/>
          <w:numId w:val="14"/>
        </w:numPr>
      </w:pPr>
      <w:r>
        <w:t>Need energy to become a “standa</w:t>
      </w:r>
      <w:r w:rsidR="00CC4468">
        <w:t>lone” item on the P&amp;L statement</w:t>
      </w:r>
    </w:p>
    <w:p w14:paraId="729FB446" w14:textId="278A6819" w:rsidR="00CD74CF" w:rsidRDefault="00CD74CF" w:rsidP="00317AE3">
      <w:pPr>
        <w:pStyle w:val="BodyA"/>
        <w:numPr>
          <w:ilvl w:val="0"/>
          <w:numId w:val="14"/>
        </w:numPr>
      </w:pPr>
      <w:r>
        <w:t>Research/leverage what is going on in the international a</w:t>
      </w:r>
      <w:r w:rsidR="00CC4468">
        <w:t>rena, particularly ag in Israel</w:t>
      </w:r>
    </w:p>
    <w:p w14:paraId="13CAD0B2" w14:textId="5AA6832D" w:rsidR="00317AE3" w:rsidRDefault="00317AE3" w:rsidP="00317AE3">
      <w:pPr>
        <w:pStyle w:val="BodyA"/>
      </w:pPr>
    </w:p>
    <w:p w14:paraId="558294D7" w14:textId="4FC84F8C" w:rsidR="007F46AB" w:rsidRDefault="007F46AB" w:rsidP="00776C39">
      <w:pPr>
        <w:pStyle w:val="BodyA"/>
      </w:pPr>
      <w:r w:rsidRPr="007F46AB">
        <w:rPr>
          <w:b/>
        </w:rPr>
        <w:t>Question</w:t>
      </w:r>
      <w:r>
        <w:t xml:space="preserve">:  </w:t>
      </w:r>
      <w:r w:rsidR="00CC4468">
        <w:t>The W</w:t>
      </w:r>
      <w:r w:rsidR="00237178">
        <w:t>ater</w:t>
      </w:r>
      <w:r w:rsidR="00CC4468">
        <w:t xml:space="preserve"> Energy</w:t>
      </w:r>
      <w:r w:rsidR="00237178">
        <w:t xml:space="preserve"> Nexus calculator is really for multiple customer groups</w:t>
      </w:r>
      <w:r>
        <w:t>. Where will this be addressed</w:t>
      </w:r>
      <w:r w:rsidR="00CC4468">
        <w:t xml:space="preserve"> in Agriculture</w:t>
      </w:r>
      <w:r>
        <w:t>?</w:t>
      </w:r>
      <w:r w:rsidR="00237178">
        <w:t xml:space="preserve"> </w:t>
      </w:r>
    </w:p>
    <w:p w14:paraId="7BB6BAF6" w14:textId="604C1A39" w:rsidR="007F46AB" w:rsidRDefault="007F46AB" w:rsidP="00776C39">
      <w:pPr>
        <w:pStyle w:val="BodyA"/>
      </w:pPr>
      <w:r w:rsidRPr="007F46AB">
        <w:rPr>
          <w:b/>
        </w:rPr>
        <w:t>Response</w:t>
      </w:r>
      <w:r>
        <w:t>:</w:t>
      </w:r>
      <w:r w:rsidR="00CC4468">
        <w:t xml:space="preserve"> For e</w:t>
      </w:r>
      <w:r w:rsidR="00237178">
        <w:t xml:space="preserve">mbedded water savings, agriculture sector is likely to benefit the most.  For example, PG&amp;E’s water saving kit could try to incorporate the water savings.  We are trying to explore this right now.  We do not have </w:t>
      </w:r>
      <w:r w:rsidR="00CC4468">
        <w:t xml:space="preserve">a </w:t>
      </w:r>
      <w:r w:rsidR="00237178">
        <w:t xml:space="preserve">concrete answer yet.  </w:t>
      </w:r>
    </w:p>
    <w:p w14:paraId="78A0A391" w14:textId="77777777" w:rsidR="007F46AB" w:rsidRDefault="007F46AB" w:rsidP="00776C39">
      <w:pPr>
        <w:pStyle w:val="BodyA"/>
      </w:pPr>
      <w:r w:rsidRPr="007F46AB">
        <w:rPr>
          <w:b/>
        </w:rPr>
        <w:t>Response</w:t>
      </w:r>
      <w:r>
        <w:t xml:space="preserve">:  </w:t>
      </w:r>
      <w:r w:rsidR="00237178">
        <w:t>SDG&amp;E</w:t>
      </w:r>
      <w:r>
        <w:t xml:space="preserve"> </w:t>
      </w:r>
      <w:r w:rsidR="00237178">
        <w:t>agree</w:t>
      </w:r>
      <w:r>
        <w:t>s</w:t>
      </w:r>
      <w:r w:rsidR="00237178">
        <w:t xml:space="preserve"> with PG&amp;E.  </w:t>
      </w:r>
    </w:p>
    <w:p w14:paraId="29FE9C17" w14:textId="77777777" w:rsidR="007F46AB" w:rsidRDefault="007F46AB" w:rsidP="00776C39">
      <w:pPr>
        <w:pStyle w:val="BodyA"/>
      </w:pPr>
      <w:r w:rsidRPr="007F46AB">
        <w:rPr>
          <w:b/>
        </w:rPr>
        <w:t>Response</w:t>
      </w:r>
      <w:r>
        <w:t>:  SCE is i</w:t>
      </w:r>
      <w:r w:rsidR="00237178">
        <w:t xml:space="preserve">n the thinking stage.  We need to overcome the energy cost effectiveness.  We are currently exploring all possibilities so we can narrow down the options. </w:t>
      </w:r>
    </w:p>
    <w:p w14:paraId="144BCDFE" w14:textId="41CB41EB" w:rsidR="00776C39" w:rsidRDefault="007F46AB" w:rsidP="00776C39">
      <w:pPr>
        <w:pStyle w:val="BodyA"/>
      </w:pPr>
      <w:r w:rsidRPr="007F46AB">
        <w:rPr>
          <w:b/>
        </w:rPr>
        <w:t>Response</w:t>
      </w:r>
      <w:r>
        <w:t xml:space="preserve">:  </w:t>
      </w:r>
      <w:r w:rsidR="00237178">
        <w:t>SCG</w:t>
      </w:r>
      <w:r>
        <w:t xml:space="preserve"> is</w:t>
      </w:r>
      <w:r w:rsidR="00237178">
        <w:t xml:space="preserve"> working with water agencies (i.e., MWD is a SCG partner).  </w:t>
      </w:r>
    </w:p>
    <w:p w14:paraId="05EC1C94" w14:textId="39896D08" w:rsidR="00237178" w:rsidRDefault="00237178" w:rsidP="00776C39">
      <w:pPr>
        <w:pStyle w:val="BodyA"/>
      </w:pPr>
    </w:p>
    <w:p w14:paraId="5A22874F" w14:textId="69C78FDE" w:rsidR="00237178" w:rsidRDefault="007F46AB" w:rsidP="00776C39">
      <w:pPr>
        <w:pStyle w:val="BodyA"/>
      </w:pPr>
      <w:r w:rsidRPr="007F46AB">
        <w:rPr>
          <w:b/>
        </w:rPr>
        <w:t>Comment</w:t>
      </w:r>
      <w:r>
        <w:t xml:space="preserve">: </w:t>
      </w:r>
      <w:r w:rsidR="00237178">
        <w:t xml:space="preserve">The purpose of Water calculator is to identify the benefits and fiscal responsibilities. The news </w:t>
      </w:r>
      <w:r w:rsidR="00E87001">
        <w:t>is</w:t>
      </w:r>
      <w:r w:rsidR="00237178">
        <w:t xml:space="preserve"> not good from</w:t>
      </w:r>
      <w:r w:rsidR="00E87001">
        <w:t xml:space="preserve"> the initial findings. W</w:t>
      </w:r>
      <w:r w:rsidR="00237178">
        <w:t xml:space="preserve">e need to explore electric cost effectiveness. </w:t>
      </w:r>
      <w:r w:rsidRPr="007F46AB">
        <w:rPr>
          <w:b/>
        </w:rPr>
        <w:t>Response</w:t>
      </w:r>
      <w:r>
        <w:t xml:space="preserve">:  </w:t>
      </w:r>
      <w:r w:rsidR="00237178">
        <w:t xml:space="preserve">A report has been posted.  </w:t>
      </w:r>
    </w:p>
    <w:p w14:paraId="29D8A44C" w14:textId="6B16C81A" w:rsidR="00237178" w:rsidRDefault="00237178" w:rsidP="00776C39">
      <w:pPr>
        <w:pStyle w:val="BodyA"/>
      </w:pPr>
    </w:p>
    <w:p w14:paraId="2D78FE81" w14:textId="6FD01AFB" w:rsidR="001D2960" w:rsidRDefault="007F46AB" w:rsidP="00776C39">
      <w:pPr>
        <w:pStyle w:val="BodyA"/>
      </w:pPr>
      <w:r w:rsidRPr="001D2960">
        <w:rPr>
          <w:b/>
        </w:rPr>
        <w:t>Facilitator comment</w:t>
      </w:r>
      <w:r>
        <w:t xml:space="preserve">:  </w:t>
      </w:r>
      <w:r w:rsidR="00237178">
        <w:t xml:space="preserve"> PG&amp;E </w:t>
      </w:r>
      <w:r>
        <w:t xml:space="preserve">expressed </w:t>
      </w:r>
      <w:r w:rsidR="00237178">
        <w:t>frustrat</w:t>
      </w:r>
      <w:r>
        <w:t>ion</w:t>
      </w:r>
      <w:r w:rsidR="00237178">
        <w:t xml:space="preserve"> with shortage of market characterization data</w:t>
      </w:r>
      <w:r w:rsidR="001A2222">
        <w:t>.  I</w:t>
      </w:r>
      <w:r>
        <w:t xml:space="preserve">s that an area </w:t>
      </w:r>
      <w:r w:rsidR="001D2960">
        <w:t>needing more research?</w:t>
      </w:r>
      <w:r w:rsidR="00237178">
        <w:t xml:space="preserve"> </w:t>
      </w:r>
    </w:p>
    <w:p w14:paraId="37915F1D" w14:textId="77777777" w:rsidR="002F2CEF" w:rsidRDefault="002F2CEF" w:rsidP="00776C39">
      <w:pPr>
        <w:pStyle w:val="BodyA"/>
      </w:pPr>
      <w:r w:rsidRPr="002F2CEF">
        <w:rPr>
          <w:b/>
        </w:rPr>
        <w:t>Response</w:t>
      </w:r>
      <w:r>
        <w:t>:  PG&amp;E</w:t>
      </w:r>
      <w:r w:rsidR="00237178">
        <w:t xml:space="preserve"> authorized additional local market characterization data needs.  </w:t>
      </w:r>
    </w:p>
    <w:p w14:paraId="1F2F3A34" w14:textId="77777777" w:rsidR="002F2CEF" w:rsidRDefault="002F2CEF" w:rsidP="00776C39">
      <w:pPr>
        <w:pStyle w:val="BodyA"/>
      </w:pPr>
      <w:r w:rsidRPr="002F2CEF">
        <w:rPr>
          <w:b/>
        </w:rPr>
        <w:t>Question</w:t>
      </w:r>
      <w:r>
        <w:t>:  How granular</w:t>
      </w:r>
      <w:r w:rsidR="00237178">
        <w:t xml:space="preserve"> a market characterization data are you asking</w:t>
      </w:r>
      <w:r>
        <w:t>,</w:t>
      </w:r>
      <w:r w:rsidR="00237178">
        <w:t xml:space="preserve"> since we have a Navigant study available?  </w:t>
      </w:r>
    </w:p>
    <w:p w14:paraId="59E2C9E1" w14:textId="77777777" w:rsidR="002F2CEF" w:rsidRDefault="002F2CEF" w:rsidP="00776C39">
      <w:pPr>
        <w:pStyle w:val="BodyA"/>
      </w:pPr>
      <w:r w:rsidRPr="002F2CEF">
        <w:rPr>
          <w:b/>
        </w:rPr>
        <w:t>Response</w:t>
      </w:r>
      <w:r>
        <w:t>:  PG&amp;E needs</w:t>
      </w:r>
      <w:r w:rsidR="00237178">
        <w:t xml:space="preserve"> to </w:t>
      </w:r>
      <w:r w:rsidR="004C51C6">
        <w:t>have more data on baseline to help us build a measure</w:t>
      </w:r>
      <w:r w:rsidR="00E87001">
        <w:t xml:space="preserve"> or build a program.  </w:t>
      </w:r>
    </w:p>
    <w:p w14:paraId="035D55D8" w14:textId="0B49D6BF" w:rsidR="002F2CEF" w:rsidRDefault="002F2CEF" w:rsidP="00776C39">
      <w:pPr>
        <w:pStyle w:val="BodyA"/>
      </w:pPr>
      <w:r w:rsidRPr="002F2CEF">
        <w:rPr>
          <w:b/>
        </w:rPr>
        <w:t>Response</w:t>
      </w:r>
      <w:r>
        <w:t xml:space="preserve">:  PG&amp;E </w:t>
      </w:r>
      <w:r w:rsidR="004C51C6">
        <w:t>need</w:t>
      </w:r>
      <w:r>
        <w:t>s</w:t>
      </w:r>
      <w:r w:rsidR="004C51C6">
        <w:t xml:space="preserve"> to better understand the standard practice.  We need to better understand how the customers are using their equipment (i.e., what is the standa</w:t>
      </w:r>
      <w:r w:rsidR="001A2222">
        <w:t>rd practice for that equipment?</w:t>
      </w:r>
      <w:r w:rsidR="004C51C6">
        <w:t xml:space="preserve">).  </w:t>
      </w:r>
    </w:p>
    <w:p w14:paraId="3FA2F57E" w14:textId="5171D129" w:rsidR="002F2CEF" w:rsidRDefault="002F2CEF" w:rsidP="00776C39">
      <w:pPr>
        <w:pStyle w:val="BodyA"/>
      </w:pPr>
      <w:r w:rsidRPr="002F2CEF">
        <w:rPr>
          <w:b/>
        </w:rPr>
        <w:t>Response</w:t>
      </w:r>
      <w:r>
        <w:t>: T</w:t>
      </w:r>
      <w:r w:rsidR="004C51C6">
        <w:t xml:space="preserve">he Navigant Study was very important and valuable.  But, that study was done before the </w:t>
      </w:r>
      <w:r w:rsidR="001A2222">
        <w:t>drought</w:t>
      </w:r>
      <w:r w:rsidR="004C51C6">
        <w:t xml:space="preserve"> started and more recent policy changes, an update is needed. </w:t>
      </w:r>
    </w:p>
    <w:p w14:paraId="3A2A3382" w14:textId="77777777" w:rsidR="002F2CEF" w:rsidRDefault="002F2CEF" w:rsidP="00776C39">
      <w:pPr>
        <w:pStyle w:val="BodyA"/>
      </w:pPr>
      <w:r w:rsidRPr="002F2CEF">
        <w:rPr>
          <w:b/>
        </w:rPr>
        <w:t>Response</w:t>
      </w:r>
      <w:r>
        <w:t>:  PG&amp;E</w:t>
      </w:r>
      <w:r w:rsidR="004C51C6">
        <w:t xml:space="preserve"> need</w:t>
      </w:r>
      <w:r>
        <w:t>s</w:t>
      </w:r>
      <w:r w:rsidR="004C51C6">
        <w:t xml:space="preserve"> to improve our knowledge of new ground water regulation and new methane regulatory.  </w:t>
      </w:r>
    </w:p>
    <w:p w14:paraId="64078F12" w14:textId="6680C917" w:rsidR="00237178" w:rsidRDefault="002F2CEF" w:rsidP="00776C39">
      <w:pPr>
        <w:pStyle w:val="BodyA"/>
      </w:pPr>
      <w:r w:rsidRPr="002F2CEF">
        <w:rPr>
          <w:b/>
        </w:rPr>
        <w:t>Response</w:t>
      </w:r>
      <w:r>
        <w:t>:  SDG&amp;E</w:t>
      </w:r>
      <w:r w:rsidR="004C51C6">
        <w:t xml:space="preserve"> not only need</w:t>
      </w:r>
      <w:r>
        <w:t>s</w:t>
      </w:r>
      <w:r w:rsidR="004C51C6">
        <w:t xml:space="preserve"> to understand the latest standard practice, but we need to know what </w:t>
      </w:r>
      <w:r w:rsidR="001A2222">
        <w:t xml:space="preserve">we </w:t>
      </w:r>
      <w:r w:rsidR="004C51C6">
        <w:t xml:space="preserve">can </w:t>
      </w:r>
      <w:r w:rsidR="001A2222">
        <w:t>do to</w:t>
      </w:r>
      <w:r w:rsidR="004C51C6">
        <w:t xml:space="preserve"> help this sector cost effectively.</w:t>
      </w:r>
    </w:p>
    <w:p w14:paraId="262D09E0" w14:textId="36A62E12" w:rsidR="00D23918" w:rsidRDefault="00D23918" w:rsidP="00776C39">
      <w:pPr>
        <w:pStyle w:val="BodyA"/>
      </w:pPr>
    </w:p>
    <w:p w14:paraId="63F2A401" w14:textId="77777777" w:rsidR="001A2222" w:rsidRDefault="001A2222">
      <w:pPr>
        <w:rPr>
          <w:rFonts w:asciiTheme="majorHAnsi" w:eastAsiaTheme="majorEastAsia" w:hAnsiTheme="majorHAnsi" w:cstheme="majorBidi"/>
          <w:color w:val="2F759E" w:themeColor="accent1" w:themeShade="BF"/>
          <w:sz w:val="32"/>
          <w:szCs w:val="32"/>
        </w:rPr>
      </w:pPr>
      <w:r>
        <w:br w:type="page"/>
      </w:r>
    </w:p>
    <w:p w14:paraId="30502103" w14:textId="75AF5F94" w:rsidR="00D23918" w:rsidRDefault="00D23918" w:rsidP="00D23918">
      <w:pPr>
        <w:pStyle w:val="Heading1"/>
      </w:pPr>
      <w:r>
        <w:lastRenderedPageBreak/>
        <w:t xml:space="preserve">Q&amp;A - General Session </w:t>
      </w:r>
    </w:p>
    <w:p w14:paraId="20423F3C" w14:textId="77777777" w:rsidR="00D23918" w:rsidRDefault="00D23918" w:rsidP="00776C39">
      <w:pPr>
        <w:pStyle w:val="BodyA"/>
      </w:pPr>
    </w:p>
    <w:p w14:paraId="5D846C66" w14:textId="482D3922" w:rsidR="004C51C6" w:rsidRDefault="004C51C6" w:rsidP="00776C39">
      <w:pPr>
        <w:pStyle w:val="BodyA"/>
      </w:pPr>
    </w:p>
    <w:p w14:paraId="4E9BD94D" w14:textId="4597667A" w:rsidR="002F2CEF" w:rsidRDefault="002F2CEF" w:rsidP="00776C39">
      <w:pPr>
        <w:pStyle w:val="BodyA"/>
      </w:pPr>
      <w:r w:rsidRPr="002F2CEF">
        <w:rPr>
          <w:b/>
        </w:rPr>
        <w:t>Facilitator Question</w:t>
      </w:r>
      <w:r>
        <w:t xml:space="preserve">: </w:t>
      </w:r>
      <w:r w:rsidR="001A2222">
        <w:t>Can Farm B</w:t>
      </w:r>
      <w:r w:rsidR="004C51C6">
        <w:t xml:space="preserve">ureau provide some </w:t>
      </w:r>
      <w:r>
        <w:t xml:space="preserve">additional </w:t>
      </w:r>
      <w:r w:rsidR="004C51C6">
        <w:t>thoughts for today’s di</w:t>
      </w:r>
      <w:r w:rsidR="00E87001">
        <w:t xml:space="preserve">scussion?  </w:t>
      </w:r>
    </w:p>
    <w:p w14:paraId="09F5AC37" w14:textId="22C98C29" w:rsidR="004C51C6" w:rsidRDefault="002F2CEF" w:rsidP="00776C39">
      <w:pPr>
        <w:pStyle w:val="BodyA"/>
      </w:pPr>
      <w:r w:rsidRPr="002F2CEF">
        <w:rPr>
          <w:b/>
        </w:rPr>
        <w:t>Response</w:t>
      </w:r>
      <w:r>
        <w:t xml:space="preserve">: </w:t>
      </w:r>
      <w:r w:rsidR="004C51C6">
        <w:t>The farm industry is very diverse and impossible to do a one-size fits all program.  Most crops are also graded on the quality of production.  The concern is about producing more and generating higher quality farm products.  It is very difficult for the utilities to develop cookie cutter program such as HVAC/Lighting.  This difference must be recognized.  Water is very important.</w:t>
      </w:r>
    </w:p>
    <w:p w14:paraId="39365CD4" w14:textId="5A375915" w:rsidR="004C51C6" w:rsidRDefault="004C51C6" w:rsidP="00776C39">
      <w:pPr>
        <w:pStyle w:val="BodyA"/>
      </w:pPr>
    </w:p>
    <w:p w14:paraId="68E7AA21" w14:textId="3C64AFFC" w:rsidR="00C42B25" w:rsidRDefault="00001F07" w:rsidP="00776C39">
      <w:pPr>
        <w:pStyle w:val="BodyA"/>
      </w:pPr>
      <w:r w:rsidRPr="00001F07">
        <w:rPr>
          <w:b/>
        </w:rPr>
        <w:t>Facilitator Question:</w:t>
      </w:r>
      <w:r>
        <w:t xml:space="preserve">  </w:t>
      </w:r>
      <w:r w:rsidR="00C42B25">
        <w:t>Is the situation with diversity of customers on par with our discussions in the Industrial Sector SC meeting last week in that t</w:t>
      </w:r>
      <w:r w:rsidR="004C51C6">
        <w:t>he diversity</w:t>
      </w:r>
      <w:r w:rsidR="00C42B25">
        <w:t xml:space="preserve"> of the overall market</w:t>
      </w:r>
      <w:r w:rsidR="004C51C6">
        <w:t xml:space="preserve"> </w:t>
      </w:r>
      <w:r w:rsidR="00C42B25">
        <w:t xml:space="preserve">is high and to get to customer similarity you have to drill down too many levels of </w:t>
      </w:r>
      <w:r w:rsidR="004C51C6">
        <w:t>sub-segment</w:t>
      </w:r>
      <w:r w:rsidR="00C42B25">
        <w:t>s</w:t>
      </w:r>
      <w:r w:rsidR="004C51C6">
        <w:t xml:space="preserve"> making it almost impossible to utilize benchmarking as a tool</w:t>
      </w:r>
      <w:r w:rsidR="00C42B25">
        <w:t>?</w:t>
      </w:r>
      <w:r w:rsidR="004C51C6">
        <w:t xml:space="preserve">  </w:t>
      </w:r>
    </w:p>
    <w:p w14:paraId="7DC02358" w14:textId="198732F8" w:rsidR="00C42B25" w:rsidRDefault="00C42B25" w:rsidP="00776C39">
      <w:pPr>
        <w:pStyle w:val="BodyA"/>
      </w:pPr>
      <w:r w:rsidRPr="00C42B25">
        <w:rPr>
          <w:b/>
        </w:rPr>
        <w:t>Answer</w:t>
      </w:r>
      <w:r>
        <w:t>:</w:t>
      </w:r>
      <w:r w:rsidR="004C51C6">
        <w:t xml:space="preserve"> This agriculture </w:t>
      </w:r>
      <w:r w:rsidR="001A2222">
        <w:t xml:space="preserve">market </w:t>
      </w:r>
      <w:r w:rsidR="004C51C6">
        <w:t>is very complex making it difficult for program design.  The farming</w:t>
      </w:r>
      <w:r w:rsidR="00E87001">
        <w:t xml:space="preserve"> variables (pumping schedule, type of crop, etc.)</w:t>
      </w:r>
      <w:r w:rsidR="001A2222">
        <w:t xml:space="preserve"> complicate things</w:t>
      </w:r>
      <w:r w:rsidR="00E87001">
        <w:t xml:space="preserve">.  PG&amp;E would like to create a custom calculation using a deemed approach. </w:t>
      </w:r>
    </w:p>
    <w:p w14:paraId="017B29E9" w14:textId="72BB0565" w:rsidR="00C42B25" w:rsidRDefault="00C42B25" w:rsidP="00776C39">
      <w:pPr>
        <w:pStyle w:val="BodyA"/>
      </w:pPr>
      <w:r w:rsidRPr="00C42B25">
        <w:rPr>
          <w:b/>
        </w:rPr>
        <w:t>Comment</w:t>
      </w:r>
      <w:r>
        <w:t>: What is the scope and sectors of this new calculator…is it just for Ag customers. Please clarify.</w:t>
      </w:r>
    </w:p>
    <w:p w14:paraId="4945CF1F" w14:textId="0BCAE177" w:rsidR="00C42B25" w:rsidRDefault="00C42B25" w:rsidP="00776C39">
      <w:pPr>
        <w:pStyle w:val="BodyA"/>
      </w:pPr>
      <w:r w:rsidRPr="00C42B25">
        <w:rPr>
          <w:b/>
        </w:rPr>
        <w:t>Response</w:t>
      </w:r>
      <w:r>
        <w:t xml:space="preserve">:  The reason for the calculator approach is that </w:t>
      </w:r>
      <w:r w:rsidR="00E87001">
        <w:t>deemed measure</w:t>
      </w:r>
      <w:r>
        <w:t>s</w:t>
      </w:r>
      <w:r w:rsidR="00E87001">
        <w:t xml:space="preserve"> does not account for site variability</w:t>
      </w:r>
      <w:r>
        <w:t>—</w:t>
      </w:r>
      <w:r w:rsidR="001A2222">
        <w:t xml:space="preserve">we have recently found that </w:t>
      </w:r>
      <w:r>
        <w:t>some customers might get very little savings due to soil conditions, for example</w:t>
      </w:r>
      <w:r w:rsidR="00E87001">
        <w:t xml:space="preserve">.  We need to calibrate our energy savings so we can provide customer information to facilitate planning, but still provide sufficient information for a deemed savings approach. </w:t>
      </w:r>
    </w:p>
    <w:p w14:paraId="18616AB9" w14:textId="2D6F31E3" w:rsidR="004C51C6" w:rsidRDefault="00C42B25" w:rsidP="00776C39">
      <w:pPr>
        <w:pStyle w:val="BodyA"/>
      </w:pPr>
      <w:r w:rsidRPr="00C42B25">
        <w:rPr>
          <w:b/>
        </w:rPr>
        <w:t>Comment</w:t>
      </w:r>
      <w:r>
        <w:t xml:space="preserve">:  PG&amp;E is </w:t>
      </w:r>
      <w:r w:rsidR="00E87001">
        <w:t>still trying to figure this out.</w:t>
      </w:r>
      <w:r>
        <w:t xml:space="preserve">  The calculator is actually not just for Ag.  It includes embedded en</w:t>
      </w:r>
      <w:r w:rsidR="0043486E">
        <w:t>ergy savings in the water.  Embedded energy is a huge opportunity overall, but Ag is the biggest opportunity, so that is the focus of this calculator approach.</w:t>
      </w:r>
    </w:p>
    <w:p w14:paraId="10C9EBFE" w14:textId="77777777" w:rsidR="0043486E" w:rsidRDefault="0043486E" w:rsidP="00776C39">
      <w:pPr>
        <w:pStyle w:val="BodyA"/>
      </w:pPr>
    </w:p>
    <w:p w14:paraId="1DD9974D" w14:textId="544EF256" w:rsidR="0043486E" w:rsidRDefault="0043486E" w:rsidP="00776C39">
      <w:pPr>
        <w:pStyle w:val="BodyA"/>
      </w:pPr>
      <w:r w:rsidRPr="0043486E">
        <w:rPr>
          <w:b/>
        </w:rPr>
        <w:t>Question</w:t>
      </w:r>
      <w:r>
        <w:t>:  What’s new potential that that realm (future ideas)?</w:t>
      </w:r>
    </w:p>
    <w:p w14:paraId="44A959E5" w14:textId="013849C2" w:rsidR="00E87001" w:rsidRDefault="0043486E" w:rsidP="00776C39">
      <w:pPr>
        <w:pStyle w:val="BodyA"/>
      </w:pPr>
      <w:r w:rsidRPr="0043486E">
        <w:rPr>
          <w:b/>
        </w:rPr>
        <w:t>Response</w:t>
      </w:r>
      <w:r>
        <w:t xml:space="preserve">:  Measures that save water and energy.  We need to modify our </w:t>
      </w:r>
      <w:r w:rsidR="001A2222">
        <w:t xml:space="preserve">PG&amp;E </w:t>
      </w:r>
      <w:r>
        <w:t xml:space="preserve">work papers and assumptions on existing measures to include water savings and branch into more water savings measures, such as water energy savings kits.  </w:t>
      </w:r>
    </w:p>
    <w:p w14:paraId="0347585E" w14:textId="77777777" w:rsidR="00516B38" w:rsidRDefault="00516B38" w:rsidP="00776C39">
      <w:pPr>
        <w:pStyle w:val="BodyA"/>
        <w:rPr>
          <w:b/>
        </w:rPr>
      </w:pPr>
    </w:p>
    <w:p w14:paraId="6315C777" w14:textId="403D2C2D" w:rsidR="00516B38" w:rsidRDefault="00516B38" w:rsidP="00776C39">
      <w:pPr>
        <w:pStyle w:val="BodyA"/>
      </w:pPr>
      <w:r>
        <w:rPr>
          <w:b/>
        </w:rPr>
        <w:t xml:space="preserve">Comment:  </w:t>
      </w:r>
      <w:r w:rsidRPr="00516B38">
        <w:t xml:space="preserve">Part of the data problem with the potential studies is a lack of standard procedures. </w:t>
      </w:r>
    </w:p>
    <w:p w14:paraId="05D47EFC" w14:textId="79D64D9E" w:rsidR="00516B38" w:rsidRDefault="00516B38" w:rsidP="00776C39">
      <w:pPr>
        <w:pStyle w:val="BodyA"/>
      </w:pPr>
      <w:r w:rsidRPr="00516B38">
        <w:rPr>
          <w:b/>
        </w:rPr>
        <w:t>Comment</w:t>
      </w:r>
      <w:r>
        <w:t>:  I want to clarify our view that the Navigant study was important and the 1</w:t>
      </w:r>
      <w:r w:rsidRPr="00516B38">
        <w:rPr>
          <w:vertAlign w:val="superscript"/>
        </w:rPr>
        <w:t>st</w:t>
      </w:r>
      <w:r>
        <w:t xml:space="preserve"> study and it was very a good study.  It’s not dated in the sense of time but the problem is that the drought and recent legislation about drought and groundwater has changed the Ag industry context and how they use water enough that the study isn’t as applicable.  There are also new methane regulations that will really impact dairy operations. </w:t>
      </w:r>
    </w:p>
    <w:p w14:paraId="2D6CB0A5" w14:textId="77777777" w:rsidR="00516B38" w:rsidRDefault="00516B38" w:rsidP="00776C39">
      <w:pPr>
        <w:pStyle w:val="BodyA"/>
      </w:pPr>
    </w:p>
    <w:p w14:paraId="351819F2" w14:textId="7266C950" w:rsidR="0031229E" w:rsidRDefault="00516B38" w:rsidP="00776C39">
      <w:pPr>
        <w:pStyle w:val="BodyA"/>
      </w:pPr>
      <w:r w:rsidRPr="0031229E">
        <w:rPr>
          <w:b/>
        </w:rPr>
        <w:t>Comment</w:t>
      </w:r>
      <w:r>
        <w:t xml:space="preserve">:  Last year’s </w:t>
      </w:r>
      <w:r w:rsidR="0031229E">
        <w:t>SDG&amp;E market characterization study is helping SDG&amp;E to understand the sub-sectors in Agriculture better and helping to show how to better approach the market with EE solutions.</w:t>
      </w:r>
    </w:p>
    <w:p w14:paraId="77F1240E" w14:textId="77777777" w:rsidR="0031229E" w:rsidRDefault="0031229E" w:rsidP="00776C39">
      <w:pPr>
        <w:pStyle w:val="BodyA"/>
      </w:pPr>
    </w:p>
    <w:p w14:paraId="4E86B2AC" w14:textId="77777777" w:rsidR="0031229E" w:rsidRDefault="0031229E" w:rsidP="00776C39">
      <w:pPr>
        <w:pStyle w:val="BodyA"/>
      </w:pPr>
      <w:r w:rsidRPr="0031229E">
        <w:rPr>
          <w:b/>
        </w:rPr>
        <w:t>Comment</w:t>
      </w:r>
      <w:r>
        <w:t xml:space="preserve">:  Diversity in Ag is high.  </w:t>
      </w:r>
    </w:p>
    <w:p w14:paraId="790121D2" w14:textId="245F3F16" w:rsidR="0031229E" w:rsidRDefault="0031229E" w:rsidP="00776C39">
      <w:pPr>
        <w:pStyle w:val="BodyA"/>
      </w:pPr>
      <w:r w:rsidRPr="0031229E">
        <w:rPr>
          <w:b/>
        </w:rPr>
        <w:t>Response</w:t>
      </w:r>
      <w:r>
        <w:t xml:space="preserve">:  We need to figure out how to group and manage that diversity.  PG&amp;E cares about the Ag industry and they have so much at stake at this juncture.  They have been talking to lots </w:t>
      </w:r>
      <w:r>
        <w:lastRenderedPageBreak/>
        <w:t>of growers to learn more about how to support them. Key considerations are:  soil quality—no one size fits all, unique growing practices, quality of crops, drainage rates, evapotranspiration rates</w:t>
      </w:r>
      <w:r w:rsidR="001A2222">
        <w:t>, etc.</w:t>
      </w:r>
      <w:r>
        <w:t xml:space="preserve">  The differences have to be recognized. More attention is required on water efficiency. That is why the deemed measure calculator is so useful.</w:t>
      </w:r>
    </w:p>
    <w:p w14:paraId="3927ACDF" w14:textId="2166EF23" w:rsidR="0031229E" w:rsidRDefault="0031229E" w:rsidP="00776C39">
      <w:pPr>
        <w:pStyle w:val="BodyA"/>
      </w:pPr>
      <w:r w:rsidRPr="0031229E">
        <w:rPr>
          <w:b/>
        </w:rPr>
        <w:t>Question</w:t>
      </w:r>
      <w:r>
        <w:t>:  Are you developing new deemed values or just taking inputs from users in the calculator?</w:t>
      </w:r>
    </w:p>
    <w:p w14:paraId="04F0C4E5" w14:textId="23BE3AFE" w:rsidR="0031229E" w:rsidRDefault="0031229E" w:rsidP="00776C39">
      <w:pPr>
        <w:pStyle w:val="BodyA"/>
      </w:pPr>
      <w:r w:rsidRPr="0031229E">
        <w:rPr>
          <w:b/>
        </w:rPr>
        <w:t>Response</w:t>
      </w:r>
      <w:r>
        <w:t xml:space="preserve">:  Just collecting inputs. </w:t>
      </w:r>
    </w:p>
    <w:p w14:paraId="53E9E5C8" w14:textId="5CD3C232" w:rsidR="0031229E" w:rsidRDefault="0031229E" w:rsidP="00776C39">
      <w:pPr>
        <w:pStyle w:val="BodyA"/>
      </w:pPr>
      <w:r w:rsidRPr="0031229E">
        <w:rPr>
          <w:b/>
        </w:rPr>
        <w:t>Response</w:t>
      </w:r>
      <w:r>
        <w:t>:  I like this idea</w:t>
      </w:r>
      <w:r w:rsidR="001032D3">
        <w:t>.</w:t>
      </w:r>
    </w:p>
    <w:p w14:paraId="175AE8EC" w14:textId="77777777" w:rsidR="00547875" w:rsidRDefault="00547875" w:rsidP="00776C39">
      <w:pPr>
        <w:pStyle w:val="BodyA"/>
        <w:rPr>
          <w:b/>
        </w:rPr>
      </w:pPr>
    </w:p>
    <w:p w14:paraId="7A8509BE" w14:textId="6A74A13F" w:rsidR="001032D3" w:rsidRDefault="001032D3" w:rsidP="00776C39">
      <w:pPr>
        <w:pStyle w:val="BodyA"/>
      </w:pPr>
      <w:r w:rsidRPr="00547875">
        <w:rPr>
          <w:b/>
        </w:rPr>
        <w:t>Comment</w:t>
      </w:r>
      <w:r>
        <w:t xml:space="preserve">:  </w:t>
      </w:r>
      <w:r w:rsidR="00547875">
        <w:t>Not every measure is appropriate for similar operations depending on their site conditions and processes.</w:t>
      </w:r>
    </w:p>
    <w:p w14:paraId="44184BB5" w14:textId="77777777" w:rsidR="00516B38" w:rsidRDefault="00516B38" w:rsidP="00776C39">
      <w:pPr>
        <w:pStyle w:val="BodyA"/>
      </w:pPr>
    </w:p>
    <w:p w14:paraId="2D86748A" w14:textId="508CC557" w:rsidR="0043486E" w:rsidRDefault="0031229E" w:rsidP="00776C39">
      <w:pPr>
        <w:pStyle w:val="BodyA"/>
      </w:pPr>
      <w:r>
        <w:rPr>
          <w:b/>
        </w:rPr>
        <w:t>Comment</w:t>
      </w:r>
      <w:r w:rsidR="0043486E">
        <w:t xml:space="preserve">: </w:t>
      </w:r>
      <w:r w:rsidR="001A2222">
        <w:t>The Farm Bureau</w:t>
      </w:r>
      <w:r w:rsidR="0043486E">
        <w:t xml:space="preserve"> is </w:t>
      </w:r>
      <w:r w:rsidR="001A2222">
        <w:t xml:space="preserve">aware of </w:t>
      </w:r>
      <w:r w:rsidR="0043486E">
        <w:t xml:space="preserve">a Federal </w:t>
      </w:r>
      <w:r w:rsidR="00547875">
        <w:t>REAP</w:t>
      </w:r>
      <w:r w:rsidR="00516B38">
        <w:t xml:space="preserve"> program that serves farmers. </w:t>
      </w:r>
      <w:r w:rsidR="00E87001">
        <w:t xml:space="preserve">If we </w:t>
      </w:r>
      <w:r w:rsidR="001A2222">
        <w:t xml:space="preserve">all </w:t>
      </w:r>
      <w:r w:rsidR="00E87001">
        <w:t>can figure out a way to align the state and federal program so these p</w:t>
      </w:r>
      <w:r w:rsidR="00516B38">
        <w:t>rograms can be easier to access, that would help.</w:t>
      </w:r>
      <w:r w:rsidR="00E87001">
        <w:t xml:space="preserve"> </w:t>
      </w:r>
    </w:p>
    <w:p w14:paraId="7461E403" w14:textId="77777777" w:rsidR="00547875" w:rsidRDefault="00547875" w:rsidP="00776C39">
      <w:pPr>
        <w:pStyle w:val="BodyA"/>
      </w:pPr>
    </w:p>
    <w:p w14:paraId="0D5390E3" w14:textId="42665114" w:rsidR="00547875" w:rsidRDefault="00547875" w:rsidP="00776C39">
      <w:pPr>
        <w:pStyle w:val="BodyA"/>
      </w:pPr>
      <w:r w:rsidRPr="00547875">
        <w:rPr>
          <w:b/>
        </w:rPr>
        <w:t>Comment</w:t>
      </w:r>
      <w:r>
        <w:t>:</w:t>
      </w:r>
      <w:r w:rsidR="00E87001">
        <w:t xml:space="preserve"> For DWR, </w:t>
      </w:r>
      <w:r>
        <w:t>SCG is</w:t>
      </w:r>
      <w:r w:rsidR="00E87001">
        <w:t xml:space="preserve"> working with </w:t>
      </w:r>
      <w:r w:rsidR="001A2222">
        <w:t>a</w:t>
      </w:r>
      <w:r w:rsidR="00E87001">
        <w:t xml:space="preserve"> commercial site.  </w:t>
      </w:r>
      <w:r w:rsidR="001A2222">
        <w:t>That project</w:t>
      </w:r>
      <w:r w:rsidR="00E87001">
        <w:t xml:space="preserve"> is about hot-water.  We hope to work with Agriculture next. </w:t>
      </w:r>
    </w:p>
    <w:p w14:paraId="0053F057" w14:textId="77777777" w:rsidR="00547875" w:rsidRDefault="00547875" w:rsidP="00776C39">
      <w:pPr>
        <w:pStyle w:val="BodyA"/>
      </w:pPr>
    </w:p>
    <w:p w14:paraId="61F62CE9" w14:textId="6A414BCC" w:rsidR="00E87001" w:rsidRDefault="00547875" w:rsidP="00776C39">
      <w:pPr>
        <w:pStyle w:val="BodyA"/>
      </w:pPr>
      <w:r w:rsidRPr="00547875">
        <w:rPr>
          <w:b/>
        </w:rPr>
        <w:t>Comment</w:t>
      </w:r>
      <w:r>
        <w:t xml:space="preserve">:  </w:t>
      </w:r>
      <w:r w:rsidR="00E87001">
        <w:t>There is also $20B</w:t>
      </w:r>
      <w:r>
        <w:t xml:space="preserve"> of federal money</w:t>
      </w:r>
      <w:r w:rsidR="00E87001">
        <w:t xml:space="preserve"> available to leverage.  Trying to </w:t>
      </w:r>
      <w:r w:rsidR="001A2222">
        <w:t xml:space="preserve">get </w:t>
      </w:r>
      <w:r>
        <w:t xml:space="preserve">Federal and State </w:t>
      </w:r>
      <w:r w:rsidR="00E87001">
        <w:t>agencies to work together is just “nuts” (i.e., difficult).</w:t>
      </w:r>
    </w:p>
    <w:p w14:paraId="7901400E" w14:textId="0A6D01A2" w:rsidR="00E87001" w:rsidRDefault="00E87001" w:rsidP="00776C39">
      <w:pPr>
        <w:pStyle w:val="BodyA"/>
      </w:pPr>
    </w:p>
    <w:p w14:paraId="7B9D32D1" w14:textId="05E2F6C4" w:rsidR="00041BE0" w:rsidRDefault="00547875" w:rsidP="00776C39">
      <w:pPr>
        <w:pStyle w:val="BodyA"/>
      </w:pPr>
      <w:r w:rsidRPr="00547875">
        <w:rPr>
          <w:b/>
        </w:rPr>
        <w:t>Comment</w:t>
      </w:r>
      <w:r>
        <w:t xml:space="preserve">:  </w:t>
      </w:r>
      <w:r w:rsidR="00E87001">
        <w:t>I</w:t>
      </w:r>
      <w:r w:rsidR="001A2222">
        <w:t>n your presentations, I</w:t>
      </w:r>
      <w:r w:rsidR="00E87001">
        <w:t xml:space="preserve"> heard a lot of the same </w:t>
      </w:r>
      <w:r w:rsidR="00041BE0">
        <w:t xml:space="preserve">old stuff </w:t>
      </w:r>
      <w:r w:rsidR="00E87001">
        <w:t xml:space="preserve">I </w:t>
      </w:r>
      <w:r w:rsidR="00041BE0">
        <w:t xml:space="preserve">have </w:t>
      </w:r>
      <w:r w:rsidR="00E87001">
        <w:t xml:space="preserve">heard </w:t>
      </w:r>
      <w:r>
        <w:t>over</w:t>
      </w:r>
      <w:r w:rsidR="00E87001">
        <w:t xml:space="preserve"> the last 9-years.  I would like to hear what are the near-term and longer-term activities.  What is the time line and reality for what you are proposing</w:t>
      </w:r>
      <w:r w:rsidR="00041BE0">
        <w:t xml:space="preserve"> over the next five years</w:t>
      </w:r>
      <w:r w:rsidR="00E87001">
        <w:t xml:space="preserve">?  </w:t>
      </w:r>
      <w:r w:rsidR="00D23918">
        <w:br/>
      </w:r>
      <w:r w:rsidR="00041BE0">
        <w:rPr>
          <w:b/>
        </w:rPr>
        <w:t>Response</w:t>
      </w:r>
      <w:r w:rsidR="00041BE0">
        <w:t xml:space="preserve">:  </w:t>
      </w:r>
      <w:r w:rsidR="00D23918">
        <w:t>The PA</w:t>
      </w:r>
      <w:r w:rsidR="001A2222">
        <w:t>s</w:t>
      </w:r>
      <w:r w:rsidR="00D23918">
        <w:t xml:space="preserve"> should</w:t>
      </w:r>
      <w:r w:rsidR="00041BE0">
        <w:t xml:space="preserve"> be looking at funds through 202</w:t>
      </w:r>
      <w:r w:rsidR="00D23918">
        <w:t xml:space="preserve">4.  This BP is not a 5-year plan. </w:t>
      </w:r>
    </w:p>
    <w:p w14:paraId="18B987FD" w14:textId="77777777" w:rsidR="00041BE0" w:rsidRDefault="00041BE0" w:rsidP="00776C39">
      <w:pPr>
        <w:pStyle w:val="BodyA"/>
      </w:pPr>
      <w:r w:rsidRPr="00041BE0">
        <w:rPr>
          <w:b/>
        </w:rPr>
        <w:t>Response</w:t>
      </w:r>
      <w:r>
        <w:t xml:space="preserve">:  </w:t>
      </w:r>
      <w:r w:rsidR="00D23918">
        <w:t xml:space="preserve">So much of what we will do for the longer-term is depended on how successful we are with short-term activities. </w:t>
      </w:r>
    </w:p>
    <w:p w14:paraId="12E45DC6" w14:textId="773B027A" w:rsidR="00E87001" w:rsidRDefault="00041BE0" w:rsidP="00776C39">
      <w:pPr>
        <w:pStyle w:val="BodyA"/>
      </w:pPr>
      <w:r w:rsidRPr="00041BE0">
        <w:rPr>
          <w:b/>
        </w:rPr>
        <w:t>Response</w:t>
      </w:r>
      <w:r>
        <w:t xml:space="preserve">:  SCG is </w:t>
      </w:r>
      <w:r w:rsidR="00D23918">
        <w:t>working on details for the implementation plan.  We are looking at co-fund a program with Metro Water District.  If we can co-fund a program jointly, the TRC would be better.</w:t>
      </w:r>
    </w:p>
    <w:p w14:paraId="2EFCCC91" w14:textId="490C8A11" w:rsidR="00D23918" w:rsidRDefault="00D23918" w:rsidP="00776C39">
      <w:pPr>
        <w:pStyle w:val="BodyA"/>
      </w:pPr>
    </w:p>
    <w:p w14:paraId="3147A2CB" w14:textId="77777777" w:rsidR="00041BE0" w:rsidRDefault="00041BE0" w:rsidP="00776C39">
      <w:pPr>
        <w:pStyle w:val="BodyA"/>
      </w:pPr>
      <w:r w:rsidRPr="00041BE0">
        <w:rPr>
          <w:b/>
        </w:rPr>
        <w:t>Question</w:t>
      </w:r>
      <w:r>
        <w:t xml:space="preserve">: </w:t>
      </w:r>
      <w:r w:rsidR="00D23918">
        <w:t xml:space="preserve"> Are you preparing for the cannabis opportunities?  They are pretty energy intense.  </w:t>
      </w:r>
    </w:p>
    <w:p w14:paraId="17B8E74B" w14:textId="77777777" w:rsidR="0024502B" w:rsidRDefault="0024502B" w:rsidP="00776C39">
      <w:pPr>
        <w:pStyle w:val="BodyA"/>
      </w:pPr>
      <w:r w:rsidRPr="0024502B">
        <w:rPr>
          <w:b/>
        </w:rPr>
        <w:t>Response</w:t>
      </w:r>
      <w:r>
        <w:t xml:space="preserve">: </w:t>
      </w:r>
      <w:r w:rsidR="00D23918">
        <w:t xml:space="preserve"> There are federal concerns here.  </w:t>
      </w:r>
    </w:p>
    <w:p w14:paraId="0A5862C1" w14:textId="77777777" w:rsidR="00006FB9" w:rsidRDefault="0024502B" w:rsidP="00776C39">
      <w:pPr>
        <w:pStyle w:val="BodyA"/>
      </w:pPr>
      <w:r w:rsidRPr="00006FB9">
        <w:rPr>
          <w:b/>
        </w:rPr>
        <w:t>Response</w:t>
      </w:r>
      <w:r>
        <w:t xml:space="preserve">: </w:t>
      </w:r>
      <w:r w:rsidR="00D23918">
        <w:t>We are all concerned about the legality of Cannabis.  Don’t they need t</w:t>
      </w:r>
      <w:r w:rsidR="00EE71B0">
        <w:t>o adhere to the latest codes/STD</w:t>
      </w:r>
      <w:r w:rsidR="00D23918">
        <w:t xml:space="preserve"> rules?  </w:t>
      </w:r>
    </w:p>
    <w:p w14:paraId="3E55B82E" w14:textId="77777777" w:rsidR="00006FB9" w:rsidRDefault="00006FB9" w:rsidP="00776C39">
      <w:pPr>
        <w:pStyle w:val="BodyA"/>
      </w:pPr>
      <w:r w:rsidRPr="00006FB9">
        <w:rPr>
          <w:b/>
        </w:rPr>
        <w:t>Response</w:t>
      </w:r>
      <w:r>
        <w:t xml:space="preserve">:  </w:t>
      </w:r>
      <w:r w:rsidR="00D23918">
        <w:t xml:space="preserve">The current program budget and opportunities are pretty small.  I was wondering how you would address the cannabis situation. </w:t>
      </w:r>
    </w:p>
    <w:p w14:paraId="2C426725" w14:textId="6EF796BD" w:rsidR="00006FB9" w:rsidRDefault="00006FB9" w:rsidP="00776C39">
      <w:pPr>
        <w:pStyle w:val="BodyA"/>
        <w:rPr>
          <w:b/>
        </w:rPr>
      </w:pPr>
      <w:r>
        <w:rPr>
          <w:b/>
        </w:rPr>
        <w:t>Response</w:t>
      </w:r>
      <w:r w:rsidRPr="00006FB9">
        <w:t>:  W</w:t>
      </w:r>
      <w:r>
        <w:t>e need to talk about this issue, even though it is awkward.  We need to get out in front.</w:t>
      </w:r>
    </w:p>
    <w:p w14:paraId="195EE017" w14:textId="77777777" w:rsidR="00006FB9" w:rsidRDefault="00006FB9" w:rsidP="00776C39">
      <w:pPr>
        <w:pStyle w:val="BodyA"/>
      </w:pPr>
      <w:r w:rsidRPr="00006FB9">
        <w:rPr>
          <w:b/>
        </w:rPr>
        <w:t>Response</w:t>
      </w:r>
      <w:r>
        <w:t xml:space="preserve">: </w:t>
      </w:r>
      <w:r w:rsidR="00D23918">
        <w:t xml:space="preserve">The cannabis growth can sneak up in the market.  The greatest challenge is to introduce EE practices to the cannabis growers.  </w:t>
      </w:r>
    </w:p>
    <w:p w14:paraId="01197CB4" w14:textId="18C84CAF" w:rsidR="00D23918" w:rsidRDefault="00006FB9" w:rsidP="00776C39">
      <w:pPr>
        <w:pStyle w:val="BodyA"/>
      </w:pPr>
      <w:r w:rsidRPr="00006FB9">
        <w:rPr>
          <w:b/>
        </w:rPr>
        <w:t>Response</w:t>
      </w:r>
      <w:r>
        <w:t xml:space="preserve">:  </w:t>
      </w:r>
      <w:r w:rsidR="00D23918">
        <w:t>Similar to SCG comments, we will monitor this area as long as it is legal.  This is likely to be an agriculture activity within the residential accounts.</w:t>
      </w:r>
    </w:p>
    <w:p w14:paraId="1C3DC2D0" w14:textId="3789925D" w:rsidR="00006FB9" w:rsidRDefault="00006FB9" w:rsidP="00776C39">
      <w:pPr>
        <w:pStyle w:val="BodyA"/>
      </w:pPr>
      <w:r>
        <w:rPr>
          <w:b/>
        </w:rPr>
        <w:t>Facilitator q</w:t>
      </w:r>
      <w:r w:rsidRPr="00006FB9">
        <w:rPr>
          <w:b/>
        </w:rPr>
        <w:t>uestion</w:t>
      </w:r>
      <w:r>
        <w:t xml:space="preserve">: </w:t>
      </w:r>
      <w:r w:rsidR="00EE71B0">
        <w:t xml:space="preserve">Will cannabis growers be addressed in BP. </w:t>
      </w:r>
    </w:p>
    <w:p w14:paraId="634A9438" w14:textId="0572CD3F" w:rsidR="00EE71B0" w:rsidRDefault="00006FB9" w:rsidP="00776C39">
      <w:pPr>
        <w:pStyle w:val="BodyA"/>
      </w:pPr>
      <w:r w:rsidRPr="00006FB9">
        <w:rPr>
          <w:b/>
        </w:rPr>
        <w:t>Response</w:t>
      </w:r>
      <w:r>
        <w:t xml:space="preserve">:  </w:t>
      </w:r>
      <w:r w:rsidR="00EE71B0">
        <w:t>No</w:t>
      </w:r>
      <w:r>
        <w:t xml:space="preserve"> (all PAs in agreement)</w:t>
      </w:r>
      <w:r w:rsidR="00EE71B0">
        <w:t>.</w:t>
      </w:r>
    </w:p>
    <w:p w14:paraId="14EF484B" w14:textId="439065EF" w:rsidR="00EE71B0" w:rsidRDefault="00006FB9" w:rsidP="00776C39">
      <w:pPr>
        <w:pStyle w:val="BodyA"/>
      </w:pPr>
      <w:r w:rsidRPr="00006FB9">
        <w:rPr>
          <w:b/>
        </w:rPr>
        <w:t>Response</w:t>
      </w:r>
      <w:r>
        <w:t xml:space="preserve">: </w:t>
      </w:r>
      <w:r w:rsidR="00EE71B0">
        <w:t xml:space="preserve"> </w:t>
      </w:r>
      <w:r>
        <w:t>You</w:t>
      </w:r>
      <w:r w:rsidR="00EE71B0">
        <w:t xml:space="preserve"> should not focus on the cannabis segment at the expense of all other agriculture sub-segment.  </w:t>
      </w:r>
    </w:p>
    <w:p w14:paraId="581A378A" w14:textId="5199A5CE" w:rsidR="00EE71B0" w:rsidRDefault="00EE71B0" w:rsidP="00776C39">
      <w:pPr>
        <w:pStyle w:val="BodyA"/>
      </w:pPr>
    </w:p>
    <w:p w14:paraId="228CFF68" w14:textId="77777777" w:rsidR="00006FB9" w:rsidRDefault="00006FB9" w:rsidP="00776C39">
      <w:pPr>
        <w:pStyle w:val="BodyA"/>
      </w:pPr>
      <w:r w:rsidRPr="00006FB9">
        <w:rPr>
          <w:b/>
        </w:rPr>
        <w:lastRenderedPageBreak/>
        <w:t>Question</w:t>
      </w:r>
      <w:r>
        <w:t xml:space="preserve">:  </w:t>
      </w:r>
      <w:r w:rsidR="00EE71B0">
        <w:t xml:space="preserve"> What is the most important activity for you next year, given the challenging situation?  </w:t>
      </w:r>
    </w:p>
    <w:p w14:paraId="70618A21" w14:textId="19FA4D33" w:rsidR="00006FB9" w:rsidRDefault="00006FB9" w:rsidP="00776C39">
      <w:pPr>
        <w:pStyle w:val="BodyA"/>
      </w:pPr>
      <w:r w:rsidRPr="00006FB9">
        <w:rPr>
          <w:b/>
        </w:rPr>
        <w:t>Response</w:t>
      </w:r>
      <w:r>
        <w:t>: For SCE t</w:t>
      </w:r>
      <w:r w:rsidR="00EE71B0">
        <w:t xml:space="preserve">o address the pump services.  Leverage partners to talk about other services. </w:t>
      </w:r>
    </w:p>
    <w:p w14:paraId="2B5EB331" w14:textId="1D80DB44" w:rsidR="00006FB9" w:rsidRDefault="00006FB9" w:rsidP="00776C39">
      <w:pPr>
        <w:pStyle w:val="BodyA"/>
      </w:pPr>
      <w:r w:rsidRPr="00006FB9">
        <w:rPr>
          <w:b/>
        </w:rPr>
        <w:t>Response</w:t>
      </w:r>
      <w:r>
        <w:t>: For SCG, g</w:t>
      </w:r>
      <w:r w:rsidR="00EE71B0">
        <w:t xml:space="preserve">reenhouse moratorium, integrate water into program with IOUs and POUs.  </w:t>
      </w:r>
    </w:p>
    <w:p w14:paraId="66C236CB" w14:textId="142D93C7" w:rsidR="00006FB9" w:rsidRDefault="00006FB9" w:rsidP="00776C39">
      <w:pPr>
        <w:pStyle w:val="BodyA"/>
      </w:pPr>
      <w:r w:rsidRPr="00006FB9">
        <w:rPr>
          <w:b/>
        </w:rPr>
        <w:t>Response</w:t>
      </w:r>
      <w:r>
        <w:t xml:space="preserve">:  </w:t>
      </w:r>
      <w:r w:rsidR="00EE71B0">
        <w:t>For</w:t>
      </w:r>
      <w:r>
        <w:t xml:space="preserve"> PG&amp;E, </w:t>
      </w:r>
      <w:r w:rsidR="00EE71B0">
        <w:t>the next 12 months is the green houses moratorium,</w:t>
      </w:r>
      <w:r>
        <w:t xml:space="preserve"> irrigation calculator,</w:t>
      </w:r>
      <w:r w:rsidR="00EE71B0">
        <w:t xml:space="preserve"> leveraging new technologies, leveraging educational institutions.  </w:t>
      </w:r>
    </w:p>
    <w:p w14:paraId="0E7ABE5C" w14:textId="280DB2F1" w:rsidR="00EE71B0" w:rsidRDefault="00006FB9" w:rsidP="00776C39">
      <w:pPr>
        <w:pStyle w:val="BodyA"/>
      </w:pPr>
      <w:r w:rsidRPr="00006FB9">
        <w:rPr>
          <w:b/>
        </w:rPr>
        <w:t>Response</w:t>
      </w:r>
      <w:r>
        <w:t>:  For</w:t>
      </w:r>
      <w:r w:rsidR="00EE71B0">
        <w:t xml:space="preserve"> SDG&amp;E, it is difficult for us to put a big effort for this sector, but we want our activities to be meaningful.  The TOU is coming out next year, and we want to support this implementation.  SDG&amp;E is not approaching this market in a mass market approach (i.e., using a surgical approach). </w:t>
      </w:r>
    </w:p>
    <w:p w14:paraId="7CC0B188" w14:textId="4F108476" w:rsidR="00D23918" w:rsidRDefault="00D23918" w:rsidP="00776C39">
      <w:pPr>
        <w:pStyle w:val="BodyA"/>
      </w:pPr>
    </w:p>
    <w:p w14:paraId="07B99FDB" w14:textId="77777777" w:rsidR="00006FB9" w:rsidRDefault="00006FB9" w:rsidP="00776C39">
      <w:pPr>
        <w:pStyle w:val="BodyA"/>
      </w:pPr>
      <w:r w:rsidRPr="00006FB9">
        <w:rPr>
          <w:b/>
        </w:rPr>
        <w:t>Question</w:t>
      </w:r>
      <w:r>
        <w:t xml:space="preserve">:  </w:t>
      </w:r>
      <w:r w:rsidR="00E1141E">
        <w:t xml:space="preserve">Did you look at the DWR report?  This report is available. </w:t>
      </w:r>
    </w:p>
    <w:p w14:paraId="47B68818" w14:textId="23DBE447" w:rsidR="00E1141E" w:rsidRDefault="00006FB9" w:rsidP="00776C39">
      <w:pPr>
        <w:pStyle w:val="BodyA"/>
      </w:pPr>
      <w:r w:rsidRPr="00006FB9">
        <w:rPr>
          <w:b/>
        </w:rPr>
        <w:t>Question</w:t>
      </w:r>
      <w:r>
        <w:t xml:space="preserve">:  </w:t>
      </w:r>
      <w:r w:rsidR="00E1141E">
        <w:t xml:space="preserve"> Did the water nexus team used this information in the water calculator?  </w:t>
      </w:r>
    </w:p>
    <w:p w14:paraId="7FE9EF83" w14:textId="175C3225" w:rsidR="0079125F" w:rsidRDefault="0079125F" w:rsidP="00776C39">
      <w:pPr>
        <w:pStyle w:val="BodyA"/>
      </w:pPr>
      <w:r w:rsidRPr="0079125F">
        <w:rPr>
          <w:b/>
        </w:rPr>
        <w:t>Response</w:t>
      </w:r>
      <w:r>
        <w:t xml:space="preserve">:  The DWR water calculator coming out of the 2007 Water Energy nexus proceeding isn’t that user friendly and many haven’t figured out how to use it. </w:t>
      </w:r>
    </w:p>
    <w:p w14:paraId="754A7972" w14:textId="77777777" w:rsidR="00E1141E" w:rsidRDefault="00E1141E" w:rsidP="00776C39">
      <w:pPr>
        <w:pStyle w:val="BodyA"/>
      </w:pPr>
    </w:p>
    <w:p w14:paraId="6883B1D4" w14:textId="695CA2AB" w:rsidR="00D23918" w:rsidRDefault="00D23918" w:rsidP="00776C39">
      <w:pPr>
        <w:pStyle w:val="BodyA"/>
      </w:pPr>
    </w:p>
    <w:p w14:paraId="21D96066" w14:textId="5D3D8670" w:rsidR="008C00AB" w:rsidRPr="008C00AB" w:rsidRDefault="008C00AB" w:rsidP="00776C39">
      <w:pPr>
        <w:pStyle w:val="BodyA"/>
        <w:rPr>
          <w:b/>
        </w:rPr>
      </w:pPr>
      <w:r w:rsidRPr="008C00AB">
        <w:rPr>
          <w:b/>
        </w:rPr>
        <w:t>Written comments are due 5/2</w:t>
      </w:r>
      <w:r w:rsidR="0079125F">
        <w:rPr>
          <w:b/>
        </w:rPr>
        <w:t>5</w:t>
      </w:r>
      <w:r w:rsidRPr="008C00AB">
        <w:rPr>
          <w:b/>
        </w:rPr>
        <w:t>/2016.</w:t>
      </w:r>
    </w:p>
    <w:p w14:paraId="6FAC42F3" w14:textId="60A74FF9" w:rsidR="00D23918" w:rsidRDefault="00D23918" w:rsidP="00776C39">
      <w:pPr>
        <w:pStyle w:val="BodyA"/>
      </w:pPr>
    </w:p>
    <w:p w14:paraId="0DB3EB3C" w14:textId="77777777" w:rsidR="00D23918" w:rsidRDefault="00D23918" w:rsidP="00776C39">
      <w:pPr>
        <w:pStyle w:val="BodyA"/>
      </w:pPr>
    </w:p>
    <w:p w14:paraId="0CC6458F" w14:textId="77777777" w:rsidR="00237178" w:rsidRDefault="00237178" w:rsidP="00776C39">
      <w:pPr>
        <w:pStyle w:val="BodyA"/>
      </w:pPr>
    </w:p>
    <w:p w14:paraId="1C15CDEE" w14:textId="05730EF4" w:rsidR="001A107A" w:rsidRDefault="001A107A" w:rsidP="00A44FDC">
      <w:pPr>
        <w:pStyle w:val="BodyA"/>
        <w:rPr>
          <w:b/>
        </w:rPr>
      </w:pPr>
    </w:p>
    <w:p w14:paraId="2A115805" w14:textId="77777777" w:rsidR="008C3D87" w:rsidRDefault="008C3D87" w:rsidP="00A44FDC">
      <w:pPr>
        <w:pStyle w:val="BodyA"/>
        <w:rPr>
          <w:b/>
        </w:rPr>
      </w:pPr>
    </w:p>
    <w:p w14:paraId="322C3B89" w14:textId="77777777" w:rsidR="001A107A" w:rsidRDefault="001A107A" w:rsidP="00A44FDC">
      <w:pPr>
        <w:pStyle w:val="BodyA"/>
        <w:rPr>
          <w:b/>
        </w:rPr>
      </w:pPr>
    </w:p>
    <w:p w14:paraId="792FF9BB" w14:textId="77777777" w:rsidR="001A107A" w:rsidRPr="001A107A" w:rsidRDefault="001A107A" w:rsidP="00A44FDC">
      <w:pPr>
        <w:pStyle w:val="BodyA"/>
      </w:pPr>
    </w:p>
    <w:p w14:paraId="77447BEF" w14:textId="77777777" w:rsidR="001A107A" w:rsidRPr="001A107A" w:rsidRDefault="001A107A" w:rsidP="00A44FDC">
      <w:pPr>
        <w:pStyle w:val="BodyA"/>
      </w:pPr>
    </w:p>
    <w:sectPr w:rsidR="001A107A" w:rsidRPr="001A10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839D4" w14:textId="77777777" w:rsidR="0008234A" w:rsidRDefault="0008234A">
      <w:r>
        <w:separator/>
      </w:r>
    </w:p>
  </w:endnote>
  <w:endnote w:type="continuationSeparator" w:id="0">
    <w:p w14:paraId="1BFC3929" w14:textId="77777777" w:rsidR="0008234A" w:rsidRDefault="0008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E88990" w14:textId="77777777" w:rsidR="00B61EEE" w:rsidRDefault="00B61EEE" w:rsidP="006737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BE1F6" w14:textId="77777777" w:rsidR="00B61EEE" w:rsidRDefault="00B61EEE" w:rsidP="002F00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F22211" w14:textId="19338702" w:rsidR="00B61EEE" w:rsidRDefault="00B61EEE" w:rsidP="006737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4428">
      <w:rPr>
        <w:rStyle w:val="PageNumber"/>
        <w:noProof/>
      </w:rPr>
      <w:t>2</w:t>
    </w:r>
    <w:r>
      <w:rPr>
        <w:rStyle w:val="PageNumber"/>
      </w:rPr>
      <w:fldChar w:fldCharType="end"/>
    </w:r>
  </w:p>
  <w:p w14:paraId="42FA3923" w14:textId="77777777" w:rsidR="00B61EEE" w:rsidRDefault="00B61EEE" w:rsidP="002F00C0">
    <w:pPr>
      <w:pStyle w:val="Header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2FC7F5" w14:textId="77777777" w:rsidR="00B61EEE" w:rsidRDefault="00B61E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0017" w14:textId="77777777" w:rsidR="0008234A" w:rsidRDefault="0008234A">
      <w:r>
        <w:separator/>
      </w:r>
    </w:p>
  </w:footnote>
  <w:footnote w:type="continuationSeparator" w:id="0">
    <w:p w14:paraId="616146E1" w14:textId="77777777" w:rsidR="0008234A" w:rsidRDefault="00082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A4A07E" w14:textId="4C68CABF" w:rsidR="00B61EEE" w:rsidRDefault="0008234A">
    <w:pPr>
      <w:pStyle w:val="Header"/>
    </w:pPr>
    <w:r>
      <w:rPr>
        <w:noProof/>
      </w:rPr>
      <w:pict w14:anchorId="66D31F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8pt;height:156pt;z-index:-251655168;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062707" w14:textId="30D11C6C" w:rsidR="00B61EEE" w:rsidRDefault="0008234A">
    <w:pPr>
      <w:pStyle w:val="HeaderFooter"/>
    </w:pPr>
    <w:r>
      <w:rPr>
        <w:noProof/>
      </w:rPr>
      <w:pict w14:anchorId="099B95D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8pt;height:156pt;z-index:-251657216;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D0DF981" w14:textId="20B830A3" w:rsidR="00B61EEE" w:rsidRDefault="0008234A">
    <w:pPr>
      <w:pStyle w:val="Header"/>
    </w:pPr>
    <w:r>
      <w:rPr>
        <w:noProof/>
      </w:rPr>
      <w:pict w14:anchorId="010B11D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8pt;height:156pt;z-index:-251653120;mso-wrap-edited:f;mso-position-horizontal:center;mso-position-horizontal-relative:margin;mso-position-vertical:center;mso-position-vertical-relative:margin" wrapcoords="11354 4154 104 4362 35 4673 623 5815 623 15785 104 16927 35 17238 20562 17238 20596 17238 20458 16823 19973 15785 19938 7477 21358 7477 21531 7269 21531 4362 11631 4154 11354 4154"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59AD"/>
    <w:multiLevelType w:val="hybridMultilevel"/>
    <w:tmpl w:val="DEA2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5AE7"/>
    <w:multiLevelType w:val="hybridMultilevel"/>
    <w:tmpl w:val="441EB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41F56"/>
    <w:multiLevelType w:val="hybridMultilevel"/>
    <w:tmpl w:val="DB6C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40571"/>
    <w:multiLevelType w:val="hybridMultilevel"/>
    <w:tmpl w:val="EBF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F1CB1"/>
    <w:multiLevelType w:val="hybridMultilevel"/>
    <w:tmpl w:val="EFB0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E4493"/>
    <w:multiLevelType w:val="hybridMultilevel"/>
    <w:tmpl w:val="FC2A8102"/>
    <w:styleLink w:val="Bullets"/>
    <w:lvl w:ilvl="0" w:tplc="AF84CD6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20CDA">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1E607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50B82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2CF12">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6A811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800BD0">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24AC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384884">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459E7860"/>
    <w:multiLevelType w:val="hybridMultilevel"/>
    <w:tmpl w:val="8B92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C7A68"/>
    <w:multiLevelType w:val="hybridMultilevel"/>
    <w:tmpl w:val="85C6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87464"/>
    <w:multiLevelType w:val="hybridMultilevel"/>
    <w:tmpl w:val="C0B6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55337"/>
    <w:multiLevelType w:val="hybridMultilevel"/>
    <w:tmpl w:val="5B14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AE1FEE"/>
    <w:multiLevelType w:val="hybridMultilevel"/>
    <w:tmpl w:val="FC2A8102"/>
    <w:numStyleLink w:val="Bullets"/>
  </w:abstractNum>
  <w:abstractNum w:abstractNumId="11">
    <w:nsid w:val="6DA06001"/>
    <w:multiLevelType w:val="hybridMultilevel"/>
    <w:tmpl w:val="C448B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A728E"/>
    <w:multiLevelType w:val="hybridMultilevel"/>
    <w:tmpl w:val="BC6C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4D10EA"/>
    <w:multiLevelType w:val="hybridMultilevel"/>
    <w:tmpl w:val="4064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
  </w:num>
  <w:num w:numId="5">
    <w:abstractNumId w:val="6"/>
  </w:num>
  <w:num w:numId="6">
    <w:abstractNumId w:val="2"/>
  </w:num>
  <w:num w:numId="7">
    <w:abstractNumId w:val="8"/>
  </w:num>
  <w:num w:numId="8">
    <w:abstractNumId w:val="3"/>
  </w:num>
  <w:num w:numId="9">
    <w:abstractNumId w:val="11"/>
  </w:num>
  <w:num w:numId="10">
    <w:abstractNumId w:val="13"/>
  </w:num>
  <w:num w:numId="11">
    <w:abstractNumId w:val="4"/>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0F"/>
    <w:rsid w:val="00001F07"/>
    <w:rsid w:val="0000311E"/>
    <w:rsid w:val="000038FF"/>
    <w:rsid w:val="00006FB9"/>
    <w:rsid w:val="000076C9"/>
    <w:rsid w:val="0001307B"/>
    <w:rsid w:val="00025B7F"/>
    <w:rsid w:val="00040CA3"/>
    <w:rsid w:val="00041909"/>
    <w:rsid w:val="00041BE0"/>
    <w:rsid w:val="0005285F"/>
    <w:rsid w:val="00052FCA"/>
    <w:rsid w:val="00063744"/>
    <w:rsid w:val="000658A0"/>
    <w:rsid w:val="0008234A"/>
    <w:rsid w:val="00086D18"/>
    <w:rsid w:val="000B14B7"/>
    <w:rsid w:val="000B34EC"/>
    <w:rsid w:val="000D00AB"/>
    <w:rsid w:val="000D1132"/>
    <w:rsid w:val="000E20E2"/>
    <w:rsid w:val="000E5B56"/>
    <w:rsid w:val="000F1635"/>
    <w:rsid w:val="000F708F"/>
    <w:rsid w:val="000F7EE0"/>
    <w:rsid w:val="001032D3"/>
    <w:rsid w:val="0010583D"/>
    <w:rsid w:val="00123FB8"/>
    <w:rsid w:val="00124749"/>
    <w:rsid w:val="00152DF9"/>
    <w:rsid w:val="001700E5"/>
    <w:rsid w:val="00184D4C"/>
    <w:rsid w:val="001A107A"/>
    <w:rsid w:val="001A2222"/>
    <w:rsid w:val="001A729E"/>
    <w:rsid w:val="001B6EBC"/>
    <w:rsid w:val="001C554A"/>
    <w:rsid w:val="001D2960"/>
    <w:rsid w:val="001D791A"/>
    <w:rsid w:val="001E7F60"/>
    <w:rsid w:val="001F2B15"/>
    <w:rsid w:val="00203382"/>
    <w:rsid w:val="0020794A"/>
    <w:rsid w:val="00210BF9"/>
    <w:rsid w:val="002248E0"/>
    <w:rsid w:val="00227CDF"/>
    <w:rsid w:val="0023645E"/>
    <w:rsid w:val="00237178"/>
    <w:rsid w:val="0024502B"/>
    <w:rsid w:val="0027187C"/>
    <w:rsid w:val="0028016D"/>
    <w:rsid w:val="002825BD"/>
    <w:rsid w:val="00285DBD"/>
    <w:rsid w:val="002A3C05"/>
    <w:rsid w:val="002A6C80"/>
    <w:rsid w:val="002A74FC"/>
    <w:rsid w:val="002B5A2B"/>
    <w:rsid w:val="002C6529"/>
    <w:rsid w:val="002D0F69"/>
    <w:rsid w:val="002D1AA0"/>
    <w:rsid w:val="002F00C0"/>
    <w:rsid w:val="002F2CEF"/>
    <w:rsid w:val="00306CB4"/>
    <w:rsid w:val="00310A3A"/>
    <w:rsid w:val="0031229E"/>
    <w:rsid w:val="00317AE3"/>
    <w:rsid w:val="0032559D"/>
    <w:rsid w:val="00332001"/>
    <w:rsid w:val="00341B3D"/>
    <w:rsid w:val="00343BDB"/>
    <w:rsid w:val="003D5F5C"/>
    <w:rsid w:val="003E1182"/>
    <w:rsid w:val="003E1556"/>
    <w:rsid w:val="003E2525"/>
    <w:rsid w:val="003F0D56"/>
    <w:rsid w:val="003F4C6D"/>
    <w:rsid w:val="00400C6E"/>
    <w:rsid w:val="00403F15"/>
    <w:rsid w:val="0043486E"/>
    <w:rsid w:val="00463140"/>
    <w:rsid w:val="00471A1C"/>
    <w:rsid w:val="004735FA"/>
    <w:rsid w:val="00485171"/>
    <w:rsid w:val="004A2F36"/>
    <w:rsid w:val="004B6F1D"/>
    <w:rsid w:val="004C51C6"/>
    <w:rsid w:val="004D471D"/>
    <w:rsid w:val="004D6385"/>
    <w:rsid w:val="004E2D0B"/>
    <w:rsid w:val="004E7876"/>
    <w:rsid w:val="00502464"/>
    <w:rsid w:val="00516B38"/>
    <w:rsid w:val="00520D5C"/>
    <w:rsid w:val="00543501"/>
    <w:rsid w:val="00547875"/>
    <w:rsid w:val="00554AAD"/>
    <w:rsid w:val="00556CBA"/>
    <w:rsid w:val="0056015D"/>
    <w:rsid w:val="00563D76"/>
    <w:rsid w:val="005761C0"/>
    <w:rsid w:val="005A6B96"/>
    <w:rsid w:val="005C0238"/>
    <w:rsid w:val="005C0782"/>
    <w:rsid w:val="005C263F"/>
    <w:rsid w:val="005C6041"/>
    <w:rsid w:val="005D1B07"/>
    <w:rsid w:val="005D25C8"/>
    <w:rsid w:val="005D420B"/>
    <w:rsid w:val="005F6F0A"/>
    <w:rsid w:val="00612D53"/>
    <w:rsid w:val="00613175"/>
    <w:rsid w:val="0061563B"/>
    <w:rsid w:val="006217AC"/>
    <w:rsid w:val="00636639"/>
    <w:rsid w:val="0065291A"/>
    <w:rsid w:val="00653AB9"/>
    <w:rsid w:val="00673705"/>
    <w:rsid w:val="00673A66"/>
    <w:rsid w:val="006745B2"/>
    <w:rsid w:val="0068394D"/>
    <w:rsid w:val="00687C81"/>
    <w:rsid w:val="006C3205"/>
    <w:rsid w:val="006C644B"/>
    <w:rsid w:val="0070640B"/>
    <w:rsid w:val="0070720F"/>
    <w:rsid w:val="00711EF9"/>
    <w:rsid w:val="007224E5"/>
    <w:rsid w:val="00740B62"/>
    <w:rsid w:val="007610A4"/>
    <w:rsid w:val="00767FFE"/>
    <w:rsid w:val="00776C39"/>
    <w:rsid w:val="00781333"/>
    <w:rsid w:val="007820B3"/>
    <w:rsid w:val="00783A0F"/>
    <w:rsid w:val="0078445D"/>
    <w:rsid w:val="0079125F"/>
    <w:rsid w:val="007955EA"/>
    <w:rsid w:val="0079645E"/>
    <w:rsid w:val="007D1828"/>
    <w:rsid w:val="007E5662"/>
    <w:rsid w:val="007F46AB"/>
    <w:rsid w:val="007F6392"/>
    <w:rsid w:val="00804E3B"/>
    <w:rsid w:val="00840804"/>
    <w:rsid w:val="008613A7"/>
    <w:rsid w:val="008636AC"/>
    <w:rsid w:val="00882E31"/>
    <w:rsid w:val="008836A3"/>
    <w:rsid w:val="0088502E"/>
    <w:rsid w:val="00894437"/>
    <w:rsid w:val="00895333"/>
    <w:rsid w:val="0089649E"/>
    <w:rsid w:val="008A4BBF"/>
    <w:rsid w:val="008C00AB"/>
    <w:rsid w:val="008C1C9B"/>
    <w:rsid w:val="008C3D87"/>
    <w:rsid w:val="008C5807"/>
    <w:rsid w:val="008D0B1C"/>
    <w:rsid w:val="008E40DD"/>
    <w:rsid w:val="009079DE"/>
    <w:rsid w:val="009114B4"/>
    <w:rsid w:val="0091227B"/>
    <w:rsid w:val="009131B7"/>
    <w:rsid w:val="00920CC8"/>
    <w:rsid w:val="00922A50"/>
    <w:rsid w:val="00922A93"/>
    <w:rsid w:val="009238CA"/>
    <w:rsid w:val="009345A6"/>
    <w:rsid w:val="00941BBA"/>
    <w:rsid w:val="00942C87"/>
    <w:rsid w:val="0094345F"/>
    <w:rsid w:val="0094498C"/>
    <w:rsid w:val="0096048E"/>
    <w:rsid w:val="00967FCD"/>
    <w:rsid w:val="0098163D"/>
    <w:rsid w:val="00983FFC"/>
    <w:rsid w:val="0098401A"/>
    <w:rsid w:val="009C4428"/>
    <w:rsid w:val="009C4C03"/>
    <w:rsid w:val="00A14D22"/>
    <w:rsid w:val="00A314C4"/>
    <w:rsid w:val="00A44FDC"/>
    <w:rsid w:val="00A55E31"/>
    <w:rsid w:val="00A715F7"/>
    <w:rsid w:val="00A7652F"/>
    <w:rsid w:val="00AA7B8D"/>
    <w:rsid w:val="00AB1302"/>
    <w:rsid w:val="00AB6514"/>
    <w:rsid w:val="00AC0891"/>
    <w:rsid w:val="00AD13C5"/>
    <w:rsid w:val="00AE1901"/>
    <w:rsid w:val="00B02F89"/>
    <w:rsid w:val="00B15E99"/>
    <w:rsid w:val="00B25F34"/>
    <w:rsid w:val="00B613D2"/>
    <w:rsid w:val="00B61B90"/>
    <w:rsid w:val="00B61EEE"/>
    <w:rsid w:val="00B653E0"/>
    <w:rsid w:val="00B9215E"/>
    <w:rsid w:val="00BA0949"/>
    <w:rsid w:val="00BB4E74"/>
    <w:rsid w:val="00BC2A00"/>
    <w:rsid w:val="00BD2FB4"/>
    <w:rsid w:val="00BE5BD5"/>
    <w:rsid w:val="00BF3386"/>
    <w:rsid w:val="00BF5F4D"/>
    <w:rsid w:val="00C12779"/>
    <w:rsid w:val="00C20AD6"/>
    <w:rsid w:val="00C22565"/>
    <w:rsid w:val="00C37256"/>
    <w:rsid w:val="00C42B25"/>
    <w:rsid w:val="00C520D1"/>
    <w:rsid w:val="00C52E37"/>
    <w:rsid w:val="00C951EB"/>
    <w:rsid w:val="00CA504F"/>
    <w:rsid w:val="00CB65B9"/>
    <w:rsid w:val="00CB7449"/>
    <w:rsid w:val="00CC0B04"/>
    <w:rsid w:val="00CC4468"/>
    <w:rsid w:val="00CC681D"/>
    <w:rsid w:val="00CD74CF"/>
    <w:rsid w:val="00CF3EBD"/>
    <w:rsid w:val="00D03699"/>
    <w:rsid w:val="00D05AF5"/>
    <w:rsid w:val="00D06BDB"/>
    <w:rsid w:val="00D11294"/>
    <w:rsid w:val="00D215A6"/>
    <w:rsid w:val="00D23918"/>
    <w:rsid w:val="00D30593"/>
    <w:rsid w:val="00D35388"/>
    <w:rsid w:val="00D35E98"/>
    <w:rsid w:val="00D476C2"/>
    <w:rsid w:val="00D50D54"/>
    <w:rsid w:val="00D8420F"/>
    <w:rsid w:val="00D8780F"/>
    <w:rsid w:val="00D91D74"/>
    <w:rsid w:val="00DA1FC9"/>
    <w:rsid w:val="00DC087B"/>
    <w:rsid w:val="00DC0F93"/>
    <w:rsid w:val="00DD63BB"/>
    <w:rsid w:val="00DF3BB6"/>
    <w:rsid w:val="00DF543A"/>
    <w:rsid w:val="00E1141E"/>
    <w:rsid w:val="00E20A07"/>
    <w:rsid w:val="00E239EE"/>
    <w:rsid w:val="00E31192"/>
    <w:rsid w:val="00E41CED"/>
    <w:rsid w:val="00E50DAD"/>
    <w:rsid w:val="00E71A1F"/>
    <w:rsid w:val="00E8646B"/>
    <w:rsid w:val="00E87001"/>
    <w:rsid w:val="00EA2BCD"/>
    <w:rsid w:val="00EA57D7"/>
    <w:rsid w:val="00EB5802"/>
    <w:rsid w:val="00EE321F"/>
    <w:rsid w:val="00EE70B6"/>
    <w:rsid w:val="00EE71B0"/>
    <w:rsid w:val="00EF217D"/>
    <w:rsid w:val="00EF29A3"/>
    <w:rsid w:val="00EF395C"/>
    <w:rsid w:val="00F136F5"/>
    <w:rsid w:val="00F17219"/>
    <w:rsid w:val="00F2384B"/>
    <w:rsid w:val="00F357C6"/>
    <w:rsid w:val="00F41695"/>
    <w:rsid w:val="00F47CCA"/>
    <w:rsid w:val="00F609DB"/>
    <w:rsid w:val="00F6300F"/>
    <w:rsid w:val="00F74C1A"/>
    <w:rsid w:val="00F848CF"/>
    <w:rsid w:val="00F9210C"/>
    <w:rsid w:val="00F96DC4"/>
    <w:rsid w:val="00FB03A1"/>
    <w:rsid w:val="00FC3A31"/>
    <w:rsid w:val="00FD7257"/>
    <w:rsid w:val="00FE3178"/>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C210AA"/>
  <w15:docId w15:val="{A09DA23D-D11D-41A2-8272-F99B7023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8C3D87"/>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Hyperlink0">
    <w:name w:val="Hyperlink.0"/>
    <w:rPr>
      <w:u w:val="single"/>
      <w:lang w:val="en-US"/>
    </w:rPr>
  </w:style>
  <w:style w:type="numbering" w:customStyle="1" w:styleId="Bullets">
    <w:name w:val="Bullets"/>
    <w:pPr>
      <w:numPr>
        <w:numId w:val="1"/>
      </w:numPr>
    </w:pPr>
  </w:style>
  <w:style w:type="paragraph" w:customStyle="1" w:styleId="Body">
    <w:name w:val="Body"/>
    <w:rsid w:val="009079DE"/>
    <w:rPr>
      <w:rFonts w:ascii="Helvetica" w:hAnsi="Helvetica" w:cs="Arial Unicode MS"/>
      <w:color w:val="000000"/>
      <w:sz w:val="22"/>
      <w:szCs w:val="22"/>
    </w:rPr>
  </w:style>
  <w:style w:type="paragraph" w:styleId="Footer">
    <w:name w:val="footer"/>
    <w:basedOn w:val="Normal"/>
    <w:link w:val="FooterChar"/>
    <w:uiPriority w:val="99"/>
    <w:unhideWhenUsed/>
    <w:rsid w:val="002F00C0"/>
    <w:pPr>
      <w:tabs>
        <w:tab w:val="center" w:pos="4680"/>
        <w:tab w:val="right" w:pos="9360"/>
      </w:tabs>
    </w:pPr>
  </w:style>
  <w:style w:type="character" w:customStyle="1" w:styleId="FooterChar">
    <w:name w:val="Footer Char"/>
    <w:basedOn w:val="DefaultParagraphFont"/>
    <w:link w:val="Footer"/>
    <w:uiPriority w:val="99"/>
    <w:rsid w:val="002F00C0"/>
    <w:rPr>
      <w:sz w:val="24"/>
      <w:szCs w:val="24"/>
    </w:rPr>
  </w:style>
  <w:style w:type="character" w:styleId="PageNumber">
    <w:name w:val="page number"/>
    <w:basedOn w:val="DefaultParagraphFont"/>
    <w:uiPriority w:val="99"/>
    <w:semiHidden/>
    <w:unhideWhenUsed/>
    <w:rsid w:val="002F00C0"/>
  </w:style>
  <w:style w:type="character" w:styleId="FollowedHyperlink">
    <w:name w:val="FollowedHyperlink"/>
    <w:basedOn w:val="DefaultParagraphFont"/>
    <w:uiPriority w:val="99"/>
    <w:semiHidden/>
    <w:unhideWhenUsed/>
    <w:rsid w:val="00783A0F"/>
    <w:rPr>
      <w:color w:val="FF00FF" w:themeColor="followedHyperlink"/>
      <w:u w:val="single"/>
    </w:rPr>
  </w:style>
  <w:style w:type="paragraph" w:styleId="ListParagraph">
    <w:name w:val="List Paragraph"/>
    <w:basedOn w:val="Normal"/>
    <w:uiPriority w:val="34"/>
    <w:qFormat/>
    <w:rsid w:val="009238CA"/>
    <w:pPr>
      <w:ind w:left="720"/>
      <w:contextualSpacing/>
    </w:pPr>
  </w:style>
  <w:style w:type="paragraph" w:styleId="BalloonText">
    <w:name w:val="Balloon Text"/>
    <w:basedOn w:val="Normal"/>
    <w:link w:val="BalloonTextChar"/>
    <w:uiPriority w:val="99"/>
    <w:semiHidden/>
    <w:unhideWhenUsed/>
    <w:rsid w:val="00203382"/>
    <w:rPr>
      <w:sz w:val="18"/>
      <w:szCs w:val="18"/>
    </w:rPr>
  </w:style>
  <w:style w:type="character" w:customStyle="1" w:styleId="BalloonTextChar">
    <w:name w:val="Balloon Text Char"/>
    <w:basedOn w:val="DefaultParagraphFont"/>
    <w:link w:val="BalloonText"/>
    <w:uiPriority w:val="99"/>
    <w:semiHidden/>
    <w:rsid w:val="00203382"/>
    <w:rPr>
      <w:sz w:val="18"/>
      <w:szCs w:val="18"/>
    </w:rPr>
  </w:style>
  <w:style w:type="character" w:styleId="CommentReference">
    <w:name w:val="annotation reference"/>
    <w:basedOn w:val="DefaultParagraphFont"/>
    <w:uiPriority w:val="99"/>
    <w:semiHidden/>
    <w:unhideWhenUsed/>
    <w:rsid w:val="00203382"/>
    <w:rPr>
      <w:sz w:val="18"/>
      <w:szCs w:val="18"/>
    </w:rPr>
  </w:style>
  <w:style w:type="paragraph" w:styleId="CommentText">
    <w:name w:val="annotation text"/>
    <w:basedOn w:val="Normal"/>
    <w:link w:val="CommentTextChar"/>
    <w:uiPriority w:val="99"/>
    <w:semiHidden/>
    <w:unhideWhenUsed/>
    <w:rsid w:val="00203382"/>
  </w:style>
  <w:style w:type="character" w:customStyle="1" w:styleId="CommentTextChar">
    <w:name w:val="Comment Text Char"/>
    <w:basedOn w:val="DefaultParagraphFont"/>
    <w:link w:val="CommentText"/>
    <w:uiPriority w:val="99"/>
    <w:semiHidden/>
    <w:rsid w:val="00203382"/>
    <w:rPr>
      <w:sz w:val="24"/>
      <w:szCs w:val="24"/>
    </w:rPr>
  </w:style>
  <w:style w:type="paragraph" w:styleId="CommentSubject">
    <w:name w:val="annotation subject"/>
    <w:basedOn w:val="CommentText"/>
    <w:next w:val="CommentText"/>
    <w:link w:val="CommentSubjectChar"/>
    <w:uiPriority w:val="99"/>
    <w:semiHidden/>
    <w:unhideWhenUsed/>
    <w:rsid w:val="00203382"/>
    <w:rPr>
      <w:b/>
      <w:bCs/>
      <w:sz w:val="20"/>
      <w:szCs w:val="20"/>
    </w:rPr>
  </w:style>
  <w:style w:type="character" w:customStyle="1" w:styleId="CommentSubjectChar">
    <w:name w:val="Comment Subject Char"/>
    <w:basedOn w:val="CommentTextChar"/>
    <w:link w:val="CommentSubject"/>
    <w:uiPriority w:val="99"/>
    <w:semiHidden/>
    <w:rsid w:val="00203382"/>
    <w:rPr>
      <w:b/>
      <w:bCs/>
      <w:sz w:val="24"/>
      <w:szCs w:val="24"/>
    </w:rPr>
  </w:style>
  <w:style w:type="paragraph" w:styleId="Header">
    <w:name w:val="header"/>
    <w:basedOn w:val="Normal"/>
    <w:link w:val="HeaderChar"/>
    <w:uiPriority w:val="99"/>
    <w:unhideWhenUsed/>
    <w:rsid w:val="00DC0F93"/>
    <w:pPr>
      <w:tabs>
        <w:tab w:val="center" w:pos="4680"/>
        <w:tab w:val="right" w:pos="9360"/>
      </w:tabs>
    </w:pPr>
  </w:style>
  <w:style w:type="character" w:customStyle="1" w:styleId="HeaderChar">
    <w:name w:val="Header Char"/>
    <w:basedOn w:val="DefaultParagraphFont"/>
    <w:link w:val="Header"/>
    <w:uiPriority w:val="99"/>
    <w:rsid w:val="00DC0F93"/>
    <w:rPr>
      <w:sz w:val="24"/>
      <w:szCs w:val="24"/>
    </w:rPr>
  </w:style>
  <w:style w:type="character" w:customStyle="1" w:styleId="Heading1Char">
    <w:name w:val="Heading 1 Char"/>
    <w:basedOn w:val="DefaultParagraphFont"/>
    <w:link w:val="Heading1"/>
    <w:uiPriority w:val="9"/>
    <w:rsid w:val="008C3D87"/>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eecc.org/" TargetMode="External"/><Relationship Id="rId8" Type="http://schemas.openxmlformats.org/officeDocument/2006/relationships/hyperlink" Target="http://www.CAEECC.org"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2563</Words>
  <Characters>14614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cp:lastPrinted>2016-05-15T19:45:00Z</cp:lastPrinted>
  <dcterms:created xsi:type="dcterms:W3CDTF">2016-05-27T13:44:00Z</dcterms:created>
  <dcterms:modified xsi:type="dcterms:W3CDTF">2016-05-27T13:44:00Z</dcterms:modified>
</cp:coreProperties>
</file>