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0D" w:rsidRDefault="003F620D" w:rsidP="00965FB5">
      <w:pPr>
        <w:jc w:val="center"/>
        <w:rPr>
          <w:rFonts w:asciiTheme="majorHAnsi" w:hAnsiTheme="majorHAnsi"/>
          <w:b/>
          <w:sz w:val="28"/>
          <w:szCs w:val="22"/>
        </w:rPr>
      </w:pPr>
      <w:r>
        <w:rPr>
          <w:rFonts w:asciiTheme="majorHAnsi" w:hAnsiTheme="majorHAnsi"/>
          <w:b/>
          <w:sz w:val="28"/>
          <w:szCs w:val="22"/>
        </w:rPr>
        <w:t>Condensing Furnace Standard</w:t>
      </w:r>
    </w:p>
    <w:p w:rsidR="00161EF5" w:rsidRPr="00A07830" w:rsidRDefault="00ED5DAC" w:rsidP="00161EF5">
      <w:pPr>
        <w:jc w:val="center"/>
        <w:rPr>
          <w:rFonts w:asciiTheme="majorHAnsi" w:hAnsiTheme="majorHAnsi"/>
          <w:i/>
          <w:sz w:val="22"/>
          <w:szCs w:val="22"/>
        </w:rPr>
      </w:pPr>
      <w:r w:rsidRPr="003F620D">
        <w:rPr>
          <w:rFonts w:asciiTheme="majorHAnsi" w:hAnsiTheme="majorHAnsi"/>
          <w:b/>
          <w:sz w:val="28"/>
          <w:szCs w:val="22"/>
        </w:rPr>
        <w:t>Department of Energy</w:t>
      </w:r>
      <w:r w:rsidR="00965FB5" w:rsidRPr="003F620D">
        <w:rPr>
          <w:rFonts w:asciiTheme="majorHAnsi" w:hAnsiTheme="majorHAnsi"/>
          <w:b/>
          <w:sz w:val="28"/>
          <w:szCs w:val="22"/>
        </w:rPr>
        <w:t xml:space="preserve"> </w:t>
      </w:r>
      <w:r w:rsidRPr="003F620D">
        <w:rPr>
          <w:rFonts w:asciiTheme="majorHAnsi" w:hAnsiTheme="majorHAnsi"/>
          <w:b/>
          <w:sz w:val="28"/>
          <w:szCs w:val="22"/>
        </w:rPr>
        <w:t xml:space="preserve">Residential Furnace </w:t>
      </w:r>
      <w:r w:rsidR="00580A8A" w:rsidRPr="003F620D">
        <w:rPr>
          <w:rFonts w:asciiTheme="majorHAnsi" w:hAnsiTheme="majorHAnsi"/>
          <w:b/>
          <w:sz w:val="28"/>
          <w:szCs w:val="22"/>
        </w:rPr>
        <w:t>Standard</w:t>
      </w:r>
      <w:r w:rsidRPr="003F620D">
        <w:rPr>
          <w:rFonts w:asciiTheme="majorHAnsi" w:hAnsiTheme="majorHAnsi"/>
          <w:b/>
          <w:sz w:val="28"/>
          <w:szCs w:val="22"/>
        </w:rPr>
        <w:t xml:space="preserve">s Rulemaking </w:t>
      </w:r>
    </w:p>
    <w:p w:rsidR="00BC520C" w:rsidRDefault="00A27693" w:rsidP="00BC520C">
      <w:pPr>
        <w:pBdr>
          <w:bottom w:val="single" w:sz="4" w:space="0" w:color="auto"/>
        </w:pBdr>
        <w:rPr>
          <w:rFonts w:asciiTheme="majorHAnsi" w:hAnsiTheme="majorHAnsi"/>
          <w:sz w:val="22"/>
          <w:szCs w:val="22"/>
        </w:rPr>
      </w:pPr>
      <w:r w:rsidRPr="00BE2068">
        <w:rPr>
          <w:rFonts w:asciiTheme="majorHAnsi" w:hAnsiTheme="majorHAnsi"/>
          <w:sz w:val="22"/>
          <w:szCs w:val="22"/>
        </w:rPr>
        <w:t>Scope</w:t>
      </w:r>
    </w:p>
    <w:p w:rsidR="00590F85" w:rsidRPr="00A07830" w:rsidRDefault="00590F85" w:rsidP="00782A5D">
      <w:pPr>
        <w:pStyle w:val="ListParagraph"/>
        <w:spacing w:after="0"/>
        <w:rPr>
          <w:rFonts w:asciiTheme="majorHAnsi" w:hAnsiTheme="majorHAnsi" w:cs="Times New Roman"/>
        </w:rPr>
      </w:pPr>
      <w:r w:rsidRPr="00A07830">
        <w:rPr>
          <w:rFonts w:asciiTheme="majorHAnsi" w:hAnsiTheme="majorHAnsi" w:cs="Times New Roman"/>
        </w:rPr>
        <w:t>Residential non-weatherized gas-fired furnaces and mobile home gas-fired furnaces</w:t>
      </w:r>
    </w:p>
    <w:p w:rsidR="00590F85" w:rsidRPr="007B69DA" w:rsidRDefault="0031736D" w:rsidP="00BC520C">
      <w:pPr>
        <w:pBdr>
          <w:bottom w:val="single" w:sz="4" w:space="0" w:color="auto"/>
        </w:pBdr>
        <w:rPr>
          <w:rFonts w:asciiTheme="majorHAnsi" w:hAnsiTheme="majorHAnsi"/>
          <w:sz w:val="22"/>
          <w:szCs w:val="22"/>
        </w:rPr>
      </w:pPr>
      <w:r w:rsidRPr="007B69DA">
        <w:rPr>
          <w:rFonts w:asciiTheme="majorHAnsi" w:hAnsiTheme="majorHAnsi"/>
          <w:sz w:val="22"/>
          <w:szCs w:val="22"/>
        </w:rPr>
        <w:t>History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
        <w:gridCol w:w="1305"/>
        <w:gridCol w:w="6650"/>
      </w:tblGrid>
      <w:tr w:rsidR="00590F85" w:rsidRPr="00590F85" w:rsidTr="00FF158F">
        <w:trPr>
          <w:trHeight w:val="300"/>
        </w:trPr>
        <w:tc>
          <w:tcPr>
            <w:tcW w:w="96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Year</w:t>
            </w:r>
          </w:p>
        </w:tc>
        <w:tc>
          <w:tcPr>
            <w:tcW w:w="1398" w:type="dxa"/>
            <w:shd w:val="clear" w:color="auto" w:fill="00B0F0"/>
            <w:noWrap/>
            <w:vAlign w:val="center"/>
            <w:hideMark/>
          </w:tcPr>
          <w:p w:rsidR="00590F85" w:rsidRPr="00590F85" w:rsidRDefault="00590F85" w:rsidP="00FF158F">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 xml:space="preserve">Minimum Standard </w:t>
            </w:r>
          </w:p>
        </w:tc>
        <w:tc>
          <w:tcPr>
            <w:tcW w:w="7200" w:type="dxa"/>
            <w:shd w:val="clear" w:color="auto" w:fill="00B0F0"/>
            <w:noWrap/>
            <w:vAlign w:val="center"/>
            <w:hideMark/>
          </w:tcPr>
          <w:p w:rsidR="00590F85" w:rsidRPr="00590F85" w:rsidRDefault="00590F85" w:rsidP="00694F28">
            <w:pPr>
              <w:rPr>
                <w:rFonts w:asciiTheme="majorHAnsi" w:eastAsia="Times New Roman" w:hAnsiTheme="majorHAnsi" w:cs="Times New Roman"/>
                <w:b/>
                <w:sz w:val="16"/>
                <w:szCs w:val="20"/>
              </w:rPr>
            </w:pPr>
            <w:r w:rsidRPr="00590F85">
              <w:rPr>
                <w:rFonts w:asciiTheme="majorHAnsi" w:eastAsia="Times New Roman" w:hAnsiTheme="majorHAnsi" w:cs="Times New Roman"/>
                <w:b/>
                <w:sz w:val="16"/>
                <w:szCs w:val="20"/>
              </w:rPr>
              <w:t>Key Activity</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1987</w:t>
            </w:r>
          </w:p>
        </w:tc>
        <w:tc>
          <w:tcPr>
            <w:tcW w:w="1398" w:type="dxa"/>
            <w:vMerge w:val="restart"/>
            <w:noWrap/>
            <w:vAlign w:val="center"/>
          </w:tcPr>
          <w:p w:rsidR="00590F85" w:rsidRPr="00590F85" w:rsidRDefault="00590F85" w:rsidP="006E7416">
            <w:pPr>
              <w:jc w:val="center"/>
              <w:rPr>
                <w:rFonts w:asciiTheme="majorHAnsi" w:hAnsiTheme="majorHAnsi"/>
                <w:b/>
                <w:color w:val="C00000"/>
                <w:sz w:val="16"/>
                <w:szCs w:val="20"/>
              </w:rPr>
            </w:pPr>
            <w:r w:rsidRPr="00590F85">
              <w:rPr>
                <w:rFonts w:asciiTheme="majorHAnsi" w:hAnsiTheme="majorHAnsi"/>
                <w:b/>
                <w:color w:val="C00000"/>
                <w:sz w:val="16"/>
                <w:szCs w:val="20"/>
              </w:rPr>
              <w:t>Non-Condensing Furnace – 3</w:t>
            </w:r>
            <w:r w:rsidR="006E7416">
              <w:rPr>
                <w:rFonts w:asciiTheme="majorHAnsi" w:hAnsiTheme="majorHAnsi"/>
                <w:b/>
                <w:color w:val="C00000"/>
                <w:sz w:val="16"/>
                <w:szCs w:val="20"/>
              </w:rPr>
              <w:t>4</w:t>
            </w:r>
            <w:r w:rsidRPr="00590F85">
              <w:rPr>
                <w:rFonts w:asciiTheme="majorHAnsi" w:hAnsiTheme="majorHAnsi"/>
                <w:b/>
                <w:color w:val="C00000"/>
                <w:sz w:val="16"/>
                <w:szCs w:val="20"/>
              </w:rPr>
              <w:t xml:space="preserve"> years</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1987: Current minimum standard of 78% Annual Fuel Utilization Efficiency (AFUE) adopted by US Congress in National Appliance Energy Conservation Act.</w:t>
            </w:r>
          </w:p>
        </w:tc>
      </w:tr>
      <w:tr w:rsidR="00590F85" w:rsidRPr="00590F85" w:rsidTr="001547AA">
        <w:trPr>
          <w:trHeight w:val="458"/>
        </w:trPr>
        <w:tc>
          <w:tcPr>
            <w:tcW w:w="960" w:type="dxa"/>
            <w:noWrap/>
            <w:vAlign w:val="center"/>
          </w:tcPr>
          <w:p w:rsidR="00590F85" w:rsidRPr="00590F85" w:rsidRDefault="00590F85" w:rsidP="00590F85">
            <w:pPr>
              <w:jc w:val="center"/>
              <w:rPr>
                <w:rFonts w:asciiTheme="majorHAnsi" w:hAnsiTheme="majorHAnsi"/>
                <w:i/>
                <w:sz w:val="16"/>
                <w:szCs w:val="20"/>
              </w:rPr>
            </w:pPr>
            <w:r w:rsidRPr="00590F85">
              <w:rPr>
                <w:rFonts w:asciiTheme="majorHAnsi" w:hAnsiTheme="majorHAnsi"/>
                <w:i/>
                <w:sz w:val="16"/>
                <w:szCs w:val="20"/>
              </w:rPr>
              <w:t>1988 - 2009</w:t>
            </w:r>
          </w:p>
        </w:tc>
        <w:tc>
          <w:tcPr>
            <w:tcW w:w="1398" w:type="dxa"/>
            <w:vMerge/>
            <w:noWrap/>
            <w:vAlign w:val="center"/>
          </w:tcPr>
          <w:p w:rsidR="00590F85" w:rsidRPr="00590F85" w:rsidRDefault="00590F85" w:rsidP="00590F85">
            <w:pPr>
              <w:jc w:val="center"/>
              <w:rPr>
                <w:rFonts w:asciiTheme="majorHAnsi" w:hAnsiTheme="majorHAnsi"/>
                <w:b/>
                <w:color w:val="C00000"/>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2009</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October 2009: Manufacturers and efficiency advocates negotiated an agreement that included an update to the standard by setting three different levels by climate regions: the North, South, and Southwest.</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December 2009: The American Public Gas Association filed a lawsuit objecting to the process used to adopt the standards.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2012</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val="restart"/>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No changes to DOE standard while court case is pending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2013</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vMerge/>
            <w:noWrap/>
            <w:vAlign w:val="center"/>
            <w:hideMark/>
          </w:tcPr>
          <w:p w:rsidR="00590F85" w:rsidRPr="00590F85" w:rsidRDefault="00590F85" w:rsidP="00590F85">
            <w:pPr>
              <w:rPr>
                <w:rFonts w:asciiTheme="majorHAnsi" w:hAnsiTheme="majorHAnsi"/>
                <w:sz w:val="16"/>
                <w:szCs w:val="20"/>
              </w:rPr>
            </w:pP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2014</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April 2014: U.S. Court of Appeals for the D.C. Circuit approved a settlement between DOE and the APGA - new DOE rulemaking to be completed by March 2016</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2015</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2015: DOE released for public review analysis of the costs and benefits of condensing furnace standard</w:t>
            </w:r>
          </w:p>
          <w:p w:rsidR="00590F85" w:rsidRPr="00590F85" w:rsidRDefault="00590F85" w:rsidP="00590F85">
            <w:pPr>
              <w:rPr>
                <w:rFonts w:asciiTheme="majorHAnsi" w:hAnsiTheme="majorHAnsi"/>
                <w:sz w:val="16"/>
                <w:szCs w:val="21"/>
              </w:rPr>
            </w:pPr>
            <w:r w:rsidRPr="00590F85">
              <w:rPr>
                <w:rFonts w:asciiTheme="majorHAnsi" w:hAnsiTheme="majorHAnsi"/>
                <w:sz w:val="16"/>
                <w:szCs w:val="21"/>
              </w:rPr>
              <w:t>November 2015: Minimum become 80% AFUE noncondensing</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2016</w:t>
            </w:r>
          </w:p>
        </w:tc>
        <w:tc>
          <w:tcPr>
            <w:tcW w:w="1398" w:type="dxa"/>
            <w:vMerge/>
            <w:noWrap/>
            <w:vAlign w:val="center"/>
          </w:tcPr>
          <w:p w:rsidR="00590F85" w:rsidRPr="00590F85" w:rsidRDefault="00590F85" w:rsidP="00590F85">
            <w:pPr>
              <w:jc w:val="center"/>
              <w:rPr>
                <w:rFonts w:asciiTheme="majorHAnsi" w:hAnsiTheme="majorHAnsi"/>
                <w:b/>
                <w:color w:val="E36C0A" w:themeColor="accent6" w:themeShade="BF"/>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2016: Anticipated DOE Final Rule for updated standards.</w:t>
            </w:r>
          </w:p>
        </w:tc>
      </w:tr>
      <w:tr w:rsidR="00590F85" w:rsidRPr="00590F85" w:rsidTr="001547AA">
        <w:trPr>
          <w:trHeight w:val="557"/>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2017 - 2020</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Mandatory five year period between final rule and effective date</w:t>
            </w:r>
          </w:p>
        </w:tc>
      </w:tr>
      <w:tr w:rsidR="00590F85" w:rsidRPr="00590F85" w:rsidTr="001547AA">
        <w:trPr>
          <w:trHeight w:val="7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sz w:val="16"/>
                <w:szCs w:val="20"/>
              </w:rPr>
              <w:t>2021</w:t>
            </w:r>
          </w:p>
        </w:tc>
        <w:tc>
          <w:tcPr>
            <w:tcW w:w="1398" w:type="dxa"/>
            <w:vMerge w:val="restart"/>
            <w:noWrap/>
            <w:vAlign w:val="center"/>
          </w:tcPr>
          <w:p w:rsidR="00590F85" w:rsidRPr="00590F85" w:rsidRDefault="00590F85" w:rsidP="00590F85">
            <w:pPr>
              <w:jc w:val="center"/>
              <w:rPr>
                <w:rFonts w:asciiTheme="majorHAnsi" w:hAnsiTheme="majorHAnsi"/>
                <w:b/>
                <w:sz w:val="16"/>
                <w:szCs w:val="20"/>
              </w:rPr>
            </w:pPr>
            <w:r w:rsidRPr="00590F85">
              <w:rPr>
                <w:rFonts w:asciiTheme="majorHAnsi" w:hAnsiTheme="majorHAnsi"/>
                <w:b/>
                <w:color w:val="00B050"/>
                <w:sz w:val="16"/>
                <w:szCs w:val="20"/>
              </w:rPr>
              <w:t>Condensing Furnace</w:t>
            </w: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March 2021: Anticipated effective date for updated standards. This would be the first effective update to the standard level in 34 years.</w:t>
            </w:r>
          </w:p>
        </w:tc>
      </w:tr>
      <w:tr w:rsidR="00590F85" w:rsidRPr="00590F85" w:rsidTr="001547AA">
        <w:trPr>
          <w:trHeight w:val="300"/>
        </w:trPr>
        <w:tc>
          <w:tcPr>
            <w:tcW w:w="960" w:type="dxa"/>
            <w:noWrap/>
            <w:vAlign w:val="center"/>
            <w:hideMark/>
          </w:tcPr>
          <w:p w:rsidR="00590F85" w:rsidRPr="00590F85" w:rsidRDefault="00590F85" w:rsidP="00590F85">
            <w:pPr>
              <w:jc w:val="center"/>
              <w:rPr>
                <w:rFonts w:asciiTheme="majorHAnsi" w:hAnsiTheme="majorHAnsi"/>
                <w:sz w:val="16"/>
                <w:szCs w:val="20"/>
              </w:rPr>
            </w:pPr>
            <w:r w:rsidRPr="00590F85">
              <w:rPr>
                <w:rFonts w:asciiTheme="majorHAnsi" w:hAnsiTheme="majorHAnsi"/>
                <w:i/>
                <w:sz w:val="16"/>
                <w:szCs w:val="20"/>
              </w:rPr>
              <w:t>2021-2051</w:t>
            </w:r>
          </w:p>
        </w:tc>
        <w:tc>
          <w:tcPr>
            <w:tcW w:w="1398" w:type="dxa"/>
            <w:vMerge/>
            <w:noWrap/>
            <w:vAlign w:val="center"/>
          </w:tcPr>
          <w:p w:rsidR="00590F85" w:rsidRPr="00590F85" w:rsidRDefault="00590F85" w:rsidP="00590F85">
            <w:pPr>
              <w:jc w:val="center"/>
              <w:rPr>
                <w:rFonts w:asciiTheme="majorHAnsi" w:hAnsiTheme="majorHAnsi"/>
                <w:b/>
                <w:sz w:val="16"/>
                <w:szCs w:val="20"/>
              </w:rPr>
            </w:pPr>
          </w:p>
        </w:tc>
        <w:tc>
          <w:tcPr>
            <w:tcW w:w="7200" w:type="dxa"/>
            <w:noWrap/>
            <w:vAlign w:val="center"/>
            <w:hideMark/>
          </w:tcPr>
          <w:p w:rsidR="00590F85" w:rsidRPr="00590F85" w:rsidRDefault="00590F85" w:rsidP="00590F85">
            <w:pPr>
              <w:rPr>
                <w:rFonts w:asciiTheme="majorHAnsi" w:hAnsiTheme="majorHAnsi"/>
                <w:sz w:val="16"/>
                <w:szCs w:val="20"/>
              </w:rPr>
            </w:pPr>
            <w:r w:rsidRPr="00590F85">
              <w:rPr>
                <w:rFonts w:asciiTheme="majorHAnsi" w:hAnsiTheme="majorHAnsi"/>
                <w:sz w:val="16"/>
                <w:szCs w:val="20"/>
              </w:rPr>
              <w:t xml:space="preserve">Projected total accumulated energy savings over 30 years in U.S.: </w:t>
            </w:r>
          </w:p>
          <w:p w:rsidR="00590F85" w:rsidRPr="00590F85" w:rsidRDefault="00590F85" w:rsidP="00590F85">
            <w:pPr>
              <w:rPr>
                <w:rFonts w:asciiTheme="majorHAnsi" w:hAnsiTheme="majorHAnsi"/>
                <w:sz w:val="16"/>
                <w:szCs w:val="20"/>
              </w:rPr>
            </w:pPr>
            <w:r w:rsidRPr="00590F85">
              <w:rPr>
                <w:rFonts w:asciiTheme="majorHAnsi" w:hAnsiTheme="majorHAnsi"/>
                <w:b/>
                <w:sz w:val="16"/>
                <w:szCs w:val="20"/>
              </w:rPr>
              <w:t>2.78 Quads or 28 Billion Therms</w:t>
            </w:r>
            <w:r w:rsidRPr="00590F85">
              <w:rPr>
                <w:rFonts w:asciiTheme="majorHAnsi" w:hAnsiTheme="majorHAnsi"/>
                <w:sz w:val="16"/>
                <w:szCs w:val="20"/>
              </w:rPr>
              <w:t>.</w:t>
            </w:r>
          </w:p>
        </w:tc>
      </w:tr>
    </w:tbl>
    <w:p w:rsidR="00E517B6" w:rsidRPr="00A07830" w:rsidRDefault="00E517B6" w:rsidP="00694F28">
      <w:pPr>
        <w:pStyle w:val="ListParagraph"/>
        <w:numPr>
          <w:ilvl w:val="0"/>
          <w:numId w:val="0"/>
        </w:numPr>
        <w:ind w:left="360"/>
        <w:rPr>
          <w:rFonts w:asciiTheme="majorHAnsi" w:hAnsiTheme="majorHAnsi" w:cs="Times New Roman"/>
        </w:rPr>
      </w:pPr>
    </w:p>
    <w:p w:rsidR="00F6009C" w:rsidRPr="007B69DA" w:rsidRDefault="0031736D" w:rsidP="00782A5D">
      <w:pPr>
        <w:pStyle w:val="ListParagraph"/>
        <w:numPr>
          <w:ilvl w:val="0"/>
          <w:numId w:val="0"/>
        </w:numPr>
        <w:spacing w:after="0"/>
        <w:rPr>
          <w:rFonts w:asciiTheme="majorHAnsi" w:hAnsiTheme="majorHAnsi" w:cs="Times New Roman"/>
        </w:rPr>
      </w:pPr>
      <w:r w:rsidRPr="007B69DA">
        <w:rPr>
          <w:rFonts w:asciiTheme="majorHAnsi" w:hAnsiTheme="majorHAnsi" w:cs="Times New Roman"/>
        </w:rPr>
        <w:t>Supporters and Opponents</w:t>
      </w:r>
    </w:p>
    <w:tbl>
      <w:tblPr>
        <w:tblStyle w:val="LightList-Accent5"/>
        <w:tblW w:w="8801"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2200"/>
        <w:gridCol w:w="2200"/>
        <w:gridCol w:w="2200"/>
        <w:gridCol w:w="2201"/>
      </w:tblGrid>
      <w:tr w:rsidR="00007C87" w:rsidRPr="00D47423" w:rsidTr="00CB5AA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00" w:type="dxa"/>
            <w:shd w:val="clear" w:color="auto" w:fill="00B0F0"/>
            <w:vAlign w:val="bottom"/>
          </w:tcPr>
          <w:p w:rsidR="00007C87" w:rsidRPr="00D47423" w:rsidRDefault="00007C87" w:rsidP="00A07830">
            <w:pPr>
              <w:rPr>
                <w:rFonts w:asciiTheme="majorHAnsi" w:hAnsiTheme="majorHAnsi"/>
                <w:sz w:val="20"/>
                <w:szCs w:val="20"/>
              </w:rPr>
            </w:pPr>
            <w:r w:rsidRPr="00D47423">
              <w:rPr>
                <w:rFonts w:asciiTheme="majorHAnsi" w:hAnsiTheme="majorHAnsi"/>
                <w:sz w:val="20"/>
                <w:szCs w:val="20"/>
              </w:rPr>
              <w:t>PG&amp;E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Position</w:t>
            </w:r>
          </w:p>
        </w:tc>
        <w:tc>
          <w:tcPr>
            <w:tcW w:w="2200"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Counter Position</w:t>
            </w:r>
          </w:p>
        </w:tc>
        <w:tc>
          <w:tcPr>
            <w:tcW w:w="2201" w:type="dxa"/>
            <w:shd w:val="clear" w:color="auto" w:fill="00B0F0"/>
            <w:vAlign w:val="bottom"/>
          </w:tcPr>
          <w:p w:rsidR="00007C87" w:rsidRPr="00D47423" w:rsidRDefault="00007C87" w:rsidP="00A07830">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Key Supporters of Counter Position</w:t>
            </w:r>
          </w:p>
        </w:tc>
      </w:tr>
      <w:tr w:rsidR="00007C87" w:rsidRPr="00D47423" w:rsidTr="00CB5AA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200" w:type="dxa"/>
          </w:tcPr>
          <w:p w:rsidR="00007C87" w:rsidRPr="00CB5AAF" w:rsidRDefault="00007C87" w:rsidP="00426F84">
            <w:pPr>
              <w:rPr>
                <w:rFonts w:asciiTheme="majorHAnsi" w:hAnsiTheme="majorHAnsi"/>
                <w:sz w:val="20"/>
                <w:szCs w:val="20"/>
              </w:rPr>
            </w:pPr>
            <w:r w:rsidRPr="00CB5AAF">
              <w:rPr>
                <w:rFonts w:asciiTheme="majorHAnsi" w:hAnsiTheme="majorHAnsi"/>
                <w:sz w:val="20"/>
                <w:szCs w:val="20"/>
              </w:rPr>
              <w:t xml:space="preserve">Support DOE proposed </w:t>
            </w:r>
            <w:r w:rsidR="00426F84" w:rsidRPr="00CB5AAF">
              <w:rPr>
                <w:rFonts w:asciiTheme="majorHAnsi" w:hAnsiTheme="majorHAnsi"/>
                <w:sz w:val="20"/>
                <w:szCs w:val="20"/>
              </w:rPr>
              <w:t xml:space="preserve">condensing furnace standard </w:t>
            </w:r>
            <w:r w:rsidRPr="00CB5AAF">
              <w:rPr>
                <w:rFonts w:asciiTheme="majorHAnsi" w:hAnsiTheme="majorHAnsi"/>
                <w:sz w:val="20"/>
                <w:szCs w:val="20"/>
              </w:rPr>
              <w:t>as cost effective</w:t>
            </w:r>
            <w:r w:rsidR="00426F84" w:rsidRPr="00CB5AAF">
              <w:rPr>
                <w:rFonts w:asciiTheme="majorHAnsi" w:hAnsiTheme="majorHAnsi"/>
                <w:sz w:val="20"/>
                <w:szCs w:val="20"/>
              </w:rPr>
              <w:t xml:space="preserve"> the nation and California.  Analysis is correct.</w:t>
            </w:r>
          </w:p>
        </w:tc>
        <w:tc>
          <w:tcPr>
            <w:tcW w:w="2200" w:type="dxa"/>
          </w:tcPr>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NEEP</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ACEEE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CEC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NRDC</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EEI</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Earthjustice</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The Consumer Federation of America</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National Consumers Law Center</w:t>
            </w:r>
          </w:p>
          <w:p w:rsidR="00007C87" w:rsidRPr="008D5A2B" w:rsidRDefault="00007C87" w:rsidP="008D5A2B">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Massachusetts Union Of Public Housing Tenants</w:t>
            </w:r>
          </w:p>
          <w:p w:rsidR="00007C87" w:rsidRPr="00D47423" w:rsidRDefault="00007C87" w:rsidP="00782A5D">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D5A2B">
              <w:rPr>
                <w:rFonts w:asciiTheme="majorHAnsi" w:hAnsiTheme="majorHAnsi"/>
                <w:sz w:val="20"/>
                <w:szCs w:val="20"/>
              </w:rPr>
              <w:t>Texas Ratepayers' Organization to Save Energy</w:t>
            </w:r>
          </w:p>
        </w:tc>
        <w:tc>
          <w:tcPr>
            <w:tcW w:w="2200" w:type="dxa"/>
          </w:tcPr>
          <w:p w:rsidR="00007C87" w:rsidRPr="00CB5AAF" w:rsidRDefault="00007C87" w:rsidP="00426F84">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CB5AAF">
              <w:rPr>
                <w:rFonts w:asciiTheme="majorHAnsi" w:hAnsiTheme="majorHAnsi"/>
                <w:b/>
                <w:sz w:val="20"/>
                <w:szCs w:val="20"/>
              </w:rPr>
              <w:t xml:space="preserve">DOE should withdraw rulemaking since </w:t>
            </w:r>
            <w:r w:rsidR="00426F84" w:rsidRPr="00CB5AAF">
              <w:rPr>
                <w:rFonts w:asciiTheme="majorHAnsi" w:hAnsiTheme="majorHAnsi"/>
                <w:b/>
                <w:sz w:val="20"/>
                <w:szCs w:val="20"/>
              </w:rPr>
              <w:t xml:space="preserve">it is not cost effective because the </w:t>
            </w:r>
            <w:r w:rsidRPr="00CB5AAF">
              <w:rPr>
                <w:rFonts w:asciiTheme="majorHAnsi" w:hAnsiTheme="majorHAnsi"/>
                <w:b/>
                <w:sz w:val="20"/>
                <w:szCs w:val="20"/>
              </w:rPr>
              <w:t xml:space="preserve">analysis is </w:t>
            </w:r>
            <w:r w:rsidR="00426F84" w:rsidRPr="00CB5AAF">
              <w:rPr>
                <w:rFonts w:asciiTheme="majorHAnsi" w:hAnsiTheme="majorHAnsi"/>
                <w:b/>
                <w:sz w:val="20"/>
                <w:szCs w:val="20"/>
              </w:rPr>
              <w:t>flawed</w:t>
            </w:r>
          </w:p>
        </w:tc>
        <w:tc>
          <w:tcPr>
            <w:tcW w:w="2201" w:type="dxa"/>
          </w:tcPr>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SCG</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AGA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APGA</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AHRI</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HARDI</w:t>
            </w:r>
          </w:p>
          <w:p w:rsidR="00007C87" w:rsidRPr="006E7416"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6E7416">
              <w:rPr>
                <w:rFonts w:asciiTheme="majorHAnsi" w:hAnsiTheme="majorHAnsi"/>
                <w:sz w:val="20"/>
                <w:szCs w:val="20"/>
              </w:rPr>
              <w:t>ACCA</w:t>
            </w:r>
          </w:p>
          <w:p w:rsidR="00007C87" w:rsidRPr="00D47423" w:rsidRDefault="00007C87" w:rsidP="006E7416">
            <w:pPr>
              <w:pStyle w:val="ListParagraph"/>
              <w:numPr>
                <w:ilvl w:val="0"/>
                <w:numId w:val="25"/>
              </w:numPr>
              <w:ind w:left="252" w:hanging="18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D47423">
              <w:rPr>
                <w:rFonts w:asciiTheme="majorHAnsi" w:hAnsiTheme="majorHAnsi"/>
                <w:sz w:val="20"/>
                <w:szCs w:val="20"/>
              </w:rPr>
              <w:t>NAHB</w:t>
            </w:r>
          </w:p>
        </w:tc>
        <w:bookmarkStart w:id="0" w:name="_GoBack"/>
        <w:bookmarkEnd w:id="0"/>
      </w:tr>
    </w:tbl>
    <w:p w:rsidR="00F80886" w:rsidRPr="00A07830" w:rsidRDefault="00F80886" w:rsidP="00F80886">
      <w:pPr>
        <w:rPr>
          <w:rFonts w:asciiTheme="majorHAnsi" w:hAnsiTheme="majorHAnsi"/>
        </w:rPr>
      </w:pPr>
    </w:p>
    <w:p w:rsidR="00966051" w:rsidRPr="00A07830" w:rsidRDefault="00966051" w:rsidP="00C84E04">
      <w:pPr>
        <w:rPr>
          <w:rFonts w:asciiTheme="majorHAnsi" w:hAnsiTheme="majorHAnsi"/>
          <w:sz w:val="22"/>
          <w:szCs w:val="22"/>
        </w:rPr>
      </w:pPr>
    </w:p>
    <w:p w:rsidR="007B69DA" w:rsidRDefault="007B69DA" w:rsidP="007B69DA">
      <w:pPr>
        <w:rPr>
          <w:rFonts w:asciiTheme="majorHAnsi" w:hAnsiTheme="majorHAnsi"/>
          <w:b/>
        </w:rPr>
      </w:pPr>
      <w:r>
        <w:rPr>
          <w:rFonts w:asciiTheme="majorHAnsi" w:hAnsiTheme="majorHAnsi"/>
          <w:b/>
        </w:rPr>
        <w:t>We Stand</w:t>
      </w:r>
      <w:r w:rsidRPr="00D47423">
        <w:rPr>
          <w:rFonts w:asciiTheme="majorHAnsi" w:hAnsiTheme="majorHAnsi"/>
          <w:b/>
        </w:rPr>
        <w:t xml:space="preserve"> with our Customer</w:t>
      </w:r>
      <w:r>
        <w:rPr>
          <w:rFonts w:asciiTheme="majorHAnsi" w:hAnsiTheme="majorHAnsi"/>
          <w:b/>
        </w:rPr>
        <w:t xml:space="preserve"> by Supporting Condensing Furnaces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Half of households are tenants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More than half of new house</w:t>
      </w:r>
      <w:r>
        <w:rPr>
          <w:rFonts w:asciiTheme="majorHAnsi" w:hAnsiTheme="majorHAnsi"/>
        </w:rPr>
        <w:t>holds (</w:t>
      </w:r>
      <w:r w:rsidRPr="00A645E8">
        <w:rPr>
          <w:rFonts w:asciiTheme="majorHAnsi" w:hAnsiTheme="majorHAnsi"/>
        </w:rPr>
        <w:t>2010 to 2030) will be tenants</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 xml:space="preserve">DOE analysis did not consider tenant costs and benefits </w:t>
      </w:r>
    </w:p>
    <w:p w:rsidR="007B69DA" w:rsidRPr="00A645E8" w:rsidRDefault="007B69DA" w:rsidP="007B69DA">
      <w:pPr>
        <w:pStyle w:val="ListParagraph"/>
        <w:numPr>
          <w:ilvl w:val="0"/>
          <w:numId w:val="24"/>
        </w:numPr>
        <w:rPr>
          <w:rFonts w:asciiTheme="majorHAnsi" w:hAnsiTheme="majorHAnsi"/>
        </w:rPr>
      </w:pPr>
      <w:r w:rsidRPr="00A645E8">
        <w:rPr>
          <w:rFonts w:asciiTheme="majorHAnsi" w:hAnsiTheme="majorHAnsi"/>
        </w:rPr>
        <w:t>Rents are location driven</w:t>
      </w:r>
      <w:r>
        <w:rPr>
          <w:rFonts w:asciiTheme="majorHAnsi" w:hAnsiTheme="majorHAnsi"/>
        </w:rPr>
        <w:t xml:space="preserve"> -</w:t>
      </w:r>
      <w:r w:rsidRPr="00A645E8">
        <w:rPr>
          <w:rFonts w:asciiTheme="majorHAnsi" w:hAnsiTheme="majorHAnsi"/>
        </w:rPr>
        <w:t xml:space="preserve"> not driven</w:t>
      </w:r>
      <w:r>
        <w:rPr>
          <w:rFonts w:asciiTheme="majorHAnsi" w:hAnsiTheme="majorHAnsi"/>
        </w:rPr>
        <w:t xml:space="preserve"> by</w:t>
      </w:r>
      <w:r w:rsidRPr="00A645E8">
        <w:rPr>
          <w:rFonts w:asciiTheme="majorHAnsi" w:hAnsiTheme="majorHAnsi"/>
        </w:rPr>
        <w:t xml:space="preserve"> repair and replacement costs </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Landlords have no</w:t>
      </w:r>
      <w:r w:rsidRPr="00A645E8">
        <w:rPr>
          <w:rFonts w:asciiTheme="majorHAnsi" w:hAnsiTheme="majorHAnsi"/>
        </w:rPr>
        <w:t xml:space="preserve"> incentive to install anything but minimum efficiency units</w:t>
      </w:r>
    </w:p>
    <w:p w:rsidR="007B69DA" w:rsidRPr="00A645E8" w:rsidRDefault="007B69DA" w:rsidP="007B69DA">
      <w:pPr>
        <w:pStyle w:val="ListParagraph"/>
        <w:numPr>
          <w:ilvl w:val="0"/>
          <w:numId w:val="24"/>
        </w:numPr>
        <w:rPr>
          <w:rFonts w:asciiTheme="majorHAnsi" w:hAnsiTheme="majorHAnsi"/>
          <w:b/>
        </w:rPr>
      </w:pPr>
      <w:r>
        <w:rPr>
          <w:rFonts w:asciiTheme="majorHAnsi" w:hAnsiTheme="majorHAnsi"/>
        </w:rPr>
        <w:t>NOx limits, set based on health impacts, are met using condensing furnaces</w:t>
      </w:r>
    </w:p>
    <w:p w:rsidR="007B69DA" w:rsidRPr="00D47423" w:rsidRDefault="007B69DA" w:rsidP="007B69DA">
      <w:pPr>
        <w:pStyle w:val="ListParagraph"/>
        <w:numPr>
          <w:ilvl w:val="0"/>
          <w:numId w:val="24"/>
        </w:numPr>
        <w:rPr>
          <w:rFonts w:asciiTheme="majorHAnsi" w:hAnsiTheme="majorHAnsi"/>
          <w:b/>
        </w:rPr>
      </w:pPr>
      <w:r>
        <w:rPr>
          <w:rFonts w:asciiTheme="majorHAnsi" w:hAnsiTheme="majorHAnsi"/>
        </w:rPr>
        <w:t>Condensing furnaces are cost effective for</w:t>
      </w:r>
      <w:r w:rsidR="00D77A35">
        <w:rPr>
          <w:rFonts w:asciiTheme="majorHAnsi" w:hAnsiTheme="majorHAnsi"/>
        </w:rPr>
        <w:t xml:space="preserve"> </w:t>
      </w:r>
      <w:r>
        <w:rPr>
          <w:rFonts w:asciiTheme="majorHAnsi" w:hAnsiTheme="majorHAnsi"/>
        </w:rPr>
        <w:t>California ratepayers</w:t>
      </w:r>
    </w:p>
    <w:p w:rsidR="007B69DA" w:rsidRPr="00D47423" w:rsidRDefault="007B69DA" w:rsidP="007B69DA">
      <w:pPr>
        <w:rPr>
          <w:rFonts w:asciiTheme="majorHAnsi" w:hAnsiTheme="majorHAnsi"/>
          <w:b/>
        </w:rPr>
      </w:pPr>
      <w:r>
        <w:rPr>
          <w:rFonts w:asciiTheme="majorHAnsi" w:hAnsiTheme="majorHAnsi"/>
          <w:b/>
        </w:rPr>
        <w:t>PG&amp;E Takes a Leadership Position by Supporting DOE and CEC</w:t>
      </w:r>
    </w:p>
    <w:p w:rsidR="007B69DA" w:rsidRDefault="007B69DA" w:rsidP="007B69DA">
      <w:pPr>
        <w:rPr>
          <w:rFonts w:asciiTheme="majorHAnsi" w:hAnsiTheme="majorHAnsi"/>
          <w:sz w:val="22"/>
          <w:szCs w:val="22"/>
        </w:rPr>
      </w:pPr>
      <w:r>
        <w:rPr>
          <w:rFonts w:asciiTheme="majorHAnsi" w:hAnsiTheme="majorHAnsi"/>
          <w:sz w:val="22"/>
          <w:szCs w:val="22"/>
        </w:rPr>
        <w:t xml:space="preserve">As a national leader in energy efficiency and customer care PG&amp;E benefits from a reputation for having the vision and commitment needed to be the utility of the future.  Integration of Electric Vehicles, Natural Gas Vehicles, and renewables into a low carbon grid will take the support of regulators, legislatures, investors, and customers.  Support is more likely to given to a utility found to be a partner in achieving Local, State, and National energy efficiency goals.  Electric Vehicles powered by the low carbon PG&amp;E grid will increase sales while supporting societal goals.  Natural Gas vehicles and power plants will provide a reduced carbon impact, increased sales and benefit society. It is with this long term perspective and a commitment to our customers that PG&amp;E supports the DOE condensing furnace standard.  </w:t>
      </w:r>
    </w:p>
    <w:p w:rsidR="00426F84" w:rsidRDefault="00426F84" w:rsidP="004635C0">
      <w:pPr>
        <w:autoSpaceDE w:val="0"/>
        <w:autoSpaceDN w:val="0"/>
        <w:adjustRightInd w:val="0"/>
        <w:rPr>
          <w:rFonts w:asciiTheme="majorHAnsi" w:hAnsiTheme="majorHAnsi" w:cs="Arial"/>
          <w:b/>
          <w:bCs/>
          <w:sz w:val="32"/>
          <w:szCs w:val="32"/>
        </w:rPr>
      </w:pPr>
    </w:p>
    <w:p w:rsidR="004635C0" w:rsidRPr="00D47423" w:rsidRDefault="007B69DA" w:rsidP="004635C0">
      <w:pPr>
        <w:autoSpaceDE w:val="0"/>
        <w:autoSpaceDN w:val="0"/>
        <w:adjustRightInd w:val="0"/>
        <w:rPr>
          <w:rFonts w:asciiTheme="majorHAnsi" w:hAnsiTheme="majorHAnsi" w:cs="Arial"/>
          <w:b/>
          <w:bCs/>
          <w:sz w:val="16"/>
          <w:szCs w:val="19"/>
        </w:rPr>
      </w:pPr>
      <w:r>
        <w:rPr>
          <w:rFonts w:asciiTheme="majorHAnsi" w:hAnsiTheme="majorHAnsi" w:cs="Arial"/>
          <w:b/>
          <w:bCs/>
          <w:sz w:val="32"/>
          <w:szCs w:val="32"/>
        </w:rPr>
        <w:t>2014</w:t>
      </w:r>
      <w:r w:rsidR="004635C0" w:rsidRPr="00D47423">
        <w:rPr>
          <w:rFonts w:asciiTheme="majorHAnsi" w:hAnsiTheme="majorHAnsi" w:cs="Arial"/>
          <w:b/>
          <w:bCs/>
          <w:sz w:val="32"/>
          <w:szCs w:val="32"/>
        </w:rPr>
        <w:t xml:space="preserve"> CALIFORNIA GAS REPORT</w:t>
      </w:r>
      <w:r w:rsidR="00426F84">
        <w:rPr>
          <w:rFonts w:asciiTheme="majorHAnsi" w:hAnsiTheme="majorHAnsi" w:cs="Arial"/>
          <w:b/>
          <w:bCs/>
          <w:sz w:val="32"/>
          <w:szCs w:val="32"/>
        </w:rPr>
        <w:t xml:space="preserve"> – </w:t>
      </w:r>
      <w:r w:rsidR="004635C0" w:rsidRPr="00D47423">
        <w:rPr>
          <w:rFonts w:asciiTheme="majorHAnsi" w:hAnsiTheme="majorHAnsi" w:cs="Arial"/>
          <w:b/>
          <w:bCs/>
          <w:sz w:val="20"/>
        </w:rPr>
        <w:t>P</w:t>
      </w:r>
      <w:r w:rsidR="004635C0" w:rsidRPr="00D47423">
        <w:rPr>
          <w:rFonts w:asciiTheme="majorHAnsi" w:hAnsiTheme="majorHAnsi" w:cs="Arial"/>
          <w:b/>
          <w:bCs/>
          <w:sz w:val="16"/>
          <w:szCs w:val="19"/>
        </w:rPr>
        <w:t xml:space="preserve">REPARED BY THE </w:t>
      </w:r>
      <w:r w:rsidR="004635C0" w:rsidRPr="00D47423">
        <w:rPr>
          <w:rFonts w:asciiTheme="majorHAnsi" w:hAnsiTheme="majorHAnsi" w:cs="Arial"/>
          <w:b/>
          <w:bCs/>
          <w:sz w:val="20"/>
        </w:rPr>
        <w:t>C</w:t>
      </w:r>
      <w:r w:rsidR="004635C0" w:rsidRPr="00D47423">
        <w:rPr>
          <w:rFonts w:asciiTheme="majorHAnsi" w:hAnsiTheme="majorHAnsi" w:cs="Arial"/>
          <w:b/>
          <w:bCs/>
          <w:sz w:val="16"/>
          <w:szCs w:val="19"/>
        </w:rPr>
        <w:t xml:space="preserve">ALIFORNIA </w:t>
      </w:r>
      <w:r w:rsidR="004635C0" w:rsidRPr="00D47423">
        <w:rPr>
          <w:rFonts w:asciiTheme="majorHAnsi" w:hAnsiTheme="majorHAnsi" w:cs="Arial"/>
          <w:b/>
          <w:bCs/>
          <w:sz w:val="20"/>
        </w:rPr>
        <w:t>G</w:t>
      </w:r>
      <w:r w:rsidR="004635C0" w:rsidRPr="00D47423">
        <w:rPr>
          <w:rFonts w:asciiTheme="majorHAnsi" w:hAnsiTheme="majorHAnsi" w:cs="Arial"/>
          <w:b/>
          <w:bCs/>
          <w:sz w:val="16"/>
          <w:szCs w:val="19"/>
        </w:rPr>
        <w:t xml:space="preserve">AS AND </w:t>
      </w:r>
      <w:r w:rsidR="004635C0" w:rsidRPr="00D47423">
        <w:rPr>
          <w:rFonts w:asciiTheme="majorHAnsi" w:hAnsiTheme="majorHAnsi" w:cs="Arial"/>
          <w:b/>
          <w:bCs/>
          <w:sz w:val="20"/>
        </w:rPr>
        <w:t>E</w:t>
      </w:r>
      <w:r w:rsidR="004635C0" w:rsidRPr="00D47423">
        <w:rPr>
          <w:rFonts w:asciiTheme="majorHAnsi" w:hAnsiTheme="majorHAnsi" w:cs="Arial"/>
          <w:b/>
          <w:bCs/>
          <w:sz w:val="16"/>
          <w:szCs w:val="19"/>
        </w:rPr>
        <w:t xml:space="preserve">LECTRIC </w:t>
      </w:r>
      <w:r w:rsidR="004635C0" w:rsidRPr="00D47423">
        <w:rPr>
          <w:rFonts w:asciiTheme="majorHAnsi" w:hAnsiTheme="majorHAnsi" w:cs="Arial"/>
          <w:b/>
          <w:bCs/>
          <w:sz w:val="20"/>
        </w:rPr>
        <w:t>U</w:t>
      </w:r>
      <w:r w:rsidR="004635C0" w:rsidRPr="00D47423">
        <w:rPr>
          <w:rFonts w:asciiTheme="majorHAnsi" w:hAnsiTheme="majorHAnsi" w:cs="Arial"/>
          <w:b/>
          <w:bCs/>
          <w:sz w:val="16"/>
          <w:szCs w:val="19"/>
        </w:rPr>
        <w:t>TILITIES</w:t>
      </w:r>
    </w:p>
    <w:p w:rsidR="00007C87" w:rsidRDefault="00007C87" w:rsidP="00C10B99">
      <w:pPr>
        <w:rPr>
          <w:rFonts w:asciiTheme="majorHAnsi" w:hAnsiTheme="majorHAnsi"/>
          <w:sz w:val="22"/>
          <w:szCs w:val="22"/>
        </w:rPr>
      </w:pPr>
      <w:r>
        <w:rPr>
          <w:rFonts w:asciiTheme="majorHAnsi" w:hAnsiTheme="majorHAnsi"/>
          <w:sz w:val="22"/>
          <w:szCs w:val="22"/>
        </w:rPr>
        <w:t>The California Gas Report (CGR) includes in its projections the impact of gas energy efficiency standards which</w:t>
      </w:r>
      <w:r w:rsidR="00D47423">
        <w:rPr>
          <w:rFonts w:asciiTheme="majorHAnsi" w:hAnsiTheme="majorHAnsi"/>
          <w:sz w:val="22"/>
          <w:szCs w:val="22"/>
        </w:rPr>
        <w:t>,</w:t>
      </w:r>
      <w:r>
        <w:rPr>
          <w:rFonts w:asciiTheme="majorHAnsi" w:hAnsiTheme="majorHAnsi"/>
          <w:sz w:val="22"/>
          <w:szCs w:val="22"/>
        </w:rPr>
        <w:t xml:space="preserve"> while important</w:t>
      </w:r>
      <w:r w:rsidR="00D47423">
        <w:rPr>
          <w:rFonts w:asciiTheme="majorHAnsi" w:hAnsiTheme="majorHAnsi"/>
          <w:sz w:val="22"/>
          <w:szCs w:val="22"/>
        </w:rPr>
        <w:t>,</w:t>
      </w:r>
      <w:r>
        <w:rPr>
          <w:rFonts w:asciiTheme="majorHAnsi" w:hAnsiTheme="majorHAnsi"/>
          <w:sz w:val="22"/>
          <w:szCs w:val="22"/>
        </w:rPr>
        <w:t xml:space="preserve"> are minor compared to electricity production savings.</w:t>
      </w:r>
      <w:r w:rsidR="00D77A35">
        <w:rPr>
          <w:rFonts w:asciiTheme="majorHAnsi" w:hAnsiTheme="majorHAnsi"/>
          <w:sz w:val="22"/>
          <w:szCs w:val="22"/>
        </w:rPr>
        <w:t xml:space="preserve"> Thus the proposed furnace standard is included in the projections.</w:t>
      </w:r>
    </w:p>
    <w:p w:rsidR="00007C87" w:rsidRPr="00763776" w:rsidRDefault="00007C87" w:rsidP="00763776">
      <w:pPr>
        <w:autoSpaceDE w:val="0"/>
        <w:autoSpaceDN w:val="0"/>
        <w:adjustRightInd w:val="0"/>
        <w:rPr>
          <w:rFonts w:asciiTheme="majorHAnsi" w:hAnsiTheme="majorHAnsi" w:cs="Arial"/>
          <w:b/>
          <w:bCs/>
        </w:rPr>
      </w:pPr>
    </w:p>
    <w:p w:rsidR="00FB6AED" w:rsidRPr="00763776" w:rsidRDefault="00763776" w:rsidP="00763776">
      <w:pPr>
        <w:autoSpaceDE w:val="0"/>
        <w:autoSpaceDN w:val="0"/>
        <w:adjustRightInd w:val="0"/>
        <w:rPr>
          <w:rFonts w:asciiTheme="majorHAnsi" w:hAnsiTheme="majorHAnsi" w:cs="Arial"/>
          <w:b/>
          <w:bCs/>
        </w:rPr>
      </w:pPr>
      <w:r>
        <w:rPr>
          <w:rFonts w:asciiTheme="majorHAnsi" w:hAnsiTheme="majorHAnsi" w:cs="Arial"/>
          <w:b/>
          <w:bCs/>
        </w:rPr>
        <w:t>“</w:t>
      </w:r>
      <w:r w:rsidR="00FB6AED" w:rsidRPr="00763776">
        <w:rPr>
          <w:rFonts w:asciiTheme="majorHAnsi" w:hAnsiTheme="majorHAnsi" w:cs="Arial"/>
          <w:b/>
          <w:bCs/>
        </w:rPr>
        <w:t xml:space="preserve">Residential </w:t>
      </w:r>
    </w:p>
    <w:p w:rsidR="00FB6AED" w:rsidRPr="00763776" w:rsidRDefault="00FB6AED" w:rsidP="00763776">
      <w:pPr>
        <w:autoSpaceDE w:val="0"/>
        <w:autoSpaceDN w:val="0"/>
        <w:adjustRightInd w:val="0"/>
        <w:rPr>
          <w:rFonts w:asciiTheme="majorHAnsi" w:hAnsiTheme="majorHAnsi"/>
          <w:sz w:val="22"/>
          <w:szCs w:val="22"/>
        </w:rPr>
      </w:pPr>
      <w:r w:rsidRPr="00763776">
        <w:rPr>
          <w:rFonts w:asciiTheme="majorHAnsi" w:hAnsiTheme="majorHAnsi"/>
          <w:sz w:val="22"/>
          <w:szCs w:val="22"/>
        </w:rPr>
        <w:t xml:space="preserve">Households in the PG&amp;E service area are forecast to grow 0.8 percent annually from 2015 to 2035. However, gas use per household has been dropping in recent years due to improvements in appliance and building-shell efficiencies. </w:t>
      </w:r>
      <w:r w:rsidR="00763776" w:rsidRPr="00763776">
        <w:rPr>
          <w:rFonts w:asciiTheme="majorHAnsi" w:hAnsiTheme="majorHAnsi"/>
          <w:sz w:val="22"/>
          <w:szCs w:val="22"/>
        </w:rPr>
        <w:t xml:space="preserve">… </w:t>
      </w:r>
      <w:r w:rsidRPr="00763776">
        <w:rPr>
          <w:rFonts w:asciiTheme="majorHAnsi" w:hAnsiTheme="majorHAnsi"/>
          <w:sz w:val="22"/>
          <w:szCs w:val="22"/>
        </w:rPr>
        <w:t>Total residential demand is expected to remain flat despite household growth due to continuing upgrades in appliance and building efficiencies, as well as warming temperatures.</w:t>
      </w:r>
      <w:r w:rsidR="00763776">
        <w:rPr>
          <w:rFonts w:asciiTheme="majorHAnsi" w:hAnsiTheme="majorHAnsi"/>
          <w:sz w:val="22"/>
          <w:szCs w:val="22"/>
        </w:rPr>
        <w:t>” (p. 38-39)</w:t>
      </w:r>
    </w:p>
    <w:p w:rsidR="00FB6AED" w:rsidRDefault="00FB6AED" w:rsidP="00FB6AED">
      <w:pPr>
        <w:rPr>
          <w:sz w:val="22"/>
          <w:szCs w:val="22"/>
        </w:rPr>
      </w:pPr>
    </w:p>
    <w:p w:rsidR="00FB6AED" w:rsidRDefault="00763776" w:rsidP="00FB6AED">
      <w:pPr>
        <w:rPr>
          <w:sz w:val="22"/>
          <w:szCs w:val="22"/>
        </w:rPr>
      </w:pPr>
      <w:r>
        <w:rPr>
          <w:sz w:val="22"/>
          <w:szCs w:val="22"/>
        </w:rPr>
        <w:t>“Forecast of cumulative natural gas savings due to energy efficiency is provided in the figures below.” (p. 39)</w:t>
      </w:r>
    </w:p>
    <w:p w:rsidR="004635C0" w:rsidRPr="00763776" w:rsidRDefault="00763776" w:rsidP="00763776">
      <w:pPr>
        <w:rPr>
          <w:rFonts w:asciiTheme="majorHAnsi" w:hAnsiTheme="majorHAnsi"/>
          <w:sz w:val="22"/>
          <w:szCs w:val="22"/>
        </w:rPr>
      </w:pPr>
      <w:r>
        <w:rPr>
          <w:rFonts w:asciiTheme="majorHAnsi" w:hAnsiTheme="majorHAnsi"/>
          <w:noProof/>
          <w:sz w:val="22"/>
          <w:szCs w:val="22"/>
        </w:rPr>
        <w:drawing>
          <wp:inline distT="0" distB="0" distL="0" distR="0" wp14:anchorId="763C487B" wp14:editId="01B58CDA">
            <wp:extent cx="4920343" cy="19857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5381" cy="1987821"/>
                    </a:xfrm>
                    <a:prstGeom prst="rect">
                      <a:avLst/>
                    </a:prstGeom>
                    <a:noFill/>
                    <a:ln>
                      <a:noFill/>
                    </a:ln>
                  </pic:spPr>
                </pic:pic>
              </a:graphicData>
            </a:graphic>
          </wp:inline>
        </w:drawing>
      </w:r>
    </w:p>
    <w:p w:rsidR="00007C87" w:rsidRPr="00D47423" w:rsidRDefault="00007C87" w:rsidP="00007C87">
      <w:pPr>
        <w:autoSpaceDE w:val="0"/>
        <w:autoSpaceDN w:val="0"/>
        <w:adjustRightInd w:val="0"/>
        <w:rPr>
          <w:rFonts w:asciiTheme="majorHAnsi" w:hAnsiTheme="majorHAnsi" w:cs="Arial"/>
          <w:b/>
          <w:bCs/>
          <w:sz w:val="28"/>
          <w:szCs w:val="28"/>
        </w:rPr>
      </w:pPr>
      <w:r w:rsidRPr="00D47423">
        <w:rPr>
          <w:rFonts w:asciiTheme="majorHAnsi" w:hAnsiTheme="majorHAnsi" w:cs="Arial"/>
          <w:b/>
          <w:bCs/>
          <w:sz w:val="28"/>
          <w:szCs w:val="28"/>
        </w:rPr>
        <w:lastRenderedPageBreak/>
        <w:t>“G</w:t>
      </w:r>
      <w:r w:rsidRPr="00D47423">
        <w:rPr>
          <w:rFonts w:asciiTheme="majorHAnsi" w:hAnsiTheme="majorHAnsi" w:cs="Arial"/>
          <w:b/>
          <w:bCs/>
          <w:sz w:val="22"/>
          <w:szCs w:val="22"/>
        </w:rPr>
        <w:t xml:space="preserve">REENHOUSE </w:t>
      </w:r>
      <w:r w:rsidRPr="00D47423">
        <w:rPr>
          <w:rFonts w:asciiTheme="majorHAnsi" w:hAnsiTheme="majorHAnsi" w:cs="Arial"/>
          <w:b/>
          <w:bCs/>
          <w:sz w:val="28"/>
          <w:szCs w:val="28"/>
        </w:rPr>
        <w:t>G</w:t>
      </w:r>
      <w:r w:rsidRPr="00D47423">
        <w:rPr>
          <w:rFonts w:asciiTheme="majorHAnsi" w:hAnsiTheme="majorHAnsi" w:cs="Arial"/>
          <w:b/>
          <w:bCs/>
          <w:sz w:val="22"/>
          <w:szCs w:val="22"/>
        </w:rPr>
        <w:t xml:space="preserve">AS </w:t>
      </w:r>
      <w:r w:rsidRPr="00D47423">
        <w:rPr>
          <w:rFonts w:asciiTheme="majorHAnsi" w:hAnsiTheme="majorHAnsi" w:cs="Arial"/>
          <w:b/>
          <w:bCs/>
          <w:sz w:val="28"/>
          <w:szCs w:val="28"/>
        </w:rPr>
        <w:t>L</w:t>
      </w:r>
      <w:r w:rsidRPr="00D47423">
        <w:rPr>
          <w:rFonts w:asciiTheme="majorHAnsi" w:hAnsiTheme="majorHAnsi" w:cs="Arial"/>
          <w:b/>
          <w:bCs/>
          <w:sz w:val="22"/>
          <w:szCs w:val="22"/>
        </w:rPr>
        <w:t xml:space="preserve">EGISLATION </w:t>
      </w:r>
      <w:r w:rsidRPr="00D47423">
        <w:rPr>
          <w:rFonts w:asciiTheme="majorHAnsi" w:hAnsiTheme="majorHAnsi" w:cs="Arial"/>
          <w:b/>
          <w:bCs/>
          <w:sz w:val="28"/>
          <w:szCs w:val="28"/>
        </w:rPr>
        <w:t>/ AB32</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 xml:space="preserve">During the forecast horizon covered by this CGR, there are many uncertainties that may significantly impact the future trajectory of natural gas demand. </w:t>
      </w:r>
      <w:r w:rsidR="006872A9" w:rsidRPr="00D47423">
        <w:rPr>
          <w:rFonts w:asciiTheme="majorHAnsi" w:hAnsiTheme="majorHAnsi" w:cs="BookAntiqua"/>
          <w:sz w:val="22"/>
          <w:szCs w:val="22"/>
        </w:rPr>
        <w:t xml:space="preserve">… </w:t>
      </w:r>
      <w:r w:rsidRPr="00D47423">
        <w:rPr>
          <w:rFonts w:asciiTheme="majorHAnsi" w:hAnsiTheme="majorHAnsi" w:cs="BookAntiqua"/>
          <w:sz w:val="22"/>
          <w:szCs w:val="22"/>
        </w:rPr>
        <w:t>On the one hand, more aggressive energy efficiency programs and/or increased targets for renewable electricity supplies could significantly reduce the use of natural gas by residential and commercial customers and power plants. On the other hand, increased penetration of electric and natural gas vehicles could reduce gasoline use and overall greenhouse gas (GHG) emissions, but increase consumption of natural gas.</w:t>
      </w:r>
    </w:p>
    <w:p w:rsidR="00007C87" w:rsidRPr="00D47423" w:rsidRDefault="00007C87" w:rsidP="00007C87">
      <w:pPr>
        <w:autoSpaceDE w:val="0"/>
        <w:autoSpaceDN w:val="0"/>
        <w:adjustRightInd w:val="0"/>
        <w:rPr>
          <w:rFonts w:asciiTheme="majorHAnsi" w:hAnsiTheme="majorHAnsi" w:cs="BookAntiqua"/>
          <w:sz w:val="22"/>
          <w:szCs w:val="22"/>
        </w:rPr>
      </w:pPr>
      <w:r w:rsidRPr="00D47423">
        <w:rPr>
          <w:rFonts w:asciiTheme="majorHAnsi" w:hAnsiTheme="majorHAnsi" w:cs="BookAntiqua"/>
          <w:sz w:val="22"/>
          <w:szCs w:val="22"/>
        </w:rPr>
        <w:t>PG&amp;E will continue to minimize GHG emissions by aggressively pursuing both demand-side reductions and acquisition of preferred resources, which produce little or no carbon emissions.”</w:t>
      </w:r>
    </w:p>
    <w:p w:rsidR="00007C87" w:rsidRDefault="00007C87" w:rsidP="00007C87">
      <w:pPr>
        <w:rPr>
          <w:rFonts w:ascii="BookAntiqua" w:hAnsi="BookAntiqua" w:cs="BookAntiqua"/>
          <w:sz w:val="22"/>
          <w:szCs w:val="22"/>
        </w:rPr>
      </w:pPr>
      <w:r w:rsidRPr="00D47423">
        <w:rPr>
          <w:rFonts w:asciiTheme="majorHAnsi" w:hAnsiTheme="majorHAnsi" w:cs="BookAntiqua"/>
          <w:sz w:val="22"/>
          <w:szCs w:val="22"/>
        </w:rPr>
        <w:t>(</w:t>
      </w:r>
      <w:r w:rsidR="00763776">
        <w:rPr>
          <w:rFonts w:asciiTheme="majorHAnsi" w:hAnsiTheme="majorHAnsi" w:cs="BookAntiqua"/>
          <w:sz w:val="22"/>
          <w:szCs w:val="22"/>
        </w:rPr>
        <w:t>p. 39</w:t>
      </w:r>
      <w:r w:rsidRPr="00D47423">
        <w:rPr>
          <w:rFonts w:asciiTheme="majorHAnsi" w:hAnsiTheme="majorHAnsi" w:cs="BookAntiqua"/>
          <w:sz w:val="22"/>
          <w:szCs w:val="22"/>
        </w:rPr>
        <w:t>)</w:t>
      </w:r>
    </w:p>
    <w:p w:rsidR="00007C87" w:rsidRDefault="00007C87" w:rsidP="00007C87">
      <w:pPr>
        <w:rPr>
          <w:rFonts w:ascii="BookAntiqua" w:hAnsi="BookAntiqua" w:cs="BookAntiqua"/>
          <w:sz w:val="22"/>
          <w:szCs w:val="22"/>
        </w:rPr>
      </w:pPr>
    </w:p>
    <w:p w:rsidR="00007C87" w:rsidRDefault="00007C87" w:rsidP="00007C87">
      <w:pPr>
        <w:rPr>
          <w:rFonts w:ascii="BookAntiqua" w:hAnsi="BookAntiqua" w:cs="BookAntiqua"/>
          <w:sz w:val="22"/>
          <w:szCs w:val="22"/>
        </w:rPr>
      </w:pPr>
    </w:p>
    <w:p w:rsidR="00007C87" w:rsidRPr="00D47423" w:rsidRDefault="00007C87" w:rsidP="00007C87">
      <w:pPr>
        <w:rPr>
          <w:rFonts w:asciiTheme="majorHAnsi" w:hAnsiTheme="majorHAnsi" w:cstheme="minorHAnsi"/>
          <w:b/>
        </w:rPr>
      </w:pPr>
      <w:r w:rsidRPr="00D47423">
        <w:rPr>
          <w:rFonts w:asciiTheme="majorHAnsi" w:hAnsiTheme="majorHAnsi" w:cstheme="minorHAnsi"/>
          <w:b/>
        </w:rPr>
        <w:t>Extreme Impact Case:  All Furnaces Condensing</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Data from 2013 Monthly by County</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 xml:space="preserve">1 Billion Therms used for heating </w:t>
      </w:r>
    </w:p>
    <w:p w:rsidR="00007C87" w:rsidRPr="00D47423" w:rsidRDefault="006872A9" w:rsidP="00007C87">
      <w:pPr>
        <w:pStyle w:val="ListParagraph"/>
        <w:numPr>
          <w:ilvl w:val="0"/>
          <w:numId w:val="23"/>
        </w:numPr>
        <w:rPr>
          <w:rFonts w:asciiTheme="majorHAnsi" w:hAnsiTheme="majorHAnsi"/>
        </w:rPr>
      </w:pPr>
      <w:r w:rsidRPr="00D47423">
        <w:rPr>
          <w:rFonts w:asciiTheme="majorHAnsi" w:hAnsiTheme="majorHAnsi"/>
        </w:rPr>
        <w:t>A</w:t>
      </w:r>
      <w:r w:rsidR="00007C87" w:rsidRPr="00D47423">
        <w:rPr>
          <w:rFonts w:asciiTheme="majorHAnsi" w:hAnsiTheme="majorHAnsi"/>
        </w:rPr>
        <w:t>ll furnaces are condensing (will not occur till 2050)</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13% heating savings</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5% residential natural gas reduction</w:t>
      </w:r>
    </w:p>
    <w:p w:rsidR="00007C87" w:rsidRPr="00D47423" w:rsidRDefault="00007C87" w:rsidP="00007C87">
      <w:pPr>
        <w:pStyle w:val="ListParagraph"/>
        <w:numPr>
          <w:ilvl w:val="0"/>
          <w:numId w:val="23"/>
        </w:numPr>
        <w:rPr>
          <w:rFonts w:asciiTheme="majorHAnsi" w:hAnsiTheme="majorHAnsi"/>
        </w:rPr>
      </w:pPr>
      <w:r w:rsidRPr="00D47423">
        <w:rPr>
          <w:rFonts w:asciiTheme="majorHAnsi" w:hAnsiTheme="majorHAnsi"/>
        </w:rPr>
        <w:t>1 % reduction in PG&amp;E Gas Volume</w:t>
      </w:r>
      <w:r w:rsidR="006872A9" w:rsidRPr="00D47423">
        <w:rPr>
          <w:rFonts w:asciiTheme="majorHAnsi" w:hAnsiTheme="majorHAnsi"/>
        </w:rPr>
        <w:t xml:space="preserve"> </w:t>
      </w:r>
    </w:p>
    <w:p w:rsidR="004635C0" w:rsidRDefault="004635C0" w:rsidP="00857D3C"/>
    <w:p w:rsidR="006872A9" w:rsidRPr="00CB5AAF" w:rsidRDefault="006872A9" w:rsidP="00857D3C">
      <w:pPr>
        <w:rPr>
          <w:rFonts w:asciiTheme="majorHAnsi" w:hAnsiTheme="majorHAnsi"/>
          <w:b/>
        </w:rPr>
      </w:pPr>
      <w:r w:rsidRPr="00CB5AAF">
        <w:rPr>
          <w:rFonts w:asciiTheme="majorHAnsi" w:hAnsiTheme="majorHAnsi"/>
          <w:b/>
        </w:rPr>
        <w:t xml:space="preserve">Condensing Furnaces more </w:t>
      </w:r>
      <w:r w:rsidR="00D47423" w:rsidRPr="00CB5AAF">
        <w:rPr>
          <w:rFonts w:asciiTheme="majorHAnsi" w:hAnsiTheme="majorHAnsi"/>
          <w:b/>
        </w:rPr>
        <w:t>Competitive</w:t>
      </w:r>
    </w:p>
    <w:p w:rsidR="004635C0" w:rsidRPr="00CB5AAF" w:rsidRDefault="006872A9" w:rsidP="00857D3C">
      <w:pPr>
        <w:rPr>
          <w:rFonts w:asciiTheme="majorHAnsi" w:hAnsiTheme="majorHAnsi"/>
        </w:rPr>
      </w:pPr>
      <w:r w:rsidRPr="00CB5AAF">
        <w:rPr>
          <w:rFonts w:asciiTheme="majorHAnsi" w:hAnsiTheme="majorHAnsi"/>
        </w:rPr>
        <w:t xml:space="preserve">Condensing Standard makes Furnaces more competitive with Heat pumps for which standards have been steadily increasing.  </w:t>
      </w:r>
      <w:r w:rsidR="00D47423" w:rsidRPr="00CB5AAF">
        <w:rPr>
          <w:rFonts w:asciiTheme="majorHAnsi" w:hAnsiTheme="majorHAnsi"/>
        </w:rPr>
        <w:t xml:space="preserve">When a high efficiency alliance becomes the standard then costs are reduced. </w:t>
      </w:r>
      <w:r w:rsidRPr="00CB5AAF">
        <w:rPr>
          <w:rFonts w:asciiTheme="majorHAnsi" w:hAnsiTheme="majorHAnsi"/>
        </w:rPr>
        <w:t>With condensing</w:t>
      </w:r>
      <w:r w:rsidR="00D47423" w:rsidRPr="00CB5AAF">
        <w:rPr>
          <w:rFonts w:asciiTheme="majorHAnsi" w:hAnsiTheme="majorHAnsi"/>
        </w:rPr>
        <w:t xml:space="preserve"> as</w:t>
      </w:r>
      <w:r w:rsidRPr="00CB5AAF">
        <w:rPr>
          <w:rFonts w:asciiTheme="majorHAnsi" w:hAnsiTheme="majorHAnsi"/>
        </w:rPr>
        <w:t xml:space="preserve"> the minimum furnace efficiency </w:t>
      </w:r>
      <w:r w:rsidR="00D47423" w:rsidRPr="00CB5AAF">
        <w:rPr>
          <w:rFonts w:asciiTheme="majorHAnsi" w:hAnsiTheme="majorHAnsi"/>
        </w:rPr>
        <w:t xml:space="preserve">the high efficiency furnace </w:t>
      </w:r>
      <w:r w:rsidRPr="00CB5AAF">
        <w:rPr>
          <w:rFonts w:asciiTheme="majorHAnsi" w:hAnsiTheme="majorHAnsi"/>
        </w:rPr>
        <w:t>will cost less than the competing high efficiency heat pump.</w:t>
      </w:r>
    </w:p>
    <w:p w:rsidR="00D47423" w:rsidRPr="00CB5AAF" w:rsidRDefault="00D47423" w:rsidP="00857D3C">
      <w:pPr>
        <w:rPr>
          <w:rFonts w:asciiTheme="majorHAnsi" w:hAnsiTheme="majorHAnsi"/>
        </w:rPr>
      </w:pPr>
    </w:p>
    <w:p w:rsidR="004635C0" w:rsidRPr="00CB5AAF" w:rsidRDefault="00A619A4" w:rsidP="006872A9">
      <w:pPr>
        <w:jc w:val="center"/>
        <w:rPr>
          <w:rFonts w:asciiTheme="majorHAnsi" w:hAnsiTheme="majorHAnsi"/>
        </w:rPr>
      </w:pPr>
      <w:r w:rsidRPr="00CB5AAF">
        <w:rPr>
          <w:rFonts w:asciiTheme="majorHAnsi" w:hAnsiTheme="majorHAnsi"/>
          <w:noProof/>
        </w:rPr>
        <w:drawing>
          <wp:inline distT="0" distB="0" distL="0" distR="0" wp14:anchorId="40764743" wp14:editId="1498BCAB">
            <wp:extent cx="4303058" cy="3118395"/>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0316" cy="3123655"/>
                    </a:xfrm>
                    <a:prstGeom prst="rect">
                      <a:avLst/>
                    </a:prstGeom>
                    <a:noFill/>
                  </pic:spPr>
                </pic:pic>
              </a:graphicData>
            </a:graphic>
          </wp:inline>
        </w:drawing>
      </w:r>
    </w:p>
    <w:p w:rsidR="006872A9" w:rsidRPr="00CB5AAF" w:rsidRDefault="006872A9" w:rsidP="00857D3C">
      <w:pPr>
        <w:rPr>
          <w:rFonts w:asciiTheme="majorHAnsi" w:hAnsiTheme="majorHAnsi"/>
        </w:rPr>
      </w:pPr>
    </w:p>
    <w:p w:rsidR="00296C65" w:rsidRPr="00CB5AAF" w:rsidRDefault="00296C65" w:rsidP="00296C65">
      <w:pPr>
        <w:autoSpaceDE w:val="0"/>
        <w:autoSpaceDN w:val="0"/>
        <w:adjustRightInd w:val="0"/>
        <w:rPr>
          <w:rFonts w:asciiTheme="majorHAnsi" w:hAnsiTheme="majorHAnsi" w:cs="Arial"/>
          <w:b/>
          <w:bCs/>
          <w:sz w:val="32"/>
          <w:szCs w:val="32"/>
        </w:rPr>
      </w:pPr>
      <w:r w:rsidRPr="00CB5AAF">
        <w:rPr>
          <w:rFonts w:asciiTheme="majorHAnsi" w:hAnsiTheme="majorHAnsi" w:cs="Arial"/>
          <w:b/>
          <w:bCs/>
          <w:szCs w:val="32"/>
        </w:rPr>
        <w:t>Southern California Gas Analysis</w:t>
      </w:r>
      <w:r w:rsidRPr="00CB5AAF">
        <w:rPr>
          <w:rFonts w:asciiTheme="majorHAnsi" w:hAnsiTheme="majorHAnsi" w:cs="Arial"/>
          <w:b/>
          <w:bCs/>
          <w:sz w:val="32"/>
          <w:szCs w:val="32"/>
        </w:rPr>
        <w:t xml:space="preserve"> </w:t>
      </w:r>
    </w:p>
    <w:p w:rsidR="00296C65" w:rsidRDefault="00296C65" w:rsidP="00296C65">
      <w:pPr>
        <w:autoSpaceDE w:val="0"/>
        <w:autoSpaceDN w:val="0"/>
        <w:adjustRightInd w:val="0"/>
        <w:rPr>
          <w:rFonts w:asciiTheme="majorHAnsi" w:hAnsiTheme="majorHAnsi" w:cs="Arial"/>
          <w:bCs/>
          <w:sz w:val="22"/>
          <w:szCs w:val="32"/>
        </w:rPr>
      </w:pPr>
      <w:r w:rsidRPr="00CB5AAF">
        <w:rPr>
          <w:rFonts w:asciiTheme="majorHAnsi" w:hAnsiTheme="majorHAnsi" w:cs="Arial"/>
          <w:bCs/>
          <w:sz w:val="22"/>
          <w:szCs w:val="32"/>
        </w:rPr>
        <w:t>After several initial meeting with SCG, they decided to leave the statewide team and do their own analysis.  Their consultant only considered replacement and left out new construction</w:t>
      </w:r>
      <w:r>
        <w:rPr>
          <w:rFonts w:asciiTheme="majorHAnsi" w:hAnsiTheme="majorHAnsi" w:cs="Arial"/>
          <w:bCs/>
          <w:sz w:val="22"/>
          <w:szCs w:val="32"/>
        </w:rPr>
        <w:t xml:space="preserve"> which DOE estimates to be 25% of the market.  In new construction condensing furnaces can cost less since they use plastic air intake and flue gas exhaust piping.  The SCG analysis used the Los Angeles Airport and San Diego weather stations where very little heating is needed.  It is a principle of standards setting that there will be winners (positive Life Cycle Cost – LCC) and losers (negative LCC). The minimum efficiency level is set to benefit the vast majority of consumers, achieve savings for the nation, while having an acceptable impact on the net present value of manufacturers.   PG&amp;E’s analysis shows that when the DOE analysis is modified, to correct a few overly conservative assumptions, the LCC more positive for California. </w:t>
      </w:r>
    </w:p>
    <w:p w:rsidR="00296C65" w:rsidRPr="00296C65" w:rsidRDefault="00296C65" w:rsidP="00296C65">
      <w:pPr>
        <w:autoSpaceDE w:val="0"/>
        <w:autoSpaceDN w:val="0"/>
        <w:adjustRightInd w:val="0"/>
        <w:rPr>
          <w:rFonts w:asciiTheme="majorHAnsi" w:hAnsiTheme="majorHAnsi" w:cs="Arial"/>
          <w:bCs/>
          <w:sz w:val="22"/>
          <w:szCs w:val="32"/>
        </w:rPr>
      </w:pPr>
    </w:p>
    <w:p w:rsidR="00981680" w:rsidRDefault="00981680" w:rsidP="00393411">
      <w:pPr>
        <w:rPr>
          <w:rFonts w:ascii="Arial" w:hAnsi="Arial" w:cs="Arial"/>
        </w:rPr>
      </w:pPr>
    </w:p>
    <w:p w:rsidR="00981680" w:rsidRDefault="00981680" w:rsidP="00393411">
      <w:pPr>
        <w:rPr>
          <w:rFonts w:ascii="Arial" w:hAnsi="Arial" w:cs="Arial"/>
        </w:rPr>
      </w:pPr>
    </w:p>
    <w:p w:rsidR="00981680" w:rsidRPr="00981680" w:rsidRDefault="00981680" w:rsidP="00981680">
      <w:pPr>
        <w:rPr>
          <w:rFonts w:asciiTheme="majorHAnsi" w:hAnsiTheme="majorHAnsi"/>
        </w:rPr>
      </w:pPr>
    </w:p>
    <w:sectPr w:rsidR="00981680" w:rsidRPr="00981680" w:rsidSect="006F0AFB">
      <w:footerReference w:type="default" r:id="rId11"/>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0D" w:rsidRDefault="00B50B0D" w:rsidP="00C10B99">
      <w:r>
        <w:separator/>
      </w:r>
    </w:p>
  </w:endnote>
  <w:endnote w:type="continuationSeparator" w:id="0">
    <w:p w:rsidR="00B50B0D" w:rsidRDefault="00B50B0D" w:rsidP="00C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0D" w:rsidRDefault="003F620D">
    <w:pPr>
      <w:pStyle w:val="Footer"/>
    </w:pPr>
    <w:r>
      <w:t>Condensing Furnace Standard</w:t>
    </w:r>
    <w:r>
      <w:ptab w:relativeTo="margin" w:alignment="center" w:leader="none"/>
    </w:r>
    <w:r>
      <w:t>mbh9 – July 28, 2015</w:t>
    </w:r>
    <w:r>
      <w:ptab w:relativeTo="margin" w:alignment="right" w:leader="none"/>
    </w:r>
    <w:r w:rsidR="00426F84" w:rsidRPr="00426F84">
      <w:t xml:space="preserve">Page </w:t>
    </w:r>
    <w:r w:rsidR="00426F84" w:rsidRPr="00426F84">
      <w:rPr>
        <w:b/>
      </w:rPr>
      <w:fldChar w:fldCharType="begin"/>
    </w:r>
    <w:r w:rsidR="00426F84" w:rsidRPr="00426F84">
      <w:rPr>
        <w:b/>
      </w:rPr>
      <w:instrText xml:space="preserve"> PAGE  \* Arabic  \* MERGEFORMAT </w:instrText>
    </w:r>
    <w:r w:rsidR="00426F84" w:rsidRPr="00426F84">
      <w:rPr>
        <w:b/>
      </w:rPr>
      <w:fldChar w:fldCharType="separate"/>
    </w:r>
    <w:r w:rsidR="00782A5D">
      <w:rPr>
        <w:b/>
        <w:noProof/>
      </w:rPr>
      <w:t>4</w:t>
    </w:r>
    <w:r w:rsidR="00426F84" w:rsidRPr="00426F84">
      <w:rPr>
        <w:b/>
      </w:rPr>
      <w:fldChar w:fldCharType="end"/>
    </w:r>
    <w:r w:rsidR="00426F84" w:rsidRPr="00426F84">
      <w:t xml:space="preserve"> of </w:t>
    </w:r>
    <w:r w:rsidR="00426F84" w:rsidRPr="00426F84">
      <w:rPr>
        <w:b/>
      </w:rPr>
      <w:fldChar w:fldCharType="begin"/>
    </w:r>
    <w:r w:rsidR="00426F84" w:rsidRPr="00426F84">
      <w:rPr>
        <w:b/>
      </w:rPr>
      <w:instrText xml:space="preserve"> NUMPAGES  \* Arabic  \* MERGEFORMAT </w:instrText>
    </w:r>
    <w:r w:rsidR="00426F84" w:rsidRPr="00426F84">
      <w:rPr>
        <w:b/>
      </w:rPr>
      <w:fldChar w:fldCharType="separate"/>
    </w:r>
    <w:r w:rsidR="00782A5D">
      <w:rPr>
        <w:b/>
        <w:noProof/>
      </w:rPr>
      <w:t>4</w:t>
    </w:r>
    <w:r w:rsidR="00426F84" w:rsidRPr="00426F8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0D" w:rsidRDefault="00B50B0D" w:rsidP="00C10B99">
      <w:r>
        <w:separator/>
      </w:r>
    </w:p>
  </w:footnote>
  <w:footnote w:type="continuationSeparator" w:id="0">
    <w:p w:rsidR="00B50B0D" w:rsidRDefault="00B50B0D" w:rsidP="00C1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D0D"/>
    <w:multiLevelType w:val="hybridMultilevel"/>
    <w:tmpl w:val="11927262"/>
    <w:lvl w:ilvl="0" w:tplc="11F41148">
      <w:start w:val="1"/>
      <w:numFmt w:val="bullet"/>
      <w:lvlText w:val=""/>
      <w:lvlJc w:val="left"/>
      <w:pPr>
        <w:tabs>
          <w:tab w:val="num" w:pos="216"/>
        </w:tabs>
        <w:ind w:left="504" w:hanging="32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A142B6"/>
    <w:multiLevelType w:val="hybridMultilevel"/>
    <w:tmpl w:val="1A1605B6"/>
    <w:lvl w:ilvl="0" w:tplc="8AD0F48C">
      <w:start w:val="1"/>
      <w:numFmt w:val="bullet"/>
      <w:lvlText w:val=""/>
      <w:lvlJc w:val="left"/>
      <w:pPr>
        <w:tabs>
          <w:tab w:val="num" w:pos="360"/>
        </w:tabs>
        <w:ind w:left="360" w:hanging="21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919D5"/>
    <w:multiLevelType w:val="hybridMultilevel"/>
    <w:tmpl w:val="651E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CDE"/>
    <w:multiLevelType w:val="hybridMultilevel"/>
    <w:tmpl w:val="D98096EE"/>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45144"/>
    <w:multiLevelType w:val="hybridMultilevel"/>
    <w:tmpl w:val="F65CCEF6"/>
    <w:lvl w:ilvl="0" w:tplc="EA9E73E8">
      <w:start w:val="5"/>
      <w:numFmt w:val="bullet"/>
      <w:lvlText w:val="-"/>
      <w:lvlJc w:val="left"/>
      <w:pPr>
        <w:tabs>
          <w:tab w:val="num" w:pos="720"/>
        </w:tabs>
        <w:ind w:left="720" w:hanging="360"/>
      </w:pPr>
      <w:rPr>
        <w:rFonts w:ascii="Calibri" w:eastAsia="Times New Roman" w:hAnsi="Calibri"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60EB4"/>
    <w:multiLevelType w:val="hybridMultilevel"/>
    <w:tmpl w:val="E3E08BF6"/>
    <w:lvl w:ilvl="0" w:tplc="7602B4B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7D49C1"/>
    <w:multiLevelType w:val="hybridMultilevel"/>
    <w:tmpl w:val="6BF6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852CC"/>
    <w:multiLevelType w:val="hybridMultilevel"/>
    <w:tmpl w:val="631A4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767D1"/>
    <w:multiLevelType w:val="hybridMultilevel"/>
    <w:tmpl w:val="DE3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62571"/>
    <w:multiLevelType w:val="hybridMultilevel"/>
    <w:tmpl w:val="421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8477E"/>
    <w:multiLevelType w:val="hybridMultilevel"/>
    <w:tmpl w:val="46767EFA"/>
    <w:lvl w:ilvl="0" w:tplc="B88418E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00803"/>
    <w:multiLevelType w:val="hybridMultilevel"/>
    <w:tmpl w:val="009E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B0B6E"/>
    <w:multiLevelType w:val="hybridMultilevel"/>
    <w:tmpl w:val="E48A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D30C66"/>
    <w:multiLevelType w:val="hybridMultilevel"/>
    <w:tmpl w:val="AFC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825D6"/>
    <w:multiLevelType w:val="hybridMultilevel"/>
    <w:tmpl w:val="6C822EA2"/>
    <w:lvl w:ilvl="0" w:tplc="8AD0F48C">
      <w:start w:val="1"/>
      <w:numFmt w:val="bullet"/>
      <w:lvlText w:val=""/>
      <w:lvlJc w:val="left"/>
      <w:pPr>
        <w:tabs>
          <w:tab w:val="num" w:pos="360"/>
        </w:tabs>
        <w:ind w:left="360" w:hanging="216"/>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DC4AFB"/>
    <w:multiLevelType w:val="hybridMultilevel"/>
    <w:tmpl w:val="6054F2B8"/>
    <w:lvl w:ilvl="0" w:tplc="1FD4727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60DDD"/>
    <w:multiLevelType w:val="hybridMultilevel"/>
    <w:tmpl w:val="C93EC3AC"/>
    <w:lvl w:ilvl="0" w:tplc="87CAC6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B80785"/>
    <w:multiLevelType w:val="hybridMultilevel"/>
    <w:tmpl w:val="923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83AB9"/>
    <w:multiLevelType w:val="hybridMultilevel"/>
    <w:tmpl w:val="0D60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24DDA"/>
    <w:multiLevelType w:val="hybridMultilevel"/>
    <w:tmpl w:val="83501D4C"/>
    <w:lvl w:ilvl="0" w:tplc="49D6FD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E466E1"/>
    <w:multiLevelType w:val="hybridMultilevel"/>
    <w:tmpl w:val="486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B7B1B"/>
    <w:multiLevelType w:val="hybridMultilevel"/>
    <w:tmpl w:val="E4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37AA2"/>
    <w:multiLevelType w:val="hybridMultilevel"/>
    <w:tmpl w:val="1482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E6900"/>
    <w:multiLevelType w:val="hybridMultilevel"/>
    <w:tmpl w:val="242AD8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0"/>
  </w:num>
  <w:num w:numId="3">
    <w:abstractNumId w:val="0"/>
  </w:num>
  <w:num w:numId="4">
    <w:abstractNumId w:val="12"/>
  </w:num>
  <w:num w:numId="5">
    <w:abstractNumId w:val="1"/>
  </w:num>
  <w:num w:numId="6">
    <w:abstractNumId w:val="14"/>
  </w:num>
  <w:num w:numId="7">
    <w:abstractNumId w:val="4"/>
  </w:num>
  <w:num w:numId="8">
    <w:abstractNumId w:val="3"/>
  </w:num>
  <w:num w:numId="9">
    <w:abstractNumId w:val="16"/>
  </w:num>
  <w:num w:numId="10">
    <w:abstractNumId w:val="5"/>
  </w:num>
  <w:num w:numId="11">
    <w:abstractNumId w:val="19"/>
  </w:num>
  <w:num w:numId="12">
    <w:abstractNumId w:val="10"/>
  </w:num>
  <w:num w:numId="13">
    <w:abstractNumId w:val="7"/>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7"/>
  </w:num>
  <w:num w:numId="18">
    <w:abstractNumId w:val="22"/>
  </w:num>
  <w:num w:numId="19">
    <w:abstractNumId w:val="11"/>
  </w:num>
  <w:num w:numId="20">
    <w:abstractNumId w:val="8"/>
  </w:num>
  <w:num w:numId="21">
    <w:abstractNumId w:val="2"/>
  </w:num>
  <w:num w:numId="22">
    <w:abstractNumId w:val="15"/>
  </w:num>
  <w:num w:numId="23">
    <w:abstractNumId w:val="6"/>
  </w:num>
  <w:num w:numId="24">
    <w:abstractNumId w:val="21"/>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37"/>
    <w:rsid w:val="000025A1"/>
    <w:rsid w:val="00007C87"/>
    <w:rsid w:val="00012107"/>
    <w:rsid w:val="000206CD"/>
    <w:rsid w:val="00021016"/>
    <w:rsid w:val="0002790C"/>
    <w:rsid w:val="00032B4B"/>
    <w:rsid w:val="0003716D"/>
    <w:rsid w:val="00046822"/>
    <w:rsid w:val="00061C9F"/>
    <w:rsid w:val="00070C3E"/>
    <w:rsid w:val="00070D8D"/>
    <w:rsid w:val="00094CE1"/>
    <w:rsid w:val="000C30C1"/>
    <w:rsid w:val="000D0AE8"/>
    <w:rsid w:val="000E2244"/>
    <w:rsid w:val="000E4ADB"/>
    <w:rsid w:val="000E7BC5"/>
    <w:rsid w:val="000F3696"/>
    <w:rsid w:val="001009B2"/>
    <w:rsid w:val="001012A7"/>
    <w:rsid w:val="00102422"/>
    <w:rsid w:val="00106C74"/>
    <w:rsid w:val="00123CFE"/>
    <w:rsid w:val="00125522"/>
    <w:rsid w:val="0012748D"/>
    <w:rsid w:val="00133112"/>
    <w:rsid w:val="001548FE"/>
    <w:rsid w:val="00154BCD"/>
    <w:rsid w:val="00161EF5"/>
    <w:rsid w:val="001662A1"/>
    <w:rsid w:val="00184D1F"/>
    <w:rsid w:val="00185E3B"/>
    <w:rsid w:val="0018776C"/>
    <w:rsid w:val="001A5A97"/>
    <w:rsid w:val="001A6E03"/>
    <w:rsid w:val="001B33F4"/>
    <w:rsid w:val="001C5668"/>
    <w:rsid w:val="001C56C8"/>
    <w:rsid w:val="001E1199"/>
    <w:rsid w:val="001E1ED9"/>
    <w:rsid w:val="001E57DA"/>
    <w:rsid w:val="001E66AE"/>
    <w:rsid w:val="00201829"/>
    <w:rsid w:val="00236FC0"/>
    <w:rsid w:val="002373BD"/>
    <w:rsid w:val="00237AD0"/>
    <w:rsid w:val="00253767"/>
    <w:rsid w:val="00280BA1"/>
    <w:rsid w:val="00287D92"/>
    <w:rsid w:val="0029192A"/>
    <w:rsid w:val="00293D29"/>
    <w:rsid w:val="002940B8"/>
    <w:rsid w:val="00296C65"/>
    <w:rsid w:val="002A2650"/>
    <w:rsid w:val="002A2984"/>
    <w:rsid w:val="002B12AA"/>
    <w:rsid w:val="002C3024"/>
    <w:rsid w:val="002C6674"/>
    <w:rsid w:val="002D03F0"/>
    <w:rsid w:val="002D45F7"/>
    <w:rsid w:val="002D6EF5"/>
    <w:rsid w:val="002E6533"/>
    <w:rsid w:val="002F0E10"/>
    <w:rsid w:val="002F3358"/>
    <w:rsid w:val="003074F4"/>
    <w:rsid w:val="00310E0F"/>
    <w:rsid w:val="0031736D"/>
    <w:rsid w:val="00325E7F"/>
    <w:rsid w:val="00326EE8"/>
    <w:rsid w:val="00327D59"/>
    <w:rsid w:val="00340024"/>
    <w:rsid w:val="00354E17"/>
    <w:rsid w:val="00356076"/>
    <w:rsid w:val="00360743"/>
    <w:rsid w:val="003718BC"/>
    <w:rsid w:val="00377382"/>
    <w:rsid w:val="00380970"/>
    <w:rsid w:val="00381EE8"/>
    <w:rsid w:val="00384B81"/>
    <w:rsid w:val="00392EC3"/>
    <w:rsid w:val="003931C4"/>
    <w:rsid w:val="00393411"/>
    <w:rsid w:val="003A4360"/>
    <w:rsid w:val="003B3713"/>
    <w:rsid w:val="003D064D"/>
    <w:rsid w:val="003D6BDD"/>
    <w:rsid w:val="003D6CDE"/>
    <w:rsid w:val="003E4C1B"/>
    <w:rsid w:val="003E6390"/>
    <w:rsid w:val="003F620D"/>
    <w:rsid w:val="0040481C"/>
    <w:rsid w:val="004062C8"/>
    <w:rsid w:val="00407C1B"/>
    <w:rsid w:val="00411986"/>
    <w:rsid w:val="00412C2F"/>
    <w:rsid w:val="00426F84"/>
    <w:rsid w:val="004316D1"/>
    <w:rsid w:val="00436027"/>
    <w:rsid w:val="004514B2"/>
    <w:rsid w:val="00451EBB"/>
    <w:rsid w:val="00454A29"/>
    <w:rsid w:val="004554FB"/>
    <w:rsid w:val="004634FC"/>
    <w:rsid w:val="004635C0"/>
    <w:rsid w:val="00475AE2"/>
    <w:rsid w:val="0047797E"/>
    <w:rsid w:val="004976E1"/>
    <w:rsid w:val="004A0559"/>
    <w:rsid w:val="004A6E90"/>
    <w:rsid w:val="004B188E"/>
    <w:rsid w:val="004C1D0F"/>
    <w:rsid w:val="004C6894"/>
    <w:rsid w:val="004D0DE2"/>
    <w:rsid w:val="004F2788"/>
    <w:rsid w:val="0051086F"/>
    <w:rsid w:val="00510DDC"/>
    <w:rsid w:val="00530333"/>
    <w:rsid w:val="0053168D"/>
    <w:rsid w:val="005317AF"/>
    <w:rsid w:val="00573B91"/>
    <w:rsid w:val="00580A8A"/>
    <w:rsid w:val="00580E10"/>
    <w:rsid w:val="00590F85"/>
    <w:rsid w:val="005925F5"/>
    <w:rsid w:val="00592E5F"/>
    <w:rsid w:val="005A2EF8"/>
    <w:rsid w:val="005B4E4C"/>
    <w:rsid w:val="005D4140"/>
    <w:rsid w:val="005E2654"/>
    <w:rsid w:val="005E4F59"/>
    <w:rsid w:val="005F26D0"/>
    <w:rsid w:val="005F4534"/>
    <w:rsid w:val="00621328"/>
    <w:rsid w:val="006323D1"/>
    <w:rsid w:val="00634832"/>
    <w:rsid w:val="00641CAD"/>
    <w:rsid w:val="006438D3"/>
    <w:rsid w:val="00652C29"/>
    <w:rsid w:val="00685A1A"/>
    <w:rsid w:val="00686964"/>
    <w:rsid w:val="006872A9"/>
    <w:rsid w:val="00691749"/>
    <w:rsid w:val="00694F28"/>
    <w:rsid w:val="006A2AFC"/>
    <w:rsid w:val="006A2D64"/>
    <w:rsid w:val="006A4D81"/>
    <w:rsid w:val="006B1582"/>
    <w:rsid w:val="006B3948"/>
    <w:rsid w:val="006E7416"/>
    <w:rsid w:val="006F0AFB"/>
    <w:rsid w:val="006F3BF2"/>
    <w:rsid w:val="006F51E2"/>
    <w:rsid w:val="00707619"/>
    <w:rsid w:val="0071037E"/>
    <w:rsid w:val="0074600B"/>
    <w:rsid w:val="00763610"/>
    <w:rsid w:val="00763776"/>
    <w:rsid w:val="00775E4A"/>
    <w:rsid w:val="00782A5D"/>
    <w:rsid w:val="00792DB2"/>
    <w:rsid w:val="007A4C05"/>
    <w:rsid w:val="007B4DE0"/>
    <w:rsid w:val="007B69DA"/>
    <w:rsid w:val="007D1432"/>
    <w:rsid w:val="007D6E57"/>
    <w:rsid w:val="007E67B2"/>
    <w:rsid w:val="007F1C69"/>
    <w:rsid w:val="0080342F"/>
    <w:rsid w:val="0080594D"/>
    <w:rsid w:val="00807937"/>
    <w:rsid w:val="008159F7"/>
    <w:rsid w:val="008373B2"/>
    <w:rsid w:val="00840885"/>
    <w:rsid w:val="00852B95"/>
    <w:rsid w:val="00853455"/>
    <w:rsid w:val="00857D3C"/>
    <w:rsid w:val="008619B9"/>
    <w:rsid w:val="00866F71"/>
    <w:rsid w:val="00867DE0"/>
    <w:rsid w:val="008707C7"/>
    <w:rsid w:val="00871320"/>
    <w:rsid w:val="008803C6"/>
    <w:rsid w:val="008846A9"/>
    <w:rsid w:val="00884BF4"/>
    <w:rsid w:val="00894808"/>
    <w:rsid w:val="008A01BF"/>
    <w:rsid w:val="008C2A09"/>
    <w:rsid w:val="008D5A2B"/>
    <w:rsid w:val="008E65AE"/>
    <w:rsid w:val="008F46DD"/>
    <w:rsid w:val="008F52BF"/>
    <w:rsid w:val="0090162D"/>
    <w:rsid w:val="00915ECF"/>
    <w:rsid w:val="009235AB"/>
    <w:rsid w:val="009304BE"/>
    <w:rsid w:val="009305D5"/>
    <w:rsid w:val="00934ED2"/>
    <w:rsid w:val="009448AA"/>
    <w:rsid w:val="0095719F"/>
    <w:rsid w:val="009603CA"/>
    <w:rsid w:val="009618E2"/>
    <w:rsid w:val="00965FB5"/>
    <w:rsid w:val="00966051"/>
    <w:rsid w:val="009712C7"/>
    <w:rsid w:val="00971F99"/>
    <w:rsid w:val="00975B07"/>
    <w:rsid w:val="00981680"/>
    <w:rsid w:val="009857FA"/>
    <w:rsid w:val="009A0FCC"/>
    <w:rsid w:val="009A22A6"/>
    <w:rsid w:val="009A4C89"/>
    <w:rsid w:val="009B0459"/>
    <w:rsid w:val="009D09E2"/>
    <w:rsid w:val="009D3AA9"/>
    <w:rsid w:val="009D4E92"/>
    <w:rsid w:val="009D7E24"/>
    <w:rsid w:val="009F4E31"/>
    <w:rsid w:val="009F77D2"/>
    <w:rsid w:val="00A015D1"/>
    <w:rsid w:val="00A07830"/>
    <w:rsid w:val="00A167BF"/>
    <w:rsid w:val="00A27693"/>
    <w:rsid w:val="00A372F7"/>
    <w:rsid w:val="00A4148C"/>
    <w:rsid w:val="00A435BA"/>
    <w:rsid w:val="00A45124"/>
    <w:rsid w:val="00A530D0"/>
    <w:rsid w:val="00A565D4"/>
    <w:rsid w:val="00A619A4"/>
    <w:rsid w:val="00A645E8"/>
    <w:rsid w:val="00A6675F"/>
    <w:rsid w:val="00A95EE5"/>
    <w:rsid w:val="00AA0BCA"/>
    <w:rsid w:val="00AA3229"/>
    <w:rsid w:val="00AA45AF"/>
    <w:rsid w:val="00AA65C3"/>
    <w:rsid w:val="00AB13BC"/>
    <w:rsid w:val="00AB7A88"/>
    <w:rsid w:val="00AE1378"/>
    <w:rsid w:val="00AE2EAB"/>
    <w:rsid w:val="00AF3622"/>
    <w:rsid w:val="00AF3D1A"/>
    <w:rsid w:val="00B02372"/>
    <w:rsid w:val="00B03A31"/>
    <w:rsid w:val="00B14A2B"/>
    <w:rsid w:val="00B174F7"/>
    <w:rsid w:val="00B21A3E"/>
    <w:rsid w:val="00B23845"/>
    <w:rsid w:val="00B245D6"/>
    <w:rsid w:val="00B3336B"/>
    <w:rsid w:val="00B43B2F"/>
    <w:rsid w:val="00B50B0D"/>
    <w:rsid w:val="00B512C9"/>
    <w:rsid w:val="00B554ED"/>
    <w:rsid w:val="00B60B7E"/>
    <w:rsid w:val="00B842C1"/>
    <w:rsid w:val="00B86BB4"/>
    <w:rsid w:val="00B9743E"/>
    <w:rsid w:val="00BA287A"/>
    <w:rsid w:val="00BA4B6B"/>
    <w:rsid w:val="00BB7539"/>
    <w:rsid w:val="00BC04B3"/>
    <w:rsid w:val="00BC520C"/>
    <w:rsid w:val="00BD2091"/>
    <w:rsid w:val="00BE2068"/>
    <w:rsid w:val="00BE2E60"/>
    <w:rsid w:val="00BE312D"/>
    <w:rsid w:val="00BE705C"/>
    <w:rsid w:val="00BF55BB"/>
    <w:rsid w:val="00C0020A"/>
    <w:rsid w:val="00C02441"/>
    <w:rsid w:val="00C10B99"/>
    <w:rsid w:val="00C16EC0"/>
    <w:rsid w:val="00C24806"/>
    <w:rsid w:val="00C257BF"/>
    <w:rsid w:val="00C30BDE"/>
    <w:rsid w:val="00C33106"/>
    <w:rsid w:val="00C352C3"/>
    <w:rsid w:val="00C3636A"/>
    <w:rsid w:val="00C46B19"/>
    <w:rsid w:val="00C62E31"/>
    <w:rsid w:val="00C83BCA"/>
    <w:rsid w:val="00C84E04"/>
    <w:rsid w:val="00CA28D2"/>
    <w:rsid w:val="00CA2DEA"/>
    <w:rsid w:val="00CB5AAF"/>
    <w:rsid w:val="00CC3215"/>
    <w:rsid w:val="00CD05D1"/>
    <w:rsid w:val="00CD6182"/>
    <w:rsid w:val="00CE66E2"/>
    <w:rsid w:val="00CF3819"/>
    <w:rsid w:val="00CF770B"/>
    <w:rsid w:val="00D00E03"/>
    <w:rsid w:val="00D053E9"/>
    <w:rsid w:val="00D242DA"/>
    <w:rsid w:val="00D30226"/>
    <w:rsid w:val="00D3230E"/>
    <w:rsid w:val="00D34F24"/>
    <w:rsid w:val="00D47423"/>
    <w:rsid w:val="00D54AE0"/>
    <w:rsid w:val="00D6021B"/>
    <w:rsid w:val="00D64B0D"/>
    <w:rsid w:val="00D705F5"/>
    <w:rsid w:val="00D77A35"/>
    <w:rsid w:val="00D80732"/>
    <w:rsid w:val="00D8153B"/>
    <w:rsid w:val="00D85A67"/>
    <w:rsid w:val="00DC46E3"/>
    <w:rsid w:val="00DD1AA4"/>
    <w:rsid w:val="00DD298E"/>
    <w:rsid w:val="00DE1FDD"/>
    <w:rsid w:val="00DF44CA"/>
    <w:rsid w:val="00E02ABE"/>
    <w:rsid w:val="00E036AD"/>
    <w:rsid w:val="00E04508"/>
    <w:rsid w:val="00E103F9"/>
    <w:rsid w:val="00E11F18"/>
    <w:rsid w:val="00E13072"/>
    <w:rsid w:val="00E153A4"/>
    <w:rsid w:val="00E22E3A"/>
    <w:rsid w:val="00E33C79"/>
    <w:rsid w:val="00E37732"/>
    <w:rsid w:val="00E40B45"/>
    <w:rsid w:val="00E517B6"/>
    <w:rsid w:val="00E547C2"/>
    <w:rsid w:val="00E64DEF"/>
    <w:rsid w:val="00E64F7A"/>
    <w:rsid w:val="00E8017B"/>
    <w:rsid w:val="00E863E3"/>
    <w:rsid w:val="00E864D5"/>
    <w:rsid w:val="00E914E2"/>
    <w:rsid w:val="00E92EF7"/>
    <w:rsid w:val="00E97878"/>
    <w:rsid w:val="00EA4036"/>
    <w:rsid w:val="00EB6578"/>
    <w:rsid w:val="00EC1807"/>
    <w:rsid w:val="00ED0337"/>
    <w:rsid w:val="00ED5DAC"/>
    <w:rsid w:val="00EE1F89"/>
    <w:rsid w:val="00EE2E0D"/>
    <w:rsid w:val="00EE69BB"/>
    <w:rsid w:val="00EF381A"/>
    <w:rsid w:val="00F139A8"/>
    <w:rsid w:val="00F15263"/>
    <w:rsid w:val="00F26D4E"/>
    <w:rsid w:val="00F51A5B"/>
    <w:rsid w:val="00F51B43"/>
    <w:rsid w:val="00F6009C"/>
    <w:rsid w:val="00F7507B"/>
    <w:rsid w:val="00F80886"/>
    <w:rsid w:val="00F87EE1"/>
    <w:rsid w:val="00F91704"/>
    <w:rsid w:val="00F96BDC"/>
    <w:rsid w:val="00FA2B1E"/>
    <w:rsid w:val="00FB6AED"/>
    <w:rsid w:val="00FC3C4D"/>
    <w:rsid w:val="00FC7D8B"/>
    <w:rsid w:val="00FD23E1"/>
    <w:rsid w:val="00FF0C70"/>
    <w:rsid w:val="00FF158F"/>
    <w:rsid w:val="00FF2EE8"/>
    <w:rsid w:val="00FF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E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keMcGaraghan">
    <w:name w:val="Mike McGaraghan"/>
    <w:semiHidden/>
    <w:rsid w:val="00161EF5"/>
    <w:rPr>
      <w:rFonts w:ascii="Arial" w:hAnsi="Arial" w:cs="Arial"/>
      <w:color w:val="auto"/>
      <w:sz w:val="20"/>
      <w:szCs w:val="20"/>
    </w:rPr>
  </w:style>
  <w:style w:type="paragraph" w:customStyle="1" w:styleId="msolistparagraph0">
    <w:name w:val="msolistparagraph"/>
    <w:basedOn w:val="Normal"/>
    <w:rsid w:val="002F0E10"/>
    <w:pPr>
      <w:ind w:left="720"/>
      <w:contextualSpacing/>
    </w:pPr>
    <w:rPr>
      <w:rFonts w:ascii="Cambria" w:eastAsia="Cambria" w:hAnsi="Cambria"/>
    </w:rPr>
  </w:style>
  <w:style w:type="paragraph" w:styleId="BalloonText">
    <w:name w:val="Balloon Text"/>
    <w:basedOn w:val="Normal"/>
    <w:semiHidden/>
    <w:rsid w:val="00CD05D1"/>
    <w:rPr>
      <w:rFonts w:ascii="Tahoma" w:hAnsi="Tahoma" w:cs="Tahoma"/>
      <w:sz w:val="16"/>
      <w:szCs w:val="16"/>
    </w:rPr>
  </w:style>
  <w:style w:type="character" w:styleId="CommentReference">
    <w:name w:val="annotation reference"/>
    <w:semiHidden/>
    <w:rsid w:val="00CD05D1"/>
    <w:rPr>
      <w:sz w:val="16"/>
      <w:szCs w:val="16"/>
    </w:rPr>
  </w:style>
  <w:style w:type="paragraph" w:styleId="CommentText">
    <w:name w:val="annotation text"/>
    <w:basedOn w:val="Normal"/>
    <w:semiHidden/>
    <w:rsid w:val="00CD05D1"/>
    <w:rPr>
      <w:sz w:val="20"/>
      <w:szCs w:val="20"/>
    </w:rPr>
  </w:style>
  <w:style w:type="paragraph" w:styleId="CommentSubject">
    <w:name w:val="annotation subject"/>
    <w:basedOn w:val="CommentText"/>
    <w:next w:val="CommentText"/>
    <w:semiHidden/>
    <w:rsid w:val="00CD05D1"/>
    <w:rPr>
      <w:b/>
      <w:bCs/>
    </w:rPr>
  </w:style>
  <w:style w:type="paragraph" w:styleId="Caption">
    <w:name w:val="caption"/>
    <w:basedOn w:val="Normal"/>
    <w:next w:val="Normal"/>
    <w:unhideWhenUsed/>
    <w:qFormat/>
    <w:rsid w:val="009F77D2"/>
    <w:rPr>
      <w:b/>
      <w:bCs/>
      <w:sz w:val="20"/>
      <w:szCs w:val="20"/>
    </w:rPr>
  </w:style>
  <w:style w:type="paragraph" w:styleId="ListParagraph">
    <w:name w:val="List Paragraph"/>
    <w:basedOn w:val="Normal"/>
    <w:uiPriority w:val="34"/>
    <w:qFormat/>
    <w:rsid w:val="00965FB5"/>
    <w:pPr>
      <w:numPr>
        <w:numId w:val="22"/>
      </w:numPr>
      <w:spacing w:after="200" w:line="276" w:lineRule="auto"/>
      <w:contextualSpacing/>
    </w:pPr>
    <w:rPr>
      <w:rFonts w:asciiTheme="minorHAnsi" w:eastAsia="Calibri" w:hAnsiTheme="minorHAnsi" w:cstheme="minorHAnsi"/>
      <w:sz w:val="22"/>
      <w:szCs w:val="22"/>
    </w:rPr>
  </w:style>
  <w:style w:type="table" w:styleId="TableGrid">
    <w:name w:val="Table Grid"/>
    <w:basedOn w:val="TableNormal"/>
    <w:rsid w:val="00B8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808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5">
    <w:name w:val="Light List Accent 5"/>
    <w:basedOn w:val="TableNormal"/>
    <w:uiPriority w:val="61"/>
    <w:rsid w:val="00F8088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rsid w:val="00393411"/>
    <w:rPr>
      <w:color w:val="0000FF" w:themeColor="hyperlink"/>
      <w:u w:val="single"/>
    </w:rPr>
  </w:style>
  <w:style w:type="table" w:customStyle="1" w:styleId="TableGrid1">
    <w:name w:val="Table Grid1"/>
    <w:basedOn w:val="TableNormal"/>
    <w:next w:val="TableGrid"/>
    <w:uiPriority w:val="59"/>
    <w:rsid w:val="005F45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0F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620D"/>
    <w:pPr>
      <w:tabs>
        <w:tab w:val="center" w:pos="4680"/>
        <w:tab w:val="right" w:pos="9360"/>
      </w:tabs>
    </w:pPr>
  </w:style>
  <w:style w:type="character" w:customStyle="1" w:styleId="HeaderChar">
    <w:name w:val="Header Char"/>
    <w:basedOn w:val="DefaultParagraphFont"/>
    <w:link w:val="Header"/>
    <w:rsid w:val="003F620D"/>
    <w:rPr>
      <w:sz w:val="24"/>
      <w:szCs w:val="24"/>
    </w:rPr>
  </w:style>
  <w:style w:type="paragraph" w:styleId="Footer">
    <w:name w:val="footer"/>
    <w:basedOn w:val="Normal"/>
    <w:link w:val="FooterChar"/>
    <w:rsid w:val="003F620D"/>
    <w:pPr>
      <w:tabs>
        <w:tab w:val="center" w:pos="4680"/>
        <w:tab w:val="right" w:pos="9360"/>
      </w:tabs>
    </w:pPr>
  </w:style>
  <w:style w:type="character" w:customStyle="1" w:styleId="FooterChar">
    <w:name w:val="Footer Char"/>
    <w:basedOn w:val="DefaultParagraphFont"/>
    <w:link w:val="Footer"/>
    <w:rsid w:val="003F620D"/>
    <w:rPr>
      <w:sz w:val="24"/>
      <w:szCs w:val="24"/>
    </w:rPr>
  </w:style>
  <w:style w:type="paragraph" w:styleId="PlainText">
    <w:name w:val="Plain Text"/>
    <w:basedOn w:val="Normal"/>
    <w:link w:val="PlainTextChar"/>
    <w:uiPriority w:val="99"/>
    <w:unhideWhenUsed/>
    <w:rsid w:val="000121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12107"/>
    <w:rPr>
      <w:rFonts w:ascii="Calibri" w:eastAsiaTheme="minorHAnsi" w:hAnsi="Calibri" w:cstheme="minorBidi"/>
      <w:sz w:val="22"/>
      <w:szCs w:val="21"/>
    </w:rPr>
  </w:style>
  <w:style w:type="paragraph" w:customStyle="1" w:styleId="Default">
    <w:name w:val="Default"/>
    <w:rsid w:val="00FB6AE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745">
      <w:bodyDiv w:val="1"/>
      <w:marLeft w:val="0"/>
      <w:marRight w:val="0"/>
      <w:marTop w:val="0"/>
      <w:marBottom w:val="0"/>
      <w:divBdr>
        <w:top w:val="none" w:sz="0" w:space="0" w:color="auto"/>
        <w:left w:val="none" w:sz="0" w:space="0" w:color="auto"/>
        <w:bottom w:val="none" w:sz="0" w:space="0" w:color="auto"/>
        <w:right w:val="none" w:sz="0" w:space="0" w:color="auto"/>
      </w:divBdr>
    </w:div>
    <w:div w:id="283509477">
      <w:bodyDiv w:val="1"/>
      <w:marLeft w:val="0"/>
      <w:marRight w:val="0"/>
      <w:marTop w:val="0"/>
      <w:marBottom w:val="0"/>
      <w:divBdr>
        <w:top w:val="none" w:sz="0" w:space="0" w:color="auto"/>
        <w:left w:val="none" w:sz="0" w:space="0" w:color="auto"/>
        <w:bottom w:val="none" w:sz="0" w:space="0" w:color="auto"/>
        <w:right w:val="none" w:sz="0" w:space="0" w:color="auto"/>
      </w:divBdr>
    </w:div>
    <w:div w:id="339628657">
      <w:bodyDiv w:val="1"/>
      <w:marLeft w:val="0"/>
      <w:marRight w:val="0"/>
      <w:marTop w:val="0"/>
      <w:marBottom w:val="0"/>
      <w:divBdr>
        <w:top w:val="none" w:sz="0" w:space="0" w:color="auto"/>
        <w:left w:val="none" w:sz="0" w:space="0" w:color="auto"/>
        <w:bottom w:val="none" w:sz="0" w:space="0" w:color="auto"/>
        <w:right w:val="none" w:sz="0" w:space="0" w:color="auto"/>
      </w:divBdr>
    </w:div>
    <w:div w:id="1206478959">
      <w:bodyDiv w:val="1"/>
      <w:marLeft w:val="0"/>
      <w:marRight w:val="0"/>
      <w:marTop w:val="0"/>
      <w:marBottom w:val="0"/>
      <w:divBdr>
        <w:top w:val="none" w:sz="0" w:space="0" w:color="auto"/>
        <w:left w:val="none" w:sz="0" w:space="0" w:color="auto"/>
        <w:bottom w:val="none" w:sz="0" w:space="0" w:color="auto"/>
        <w:right w:val="none" w:sz="0" w:space="0" w:color="auto"/>
      </w:divBdr>
    </w:div>
    <w:div w:id="1299799599">
      <w:bodyDiv w:val="1"/>
      <w:marLeft w:val="0"/>
      <w:marRight w:val="0"/>
      <w:marTop w:val="0"/>
      <w:marBottom w:val="0"/>
      <w:divBdr>
        <w:top w:val="none" w:sz="0" w:space="0" w:color="auto"/>
        <w:left w:val="none" w:sz="0" w:space="0" w:color="auto"/>
        <w:bottom w:val="none" w:sz="0" w:space="0" w:color="auto"/>
        <w:right w:val="none" w:sz="0" w:space="0" w:color="auto"/>
      </w:divBdr>
      <w:divsChild>
        <w:div w:id="1494024804">
          <w:marLeft w:val="0"/>
          <w:marRight w:val="0"/>
          <w:marTop w:val="0"/>
          <w:marBottom w:val="0"/>
          <w:divBdr>
            <w:top w:val="none" w:sz="0" w:space="0" w:color="auto"/>
            <w:left w:val="none" w:sz="0" w:space="0" w:color="auto"/>
            <w:bottom w:val="none" w:sz="0" w:space="0" w:color="auto"/>
            <w:right w:val="none" w:sz="0" w:space="0" w:color="auto"/>
          </w:divBdr>
          <w:divsChild>
            <w:div w:id="711852872">
              <w:marLeft w:val="0"/>
              <w:marRight w:val="0"/>
              <w:marTop w:val="0"/>
              <w:marBottom w:val="0"/>
              <w:divBdr>
                <w:top w:val="none" w:sz="0" w:space="0" w:color="auto"/>
                <w:left w:val="none" w:sz="0" w:space="0" w:color="auto"/>
                <w:bottom w:val="none" w:sz="0" w:space="0" w:color="auto"/>
                <w:right w:val="none" w:sz="0" w:space="0" w:color="auto"/>
              </w:divBdr>
              <w:divsChild>
                <w:div w:id="1066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093">
      <w:bodyDiv w:val="1"/>
      <w:marLeft w:val="0"/>
      <w:marRight w:val="0"/>
      <w:marTop w:val="0"/>
      <w:marBottom w:val="0"/>
      <w:divBdr>
        <w:top w:val="none" w:sz="0" w:space="0" w:color="auto"/>
        <w:left w:val="none" w:sz="0" w:space="0" w:color="auto"/>
        <w:bottom w:val="none" w:sz="0" w:space="0" w:color="auto"/>
        <w:right w:val="none" w:sz="0" w:space="0" w:color="auto"/>
      </w:divBdr>
    </w:div>
    <w:div w:id="2020497210">
      <w:bodyDiv w:val="1"/>
      <w:marLeft w:val="0"/>
      <w:marRight w:val="0"/>
      <w:marTop w:val="0"/>
      <w:marBottom w:val="0"/>
      <w:divBdr>
        <w:top w:val="none" w:sz="0" w:space="0" w:color="auto"/>
        <w:left w:val="none" w:sz="0" w:space="0" w:color="auto"/>
        <w:bottom w:val="none" w:sz="0" w:space="0" w:color="auto"/>
        <w:right w:val="none" w:sz="0" w:space="0" w:color="auto"/>
      </w:divBdr>
    </w:div>
    <w:div w:id="2077970230">
      <w:bodyDiv w:val="1"/>
      <w:marLeft w:val="0"/>
      <w:marRight w:val="0"/>
      <w:marTop w:val="0"/>
      <w:marBottom w:val="0"/>
      <w:divBdr>
        <w:top w:val="none" w:sz="0" w:space="0" w:color="auto"/>
        <w:left w:val="none" w:sz="0" w:space="0" w:color="auto"/>
        <w:bottom w:val="none" w:sz="0" w:space="0" w:color="auto"/>
        <w:right w:val="none" w:sz="0" w:space="0" w:color="auto"/>
      </w:divBdr>
      <w:divsChild>
        <w:div w:id="461072748">
          <w:marLeft w:val="0"/>
          <w:marRight w:val="0"/>
          <w:marTop w:val="0"/>
          <w:marBottom w:val="0"/>
          <w:divBdr>
            <w:top w:val="none" w:sz="0" w:space="0" w:color="auto"/>
            <w:left w:val="none" w:sz="0" w:space="0" w:color="auto"/>
            <w:bottom w:val="none" w:sz="0" w:space="0" w:color="auto"/>
            <w:right w:val="none" w:sz="0" w:space="0" w:color="auto"/>
          </w:divBdr>
          <w:divsChild>
            <w:div w:id="60953972">
              <w:marLeft w:val="0"/>
              <w:marRight w:val="0"/>
              <w:marTop w:val="0"/>
              <w:marBottom w:val="0"/>
              <w:divBdr>
                <w:top w:val="none" w:sz="0" w:space="0" w:color="auto"/>
                <w:left w:val="none" w:sz="0" w:space="0" w:color="auto"/>
                <w:bottom w:val="none" w:sz="0" w:space="0" w:color="auto"/>
                <w:right w:val="none" w:sz="0" w:space="0" w:color="auto"/>
              </w:divBdr>
              <w:divsChild>
                <w:div w:id="8580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91538-B0BB-42DA-BFFE-46A078E8D511}"/>
</file>

<file path=customXml/itemProps2.xml><?xml version="1.0" encoding="utf-8"?>
<ds:datastoreItem xmlns:ds="http://schemas.openxmlformats.org/officeDocument/2006/customXml" ds:itemID="{7D63C15A-3628-4764-A106-E59998E1B708}"/>
</file>

<file path=customXml/itemProps3.xml><?xml version="1.0" encoding="utf-8"?>
<ds:datastoreItem xmlns:ds="http://schemas.openxmlformats.org/officeDocument/2006/customXml" ds:itemID="{36B495B9-78E7-4931-897C-3CD526A84665}"/>
</file>

<file path=customXml/itemProps4.xml><?xml version="1.0" encoding="utf-8"?>
<ds:datastoreItem xmlns:ds="http://schemas.openxmlformats.org/officeDocument/2006/customXml" ds:itemID="{2D680875-6C1C-458E-8C4A-05030F3EC7DC}"/>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DOE Rulemaking Summary</vt:lpstr>
    </vt:vector>
  </TitlesOfParts>
  <Company>Energy Solutions</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Rulemaking Summary</dc:title>
  <dc:creator>Bijit Kundu</dc:creator>
  <cp:lastModifiedBy>Marshall B. Hunt</cp:lastModifiedBy>
  <cp:revision>2</cp:revision>
  <cp:lastPrinted>2015-07-28T16:39:00Z</cp:lastPrinted>
  <dcterms:created xsi:type="dcterms:W3CDTF">2015-07-29T00:21:00Z</dcterms:created>
  <dcterms:modified xsi:type="dcterms:W3CDTF">2015-07-29T00:21:00Z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