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9D3A2" w14:textId="450A3BCF" w:rsidR="00566BFA" w:rsidRPr="00F3350F" w:rsidRDefault="00566BFA" w:rsidP="00566BFA">
      <w:pPr>
        <w:rPr>
          <w:rFonts w:eastAsiaTheme="minorHAnsi"/>
          <w:b/>
        </w:rPr>
      </w:pPr>
      <w:bookmarkStart w:id="0" w:name="_GoBack"/>
      <w:bookmarkEnd w:id="0"/>
      <w:r w:rsidRPr="00F3350F">
        <w:rPr>
          <w:rFonts w:eastAsiaTheme="minorHAnsi"/>
          <w:b/>
        </w:rPr>
        <w:t>Important Note for Reviewers/Commenters:</w:t>
      </w:r>
    </w:p>
    <w:p w14:paraId="220B59AC" w14:textId="439308FE" w:rsidR="00566BFA" w:rsidRPr="00F3350F" w:rsidRDefault="00566BFA" w:rsidP="00566BFA">
      <w:pPr>
        <w:rPr>
          <w:rFonts w:eastAsiaTheme="minorHAnsi"/>
        </w:rPr>
      </w:pPr>
      <w:r w:rsidRPr="00F3350F">
        <w:rPr>
          <w:rFonts w:eastAsiaTheme="minorHAnsi"/>
        </w:rPr>
        <w:t>PG&amp;E is soliciting informal comments on this early version of the meter-based (aka, NMEC) “platform” rulebook. This document compiles CP</w:t>
      </w:r>
      <w:r w:rsidR="00D82573">
        <w:rPr>
          <w:rFonts w:eastAsiaTheme="minorHAnsi"/>
        </w:rPr>
        <w:t>UC requirements and guidance we ha</w:t>
      </w:r>
      <w:r w:rsidRPr="00F3350F">
        <w:rPr>
          <w:rFonts w:eastAsiaTheme="minorHAnsi"/>
        </w:rPr>
        <w:t>ve received (e.g. EE Policy Manual, HOPPs ruling, D.16-08-019, Resolution E-4818) that govern how NMEC programs should calculate and claim savings.</w:t>
      </w:r>
    </w:p>
    <w:p w14:paraId="33E740B3" w14:textId="77777777" w:rsidR="00566BFA" w:rsidRPr="00F3350F" w:rsidRDefault="00566BFA" w:rsidP="00566BFA">
      <w:pPr>
        <w:rPr>
          <w:rFonts w:eastAsiaTheme="minorHAnsi"/>
        </w:rPr>
      </w:pPr>
    </w:p>
    <w:p w14:paraId="5418B0B0" w14:textId="396451A3" w:rsidR="00566BFA" w:rsidRPr="00F3350F" w:rsidRDefault="00566BFA" w:rsidP="00566BFA">
      <w:pPr>
        <w:rPr>
          <w:rFonts w:eastAsiaTheme="minorHAnsi"/>
        </w:rPr>
      </w:pPr>
      <w:r w:rsidRPr="00F3350F">
        <w:rPr>
          <w:rFonts w:eastAsiaTheme="minorHAnsi"/>
        </w:rPr>
        <w:t>The rulebook does not intend to impose new rules or restrictions</w:t>
      </w:r>
      <w:r w:rsidR="00750DA4" w:rsidRPr="00F3350F">
        <w:rPr>
          <w:rFonts w:eastAsiaTheme="minorHAnsi"/>
        </w:rPr>
        <w:t xml:space="preserve"> or design any program elements</w:t>
      </w:r>
      <w:r w:rsidRPr="00F3350F">
        <w:rPr>
          <w:rFonts w:eastAsiaTheme="minorHAnsi"/>
        </w:rPr>
        <w:t xml:space="preserve">; instead, it seeks to level-set </w:t>
      </w:r>
      <w:r w:rsidR="00750DA4" w:rsidRPr="00F3350F">
        <w:rPr>
          <w:rFonts w:eastAsiaTheme="minorHAnsi"/>
        </w:rPr>
        <w:t xml:space="preserve">bidder </w:t>
      </w:r>
      <w:r w:rsidRPr="00F3350F">
        <w:rPr>
          <w:rFonts w:eastAsiaTheme="minorHAnsi"/>
        </w:rPr>
        <w:t xml:space="preserve">expectations </w:t>
      </w:r>
      <w:r w:rsidR="00750DA4" w:rsidRPr="00F3350F">
        <w:rPr>
          <w:rFonts w:eastAsiaTheme="minorHAnsi"/>
        </w:rPr>
        <w:t>so they can design robust and compliant programs</w:t>
      </w:r>
      <w:r w:rsidRPr="00F3350F">
        <w:rPr>
          <w:rFonts w:eastAsiaTheme="minorHAnsi"/>
        </w:rPr>
        <w:t>.</w:t>
      </w:r>
    </w:p>
    <w:p w14:paraId="589CB121" w14:textId="77777777" w:rsidR="00750DA4" w:rsidRPr="00F3350F" w:rsidRDefault="00750DA4" w:rsidP="00566BFA">
      <w:pPr>
        <w:rPr>
          <w:rFonts w:eastAsiaTheme="minorHAnsi"/>
        </w:rPr>
      </w:pPr>
    </w:p>
    <w:p w14:paraId="6A03B26A" w14:textId="77777777" w:rsidR="00D4062F" w:rsidRPr="00F3350F" w:rsidRDefault="00750DA4" w:rsidP="00566BFA">
      <w:pPr>
        <w:rPr>
          <w:rFonts w:eastAsiaTheme="minorHAnsi"/>
        </w:rPr>
      </w:pPr>
      <w:r w:rsidRPr="00F3350F">
        <w:rPr>
          <w:rFonts w:eastAsiaTheme="minorHAnsi"/>
        </w:rPr>
        <w:t>This draft (v0.5) is in an early stage that has not been reviewed or approved by PG&amp;E management. We would like to share it now so that stakeholders can provide feedback on our thought process and help shape the document into a h</w:t>
      </w:r>
      <w:r w:rsidR="00D4062F" w:rsidRPr="00F3350F">
        <w:rPr>
          <w:rFonts w:eastAsiaTheme="minorHAnsi"/>
        </w:rPr>
        <w:t>elpful and informative product.</w:t>
      </w:r>
    </w:p>
    <w:p w14:paraId="01BCC83A" w14:textId="77777777" w:rsidR="00D4062F" w:rsidRPr="00F3350F" w:rsidRDefault="00D4062F" w:rsidP="00566BFA">
      <w:pPr>
        <w:rPr>
          <w:rFonts w:eastAsiaTheme="minorHAnsi"/>
        </w:rPr>
      </w:pPr>
    </w:p>
    <w:p w14:paraId="0E4433CE" w14:textId="2AE080E0" w:rsidR="00750DA4" w:rsidRPr="00F3350F" w:rsidRDefault="00750DA4" w:rsidP="00566BFA">
      <w:pPr>
        <w:rPr>
          <w:rFonts w:eastAsiaTheme="minorHAnsi"/>
        </w:rPr>
      </w:pPr>
      <w:r w:rsidRPr="00F3350F">
        <w:rPr>
          <w:rFonts w:eastAsiaTheme="minorHAnsi"/>
        </w:rPr>
        <w:t>While we can’t commit to responding to every comment, we will consider all of them and would be happy to discuss with stakeholders. Comments that don’t make it into the initial release would be held and considered for a future update.</w:t>
      </w:r>
    </w:p>
    <w:p w14:paraId="47C65DDD" w14:textId="77777777" w:rsidR="00750DA4" w:rsidRPr="00F3350F" w:rsidRDefault="00750DA4" w:rsidP="00566BFA">
      <w:pPr>
        <w:rPr>
          <w:rFonts w:eastAsiaTheme="minorHAnsi"/>
        </w:rPr>
      </w:pPr>
    </w:p>
    <w:p w14:paraId="200BC938" w14:textId="69387B30" w:rsidR="00750DA4" w:rsidRPr="00F3350F" w:rsidRDefault="00750DA4" w:rsidP="00566BFA">
      <w:pPr>
        <w:rPr>
          <w:rFonts w:eastAsiaTheme="minorHAnsi"/>
        </w:rPr>
      </w:pPr>
      <w:r w:rsidRPr="00F3350F">
        <w:rPr>
          <w:rFonts w:eastAsiaTheme="minorHAnsi"/>
        </w:rPr>
        <w:t>Please focus comments on the following:</w:t>
      </w:r>
    </w:p>
    <w:p w14:paraId="2B0B0050" w14:textId="77777777" w:rsidR="00750DA4" w:rsidRPr="00F3350F" w:rsidRDefault="00750DA4" w:rsidP="00750DA4">
      <w:pPr>
        <w:pStyle w:val="ListParagraph"/>
        <w:numPr>
          <w:ilvl w:val="0"/>
          <w:numId w:val="77"/>
        </w:numPr>
        <w:contextualSpacing w:val="0"/>
      </w:pPr>
      <w:r w:rsidRPr="00F3350F">
        <w:t>What elements is PG&amp;E overprescribing, and should leave more open-ended for bidders to propose?</w:t>
      </w:r>
    </w:p>
    <w:p w14:paraId="6017C2E5" w14:textId="77777777" w:rsidR="00750DA4" w:rsidRPr="00F3350F" w:rsidRDefault="00750DA4" w:rsidP="00750DA4">
      <w:pPr>
        <w:pStyle w:val="ListParagraph"/>
        <w:numPr>
          <w:ilvl w:val="0"/>
          <w:numId w:val="77"/>
        </w:numPr>
        <w:contextualSpacing w:val="0"/>
      </w:pPr>
      <w:r w:rsidRPr="00F3350F">
        <w:t>What elements would benefit from more detail?</w:t>
      </w:r>
    </w:p>
    <w:p w14:paraId="0A9CB020" w14:textId="77777777" w:rsidR="00750DA4" w:rsidRPr="00F3350F" w:rsidRDefault="00750DA4" w:rsidP="00750DA4">
      <w:pPr>
        <w:pStyle w:val="ListParagraph"/>
        <w:numPr>
          <w:ilvl w:val="0"/>
          <w:numId w:val="77"/>
        </w:numPr>
        <w:contextualSpacing w:val="0"/>
      </w:pPr>
      <w:r w:rsidRPr="00F3350F">
        <w:t>Are there any elements that are missing that PG&amp;E should add?</w:t>
      </w:r>
    </w:p>
    <w:p w14:paraId="7F332C53" w14:textId="77777777" w:rsidR="00750DA4" w:rsidRPr="00F3350F" w:rsidRDefault="00750DA4" w:rsidP="00566BFA">
      <w:pPr>
        <w:rPr>
          <w:rFonts w:eastAsiaTheme="minorHAnsi"/>
        </w:rPr>
      </w:pPr>
    </w:p>
    <w:p w14:paraId="5A563FF9" w14:textId="086CAC2C" w:rsidR="00750DA4" w:rsidRPr="00F3350F" w:rsidRDefault="00D4062F" w:rsidP="00566BFA">
      <w:pPr>
        <w:rPr>
          <w:rFonts w:eastAsiaTheme="minorHAnsi"/>
        </w:rPr>
      </w:pPr>
      <w:r w:rsidRPr="00F3350F">
        <w:rPr>
          <w:rFonts w:eastAsiaTheme="minorHAnsi"/>
        </w:rPr>
        <w:t>Please cite the relevant section number with each comment. For our tracking purposes, it would be helpful if commenters used the embedded template below.</w:t>
      </w:r>
    </w:p>
    <w:p w14:paraId="7A361911" w14:textId="77777777" w:rsidR="00D4062F" w:rsidRPr="00F3350F" w:rsidRDefault="00D4062F" w:rsidP="00566BFA">
      <w:pPr>
        <w:rPr>
          <w:rFonts w:eastAsiaTheme="minorHAnsi"/>
        </w:rPr>
      </w:pPr>
    </w:p>
    <w:p w14:paraId="4C15C55D" w14:textId="56D07133" w:rsidR="00D4062F" w:rsidRPr="00F3350F" w:rsidRDefault="00D82573" w:rsidP="00566BFA">
      <w:pPr>
        <w:rPr>
          <w:rFonts w:eastAsiaTheme="minorHAnsi"/>
        </w:rPr>
      </w:pPr>
      <w:r>
        <w:rPr>
          <w:rFonts w:eastAsiaTheme="minorHAnsi"/>
        </w:rPr>
        <w:t>Please send comments directly to Ryan Chan (</w:t>
      </w:r>
      <w:hyperlink r:id="rId18" w:history="1">
        <w:r w:rsidRPr="00E91BE8">
          <w:rPr>
            <w:rStyle w:val="Hyperlink"/>
            <w:rFonts w:eastAsiaTheme="minorHAnsi"/>
          </w:rPr>
          <w:t>r7ck@pge.com</w:t>
        </w:r>
      </w:hyperlink>
      <w:r>
        <w:rPr>
          <w:rFonts w:eastAsiaTheme="minorHAnsi"/>
        </w:rPr>
        <w:t xml:space="preserve">) </w:t>
      </w:r>
      <w:r w:rsidR="00D4062F" w:rsidRPr="00F3350F">
        <w:rPr>
          <w:rFonts w:eastAsiaTheme="minorHAnsi"/>
        </w:rPr>
        <w:t xml:space="preserve">by </w:t>
      </w:r>
      <w:r w:rsidR="00D4062F" w:rsidRPr="00F3350F">
        <w:rPr>
          <w:rFonts w:eastAsiaTheme="minorHAnsi"/>
          <w:b/>
        </w:rPr>
        <w:t>Tuesday, November 7</w:t>
      </w:r>
      <w:r w:rsidR="00D4062F" w:rsidRPr="00F3350F">
        <w:rPr>
          <w:rFonts w:eastAsiaTheme="minorHAnsi"/>
        </w:rPr>
        <w:t xml:space="preserve">. </w:t>
      </w:r>
      <w:r w:rsidR="00BE249C" w:rsidRPr="00F3350F">
        <w:rPr>
          <w:rFonts w:eastAsiaTheme="minorHAnsi"/>
        </w:rPr>
        <w:t>As mentioned above, comments received after this date will likely not be incorporated into the initial release, but they will be considered in any future updates.</w:t>
      </w:r>
    </w:p>
    <w:p w14:paraId="4B9F56BC" w14:textId="77777777" w:rsidR="00BE249C" w:rsidRPr="00F3350F" w:rsidRDefault="00BE249C" w:rsidP="00566BFA">
      <w:pPr>
        <w:rPr>
          <w:rFonts w:eastAsiaTheme="minorHAnsi"/>
        </w:rPr>
      </w:pPr>
    </w:p>
    <w:p w14:paraId="3ACF451C" w14:textId="65432330" w:rsidR="00BE249C" w:rsidRPr="00F3350F" w:rsidRDefault="00BE249C" w:rsidP="00566BFA">
      <w:pPr>
        <w:rPr>
          <w:rFonts w:eastAsiaTheme="minorHAnsi"/>
        </w:rPr>
      </w:pPr>
      <w:r w:rsidRPr="00F3350F">
        <w:rPr>
          <w:rFonts w:eastAsiaTheme="minorHAnsi"/>
        </w:rPr>
        <w:t>PG&amp;E greatly appreciates your review and consideration.</w:t>
      </w:r>
    </w:p>
    <w:p w14:paraId="6802EB32" w14:textId="77777777" w:rsidR="00D4062F" w:rsidRPr="00F3350F" w:rsidRDefault="00D4062F" w:rsidP="00566BFA">
      <w:pPr>
        <w:rPr>
          <w:rFonts w:eastAsiaTheme="minorHAnsi"/>
        </w:rPr>
      </w:pPr>
    </w:p>
    <w:p w14:paraId="5305BDD2" w14:textId="77777777" w:rsidR="00D4062F" w:rsidRPr="00F3350F" w:rsidRDefault="00D4062F" w:rsidP="00566BFA">
      <w:pPr>
        <w:rPr>
          <w:rFonts w:eastAsiaTheme="minorHAnsi"/>
        </w:rPr>
      </w:pPr>
      <w:r w:rsidRPr="00F3350F">
        <w:rPr>
          <w:rFonts w:eastAsiaTheme="minorHAnsi"/>
        </w:rPr>
        <w:object w:dxaOrig="1550" w:dyaOrig="991" w14:anchorId="1E500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9" o:title=""/>
          </v:shape>
          <o:OLEObject Type="Embed" ProgID="Excel.Sheet.12" ShapeID="_x0000_i1025" DrawAspect="Icon" ObjectID="_1570542375" r:id="rId20"/>
        </w:object>
      </w:r>
    </w:p>
    <w:p w14:paraId="08075FFA" w14:textId="523F2AAD" w:rsidR="00566BFA" w:rsidRPr="00F3350F" w:rsidRDefault="00566BFA">
      <w:pPr>
        <w:spacing w:after="200" w:line="276" w:lineRule="auto"/>
      </w:pPr>
      <w:r w:rsidRPr="00F3350F">
        <w:br w:type="page"/>
      </w:r>
    </w:p>
    <w:p w14:paraId="5C550769" w14:textId="77777777" w:rsidR="00566BFA" w:rsidRPr="00F3350F" w:rsidRDefault="00566BFA"/>
    <w:p w14:paraId="3B49F571" w14:textId="77777777" w:rsidR="00566BFA" w:rsidRPr="00F3350F" w:rsidRDefault="00566BFA"/>
    <w:sdt>
      <w:sdtPr>
        <w:rPr>
          <w:rFonts w:asciiTheme="majorHAnsi" w:eastAsiaTheme="majorEastAsia" w:hAnsiTheme="majorHAnsi" w:cstheme="majorBidi"/>
          <w:caps/>
          <w:lang w:eastAsia="en-US"/>
        </w:rPr>
        <w:id w:val="459545197"/>
        <w:docPartObj>
          <w:docPartGallery w:val="Cover Pages"/>
          <w:docPartUnique/>
        </w:docPartObj>
      </w:sdtPr>
      <w:sdtEndPr>
        <w:rPr>
          <w:rFonts w:ascii="Calibri" w:hAnsi="Calibri" w:cs="Calibri"/>
          <w:caps w:val="0"/>
        </w:rPr>
      </w:sdtEndPr>
      <w:sdtContent>
        <w:tbl>
          <w:tblPr>
            <w:tblW w:w="3485" w:type="pct"/>
            <w:jc w:val="center"/>
            <w:tblLook w:val="04A0" w:firstRow="1" w:lastRow="0" w:firstColumn="1" w:lastColumn="0" w:noHBand="0" w:noVBand="1"/>
          </w:tblPr>
          <w:tblGrid>
            <w:gridCol w:w="6674"/>
          </w:tblGrid>
          <w:tr w:rsidR="002D2998" w:rsidRPr="00F3350F" w14:paraId="33BA0484" w14:textId="77777777" w:rsidTr="002D2998">
            <w:trPr>
              <w:trHeight w:val="3248"/>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33BA0483" w14:textId="29CF128C" w:rsidR="00691946" w:rsidRPr="00F3350F" w:rsidRDefault="00D3781A">
                    <w:pPr>
                      <w:pStyle w:val="NoSpacing"/>
                      <w:jc w:val="center"/>
                      <w:rPr>
                        <w:rFonts w:asciiTheme="majorHAnsi" w:eastAsiaTheme="majorEastAsia" w:hAnsiTheme="majorHAnsi" w:cstheme="majorBidi"/>
                        <w:caps/>
                      </w:rPr>
                    </w:pPr>
                    <w:r w:rsidRPr="00F3350F">
                      <w:rPr>
                        <w:rFonts w:asciiTheme="majorHAnsi" w:eastAsiaTheme="majorEastAsia" w:hAnsiTheme="majorHAnsi" w:cstheme="majorBidi"/>
                        <w:caps/>
                        <w:lang w:eastAsia="en-US"/>
                      </w:rPr>
                      <w:t>Pacific Gas and Electric COMPANY</w:t>
                    </w:r>
                  </w:p>
                </w:tc>
              </w:sdtContent>
            </w:sdt>
          </w:tr>
          <w:tr w:rsidR="002D2998" w:rsidRPr="00F3350F" w14:paraId="33BA0486" w14:textId="77777777" w:rsidTr="002D2998">
            <w:trPr>
              <w:trHeight w:val="1625"/>
              <w:jc w:val="center"/>
            </w:trPr>
            <w:tc>
              <w:tcPr>
                <w:tcW w:w="5000" w:type="pct"/>
                <w:tcBorders>
                  <w:bottom w:val="single" w:sz="4" w:space="0" w:color="4F81BD" w:themeColor="accent1"/>
                </w:tcBorders>
                <w:vAlign w:val="center"/>
              </w:tcPr>
              <w:p w14:paraId="33BA0485" w14:textId="05B13691" w:rsidR="00691946" w:rsidRPr="00F3350F" w:rsidRDefault="00177330" w:rsidP="00087E1C">
                <w:pPr>
                  <w:pStyle w:val="NoSpacing"/>
                  <w:jc w:val="center"/>
                  <w:rPr>
                    <w:rFonts w:asciiTheme="majorHAnsi" w:eastAsiaTheme="majorEastAsia" w:hAnsiTheme="majorHAnsi" w:cstheme="majorBidi"/>
                    <w:sz w:val="80"/>
                    <w:szCs w:val="80"/>
                  </w:rPr>
                </w:p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D3781A" w:rsidRPr="00F3350F">
                      <w:rPr>
                        <w:rFonts w:asciiTheme="majorHAnsi" w:eastAsiaTheme="majorEastAsia" w:hAnsiTheme="majorHAnsi" w:cstheme="majorBidi"/>
                        <w:sz w:val="80"/>
                        <w:szCs w:val="80"/>
                      </w:rPr>
                      <w:t>PG&amp;E Meter-Based Savings Platform Rulebook</w:t>
                    </w:r>
                  </w:sdtContent>
                </w:sdt>
              </w:p>
            </w:tc>
          </w:tr>
          <w:tr w:rsidR="002D2998" w:rsidRPr="00F3350F" w14:paraId="33BA0488" w14:textId="77777777" w:rsidTr="002D2998">
            <w:trPr>
              <w:trHeight w:val="812"/>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33BA0487" w14:textId="2B10993B" w:rsidR="00691946" w:rsidRPr="00F3350F" w:rsidRDefault="00BE249C" w:rsidP="00F3350F">
                    <w:pPr>
                      <w:pStyle w:val="NoSpacing"/>
                      <w:jc w:val="center"/>
                      <w:rPr>
                        <w:rFonts w:asciiTheme="majorHAnsi" w:eastAsiaTheme="majorEastAsia" w:hAnsiTheme="majorHAnsi" w:cstheme="majorBidi"/>
                        <w:sz w:val="44"/>
                        <w:szCs w:val="44"/>
                      </w:rPr>
                    </w:pPr>
                    <w:r w:rsidRPr="00F3350F">
                      <w:rPr>
                        <w:rFonts w:asciiTheme="majorHAnsi" w:eastAsiaTheme="majorEastAsia" w:hAnsiTheme="majorHAnsi" w:cstheme="majorBidi"/>
                        <w:sz w:val="44"/>
                        <w:szCs w:val="44"/>
                      </w:rPr>
                      <w:t>Version 0.5</w:t>
                    </w:r>
                  </w:p>
                </w:tc>
              </w:sdtContent>
            </w:sdt>
          </w:tr>
          <w:tr w:rsidR="002D2998" w:rsidRPr="00F3350F" w14:paraId="33BA048A" w14:textId="77777777" w:rsidTr="002D2998">
            <w:trPr>
              <w:trHeight w:val="406"/>
              <w:jc w:val="center"/>
            </w:trPr>
            <w:tc>
              <w:tcPr>
                <w:tcW w:w="5000" w:type="pct"/>
                <w:vAlign w:val="center"/>
              </w:tcPr>
              <w:p w14:paraId="33BA0489" w14:textId="77777777" w:rsidR="00691946" w:rsidRPr="00F3350F" w:rsidRDefault="00691946">
                <w:pPr>
                  <w:pStyle w:val="NoSpacing"/>
                  <w:jc w:val="center"/>
                </w:pPr>
              </w:p>
            </w:tc>
          </w:tr>
          <w:tr w:rsidR="002D2998" w:rsidRPr="00F3350F" w14:paraId="33BA048C" w14:textId="77777777" w:rsidTr="002D2998">
            <w:trPr>
              <w:trHeight w:val="406"/>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33BA048B" w14:textId="66EB30E2" w:rsidR="00691946" w:rsidRPr="00F3350F" w:rsidRDefault="00D3781A" w:rsidP="00087E1C">
                    <w:pPr>
                      <w:pStyle w:val="NoSpacing"/>
                      <w:jc w:val="center"/>
                      <w:rPr>
                        <w:b/>
                        <w:bCs/>
                      </w:rPr>
                    </w:pPr>
                    <w:r w:rsidRPr="00F3350F">
                      <w:rPr>
                        <w:b/>
                        <w:bCs/>
                      </w:rPr>
                      <w:t>This document is maintained by:  MBS Platform Lead</w:t>
                    </w:r>
                  </w:p>
                </w:tc>
              </w:sdtContent>
            </w:sdt>
          </w:tr>
          <w:tr w:rsidR="002D2998" w:rsidRPr="00F3350F" w14:paraId="33BA048E" w14:textId="77777777" w:rsidTr="002D2998">
            <w:trPr>
              <w:trHeight w:val="406"/>
              <w:jc w:val="center"/>
            </w:trPr>
            <w:tc>
              <w:tcPr>
                <w:tcW w:w="5000" w:type="pct"/>
                <w:vAlign w:val="center"/>
              </w:tcPr>
              <w:p w14:paraId="548F07D1" w14:textId="77777777" w:rsidR="00691946" w:rsidRPr="00F3350F" w:rsidRDefault="00691946" w:rsidP="00212733">
                <w:pPr>
                  <w:pStyle w:val="NoSpacing"/>
                  <w:jc w:val="center"/>
                  <w:rPr>
                    <w:b/>
                    <w:bCs/>
                  </w:rPr>
                </w:pPr>
              </w:p>
              <w:p w14:paraId="33BA048D" w14:textId="025A3F53" w:rsidR="00D60CE8" w:rsidRPr="00F3350F" w:rsidRDefault="00D60CE8" w:rsidP="00212733">
                <w:pPr>
                  <w:pStyle w:val="NoSpacing"/>
                  <w:jc w:val="center"/>
                  <w:rPr>
                    <w:b/>
                    <w:bCs/>
                  </w:rPr>
                </w:pPr>
              </w:p>
            </w:tc>
          </w:tr>
        </w:tbl>
        <w:sdt>
          <w:sdtPr>
            <w:alias w:val="Date"/>
            <w:id w:val="2029603584"/>
            <w:dataBinding w:prefixMappings="xmlns:ns0='http://schemas.microsoft.com/office/2006/coverPageProps'" w:xpath="/ns0:CoverPageProperties[1]/ns0:PublishDate[1]" w:storeItemID="{55AF091B-3C7A-41E3-B477-F2FDAA23CFDA}"/>
            <w:date w:fullDate="2017-10-26T00:00:00Z">
              <w:dateFormat w:val="M/d/yyyy"/>
              <w:lid w:val="en-US"/>
              <w:storeMappedDataAs w:val="dateTime"/>
              <w:calendar w:val="gregorian"/>
            </w:date>
          </w:sdtPr>
          <w:sdtContent>
            <w:p w14:paraId="579FB9E2" w14:textId="36D342AD" w:rsidR="00D60CE8" w:rsidRPr="00F3350F" w:rsidRDefault="00BE249C" w:rsidP="00B6697F">
              <w:pPr>
                <w:rPr>
                  <w:color w:val="FF0000"/>
                </w:rPr>
              </w:pPr>
              <w:r w:rsidRPr="00F3350F">
                <w:t>10/26/2017</w:t>
              </w:r>
            </w:p>
          </w:sdtContent>
        </w:sdt>
        <w:p w14:paraId="33BA048F" w14:textId="77777777" w:rsidR="00691946" w:rsidRPr="00F3350F" w:rsidRDefault="00691946" w:rsidP="00B6697F"/>
        <w:p w14:paraId="33BA0490" w14:textId="7EE62402" w:rsidR="00691946" w:rsidRPr="00F3350F" w:rsidRDefault="00691946" w:rsidP="00B6697F"/>
        <w:tbl>
          <w:tblPr>
            <w:tblpPr w:leftFromText="187" w:rightFromText="187" w:horzAnchor="margin" w:tblpXSpec="center" w:tblpYSpec="bottom"/>
            <w:tblW w:w="5000" w:type="pct"/>
            <w:tblLook w:val="04A0" w:firstRow="1" w:lastRow="0" w:firstColumn="1" w:lastColumn="0" w:noHBand="0" w:noVBand="1"/>
          </w:tblPr>
          <w:tblGrid>
            <w:gridCol w:w="9576"/>
          </w:tblGrid>
          <w:tr w:rsidR="00691946" w:rsidRPr="00F3350F" w14:paraId="33BA0492" w14:textId="77777777">
            <w:sdt>
              <w:sdt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14:paraId="33BA0491" w14:textId="7EC0B28E" w:rsidR="00691946" w:rsidRPr="00F3350F" w:rsidRDefault="00580D1C" w:rsidP="00FF76F1">
                    <w:pPr>
                      <w:pStyle w:val="NoSpacing"/>
                    </w:pPr>
                    <w:r w:rsidRPr="00F3350F">
                      <w:t xml:space="preserve">     </w:t>
                    </w:r>
                  </w:p>
                </w:tc>
              </w:sdtContent>
            </w:sdt>
          </w:tr>
        </w:tbl>
        <w:p w14:paraId="287E5B9C" w14:textId="77777777" w:rsidR="00BA5033" w:rsidRPr="00F3350F" w:rsidRDefault="00BA5033" w:rsidP="00B6697F"/>
        <w:p w14:paraId="33BA0494" w14:textId="77777777" w:rsidR="00691946" w:rsidRPr="00F3350F" w:rsidRDefault="00691946" w:rsidP="00B6697F">
          <w:r w:rsidRPr="00F3350F">
            <w:br w:type="page"/>
          </w:r>
        </w:p>
      </w:sdtContent>
    </w:sdt>
    <w:sdt>
      <w:sdtPr>
        <w:rPr>
          <w:rFonts w:eastAsiaTheme="minorHAnsi" w:cstheme="minorBidi"/>
          <w:b/>
          <w:bCs/>
        </w:rPr>
        <w:id w:val="-1048902704"/>
        <w:docPartObj>
          <w:docPartGallery w:val="Table of Contents"/>
          <w:docPartUnique/>
        </w:docPartObj>
      </w:sdtPr>
      <w:sdtEndPr>
        <w:rPr>
          <w:rFonts w:eastAsiaTheme="majorEastAsia" w:cs="Calibri"/>
          <w:b w:val="0"/>
          <w:bCs w:val="0"/>
          <w:noProof/>
        </w:rPr>
      </w:sdtEndPr>
      <w:sdtContent>
        <w:p w14:paraId="33BA0495" w14:textId="77777777" w:rsidR="000278F2" w:rsidRPr="00F3350F" w:rsidRDefault="000278F2" w:rsidP="00B6697F">
          <w:pPr>
            <w:rPr>
              <w:rFonts w:eastAsiaTheme="minorHAnsi" w:cstheme="minorBidi"/>
            </w:rPr>
          </w:pPr>
          <w:r w:rsidRPr="00F3350F">
            <w:t>Contents</w:t>
          </w:r>
        </w:p>
        <w:p w14:paraId="0C49FEC8" w14:textId="77777777" w:rsidR="00BE249C" w:rsidRPr="00F3350F" w:rsidRDefault="000278F2">
          <w:pPr>
            <w:pStyle w:val="TOC1"/>
            <w:rPr>
              <w:rFonts w:asciiTheme="minorHAnsi" w:eastAsiaTheme="minorEastAsia" w:hAnsiTheme="minorHAnsi" w:cstheme="minorBidi"/>
              <w:noProof/>
            </w:rPr>
          </w:pPr>
          <w:r w:rsidRPr="00F3350F">
            <w:fldChar w:fldCharType="begin"/>
          </w:r>
          <w:r w:rsidRPr="00F3350F">
            <w:instrText xml:space="preserve"> TOC \o "1-3" \h \z \u </w:instrText>
          </w:r>
          <w:r w:rsidRPr="00F3350F">
            <w:fldChar w:fldCharType="separate"/>
          </w:r>
          <w:hyperlink w:anchor="_Toc496784439" w:history="1">
            <w:r w:rsidR="00BE249C" w:rsidRPr="00F3350F">
              <w:rPr>
                <w:rStyle w:val="Hyperlink"/>
                <w:noProof/>
              </w:rPr>
              <w:t>1.</w:t>
            </w:r>
            <w:r w:rsidR="00BE249C" w:rsidRPr="00F3350F">
              <w:rPr>
                <w:rFonts w:asciiTheme="minorHAnsi" w:eastAsiaTheme="minorEastAsia" w:hAnsiTheme="minorHAnsi" w:cstheme="minorBidi"/>
                <w:noProof/>
              </w:rPr>
              <w:tab/>
            </w:r>
            <w:r w:rsidR="00BE249C" w:rsidRPr="00F3350F">
              <w:rPr>
                <w:rStyle w:val="Hyperlink"/>
                <w:noProof/>
              </w:rPr>
              <w:t>Introduction</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_Toc496784439 \h </w:instrText>
            </w:r>
            <w:r w:rsidR="00BE249C" w:rsidRPr="00F3350F">
              <w:rPr>
                <w:noProof/>
                <w:webHidden/>
              </w:rPr>
            </w:r>
            <w:r w:rsidR="00BE249C" w:rsidRPr="00F3350F">
              <w:rPr>
                <w:noProof/>
                <w:webHidden/>
              </w:rPr>
              <w:fldChar w:fldCharType="separate"/>
            </w:r>
            <w:r w:rsidR="00177330">
              <w:rPr>
                <w:noProof/>
                <w:webHidden/>
              </w:rPr>
              <w:t>4</w:t>
            </w:r>
            <w:r w:rsidR="00BE249C" w:rsidRPr="00F3350F">
              <w:rPr>
                <w:noProof/>
                <w:webHidden/>
              </w:rPr>
              <w:fldChar w:fldCharType="end"/>
            </w:r>
          </w:hyperlink>
        </w:p>
        <w:p w14:paraId="0DBFF462" w14:textId="77777777" w:rsidR="00BE249C" w:rsidRPr="00F3350F" w:rsidRDefault="00177330">
          <w:pPr>
            <w:pStyle w:val="TOC1"/>
            <w:rPr>
              <w:rFonts w:asciiTheme="minorHAnsi" w:eastAsiaTheme="minorEastAsia" w:hAnsiTheme="minorHAnsi" w:cstheme="minorBidi"/>
              <w:noProof/>
            </w:rPr>
          </w:pPr>
          <w:hyperlink w:anchor="_Toc496784440" w:history="1">
            <w:r w:rsidR="00BE249C" w:rsidRPr="00F3350F">
              <w:rPr>
                <w:rStyle w:val="Hyperlink"/>
                <w:noProof/>
              </w:rPr>
              <w:t>2.</w:t>
            </w:r>
            <w:r w:rsidR="00BE249C" w:rsidRPr="00F3350F">
              <w:rPr>
                <w:rFonts w:asciiTheme="minorHAnsi" w:eastAsiaTheme="minorEastAsia" w:hAnsiTheme="minorHAnsi" w:cstheme="minorBidi"/>
                <w:noProof/>
              </w:rPr>
              <w:tab/>
            </w:r>
            <w:r w:rsidR="00BE249C" w:rsidRPr="00F3350F">
              <w:rPr>
                <w:rStyle w:val="Hyperlink"/>
                <w:noProof/>
              </w:rPr>
              <w:t>Eligibility</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_Toc496784440 \h </w:instrText>
            </w:r>
            <w:r w:rsidR="00BE249C" w:rsidRPr="00F3350F">
              <w:rPr>
                <w:noProof/>
                <w:webHidden/>
              </w:rPr>
            </w:r>
            <w:r w:rsidR="00BE249C" w:rsidRPr="00F3350F">
              <w:rPr>
                <w:noProof/>
                <w:webHidden/>
              </w:rPr>
              <w:fldChar w:fldCharType="separate"/>
            </w:r>
            <w:r>
              <w:rPr>
                <w:noProof/>
                <w:webHidden/>
              </w:rPr>
              <w:t>4</w:t>
            </w:r>
            <w:r w:rsidR="00BE249C" w:rsidRPr="00F3350F">
              <w:rPr>
                <w:noProof/>
                <w:webHidden/>
              </w:rPr>
              <w:fldChar w:fldCharType="end"/>
            </w:r>
          </w:hyperlink>
        </w:p>
        <w:p w14:paraId="180F1025" w14:textId="77777777" w:rsidR="00BE249C" w:rsidRPr="00F3350F" w:rsidRDefault="00177330">
          <w:pPr>
            <w:pStyle w:val="TOC3"/>
            <w:rPr>
              <w:rFonts w:asciiTheme="minorHAnsi" w:eastAsiaTheme="minorEastAsia" w:hAnsiTheme="minorHAnsi" w:cstheme="minorBidi"/>
              <w:noProof/>
            </w:rPr>
          </w:pPr>
          <w:hyperlink w:anchor="_Toc496784441" w:history="1">
            <w:r w:rsidR="00BE249C" w:rsidRPr="00F3350F">
              <w:rPr>
                <w:rStyle w:val="Hyperlink"/>
                <w:noProof/>
              </w:rPr>
              <w:t>2.1.</w:t>
            </w:r>
            <w:r w:rsidR="00BE249C" w:rsidRPr="00F3350F">
              <w:rPr>
                <w:rFonts w:asciiTheme="minorHAnsi" w:eastAsiaTheme="minorEastAsia" w:hAnsiTheme="minorHAnsi" w:cstheme="minorBidi"/>
                <w:noProof/>
              </w:rPr>
              <w:tab/>
            </w:r>
            <w:r w:rsidR="00BE249C" w:rsidRPr="00F3350F">
              <w:rPr>
                <w:rStyle w:val="Hyperlink"/>
                <w:noProof/>
              </w:rPr>
              <w:t>Measure Eligibility</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_Toc496784441 \h </w:instrText>
            </w:r>
            <w:r w:rsidR="00BE249C" w:rsidRPr="00F3350F">
              <w:rPr>
                <w:noProof/>
                <w:webHidden/>
              </w:rPr>
            </w:r>
            <w:r w:rsidR="00BE249C" w:rsidRPr="00F3350F">
              <w:rPr>
                <w:noProof/>
                <w:webHidden/>
              </w:rPr>
              <w:fldChar w:fldCharType="separate"/>
            </w:r>
            <w:r>
              <w:rPr>
                <w:noProof/>
                <w:webHidden/>
              </w:rPr>
              <w:t>5</w:t>
            </w:r>
            <w:r w:rsidR="00BE249C" w:rsidRPr="00F3350F">
              <w:rPr>
                <w:noProof/>
                <w:webHidden/>
              </w:rPr>
              <w:fldChar w:fldCharType="end"/>
            </w:r>
          </w:hyperlink>
        </w:p>
        <w:p w14:paraId="14EB2C4B" w14:textId="77777777" w:rsidR="00BE249C" w:rsidRPr="00F3350F" w:rsidRDefault="00177330">
          <w:pPr>
            <w:pStyle w:val="TOC3"/>
            <w:rPr>
              <w:rFonts w:asciiTheme="minorHAnsi" w:eastAsiaTheme="minorEastAsia" w:hAnsiTheme="minorHAnsi" w:cstheme="minorBidi"/>
              <w:noProof/>
            </w:rPr>
          </w:pPr>
          <w:hyperlink w:anchor="_Toc496784442" w:history="1">
            <w:r w:rsidR="00BE249C" w:rsidRPr="00F3350F">
              <w:rPr>
                <w:rStyle w:val="Hyperlink"/>
                <w:noProof/>
              </w:rPr>
              <w:t>2.1.1.</w:t>
            </w:r>
            <w:r w:rsidR="00BE249C" w:rsidRPr="00F3350F">
              <w:rPr>
                <w:rFonts w:asciiTheme="minorHAnsi" w:eastAsiaTheme="minorEastAsia" w:hAnsiTheme="minorHAnsi" w:cstheme="minorBidi"/>
                <w:noProof/>
              </w:rPr>
              <w:tab/>
            </w:r>
            <w:r w:rsidR="00BE249C" w:rsidRPr="00F3350F">
              <w:rPr>
                <w:rStyle w:val="Hyperlink"/>
                <w:noProof/>
              </w:rPr>
              <w:t>Public Purpose Programs Surcharge and Coincident Savings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_Toc496784442 \h </w:instrText>
            </w:r>
            <w:r w:rsidR="00BE249C" w:rsidRPr="00F3350F">
              <w:rPr>
                <w:noProof/>
                <w:webHidden/>
              </w:rPr>
            </w:r>
            <w:r w:rsidR="00BE249C" w:rsidRPr="00F3350F">
              <w:rPr>
                <w:noProof/>
                <w:webHidden/>
              </w:rPr>
              <w:fldChar w:fldCharType="separate"/>
            </w:r>
            <w:r>
              <w:rPr>
                <w:noProof/>
                <w:webHidden/>
              </w:rPr>
              <w:t>5</w:t>
            </w:r>
            <w:r w:rsidR="00BE249C" w:rsidRPr="00F3350F">
              <w:rPr>
                <w:noProof/>
                <w:webHidden/>
              </w:rPr>
              <w:fldChar w:fldCharType="end"/>
            </w:r>
          </w:hyperlink>
        </w:p>
        <w:p w14:paraId="1D0EEC5A" w14:textId="77777777" w:rsidR="00BE249C" w:rsidRPr="00F3350F" w:rsidRDefault="00177330">
          <w:pPr>
            <w:pStyle w:val="TOC3"/>
            <w:rPr>
              <w:rFonts w:asciiTheme="minorHAnsi" w:eastAsiaTheme="minorEastAsia" w:hAnsiTheme="minorHAnsi" w:cstheme="minorBidi"/>
              <w:noProof/>
            </w:rPr>
          </w:pPr>
          <w:hyperlink w:anchor="_Toc496784443" w:history="1">
            <w:r w:rsidR="00BE249C" w:rsidRPr="00F3350F">
              <w:rPr>
                <w:rStyle w:val="Hyperlink"/>
                <w:noProof/>
              </w:rPr>
              <w:t>2.1.2.</w:t>
            </w:r>
            <w:r w:rsidR="00BE249C" w:rsidRPr="00F3350F">
              <w:rPr>
                <w:rFonts w:asciiTheme="minorHAnsi" w:eastAsiaTheme="minorEastAsia" w:hAnsiTheme="minorHAnsi" w:cstheme="minorBidi"/>
                <w:noProof/>
              </w:rPr>
              <w:tab/>
            </w:r>
            <w:r w:rsidR="00BE249C" w:rsidRPr="00F3350F">
              <w:rPr>
                <w:rStyle w:val="Hyperlink"/>
                <w:noProof/>
              </w:rPr>
              <w:t>Fuel Substitution</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_Toc496784443 \h </w:instrText>
            </w:r>
            <w:r w:rsidR="00BE249C" w:rsidRPr="00F3350F">
              <w:rPr>
                <w:noProof/>
                <w:webHidden/>
              </w:rPr>
            </w:r>
            <w:r w:rsidR="00BE249C" w:rsidRPr="00F3350F">
              <w:rPr>
                <w:noProof/>
                <w:webHidden/>
              </w:rPr>
              <w:fldChar w:fldCharType="separate"/>
            </w:r>
            <w:r>
              <w:rPr>
                <w:noProof/>
                <w:webHidden/>
              </w:rPr>
              <w:t>5</w:t>
            </w:r>
            <w:r w:rsidR="00BE249C" w:rsidRPr="00F3350F">
              <w:rPr>
                <w:noProof/>
                <w:webHidden/>
              </w:rPr>
              <w:fldChar w:fldCharType="end"/>
            </w:r>
          </w:hyperlink>
        </w:p>
        <w:p w14:paraId="608DE786" w14:textId="77777777" w:rsidR="00BE249C" w:rsidRPr="00F3350F" w:rsidRDefault="00177330">
          <w:pPr>
            <w:pStyle w:val="TOC3"/>
            <w:rPr>
              <w:rFonts w:asciiTheme="minorHAnsi" w:eastAsiaTheme="minorEastAsia" w:hAnsiTheme="minorHAnsi" w:cstheme="minorBidi"/>
              <w:noProof/>
            </w:rPr>
          </w:pPr>
          <w:hyperlink w:anchor="_Toc496784444" w:history="1">
            <w:r w:rsidR="00BE249C" w:rsidRPr="00F3350F">
              <w:rPr>
                <w:rStyle w:val="Hyperlink"/>
                <w:noProof/>
              </w:rPr>
              <w:t>2.2.</w:t>
            </w:r>
            <w:r w:rsidR="00BE249C" w:rsidRPr="00F3350F">
              <w:rPr>
                <w:rFonts w:asciiTheme="minorHAnsi" w:eastAsiaTheme="minorEastAsia" w:hAnsiTheme="minorHAnsi" w:cstheme="minorBidi"/>
                <w:noProof/>
              </w:rPr>
              <w:tab/>
            </w:r>
            <w:r w:rsidR="00BE249C" w:rsidRPr="00F3350F">
              <w:rPr>
                <w:rStyle w:val="Hyperlink"/>
                <w:noProof/>
              </w:rPr>
              <w:t>Customer Eligibility</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_Toc496784444 \h </w:instrText>
            </w:r>
            <w:r w:rsidR="00BE249C" w:rsidRPr="00F3350F">
              <w:rPr>
                <w:noProof/>
                <w:webHidden/>
              </w:rPr>
            </w:r>
            <w:r w:rsidR="00BE249C" w:rsidRPr="00F3350F">
              <w:rPr>
                <w:noProof/>
                <w:webHidden/>
              </w:rPr>
              <w:fldChar w:fldCharType="separate"/>
            </w:r>
            <w:r>
              <w:rPr>
                <w:noProof/>
                <w:webHidden/>
              </w:rPr>
              <w:t>5</w:t>
            </w:r>
            <w:r w:rsidR="00BE249C" w:rsidRPr="00F3350F">
              <w:rPr>
                <w:noProof/>
                <w:webHidden/>
              </w:rPr>
              <w:fldChar w:fldCharType="end"/>
            </w:r>
          </w:hyperlink>
        </w:p>
        <w:p w14:paraId="3EF7EDAD" w14:textId="77777777" w:rsidR="00BE249C" w:rsidRPr="00F3350F" w:rsidRDefault="00177330">
          <w:pPr>
            <w:pStyle w:val="TOC3"/>
            <w:rPr>
              <w:rFonts w:asciiTheme="minorHAnsi" w:eastAsiaTheme="minorEastAsia" w:hAnsiTheme="minorHAnsi" w:cstheme="minorBidi"/>
              <w:noProof/>
            </w:rPr>
          </w:pPr>
          <w:hyperlink w:anchor="_Toc496784445" w:history="1">
            <w:r w:rsidR="00BE249C" w:rsidRPr="00F3350F">
              <w:rPr>
                <w:rStyle w:val="Hyperlink"/>
                <w:noProof/>
              </w:rPr>
              <w:t>2.2.1.</w:t>
            </w:r>
            <w:r w:rsidR="00BE249C" w:rsidRPr="00F3350F">
              <w:rPr>
                <w:rFonts w:asciiTheme="minorHAnsi" w:eastAsiaTheme="minorEastAsia" w:hAnsiTheme="minorHAnsi" w:cstheme="minorBidi"/>
                <w:noProof/>
              </w:rPr>
              <w:tab/>
            </w:r>
            <w:r w:rsidR="00BE249C" w:rsidRPr="00F3350F">
              <w:rPr>
                <w:rStyle w:val="Hyperlink"/>
                <w:noProof/>
              </w:rPr>
              <w:t>Double Dipping and Double Counting</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_Toc496784445 \h </w:instrText>
            </w:r>
            <w:r w:rsidR="00BE249C" w:rsidRPr="00F3350F">
              <w:rPr>
                <w:noProof/>
                <w:webHidden/>
              </w:rPr>
            </w:r>
            <w:r w:rsidR="00BE249C" w:rsidRPr="00F3350F">
              <w:rPr>
                <w:noProof/>
                <w:webHidden/>
              </w:rPr>
              <w:fldChar w:fldCharType="separate"/>
            </w:r>
            <w:r>
              <w:rPr>
                <w:noProof/>
                <w:webHidden/>
              </w:rPr>
              <w:t>5</w:t>
            </w:r>
            <w:r w:rsidR="00BE249C" w:rsidRPr="00F3350F">
              <w:rPr>
                <w:noProof/>
                <w:webHidden/>
              </w:rPr>
              <w:fldChar w:fldCharType="end"/>
            </w:r>
          </w:hyperlink>
        </w:p>
        <w:p w14:paraId="4865D233" w14:textId="77777777" w:rsidR="00BE249C" w:rsidRPr="00F3350F" w:rsidRDefault="00177330">
          <w:pPr>
            <w:pStyle w:val="TOC3"/>
            <w:rPr>
              <w:rFonts w:asciiTheme="minorHAnsi" w:eastAsiaTheme="minorEastAsia" w:hAnsiTheme="minorHAnsi" w:cstheme="minorBidi"/>
              <w:noProof/>
            </w:rPr>
          </w:pPr>
          <w:hyperlink w:anchor="_Toc496784446" w:history="1">
            <w:r w:rsidR="00BE249C" w:rsidRPr="00F3350F">
              <w:rPr>
                <w:rStyle w:val="Hyperlink"/>
                <w:noProof/>
              </w:rPr>
              <w:t>2.2.2.</w:t>
            </w:r>
            <w:r w:rsidR="00BE249C" w:rsidRPr="00F3350F">
              <w:rPr>
                <w:rFonts w:asciiTheme="minorHAnsi" w:eastAsiaTheme="minorEastAsia" w:hAnsiTheme="minorHAnsi" w:cstheme="minorBidi"/>
                <w:noProof/>
              </w:rPr>
              <w:tab/>
            </w:r>
            <w:r w:rsidR="00BE249C" w:rsidRPr="00F3350F">
              <w:rPr>
                <w:rStyle w:val="Hyperlink"/>
                <w:noProof/>
              </w:rPr>
              <w:t>Energy Model Fitness Thresholds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_Toc496784446 \h </w:instrText>
            </w:r>
            <w:r w:rsidR="00BE249C" w:rsidRPr="00F3350F">
              <w:rPr>
                <w:noProof/>
                <w:webHidden/>
              </w:rPr>
            </w:r>
            <w:r w:rsidR="00BE249C" w:rsidRPr="00F3350F">
              <w:rPr>
                <w:noProof/>
                <w:webHidden/>
              </w:rPr>
              <w:fldChar w:fldCharType="separate"/>
            </w:r>
            <w:r>
              <w:rPr>
                <w:noProof/>
                <w:webHidden/>
              </w:rPr>
              <w:t>6</w:t>
            </w:r>
            <w:r w:rsidR="00BE249C" w:rsidRPr="00F3350F">
              <w:rPr>
                <w:noProof/>
                <w:webHidden/>
              </w:rPr>
              <w:fldChar w:fldCharType="end"/>
            </w:r>
          </w:hyperlink>
        </w:p>
        <w:p w14:paraId="053DCBE4" w14:textId="77777777" w:rsidR="00BE249C" w:rsidRPr="00F3350F" w:rsidRDefault="00177330">
          <w:pPr>
            <w:pStyle w:val="TOC3"/>
            <w:rPr>
              <w:rFonts w:asciiTheme="minorHAnsi" w:eastAsiaTheme="minorEastAsia" w:hAnsiTheme="minorHAnsi" w:cstheme="minorBidi"/>
              <w:noProof/>
            </w:rPr>
          </w:pPr>
          <w:hyperlink w:anchor="_Toc496784447" w:history="1">
            <w:r w:rsidR="00BE249C" w:rsidRPr="00F3350F">
              <w:rPr>
                <w:rStyle w:val="Hyperlink"/>
                <w:noProof/>
              </w:rPr>
              <w:t>2.2.3.</w:t>
            </w:r>
            <w:r w:rsidR="00BE249C" w:rsidRPr="00F3350F">
              <w:rPr>
                <w:rFonts w:asciiTheme="minorHAnsi" w:eastAsiaTheme="minorEastAsia" w:hAnsiTheme="minorHAnsi" w:cstheme="minorBidi"/>
                <w:noProof/>
              </w:rPr>
              <w:tab/>
            </w:r>
            <w:r w:rsidR="00BE249C" w:rsidRPr="00F3350F">
              <w:rPr>
                <w:rStyle w:val="Hyperlink"/>
                <w:noProof/>
              </w:rPr>
              <w:t>Non-Utility Meters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_Toc496784447 \h </w:instrText>
            </w:r>
            <w:r w:rsidR="00BE249C" w:rsidRPr="00F3350F">
              <w:rPr>
                <w:noProof/>
                <w:webHidden/>
              </w:rPr>
            </w:r>
            <w:r w:rsidR="00BE249C" w:rsidRPr="00F3350F">
              <w:rPr>
                <w:noProof/>
                <w:webHidden/>
              </w:rPr>
              <w:fldChar w:fldCharType="separate"/>
            </w:r>
            <w:r>
              <w:rPr>
                <w:noProof/>
                <w:webHidden/>
              </w:rPr>
              <w:t>6</w:t>
            </w:r>
            <w:r w:rsidR="00BE249C" w:rsidRPr="00F3350F">
              <w:rPr>
                <w:noProof/>
                <w:webHidden/>
              </w:rPr>
              <w:fldChar w:fldCharType="end"/>
            </w:r>
          </w:hyperlink>
        </w:p>
        <w:p w14:paraId="2EC3A9BE" w14:textId="77777777" w:rsidR="00BE249C" w:rsidRPr="00F3350F" w:rsidRDefault="00177330">
          <w:pPr>
            <w:pStyle w:val="TOC3"/>
            <w:rPr>
              <w:rFonts w:asciiTheme="minorHAnsi" w:eastAsiaTheme="minorEastAsia" w:hAnsiTheme="minorHAnsi" w:cstheme="minorBidi"/>
              <w:noProof/>
            </w:rPr>
          </w:pPr>
          <w:hyperlink w:anchor="_Toc496784448" w:history="1">
            <w:r w:rsidR="00BE249C" w:rsidRPr="00F3350F">
              <w:rPr>
                <w:rStyle w:val="Hyperlink"/>
                <w:noProof/>
              </w:rPr>
              <w:t>2.2.4.</w:t>
            </w:r>
            <w:r w:rsidR="00BE249C" w:rsidRPr="00F3350F">
              <w:rPr>
                <w:rFonts w:asciiTheme="minorHAnsi" w:eastAsiaTheme="minorEastAsia" w:hAnsiTheme="minorHAnsi" w:cstheme="minorBidi"/>
                <w:noProof/>
              </w:rPr>
              <w:tab/>
            </w:r>
            <w:r w:rsidR="00BE249C" w:rsidRPr="00F3350F">
              <w:rPr>
                <w:rStyle w:val="Hyperlink"/>
                <w:noProof/>
              </w:rPr>
              <w:t>Baseline Period Requirements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_Toc496784448 \h </w:instrText>
            </w:r>
            <w:r w:rsidR="00BE249C" w:rsidRPr="00F3350F">
              <w:rPr>
                <w:noProof/>
                <w:webHidden/>
              </w:rPr>
            </w:r>
            <w:r w:rsidR="00BE249C" w:rsidRPr="00F3350F">
              <w:rPr>
                <w:noProof/>
                <w:webHidden/>
              </w:rPr>
              <w:fldChar w:fldCharType="separate"/>
            </w:r>
            <w:r>
              <w:rPr>
                <w:noProof/>
                <w:webHidden/>
              </w:rPr>
              <w:t>6</w:t>
            </w:r>
            <w:r w:rsidR="00BE249C" w:rsidRPr="00F3350F">
              <w:rPr>
                <w:noProof/>
                <w:webHidden/>
              </w:rPr>
              <w:fldChar w:fldCharType="end"/>
            </w:r>
          </w:hyperlink>
        </w:p>
        <w:p w14:paraId="2353B58B" w14:textId="77777777" w:rsidR="00BE249C" w:rsidRPr="00F3350F" w:rsidRDefault="00177330">
          <w:pPr>
            <w:pStyle w:val="TOC1"/>
            <w:rPr>
              <w:rFonts w:asciiTheme="minorHAnsi" w:eastAsiaTheme="minorEastAsia" w:hAnsiTheme="minorHAnsi" w:cstheme="minorBidi"/>
              <w:noProof/>
            </w:rPr>
          </w:pPr>
          <w:hyperlink w:anchor="_Toc496784449" w:history="1">
            <w:r w:rsidR="00BE249C" w:rsidRPr="00F3350F">
              <w:rPr>
                <w:rStyle w:val="Hyperlink"/>
                <w:noProof/>
              </w:rPr>
              <w:t>3.</w:t>
            </w:r>
            <w:r w:rsidR="00BE249C" w:rsidRPr="00F3350F">
              <w:rPr>
                <w:rFonts w:asciiTheme="minorHAnsi" w:eastAsiaTheme="minorEastAsia" w:hAnsiTheme="minorHAnsi" w:cstheme="minorBidi"/>
                <w:noProof/>
              </w:rPr>
              <w:tab/>
            </w:r>
            <w:r w:rsidR="00BE249C" w:rsidRPr="00F3350F">
              <w:rPr>
                <w:rStyle w:val="Hyperlink"/>
                <w:noProof/>
              </w:rPr>
              <w:t>Influence</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_Toc496784449 \h </w:instrText>
            </w:r>
            <w:r w:rsidR="00BE249C" w:rsidRPr="00F3350F">
              <w:rPr>
                <w:noProof/>
                <w:webHidden/>
              </w:rPr>
            </w:r>
            <w:r w:rsidR="00BE249C" w:rsidRPr="00F3350F">
              <w:rPr>
                <w:noProof/>
                <w:webHidden/>
              </w:rPr>
              <w:fldChar w:fldCharType="separate"/>
            </w:r>
            <w:r>
              <w:rPr>
                <w:noProof/>
                <w:webHidden/>
              </w:rPr>
              <w:t>7</w:t>
            </w:r>
            <w:r w:rsidR="00BE249C" w:rsidRPr="00F3350F">
              <w:rPr>
                <w:noProof/>
                <w:webHidden/>
              </w:rPr>
              <w:fldChar w:fldCharType="end"/>
            </w:r>
          </w:hyperlink>
        </w:p>
        <w:p w14:paraId="5D684EF7" w14:textId="77777777" w:rsidR="00BE249C" w:rsidRPr="00F3350F" w:rsidRDefault="00177330">
          <w:pPr>
            <w:pStyle w:val="TOC3"/>
            <w:rPr>
              <w:rFonts w:asciiTheme="minorHAnsi" w:eastAsiaTheme="minorEastAsia" w:hAnsiTheme="minorHAnsi" w:cstheme="minorBidi"/>
              <w:noProof/>
            </w:rPr>
          </w:pPr>
          <w:hyperlink w:anchor="_Toc496784450" w:history="1">
            <w:r w:rsidR="00BE249C" w:rsidRPr="00F3350F">
              <w:rPr>
                <w:rStyle w:val="Hyperlink"/>
                <w:noProof/>
              </w:rPr>
              <w:t>3.1.</w:t>
            </w:r>
            <w:r w:rsidR="00BE249C" w:rsidRPr="00F3350F">
              <w:rPr>
                <w:rFonts w:asciiTheme="minorHAnsi" w:eastAsiaTheme="minorEastAsia" w:hAnsiTheme="minorHAnsi" w:cstheme="minorBidi"/>
                <w:noProof/>
              </w:rPr>
              <w:tab/>
            </w:r>
            <w:r w:rsidR="00BE249C" w:rsidRPr="00F3350F">
              <w:rPr>
                <w:rStyle w:val="Hyperlink"/>
                <w:noProof/>
              </w:rPr>
              <w:t>Demonstration of Program Influence</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_Toc496784450 \h </w:instrText>
            </w:r>
            <w:r w:rsidR="00BE249C" w:rsidRPr="00F3350F">
              <w:rPr>
                <w:noProof/>
                <w:webHidden/>
              </w:rPr>
            </w:r>
            <w:r w:rsidR="00BE249C" w:rsidRPr="00F3350F">
              <w:rPr>
                <w:noProof/>
                <w:webHidden/>
              </w:rPr>
              <w:fldChar w:fldCharType="separate"/>
            </w:r>
            <w:r>
              <w:rPr>
                <w:noProof/>
                <w:webHidden/>
              </w:rPr>
              <w:t>7</w:t>
            </w:r>
            <w:r w:rsidR="00BE249C" w:rsidRPr="00F3350F">
              <w:rPr>
                <w:noProof/>
                <w:webHidden/>
              </w:rPr>
              <w:fldChar w:fldCharType="end"/>
            </w:r>
          </w:hyperlink>
        </w:p>
        <w:p w14:paraId="05AA3FC9" w14:textId="77777777" w:rsidR="00BE249C" w:rsidRPr="00F3350F" w:rsidRDefault="00177330">
          <w:pPr>
            <w:pStyle w:val="TOC1"/>
            <w:rPr>
              <w:rFonts w:asciiTheme="minorHAnsi" w:eastAsiaTheme="minorEastAsia" w:hAnsiTheme="minorHAnsi" w:cstheme="minorBidi"/>
              <w:noProof/>
            </w:rPr>
          </w:pPr>
          <w:hyperlink w:anchor="_Toc496784451" w:history="1">
            <w:r w:rsidR="00BE249C" w:rsidRPr="00F3350F">
              <w:rPr>
                <w:rStyle w:val="Hyperlink"/>
                <w:noProof/>
              </w:rPr>
              <w:t>4.</w:t>
            </w:r>
            <w:r w:rsidR="00BE249C" w:rsidRPr="00F3350F">
              <w:rPr>
                <w:rFonts w:asciiTheme="minorHAnsi" w:eastAsiaTheme="minorEastAsia" w:hAnsiTheme="minorHAnsi" w:cstheme="minorBidi"/>
                <w:noProof/>
              </w:rPr>
              <w:tab/>
            </w:r>
            <w:r w:rsidR="00BE249C" w:rsidRPr="00F3350F">
              <w:rPr>
                <w:rStyle w:val="Hyperlink"/>
                <w:noProof/>
              </w:rPr>
              <w:t>Measure Types and Baselines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_Toc496784451 \h </w:instrText>
            </w:r>
            <w:r w:rsidR="00BE249C" w:rsidRPr="00F3350F">
              <w:rPr>
                <w:noProof/>
                <w:webHidden/>
              </w:rPr>
            </w:r>
            <w:r w:rsidR="00BE249C" w:rsidRPr="00F3350F">
              <w:rPr>
                <w:noProof/>
                <w:webHidden/>
              </w:rPr>
              <w:fldChar w:fldCharType="separate"/>
            </w:r>
            <w:r>
              <w:rPr>
                <w:noProof/>
                <w:webHidden/>
              </w:rPr>
              <w:t>7</w:t>
            </w:r>
            <w:r w:rsidR="00BE249C" w:rsidRPr="00F3350F">
              <w:rPr>
                <w:noProof/>
                <w:webHidden/>
              </w:rPr>
              <w:fldChar w:fldCharType="end"/>
            </w:r>
          </w:hyperlink>
        </w:p>
        <w:p w14:paraId="6F5DC4A1" w14:textId="77777777" w:rsidR="00BE249C" w:rsidRPr="00F3350F" w:rsidRDefault="00177330">
          <w:pPr>
            <w:pStyle w:val="TOC3"/>
            <w:rPr>
              <w:rFonts w:asciiTheme="minorHAnsi" w:eastAsiaTheme="minorEastAsia" w:hAnsiTheme="minorHAnsi" w:cstheme="minorBidi"/>
              <w:noProof/>
            </w:rPr>
          </w:pPr>
          <w:hyperlink w:anchor="_Toc496784452" w:history="1">
            <w:r w:rsidR="00BE249C" w:rsidRPr="00F3350F">
              <w:rPr>
                <w:rStyle w:val="Hyperlink"/>
                <w:noProof/>
              </w:rPr>
              <w:t>4.1.</w:t>
            </w:r>
            <w:r w:rsidR="00BE249C" w:rsidRPr="00F3350F">
              <w:rPr>
                <w:rFonts w:asciiTheme="minorHAnsi" w:eastAsiaTheme="minorEastAsia" w:hAnsiTheme="minorHAnsi" w:cstheme="minorBidi"/>
                <w:noProof/>
              </w:rPr>
              <w:tab/>
            </w:r>
            <w:r w:rsidR="00BE249C" w:rsidRPr="00F3350F">
              <w:rPr>
                <w:rStyle w:val="Hyperlink"/>
                <w:noProof/>
              </w:rPr>
              <w:t>Measure Types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_Toc496784452 \h </w:instrText>
            </w:r>
            <w:r w:rsidR="00BE249C" w:rsidRPr="00F3350F">
              <w:rPr>
                <w:noProof/>
                <w:webHidden/>
              </w:rPr>
            </w:r>
            <w:r w:rsidR="00BE249C" w:rsidRPr="00F3350F">
              <w:rPr>
                <w:noProof/>
                <w:webHidden/>
              </w:rPr>
              <w:fldChar w:fldCharType="separate"/>
            </w:r>
            <w:r>
              <w:rPr>
                <w:noProof/>
                <w:webHidden/>
              </w:rPr>
              <w:t>7</w:t>
            </w:r>
            <w:r w:rsidR="00BE249C" w:rsidRPr="00F3350F">
              <w:rPr>
                <w:noProof/>
                <w:webHidden/>
              </w:rPr>
              <w:fldChar w:fldCharType="end"/>
            </w:r>
          </w:hyperlink>
        </w:p>
        <w:p w14:paraId="7B4D40AE" w14:textId="77777777" w:rsidR="00BE249C" w:rsidRPr="00F3350F" w:rsidRDefault="00177330">
          <w:pPr>
            <w:pStyle w:val="TOC3"/>
            <w:rPr>
              <w:rFonts w:asciiTheme="minorHAnsi" w:eastAsiaTheme="minorEastAsia" w:hAnsiTheme="minorHAnsi" w:cstheme="minorBidi"/>
              <w:noProof/>
            </w:rPr>
          </w:pPr>
          <w:hyperlink w:anchor="_Toc496784453" w:history="1">
            <w:r w:rsidR="00BE249C" w:rsidRPr="00F3350F">
              <w:rPr>
                <w:rStyle w:val="Hyperlink"/>
                <w:noProof/>
              </w:rPr>
              <w:t>4.1.1.</w:t>
            </w:r>
            <w:r w:rsidR="00BE249C" w:rsidRPr="00F3350F">
              <w:rPr>
                <w:rFonts w:asciiTheme="minorHAnsi" w:eastAsiaTheme="minorEastAsia" w:hAnsiTheme="minorHAnsi" w:cstheme="minorBidi"/>
                <w:noProof/>
              </w:rPr>
              <w:tab/>
            </w:r>
            <w:r w:rsidR="00BE249C" w:rsidRPr="00F3350F">
              <w:rPr>
                <w:rStyle w:val="Hyperlink"/>
                <w:noProof/>
              </w:rPr>
              <w:t>Allowable Measure Types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_Toc496784453 \h </w:instrText>
            </w:r>
            <w:r w:rsidR="00BE249C" w:rsidRPr="00F3350F">
              <w:rPr>
                <w:noProof/>
                <w:webHidden/>
              </w:rPr>
            </w:r>
            <w:r w:rsidR="00BE249C" w:rsidRPr="00F3350F">
              <w:rPr>
                <w:noProof/>
                <w:webHidden/>
              </w:rPr>
              <w:fldChar w:fldCharType="separate"/>
            </w:r>
            <w:r>
              <w:rPr>
                <w:noProof/>
                <w:webHidden/>
              </w:rPr>
              <w:t>7</w:t>
            </w:r>
            <w:r w:rsidR="00BE249C" w:rsidRPr="00F3350F">
              <w:rPr>
                <w:noProof/>
                <w:webHidden/>
              </w:rPr>
              <w:fldChar w:fldCharType="end"/>
            </w:r>
          </w:hyperlink>
        </w:p>
        <w:p w14:paraId="5DB75E80" w14:textId="77777777" w:rsidR="00BE249C" w:rsidRPr="00F3350F" w:rsidRDefault="00177330">
          <w:pPr>
            <w:pStyle w:val="TOC3"/>
            <w:rPr>
              <w:rFonts w:asciiTheme="minorHAnsi" w:eastAsiaTheme="minorEastAsia" w:hAnsiTheme="minorHAnsi" w:cstheme="minorBidi"/>
              <w:noProof/>
            </w:rPr>
          </w:pPr>
          <w:hyperlink w:anchor="_Toc496784454" w:history="1">
            <w:r w:rsidR="00BE249C" w:rsidRPr="00F3350F">
              <w:rPr>
                <w:rStyle w:val="Hyperlink"/>
                <w:noProof/>
              </w:rPr>
              <w:t>4.2.</w:t>
            </w:r>
            <w:r w:rsidR="00BE249C" w:rsidRPr="00F3350F">
              <w:rPr>
                <w:rFonts w:asciiTheme="minorHAnsi" w:eastAsiaTheme="minorEastAsia" w:hAnsiTheme="minorHAnsi" w:cstheme="minorBidi"/>
                <w:noProof/>
              </w:rPr>
              <w:tab/>
            </w:r>
            <w:r w:rsidR="00BE249C" w:rsidRPr="00F3350F">
              <w:rPr>
                <w:rStyle w:val="Hyperlink"/>
                <w:noProof/>
              </w:rPr>
              <w:t>Regressive Baselines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_Toc496784454 \h </w:instrText>
            </w:r>
            <w:r w:rsidR="00BE249C" w:rsidRPr="00F3350F">
              <w:rPr>
                <w:noProof/>
                <w:webHidden/>
              </w:rPr>
            </w:r>
            <w:r w:rsidR="00BE249C" w:rsidRPr="00F3350F">
              <w:rPr>
                <w:noProof/>
                <w:webHidden/>
              </w:rPr>
              <w:fldChar w:fldCharType="separate"/>
            </w:r>
            <w:r>
              <w:rPr>
                <w:noProof/>
                <w:webHidden/>
              </w:rPr>
              <w:t>8</w:t>
            </w:r>
            <w:r w:rsidR="00BE249C" w:rsidRPr="00F3350F">
              <w:rPr>
                <w:noProof/>
                <w:webHidden/>
              </w:rPr>
              <w:fldChar w:fldCharType="end"/>
            </w:r>
          </w:hyperlink>
        </w:p>
        <w:p w14:paraId="5EB1481D" w14:textId="77777777" w:rsidR="00BE249C" w:rsidRPr="00F3350F" w:rsidRDefault="00177330">
          <w:pPr>
            <w:pStyle w:val="TOC3"/>
            <w:rPr>
              <w:rFonts w:asciiTheme="minorHAnsi" w:eastAsiaTheme="minorEastAsia" w:hAnsiTheme="minorHAnsi" w:cstheme="minorBidi"/>
              <w:noProof/>
            </w:rPr>
          </w:pPr>
          <w:hyperlink w:anchor="_Toc496784455" w:history="1">
            <w:r w:rsidR="00BE249C" w:rsidRPr="00F3350F">
              <w:rPr>
                <w:rStyle w:val="Hyperlink"/>
                <w:noProof/>
              </w:rPr>
              <w:t>4.3.</w:t>
            </w:r>
            <w:r w:rsidR="00BE249C" w:rsidRPr="00F3350F">
              <w:rPr>
                <w:rFonts w:asciiTheme="minorHAnsi" w:eastAsiaTheme="minorEastAsia" w:hAnsiTheme="minorHAnsi" w:cstheme="minorBidi"/>
                <w:noProof/>
              </w:rPr>
              <w:tab/>
            </w:r>
            <w:r w:rsidR="00BE249C" w:rsidRPr="00F3350F">
              <w:rPr>
                <w:rStyle w:val="Hyperlink"/>
                <w:noProof/>
              </w:rPr>
              <w:t>Commonly-Repaired Equipment</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_Toc496784455 \h </w:instrText>
            </w:r>
            <w:r w:rsidR="00BE249C" w:rsidRPr="00F3350F">
              <w:rPr>
                <w:noProof/>
                <w:webHidden/>
              </w:rPr>
            </w:r>
            <w:r w:rsidR="00BE249C" w:rsidRPr="00F3350F">
              <w:rPr>
                <w:noProof/>
                <w:webHidden/>
              </w:rPr>
              <w:fldChar w:fldCharType="separate"/>
            </w:r>
            <w:r>
              <w:rPr>
                <w:noProof/>
                <w:webHidden/>
              </w:rPr>
              <w:t>8</w:t>
            </w:r>
            <w:r w:rsidR="00BE249C" w:rsidRPr="00F3350F">
              <w:rPr>
                <w:noProof/>
                <w:webHidden/>
              </w:rPr>
              <w:fldChar w:fldCharType="end"/>
            </w:r>
          </w:hyperlink>
        </w:p>
        <w:p w14:paraId="522864CA" w14:textId="77777777" w:rsidR="00BE249C" w:rsidRPr="00F3350F" w:rsidRDefault="00177330">
          <w:pPr>
            <w:pStyle w:val="TOC3"/>
            <w:rPr>
              <w:rFonts w:asciiTheme="minorHAnsi" w:eastAsiaTheme="minorEastAsia" w:hAnsiTheme="minorHAnsi" w:cstheme="minorBidi"/>
              <w:noProof/>
            </w:rPr>
          </w:pPr>
          <w:hyperlink w:anchor="_Toc496784464" w:history="1">
            <w:r w:rsidR="00BE249C" w:rsidRPr="00F3350F">
              <w:rPr>
                <w:rStyle w:val="Hyperlink"/>
                <w:noProof/>
              </w:rPr>
              <w:t>4.4.</w:t>
            </w:r>
            <w:r w:rsidR="00BE249C" w:rsidRPr="00F3350F">
              <w:rPr>
                <w:rFonts w:asciiTheme="minorHAnsi" w:eastAsiaTheme="minorEastAsia" w:hAnsiTheme="minorHAnsi" w:cstheme="minorBidi"/>
                <w:noProof/>
              </w:rPr>
              <w:tab/>
            </w:r>
            <w:r w:rsidR="00BE249C" w:rsidRPr="00F3350F">
              <w:rPr>
                <w:rStyle w:val="Hyperlink"/>
                <w:noProof/>
              </w:rPr>
              <w:t>Add-on Equipment</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_Toc496784464 \h </w:instrText>
            </w:r>
            <w:r w:rsidR="00BE249C" w:rsidRPr="00F3350F">
              <w:rPr>
                <w:noProof/>
                <w:webHidden/>
              </w:rPr>
            </w:r>
            <w:r w:rsidR="00BE249C" w:rsidRPr="00F3350F">
              <w:rPr>
                <w:noProof/>
                <w:webHidden/>
              </w:rPr>
              <w:fldChar w:fldCharType="separate"/>
            </w:r>
            <w:r>
              <w:rPr>
                <w:noProof/>
                <w:webHidden/>
              </w:rPr>
              <w:t>8</w:t>
            </w:r>
            <w:r w:rsidR="00BE249C" w:rsidRPr="00F3350F">
              <w:rPr>
                <w:noProof/>
                <w:webHidden/>
              </w:rPr>
              <w:fldChar w:fldCharType="end"/>
            </w:r>
          </w:hyperlink>
        </w:p>
        <w:p w14:paraId="72AF7491" w14:textId="77777777" w:rsidR="00BE249C" w:rsidRPr="00F3350F" w:rsidRDefault="00177330">
          <w:pPr>
            <w:pStyle w:val="TOC3"/>
            <w:rPr>
              <w:rFonts w:asciiTheme="minorHAnsi" w:eastAsiaTheme="minorEastAsia" w:hAnsiTheme="minorHAnsi" w:cstheme="minorBidi"/>
              <w:noProof/>
            </w:rPr>
          </w:pPr>
          <w:hyperlink w:anchor="_Toc496784465" w:history="1">
            <w:r w:rsidR="00BE249C" w:rsidRPr="00F3350F">
              <w:rPr>
                <w:rStyle w:val="Hyperlink"/>
                <w:noProof/>
              </w:rPr>
              <w:t>4.4.1.</w:t>
            </w:r>
            <w:r w:rsidR="00BE249C" w:rsidRPr="00F3350F">
              <w:rPr>
                <w:rFonts w:asciiTheme="minorHAnsi" w:eastAsiaTheme="minorEastAsia" w:hAnsiTheme="minorHAnsi" w:cstheme="minorBidi"/>
                <w:noProof/>
              </w:rPr>
              <w:tab/>
            </w:r>
            <w:r w:rsidR="00BE249C" w:rsidRPr="00F3350F">
              <w:rPr>
                <w:rStyle w:val="Hyperlink"/>
                <w:noProof/>
              </w:rPr>
              <w:t>EUL for Add-On Equipment</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_Toc496784465 \h </w:instrText>
            </w:r>
            <w:r w:rsidR="00BE249C" w:rsidRPr="00F3350F">
              <w:rPr>
                <w:noProof/>
                <w:webHidden/>
              </w:rPr>
            </w:r>
            <w:r w:rsidR="00BE249C" w:rsidRPr="00F3350F">
              <w:rPr>
                <w:noProof/>
                <w:webHidden/>
              </w:rPr>
              <w:fldChar w:fldCharType="separate"/>
            </w:r>
            <w:r>
              <w:rPr>
                <w:noProof/>
                <w:webHidden/>
              </w:rPr>
              <w:t>8</w:t>
            </w:r>
            <w:r w:rsidR="00BE249C" w:rsidRPr="00F3350F">
              <w:rPr>
                <w:noProof/>
                <w:webHidden/>
              </w:rPr>
              <w:fldChar w:fldCharType="end"/>
            </w:r>
          </w:hyperlink>
        </w:p>
        <w:p w14:paraId="5017E10D" w14:textId="77777777" w:rsidR="00BE249C" w:rsidRPr="00F3350F" w:rsidRDefault="00177330">
          <w:pPr>
            <w:pStyle w:val="TOC3"/>
            <w:rPr>
              <w:rFonts w:asciiTheme="minorHAnsi" w:eastAsiaTheme="minorEastAsia" w:hAnsiTheme="minorHAnsi" w:cstheme="minorBidi"/>
              <w:noProof/>
            </w:rPr>
          </w:pPr>
          <w:hyperlink w:anchor="_Toc496784466" w:history="1">
            <w:r w:rsidR="00BE249C" w:rsidRPr="00F3350F">
              <w:rPr>
                <w:rStyle w:val="Hyperlink"/>
                <w:noProof/>
              </w:rPr>
              <w:t>4.5.</w:t>
            </w:r>
            <w:r w:rsidR="00BE249C" w:rsidRPr="00F3350F">
              <w:rPr>
                <w:rFonts w:asciiTheme="minorHAnsi" w:eastAsiaTheme="minorEastAsia" w:hAnsiTheme="minorHAnsi" w:cstheme="minorBidi"/>
                <w:noProof/>
              </w:rPr>
              <w:tab/>
            </w:r>
            <w:r w:rsidR="00BE249C" w:rsidRPr="00F3350F">
              <w:rPr>
                <w:rStyle w:val="Hyperlink"/>
                <w:noProof/>
              </w:rPr>
              <w:t>Behavioral, Retrocommissioning, and Operational</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_Toc496784466 \h </w:instrText>
            </w:r>
            <w:r w:rsidR="00BE249C" w:rsidRPr="00F3350F">
              <w:rPr>
                <w:noProof/>
                <w:webHidden/>
              </w:rPr>
            </w:r>
            <w:r w:rsidR="00BE249C" w:rsidRPr="00F3350F">
              <w:rPr>
                <w:noProof/>
                <w:webHidden/>
              </w:rPr>
              <w:fldChar w:fldCharType="separate"/>
            </w:r>
            <w:r>
              <w:rPr>
                <w:noProof/>
                <w:webHidden/>
              </w:rPr>
              <w:t>8</w:t>
            </w:r>
            <w:r w:rsidR="00BE249C" w:rsidRPr="00F3350F">
              <w:rPr>
                <w:noProof/>
                <w:webHidden/>
              </w:rPr>
              <w:fldChar w:fldCharType="end"/>
            </w:r>
          </w:hyperlink>
        </w:p>
        <w:p w14:paraId="3F218BA9" w14:textId="77777777" w:rsidR="00BE249C" w:rsidRPr="00F3350F" w:rsidRDefault="00177330">
          <w:pPr>
            <w:pStyle w:val="TOC3"/>
            <w:rPr>
              <w:rFonts w:asciiTheme="minorHAnsi" w:eastAsiaTheme="minorEastAsia" w:hAnsiTheme="minorHAnsi" w:cstheme="minorBidi"/>
              <w:noProof/>
            </w:rPr>
          </w:pPr>
          <w:hyperlink w:anchor="_Toc496784467" w:history="1">
            <w:r w:rsidR="00BE249C" w:rsidRPr="00F3350F">
              <w:rPr>
                <w:rStyle w:val="Hyperlink"/>
                <w:noProof/>
              </w:rPr>
              <w:t>4.5.1.</w:t>
            </w:r>
            <w:r w:rsidR="00BE249C" w:rsidRPr="00F3350F">
              <w:rPr>
                <w:rFonts w:asciiTheme="minorHAnsi" w:eastAsiaTheme="minorEastAsia" w:hAnsiTheme="minorHAnsi" w:cstheme="minorBidi"/>
                <w:noProof/>
              </w:rPr>
              <w:tab/>
            </w:r>
            <w:r w:rsidR="00BE249C" w:rsidRPr="00F3350F">
              <w:rPr>
                <w:rStyle w:val="Hyperlink"/>
                <w:noProof/>
              </w:rPr>
              <w:t>EUL for BRO measures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_Toc496784467 \h </w:instrText>
            </w:r>
            <w:r w:rsidR="00BE249C" w:rsidRPr="00F3350F">
              <w:rPr>
                <w:noProof/>
                <w:webHidden/>
              </w:rPr>
            </w:r>
            <w:r w:rsidR="00BE249C" w:rsidRPr="00F3350F">
              <w:rPr>
                <w:noProof/>
                <w:webHidden/>
              </w:rPr>
              <w:fldChar w:fldCharType="separate"/>
            </w:r>
            <w:r>
              <w:rPr>
                <w:noProof/>
                <w:webHidden/>
              </w:rPr>
              <w:t>8</w:t>
            </w:r>
            <w:r w:rsidR="00BE249C" w:rsidRPr="00F3350F">
              <w:rPr>
                <w:noProof/>
                <w:webHidden/>
              </w:rPr>
              <w:fldChar w:fldCharType="end"/>
            </w:r>
          </w:hyperlink>
        </w:p>
        <w:p w14:paraId="04F7A75E" w14:textId="77777777" w:rsidR="00BE249C" w:rsidRPr="00F3350F" w:rsidRDefault="00177330">
          <w:pPr>
            <w:pStyle w:val="TOC1"/>
            <w:rPr>
              <w:rFonts w:asciiTheme="minorHAnsi" w:eastAsiaTheme="minorEastAsia" w:hAnsiTheme="minorHAnsi" w:cstheme="minorBidi"/>
              <w:noProof/>
            </w:rPr>
          </w:pPr>
          <w:hyperlink w:anchor="_Toc496784468" w:history="1">
            <w:r w:rsidR="00BE249C" w:rsidRPr="00F3350F">
              <w:rPr>
                <w:rStyle w:val="Hyperlink"/>
                <w:noProof/>
              </w:rPr>
              <w:t>5.</w:t>
            </w:r>
            <w:r w:rsidR="00BE249C" w:rsidRPr="00F3350F">
              <w:rPr>
                <w:rFonts w:asciiTheme="minorHAnsi" w:eastAsiaTheme="minorEastAsia" w:hAnsiTheme="minorHAnsi" w:cstheme="minorBidi"/>
                <w:noProof/>
              </w:rPr>
              <w:tab/>
            </w:r>
            <w:r w:rsidR="00BE249C" w:rsidRPr="00F3350F">
              <w:rPr>
                <w:rStyle w:val="Hyperlink"/>
                <w:noProof/>
              </w:rPr>
              <w:t>Savings Calculations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_Toc496784468 \h </w:instrText>
            </w:r>
            <w:r w:rsidR="00BE249C" w:rsidRPr="00F3350F">
              <w:rPr>
                <w:noProof/>
                <w:webHidden/>
              </w:rPr>
            </w:r>
            <w:r w:rsidR="00BE249C" w:rsidRPr="00F3350F">
              <w:rPr>
                <w:noProof/>
                <w:webHidden/>
              </w:rPr>
              <w:fldChar w:fldCharType="separate"/>
            </w:r>
            <w:r>
              <w:rPr>
                <w:noProof/>
                <w:webHidden/>
              </w:rPr>
              <w:t>8</w:t>
            </w:r>
            <w:r w:rsidR="00BE249C" w:rsidRPr="00F3350F">
              <w:rPr>
                <w:noProof/>
                <w:webHidden/>
              </w:rPr>
              <w:fldChar w:fldCharType="end"/>
            </w:r>
          </w:hyperlink>
        </w:p>
        <w:p w14:paraId="2BDC73E0" w14:textId="77777777" w:rsidR="00BE249C" w:rsidRPr="00F3350F" w:rsidRDefault="00177330">
          <w:pPr>
            <w:pStyle w:val="TOC3"/>
            <w:rPr>
              <w:rFonts w:asciiTheme="minorHAnsi" w:eastAsiaTheme="minorEastAsia" w:hAnsiTheme="minorHAnsi" w:cstheme="minorBidi"/>
              <w:noProof/>
            </w:rPr>
          </w:pPr>
          <w:hyperlink w:anchor="_Toc496784469" w:history="1">
            <w:r w:rsidR="00BE249C" w:rsidRPr="00F3350F">
              <w:rPr>
                <w:rStyle w:val="Hyperlink"/>
                <w:noProof/>
              </w:rPr>
              <w:t>5.1.</w:t>
            </w:r>
            <w:r w:rsidR="00BE249C" w:rsidRPr="00F3350F">
              <w:rPr>
                <w:rFonts w:asciiTheme="minorHAnsi" w:eastAsiaTheme="minorEastAsia" w:hAnsiTheme="minorHAnsi" w:cstheme="minorBidi"/>
                <w:noProof/>
              </w:rPr>
              <w:tab/>
            </w:r>
            <w:r w:rsidR="00BE249C" w:rsidRPr="00F3350F">
              <w:rPr>
                <w:rStyle w:val="Hyperlink"/>
                <w:noProof/>
              </w:rPr>
              <w:t>PG&amp;E Energy Usage Data</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_Toc496784469 \h </w:instrText>
            </w:r>
            <w:r w:rsidR="00BE249C" w:rsidRPr="00F3350F">
              <w:rPr>
                <w:noProof/>
                <w:webHidden/>
              </w:rPr>
            </w:r>
            <w:r w:rsidR="00BE249C" w:rsidRPr="00F3350F">
              <w:rPr>
                <w:noProof/>
                <w:webHidden/>
              </w:rPr>
              <w:fldChar w:fldCharType="separate"/>
            </w:r>
            <w:r>
              <w:rPr>
                <w:noProof/>
                <w:webHidden/>
              </w:rPr>
              <w:t>9</w:t>
            </w:r>
            <w:r w:rsidR="00BE249C" w:rsidRPr="00F3350F">
              <w:rPr>
                <w:noProof/>
                <w:webHidden/>
              </w:rPr>
              <w:fldChar w:fldCharType="end"/>
            </w:r>
          </w:hyperlink>
        </w:p>
        <w:p w14:paraId="43563117" w14:textId="77777777" w:rsidR="00BE249C" w:rsidRPr="00F3350F" w:rsidRDefault="00177330">
          <w:pPr>
            <w:pStyle w:val="TOC3"/>
            <w:rPr>
              <w:rFonts w:asciiTheme="minorHAnsi" w:eastAsiaTheme="minorEastAsia" w:hAnsiTheme="minorHAnsi" w:cstheme="minorBidi"/>
              <w:noProof/>
            </w:rPr>
          </w:pPr>
          <w:hyperlink w:anchor="_Toc496784470" w:history="1">
            <w:r w:rsidR="00BE249C" w:rsidRPr="00F3350F">
              <w:rPr>
                <w:rStyle w:val="Hyperlink"/>
                <w:noProof/>
              </w:rPr>
              <w:t>5.2.</w:t>
            </w:r>
            <w:r w:rsidR="00BE249C" w:rsidRPr="00F3350F">
              <w:rPr>
                <w:rFonts w:asciiTheme="minorHAnsi" w:eastAsiaTheme="minorEastAsia" w:hAnsiTheme="minorHAnsi" w:cstheme="minorBidi"/>
                <w:noProof/>
              </w:rPr>
              <w:tab/>
            </w:r>
            <w:r w:rsidR="00BE249C" w:rsidRPr="00F3350F">
              <w:rPr>
                <w:rStyle w:val="Hyperlink"/>
                <w:noProof/>
              </w:rPr>
              <w:t>Gross Claimable Savings Determination</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_Toc496784470 \h </w:instrText>
            </w:r>
            <w:r w:rsidR="00BE249C" w:rsidRPr="00F3350F">
              <w:rPr>
                <w:noProof/>
                <w:webHidden/>
              </w:rPr>
            </w:r>
            <w:r w:rsidR="00BE249C" w:rsidRPr="00F3350F">
              <w:rPr>
                <w:noProof/>
                <w:webHidden/>
              </w:rPr>
              <w:fldChar w:fldCharType="separate"/>
            </w:r>
            <w:r>
              <w:rPr>
                <w:noProof/>
                <w:webHidden/>
              </w:rPr>
              <w:t>9</w:t>
            </w:r>
            <w:r w:rsidR="00BE249C" w:rsidRPr="00F3350F">
              <w:rPr>
                <w:noProof/>
                <w:webHidden/>
              </w:rPr>
              <w:fldChar w:fldCharType="end"/>
            </w:r>
          </w:hyperlink>
        </w:p>
        <w:p w14:paraId="5CA61B97" w14:textId="77777777" w:rsidR="00BE249C" w:rsidRPr="00F3350F" w:rsidRDefault="00177330">
          <w:pPr>
            <w:pStyle w:val="TOC3"/>
            <w:rPr>
              <w:rFonts w:asciiTheme="minorHAnsi" w:eastAsiaTheme="minorEastAsia" w:hAnsiTheme="minorHAnsi" w:cstheme="minorBidi"/>
              <w:noProof/>
            </w:rPr>
          </w:pPr>
          <w:hyperlink w:anchor="_Toc496784471" w:history="1">
            <w:r w:rsidR="00BE249C" w:rsidRPr="00F3350F">
              <w:rPr>
                <w:rStyle w:val="Hyperlink"/>
                <w:noProof/>
              </w:rPr>
              <w:t>5.2.1.</w:t>
            </w:r>
            <w:r w:rsidR="00BE249C" w:rsidRPr="00F3350F">
              <w:rPr>
                <w:rFonts w:asciiTheme="minorHAnsi" w:eastAsiaTheme="minorEastAsia" w:hAnsiTheme="minorHAnsi" w:cstheme="minorBidi"/>
                <w:noProof/>
              </w:rPr>
              <w:tab/>
            </w:r>
            <w:r w:rsidR="00BE249C" w:rsidRPr="00F3350F">
              <w:rPr>
                <w:rStyle w:val="Hyperlink"/>
                <w:noProof/>
              </w:rPr>
              <w:t>Baseline Selection</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_Toc496784471 \h </w:instrText>
            </w:r>
            <w:r w:rsidR="00BE249C" w:rsidRPr="00F3350F">
              <w:rPr>
                <w:noProof/>
                <w:webHidden/>
              </w:rPr>
            </w:r>
            <w:r w:rsidR="00BE249C" w:rsidRPr="00F3350F">
              <w:rPr>
                <w:noProof/>
                <w:webHidden/>
              </w:rPr>
              <w:fldChar w:fldCharType="separate"/>
            </w:r>
            <w:r>
              <w:rPr>
                <w:noProof/>
                <w:webHidden/>
              </w:rPr>
              <w:t>9</w:t>
            </w:r>
            <w:r w:rsidR="00BE249C" w:rsidRPr="00F3350F">
              <w:rPr>
                <w:noProof/>
                <w:webHidden/>
              </w:rPr>
              <w:fldChar w:fldCharType="end"/>
            </w:r>
          </w:hyperlink>
        </w:p>
        <w:p w14:paraId="6B7D60B2" w14:textId="77777777" w:rsidR="00BE249C" w:rsidRPr="00F3350F" w:rsidRDefault="00177330">
          <w:pPr>
            <w:pStyle w:val="TOC3"/>
            <w:rPr>
              <w:rFonts w:asciiTheme="minorHAnsi" w:eastAsiaTheme="minorEastAsia" w:hAnsiTheme="minorHAnsi" w:cstheme="minorBidi"/>
              <w:noProof/>
            </w:rPr>
          </w:pPr>
          <w:hyperlink w:anchor="_Toc496784472" w:history="1">
            <w:r w:rsidR="00BE249C" w:rsidRPr="00F3350F">
              <w:rPr>
                <w:rStyle w:val="Hyperlink"/>
                <w:noProof/>
              </w:rPr>
              <w:t>5.2.2.</w:t>
            </w:r>
            <w:r w:rsidR="00BE249C" w:rsidRPr="00F3350F">
              <w:rPr>
                <w:rFonts w:asciiTheme="minorHAnsi" w:eastAsiaTheme="minorEastAsia" w:hAnsiTheme="minorHAnsi" w:cstheme="minorBidi"/>
                <w:noProof/>
              </w:rPr>
              <w:tab/>
            </w:r>
            <w:r w:rsidR="00BE249C" w:rsidRPr="00F3350F">
              <w:rPr>
                <w:rStyle w:val="Hyperlink"/>
                <w:noProof/>
              </w:rPr>
              <w:t>Normalization</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_Toc496784472 \h </w:instrText>
            </w:r>
            <w:r w:rsidR="00BE249C" w:rsidRPr="00F3350F">
              <w:rPr>
                <w:noProof/>
                <w:webHidden/>
              </w:rPr>
            </w:r>
            <w:r w:rsidR="00BE249C" w:rsidRPr="00F3350F">
              <w:rPr>
                <w:noProof/>
                <w:webHidden/>
              </w:rPr>
              <w:fldChar w:fldCharType="separate"/>
            </w:r>
            <w:r>
              <w:rPr>
                <w:noProof/>
                <w:webHidden/>
              </w:rPr>
              <w:t>10</w:t>
            </w:r>
            <w:r w:rsidR="00BE249C" w:rsidRPr="00F3350F">
              <w:rPr>
                <w:noProof/>
                <w:webHidden/>
              </w:rPr>
              <w:fldChar w:fldCharType="end"/>
            </w:r>
          </w:hyperlink>
        </w:p>
        <w:p w14:paraId="43F37BA2" w14:textId="77777777" w:rsidR="00BE249C" w:rsidRPr="00F3350F" w:rsidRDefault="00177330">
          <w:pPr>
            <w:pStyle w:val="TOC3"/>
            <w:rPr>
              <w:rFonts w:asciiTheme="minorHAnsi" w:eastAsiaTheme="minorEastAsia" w:hAnsiTheme="minorHAnsi" w:cstheme="minorBidi"/>
              <w:noProof/>
            </w:rPr>
          </w:pPr>
          <w:hyperlink w:anchor="_Toc496784473" w:history="1">
            <w:r w:rsidR="00BE249C" w:rsidRPr="00F3350F">
              <w:rPr>
                <w:rStyle w:val="Hyperlink"/>
                <w:noProof/>
              </w:rPr>
              <w:t>5.2.3.</w:t>
            </w:r>
            <w:r w:rsidR="00BE249C" w:rsidRPr="00F3350F">
              <w:rPr>
                <w:rFonts w:asciiTheme="minorHAnsi" w:eastAsiaTheme="minorEastAsia" w:hAnsiTheme="minorHAnsi" w:cstheme="minorBidi"/>
                <w:noProof/>
              </w:rPr>
              <w:tab/>
            </w:r>
            <w:r w:rsidR="00BE249C" w:rsidRPr="00F3350F">
              <w:rPr>
                <w:rStyle w:val="Hyperlink"/>
                <w:noProof/>
              </w:rPr>
              <w:t>Metering Duration</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_Toc496784473 \h </w:instrText>
            </w:r>
            <w:r w:rsidR="00BE249C" w:rsidRPr="00F3350F">
              <w:rPr>
                <w:noProof/>
                <w:webHidden/>
              </w:rPr>
            </w:r>
            <w:r w:rsidR="00BE249C" w:rsidRPr="00F3350F">
              <w:rPr>
                <w:noProof/>
                <w:webHidden/>
              </w:rPr>
              <w:fldChar w:fldCharType="separate"/>
            </w:r>
            <w:r>
              <w:rPr>
                <w:noProof/>
                <w:webHidden/>
              </w:rPr>
              <w:t>10</w:t>
            </w:r>
            <w:r w:rsidR="00BE249C" w:rsidRPr="00F3350F">
              <w:rPr>
                <w:noProof/>
                <w:webHidden/>
              </w:rPr>
              <w:fldChar w:fldCharType="end"/>
            </w:r>
          </w:hyperlink>
        </w:p>
        <w:p w14:paraId="6EDAD023" w14:textId="77777777" w:rsidR="00BE249C" w:rsidRPr="00F3350F" w:rsidRDefault="00177330">
          <w:pPr>
            <w:pStyle w:val="TOC3"/>
            <w:rPr>
              <w:rFonts w:asciiTheme="minorHAnsi" w:eastAsiaTheme="minorEastAsia" w:hAnsiTheme="minorHAnsi" w:cstheme="minorBidi"/>
              <w:noProof/>
            </w:rPr>
          </w:pPr>
          <w:hyperlink w:anchor="_Toc496784474" w:history="1">
            <w:r w:rsidR="00BE249C" w:rsidRPr="00F3350F">
              <w:rPr>
                <w:rStyle w:val="Hyperlink"/>
                <w:noProof/>
              </w:rPr>
              <w:t>5.2.4.</w:t>
            </w:r>
            <w:r w:rsidR="00BE249C" w:rsidRPr="00F3350F">
              <w:rPr>
                <w:rFonts w:asciiTheme="minorHAnsi" w:eastAsiaTheme="minorEastAsia" w:hAnsiTheme="minorHAnsi" w:cstheme="minorBidi"/>
                <w:noProof/>
              </w:rPr>
              <w:tab/>
            </w:r>
            <w:r w:rsidR="00BE249C" w:rsidRPr="00F3350F">
              <w:rPr>
                <w:rStyle w:val="Hyperlink"/>
                <w:noProof/>
              </w:rPr>
              <w:t>Calculations and Eligible Tools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_Toc496784474 \h </w:instrText>
            </w:r>
            <w:r w:rsidR="00BE249C" w:rsidRPr="00F3350F">
              <w:rPr>
                <w:noProof/>
                <w:webHidden/>
              </w:rPr>
            </w:r>
            <w:r w:rsidR="00BE249C" w:rsidRPr="00F3350F">
              <w:rPr>
                <w:noProof/>
                <w:webHidden/>
              </w:rPr>
              <w:fldChar w:fldCharType="separate"/>
            </w:r>
            <w:r>
              <w:rPr>
                <w:noProof/>
                <w:webHidden/>
              </w:rPr>
              <w:t>10</w:t>
            </w:r>
            <w:r w:rsidR="00BE249C" w:rsidRPr="00F3350F">
              <w:rPr>
                <w:noProof/>
                <w:webHidden/>
              </w:rPr>
              <w:fldChar w:fldCharType="end"/>
            </w:r>
          </w:hyperlink>
        </w:p>
        <w:p w14:paraId="5B6FCA32" w14:textId="77777777" w:rsidR="00BE249C" w:rsidRPr="00F3350F" w:rsidRDefault="00177330">
          <w:pPr>
            <w:pStyle w:val="TOC3"/>
            <w:rPr>
              <w:rFonts w:asciiTheme="minorHAnsi" w:eastAsiaTheme="minorEastAsia" w:hAnsiTheme="minorHAnsi" w:cstheme="minorBidi"/>
              <w:noProof/>
            </w:rPr>
          </w:pPr>
          <w:hyperlink w:anchor="_Toc496784475" w:history="1">
            <w:r w:rsidR="00BE249C" w:rsidRPr="00F3350F">
              <w:rPr>
                <w:rStyle w:val="Hyperlink"/>
                <w:noProof/>
              </w:rPr>
              <w:t>5.2.5.</w:t>
            </w:r>
            <w:r w:rsidR="00BE249C" w:rsidRPr="00F3350F">
              <w:rPr>
                <w:rFonts w:asciiTheme="minorHAnsi" w:eastAsiaTheme="minorEastAsia" w:hAnsiTheme="minorHAnsi" w:cstheme="minorBidi"/>
                <w:noProof/>
              </w:rPr>
              <w:tab/>
            </w:r>
            <w:r w:rsidR="00BE249C" w:rsidRPr="00F3350F">
              <w:rPr>
                <w:rStyle w:val="Hyperlink"/>
                <w:noProof/>
              </w:rPr>
              <w:t>Evaluability</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_Toc496784475 \h </w:instrText>
            </w:r>
            <w:r w:rsidR="00BE249C" w:rsidRPr="00F3350F">
              <w:rPr>
                <w:noProof/>
                <w:webHidden/>
              </w:rPr>
            </w:r>
            <w:r w:rsidR="00BE249C" w:rsidRPr="00F3350F">
              <w:rPr>
                <w:noProof/>
                <w:webHidden/>
              </w:rPr>
              <w:fldChar w:fldCharType="separate"/>
            </w:r>
            <w:r>
              <w:rPr>
                <w:noProof/>
                <w:webHidden/>
              </w:rPr>
              <w:t>10</w:t>
            </w:r>
            <w:r w:rsidR="00BE249C" w:rsidRPr="00F3350F">
              <w:rPr>
                <w:noProof/>
                <w:webHidden/>
              </w:rPr>
              <w:fldChar w:fldCharType="end"/>
            </w:r>
          </w:hyperlink>
        </w:p>
        <w:p w14:paraId="6AACC730" w14:textId="77777777" w:rsidR="00BE249C" w:rsidRPr="00F3350F" w:rsidRDefault="00177330">
          <w:pPr>
            <w:pStyle w:val="TOC3"/>
            <w:rPr>
              <w:rFonts w:asciiTheme="minorHAnsi" w:eastAsiaTheme="minorEastAsia" w:hAnsiTheme="minorHAnsi" w:cstheme="minorBidi"/>
              <w:noProof/>
            </w:rPr>
          </w:pPr>
          <w:hyperlink w:anchor="_Toc496784476" w:history="1">
            <w:r w:rsidR="00BE249C" w:rsidRPr="00F3350F">
              <w:rPr>
                <w:rStyle w:val="Hyperlink"/>
                <w:noProof/>
              </w:rPr>
              <w:t>5.2.6.</w:t>
            </w:r>
            <w:r w:rsidR="00BE249C" w:rsidRPr="00F3350F">
              <w:rPr>
                <w:rFonts w:asciiTheme="minorHAnsi" w:eastAsiaTheme="minorEastAsia" w:hAnsiTheme="minorHAnsi" w:cstheme="minorBidi"/>
                <w:noProof/>
              </w:rPr>
              <w:tab/>
            </w:r>
            <w:r w:rsidR="00BE249C" w:rsidRPr="00F3350F">
              <w:rPr>
                <w:rStyle w:val="Hyperlink"/>
                <w:noProof/>
              </w:rPr>
              <w:t>Interactive Effects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_Toc496784476 \h </w:instrText>
            </w:r>
            <w:r w:rsidR="00BE249C" w:rsidRPr="00F3350F">
              <w:rPr>
                <w:noProof/>
                <w:webHidden/>
              </w:rPr>
            </w:r>
            <w:r w:rsidR="00BE249C" w:rsidRPr="00F3350F">
              <w:rPr>
                <w:noProof/>
                <w:webHidden/>
              </w:rPr>
              <w:fldChar w:fldCharType="separate"/>
            </w:r>
            <w:r>
              <w:rPr>
                <w:noProof/>
                <w:webHidden/>
              </w:rPr>
              <w:t>11</w:t>
            </w:r>
            <w:r w:rsidR="00BE249C" w:rsidRPr="00F3350F">
              <w:rPr>
                <w:noProof/>
                <w:webHidden/>
              </w:rPr>
              <w:fldChar w:fldCharType="end"/>
            </w:r>
          </w:hyperlink>
        </w:p>
        <w:p w14:paraId="01627347" w14:textId="77777777" w:rsidR="00BE249C" w:rsidRPr="00F3350F" w:rsidRDefault="00177330">
          <w:pPr>
            <w:pStyle w:val="TOC3"/>
            <w:rPr>
              <w:rFonts w:asciiTheme="minorHAnsi" w:eastAsiaTheme="minorEastAsia" w:hAnsiTheme="minorHAnsi" w:cstheme="minorBidi"/>
              <w:noProof/>
            </w:rPr>
          </w:pPr>
          <w:hyperlink w:anchor="_Toc496784477" w:history="1">
            <w:r w:rsidR="00BE249C" w:rsidRPr="00F3350F">
              <w:rPr>
                <w:rStyle w:val="Hyperlink"/>
                <w:noProof/>
              </w:rPr>
              <w:t>5.2.7.</w:t>
            </w:r>
            <w:r w:rsidR="00BE249C" w:rsidRPr="00F3350F">
              <w:rPr>
                <w:rFonts w:asciiTheme="minorHAnsi" w:eastAsiaTheme="minorEastAsia" w:hAnsiTheme="minorHAnsi" w:cstheme="minorBidi"/>
                <w:noProof/>
              </w:rPr>
              <w:tab/>
            </w:r>
            <w:r w:rsidR="00BE249C" w:rsidRPr="00F3350F">
              <w:rPr>
                <w:rStyle w:val="Hyperlink"/>
                <w:noProof/>
              </w:rPr>
              <w:t>Load Shapes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_Toc496784477 \h </w:instrText>
            </w:r>
            <w:r w:rsidR="00BE249C" w:rsidRPr="00F3350F">
              <w:rPr>
                <w:noProof/>
                <w:webHidden/>
              </w:rPr>
            </w:r>
            <w:r w:rsidR="00BE249C" w:rsidRPr="00F3350F">
              <w:rPr>
                <w:noProof/>
                <w:webHidden/>
              </w:rPr>
              <w:fldChar w:fldCharType="separate"/>
            </w:r>
            <w:r>
              <w:rPr>
                <w:noProof/>
                <w:webHidden/>
              </w:rPr>
              <w:t>11</w:t>
            </w:r>
            <w:r w:rsidR="00BE249C" w:rsidRPr="00F3350F">
              <w:rPr>
                <w:noProof/>
                <w:webHidden/>
              </w:rPr>
              <w:fldChar w:fldCharType="end"/>
            </w:r>
          </w:hyperlink>
        </w:p>
        <w:p w14:paraId="38ED216B" w14:textId="77777777" w:rsidR="00BE249C" w:rsidRPr="00F3350F" w:rsidRDefault="00177330">
          <w:pPr>
            <w:pStyle w:val="TOC3"/>
            <w:rPr>
              <w:rFonts w:asciiTheme="minorHAnsi" w:eastAsiaTheme="minorEastAsia" w:hAnsiTheme="minorHAnsi" w:cstheme="minorBidi"/>
              <w:noProof/>
            </w:rPr>
          </w:pPr>
          <w:hyperlink w:anchor="_Toc496784478" w:history="1">
            <w:r w:rsidR="00BE249C" w:rsidRPr="00F3350F">
              <w:rPr>
                <w:rStyle w:val="Hyperlink"/>
                <w:noProof/>
              </w:rPr>
              <w:t>5.3.</w:t>
            </w:r>
            <w:r w:rsidR="00BE249C" w:rsidRPr="00F3350F">
              <w:rPr>
                <w:rFonts w:asciiTheme="minorHAnsi" w:eastAsiaTheme="minorEastAsia" w:hAnsiTheme="minorHAnsi" w:cstheme="minorBidi"/>
                <w:noProof/>
              </w:rPr>
              <w:tab/>
            </w:r>
            <w:r w:rsidR="00BE249C" w:rsidRPr="00F3350F">
              <w:rPr>
                <w:rStyle w:val="Hyperlink"/>
                <w:noProof/>
              </w:rPr>
              <w:t>Net Claimable Savings Determination</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_Toc496784478 \h </w:instrText>
            </w:r>
            <w:r w:rsidR="00BE249C" w:rsidRPr="00F3350F">
              <w:rPr>
                <w:noProof/>
                <w:webHidden/>
              </w:rPr>
            </w:r>
            <w:r w:rsidR="00BE249C" w:rsidRPr="00F3350F">
              <w:rPr>
                <w:noProof/>
                <w:webHidden/>
              </w:rPr>
              <w:fldChar w:fldCharType="separate"/>
            </w:r>
            <w:r>
              <w:rPr>
                <w:noProof/>
                <w:webHidden/>
              </w:rPr>
              <w:t>11</w:t>
            </w:r>
            <w:r w:rsidR="00BE249C" w:rsidRPr="00F3350F">
              <w:rPr>
                <w:noProof/>
                <w:webHidden/>
              </w:rPr>
              <w:fldChar w:fldCharType="end"/>
            </w:r>
          </w:hyperlink>
        </w:p>
        <w:p w14:paraId="7C27C94E" w14:textId="77777777" w:rsidR="00BE249C" w:rsidRPr="00F3350F" w:rsidRDefault="00177330">
          <w:pPr>
            <w:pStyle w:val="TOC3"/>
            <w:rPr>
              <w:rFonts w:asciiTheme="minorHAnsi" w:eastAsiaTheme="minorEastAsia" w:hAnsiTheme="minorHAnsi" w:cstheme="minorBidi"/>
              <w:noProof/>
            </w:rPr>
          </w:pPr>
          <w:hyperlink w:anchor="_Toc496784479" w:history="1">
            <w:r w:rsidR="00BE249C" w:rsidRPr="00F3350F">
              <w:rPr>
                <w:rStyle w:val="Hyperlink"/>
                <w:noProof/>
              </w:rPr>
              <w:t>5.4.</w:t>
            </w:r>
            <w:r w:rsidR="00BE249C" w:rsidRPr="00F3350F">
              <w:rPr>
                <w:rFonts w:asciiTheme="minorHAnsi" w:eastAsiaTheme="minorEastAsia" w:hAnsiTheme="minorHAnsi" w:cstheme="minorBidi"/>
                <w:noProof/>
              </w:rPr>
              <w:tab/>
            </w:r>
            <w:r w:rsidR="00BE249C" w:rsidRPr="00F3350F">
              <w:rPr>
                <w:rStyle w:val="Hyperlink"/>
                <w:noProof/>
              </w:rPr>
              <w:t>Savings Persistence</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_Toc496784479 \h </w:instrText>
            </w:r>
            <w:r w:rsidR="00BE249C" w:rsidRPr="00F3350F">
              <w:rPr>
                <w:noProof/>
                <w:webHidden/>
              </w:rPr>
            </w:r>
            <w:r w:rsidR="00BE249C" w:rsidRPr="00F3350F">
              <w:rPr>
                <w:noProof/>
                <w:webHidden/>
              </w:rPr>
              <w:fldChar w:fldCharType="separate"/>
            </w:r>
            <w:r>
              <w:rPr>
                <w:noProof/>
                <w:webHidden/>
              </w:rPr>
              <w:t>11</w:t>
            </w:r>
            <w:r w:rsidR="00BE249C" w:rsidRPr="00F3350F">
              <w:rPr>
                <w:noProof/>
                <w:webHidden/>
              </w:rPr>
              <w:fldChar w:fldCharType="end"/>
            </w:r>
          </w:hyperlink>
        </w:p>
        <w:p w14:paraId="1D62ACED" w14:textId="77777777" w:rsidR="00BE249C" w:rsidRPr="00F3350F" w:rsidRDefault="00177330">
          <w:pPr>
            <w:pStyle w:val="TOC3"/>
            <w:rPr>
              <w:rFonts w:asciiTheme="minorHAnsi" w:eastAsiaTheme="minorEastAsia" w:hAnsiTheme="minorHAnsi" w:cstheme="minorBidi"/>
              <w:noProof/>
            </w:rPr>
          </w:pPr>
          <w:hyperlink w:anchor="_Toc496784480" w:history="1">
            <w:r w:rsidR="00BE249C" w:rsidRPr="00F3350F">
              <w:rPr>
                <w:rStyle w:val="Hyperlink"/>
                <w:noProof/>
              </w:rPr>
              <w:t>5.5.</w:t>
            </w:r>
            <w:r w:rsidR="00BE249C" w:rsidRPr="00F3350F">
              <w:rPr>
                <w:rFonts w:asciiTheme="minorHAnsi" w:eastAsiaTheme="minorEastAsia" w:hAnsiTheme="minorHAnsi" w:cstheme="minorBidi"/>
                <w:noProof/>
              </w:rPr>
              <w:tab/>
            </w:r>
            <w:r w:rsidR="00BE249C" w:rsidRPr="00F3350F">
              <w:rPr>
                <w:rStyle w:val="Hyperlink"/>
                <w:noProof/>
              </w:rPr>
              <w:t>EUL Determination</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_Toc496784480 \h </w:instrText>
            </w:r>
            <w:r w:rsidR="00BE249C" w:rsidRPr="00F3350F">
              <w:rPr>
                <w:noProof/>
                <w:webHidden/>
              </w:rPr>
            </w:r>
            <w:r w:rsidR="00BE249C" w:rsidRPr="00F3350F">
              <w:rPr>
                <w:noProof/>
                <w:webHidden/>
              </w:rPr>
              <w:fldChar w:fldCharType="separate"/>
            </w:r>
            <w:r>
              <w:rPr>
                <w:noProof/>
                <w:webHidden/>
              </w:rPr>
              <w:t>12</w:t>
            </w:r>
            <w:r w:rsidR="00BE249C" w:rsidRPr="00F3350F">
              <w:rPr>
                <w:noProof/>
                <w:webHidden/>
              </w:rPr>
              <w:fldChar w:fldCharType="end"/>
            </w:r>
          </w:hyperlink>
        </w:p>
        <w:p w14:paraId="6D90AFAD" w14:textId="77777777" w:rsidR="00BE249C" w:rsidRPr="00F3350F" w:rsidRDefault="00177330">
          <w:pPr>
            <w:pStyle w:val="TOC3"/>
            <w:rPr>
              <w:rFonts w:asciiTheme="minorHAnsi" w:eastAsiaTheme="minorEastAsia" w:hAnsiTheme="minorHAnsi" w:cstheme="minorBidi"/>
              <w:noProof/>
            </w:rPr>
          </w:pPr>
          <w:hyperlink w:anchor="_Toc496784481" w:history="1">
            <w:r w:rsidR="00BE249C" w:rsidRPr="00F3350F">
              <w:rPr>
                <w:rStyle w:val="Hyperlink"/>
                <w:noProof/>
              </w:rPr>
              <w:t>5.5.1.</w:t>
            </w:r>
            <w:r w:rsidR="00BE249C" w:rsidRPr="00F3350F">
              <w:rPr>
                <w:rFonts w:asciiTheme="minorHAnsi" w:eastAsiaTheme="minorEastAsia" w:hAnsiTheme="minorHAnsi" w:cstheme="minorBidi"/>
                <w:noProof/>
              </w:rPr>
              <w:tab/>
            </w:r>
            <w:r w:rsidR="00BE249C" w:rsidRPr="00F3350F">
              <w:rPr>
                <w:rStyle w:val="Hyperlink"/>
                <w:noProof/>
              </w:rPr>
              <w:t>EUL for bundles of measures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_Toc496784481 \h </w:instrText>
            </w:r>
            <w:r w:rsidR="00BE249C" w:rsidRPr="00F3350F">
              <w:rPr>
                <w:noProof/>
                <w:webHidden/>
              </w:rPr>
            </w:r>
            <w:r w:rsidR="00BE249C" w:rsidRPr="00F3350F">
              <w:rPr>
                <w:noProof/>
                <w:webHidden/>
              </w:rPr>
              <w:fldChar w:fldCharType="separate"/>
            </w:r>
            <w:r>
              <w:rPr>
                <w:noProof/>
                <w:webHidden/>
              </w:rPr>
              <w:t>12</w:t>
            </w:r>
            <w:r w:rsidR="00BE249C" w:rsidRPr="00F3350F">
              <w:rPr>
                <w:noProof/>
                <w:webHidden/>
              </w:rPr>
              <w:fldChar w:fldCharType="end"/>
            </w:r>
          </w:hyperlink>
        </w:p>
        <w:p w14:paraId="62B066CC" w14:textId="77777777" w:rsidR="00BE249C" w:rsidRPr="00F3350F" w:rsidRDefault="00177330">
          <w:pPr>
            <w:pStyle w:val="TOC3"/>
            <w:rPr>
              <w:rFonts w:asciiTheme="minorHAnsi" w:eastAsiaTheme="minorEastAsia" w:hAnsiTheme="minorHAnsi" w:cstheme="minorBidi"/>
              <w:noProof/>
            </w:rPr>
          </w:pPr>
          <w:hyperlink w:anchor="_Toc496784482" w:history="1">
            <w:r w:rsidR="00BE249C" w:rsidRPr="00F3350F">
              <w:rPr>
                <w:rStyle w:val="Hyperlink"/>
                <w:noProof/>
              </w:rPr>
              <w:t>5.5.2.</w:t>
            </w:r>
            <w:r w:rsidR="00BE249C" w:rsidRPr="00F3350F">
              <w:rPr>
                <w:rFonts w:asciiTheme="minorHAnsi" w:eastAsiaTheme="minorEastAsia" w:hAnsiTheme="minorHAnsi" w:cstheme="minorBidi"/>
                <w:noProof/>
              </w:rPr>
              <w:tab/>
            </w:r>
            <w:r w:rsidR="00BE249C" w:rsidRPr="00F3350F">
              <w:rPr>
                <w:rStyle w:val="Hyperlink"/>
                <w:noProof/>
              </w:rPr>
              <w:t>EUL Maximum</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_Toc496784482 \h </w:instrText>
            </w:r>
            <w:r w:rsidR="00BE249C" w:rsidRPr="00F3350F">
              <w:rPr>
                <w:noProof/>
                <w:webHidden/>
              </w:rPr>
            </w:r>
            <w:r w:rsidR="00BE249C" w:rsidRPr="00F3350F">
              <w:rPr>
                <w:noProof/>
                <w:webHidden/>
              </w:rPr>
              <w:fldChar w:fldCharType="separate"/>
            </w:r>
            <w:r>
              <w:rPr>
                <w:noProof/>
                <w:webHidden/>
              </w:rPr>
              <w:t>12</w:t>
            </w:r>
            <w:r w:rsidR="00BE249C" w:rsidRPr="00F3350F">
              <w:rPr>
                <w:noProof/>
                <w:webHidden/>
              </w:rPr>
              <w:fldChar w:fldCharType="end"/>
            </w:r>
          </w:hyperlink>
        </w:p>
        <w:p w14:paraId="24649021" w14:textId="77777777" w:rsidR="00BE249C" w:rsidRPr="00F3350F" w:rsidRDefault="00177330">
          <w:pPr>
            <w:pStyle w:val="TOC3"/>
            <w:rPr>
              <w:rFonts w:asciiTheme="minorHAnsi" w:eastAsiaTheme="minorEastAsia" w:hAnsiTheme="minorHAnsi" w:cstheme="minorBidi"/>
              <w:noProof/>
            </w:rPr>
          </w:pPr>
          <w:hyperlink w:anchor="_Toc496784483" w:history="1">
            <w:r w:rsidR="00BE249C" w:rsidRPr="00F3350F">
              <w:rPr>
                <w:rStyle w:val="Hyperlink"/>
                <w:noProof/>
              </w:rPr>
              <w:t>5.5.3.</w:t>
            </w:r>
            <w:r w:rsidR="00BE249C" w:rsidRPr="00F3350F">
              <w:rPr>
                <w:rFonts w:asciiTheme="minorHAnsi" w:eastAsiaTheme="minorEastAsia" w:hAnsiTheme="minorHAnsi" w:cstheme="minorBidi"/>
                <w:noProof/>
              </w:rPr>
              <w:tab/>
            </w:r>
            <w:r w:rsidR="00BE249C" w:rsidRPr="00F3350F">
              <w:rPr>
                <w:rStyle w:val="Hyperlink"/>
                <w:noProof/>
              </w:rPr>
              <w:t>EUL and Cost-Effectiveness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_Toc496784483 \h </w:instrText>
            </w:r>
            <w:r w:rsidR="00BE249C" w:rsidRPr="00F3350F">
              <w:rPr>
                <w:noProof/>
                <w:webHidden/>
              </w:rPr>
            </w:r>
            <w:r w:rsidR="00BE249C" w:rsidRPr="00F3350F">
              <w:rPr>
                <w:noProof/>
                <w:webHidden/>
              </w:rPr>
              <w:fldChar w:fldCharType="separate"/>
            </w:r>
            <w:r>
              <w:rPr>
                <w:noProof/>
                <w:webHidden/>
              </w:rPr>
              <w:t>12</w:t>
            </w:r>
            <w:r w:rsidR="00BE249C" w:rsidRPr="00F3350F">
              <w:rPr>
                <w:noProof/>
                <w:webHidden/>
              </w:rPr>
              <w:fldChar w:fldCharType="end"/>
            </w:r>
          </w:hyperlink>
        </w:p>
        <w:p w14:paraId="40FA0AAB" w14:textId="77777777" w:rsidR="00BE249C" w:rsidRPr="00F3350F" w:rsidRDefault="00177330">
          <w:pPr>
            <w:pStyle w:val="TOC1"/>
            <w:rPr>
              <w:rFonts w:asciiTheme="minorHAnsi" w:eastAsiaTheme="minorEastAsia" w:hAnsiTheme="minorHAnsi" w:cstheme="minorBidi"/>
              <w:noProof/>
            </w:rPr>
          </w:pPr>
          <w:hyperlink w:anchor="_Toc496784484" w:history="1">
            <w:r w:rsidR="00BE249C" w:rsidRPr="00F3350F">
              <w:rPr>
                <w:rStyle w:val="Hyperlink"/>
                <w:noProof/>
              </w:rPr>
              <w:t>6.</w:t>
            </w:r>
            <w:r w:rsidR="00BE249C" w:rsidRPr="00F3350F">
              <w:rPr>
                <w:rFonts w:asciiTheme="minorHAnsi" w:eastAsiaTheme="minorEastAsia" w:hAnsiTheme="minorHAnsi" w:cstheme="minorBidi"/>
                <w:noProof/>
              </w:rPr>
              <w:tab/>
            </w:r>
            <w:r w:rsidR="00BE249C" w:rsidRPr="00F3350F">
              <w:rPr>
                <w:rStyle w:val="Hyperlink"/>
                <w:noProof/>
              </w:rPr>
              <w:t>Payment Calculations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_Toc496784484 \h </w:instrText>
            </w:r>
            <w:r w:rsidR="00BE249C" w:rsidRPr="00F3350F">
              <w:rPr>
                <w:noProof/>
                <w:webHidden/>
              </w:rPr>
            </w:r>
            <w:r w:rsidR="00BE249C" w:rsidRPr="00F3350F">
              <w:rPr>
                <w:noProof/>
                <w:webHidden/>
              </w:rPr>
              <w:fldChar w:fldCharType="separate"/>
            </w:r>
            <w:r>
              <w:rPr>
                <w:noProof/>
                <w:webHidden/>
              </w:rPr>
              <w:t>13</w:t>
            </w:r>
            <w:r w:rsidR="00BE249C" w:rsidRPr="00F3350F">
              <w:rPr>
                <w:noProof/>
                <w:webHidden/>
              </w:rPr>
              <w:fldChar w:fldCharType="end"/>
            </w:r>
          </w:hyperlink>
        </w:p>
        <w:p w14:paraId="5378234D" w14:textId="77777777" w:rsidR="00BE249C" w:rsidRPr="00F3350F" w:rsidRDefault="00177330">
          <w:pPr>
            <w:pStyle w:val="TOC3"/>
            <w:rPr>
              <w:rFonts w:asciiTheme="minorHAnsi" w:eastAsiaTheme="minorEastAsia" w:hAnsiTheme="minorHAnsi" w:cstheme="minorBidi"/>
              <w:noProof/>
            </w:rPr>
          </w:pPr>
          <w:hyperlink w:anchor="_Toc496784485" w:history="1">
            <w:r w:rsidR="00BE249C" w:rsidRPr="00F3350F">
              <w:rPr>
                <w:rStyle w:val="Hyperlink"/>
                <w:noProof/>
              </w:rPr>
              <w:t>6.1.</w:t>
            </w:r>
            <w:r w:rsidR="00BE249C" w:rsidRPr="00F3350F">
              <w:rPr>
                <w:rFonts w:asciiTheme="minorHAnsi" w:eastAsiaTheme="minorEastAsia" w:hAnsiTheme="minorHAnsi" w:cstheme="minorBidi"/>
                <w:noProof/>
              </w:rPr>
              <w:tab/>
            </w:r>
            <w:r w:rsidR="00BE249C" w:rsidRPr="00F3350F">
              <w:rPr>
                <w:rStyle w:val="Hyperlink"/>
                <w:noProof/>
              </w:rPr>
              <w:t>Measure Cost Determination</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_Toc496784485 \h </w:instrText>
            </w:r>
            <w:r w:rsidR="00BE249C" w:rsidRPr="00F3350F">
              <w:rPr>
                <w:noProof/>
                <w:webHidden/>
              </w:rPr>
            </w:r>
            <w:r w:rsidR="00BE249C" w:rsidRPr="00F3350F">
              <w:rPr>
                <w:noProof/>
                <w:webHidden/>
              </w:rPr>
              <w:fldChar w:fldCharType="separate"/>
            </w:r>
            <w:r>
              <w:rPr>
                <w:noProof/>
                <w:webHidden/>
              </w:rPr>
              <w:t>13</w:t>
            </w:r>
            <w:r w:rsidR="00BE249C" w:rsidRPr="00F3350F">
              <w:rPr>
                <w:noProof/>
                <w:webHidden/>
              </w:rPr>
              <w:fldChar w:fldCharType="end"/>
            </w:r>
          </w:hyperlink>
        </w:p>
        <w:p w14:paraId="42EF315E" w14:textId="77777777" w:rsidR="00BE249C" w:rsidRPr="00F3350F" w:rsidRDefault="00177330">
          <w:pPr>
            <w:pStyle w:val="TOC3"/>
            <w:rPr>
              <w:rFonts w:asciiTheme="minorHAnsi" w:eastAsiaTheme="minorEastAsia" w:hAnsiTheme="minorHAnsi" w:cstheme="minorBidi"/>
              <w:noProof/>
            </w:rPr>
          </w:pPr>
          <w:hyperlink w:anchor="_Toc496784486" w:history="1">
            <w:r w:rsidR="00BE249C" w:rsidRPr="00F3350F">
              <w:rPr>
                <w:rStyle w:val="Hyperlink"/>
                <w:noProof/>
              </w:rPr>
              <w:t>6.2.</w:t>
            </w:r>
            <w:r w:rsidR="00BE249C" w:rsidRPr="00F3350F">
              <w:rPr>
                <w:rFonts w:asciiTheme="minorHAnsi" w:eastAsiaTheme="minorEastAsia" w:hAnsiTheme="minorHAnsi" w:cstheme="minorBidi"/>
                <w:noProof/>
              </w:rPr>
              <w:tab/>
            </w:r>
            <w:r w:rsidR="00BE249C" w:rsidRPr="00F3350F">
              <w:rPr>
                <w:rStyle w:val="Hyperlink"/>
                <w:noProof/>
              </w:rPr>
              <w:t>Incentive Structure Guidance</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_Toc496784486 \h </w:instrText>
            </w:r>
            <w:r w:rsidR="00BE249C" w:rsidRPr="00F3350F">
              <w:rPr>
                <w:noProof/>
                <w:webHidden/>
              </w:rPr>
            </w:r>
            <w:r w:rsidR="00BE249C" w:rsidRPr="00F3350F">
              <w:rPr>
                <w:noProof/>
                <w:webHidden/>
              </w:rPr>
              <w:fldChar w:fldCharType="separate"/>
            </w:r>
            <w:r>
              <w:rPr>
                <w:noProof/>
                <w:webHidden/>
              </w:rPr>
              <w:t>13</w:t>
            </w:r>
            <w:r w:rsidR="00BE249C" w:rsidRPr="00F3350F">
              <w:rPr>
                <w:noProof/>
                <w:webHidden/>
              </w:rPr>
              <w:fldChar w:fldCharType="end"/>
            </w:r>
          </w:hyperlink>
        </w:p>
        <w:p w14:paraId="6D45A84E" w14:textId="77777777" w:rsidR="00BE249C" w:rsidRPr="00F3350F" w:rsidRDefault="00177330">
          <w:pPr>
            <w:pStyle w:val="TOC3"/>
            <w:rPr>
              <w:rFonts w:asciiTheme="minorHAnsi" w:eastAsiaTheme="minorEastAsia" w:hAnsiTheme="minorHAnsi" w:cstheme="minorBidi"/>
              <w:noProof/>
            </w:rPr>
          </w:pPr>
          <w:hyperlink w:anchor="_Toc496784487" w:history="1">
            <w:r w:rsidR="00BE249C" w:rsidRPr="00F3350F">
              <w:rPr>
                <w:rStyle w:val="Hyperlink"/>
                <w:noProof/>
              </w:rPr>
              <w:t>6.3.</w:t>
            </w:r>
            <w:r w:rsidR="00BE249C" w:rsidRPr="00F3350F">
              <w:rPr>
                <w:rFonts w:asciiTheme="minorHAnsi" w:eastAsiaTheme="minorEastAsia" w:hAnsiTheme="minorHAnsi" w:cstheme="minorBidi"/>
                <w:noProof/>
              </w:rPr>
              <w:tab/>
            </w:r>
            <w:r w:rsidR="00BE249C" w:rsidRPr="00F3350F">
              <w:rPr>
                <w:rStyle w:val="Hyperlink"/>
                <w:noProof/>
              </w:rPr>
              <w:t>Customer Incentive Caps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_Toc496784487 \h </w:instrText>
            </w:r>
            <w:r w:rsidR="00BE249C" w:rsidRPr="00F3350F">
              <w:rPr>
                <w:noProof/>
                <w:webHidden/>
              </w:rPr>
            </w:r>
            <w:r w:rsidR="00BE249C" w:rsidRPr="00F3350F">
              <w:rPr>
                <w:noProof/>
                <w:webHidden/>
              </w:rPr>
              <w:fldChar w:fldCharType="separate"/>
            </w:r>
            <w:r>
              <w:rPr>
                <w:noProof/>
                <w:webHidden/>
              </w:rPr>
              <w:t>13</w:t>
            </w:r>
            <w:r w:rsidR="00BE249C" w:rsidRPr="00F3350F">
              <w:rPr>
                <w:noProof/>
                <w:webHidden/>
              </w:rPr>
              <w:fldChar w:fldCharType="end"/>
            </w:r>
          </w:hyperlink>
        </w:p>
        <w:p w14:paraId="2456AB47" w14:textId="77777777" w:rsidR="00BE249C" w:rsidRPr="00F3350F" w:rsidRDefault="00177330">
          <w:pPr>
            <w:pStyle w:val="TOC1"/>
            <w:rPr>
              <w:rFonts w:asciiTheme="minorHAnsi" w:eastAsiaTheme="minorEastAsia" w:hAnsiTheme="minorHAnsi" w:cstheme="minorBidi"/>
              <w:noProof/>
            </w:rPr>
          </w:pPr>
          <w:hyperlink w:anchor="_Toc496784488" w:history="1">
            <w:r w:rsidR="00BE249C" w:rsidRPr="00F3350F">
              <w:rPr>
                <w:rStyle w:val="Hyperlink"/>
                <w:noProof/>
              </w:rPr>
              <w:t>7.</w:t>
            </w:r>
            <w:r w:rsidR="00BE249C" w:rsidRPr="00F3350F">
              <w:rPr>
                <w:rFonts w:asciiTheme="minorHAnsi" w:eastAsiaTheme="minorEastAsia" w:hAnsiTheme="minorHAnsi" w:cstheme="minorBidi"/>
                <w:noProof/>
              </w:rPr>
              <w:tab/>
            </w:r>
            <w:r w:rsidR="00BE249C" w:rsidRPr="00F3350F">
              <w:rPr>
                <w:rStyle w:val="Hyperlink"/>
                <w:noProof/>
              </w:rPr>
              <w:t>Inspections and QA/QC</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_Toc496784488 \h </w:instrText>
            </w:r>
            <w:r w:rsidR="00BE249C" w:rsidRPr="00F3350F">
              <w:rPr>
                <w:noProof/>
                <w:webHidden/>
              </w:rPr>
            </w:r>
            <w:r w:rsidR="00BE249C" w:rsidRPr="00F3350F">
              <w:rPr>
                <w:noProof/>
                <w:webHidden/>
              </w:rPr>
              <w:fldChar w:fldCharType="separate"/>
            </w:r>
            <w:r>
              <w:rPr>
                <w:noProof/>
                <w:webHidden/>
              </w:rPr>
              <w:t>13</w:t>
            </w:r>
            <w:r w:rsidR="00BE249C" w:rsidRPr="00F3350F">
              <w:rPr>
                <w:noProof/>
                <w:webHidden/>
              </w:rPr>
              <w:fldChar w:fldCharType="end"/>
            </w:r>
          </w:hyperlink>
        </w:p>
        <w:p w14:paraId="2BF58ED9" w14:textId="77777777" w:rsidR="00BE249C" w:rsidRPr="00F3350F" w:rsidRDefault="00177330">
          <w:pPr>
            <w:pStyle w:val="TOC3"/>
            <w:rPr>
              <w:rFonts w:asciiTheme="minorHAnsi" w:eastAsiaTheme="minorEastAsia" w:hAnsiTheme="minorHAnsi" w:cstheme="minorBidi"/>
              <w:noProof/>
            </w:rPr>
          </w:pPr>
          <w:hyperlink w:anchor="_Toc496784489" w:history="1">
            <w:r w:rsidR="00BE249C" w:rsidRPr="00F3350F">
              <w:rPr>
                <w:rStyle w:val="Hyperlink"/>
                <w:noProof/>
              </w:rPr>
              <w:t>7.1.</w:t>
            </w:r>
            <w:r w:rsidR="00BE249C" w:rsidRPr="00F3350F">
              <w:rPr>
                <w:rFonts w:asciiTheme="minorHAnsi" w:eastAsiaTheme="minorEastAsia" w:hAnsiTheme="minorHAnsi" w:cstheme="minorBidi"/>
                <w:noProof/>
              </w:rPr>
              <w:tab/>
            </w:r>
            <w:r w:rsidR="00BE249C" w:rsidRPr="00F3350F">
              <w:rPr>
                <w:rStyle w:val="Hyperlink"/>
                <w:noProof/>
              </w:rPr>
              <w:t>High Impact Projects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_Toc496784489 \h </w:instrText>
            </w:r>
            <w:r w:rsidR="00BE249C" w:rsidRPr="00F3350F">
              <w:rPr>
                <w:noProof/>
                <w:webHidden/>
              </w:rPr>
            </w:r>
            <w:r w:rsidR="00BE249C" w:rsidRPr="00F3350F">
              <w:rPr>
                <w:noProof/>
                <w:webHidden/>
              </w:rPr>
              <w:fldChar w:fldCharType="separate"/>
            </w:r>
            <w:r>
              <w:rPr>
                <w:noProof/>
                <w:webHidden/>
              </w:rPr>
              <w:t>13</w:t>
            </w:r>
            <w:r w:rsidR="00BE249C" w:rsidRPr="00F3350F">
              <w:rPr>
                <w:noProof/>
                <w:webHidden/>
              </w:rPr>
              <w:fldChar w:fldCharType="end"/>
            </w:r>
          </w:hyperlink>
        </w:p>
        <w:p w14:paraId="0675DC53" w14:textId="77777777" w:rsidR="00BE249C" w:rsidRPr="00F3350F" w:rsidRDefault="00177330">
          <w:pPr>
            <w:pStyle w:val="TOC3"/>
            <w:rPr>
              <w:rFonts w:asciiTheme="minorHAnsi" w:eastAsiaTheme="minorEastAsia" w:hAnsiTheme="minorHAnsi" w:cstheme="minorBidi"/>
              <w:noProof/>
            </w:rPr>
          </w:pPr>
          <w:hyperlink w:anchor="_Toc496784490" w:history="1">
            <w:r w:rsidR="00BE249C" w:rsidRPr="00F3350F">
              <w:rPr>
                <w:rStyle w:val="Hyperlink"/>
                <w:noProof/>
              </w:rPr>
              <w:t>7.2.</w:t>
            </w:r>
            <w:r w:rsidR="00BE249C" w:rsidRPr="00F3350F">
              <w:rPr>
                <w:rFonts w:asciiTheme="minorHAnsi" w:eastAsiaTheme="minorEastAsia" w:hAnsiTheme="minorHAnsi" w:cstheme="minorBidi"/>
                <w:noProof/>
              </w:rPr>
              <w:tab/>
            </w:r>
            <w:r w:rsidR="00BE249C" w:rsidRPr="00F3350F">
              <w:rPr>
                <w:rStyle w:val="Hyperlink"/>
                <w:noProof/>
              </w:rPr>
              <w:t>Inspection Procedures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_Toc496784490 \h </w:instrText>
            </w:r>
            <w:r w:rsidR="00BE249C" w:rsidRPr="00F3350F">
              <w:rPr>
                <w:noProof/>
                <w:webHidden/>
              </w:rPr>
            </w:r>
            <w:r w:rsidR="00BE249C" w:rsidRPr="00F3350F">
              <w:rPr>
                <w:noProof/>
                <w:webHidden/>
              </w:rPr>
              <w:fldChar w:fldCharType="separate"/>
            </w:r>
            <w:r>
              <w:rPr>
                <w:noProof/>
                <w:webHidden/>
              </w:rPr>
              <w:t>14</w:t>
            </w:r>
            <w:r w:rsidR="00BE249C" w:rsidRPr="00F3350F">
              <w:rPr>
                <w:noProof/>
                <w:webHidden/>
              </w:rPr>
              <w:fldChar w:fldCharType="end"/>
            </w:r>
          </w:hyperlink>
        </w:p>
        <w:p w14:paraId="7292062F" w14:textId="77777777" w:rsidR="00BE249C" w:rsidRPr="00F3350F" w:rsidRDefault="00177330">
          <w:pPr>
            <w:pStyle w:val="TOC1"/>
            <w:rPr>
              <w:rFonts w:asciiTheme="minorHAnsi" w:eastAsiaTheme="minorEastAsia" w:hAnsiTheme="minorHAnsi" w:cstheme="minorBidi"/>
              <w:noProof/>
            </w:rPr>
          </w:pPr>
          <w:hyperlink w:anchor="_Toc496784491" w:history="1">
            <w:r w:rsidR="00BE249C" w:rsidRPr="00F3350F">
              <w:rPr>
                <w:rStyle w:val="Hyperlink"/>
                <w:noProof/>
              </w:rPr>
              <w:t>8.</w:t>
            </w:r>
            <w:r w:rsidR="00BE249C" w:rsidRPr="00F3350F">
              <w:rPr>
                <w:rFonts w:asciiTheme="minorHAnsi" w:eastAsiaTheme="minorEastAsia" w:hAnsiTheme="minorHAnsi" w:cstheme="minorBidi"/>
                <w:noProof/>
              </w:rPr>
              <w:tab/>
            </w:r>
            <w:r w:rsidR="00BE249C" w:rsidRPr="00F3350F">
              <w:rPr>
                <w:rStyle w:val="Hyperlink"/>
                <w:noProof/>
              </w:rPr>
              <w:t>Regulatory Compliance and Reporting</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_Toc496784491 \h </w:instrText>
            </w:r>
            <w:r w:rsidR="00BE249C" w:rsidRPr="00F3350F">
              <w:rPr>
                <w:noProof/>
                <w:webHidden/>
              </w:rPr>
            </w:r>
            <w:r w:rsidR="00BE249C" w:rsidRPr="00F3350F">
              <w:rPr>
                <w:noProof/>
                <w:webHidden/>
              </w:rPr>
              <w:fldChar w:fldCharType="separate"/>
            </w:r>
            <w:r>
              <w:rPr>
                <w:noProof/>
                <w:webHidden/>
              </w:rPr>
              <w:t>14</w:t>
            </w:r>
            <w:r w:rsidR="00BE249C" w:rsidRPr="00F3350F">
              <w:rPr>
                <w:noProof/>
                <w:webHidden/>
              </w:rPr>
              <w:fldChar w:fldCharType="end"/>
            </w:r>
          </w:hyperlink>
        </w:p>
        <w:p w14:paraId="67043574" w14:textId="77777777" w:rsidR="00BE249C" w:rsidRPr="00F3350F" w:rsidRDefault="00177330">
          <w:pPr>
            <w:pStyle w:val="TOC3"/>
            <w:rPr>
              <w:rFonts w:asciiTheme="minorHAnsi" w:eastAsiaTheme="minorEastAsia" w:hAnsiTheme="minorHAnsi" w:cstheme="minorBidi"/>
              <w:noProof/>
            </w:rPr>
          </w:pPr>
          <w:hyperlink w:anchor="_Toc496784492" w:history="1">
            <w:r w:rsidR="00BE249C" w:rsidRPr="00F3350F">
              <w:rPr>
                <w:rStyle w:val="Hyperlink"/>
                <w:noProof/>
              </w:rPr>
              <w:t>8.1.</w:t>
            </w:r>
            <w:r w:rsidR="00BE249C" w:rsidRPr="00F3350F">
              <w:rPr>
                <w:rFonts w:asciiTheme="minorHAnsi" w:eastAsiaTheme="minorEastAsia" w:hAnsiTheme="minorHAnsi" w:cstheme="minorBidi"/>
                <w:noProof/>
              </w:rPr>
              <w:tab/>
            </w:r>
            <w:r w:rsidR="00BE249C" w:rsidRPr="00F3350F">
              <w:rPr>
                <w:rStyle w:val="Hyperlink"/>
                <w:noProof/>
              </w:rPr>
              <w:t>Timing of Payments and Claims</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_Toc496784492 \h </w:instrText>
            </w:r>
            <w:r w:rsidR="00BE249C" w:rsidRPr="00F3350F">
              <w:rPr>
                <w:noProof/>
                <w:webHidden/>
              </w:rPr>
            </w:r>
            <w:r w:rsidR="00BE249C" w:rsidRPr="00F3350F">
              <w:rPr>
                <w:noProof/>
                <w:webHidden/>
              </w:rPr>
              <w:fldChar w:fldCharType="separate"/>
            </w:r>
            <w:r>
              <w:rPr>
                <w:noProof/>
                <w:webHidden/>
              </w:rPr>
              <w:t>14</w:t>
            </w:r>
            <w:r w:rsidR="00BE249C" w:rsidRPr="00F3350F">
              <w:rPr>
                <w:noProof/>
                <w:webHidden/>
              </w:rPr>
              <w:fldChar w:fldCharType="end"/>
            </w:r>
          </w:hyperlink>
        </w:p>
        <w:p w14:paraId="27839110" w14:textId="77777777" w:rsidR="00BE249C" w:rsidRPr="00F3350F" w:rsidRDefault="00177330">
          <w:pPr>
            <w:pStyle w:val="TOC3"/>
            <w:rPr>
              <w:rFonts w:asciiTheme="minorHAnsi" w:eastAsiaTheme="minorEastAsia" w:hAnsiTheme="minorHAnsi" w:cstheme="minorBidi"/>
              <w:noProof/>
            </w:rPr>
          </w:pPr>
          <w:hyperlink w:anchor="_Toc496784493" w:history="1">
            <w:r w:rsidR="00BE249C" w:rsidRPr="00F3350F">
              <w:rPr>
                <w:rStyle w:val="Hyperlink"/>
                <w:noProof/>
              </w:rPr>
              <w:t>8.2.</w:t>
            </w:r>
            <w:r w:rsidR="00BE249C" w:rsidRPr="00F3350F">
              <w:rPr>
                <w:rFonts w:asciiTheme="minorHAnsi" w:eastAsiaTheme="minorEastAsia" w:hAnsiTheme="minorHAnsi" w:cstheme="minorBidi"/>
                <w:noProof/>
              </w:rPr>
              <w:tab/>
            </w:r>
            <w:r w:rsidR="00BE249C" w:rsidRPr="00F3350F">
              <w:rPr>
                <w:rStyle w:val="Hyperlink"/>
                <w:noProof/>
              </w:rPr>
              <w:t>Systems of Record</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_Toc496784493 \h </w:instrText>
            </w:r>
            <w:r w:rsidR="00BE249C" w:rsidRPr="00F3350F">
              <w:rPr>
                <w:noProof/>
                <w:webHidden/>
              </w:rPr>
            </w:r>
            <w:r w:rsidR="00BE249C" w:rsidRPr="00F3350F">
              <w:rPr>
                <w:noProof/>
                <w:webHidden/>
              </w:rPr>
              <w:fldChar w:fldCharType="separate"/>
            </w:r>
            <w:r>
              <w:rPr>
                <w:noProof/>
                <w:webHidden/>
              </w:rPr>
              <w:t>14</w:t>
            </w:r>
            <w:r w:rsidR="00BE249C" w:rsidRPr="00F3350F">
              <w:rPr>
                <w:noProof/>
                <w:webHidden/>
              </w:rPr>
              <w:fldChar w:fldCharType="end"/>
            </w:r>
          </w:hyperlink>
        </w:p>
        <w:p w14:paraId="7D60D831" w14:textId="77777777" w:rsidR="00BE249C" w:rsidRPr="00F3350F" w:rsidRDefault="00177330">
          <w:pPr>
            <w:pStyle w:val="TOC3"/>
            <w:rPr>
              <w:rFonts w:asciiTheme="minorHAnsi" w:eastAsiaTheme="minorEastAsia" w:hAnsiTheme="minorHAnsi" w:cstheme="minorBidi"/>
              <w:noProof/>
            </w:rPr>
          </w:pPr>
          <w:hyperlink w:anchor="_Toc496784494" w:history="1">
            <w:r w:rsidR="00BE249C" w:rsidRPr="00F3350F">
              <w:rPr>
                <w:rStyle w:val="Hyperlink"/>
                <w:noProof/>
              </w:rPr>
              <w:t>8.3.</w:t>
            </w:r>
            <w:r w:rsidR="00BE249C" w:rsidRPr="00F3350F">
              <w:rPr>
                <w:rFonts w:asciiTheme="minorHAnsi" w:eastAsiaTheme="minorEastAsia" w:hAnsiTheme="minorHAnsi" w:cstheme="minorBidi"/>
                <w:noProof/>
              </w:rPr>
              <w:tab/>
            </w:r>
            <w:r w:rsidR="00BE249C" w:rsidRPr="00F3350F">
              <w:rPr>
                <w:rStyle w:val="Hyperlink"/>
                <w:noProof/>
              </w:rPr>
              <w:t>Energy Insight Documentation</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_Toc496784494 \h </w:instrText>
            </w:r>
            <w:r w:rsidR="00BE249C" w:rsidRPr="00F3350F">
              <w:rPr>
                <w:noProof/>
                <w:webHidden/>
              </w:rPr>
            </w:r>
            <w:r w:rsidR="00BE249C" w:rsidRPr="00F3350F">
              <w:rPr>
                <w:noProof/>
                <w:webHidden/>
              </w:rPr>
              <w:fldChar w:fldCharType="separate"/>
            </w:r>
            <w:r>
              <w:rPr>
                <w:noProof/>
                <w:webHidden/>
              </w:rPr>
              <w:t>14</w:t>
            </w:r>
            <w:r w:rsidR="00BE249C" w:rsidRPr="00F3350F">
              <w:rPr>
                <w:noProof/>
                <w:webHidden/>
              </w:rPr>
              <w:fldChar w:fldCharType="end"/>
            </w:r>
          </w:hyperlink>
        </w:p>
        <w:p w14:paraId="0752D7A6" w14:textId="77777777" w:rsidR="00BE249C" w:rsidRPr="00F3350F" w:rsidRDefault="00177330">
          <w:pPr>
            <w:pStyle w:val="TOC1"/>
            <w:rPr>
              <w:rFonts w:asciiTheme="minorHAnsi" w:eastAsiaTheme="minorEastAsia" w:hAnsiTheme="minorHAnsi" w:cstheme="minorBidi"/>
              <w:noProof/>
            </w:rPr>
          </w:pPr>
          <w:hyperlink w:anchor="_Toc496784495" w:history="1">
            <w:r w:rsidR="00BE249C" w:rsidRPr="00F3350F">
              <w:rPr>
                <w:rStyle w:val="Hyperlink"/>
                <w:noProof/>
              </w:rPr>
              <w:t>9.</w:t>
            </w:r>
            <w:r w:rsidR="00BE249C" w:rsidRPr="00F3350F">
              <w:rPr>
                <w:rFonts w:asciiTheme="minorHAnsi" w:eastAsiaTheme="minorEastAsia" w:hAnsiTheme="minorHAnsi" w:cstheme="minorBidi"/>
                <w:noProof/>
              </w:rPr>
              <w:tab/>
            </w:r>
            <w:r w:rsidR="00BE249C" w:rsidRPr="00F3350F">
              <w:rPr>
                <w:rStyle w:val="Hyperlink"/>
                <w:noProof/>
              </w:rPr>
              <w:t>Other</w:t>
            </w:r>
            <w:r w:rsidR="00BE249C" w:rsidRPr="00F3350F">
              <w:rPr>
                <w:noProof/>
                <w:webHidden/>
              </w:rPr>
              <w:tab/>
            </w:r>
            <w:r w:rsidR="00BE249C" w:rsidRPr="00F3350F">
              <w:rPr>
                <w:noProof/>
                <w:webHidden/>
              </w:rPr>
              <w:fldChar w:fldCharType="begin"/>
            </w:r>
            <w:r w:rsidR="00BE249C" w:rsidRPr="00F3350F">
              <w:rPr>
                <w:noProof/>
                <w:webHidden/>
              </w:rPr>
              <w:instrText xml:space="preserve"> PAGEREF _Toc496784495 \h </w:instrText>
            </w:r>
            <w:r w:rsidR="00BE249C" w:rsidRPr="00F3350F">
              <w:rPr>
                <w:noProof/>
                <w:webHidden/>
              </w:rPr>
            </w:r>
            <w:r w:rsidR="00BE249C" w:rsidRPr="00F3350F">
              <w:rPr>
                <w:noProof/>
                <w:webHidden/>
              </w:rPr>
              <w:fldChar w:fldCharType="separate"/>
            </w:r>
            <w:r>
              <w:rPr>
                <w:noProof/>
                <w:webHidden/>
              </w:rPr>
              <w:t>15</w:t>
            </w:r>
            <w:r w:rsidR="00BE249C" w:rsidRPr="00F3350F">
              <w:rPr>
                <w:noProof/>
                <w:webHidden/>
              </w:rPr>
              <w:fldChar w:fldCharType="end"/>
            </w:r>
          </w:hyperlink>
        </w:p>
        <w:p w14:paraId="33BA04FB" w14:textId="77777777" w:rsidR="00313093" w:rsidRPr="00F3350F" w:rsidRDefault="000278F2" w:rsidP="00B6697F">
          <w:pPr>
            <w:rPr>
              <w:noProof/>
            </w:rPr>
          </w:pPr>
          <w:r w:rsidRPr="00F3350F">
            <w:rPr>
              <w:b/>
              <w:bCs/>
              <w:noProof/>
            </w:rPr>
            <w:fldChar w:fldCharType="end"/>
          </w:r>
        </w:p>
      </w:sdtContent>
    </w:sdt>
    <w:p w14:paraId="1E5FEFE4" w14:textId="4C59C45F" w:rsidR="008740FE" w:rsidRPr="00F3350F" w:rsidRDefault="00F51EB4" w:rsidP="00B6697F">
      <w:pPr>
        <w:rPr>
          <w:noProof/>
        </w:rPr>
      </w:pPr>
      <w:r w:rsidRPr="00F3350F">
        <w:rPr>
          <w:noProof/>
        </w:rPr>
        <w:br w:type="page"/>
      </w:r>
    </w:p>
    <w:p w14:paraId="3F5C7A69" w14:textId="77777777" w:rsidR="00035D86" w:rsidRPr="00F3350F" w:rsidRDefault="00035D86" w:rsidP="00B6697F">
      <w:pPr>
        <w:rPr>
          <w:rFonts w:eastAsiaTheme="minorHAnsi"/>
        </w:rPr>
      </w:pPr>
      <w:bookmarkStart w:id="1" w:name="_Toc442455271"/>
      <w:bookmarkEnd w:id="1"/>
      <w:r w:rsidRPr="00F3350F">
        <w:rPr>
          <w:rFonts w:eastAsiaTheme="minorHAnsi"/>
        </w:rPr>
        <w:lastRenderedPageBreak/>
        <w:t>Change Log</w:t>
      </w:r>
    </w:p>
    <w:tbl>
      <w:tblPr>
        <w:tblStyle w:val="TableGrid"/>
        <w:tblW w:w="0" w:type="auto"/>
        <w:tblLook w:val="04A0" w:firstRow="1" w:lastRow="0" w:firstColumn="1" w:lastColumn="0" w:noHBand="0" w:noVBand="1"/>
      </w:tblPr>
      <w:tblGrid>
        <w:gridCol w:w="1616"/>
        <w:gridCol w:w="1887"/>
        <w:gridCol w:w="6073"/>
      </w:tblGrid>
      <w:tr w:rsidR="00035D86" w:rsidRPr="00F3350F" w14:paraId="606FC4B8" w14:textId="77777777" w:rsidTr="00035D86">
        <w:tc>
          <w:tcPr>
            <w:tcW w:w="1616" w:type="dxa"/>
          </w:tcPr>
          <w:p w14:paraId="59D0E283" w14:textId="77777777" w:rsidR="00035D86" w:rsidRPr="00F3350F" w:rsidRDefault="00035D86" w:rsidP="00B6697F">
            <w:r w:rsidRPr="00F3350F">
              <w:t>Version</w:t>
            </w:r>
          </w:p>
        </w:tc>
        <w:tc>
          <w:tcPr>
            <w:tcW w:w="1887" w:type="dxa"/>
          </w:tcPr>
          <w:p w14:paraId="3D8EA9A9" w14:textId="77777777" w:rsidR="00035D86" w:rsidRPr="00F3350F" w:rsidRDefault="00035D86" w:rsidP="00B6697F">
            <w:r w:rsidRPr="00F3350F">
              <w:t>Date</w:t>
            </w:r>
          </w:p>
        </w:tc>
        <w:tc>
          <w:tcPr>
            <w:tcW w:w="6073" w:type="dxa"/>
          </w:tcPr>
          <w:p w14:paraId="250F8BB7" w14:textId="77777777" w:rsidR="00035D86" w:rsidRPr="00F3350F" w:rsidRDefault="00035D86" w:rsidP="00B6697F">
            <w:r w:rsidRPr="00F3350F">
              <w:t>Description</w:t>
            </w:r>
          </w:p>
        </w:tc>
      </w:tr>
      <w:tr w:rsidR="00035D86" w:rsidRPr="00F3350F" w14:paraId="2231A9B1" w14:textId="77777777" w:rsidTr="00035D86">
        <w:tc>
          <w:tcPr>
            <w:tcW w:w="1616" w:type="dxa"/>
          </w:tcPr>
          <w:p w14:paraId="3ADAAD7F" w14:textId="77777777" w:rsidR="00035D86" w:rsidRPr="00F3350F" w:rsidRDefault="00035D86" w:rsidP="00B6697F">
            <w:r w:rsidRPr="00F3350F">
              <w:t>v0.1</w:t>
            </w:r>
          </w:p>
        </w:tc>
        <w:tc>
          <w:tcPr>
            <w:tcW w:w="1887" w:type="dxa"/>
          </w:tcPr>
          <w:p w14:paraId="723EB521" w14:textId="77777777" w:rsidR="00035D86" w:rsidRPr="00F3350F" w:rsidRDefault="00035D86" w:rsidP="00B6697F">
            <w:r w:rsidRPr="00F3350F">
              <w:t>9/17/2017</w:t>
            </w:r>
          </w:p>
        </w:tc>
        <w:tc>
          <w:tcPr>
            <w:tcW w:w="6073" w:type="dxa"/>
          </w:tcPr>
          <w:p w14:paraId="6AB7A494" w14:textId="333C5C65" w:rsidR="00035D86" w:rsidRPr="00F3350F" w:rsidRDefault="00035D86" w:rsidP="00B6697F"/>
        </w:tc>
      </w:tr>
      <w:tr w:rsidR="00035D86" w:rsidRPr="00F3350F" w14:paraId="276DDE9D" w14:textId="77777777" w:rsidTr="00035D86">
        <w:tc>
          <w:tcPr>
            <w:tcW w:w="1616" w:type="dxa"/>
          </w:tcPr>
          <w:p w14:paraId="6647C2AA" w14:textId="2DB15A12" w:rsidR="00035D86" w:rsidRPr="00F3350F" w:rsidRDefault="00035D86" w:rsidP="00566BFA">
            <w:r w:rsidRPr="00F3350F">
              <w:t>v0.</w:t>
            </w:r>
            <w:r w:rsidR="00566BFA" w:rsidRPr="00F3350F">
              <w:t>2</w:t>
            </w:r>
          </w:p>
        </w:tc>
        <w:tc>
          <w:tcPr>
            <w:tcW w:w="1887" w:type="dxa"/>
          </w:tcPr>
          <w:p w14:paraId="6A03EC04" w14:textId="77777777" w:rsidR="00035D86" w:rsidRPr="00F3350F" w:rsidRDefault="00035D86" w:rsidP="00B6697F">
            <w:r w:rsidRPr="00F3350F">
              <w:t>9/29/2017</w:t>
            </w:r>
          </w:p>
        </w:tc>
        <w:tc>
          <w:tcPr>
            <w:tcW w:w="6073" w:type="dxa"/>
          </w:tcPr>
          <w:p w14:paraId="338243C0" w14:textId="07D9340B" w:rsidR="00035D86" w:rsidRPr="00F3350F" w:rsidRDefault="00035D86" w:rsidP="00B6697F"/>
        </w:tc>
      </w:tr>
      <w:tr w:rsidR="00035D86" w:rsidRPr="00F3350F" w14:paraId="0CA42AE6" w14:textId="77777777" w:rsidTr="00035D86">
        <w:tc>
          <w:tcPr>
            <w:tcW w:w="1616" w:type="dxa"/>
          </w:tcPr>
          <w:p w14:paraId="3D01F9E9" w14:textId="32AE32C2" w:rsidR="00035D86" w:rsidRPr="00F3350F" w:rsidRDefault="00087E1C" w:rsidP="00566BFA">
            <w:r w:rsidRPr="00F3350F">
              <w:t>v</w:t>
            </w:r>
            <w:r w:rsidR="00566BFA" w:rsidRPr="00F3350F">
              <w:t>0.3</w:t>
            </w:r>
          </w:p>
        </w:tc>
        <w:tc>
          <w:tcPr>
            <w:tcW w:w="1887" w:type="dxa"/>
          </w:tcPr>
          <w:p w14:paraId="0FDD476C" w14:textId="6E260E18" w:rsidR="00035D86" w:rsidRPr="00F3350F" w:rsidRDefault="00087E1C" w:rsidP="00B6697F">
            <w:r w:rsidRPr="00F3350F">
              <w:t>10/15/2017</w:t>
            </w:r>
          </w:p>
        </w:tc>
        <w:tc>
          <w:tcPr>
            <w:tcW w:w="6073" w:type="dxa"/>
          </w:tcPr>
          <w:p w14:paraId="3709C3AA" w14:textId="5FDE0F1F" w:rsidR="00035D86" w:rsidRPr="00F3350F" w:rsidRDefault="00035D86" w:rsidP="00B6697F"/>
        </w:tc>
      </w:tr>
      <w:tr w:rsidR="00035D86" w:rsidRPr="00F3350F" w14:paraId="11A20216" w14:textId="77777777" w:rsidTr="00035D86">
        <w:tc>
          <w:tcPr>
            <w:tcW w:w="1616" w:type="dxa"/>
          </w:tcPr>
          <w:p w14:paraId="110E80BD" w14:textId="64F6FF83" w:rsidR="00035D86" w:rsidRPr="00F3350F" w:rsidRDefault="007F49EC" w:rsidP="00566BFA">
            <w:r w:rsidRPr="00F3350F">
              <w:t>v</w:t>
            </w:r>
            <w:r w:rsidR="00566BFA" w:rsidRPr="00F3350F">
              <w:t>0.4</w:t>
            </w:r>
          </w:p>
        </w:tc>
        <w:tc>
          <w:tcPr>
            <w:tcW w:w="1887" w:type="dxa"/>
          </w:tcPr>
          <w:p w14:paraId="746D9B90" w14:textId="23EA999D" w:rsidR="00035D86" w:rsidRPr="00F3350F" w:rsidRDefault="007F49EC" w:rsidP="00B6697F">
            <w:r w:rsidRPr="00F3350F">
              <w:t>10/18/2017</w:t>
            </w:r>
          </w:p>
        </w:tc>
        <w:tc>
          <w:tcPr>
            <w:tcW w:w="6073" w:type="dxa"/>
          </w:tcPr>
          <w:p w14:paraId="2BF5D967" w14:textId="72B529F7" w:rsidR="00035D86" w:rsidRPr="00F3350F" w:rsidRDefault="00035D86" w:rsidP="00B6697F"/>
        </w:tc>
      </w:tr>
      <w:tr w:rsidR="00566BFA" w:rsidRPr="00F3350F" w14:paraId="1C6138BA" w14:textId="77777777" w:rsidTr="00035D86">
        <w:tc>
          <w:tcPr>
            <w:tcW w:w="1616" w:type="dxa"/>
          </w:tcPr>
          <w:p w14:paraId="304DF076" w14:textId="1F3F3560" w:rsidR="00566BFA" w:rsidRPr="00F3350F" w:rsidRDefault="00566BFA" w:rsidP="00566BFA">
            <w:r w:rsidRPr="00F3350F">
              <w:t>v0.5</w:t>
            </w:r>
          </w:p>
        </w:tc>
        <w:tc>
          <w:tcPr>
            <w:tcW w:w="1887" w:type="dxa"/>
          </w:tcPr>
          <w:p w14:paraId="390E9F88" w14:textId="56EF70E6" w:rsidR="00566BFA" w:rsidRPr="00F3350F" w:rsidRDefault="00566BFA" w:rsidP="00B6697F">
            <w:r w:rsidRPr="00F3350F">
              <w:t>10/26/2017</w:t>
            </w:r>
          </w:p>
        </w:tc>
        <w:tc>
          <w:tcPr>
            <w:tcW w:w="6073" w:type="dxa"/>
          </w:tcPr>
          <w:p w14:paraId="010AF4E2" w14:textId="3ACB1D45" w:rsidR="00566BFA" w:rsidRPr="00F3350F" w:rsidRDefault="00566BFA" w:rsidP="00B6697F">
            <w:r w:rsidRPr="00F3350F">
              <w:t>Draft sent for external comment</w:t>
            </w:r>
          </w:p>
        </w:tc>
      </w:tr>
    </w:tbl>
    <w:p w14:paraId="6580CACE" w14:textId="77777777" w:rsidR="005B1801" w:rsidRPr="00F3350F" w:rsidRDefault="005B1801" w:rsidP="00B6697F">
      <w:pPr>
        <w:rPr>
          <w:rFonts w:eastAsiaTheme="minorHAnsi"/>
        </w:rPr>
      </w:pPr>
    </w:p>
    <w:p w14:paraId="43D3B765" w14:textId="76D4C1C1" w:rsidR="00035D86" w:rsidRPr="00F3350F" w:rsidRDefault="00035D86" w:rsidP="00B6697F">
      <w:pPr>
        <w:rPr>
          <w:rFonts w:eastAsiaTheme="minorHAnsi"/>
        </w:rPr>
      </w:pPr>
      <w:r w:rsidRPr="00F3350F">
        <w:rPr>
          <w:rFonts w:eastAsiaTheme="minorHAnsi"/>
        </w:rPr>
        <w:t>Glossary</w:t>
      </w:r>
      <w:r w:rsidR="00BE249C" w:rsidRPr="00F3350F">
        <w:rPr>
          <w:rFonts w:eastAsiaTheme="minorHAnsi"/>
        </w:rPr>
        <w:t xml:space="preserve"> (this section to be moved into an appendix)</w:t>
      </w:r>
    </w:p>
    <w:p w14:paraId="2C2F6D0B" w14:textId="77777777" w:rsidR="00035D86" w:rsidRPr="00F3350F" w:rsidRDefault="00035D86" w:rsidP="00B6697F">
      <w:pPr>
        <w:rPr>
          <w:rFonts w:eastAsiaTheme="minorHAnsi"/>
        </w:rPr>
      </w:pPr>
      <w:r w:rsidRPr="00F3350F">
        <w:rPr>
          <w:rFonts w:eastAsiaTheme="minorHAnsi"/>
        </w:rPr>
        <w:t>Aggregation</w:t>
      </w:r>
    </w:p>
    <w:p w14:paraId="3277002F" w14:textId="77777777" w:rsidR="00035D86" w:rsidRPr="00F3350F" w:rsidRDefault="00035D86" w:rsidP="00B6697F">
      <w:pPr>
        <w:rPr>
          <w:rFonts w:eastAsiaTheme="minorHAnsi"/>
        </w:rPr>
      </w:pPr>
      <w:r w:rsidRPr="00F3350F">
        <w:rPr>
          <w:rFonts w:eastAsiaTheme="minorHAnsi"/>
        </w:rPr>
        <w:t>Comparison group</w:t>
      </w:r>
    </w:p>
    <w:p w14:paraId="1A4EE5F7" w14:textId="77777777" w:rsidR="00035D86" w:rsidRPr="00F3350F" w:rsidRDefault="00035D86" w:rsidP="00B6697F">
      <w:pPr>
        <w:rPr>
          <w:rFonts w:eastAsiaTheme="minorHAnsi"/>
        </w:rPr>
      </w:pPr>
      <w:r w:rsidRPr="00F3350F">
        <w:rPr>
          <w:rFonts w:eastAsiaTheme="minorHAnsi"/>
        </w:rPr>
        <w:t>Effective Useful Life</w:t>
      </w:r>
    </w:p>
    <w:p w14:paraId="5FD8F4DE" w14:textId="77777777" w:rsidR="00035D86" w:rsidRPr="00F3350F" w:rsidRDefault="00035D86" w:rsidP="00B6697F">
      <w:pPr>
        <w:rPr>
          <w:rFonts w:eastAsiaTheme="minorHAnsi"/>
        </w:rPr>
      </w:pPr>
      <w:r w:rsidRPr="00F3350F">
        <w:rPr>
          <w:rFonts w:eastAsiaTheme="minorHAnsi"/>
        </w:rPr>
        <w:t>Influence</w:t>
      </w:r>
    </w:p>
    <w:p w14:paraId="2136D512" w14:textId="77777777" w:rsidR="00035D86" w:rsidRPr="00F3350F" w:rsidRDefault="00035D86" w:rsidP="00B6697F">
      <w:pPr>
        <w:rPr>
          <w:rFonts w:eastAsiaTheme="minorHAnsi"/>
        </w:rPr>
      </w:pPr>
      <w:r w:rsidRPr="00F3350F">
        <w:rPr>
          <w:rFonts w:eastAsiaTheme="minorHAnsi"/>
        </w:rPr>
        <w:t>Gross claimable savings</w:t>
      </w:r>
    </w:p>
    <w:p w14:paraId="4F98E702" w14:textId="77777777" w:rsidR="00035D86" w:rsidRPr="00F3350F" w:rsidRDefault="00035D86" w:rsidP="00B6697F">
      <w:pPr>
        <w:rPr>
          <w:rFonts w:eastAsiaTheme="minorHAnsi"/>
        </w:rPr>
      </w:pPr>
      <w:r w:rsidRPr="00F3350F">
        <w:rPr>
          <w:rFonts w:eastAsiaTheme="minorHAnsi"/>
        </w:rPr>
        <w:t>Net claimable savings</w:t>
      </w:r>
    </w:p>
    <w:p w14:paraId="37E31EE7" w14:textId="77777777" w:rsidR="00035D86" w:rsidRPr="00F3350F" w:rsidRDefault="00035D86" w:rsidP="00B6697F">
      <w:pPr>
        <w:rPr>
          <w:rFonts w:eastAsiaTheme="minorHAnsi"/>
        </w:rPr>
      </w:pPr>
      <w:r w:rsidRPr="00F3350F">
        <w:rPr>
          <w:rFonts w:eastAsiaTheme="minorHAnsi"/>
        </w:rPr>
        <w:t>Non-routine event</w:t>
      </w:r>
    </w:p>
    <w:p w14:paraId="1F256254" w14:textId="77777777" w:rsidR="00035D86" w:rsidRPr="00F3350F" w:rsidRDefault="00035D86" w:rsidP="00B6697F">
      <w:pPr>
        <w:rPr>
          <w:rFonts w:eastAsiaTheme="minorHAnsi"/>
        </w:rPr>
      </w:pPr>
      <w:r w:rsidRPr="00F3350F">
        <w:rPr>
          <w:rFonts w:eastAsiaTheme="minorHAnsi"/>
        </w:rPr>
        <w:t>Observed savings</w:t>
      </w:r>
    </w:p>
    <w:p w14:paraId="783A0542" w14:textId="77777777" w:rsidR="00035D86" w:rsidRPr="00F3350F" w:rsidRDefault="00035D86" w:rsidP="00B6697F">
      <w:pPr>
        <w:rPr>
          <w:rFonts w:eastAsiaTheme="minorHAnsi"/>
        </w:rPr>
      </w:pPr>
      <w:r w:rsidRPr="00F3350F">
        <w:rPr>
          <w:rFonts w:eastAsiaTheme="minorHAnsi"/>
        </w:rPr>
        <w:t>Persistence</w:t>
      </w:r>
    </w:p>
    <w:p w14:paraId="64E89F86" w14:textId="77777777" w:rsidR="00035D86" w:rsidRPr="00F3350F" w:rsidRDefault="00035D86" w:rsidP="00B6697F">
      <w:pPr>
        <w:rPr>
          <w:rFonts w:eastAsiaTheme="minorHAnsi"/>
        </w:rPr>
      </w:pPr>
      <w:r w:rsidRPr="00F3350F">
        <w:rPr>
          <w:rFonts w:eastAsiaTheme="minorHAnsi"/>
        </w:rPr>
        <w:t>Site-specific</w:t>
      </w:r>
    </w:p>
    <w:p w14:paraId="335F27E8" w14:textId="2B17DFB8" w:rsidR="005B1801" w:rsidRPr="00F3350F" w:rsidRDefault="00B34018" w:rsidP="00B6697F">
      <w:pPr>
        <w:rPr>
          <w:rFonts w:eastAsiaTheme="minorHAnsi"/>
        </w:rPr>
      </w:pPr>
      <w:r w:rsidRPr="00F3350F">
        <w:rPr>
          <w:rFonts w:eastAsiaTheme="minorHAnsi"/>
        </w:rPr>
        <w:t>NTG</w:t>
      </w:r>
    </w:p>
    <w:p w14:paraId="425EB601" w14:textId="77777777" w:rsidR="00566BFA" w:rsidRPr="00F3350F" w:rsidRDefault="00566BFA" w:rsidP="00B6697F">
      <w:pPr>
        <w:rPr>
          <w:rFonts w:eastAsiaTheme="minorHAnsi"/>
        </w:rPr>
      </w:pPr>
    </w:p>
    <w:p w14:paraId="26231A22" w14:textId="1FC6018B" w:rsidR="00B35E50" w:rsidRPr="00F3350F" w:rsidRDefault="00035D86" w:rsidP="00B6697F">
      <w:pPr>
        <w:pStyle w:val="Heading1"/>
      </w:pPr>
      <w:bookmarkStart w:id="2" w:name="_Toc496784439"/>
      <w:r w:rsidRPr="00F3350F">
        <w:t>Introduction</w:t>
      </w:r>
      <w:bookmarkEnd w:id="2"/>
    </w:p>
    <w:p w14:paraId="5022DBB7" w14:textId="77777777" w:rsidR="00076F08" w:rsidRPr="00F3350F" w:rsidRDefault="00076F08" w:rsidP="00B6697F"/>
    <w:p w14:paraId="53D4A3E0" w14:textId="3BAA286F" w:rsidR="003528C9" w:rsidRPr="00F3350F" w:rsidRDefault="003528C9" w:rsidP="00B6697F">
      <w:r w:rsidRPr="00F3350F">
        <w:t xml:space="preserve">This chapter compiles rules and guidance associated with </w:t>
      </w:r>
      <w:r w:rsidR="00817499" w:rsidRPr="00F3350F">
        <w:t>m</w:t>
      </w:r>
      <w:r w:rsidRPr="00F3350F">
        <w:t>eter-</w:t>
      </w:r>
      <w:r w:rsidR="00817499" w:rsidRPr="00F3350F">
        <w:t>based s</w:t>
      </w:r>
      <w:r w:rsidRPr="00F3350F">
        <w:t>avings</w:t>
      </w:r>
      <w:r w:rsidR="00817499" w:rsidRPr="00F3350F">
        <w:t xml:space="preserve">, including savings from </w:t>
      </w:r>
      <w:r w:rsidR="001824C0" w:rsidRPr="00F3350F">
        <w:t>behavioral interventions</w:t>
      </w:r>
      <w:r w:rsidRPr="00F3350F">
        <w:t xml:space="preserve">. </w:t>
      </w:r>
      <w:r w:rsidR="00F34B8F" w:rsidRPr="00F3350F">
        <w:t xml:space="preserve">While some written guidance around meter-based approaches exists, such approaches are not as well established as deemed or custom approaches. This chapter contains the best available guidance </w:t>
      </w:r>
      <w:r w:rsidR="00B34018" w:rsidRPr="00F3350F">
        <w:t xml:space="preserve">and Commission policy </w:t>
      </w:r>
      <w:r w:rsidR="00F34B8F" w:rsidRPr="00F3350F">
        <w:t xml:space="preserve">surrounding </w:t>
      </w:r>
      <w:r w:rsidR="0086228F" w:rsidRPr="00F3350F">
        <w:t>meter-based approaches at the time of this writing. It should be expected that language in this chapter will be expanded, modified, and clarified as guidance around meter-based approaches becomes established.</w:t>
      </w:r>
    </w:p>
    <w:p w14:paraId="1F9FADE8" w14:textId="77777777" w:rsidR="003528C9" w:rsidRPr="00F3350F" w:rsidRDefault="003528C9" w:rsidP="00B6697F"/>
    <w:p w14:paraId="207987EF" w14:textId="1D02BAE7" w:rsidR="003528C9" w:rsidRPr="00F3350F" w:rsidRDefault="00B34018" w:rsidP="00B6697F">
      <w:r w:rsidRPr="00F3350F">
        <w:t>There are some</w:t>
      </w:r>
      <w:r w:rsidR="003528C9" w:rsidRPr="00F3350F">
        <w:t xml:space="preserve"> fundamental differences in the calculation approaches among meter-based offerings. </w:t>
      </w:r>
      <w:r w:rsidRPr="00F3350F">
        <w:t>For example,</w:t>
      </w:r>
      <w:r w:rsidR="003528C9" w:rsidRPr="00F3350F">
        <w:t xml:space="preserve"> aggregation or population-based approaches</w:t>
      </w:r>
      <w:r w:rsidR="00566BFA" w:rsidRPr="00F3350F">
        <w:t xml:space="preserve"> </w:t>
      </w:r>
      <w:r w:rsidR="003528C9" w:rsidRPr="00F3350F">
        <w:t xml:space="preserve">formulate non-participating control groups with similar characteristics to the participant group and use statistical methods to contrast the two. Such methods are common (e.g. residential applications) when populations are homogenous and large enough to yield statistically significant results. In other cases, as in the industrial sector, customer operations are too specific to generate large enough comparison groups. In these cases, a site-specific analysis </w:t>
      </w:r>
      <w:r w:rsidRPr="00F3350F">
        <w:t xml:space="preserve">may be required which </w:t>
      </w:r>
      <w:r w:rsidR="003528C9" w:rsidRPr="00F3350F">
        <w:t>is conducted by obs</w:t>
      </w:r>
      <w:r w:rsidR="00F34B8F" w:rsidRPr="00F3350F">
        <w:t xml:space="preserve">erving the pre-implementation </w:t>
      </w:r>
      <w:r w:rsidR="003528C9" w:rsidRPr="00F3350F">
        <w:t xml:space="preserve">data, projecting </w:t>
      </w:r>
      <w:r w:rsidR="00F34B8F" w:rsidRPr="00F3350F">
        <w:t xml:space="preserve">the </w:t>
      </w:r>
      <w:r w:rsidR="003528C9" w:rsidRPr="00F3350F">
        <w:t>post-implementation data</w:t>
      </w:r>
      <w:r w:rsidR="00F34B8F" w:rsidRPr="00F3350F">
        <w:t xml:space="preserve"> based on the observation</w:t>
      </w:r>
      <w:r w:rsidR="003528C9" w:rsidRPr="00F3350F">
        <w:t xml:space="preserve">, and </w:t>
      </w:r>
      <w:r w:rsidR="00F34B8F" w:rsidRPr="00F3350F">
        <w:t>contrasting</w:t>
      </w:r>
      <w:r w:rsidR="003528C9" w:rsidRPr="00F3350F">
        <w:t xml:space="preserve"> actual post-implementation data to the projection.</w:t>
      </w:r>
    </w:p>
    <w:p w14:paraId="23ADA8E2" w14:textId="77777777" w:rsidR="003528C9" w:rsidRPr="00F3350F" w:rsidRDefault="003528C9" w:rsidP="00B6697F"/>
    <w:p w14:paraId="34B96746" w14:textId="7583564F" w:rsidR="00073462" w:rsidRPr="00F3350F" w:rsidRDefault="003528C9" w:rsidP="00F34B8F">
      <w:r w:rsidRPr="00F3350F">
        <w:t xml:space="preserve">PG&amp;E </w:t>
      </w:r>
      <w:r w:rsidR="00F34B8F" w:rsidRPr="00F3350F">
        <w:t>informally refers to these as the “aggregation” approach and the “site-specific” approach. In this document, r</w:t>
      </w:r>
      <w:r w:rsidR="00073462" w:rsidRPr="00F3350F">
        <w:t xml:space="preserve">ules </w:t>
      </w:r>
      <w:r w:rsidR="00F34B8F" w:rsidRPr="00F3350F">
        <w:t xml:space="preserve">and procedures may </w:t>
      </w:r>
      <w:r w:rsidR="00073462" w:rsidRPr="00F3350F">
        <w:t>differ by approach</w:t>
      </w:r>
      <w:r w:rsidR="00F34B8F" w:rsidRPr="00F3350F">
        <w:t>; in these cases,</w:t>
      </w:r>
      <w:r w:rsidR="00073462" w:rsidRPr="00F3350F">
        <w:t xml:space="preserve"> </w:t>
      </w:r>
      <w:r w:rsidR="00F34B8F" w:rsidRPr="00F3350F">
        <w:t>the two are differentiated</w:t>
      </w:r>
      <w:r w:rsidR="00073462" w:rsidRPr="00F3350F">
        <w:t xml:space="preserve"> with [AG only] and [SS only]. When neither is indicated</w:t>
      </w:r>
      <w:r w:rsidR="00D82573" w:rsidRPr="00F3350F">
        <w:t>, the</w:t>
      </w:r>
      <w:r w:rsidR="00073462" w:rsidRPr="00F3350F">
        <w:t xml:space="preserve"> rule applies for both</w:t>
      </w:r>
      <w:r w:rsidR="00F34B8F" w:rsidRPr="00F3350F">
        <w:t xml:space="preserve"> approaches</w:t>
      </w:r>
      <w:r w:rsidR="00073462" w:rsidRPr="00F3350F">
        <w:t>.</w:t>
      </w:r>
    </w:p>
    <w:p w14:paraId="155982C3" w14:textId="5461D403" w:rsidR="00972685" w:rsidRPr="00F3350F" w:rsidRDefault="00972685" w:rsidP="00B6697F"/>
    <w:p w14:paraId="681A8DDB" w14:textId="77777777" w:rsidR="00E54A92" w:rsidRPr="00F3350F" w:rsidRDefault="00E54A92" w:rsidP="00B6697F"/>
    <w:p w14:paraId="33BA0516" w14:textId="503A8FB3" w:rsidR="00F45968" w:rsidRPr="00F3350F" w:rsidRDefault="00F45968" w:rsidP="00B6697F">
      <w:pPr>
        <w:pStyle w:val="Heading1"/>
      </w:pPr>
      <w:bookmarkStart w:id="3" w:name="_Toc496784440"/>
      <w:r w:rsidRPr="00F3350F">
        <w:t>Eligibility</w:t>
      </w:r>
      <w:bookmarkEnd w:id="3"/>
    </w:p>
    <w:p w14:paraId="7D5F9126" w14:textId="77777777" w:rsidR="00076F08" w:rsidRPr="00F3350F" w:rsidRDefault="00076F08" w:rsidP="00076F08"/>
    <w:p w14:paraId="18303C42" w14:textId="16F8AC7F" w:rsidR="005B1801" w:rsidRPr="00F3350F" w:rsidRDefault="00E02BE2" w:rsidP="009E7ABC">
      <w:pPr>
        <w:pStyle w:val="Heading3"/>
        <w:numPr>
          <w:ilvl w:val="1"/>
          <w:numId w:val="2"/>
        </w:numPr>
        <w:ind w:left="720" w:hanging="720"/>
      </w:pPr>
      <w:bookmarkStart w:id="4" w:name="_Toc432408289"/>
      <w:bookmarkStart w:id="5" w:name="_Toc432408395"/>
      <w:bookmarkStart w:id="6" w:name="_Toc432433756"/>
      <w:bookmarkStart w:id="7" w:name="_Toc432436962"/>
      <w:bookmarkStart w:id="8" w:name="_Toc432446529"/>
      <w:bookmarkStart w:id="9" w:name="_Toc432446830"/>
      <w:bookmarkStart w:id="10" w:name="_Toc432447620"/>
      <w:bookmarkStart w:id="11" w:name="_Toc432408291"/>
      <w:bookmarkStart w:id="12" w:name="_Toc432408397"/>
      <w:bookmarkStart w:id="13" w:name="_Toc432433758"/>
      <w:bookmarkStart w:id="14" w:name="_Toc432436964"/>
      <w:bookmarkStart w:id="15" w:name="_Toc432446531"/>
      <w:bookmarkStart w:id="16" w:name="_Toc432446832"/>
      <w:bookmarkStart w:id="17" w:name="_Toc432447622"/>
      <w:bookmarkStart w:id="18" w:name="_Toc496784441"/>
      <w:bookmarkEnd w:id="4"/>
      <w:bookmarkEnd w:id="5"/>
      <w:bookmarkEnd w:id="6"/>
      <w:bookmarkEnd w:id="7"/>
      <w:bookmarkEnd w:id="8"/>
      <w:bookmarkEnd w:id="9"/>
      <w:bookmarkEnd w:id="10"/>
      <w:bookmarkEnd w:id="11"/>
      <w:bookmarkEnd w:id="12"/>
      <w:bookmarkEnd w:id="13"/>
      <w:bookmarkEnd w:id="14"/>
      <w:bookmarkEnd w:id="15"/>
      <w:bookmarkEnd w:id="16"/>
      <w:bookmarkEnd w:id="17"/>
      <w:r w:rsidRPr="00F3350F">
        <w:lastRenderedPageBreak/>
        <w:t>Measure</w:t>
      </w:r>
      <w:r w:rsidR="005B1801" w:rsidRPr="00F3350F">
        <w:t xml:space="preserve"> Eligibility</w:t>
      </w:r>
      <w:bookmarkEnd w:id="18"/>
    </w:p>
    <w:p w14:paraId="52191DFE" w14:textId="77777777" w:rsidR="00E02BE2" w:rsidRPr="00F3350F" w:rsidRDefault="00E02BE2" w:rsidP="00B6697F">
      <w:pPr>
        <w:pStyle w:val="ListParagraph"/>
      </w:pPr>
    </w:p>
    <w:p w14:paraId="6C2A94A7" w14:textId="6E93F3F3" w:rsidR="00073462" w:rsidRPr="00F3350F" w:rsidRDefault="000776DF" w:rsidP="00B6697F">
      <w:pPr>
        <w:pStyle w:val="Heading3"/>
      </w:pPr>
      <w:bookmarkStart w:id="19" w:name="_Toc496784442"/>
      <w:r w:rsidRPr="00F3350F">
        <w:t xml:space="preserve">Public Purpose Programs </w:t>
      </w:r>
      <w:r w:rsidR="00BA7535" w:rsidRPr="00F3350F">
        <w:t>Surcharge and Coincident Savings</w:t>
      </w:r>
      <w:bookmarkEnd w:id="19"/>
    </w:p>
    <w:p w14:paraId="3895A9D4" w14:textId="37ACFD6A" w:rsidR="00073462" w:rsidRPr="00F3350F" w:rsidRDefault="00073462" w:rsidP="00B6697F">
      <w:r w:rsidRPr="00F3350F">
        <w:t xml:space="preserve">Details: </w:t>
      </w:r>
      <w:r w:rsidR="00146FDD" w:rsidRPr="00F3350F">
        <w:rPr>
          <w:rFonts w:eastAsiaTheme="minorHAnsi"/>
        </w:rPr>
        <w:t>Customer must pay the Public Purpose Programs (PPP) surcharge on the gas or electric meter for which any energy efficiency interventions are proposed. The PPP surcharge information can be found on the utility bill.</w:t>
      </w:r>
      <w:r w:rsidR="00146FDD" w:rsidRPr="00F3350F" w:rsidDel="00925BC4">
        <w:rPr>
          <w:rFonts w:eastAsiaTheme="minorHAnsi"/>
        </w:rPr>
        <w:t xml:space="preserve"> </w:t>
      </w:r>
      <w:r w:rsidR="00146FDD" w:rsidRPr="00F3350F">
        <w:rPr>
          <w:rFonts w:eastAsiaTheme="minorHAnsi"/>
        </w:rPr>
        <w:t xml:space="preserve">Further, in order to qualify as a PG&amp;E project, the customer must show evidence of “coincident savings” (savings associated with an EE measure that coincide with periods customer is purchasing energy from utility and thus reducing grid/system impact). For electric projects, the customer must pay the PPP during the hour(s) in which the savings resulting from an energy efficiency measure will occur.  For gas projects, the customer must pay the PPP during the month(s) that savings will occur.  </w:t>
      </w:r>
      <w:r w:rsidR="00D91FFC" w:rsidRPr="00F3350F">
        <w:rPr>
          <w:rFonts w:eastAsiaTheme="minorHAnsi"/>
        </w:rPr>
        <w:t>T</w:t>
      </w:r>
      <w:r w:rsidR="00146FDD" w:rsidRPr="00F3350F">
        <w:rPr>
          <w:rFonts w:eastAsiaTheme="minorHAnsi"/>
        </w:rPr>
        <w:t>he Customer’s reduction in energy usage due to the EE measure must occur on the grid/system at all times when the EE measure is operational and its energy resource requirement is being met.</w:t>
      </w:r>
      <w:r w:rsidRPr="00F3350F">
        <w:t xml:space="preserve"> </w:t>
      </w:r>
      <w:r w:rsidR="009F53B8" w:rsidRPr="00F3350F">
        <w:t>Note: residential and small commercial (i.e. less than 20 kW maximum peak demand) customers with on-site photovoltaics are exempt from this requirement.</w:t>
      </w:r>
    </w:p>
    <w:p w14:paraId="565065C0" w14:textId="77777777" w:rsidR="00076F08" w:rsidRPr="00F3350F" w:rsidRDefault="00076F08" w:rsidP="00B6697F"/>
    <w:p w14:paraId="60A0F7B7" w14:textId="77777777" w:rsidR="00073462" w:rsidRPr="00F3350F" w:rsidRDefault="00073462" w:rsidP="00B6697F">
      <w:r w:rsidRPr="00F3350F">
        <w:t xml:space="preserve">Exception 1: There is an exception for customers who are exempt from paying gas PPP per Public Utilities Code Section 896. These exempt PG&amp;E customers include the United States (Federal facilities), United States Coast Guard, the American Red Cross, and Indian reservations. </w:t>
      </w:r>
    </w:p>
    <w:p w14:paraId="655C55D5" w14:textId="77777777" w:rsidR="00076F08" w:rsidRPr="00F3350F" w:rsidRDefault="00076F08" w:rsidP="00B6697F"/>
    <w:p w14:paraId="1A4C0F2F" w14:textId="64C9140E" w:rsidR="00073462" w:rsidRPr="00F3350F" w:rsidRDefault="00073462" w:rsidP="00B6697F">
      <w:r w:rsidRPr="00F3350F">
        <w:t xml:space="preserve">Effective Date: </w:t>
      </w:r>
    </w:p>
    <w:p w14:paraId="16519B95" w14:textId="02828F52" w:rsidR="00E02BE2" w:rsidRPr="00F3350F" w:rsidRDefault="00146FDD" w:rsidP="00B6697F">
      <w:r w:rsidRPr="00F3350F">
        <w:t>Rule Source:</w:t>
      </w:r>
      <w:r w:rsidR="007F49EC" w:rsidRPr="00F3350F">
        <w:t xml:space="preserve"> </w:t>
      </w:r>
      <w:r w:rsidRPr="00F3350F">
        <w:t>Energy Efficiency Savings at Sites with Non-IOU Fuel Sources -- Guidance Document, CPUC, August 1, 2014</w:t>
      </w:r>
    </w:p>
    <w:p w14:paraId="2255B97A" w14:textId="77777777" w:rsidR="00076F08" w:rsidRPr="00F3350F" w:rsidRDefault="00076F08" w:rsidP="00B6697F"/>
    <w:p w14:paraId="72EF4088" w14:textId="65C0FF06" w:rsidR="00073462" w:rsidRPr="00F3350F" w:rsidRDefault="000776DF" w:rsidP="00B6697F">
      <w:pPr>
        <w:pStyle w:val="Heading3"/>
      </w:pPr>
      <w:bookmarkStart w:id="20" w:name="_Toc496784443"/>
      <w:r w:rsidRPr="00F3350F">
        <w:t xml:space="preserve">Fuel </w:t>
      </w:r>
      <w:r w:rsidR="00BA7535" w:rsidRPr="00F3350F">
        <w:t>Substitution</w:t>
      </w:r>
      <w:bookmarkEnd w:id="20"/>
    </w:p>
    <w:p w14:paraId="4F197C11" w14:textId="2840D629" w:rsidR="00146FDD" w:rsidRPr="00F3350F" w:rsidRDefault="00073462" w:rsidP="00B6697F">
      <w:r w:rsidRPr="00F3350F">
        <w:t xml:space="preserve">Details: </w:t>
      </w:r>
      <w:r w:rsidR="00146FDD" w:rsidRPr="00F3350F">
        <w:t xml:space="preserve">Fuel substitution measures must pass the three prong test. The three prong test requires that each measure, project, and program: a) not increase source BTU consumption, b) have a TRC and PAC greater than 1.0, and c) not adversely affect the environment.  </w:t>
      </w:r>
    </w:p>
    <w:p w14:paraId="4DB942C7" w14:textId="77777777" w:rsidR="00076F08" w:rsidRPr="00F3350F" w:rsidRDefault="00076F08" w:rsidP="00B6697F"/>
    <w:p w14:paraId="5F8BA607" w14:textId="1FB9716B" w:rsidR="00073462" w:rsidRPr="00F3350F" w:rsidRDefault="00146FDD" w:rsidP="00B6697F">
      <w:r w:rsidRPr="00F3350F">
        <w:t>Natural gas fired self-generation, as well as self-generation units using other non-renewable fossil fuels, must be treated as fuel-substitution. Common with other types of fuel-substitution, any costs of gas transmission and distribution, and environmental externalities, must be accounted for. In addition, cost-effectiveness analyses of self-generation should account for utility interconnection costs.</w:t>
      </w:r>
    </w:p>
    <w:p w14:paraId="5743B4BE" w14:textId="77777777" w:rsidR="00076F08" w:rsidRPr="00F3350F" w:rsidRDefault="00076F08" w:rsidP="00B6697F"/>
    <w:p w14:paraId="0B6D47B8" w14:textId="11134504" w:rsidR="00073462" w:rsidRPr="00F3350F" w:rsidRDefault="00073462" w:rsidP="00B6697F">
      <w:r w:rsidRPr="00F3350F">
        <w:t xml:space="preserve">Effective Date: </w:t>
      </w:r>
    </w:p>
    <w:p w14:paraId="7A6503E7" w14:textId="5AA4657F" w:rsidR="00073462" w:rsidRPr="00F3350F" w:rsidRDefault="00073462" w:rsidP="00B6697F">
      <w:r w:rsidRPr="00F3350F">
        <w:t xml:space="preserve">Rule Source: </w:t>
      </w:r>
      <w:r w:rsidR="00D8207D" w:rsidRPr="00F3350F">
        <w:t>EE Policy Manual v5; D.06-12-013</w:t>
      </w:r>
    </w:p>
    <w:p w14:paraId="5B79BECE" w14:textId="77777777" w:rsidR="00076F08" w:rsidRPr="00F3350F" w:rsidRDefault="00076F08" w:rsidP="00B6697F"/>
    <w:p w14:paraId="1053BF9D" w14:textId="22985474" w:rsidR="00073462" w:rsidRPr="00F3350F" w:rsidRDefault="00D8207D" w:rsidP="009E7ABC">
      <w:pPr>
        <w:pStyle w:val="Heading3"/>
        <w:numPr>
          <w:ilvl w:val="1"/>
          <w:numId w:val="2"/>
        </w:numPr>
        <w:ind w:left="720" w:hanging="720"/>
      </w:pPr>
      <w:bookmarkStart w:id="21" w:name="_Toc496784444"/>
      <w:r w:rsidRPr="00F3350F">
        <w:t>Customer Eligibility</w:t>
      </w:r>
      <w:bookmarkEnd w:id="21"/>
    </w:p>
    <w:p w14:paraId="6899C03F" w14:textId="77777777" w:rsidR="00076F08" w:rsidRPr="00F3350F" w:rsidRDefault="00076F08" w:rsidP="00B6697F"/>
    <w:p w14:paraId="33BA0523" w14:textId="53DF3D2B" w:rsidR="00EE421E" w:rsidRPr="00F3350F" w:rsidRDefault="00D8207D" w:rsidP="00B6697F">
      <w:pPr>
        <w:pStyle w:val="Heading3"/>
      </w:pPr>
      <w:bookmarkStart w:id="22" w:name="_Toc496784445"/>
      <w:r w:rsidRPr="00F3350F">
        <w:t>Double Dipping and Double Counting</w:t>
      </w:r>
      <w:bookmarkEnd w:id="22"/>
    </w:p>
    <w:p w14:paraId="33BA0524" w14:textId="0AECB1C6" w:rsidR="00210376" w:rsidRPr="00F3350F" w:rsidRDefault="00210376" w:rsidP="00B6697F">
      <w:r w:rsidRPr="00F3350F">
        <w:t xml:space="preserve">Details: </w:t>
      </w:r>
      <w:r w:rsidR="00B34018" w:rsidRPr="00F3350F">
        <w:t xml:space="preserve">Projects </w:t>
      </w:r>
      <w:r w:rsidR="00D8207D" w:rsidRPr="00F3350F">
        <w:t xml:space="preserve">receiving incentives </w:t>
      </w:r>
      <w:r w:rsidR="00B34018" w:rsidRPr="00F3350F">
        <w:t xml:space="preserve">or claiming savings </w:t>
      </w:r>
      <w:r w:rsidR="00D8207D" w:rsidRPr="00F3350F">
        <w:t xml:space="preserve">through any meter-based program must not also receive incentives or claim savings </w:t>
      </w:r>
      <w:r w:rsidR="00B34018" w:rsidRPr="00F3350F">
        <w:t xml:space="preserve">for the same interventions </w:t>
      </w:r>
      <w:r w:rsidR="00D8207D" w:rsidRPr="00F3350F">
        <w:t xml:space="preserve">through any </w:t>
      </w:r>
      <w:r w:rsidR="00B34018" w:rsidRPr="00F3350F">
        <w:t>other</w:t>
      </w:r>
      <w:r w:rsidR="00D8207D" w:rsidRPr="00F3350F">
        <w:t xml:space="preserve"> program, </w:t>
      </w:r>
      <w:r w:rsidR="00B34018" w:rsidRPr="00F3350F">
        <w:t xml:space="preserve">regardless of channel (e.g. </w:t>
      </w:r>
      <w:r w:rsidR="00D8207D" w:rsidRPr="00F3350F">
        <w:t>downstream, midstream, or upstream</w:t>
      </w:r>
      <w:r w:rsidR="00B34018" w:rsidRPr="00F3350F">
        <w:t>) or platform (e.g. deemed, custom, meter-based)</w:t>
      </w:r>
      <w:r w:rsidR="00D8207D" w:rsidRPr="00F3350F">
        <w:t xml:space="preserve"> offering.</w:t>
      </w:r>
      <w:r w:rsidR="00C7151F" w:rsidRPr="00F3350F">
        <w:t xml:space="preserve">  </w:t>
      </w:r>
    </w:p>
    <w:p w14:paraId="39254791" w14:textId="77777777" w:rsidR="00087E1C" w:rsidRPr="00F3350F" w:rsidRDefault="00087E1C" w:rsidP="00B6697F"/>
    <w:p w14:paraId="04AE0370" w14:textId="363A8A57" w:rsidR="00E357DD" w:rsidRPr="00F3350F" w:rsidRDefault="00E357DD" w:rsidP="00B6697F">
      <w:pPr>
        <w:rPr>
          <w:rFonts w:eastAsiaTheme="minorHAnsi"/>
        </w:rPr>
      </w:pPr>
      <w:r w:rsidRPr="00F3350F">
        <w:rPr>
          <w:rFonts w:eastAsiaTheme="minorHAnsi"/>
        </w:rPr>
        <w:t xml:space="preserve">[Best Practice] To prevent double dipping and double counting, </w:t>
      </w:r>
      <w:r w:rsidR="0086228F" w:rsidRPr="00F3350F">
        <w:rPr>
          <w:rFonts w:eastAsiaTheme="minorHAnsi"/>
        </w:rPr>
        <w:t xml:space="preserve">consider structuring </w:t>
      </w:r>
      <w:r w:rsidRPr="00F3350F">
        <w:rPr>
          <w:rFonts w:eastAsiaTheme="minorHAnsi"/>
        </w:rPr>
        <w:t>customer participation agreements to require that program participants forego rebates and incentives for other EE programs for a specified period of time. Additionally, a quality control process should be established with the PA to identify potential double dipping and double counting and rectify if needed.</w:t>
      </w:r>
    </w:p>
    <w:p w14:paraId="2C8A00E3" w14:textId="77777777" w:rsidR="00607F82" w:rsidRPr="00F3350F" w:rsidRDefault="00607F82" w:rsidP="00B6697F">
      <w:pPr>
        <w:rPr>
          <w:rFonts w:eastAsiaTheme="minorHAnsi"/>
        </w:rPr>
      </w:pPr>
    </w:p>
    <w:p w14:paraId="663751A7" w14:textId="77777777" w:rsidR="00087E1C" w:rsidRPr="00F3350F" w:rsidRDefault="00087E1C" w:rsidP="00B6697F"/>
    <w:p w14:paraId="3B4C0216" w14:textId="77777777" w:rsidR="00076F08" w:rsidRPr="00F3350F" w:rsidRDefault="00076F08" w:rsidP="00B6697F">
      <w:r w:rsidRPr="00F3350F">
        <w:t xml:space="preserve">Effective Date: </w:t>
      </w:r>
    </w:p>
    <w:p w14:paraId="33BA0527" w14:textId="5875090B" w:rsidR="00210376" w:rsidRPr="00F3350F" w:rsidRDefault="00210376" w:rsidP="00B6697F">
      <w:r w:rsidRPr="00F3350F">
        <w:t xml:space="preserve">Rule Source: </w:t>
      </w:r>
      <w:r w:rsidR="007F49EC" w:rsidRPr="00F3350F">
        <w:t>&lt;TBD&gt;</w:t>
      </w:r>
    </w:p>
    <w:p w14:paraId="1F6C79BE" w14:textId="2740CC8A" w:rsidR="00087E1C" w:rsidRPr="00F3350F" w:rsidRDefault="00087E1C" w:rsidP="00B6697F"/>
    <w:p w14:paraId="0C33801B" w14:textId="1DA76CB3" w:rsidR="00193AC4" w:rsidRPr="00F3350F" w:rsidRDefault="00E357DD" w:rsidP="00B6697F">
      <w:pPr>
        <w:pStyle w:val="Heading3"/>
      </w:pPr>
      <w:bookmarkStart w:id="23" w:name="_Toc496784446"/>
      <w:r w:rsidRPr="00F3350F">
        <w:t xml:space="preserve">Energy </w:t>
      </w:r>
      <w:r w:rsidR="00BA7535" w:rsidRPr="00F3350F">
        <w:t xml:space="preserve">Model </w:t>
      </w:r>
      <w:r w:rsidR="00E256CF" w:rsidRPr="00F3350F">
        <w:t>Fitness</w:t>
      </w:r>
      <w:r w:rsidRPr="00F3350F">
        <w:t xml:space="preserve"> </w:t>
      </w:r>
      <w:r w:rsidR="00BA7535" w:rsidRPr="00F3350F">
        <w:t>T</w:t>
      </w:r>
      <w:r w:rsidRPr="00F3350F">
        <w:t>hresholds</w:t>
      </w:r>
      <w:bookmarkEnd w:id="23"/>
    </w:p>
    <w:p w14:paraId="270416D9" w14:textId="2780480A" w:rsidR="00E357DD" w:rsidRPr="00F3350F" w:rsidRDefault="00193AC4" w:rsidP="00B6697F">
      <w:pPr>
        <w:pStyle w:val="ListParagraph"/>
        <w:rPr>
          <w:rFonts w:eastAsiaTheme="minorHAnsi"/>
        </w:rPr>
      </w:pPr>
      <w:r w:rsidRPr="00F3350F">
        <w:t xml:space="preserve">Details: </w:t>
      </w:r>
      <w:r w:rsidR="007075AA" w:rsidRPr="00F3350F">
        <w:t xml:space="preserve">[SS only] </w:t>
      </w:r>
      <w:r w:rsidR="00E357DD" w:rsidRPr="00F3350F">
        <w:rPr>
          <w:rFonts w:eastAsiaTheme="minorHAnsi"/>
        </w:rPr>
        <w:t xml:space="preserve">Models of building energy consumption </w:t>
      </w:r>
      <w:r w:rsidR="007075AA" w:rsidRPr="00F3350F">
        <w:rPr>
          <w:rFonts w:eastAsiaTheme="minorHAnsi"/>
        </w:rPr>
        <w:t xml:space="preserve">for participating customers </w:t>
      </w:r>
      <w:r w:rsidR="0086228F" w:rsidRPr="00F3350F">
        <w:rPr>
          <w:rFonts w:eastAsiaTheme="minorHAnsi"/>
        </w:rPr>
        <w:t>should demonstrate the ability to sufficiently characterize energy use</w:t>
      </w:r>
      <w:r w:rsidR="007075AA" w:rsidRPr="00F3350F">
        <w:rPr>
          <w:rFonts w:eastAsiaTheme="minorHAnsi"/>
        </w:rPr>
        <w:t xml:space="preserve"> by </w:t>
      </w:r>
      <w:r w:rsidR="00E357DD" w:rsidRPr="00F3350F">
        <w:rPr>
          <w:rFonts w:eastAsiaTheme="minorHAnsi"/>
        </w:rPr>
        <w:t>meet</w:t>
      </w:r>
      <w:r w:rsidR="007075AA" w:rsidRPr="00F3350F">
        <w:rPr>
          <w:rFonts w:eastAsiaTheme="minorHAnsi"/>
        </w:rPr>
        <w:t>ing</w:t>
      </w:r>
      <w:r w:rsidR="00E357DD" w:rsidRPr="00F3350F">
        <w:rPr>
          <w:rFonts w:eastAsiaTheme="minorHAnsi"/>
        </w:rPr>
        <w:t xml:space="preserve"> </w:t>
      </w:r>
      <w:r w:rsidR="00E256CF" w:rsidRPr="00F3350F">
        <w:rPr>
          <w:rFonts w:eastAsiaTheme="minorHAnsi"/>
        </w:rPr>
        <w:t>certain</w:t>
      </w:r>
      <w:r w:rsidR="00E357DD" w:rsidRPr="00F3350F">
        <w:rPr>
          <w:rFonts w:eastAsiaTheme="minorHAnsi"/>
        </w:rPr>
        <w:t xml:space="preserve"> </w:t>
      </w:r>
      <w:r w:rsidR="007075AA" w:rsidRPr="00F3350F">
        <w:rPr>
          <w:rFonts w:eastAsiaTheme="minorHAnsi"/>
        </w:rPr>
        <w:t>fitness metrics</w:t>
      </w:r>
      <w:r w:rsidR="00E256CF" w:rsidRPr="00F3350F">
        <w:rPr>
          <w:rFonts w:eastAsiaTheme="minorHAnsi"/>
        </w:rPr>
        <w:t xml:space="preserve">. Currently, </w:t>
      </w:r>
      <w:r w:rsidR="00B34018" w:rsidRPr="00F3350F">
        <w:rPr>
          <w:rFonts w:eastAsiaTheme="minorHAnsi"/>
        </w:rPr>
        <w:t xml:space="preserve">this is satisfied by meeting ALL of the following </w:t>
      </w:r>
      <w:r w:rsidR="00E256CF" w:rsidRPr="00F3350F">
        <w:rPr>
          <w:rFonts w:eastAsiaTheme="minorHAnsi"/>
        </w:rPr>
        <w:t>tentative values for these fitness criteria</w:t>
      </w:r>
      <w:r w:rsidR="00E357DD" w:rsidRPr="00F3350F">
        <w:rPr>
          <w:rFonts w:eastAsiaTheme="minorHAnsi"/>
        </w:rPr>
        <w:t>:</w:t>
      </w:r>
    </w:p>
    <w:p w14:paraId="62ED412C" w14:textId="77777777" w:rsidR="00E357DD" w:rsidRPr="00F3350F" w:rsidRDefault="00E357DD" w:rsidP="00B6697F">
      <w:pPr>
        <w:pStyle w:val="ListParagraph"/>
        <w:numPr>
          <w:ilvl w:val="1"/>
          <w:numId w:val="25"/>
        </w:numPr>
        <w:rPr>
          <w:rFonts w:eastAsiaTheme="minorHAnsi"/>
        </w:rPr>
      </w:pPr>
      <w:r w:rsidRPr="00F3350F">
        <w:rPr>
          <w:rFonts w:eastAsiaTheme="minorHAnsi"/>
        </w:rPr>
        <w:t>CV(RMSE) (Coefficient of Variation of the Root Mean Squared Error) &lt; 25%</w:t>
      </w:r>
    </w:p>
    <w:p w14:paraId="42EA139E" w14:textId="77777777" w:rsidR="00E357DD" w:rsidRPr="00F3350F" w:rsidRDefault="00E357DD" w:rsidP="00B6697F">
      <w:pPr>
        <w:pStyle w:val="ListParagraph"/>
        <w:numPr>
          <w:ilvl w:val="1"/>
          <w:numId w:val="25"/>
        </w:numPr>
        <w:rPr>
          <w:rFonts w:eastAsiaTheme="minorHAnsi"/>
        </w:rPr>
      </w:pPr>
      <w:r w:rsidRPr="00F3350F">
        <w:rPr>
          <w:rFonts w:eastAsiaTheme="minorHAnsi"/>
        </w:rPr>
        <w:t>NMBE (Normalized Mean Bias Error) &lt; 0.5%</w:t>
      </w:r>
    </w:p>
    <w:p w14:paraId="28FF7E0D" w14:textId="77777777" w:rsidR="00E357DD" w:rsidRPr="00F3350F" w:rsidRDefault="00E357DD" w:rsidP="00B6697F">
      <w:pPr>
        <w:pStyle w:val="ListParagraph"/>
        <w:numPr>
          <w:ilvl w:val="1"/>
          <w:numId w:val="25"/>
        </w:numPr>
        <w:rPr>
          <w:rFonts w:eastAsiaTheme="minorHAnsi"/>
        </w:rPr>
      </w:pPr>
      <w:r w:rsidRPr="00F3350F">
        <w:rPr>
          <w:rFonts w:eastAsiaTheme="minorHAnsi"/>
        </w:rPr>
        <w:t>R</w:t>
      </w:r>
      <w:r w:rsidRPr="00F3350F">
        <w:rPr>
          <w:rFonts w:eastAsiaTheme="minorHAnsi"/>
          <w:vertAlign w:val="superscript"/>
        </w:rPr>
        <w:t>2</w:t>
      </w:r>
      <w:r w:rsidRPr="00F3350F">
        <w:rPr>
          <w:rFonts w:eastAsiaTheme="minorHAnsi"/>
        </w:rPr>
        <w:t xml:space="preserve"> (Coefficient of Determination) &gt; 0.7</w:t>
      </w:r>
    </w:p>
    <w:p w14:paraId="7F93CC13" w14:textId="77777777" w:rsidR="0086228F" w:rsidRPr="00F3350F" w:rsidRDefault="0086228F" w:rsidP="00B6697F">
      <w:pPr>
        <w:rPr>
          <w:rFonts w:eastAsiaTheme="minorHAnsi"/>
        </w:rPr>
      </w:pPr>
    </w:p>
    <w:p w14:paraId="44730201" w14:textId="5A0B2D4A" w:rsidR="007075AA" w:rsidRPr="00F3350F" w:rsidRDefault="007075AA" w:rsidP="00B6697F">
      <w:pPr>
        <w:rPr>
          <w:rFonts w:eastAsiaTheme="minorHAnsi"/>
        </w:rPr>
      </w:pPr>
      <w:r w:rsidRPr="00F3350F">
        <w:rPr>
          <w:rFonts w:eastAsiaTheme="minorHAnsi"/>
        </w:rPr>
        <w:t>In some cases, data from suspected non-routine events may be removed from the data set for model fitting if justification is provided. See the “</w:t>
      </w:r>
      <w:r w:rsidRPr="00F3350F">
        <w:t>Draft Guidance for Program Level M&amp;V Plans: Normalized Meter-based Savings Estimation” document for details.</w:t>
      </w:r>
    </w:p>
    <w:p w14:paraId="0B20BE54" w14:textId="77777777" w:rsidR="007075AA" w:rsidRPr="00F3350F" w:rsidRDefault="007075AA" w:rsidP="00B6697F">
      <w:pPr>
        <w:rPr>
          <w:rFonts w:eastAsiaTheme="minorHAnsi"/>
        </w:rPr>
      </w:pPr>
    </w:p>
    <w:p w14:paraId="640903A4" w14:textId="5C9D0364" w:rsidR="0086228F" w:rsidRPr="00F3350F" w:rsidRDefault="0086228F" w:rsidP="00B6697F">
      <w:pPr>
        <w:rPr>
          <w:rFonts w:eastAsiaTheme="minorHAnsi"/>
        </w:rPr>
      </w:pPr>
      <w:r w:rsidRPr="00F3350F">
        <w:rPr>
          <w:rFonts w:eastAsiaTheme="minorHAnsi"/>
        </w:rPr>
        <w:t xml:space="preserve">Note that </w:t>
      </w:r>
      <w:r w:rsidR="00E256CF" w:rsidRPr="00F3350F">
        <w:rPr>
          <w:rFonts w:eastAsiaTheme="minorHAnsi"/>
        </w:rPr>
        <w:t xml:space="preserve">while </w:t>
      </w:r>
      <w:r w:rsidRPr="00F3350F">
        <w:rPr>
          <w:rFonts w:eastAsiaTheme="minorHAnsi"/>
        </w:rPr>
        <w:t>the exact values are currently under discussion</w:t>
      </w:r>
      <w:r w:rsidR="00E256CF" w:rsidRPr="00F3350F">
        <w:rPr>
          <w:rFonts w:eastAsiaTheme="minorHAnsi"/>
        </w:rPr>
        <w:t xml:space="preserve">, the concept of models demonstrating satisfactory fitness will likely be required. </w:t>
      </w:r>
    </w:p>
    <w:p w14:paraId="6F516AB2" w14:textId="77777777" w:rsidR="00E357DD" w:rsidRPr="00F3350F" w:rsidRDefault="00E357DD" w:rsidP="00B6697F">
      <w:pPr>
        <w:rPr>
          <w:rFonts w:eastAsiaTheme="minorHAnsi"/>
        </w:rPr>
      </w:pPr>
    </w:p>
    <w:p w14:paraId="698CDB8B" w14:textId="32F02631" w:rsidR="00193AC4" w:rsidRPr="00F3350F" w:rsidRDefault="00193AC4" w:rsidP="00B6697F">
      <w:r w:rsidRPr="00F3350F">
        <w:t xml:space="preserve">Effective Dates: </w:t>
      </w:r>
    </w:p>
    <w:p w14:paraId="5BCF6007" w14:textId="4E47889D" w:rsidR="00193AC4" w:rsidRPr="00F3350F" w:rsidRDefault="00193AC4" w:rsidP="00B6697F">
      <w:r w:rsidRPr="00F3350F">
        <w:t xml:space="preserve">Rule Source: </w:t>
      </w:r>
      <w:r w:rsidR="0086228F" w:rsidRPr="00F3350F">
        <w:t>General thresholds from IPMVP and ASHRAE Guideline 14; Draft Guidance for Program Level M&amp;V Plans: Normalized Meter-based Savings Estimation</w:t>
      </w:r>
    </w:p>
    <w:p w14:paraId="479409C4" w14:textId="77777777" w:rsidR="00076F08" w:rsidRPr="00F3350F" w:rsidRDefault="00076F08" w:rsidP="00B6697F"/>
    <w:p w14:paraId="14BE9897" w14:textId="208D03A7" w:rsidR="00466AFD" w:rsidRPr="00F3350F" w:rsidRDefault="0066127C" w:rsidP="00B6697F">
      <w:pPr>
        <w:pStyle w:val="Heading3"/>
      </w:pPr>
      <w:bookmarkStart w:id="24" w:name="_Toc496784447"/>
      <w:r w:rsidRPr="00F3350F">
        <w:t>N</w:t>
      </w:r>
      <w:r w:rsidR="007E4257" w:rsidRPr="00F3350F">
        <w:t>on-</w:t>
      </w:r>
      <w:r w:rsidRPr="00F3350F">
        <w:t>Utility M</w:t>
      </w:r>
      <w:r w:rsidR="007E4257" w:rsidRPr="00F3350F">
        <w:t>eters</w:t>
      </w:r>
      <w:bookmarkEnd w:id="24"/>
    </w:p>
    <w:p w14:paraId="0060E4BC" w14:textId="5688CFD6" w:rsidR="009F53B8" w:rsidRPr="00F3350F" w:rsidRDefault="00466AFD" w:rsidP="00B6697F">
      <w:pPr>
        <w:pStyle w:val="ListParagraph"/>
        <w:rPr>
          <w:rFonts w:eastAsiaTheme="minorHAnsi"/>
        </w:rPr>
      </w:pPr>
      <w:r w:rsidRPr="00F3350F">
        <w:t xml:space="preserve">Details: </w:t>
      </w:r>
      <w:r w:rsidR="00AD3D81" w:rsidRPr="00F3350F">
        <w:rPr>
          <w:rFonts w:eastAsiaTheme="minorHAnsi"/>
        </w:rPr>
        <w:t xml:space="preserve">Programs </w:t>
      </w:r>
      <w:r w:rsidR="007E4257" w:rsidRPr="00F3350F">
        <w:rPr>
          <w:rFonts w:eastAsiaTheme="minorHAnsi"/>
        </w:rPr>
        <w:t>may conduct meter-based analyses using both utility-owned and non-utility-owned meters and sub</w:t>
      </w:r>
      <w:r w:rsidR="00840E20" w:rsidRPr="00F3350F">
        <w:rPr>
          <w:rFonts w:eastAsiaTheme="minorHAnsi"/>
        </w:rPr>
        <w:t>-</w:t>
      </w:r>
      <w:r w:rsidR="007E4257" w:rsidRPr="00F3350F">
        <w:rPr>
          <w:rFonts w:eastAsiaTheme="minorHAnsi"/>
        </w:rPr>
        <w:t>meters. Non-utility meters must be calibrated according to the manufacturer’s recommendations</w:t>
      </w:r>
      <w:r w:rsidR="00AD3D81" w:rsidRPr="00F3350F">
        <w:rPr>
          <w:rFonts w:eastAsiaTheme="minorHAnsi"/>
        </w:rPr>
        <w:t>; c</w:t>
      </w:r>
      <w:r w:rsidR="007E4257" w:rsidRPr="00F3350F">
        <w:rPr>
          <w:rFonts w:eastAsiaTheme="minorHAnsi"/>
        </w:rPr>
        <w:t>alibration records must be maintained by the customer and available for PG&amp;E to review upon request. Calibration records are not required for utility meters.</w:t>
      </w:r>
    </w:p>
    <w:p w14:paraId="64D799CB" w14:textId="42F41A9D" w:rsidR="00466AFD" w:rsidRPr="00F3350F" w:rsidRDefault="00466AFD" w:rsidP="00B6697F"/>
    <w:p w14:paraId="67BCCDFF" w14:textId="1143384F" w:rsidR="00466AFD" w:rsidRPr="00F3350F" w:rsidRDefault="00466AFD" w:rsidP="00B6697F">
      <w:r w:rsidRPr="00F3350F">
        <w:t>Effective Dates:</w:t>
      </w:r>
      <w:r w:rsidR="007E4257" w:rsidRPr="00F3350F">
        <w:t xml:space="preserve"> </w:t>
      </w:r>
    </w:p>
    <w:p w14:paraId="51379EFB" w14:textId="26E154EB" w:rsidR="00466AFD" w:rsidRPr="00F3350F" w:rsidRDefault="007E4257" w:rsidP="00B6697F">
      <w:r w:rsidRPr="00F3350F">
        <w:t xml:space="preserve">Rule Source: </w:t>
      </w:r>
      <w:r w:rsidR="000975FB" w:rsidRPr="00F3350F">
        <w:t>HOPPs White Paper Ruling</w:t>
      </w:r>
    </w:p>
    <w:p w14:paraId="00FE3D4B" w14:textId="77777777" w:rsidR="00607F82" w:rsidRPr="00F3350F" w:rsidRDefault="00607F82" w:rsidP="00B6697F"/>
    <w:p w14:paraId="348206D7" w14:textId="0EBE5F18" w:rsidR="00607F82" w:rsidRPr="00F3350F" w:rsidRDefault="00BA43DC" w:rsidP="009E7ABC">
      <w:pPr>
        <w:pStyle w:val="Heading3"/>
      </w:pPr>
      <w:bookmarkStart w:id="25" w:name="_Toc496784448"/>
      <w:r w:rsidRPr="00F3350F">
        <w:t>Baseline Period</w:t>
      </w:r>
      <w:r w:rsidR="0066127C" w:rsidRPr="00F3350F">
        <w:t xml:space="preserve"> Requirements</w:t>
      </w:r>
      <w:bookmarkEnd w:id="25"/>
    </w:p>
    <w:p w14:paraId="0D1EE0B1" w14:textId="4E41E9FE" w:rsidR="0032793C" w:rsidRPr="00F3350F" w:rsidRDefault="0032793C">
      <w:r w:rsidRPr="00F3350F">
        <w:t xml:space="preserve">Details: </w:t>
      </w:r>
      <w:r w:rsidR="007B00CC" w:rsidRPr="00F3350F">
        <w:t>One year of pre-implementation usage data is required.</w:t>
      </w:r>
      <w:r w:rsidR="00972685" w:rsidRPr="00F3350F">
        <w:t xml:space="preserve"> Note that </w:t>
      </w:r>
      <w:r w:rsidR="00BA43DC" w:rsidRPr="00F3350F">
        <w:t>while</w:t>
      </w:r>
      <w:r w:rsidR="00972685" w:rsidRPr="00F3350F">
        <w:t xml:space="preserve"> both the HOPPs White Paper Ruling and the CA Energy Efficiency Evaluation Protocols prescribe a minimum of one year of pre-implementation data, recent work by LBNL/CPUC suggests that coverage factor analysis can produce meaningful results with less than one year of pre-implementation data. See the “Draft Guidance for Program Level M&amp;V Plans: Normalized Meter-based Savings Estimation” for more details on coverage factor analysis.</w:t>
      </w:r>
    </w:p>
    <w:p w14:paraId="02F71F0C" w14:textId="77777777" w:rsidR="0032793C" w:rsidRPr="00F3350F" w:rsidRDefault="0032793C"/>
    <w:p w14:paraId="610DF2EE" w14:textId="3852E766" w:rsidR="00AD3D81" w:rsidRPr="00F3350F" w:rsidRDefault="002D3804">
      <w:r w:rsidRPr="00F3350F">
        <w:t>P</w:t>
      </w:r>
      <w:r w:rsidR="00AD3D81" w:rsidRPr="00F3350F">
        <w:t xml:space="preserve">rograms should specify </w:t>
      </w:r>
      <w:r w:rsidR="00DA5C8F" w:rsidRPr="00F3350F">
        <w:t xml:space="preserve">both an interval length and a monitoring duration (e.g. hourly readings for twelve months). </w:t>
      </w:r>
      <w:r w:rsidR="00AC142E" w:rsidRPr="00F3350F">
        <w:t xml:space="preserve">Savings uncertainty is a function of both the interval length and the monitoring duration; </w:t>
      </w:r>
      <w:r w:rsidRPr="00F3350F">
        <w:t>both i</w:t>
      </w:r>
      <w:r w:rsidR="00AC142E" w:rsidRPr="00F3350F">
        <w:t xml:space="preserve">nterval length and monitoring duration should be considered together when designing eligibility criteria. </w:t>
      </w:r>
      <w:r w:rsidR="00DA5C8F" w:rsidRPr="00F3350F">
        <w:t>The effects of energy efficiency must be observable when interval length, monitoring duration, effect size (i.e. percentage of savings), coefficient of variation of the model, and confidence interval are accounted for. See the Savings Calculations section for details.</w:t>
      </w:r>
      <w:r w:rsidR="00AC142E" w:rsidRPr="00F3350F">
        <w:t xml:space="preserve"> </w:t>
      </w:r>
    </w:p>
    <w:p w14:paraId="281DC7A9" w14:textId="77777777" w:rsidR="00E256CF" w:rsidRPr="00F3350F" w:rsidRDefault="00E256CF" w:rsidP="00E256CF">
      <w:bookmarkStart w:id="26" w:name="_Toc432446619"/>
      <w:bookmarkStart w:id="27" w:name="_Toc432446920"/>
      <w:bookmarkStart w:id="28" w:name="_Toc432447710"/>
      <w:bookmarkEnd w:id="26"/>
      <w:bookmarkEnd w:id="27"/>
      <w:bookmarkEnd w:id="28"/>
    </w:p>
    <w:p w14:paraId="19817025" w14:textId="77777777" w:rsidR="00E256CF" w:rsidRPr="00F3350F" w:rsidRDefault="00E256CF" w:rsidP="00E256CF">
      <w:r w:rsidRPr="00F3350F">
        <w:lastRenderedPageBreak/>
        <w:t xml:space="preserve">Effective Dates: </w:t>
      </w:r>
    </w:p>
    <w:p w14:paraId="15B7F570" w14:textId="3504C76E" w:rsidR="00E256CF" w:rsidRPr="00F3350F" w:rsidRDefault="00E256CF" w:rsidP="00E256CF">
      <w:r w:rsidRPr="00F3350F">
        <w:t xml:space="preserve">Rule Source: </w:t>
      </w:r>
      <w:r w:rsidR="007B00CC" w:rsidRPr="00F3350F">
        <w:t xml:space="preserve">HOPPs White Paper Ruling; </w:t>
      </w:r>
      <w:r w:rsidR="00972685" w:rsidRPr="00F3350F">
        <w:t xml:space="preserve">CA Energy Efficiency Evaluation Protocols; </w:t>
      </w:r>
      <w:r w:rsidR="007B00CC" w:rsidRPr="00F3350F">
        <w:t>Draft Guidance for Program Level M&amp;V Plans: Normalized Meter-based Savings Estimation</w:t>
      </w:r>
    </w:p>
    <w:p w14:paraId="30289D34" w14:textId="77777777" w:rsidR="00E54A92" w:rsidRPr="00F3350F" w:rsidRDefault="00E54A92" w:rsidP="00B6697F"/>
    <w:p w14:paraId="16D04075" w14:textId="29ADDD11" w:rsidR="00B314F7" w:rsidRPr="00F3350F" w:rsidRDefault="00B314F7" w:rsidP="00B6697F">
      <w:pPr>
        <w:rPr>
          <w:rFonts w:asciiTheme="majorHAnsi" w:hAnsiTheme="majorHAnsi" w:cstheme="majorBidi"/>
          <w:color w:val="365F91" w:themeColor="accent1" w:themeShade="BF"/>
          <w:sz w:val="28"/>
          <w:szCs w:val="28"/>
        </w:rPr>
      </w:pPr>
    </w:p>
    <w:p w14:paraId="6900004E" w14:textId="0912F4D9" w:rsidR="00BC359B" w:rsidRPr="00F3350F" w:rsidRDefault="00D06FF2" w:rsidP="00B6697F">
      <w:pPr>
        <w:pStyle w:val="Heading1"/>
      </w:pPr>
      <w:bookmarkStart w:id="29" w:name="_Toc432433763"/>
      <w:bookmarkStart w:id="30" w:name="_Toc432436969"/>
      <w:bookmarkStart w:id="31" w:name="_Toc432446536"/>
      <w:bookmarkStart w:id="32" w:name="_Toc432446837"/>
      <w:bookmarkStart w:id="33" w:name="_Toc432447627"/>
      <w:bookmarkStart w:id="34" w:name="_Toc496784449"/>
      <w:bookmarkEnd w:id="29"/>
      <w:bookmarkEnd w:id="30"/>
      <w:bookmarkEnd w:id="31"/>
      <w:bookmarkEnd w:id="32"/>
      <w:bookmarkEnd w:id="33"/>
      <w:r w:rsidRPr="00F3350F">
        <w:t>Influence</w:t>
      </w:r>
      <w:bookmarkEnd w:id="34"/>
    </w:p>
    <w:p w14:paraId="674F4760" w14:textId="77777777" w:rsidR="00087E1C" w:rsidRPr="00F3350F" w:rsidRDefault="00087E1C" w:rsidP="00087E1C">
      <w:bookmarkStart w:id="35" w:name="_Toc432433765"/>
      <w:bookmarkStart w:id="36" w:name="_Toc432436971"/>
      <w:bookmarkStart w:id="37" w:name="_Toc432446538"/>
      <w:bookmarkStart w:id="38" w:name="_Toc432446839"/>
      <w:bookmarkStart w:id="39" w:name="_Toc432447629"/>
      <w:bookmarkStart w:id="40" w:name="_Toc432433766"/>
      <w:bookmarkStart w:id="41" w:name="_Toc432436972"/>
      <w:bookmarkStart w:id="42" w:name="_Toc432446539"/>
      <w:bookmarkStart w:id="43" w:name="_Toc432446840"/>
      <w:bookmarkStart w:id="44" w:name="_Toc432447630"/>
      <w:bookmarkStart w:id="45" w:name="_Toc432433767"/>
      <w:bookmarkStart w:id="46" w:name="_Toc432436973"/>
      <w:bookmarkStart w:id="47" w:name="_Toc432446540"/>
      <w:bookmarkStart w:id="48" w:name="_Toc432446841"/>
      <w:bookmarkStart w:id="49" w:name="_Toc432447631"/>
      <w:bookmarkStart w:id="50" w:name="_Toc432433768"/>
      <w:bookmarkStart w:id="51" w:name="_Toc432436974"/>
      <w:bookmarkStart w:id="52" w:name="_Toc432446541"/>
      <w:bookmarkStart w:id="53" w:name="_Toc432446842"/>
      <w:bookmarkStart w:id="54" w:name="_Toc432447632"/>
      <w:bookmarkStart w:id="55" w:name="_Toc432433770"/>
      <w:bookmarkStart w:id="56" w:name="_Toc432436976"/>
      <w:bookmarkStart w:id="57" w:name="_Toc432446543"/>
      <w:bookmarkStart w:id="58" w:name="_Toc432446844"/>
      <w:bookmarkStart w:id="59" w:name="_Toc432447634"/>
      <w:bookmarkStart w:id="60" w:name="_Toc432433771"/>
      <w:bookmarkStart w:id="61" w:name="_Toc432436977"/>
      <w:bookmarkStart w:id="62" w:name="_Toc432446544"/>
      <w:bookmarkStart w:id="63" w:name="_Toc432446845"/>
      <w:bookmarkStart w:id="64" w:name="_Toc43244763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181F507" w14:textId="0E069B76" w:rsidR="00087E1C" w:rsidRPr="00F3350F" w:rsidRDefault="00BA7535" w:rsidP="009E7ABC">
      <w:pPr>
        <w:pStyle w:val="Heading3"/>
        <w:numPr>
          <w:ilvl w:val="1"/>
          <w:numId w:val="2"/>
        </w:numPr>
        <w:ind w:left="720" w:hanging="720"/>
      </w:pPr>
      <w:bookmarkStart w:id="65" w:name="_Toc496784450"/>
      <w:r w:rsidRPr="00F3350F">
        <w:t xml:space="preserve">Demonstration of </w:t>
      </w:r>
      <w:r w:rsidR="0095506F" w:rsidRPr="00F3350F">
        <w:t xml:space="preserve">Program </w:t>
      </w:r>
      <w:r w:rsidRPr="00F3350F">
        <w:t>I</w:t>
      </w:r>
      <w:r w:rsidR="0095506F" w:rsidRPr="00F3350F">
        <w:t>nfluence</w:t>
      </w:r>
      <w:bookmarkEnd w:id="65"/>
    </w:p>
    <w:p w14:paraId="2751B64F" w14:textId="05A90875" w:rsidR="00B97C49" w:rsidRPr="00F3350F" w:rsidRDefault="00087E1C" w:rsidP="00087E1C">
      <w:r w:rsidRPr="00F3350F">
        <w:t xml:space="preserve">Details: </w:t>
      </w:r>
      <w:r w:rsidR="00B97C49" w:rsidRPr="00F3350F">
        <w:t xml:space="preserve">The meter-based platform allows for a range of methods for programs to demonstrate influence of </w:t>
      </w:r>
      <w:proofErr w:type="spellStart"/>
      <w:r w:rsidR="00B97C49" w:rsidRPr="00F3350F">
        <w:t>incrementality</w:t>
      </w:r>
      <w:proofErr w:type="spellEnd"/>
      <w:r w:rsidR="00B97C49" w:rsidRPr="00F3350F">
        <w:t>. While no specific minimum requirements for demonstrating influence are prescribed, all programs are required to influence customers to provide incremental savings than would be provided absent the program.</w:t>
      </w:r>
    </w:p>
    <w:p w14:paraId="18AE4218" w14:textId="77777777" w:rsidR="00B97C49" w:rsidRPr="00F3350F" w:rsidRDefault="00B97C49" w:rsidP="00087E1C"/>
    <w:p w14:paraId="1E1A42E3" w14:textId="64F6BFD0" w:rsidR="007F54A7" w:rsidRPr="00F3350F" w:rsidRDefault="005E4BFF" w:rsidP="00087E1C">
      <w:r w:rsidRPr="00F3350F">
        <w:t xml:space="preserve">Programs </w:t>
      </w:r>
      <w:r w:rsidR="00B97C49" w:rsidRPr="00F3350F">
        <w:t xml:space="preserve">must </w:t>
      </w:r>
      <w:r w:rsidRPr="00F3350F">
        <w:t xml:space="preserve">describe how they seek to attain </w:t>
      </w:r>
      <w:r w:rsidR="0066127C" w:rsidRPr="00F3350F">
        <w:t>incremental (i.e. attributable to the program)</w:t>
      </w:r>
      <w:r w:rsidRPr="00F3350F">
        <w:t xml:space="preserve"> savings</w:t>
      </w:r>
      <w:r w:rsidR="0066127C" w:rsidRPr="00F3350F">
        <w:t>,</w:t>
      </w:r>
      <w:r w:rsidRPr="00F3350F">
        <w:t xml:space="preserve"> and what </w:t>
      </w:r>
      <w:r w:rsidR="007F54A7" w:rsidRPr="00F3350F">
        <w:t xml:space="preserve">customer and measure </w:t>
      </w:r>
      <w:r w:rsidRPr="00F3350F">
        <w:t xml:space="preserve">eligibility requirements the program would impose to exclude likely free riders. </w:t>
      </w:r>
      <w:r w:rsidR="00FB6A5D" w:rsidRPr="00F3350F">
        <w:t>Influence may be demonstrated at either the program level or the project level.</w:t>
      </w:r>
    </w:p>
    <w:p w14:paraId="2F4EE958" w14:textId="77777777" w:rsidR="007F54A7" w:rsidRPr="00F3350F" w:rsidRDefault="007F54A7" w:rsidP="00087E1C"/>
    <w:p w14:paraId="474831A3" w14:textId="44B839A8" w:rsidR="005E4BFF" w:rsidRPr="00F3350F" w:rsidRDefault="009F53B8" w:rsidP="00087E1C">
      <w:r w:rsidRPr="00F3350F">
        <w:t xml:space="preserve">Potential examples include: requiring a customer interview be conducted, conducting free ridership screening, tailoring marketing materials and approaches, </w:t>
      </w:r>
      <w:r w:rsidR="00FB6A5D" w:rsidRPr="00F3350F">
        <w:t xml:space="preserve">tailoring customer eligibility to specific customers, or </w:t>
      </w:r>
      <w:r w:rsidRPr="00F3350F">
        <w:t>prohibiting implementation of measures with likely high free-ridership.</w:t>
      </w:r>
    </w:p>
    <w:p w14:paraId="359380EC" w14:textId="77777777" w:rsidR="00E256CF" w:rsidRPr="00F3350F" w:rsidRDefault="00E256CF" w:rsidP="00E256CF"/>
    <w:p w14:paraId="76C5A8E2" w14:textId="77777777" w:rsidR="00E256CF" w:rsidRPr="00F3350F" w:rsidRDefault="00E256CF" w:rsidP="00E256CF">
      <w:r w:rsidRPr="00F3350F">
        <w:t xml:space="preserve">Effective Dates: </w:t>
      </w:r>
    </w:p>
    <w:p w14:paraId="4A765D16" w14:textId="6A88CC21" w:rsidR="00E54A92" w:rsidRPr="00F3350F" w:rsidRDefault="007F49EC" w:rsidP="00991CE4">
      <w:r w:rsidRPr="00F3350F">
        <w:t>Rule Source: EE Policy Manual v5</w:t>
      </w:r>
    </w:p>
    <w:p w14:paraId="39DE01DD" w14:textId="77777777" w:rsidR="00E54A92" w:rsidRPr="00F3350F" w:rsidRDefault="00E54A92" w:rsidP="00991CE4"/>
    <w:p w14:paraId="2D92EF43" w14:textId="77777777" w:rsidR="00E54A92" w:rsidRPr="00F3350F" w:rsidRDefault="00E54A92" w:rsidP="00991CE4"/>
    <w:p w14:paraId="1FB52655" w14:textId="08CC47C5" w:rsidR="00B357AC" w:rsidRPr="00F3350F" w:rsidRDefault="00B357AC" w:rsidP="00E54A92">
      <w:pPr>
        <w:pStyle w:val="Heading1"/>
      </w:pPr>
      <w:bookmarkStart w:id="66" w:name="_Toc432433774"/>
      <w:bookmarkStart w:id="67" w:name="_Toc432436980"/>
      <w:bookmarkStart w:id="68" w:name="_Toc432446547"/>
      <w:bookmarkStart w:id="69" w:name="_Toc432446848"/>
      <w:bookmarkStart w:id="70" w:name="_Toc432447638"/>
      <w:bookmarkStart w:id="71" w:name="_Toc432436982"/>
      <w:bookmarkStart w:id="72" w:name="_Toc432446549"/>
      <w:bookmarkStart w:id="73" w:name="_Toc432446850"/>
      <w:bookmarkStart w:id="74" w:name="_Toc432447640"/>
      <w:bookmarkStart w:id="75" w:name="_Toc432436983"/>
      <w:bookmarkStart w:id="76" w:name="_Toc432446550"/>
      <w:bookmarkStart w:id="77" w:name="_Toc432446851"/>
      <w:bookmarkStart w:id="78" w:name="_Toc432447641"/>
      <w:bookmarkStart w:id="79" w:name="_Toc432436984"/>
      <w:bookmarkStart w:id="80" w:name="_Toc432446551"/>
      <w:bookmarkStart w:id="81" w:name="_Toc432446852"/>
      <w:bookmarkStart w:id="82" w:name="_Toc432447642"/>
      <w:bookmarkStart w:id="83" w:name="_Toc432436987"/>
      <w:bookmarkStart w:id="84" w:name="_Toc432446554"/>
      <w:bookmarkStart w:id="85" w:name="_Toc432446855"/>
      <w:bookmarkStart w:id="86" w:name="_Toc432447645"/>
      <w:bookmarkStart w:id="87" w:name="_Toc432436988"/>
      <w:bookmarkStart w:id="88" w:name="_Toc432446555"/>
      <w:bookmarkStart w:id="89" w:name="_Toc432446856"/>
      <w:bookmarkStart w:id="90" w:name="_Toc432447646"/>
      <w:bookmarkStart w:id="91" w:name="_Toc432436990"/>
      <w:bookmarkStart w:id="92" w:name="_Toc432446557"/>
      <w:bookmarkStart w:id="93" w:name="_Toc432446858"/>
      <w:bookmarkStart w:id="94" w:name="_Toc432447648"/>
      <w:bookmarkStart w:id="95" w:name="_Toc432436992"/>
      <w:bookmarkStart w:id="96" w:name="_Toc432446559"/>
      <w:bookmarkStart w:id="97" w:name="_Toc432446860"/>
      <w:bookmarkStart w:id="98" w:name="_Toc432447650"/>
      <w:bookmarkStart w:id="99" w:name="_Toc432436995"/>
      <w:bookmarkStart w:id="100" w:name="_Toc432446562"/>
      <w:bookmarkStart w:id="101" w:name="_Toc432446863"/>
      <w:bookmarkStart w:id="102" w:name="_Toc432447653"/>
      <w:bookmarkStart w:id="103" w:name="_Toc432436996"/>
      <w:bookmarkStart w:id="104" w:name="_Toc432446563"/>
      <w:bookmarkStart w:id="105" w:name="_Toc432446864"/>
      <w:bookmarkStart w:id="106" w:name="_Toc432447654"/>
      <w:bookmarkStart w:id="107" w:name="_Toc49678445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F3350F">
        <w:t>Measure Type</w:t>
      </w:r>
      <w:r w:rsidR="00371752" w:rsidRPr="00F3350F">
        <w:t>s</w:t>
      </w:r>
      <w:r w:rsidRPr="00F3350F">
        <w:t xml:space="preserve"> and Baselines</w:t>
      </w:r>
      <w:bookmarkEnd w:id="107"/>
    </w:p>
    <w:p w14:paraId="6406AFE0" w14:textId="77777777" w:rsidR="00076F08" w:rsidRPr="00F3350F" w:rsidRDefault="00076F08" w:rsidP="00B6697F"/>
    <w:p w14:paraId="41461C63" w14:textId="77777777" w:rsidR="00703ADE" w:rsidRPr="00F3350F" w:rsidRDefault="00703ADE" w:rsidP="009E7ABC">
      <w:pPr>
        <w:pStyle w:val="Heading3"/>
        <w:numPr>
          <w:ilvl w:val="1"/>
          <w:numId w:val="2"/>
        </w:numPr>
        <w:ind w:left="720" w:hanging="720"/>
      </w:pPr>
      <w:bookmarkStart w:id="108" w:name="_Toc496784452"/>
      <w:r w:rsidRPr="00F3350F">
        <w:t>Measure Types</w:t>
      </w:r>
      <w:bookmarkEnd w:id="108"/>
    </w:p>
    <w:p w14:paraId="1FDF6B45" w14:textId="77777777" w:rsidR="00C20AE7" w:rsidRPr="00F3350F" w:rsidRDefault="00C20AE7" w:rsidP="009E7ABC"/>
    <w:p w14:paraId="0DE20B40" w14:textId="7F73DD30" w:rsidR="00740023" w:rsidRPr="00F3350F" w:rsidRDefault="00CE709E" w:rsidP="009E7ABC">
      <w:pPr>
        <w:pStyle w:val="Heading3"/>
      </w:pPr>
      <w:bookmarkStart w:id="109" w:name="_Toc496784453"/>
      <w:r w:rsidRPr="00F3350F">
        <w:t>Allowable Measure Types</w:t>
      </w:r>
      <w:bookmarkEnd w:id="109"/>
    </w:p>
    <w:p w14:paraId="20B3CB92" w14:textId="4FE97BF2" w:rsidR="00DD26B4" w:rsidRPr="00F3350F" w:rsidRDefault="00740023" w:rsidP="00B6697F">
      <w:r w:rsidRPr="00F3350F">
        <w:t xml:space="preserve">Details: </w:t>
      </w:r>
      <w:r w:rsidR="00FB6A5D" w:rsidRPr="00F3350F">
        <w:t xml:space="preserve">The measure </w:t>
      </w:r>
      <w:r w:rsidR="00014B64" w:rsidRPr="00F3350F">
        <w:t xml:space="preserve">type </w:t>
      </w:r>
      <w:r w:rsidR="00FB6A5D" w:rsidRPr="00F3350F">
        <w:t>describes an energy efficiency activity, a baseline, and its effective useful life</w:t>
      </w:r>
      <w:r w:rsidR="00014B64" w:rsidRPr="00F3350F">
        <w:t xml:space="preserve">. </w:t>
      </w:r>
      <w:r w:rsidR="00DD26B4" w:rsidRPr="00F3350F">
        <w:t>T</w:t>
      </w:r>
      <w:r w:rsidR="00C24711" w:rsidRPr="00F3350F">
        <w:t xml:space="preserve">he following default baseline is used </w:t>
      </w:r>
      <w:r w:rsidR="00DD26B4" w:rsidRPr="00F3350F">
        <w:t>for each measure type</w:t>
      </w:r>
      <w:r w:rsidR="00C20AE7" w:rsidRPr="00F3350F">
        <w:t>:</w:t>
      </w:r>
    </w:p>
    <w:p w14:paraId="4049BBEC" w14:textId="77777777" w:rsidR="005D725E" w:rsidRPr="00F3350F" w:rsidRDefault="005D725E" w:rsidP="00B6697F"/>
    <w:tbl>
      <w:tblPr>
        <w:tblStyle w:val="TableGrid"/>
        <w:tblW w:w="0" w:type="auto"/>
        <w:tblInd w:w="720" w:type="dxa"/>
        <w:tblLook w:val="04A0" w:firstRow="1" w:lastRow="0" w:firstColumn="1" w:lastColumn="0" w:noHBand="0" w:noVBand="1"/>
      </w:tblPr>
      <w:tblGrid>
        <w:gridCol w:w="3618"/>
        <w:gridCol w:w="1440"/>
        <w:gridCol w:w="3798"/>
      </w:tblGrid>
      <w:tr w:rsidR="00113453" w:rsidRPr="00F3350F" w14:paraId="3A56E3B1" w14:textId="77777777" w:rsidTr="00113453">
        <w:tc>
          <w:tcPr>
            <w:tcW w:w="3618" w:type="dxa"/>
            <w:shd w:val="clear" w:color="auto" w:fill="8DB3E2" w:themeFill="text2" w:themeFillTint="66"/>
            <w:vAlign w:val="center"/>
          </w:tcPr>
          <w:p w14:paraId="73D55B80" w14:textId="0D9C1804" w:rsidR="005D725E" w:rsidRPr="00F3350F" w:rsidRDefault="005D725E" w:rsidP="00B6697F">
            <w:r w:rsidRPr="00F3350F">
              <w:t>Measure Type</w:t>
            </w:r>
          </w:p>
        </w:tc>
        <w:tc>
          <w:tcPr>
            <w:tcW w:w="1440" w:type="dxa"/>
            <w:shd w:val="clear" w:color="auto" w:fill="8DB3E2" w:themeFill="text2" w:themeFillTint="66"/>
            <w:vAlign w:val="center"/>
          </w:tcPr>
          <w:p w14:paraId="5B243250" w14:textId="38520827" w:rsidR="005D725E" w:rsidRPr="00F3350F" w:rsidRDefault="005D725E" w:rsidP="00B6697F">
            <w:r w:rsidRPr="00F3350F">
              <w:t>Abbreviation</w:t>
            </w:r>
          </w:p>
        </w:tc>
        <w:tc>
          <w:tcPr>
            <w:tcW w:w="3798" w:type="dxa"/>
            <w:shd w:val="clear" w:color="auto" w:fill="8DB3E2" w:themeFill="text2" w:themeFillTint="66"/>
            <w:vAlign w:val="center"/>
          </w:tcPr>
          <w:p w14:paraId="16AB07CC" w14:textId="3E0F8A92" w:rsidR="005D725E" w:rsidRPr="00F3350F" w:rsidRDefault="005D725E" w:rsidP="00B6697F">
            <w:r w:rsidRPr="00F3350F">
              <w:t>Source For Default Baseline</w:t>
            </w:r>
          </w:p>
        </w:tc>
      </w:tr>
      <w:tr w:rsidR="005D725E" w:rsidRPr="00F3350F" w14:paraId="4A81FB1F" w14:textId="77777777" w:rsidTr="00113453">
        <w:tc>
          <w:tcPr>
            <w:tcW w:w="3618" w:type="dxa"/>
            <w:vAlign w:val="center"/>
          </w:tcPr>
          <w:p w14:paraId="3B3DEB27" w14:textId="389333FE" w:rsidR="005D725E" w:rsidRPr="00F3350F" w:rsidRDefault="0061286B" w:rsidP="00B6697F">
            <w:r w:rsidRPr="00F3350F">
              <w:t>Add-On Equipment</w:t>
            </w:r>
          </w:p>
        </w:tc>
        <w:tc>
          <w:tcPr>
            <w:tcW w:w="1440" w:type="dxa"/>
            <w:vAlign w:val="center"/>
          </w:tcPr>
          <w:p w14:paraId="5172F9EE" w14:textId="023E72EA" w:rsidR="005D725E" w:rsidRPr="00F3350F" w:rsidRDefault="0061286B" w:rsidP="00B6697F">
            <w:r w:rsidRPr="00F3350F">
              <w:t>AOE</w:t>
            </w:r>
          </w:p>
        </w:tc>
        <w:tc>
          <w:tcPr>
            <w:tcW w:w="3798" w:type="dxa"/>
            <w:vAlign w:val="center"/>
          </w:tcPr>
          <w:p w14:paraId="42EAF33B" w14:textId="30CB341B" w:rsidR="005D725E" w:rsidRPr="00F3350F" w:rsidRDefault="0061286B" w:rsidP="00B6697F">
            <w:r w:rsidRPr="00F3350F">
              <w:t>Existing Conditions</w:t>
            </w:r>
          </w:p>
        </w:tc>
      </w:tr>
      <w:tr w:rsidR="005D725E" w:rsidRPr="00F3350F" w14:paraId="76F701BC" w14:textId="77777777" w:rsidTr="00113453">
        <w:tc>
          <w:tcPr>
            <w:tcW w:w="3618" w:type="dxa"/>
            <w:vAlign w:val="center"/>
          </w:tcPr>
          <w:p w14:paraId="778BA22F" w14:textId="011E346E" w:rsidR="005D725E" w:rsidRPr="00F3350F" w:rsidRDefault="0061286B" w:rsidP="00B6697F">
            <w:r w:rsidRPr="00F3350F">
              <w:t>Behavioral, Retrocommissioning, or Operational</w:t>
            </w:r>
          </w:p>
        </w:tc>
        <w:tc>
          <w:tcPr>
            <w:tcW w:w="1440" w:type="dxa"/>
            <w:vAlign w:val="center"/>
          </w:tcPr>
          <w:p w14:paraId="42D9E1AE" w14:textId="12FC1AEA" w:rsidR="005D725E" w:rsidRPr="00F3350F" w:rsidRDefault="0061286B" w:rsidP="00B6697F">
            <w:r w:rsidRPr="00F3350F">
              <w:t>BRO</w:t>
            </w:r>
          </w:p>
        </w:tc>
        <w:tc>
          <w:tcPr>
            <w:tcW w:w="3798" w:type="dxa"/>
            <w:vAlign w:val="center"/>
          </w:tcPr>
          <w:p w14:paraId="3BB3ACBF" w14:textId="7ECDFE74" w:rsidR="005D725E" w:rsidRPr="00F3350F" w:rsidRDefault="0061286B" w:rsidP="00B6697F">
            <w:r w:rsidRPr="00F3350F">
              <w:t>Existing Conditions</w:t>
            </w:r>
          </w:p>
        </w:tc>
      </w:tr>
      <w:tr w:rsidR="005D725E" w:rsidRPr="00F3350F" w14:paraId="1212A170" w14:textId="77777777" w:rsidTr="00113453">
        <w:tc>
          <w:tcPr>
            <w:tcW w:w="3618" w:type="dxa"/>
            <w:vAlign w:val="center"/>
          </w:tcPr>
          <w:p w14:paraId="7D0A8E24" w14:textId="7AF61018" w:rsidR="005D725E" w:rsidRPr="00F3350F" w:rsidRDefault="0061286B" w:rsidP="00B6697F">
            <w:r w:rsidRPr="00F3350F">
              <w:t>Weatherization</w:t>
            </w:r>
          </w:p>
        </w:tc>
        <w:tc>
          <w:tcPr>
            <w:tcW w:w="1440" w:type="dxa"/>
            <w:vAlign w:val="center"/>
          </w:tcPr>
          <w:p w14:paraId="18FBFD3B" w14:textId="4CD460FA" w:rsidR="005D725E" w:rsidRPr="00F3350F" w:rsidRDefault="0061286B" w:rsidP="00B6697F">
            <w:r w:rsidRPr="00F3350F">
              <w:t>WEA</w:t>
            </w:r>
          </w:p>
        </w:tc>
        <w:tc>
          <w:tcPr>
            <w:tcW w:w="3798" w:type="dxa"/>
            <w:vAlign w:val="center"/>
          </w:tcPr>
          <w:p w14:paraId="162E878B" w14:textId="0A994531" w:rsidR="005D725E" w:rsidRPr="00F3350F" w:rsidRDefault="0061286B" w:rsidP="00B6697F">
            <w:r w:rsidRPr="00F3350F">
              <w:t>Existing Conditions</w:t>
            </w:r>
          </w:p>
        </w:tc>
      </w:tr>
      <w:tr w:rsidR="00070FD9" w:rsidRPr="00F3350F" w14:paraId="67745D97" w14:textId="77777777" w:rsidTr="00113453">
        <w:tc>
          <w:tcPr>
            <w:tcW w:w="3618" w:type="dxa"/>
            <w:vAlign w:val="center"/>
          </w:tcPr>
          <w:p w14:paraId="17358EC3" w14:textId="11F24E48" w:rsidR="00070FD9" w:rsidRPr="00F3350F" w:rsidRDefault="00070FD9" w:rsidP="00CE709E">
            <w:r w:rsidRPr="00F3350F">
              <w:t>Metered Replacement*</w:t>
            </w:r>
          </w:p>
        </w:tc>
        <w:tc>
          <w:tcPr>
            <w:tcW w:w="1440" w:type="dxa"/>
            <w:vAlign w:val="center"/>
          </w:tcPr>
          <w:p w14:paraId="7CB27F8A" w14:textId="70FCEC89" w:rsidR="00070FD9" w:rsidRPr="00F3350F" w:rsidRDefault="00070FD9" w:rsidP="00B6697F">
            <w:r w:rsidRPr="00F3350F">
              <w:t>TBD*</w:t>
            </w:r>
          </w:p>
        </w:tc>
        <w:tc>
          <w:tcPr>
            <w:tcW w:w="3798" w:type="dxa"/>
            <w:vAlign w:val="center"/>
          </w:tcPr>
          <w:p w14:paraId="66D3D3E1" w14:textId="320B27F3" w:rsidR="00070FD9" w:rsidRPr="00F3350F" w:rsidRDefault="00070FD9" w:rsidP="00B6697F">
            <w:r w:rsidRPr="00F3350F">
              <w:t>Existing Conditions</w:t>
            </w:r>
          </w:p>
        </w:tc>
      </w:tr>
      <w:tr w:rsidR="00D01B99" w:rsidRPr="00F3350F" w14:paraId="717B794F" w14:textId="77777777" w:rsidTr="00113453">
        <w:tc>
          <w:tcPr>
            <w:tcW w:w="3618" w:type="dxa"/>
            <w:vAlign w:val="center"/>
          </w:tcPr>
          <w:p w14:paraId="0A1DB6B0" w14:textId="08014D82" w:rsidR="00D01B99" w:rsidRPr="00F3350F" w:rsidRDefault="00D01B99" w:rsidP="00070FD9">
            <w:r w:rsidRPr="00F3350F">
              <w:t>Multi-</w:t>
            </w:r>
            <w:r w:rsidR="00070FD9" w:rsidRPr="00F3350F">
              <w:t>M</w:t>
            </w:r>
            <w:r w:rsidRPr="00F3350F">
              <w:t xml:space="preserve">easure </w:t>
            </w:r>
            <w:r w:rsidR="00070FD9" w:rsidRPr="00F3350F">
              <w:t>Metered Replacement*</w:t>
            </w:r>
          </w:p>
        </w:tc>
        <w:tc>
          <w:tcPr>
            <w:tcW w:w="1440" w:type="dxa"/>
            <w:vAlign w:val="center"/>
          </w:tcPr>
          <w:p w14:paraId="30F63EFA" w14:textId="35071C04" w:rsidR="00D01B99" w:rsidRPr="00F3350F" w:rsidRDefault="00D01B99" w:rsidP="00B6697F">
            <w:r w:rsidRPr="00F3350F">
              <w:t>TBD*</w:t>
            </w:r>
          </w:p>
        </w:tc>
        <w:tc>
          <w:tcPr>
            <w:tcW w:w="3798" w:type="dxa"/>
            <w:vAlign w:val="center"/>
          </w:tcPr>
          <w:p w14:paraId="71DAC9C5" w14:textId="0A7A8DDC" w:rsidR="00D01B99" w:rsidRPr="00F3350F" w:rsidRDefault="00D01B99" w:rsidP="00B6697F">
            <w:r w:rsidRPr="00F3350F">
              <w:t>Existing Conditions</w:t>
            </w:r>
          </w:p>
        </w:tc>
      </w:tr>
    </w:tbl>
    <w:p w14:paraId="67BB1F14" w14:textId="77777777" w:rsidR="005D725E" w:rsidRPr="00F3350F" w:rsidRDefault="005D725E" w:rsidP="00B6697F"/>
    <w:p w14:paraId="32C97AC3" w14:textId="6C845584" w:rsidR="006B782E" w:rsidRPr="00F3350F" w:rsidRDefault="006B782E" w:rsidP="00B6697F">
      <w:r w:rsidRPr="00F3350F">
        <w:t>Note that the Normal Replacement (including Replace on Burnout)</w:t>
      </w:r>
      <w:r w:rsidR="00070FD9" w:rsidRPr="00F3350F">
        <w:t>,</w:t>
      </w:r>
      <w:r w:rsidRPr="00F3350F">
        <w:t xml:space="preserve"> the New Construction</w:t>
      </w:r>
      <w:r w:rsidR="00070FD9" w:rsidRPr="00F3350F">
        <w:t>, and the Early Retirement</w:t>
      </w:r>
      <w:r w:rsidRPr="00F3350F">
        <w:t xml:space="preserve"> measure types are not </w:t>
      </w:r>
      <w:r w:rsidR="001C20D4" w:rsidRPr="00F3350F">
        <w:t>allowed in meter-based approaches.</w:t>
      </w:r>
    </w:p>
    <w:p w14:paraId="6CF5E6D8" w14:textId="77777777" w:rsidR="001C20D4" w:rsidRPr="00F3350F" w:rsidRDefault="001C20D4" w:rsidP="00B6697F"/>
    <w:p w14:paraId="1AA0E1DA" w14:textId="5100D120" w:rsidR="00D01B99" w:rsidRPr="00F3350F" w:rsidRDefault="00023EC1" w:rsidP="00B6697F">
      <w:r w:rsidRPr="00F3350F">
        <w:t>*</w:t>
      </w:r>
      <w:r w:rsidR="00070FD9" w:rsidRPr="00F3350F">
        <w:t xml:space="preserve">PG&amp;E has identified the need to report meter-based projects and programs differently from deemed and custom projects. Meter-based projects and programs involving the replacement of equipment </w:t>
      </w:r>
      <w:r w:rsidR="00070FD9" w:rsidRPr="00F3350F">
        <w:lastRenderedPageBreak/>
        <w:t xml:space="preserve">should target equipment that could and would remain in service without program intervention. In that sense, they share characteristics with Early Retirement claims, although </w:t>
      </w:r>
      <w:r w:rsidR="00BD5D56" w:rsidRPr="00F3350F">
        <w:t>they may not need to meet Preponderance of Evidence standards. Notably, they also use a single baseline of existing conditions with EUL as described in sections below.</w:t>
      </w:r>
    </w:p>
    <w:p w14:paraId="29053320" w14:textId="77777777" w:rsidR="00D01B99" w:rsidRPr="00F3350F" w:rsidRDefault="00D01B99" w:rsidP="00B6697F"/>
    <w:p w14:paraId="1825390C" w14:textId="4B44D645" w:rsidR="00740023" w:rsidRPr="00F3350F" w:rsidRDefault="00740023" w:rsidP="00B6697F">
      <w:r w:rsidRPr="00F3350F">
        <w:t>Effective Dates:</w:t>
      </w:r>
    </w:p>
    <w:p w14:paraId="670A4218" w14:textId="2ADCE95D" w:rsidR="00740023" w:rsidRPr="00F3350F" w:rsidRDefault="00740023" w:rsidP="00B6697F">
      <w:r w:rsidRPr="00F3350F">
        <w:t>Rule Source: Project Basis EUL-RUL Guidance, EE Policy Manual v5, D.12-05-015</w:t>
      </w:r>
      <w:r w:rsidR="00E256CF" w:rsidRPr="00F3350F">
        <w:t>, Resolution E-4818</w:t>
      </w:r>
    </w:p>
    <w:p w14:paraId="6809BF7B" w14:textId="77777777" w:rsidR="00076F08" w:rsidRPr="00F3350F" w:rsidRDefault="00076F08" w:rsidP="00B6697F"/>
    <w:p w14:paraId="7512ABCF" w14:textId="006ACD20" w:rsidR="005B46CF" w:rsidRPr="00F3350F" w:rsidRDefault="005B46CF" w:rsidP="009E7ABC">
      <w:pPr>
        <w:pStyle w:val="Heading3"/>
        <w:numPr>
          <w:ilvl w:val="1"/>
          <w:numId w:val="2"/>
        </w:numPr>
        <w:ind w:left="720" w:hanging="720"/>
      </w:pPr>
      <w:bookmarkStart w:id="110" w:name="_Toc496784454"/>
      <w:r w:rsidRPr="00F3350F">
        <w:t xml:space="preserve">Regressive </w:t>
      </w:r>
      <w:r w:rsidR="006B782E" w:rsidRPr="00F3350F">
        <w:t>Baselines</w:t>
      </w:r>
      <w:bookmarkEnd w:id="110"/>
    </w:p>
    <w:p w14:paraId="68561B2F" w14:textId="15BEA01B" w:rsidR="005B46CF" w:rsidRPr="00F3350F" w:rsidRDefault="005B46CF" w:rsidP="00B6697F">
      <w:r w:rsidRPr="00F3350F">
        <w:t xml:space="preserve">Details: </w:t>
      </w:r>
      <w:r w:rsidR="006B782E" w:rsidRPr="00F3350F">
        <w:t xml:space="preserve">Regressive baselines apply when </w:t>
      </w:r>
      <w:r w:rsidRPr="00F3350F">
        <w:t>existing conditions are more efficient than the code/standard practice baseline</w:t>
      </w:r>
      <w:r w:rsidR="006B782E" w:rsidRPr="00F3350F">
        <w:t>. Since meter-based projects always use the existing conditions as the baseline, regressive baselines do not have any meaning for meter-based projects. This is included here for clarity</w:t>
      </w:r>
      <w:r w:rsidRPr="00F3350F">
        <w:t xml:space="preserve">. </w:t>
      </w:r>
    </w:p>
    <w:p w14:paraId="5903C140" w14:textId="77777777" w:rsidR="00076F08" w:rsidRPr="00F3350F" w:rsidRDefault="00076F08" w:rsidP="00B6697F"/>
    <w:p w14:paraId="0A5B4C32" w14:textId="4D10DDD3" w:rsidR="005B46CF" w:rsidRPr="00F3350F" w:rsidRDefault="005B46CF" w:rsidP="00B6697F">
      <w:r w:rsidRPr="00F3350F">
        <w:t>Effective Dates:</w:t>
      </w:r>
    </w:p>
    <w:p w14:paraId="0863BB3C" w14:textId="1B1AB7B7" w:rsidR="005B46CF" w:rsidRPr="00F3350F" w:rsidRDefault="005B46CF" w:rsidP="00B6697F">
      <w:r w:rsidRPr="00F3350F">
        <w:t xml:space="preserve">Rule Source: </w:t>
      </w:r>
      <w:r w:rsidR="007F54A7" w:rsidRPr="00F3350F">
        <w:t>N/A</w:t>
      </w:r>
    </w:p>
    <w:p w14:paraId="34B8AD8D" w14:textId="77777777" w:rsidR="00B97C49" w:rsidRPr="00F3350F" w:rsidRDefault="00B97C49" w:rsidP="00B6697F"/>
    <w:p w14:paraId="5F6E7C18" w14:textId="77777777" w:rsidR="00B97C49" w:rsidRPr="00F3350F" w:rsidRDefault="00B97C49" w:rsidP="00B97C49">
      <w:pPr>
        <w:pStyle w:val="Heading3"/>
        <w:numPr>
          <w:ilvl w:val="1"/>
          <w:numId w:val="2"/>
        </w:numPr>
        <w:ind w:left="720" w:hanging="720"/>
      </w:pPr>
      <w:bookmarkStart w:id="111" w:name="_Toc496784455"/>
      <w:r w:rsidRPr="00F3350F">
        <w:t>Commonly-Repaired Equipment</w:t>
      </w:r>
      <w:bookmarkEnd w:id="111"/>
    </w:p>
    <w:p w14:paraId="2C9B9317" w14:textId="77777777" w:rsidR="00B97C49" w:rsidRPr="00F3350F" w:rsidRDefault="00B97C49" w:rsidP="00B97C49">
      <w:r w:rsidRPr="00F3350F">
        <w:t>Details: If programs intend to provide incentives and/or claim savings for replacement of failed equipment, they need to make a data-supported case in their proposals that a given piece of equipment has a history of being repaired rather than replaced to justify use of an existing conditions baseline.</w:t>
      </w:r>
    </w:p>
    <w:p w14:paraId="6766A22F" w14:textId="77777777" w:rsidR="00B97C49" w:rsidRPr="00F3350F" w:rsidRDefault="00B97C49" w:rsidP="00B97C49"/>
    <w:p w14:paraId="6768D431" w14:textId="77777777" w:rsidR="00B97C49" w:rsidRPr="00F3350F" w:rsidRDefault="00B97C49" w:rsidP="00B97C49">
      <w:r w:rsidRPr="00F3350F">
        <w:t>Effective Dates:</w:t>
      </w:r>
    </w:p>
    <w:p w14:paraId="3BA143F4" w14:textId="77777777" w:rsidR="00B97C49" w:rsidRPr="00F3350F" w:rsidRDefault="00B97C49" w:rsidP="00B97C49">
      <w:r w:rsidRPr="00F3350F">
        <w:t>Rule Source: Staff White Paper Ruling</w:t>
      </w:r>
    </w:p>
    <w:p w14:paraId="00199FDA" w14:textId="77777777" w:rsidR="00076F08" w:rsidRPr="00F3350F" w:rsidRDefault="00076F08" w:rsidP="00B6697F"/>
    <w:p w14:paraId="3654BE33" w14:textId="6C1169C4" w:rsidR="00C50BD0" w:rsidRPr="00F3350F" w:rsidRDefault="00C50BD0" w:rsidP="009E7ABC">
      <w:pPr>
        <w:pStyle w:val="Heading3"/>
        <w:numPr>
          <w:ilvl w:val="1"/>
          <w:numId w:val="2"/>
        </w:numPr>
        <w:ind w:left="720" w:hanging="720"/>
      </w:pPr>
      <w:bookmarkStart w:id="112" w:name="_Toc432446676"/>
      <w:bookmarkStart w:id="113" w:name="_Toc432446977"/>
      <w:bookmarkStart w:id="114" w:name="_Toc432447767"/>
      <w:bookmarkStart w:id="115" w:name="_Toc496784456"/>
      <w:bookmarkStart w:id="116" w:name="_Toc496784457"/>
      <w:bookmarkStart w:id="117" w:name="_Toc496784459"/>
      <w:bookmarkStart w:id="118" w:name="_Toc496784460"/>
      <w:bookmarkStart w:id="119" w:name="_Toc496784462"/>
      <w:bookmarkStart w:id="120" w:name="_Toc496784463"/>
      <w:bookmarkStart w:id="121" w:name="_Toc432446680"/>
      <w:bookmarkStart w:id="122" w:name="_Toc432446981"/>
      <w:bookmarkStart w:id="123" w:name="_Toc432447771"/>
      <w:bookmarkStart w:id="124" w:name="_Toc496784464"/>
      <w:bookmarkEnd w:id="112"/>
      <w:bookmarkEnd w:id="113"/>
      <w:bookmarkEnd w:id="114"/>
      <w:bookmarkEnd w:id="115"/>
      <w:bookmarkEnd w:id="116"/>
      <w:bookmarkEnd w:id="117"/>
      <w:bookmarkEnd w:id="118"/>
      <w:bookmarkEnd w:id="119"/>
      <w:bookmarkEnd w:id="120"/>
      <w:bookmarkEnd w:id="121"/>
      <w:bookmarkEnd w:id="122"/>
      <w:bookmarkEnd w:id="123"/>
      <w:r w:rsidRPr="00F3350F">
        <w:t>Add-on Equipment</w:t>
      </w:r>
      <w:bookmarkEnd w:id="124"/>
    </w:p>
    <w:p w14:paraId="1B00A1E5" w14:textId="77777777" w:rsidR="0066122C" w:rsidRPr="00F3350F" w:rsidRDefault="0066122C" w:rsidP="009E7ABC"/>
    <w:p w14:paraId="7950E940" w14:textId="60601B2E" w:rsidR="00740023" w:rsidRPr="00F3350F" w:rsidRDefault="00B017FC" w:rsidP="009E7ABC">
      <w:pPr>
        <w:pStyle w:val="Heading3"/>
      </w:pPr>
      <w:bookmarkStart w:id="125" w:name="_Toc496784465"/>
      <w:r w:rsidRPr="00F3350F">
        <w:t xml:space="preserve">EUL </w:t>
      </w:r>
      <w:r w:rsidR="007F54A7" w:rsidRPr="00F3350F">
        <w:t>for Add-On Equipment</w:t>
      </w:r>
      <w:bookmarkEnd w:id="125"/>
    </w:p>
    <w:p w14:paraId="3011370F" w14:textId="313058AE" w:rsidR="00740023" w:rsidRPr="00F3350F" w:rsidRDefault="00740023" w:rsidP="00B6697F">
      <w:r w:rsidRPr="00F3350F">
        <w:t xml:space="preserve">Details: </w:t>
      </w:r>
      <w:r w:rsidR="007F54A7" w:rsidRPr="00F3350F">
        <w:t xml:space="preserve">When using a meter-based approach to claim savings, add-on measures should </w:t>
      </w:r>
      <w:r w:rsidR="00BA7535" w:rsidRPr="00F3350F">
        <w:t xml:space="preserve">use </w:t>
      </w:r>
      <w:proofErr w:type="gramStart"/>
      <w:r w:rsidR="00BA7535" w:rsidRPr="00F3350F">
        <w:t>an</w:t>
      </w:r>
      <w:proofErr w:type="gramEnd"/>
      <w:r w:rsidR="00BA7535" w:rsidRPr="00F3350F">
        <w:t xml:space="preserve"> EUL as described in t</w:t>
      </w:r>
      <w:r w:rsidR="000975FB" w:rsidRPr="00F3350F">
        <w:t>he “EUL Determination” section</w:t>
      </w:r>
      <w:r w:rsidRPr="00F3350F">
        <w:t>.</w:t>
      </w:r>
    </w:p>
    <w:p w14:paraId="0C4A47BF" w14:textId="77777777" w:rsidR="00076F08" w:rsidRPr="00F3350F" w:rsidRDefault="00076F08" w:rsidP="00B6697F"/>
    <w:p w14:paraId="1F7A0933" w14:textId="26C6C761" w:rsidR="00740023" w:rsidRPr="00F3350F" w:rsidRDefault="00740023" w:rsidP="00B6697F">
      <w:r w:rsidRPr="00F3350F">
        <w:t>Effective Dates:</w:t>
      </w:r>
    </w:p>
    <w:p w14:paraId="61747E5C" w14:textId="7A44CFAA" w:rsidR="00740023" w:rsidRPr="00F3350F" w:rsidRDefault="00740023" w:rsidP="00B6697F">
      <w:r w:rsidRPr="00F3350F">
        <w:t>Rule Source:</w:t>
      </w:r>
      <w:bookmarkStart w:id="126" w:name="_Toc432446682"/>
      <w:bookmarkStart w:id="127" w:name="_Toc432446983"/>
      <w:bookmarkStart w:id="128" w:name="_Toc432447773"/>
      <w:bookmarkEnd w:id="126"/>
      <w:bookmarkEnd w:id="127"/>
      <w:bookmarkEnd w:id="128"/>
    </w:p>
    <w:p w14:paraId="622E8200" w14:textId="77777777" w:rsidR="00076F08" w:rsidRPr="00F3350F" w:rsidRDefault="00076F08" w:rsidP="00B6697F"/>
    <w:p w14:paraId="3DB9E2E5" w14:textId="1F4246D5" w:rsidR="00D452F4" w:rsidRPr="00F3350F" w:rsidRDefault="00D452F4" w:rsidP="009E7ABC">
      <w:pPr>
        <w:pStyle w:val="Heading3"/>
        <w:numPr>
          <w:ilvl w:val="1"/>
          <w:numId w:val="2"/>
        </w:numPr>
        <w:ind w:left="720" w:hanging="720"/>
      </w:pPr>
      <w:bookmarkStart w:id="129" w:name="_Toc496784466"/>
      <w:r w:rsidRPr="00F3350F">
        <w:t>Behavioral, Retrocommissioning, and Operational</w:t>
      </w:r>
      <w:bookmarkEnd w:id="129"/>
    </w:p>
    <w:p w14:paraId="13A40058" w14:textId="77777777" w:rsidR="00D452F4" w:rsidRPr="00F3350F" w:rsidRDefault="00D452F4" w:rsidP="009E7ABC"/>
    <w:p w14:paraId="2EB2DFDE" w14:textId="77777777" w:rsidR="002A7034" w:rsidRPr="00F3350F" w:rsidRDefault="002A7034" w:rsidP="002A7034">
      <w:pPr>
        <w:pStyle w:val="Heading3"/>
      </w:pPr>
      <w:bookmarkStart w:id="130" w:name="_Toc496784467"/>
      <w:r w:rsidRPr="00F3350F">
        <w:t>EUL for BRO measures</w:t>
      </w:r>
      <w:bookmarkEnd w:id="130"/>
    </w:p>
    <w:p w14:paraId="1F431786" w14:textId="77777777" w:rsidR="002A7034" w:rsidRPr="00F3350F" w:rsidRDefault="002A7034" w:rsidP="002A7034">
      <w:r w:rsidRPr="00F3350F">
        <w:t>Details: Interventions composed entirely of retrocommissioning and/or operational measures should claim a three-year EUL. Interventions composed entirely of behavioral measures should claim a two-year EUL if non-residential, or a one-year EUL if residential.</w:t>
      </w:r>
    </w:p>
    <w:p w14:paraId="6BEA3B48" w14:textId="77777777" w:rsidR="002A7034" w:rsidRPr="00F3350F" w:rsidRDefault="002A7034" w:rsidP="002A7034"/>
    <w:p w14:paraId="3674A0FF" w14:textId="77777777" w:rsidR="002A7034" w:rsidRPr="00F3350F" w:rsidRDefault="002A7034" w:rsidP="009E7ABC">
      <w:r w:rsidRPr="00F3350F">
        <w:t xml:space="preserve">Effective Dates: </w:t>
      </w:r>
    </w:p>
    <w:p w14:paraId="25E2BE22" w14:textId="25F1866E" w:rsidR="00D452F4" w:rsidRPr="00F3350F" w:rsidRDefault="002A7034" w:rsidP="009E7ABC">
      <w:r w:rsidRPr="00F3350F">
        <w:t>Rule Source: D.16-08-019 (note: supersedes HOPPs Ruling)</w:t>
      </w:r>
    </w:p>
    <w:p w14:paraId="3C4F84AC" w14:textId="77777777" w:rsidR="002A7034" w:rsidRPr="00F3350F" w:rsidRDefault="002A7034" w:rsidP="009E7ABC"/>
    <w:p w14:paraId="2DDCB279" w14:textId="77777777" w:rsidR="00076F08" w:rsidRPr="00F3350F" w:rsidRDefault="00076F08" w:rsidP="00B6697F">
      <w:bookmarkStart w:id="131" w:name="_Toc432446701"/>
      <w:bookmarkStart w:id="132" w:name="_Toc432447002"/>
      <w:bookmarkStart w:id="133" w:name="_Toc432447792"/>
      <w:bookmarkStart w:id="134" w:name="_Toc432446703"/>
      <w:bookmarkStart w:id="135" w:name="_Toc432447004"/>
      <w:bookmarkStart w:id="136" w:name="_Toc432447794"/>
      <w:bookmarkStart w:id="137" w:name="_Toc432446705"/>
      <w:bookmarkStart w:id="138" w:name="_Toc432447006"/>
      <w:bookmarkStart w:id="139" w:name="_Toc432447796"/>
      <w:bookmarkEnd w:id="131"/>
      <w:bookmarkEnd w:id="132"/>
      <w:bookmarkEnd w:id="133"/>
      <w:bookmarkEnd w:id="134"/>
      <w:bookmarkEnd w:id="135"/>
      <w:bookmarkEnd w:id="136"/>
      <w:bookmarkEnd w:id="137"/>
      <w:bookmarkEnd w:id="138"/>
      <w:bookmarkEnd w:id="139"/>
    </w:p>
    <w:p w14:paraId="4C04AFF0" w14:textId="77777777" w:rsidR="00076F08" w:rsidRPr="00F3350F" w:rsidRDefault="00076F08" w:rsidP="00B6697F"/>
    <w:p w14:paraId="33BA0554" w14:textId="3D9BEF9A" w:rsidR="00421C44" w:rsidRPr="00F3350F" w:rsidRDefault="00B357AC" w:rsidP="00B6697F">
      <w:pPr>
        <w:pStyle w:val="Heading1"/>
      </w:pPr>
      <w:bookmarkStart w:id="140" w:name="_Toc496784468"/>
      <w:r w:rsidRPr="00F3350F">
        <w:t>Savings</w:t>
      </w:r>
      <w:r w:rsidR="00421C44" w:rsidRPr="00F3350F">
        <w:t xml:space="preserve"> Calculations</w:t>
      </w:r>
      <w:bookmarkEnd w:id="140"/>
    </w:p>
    <w:p w14:paraId="235F8E9E" w14:textId="77777777" w:rsidR="002A59D5" w:rsidRPr="00F3350F" w:rsidRDefault="002A59D5" w:rsidP="00B6697F"/>
    <w:p w14:paraId="4DFCF45E" w14:textId="7831B4C3" w:rsidR="0074186C" w:rsidRPr="00F3350F" w:rsidRDefault="00AD3D81" w:rsidP="009E7ABC">
      <w:pPr>
        <w:pStyle w:val="Heading3"/>
        <w:numPr>
          <w:ilvl w:val="1"/>
          <w:numId w:val="2"/>
        </w:numPr>
        <w:ind w:left="720" w:hanging="720"/>
      </w:pPr>
      <w:bookmarkStart w:id="141" w:name="_Toc496784469"/>
      <w:r w:rsidRPr="00F3350F">
        <w:lastRenderedPageBreak/>
        <w:t>PG&amp;E Energy Usage Data</w:t>
      </w:r>
      <w:bookmarkEnd w:id="141"/>
    </w:p>
    <w:p w14:paraId="0D0A71AD" w14:textId="5A233C9C" w:rsidR="00D276F1" w:rsidRPr="00F3350F" w:rsidRDefault="0074186C" w:rsidP="00B6697F">
      <w:r w:rsidRPr="00F3350F">
        <w:t xml:space="preserve">Details: </w:t>
      </w:r>
      <w:r w:rsidR="00AD3D81" w:rsidRPr="00F3350F">
        <w:t>When available</w:t>
      </w:r>
      <w:r w:rsidR="002D3804" w:rsidRPr="00F3350F">
        <w:t xml:space="preserve"> and relevant</w:t>
      </w:r>
      <w:r w:rsidR="00AD3D81" w:rsidRPr="00F3350F">
        <w:t xml:space="preserve">, programs should use customer and energy data provided by PG&amp;E. PG&amp;E will perform quality control on this data to ensure customers’ accounts are correctly matched. </w:t>
      </w:r>
      <w:r w:rsidR="00DA5C8F" w:rsidRPr="00F3350F">
        <w:t xml:space="preserve">PG&amp;E may also provide additional data to facilitate program implementation; it is recommended to discuss and finalize the regularity and format of data transfers prior to program launch and contract approval. Please refer to PG&amp;E IT requirements. </w:t>
      </w:r>
    </w:p>
    <w:p w14:paraId="1F1281CF" w14:textId="77777777" w:rsidR="00642D35" w:rsidRPr="00F3350F" w:rsidRDefault="00642D35" w:rsidP="00B6697F"/>
    <w:p w14:paraId="7AC5079F" w14:textId="60945019" w:rsidR="0074186C" w:rsidRPr="00F3350F" w:rsidRDefault="0074186C" w:rsidP="00B6697F">
      <w:r w:rsidRPr="00F3350F">
        <w:t xml:space="preserve">Effective Dates: </w:t>
      </w:r>
    </w:p>
    <w:p w14:paraId="64B7B497" w14:textId="2CFA9B44" w:rsidR="00D276F1" w:rsidRPr="00F3350F" w:rsidRDefault="000D57C3" w:rsidP="00B6697F">
      <w:pPr>
        <w:rPr>
          <w:rFonts w:asciiTheme="majorHAnsi" w:hAnsiTheme="majorHAnsi" w:cstheme="majorBidi"/>
          <w:b/>
          <w:bCs/>
          <w:color w:val="365F91" w:themeColor="accent1" w:themeShade="BF"/>
          <w:sz w:val="28"/>
          <w:szCs w:val="28"/>
        </w:rPr>
      </w:pPr>
      <w:r w:rsidRPr="00F3350F">
        <w:t xml:space="preserve">Rule Source: </w:t>
      </w:r>
      <w:r w:rsidR="00DA5C8F" w:rsidRPr="00F3350F">
        <w:t>N/A</w:t>
      </w:r>
    </w:p>
    <w:p w14:paraId="4C7FD9E4" w14:textId="77777777" w:rsidR="00D276F1" w:rsidRPr="00F3350F" w:rsidRDefault="00D276F1" w:rsidP="00B6697F">
      <w:bookmarkStart w:id="142" w:name="_Toc432446568"/>
      <w:bookmarkStart w:id="143" w:name="_Toc432446869"/>
      <w:bookmarkStart w:id="144" w:name="_Toc432447659"/>
      <w:bookmarkStart w:id="145" w:name="_Toc432446569"/>
      <w:bookmarkStart w:id="146" w:name="_Toc432446870"/>
      <w:bookmarkStart w:id="147" w:name="_Toc432447660"/>
      <w:bookmarkStart w:id="148" w:name="_Toc432446570"/>
      <w:bookmarkStart w:id="149" w:name="_Toc432446871"/>
      <w:bookmarkStart w:id="150" w:name="_Toc432447661"/>
      <w:bookmarkStart w:id="151" w:name="_Toc432446573"/>
      <w:bookmarkStart w:id="152" w:name="_Toc432446874"/>
      <w:bookmarkStart w:id="153" w:name="_Toc432447664"/>
      <w:bookmarkStart w:id="154" w:name="_Toc432446574"/>
      <w:bookmarkStart w:id="155" w:name="_Toc432446875"/>
      <w:bookmarkStart w:id="156" w:name="_Toc432447665"/>
      <w:bookmarkStart w:id="157" w:name="_Toc432446575"/>
      <w:bookmarkStart w:id="158" w:name="_Toc432446876"/>
      <w:bookmarkStart w:id="159" w:name="_Toc432447666"/>
      <w:bookmarkStart w:id="160" w:name="_Toc432446576"/>
      <w:bookmarkStart w:id="161" w:name="_Toc432446877"/>
      <w:bookmarkStart w:id="162" w:name="_Toc432447667"/>
      <w:bookmarkStart w:id="163" w:name="_Toc432446579"/>
      <w:bookmarkStart w:id="164" w:name="_Toc432446880"/>
      <w:bookmarkStart w:id="165" w:name="_Toc432447670"/>
      <w:bookmarkStart w:id="166" w:name="_Toc432446580"/>
      <w:bookmarkStart w:id="167" w:name="_Toc432446881"/>
      <w:bookmarkStart w:id="168" w:name="_Toc432447671"/>
      <w:bookmarkStart w:id="169" w:name="_Toc432446581"/>
      <w:bookmarkStart w:id="170" w:name="_Toc432446882"/>
      <w:bookmarkStart w:id="171" w:name="_Toc432447672"/>
      <w:bookmarkStart w:id="172" w:name="_Toc432446582"/>
      <w:bookmarkStart w:id="173" w:name="_Toc432446883"/>
      <w:bookmarkStart w:id="174" w:name="_Toc432447673"/>
      <w:bookmarkStart w:id="175" w:name="_Toc432446585"/>
      <w:bookmarkStart w:id="176" w:name="_Toc432446886"/>
      <w:bookmarkStart w:id="177" w:name="_Toc432447676"/>
      <w:bookmarkStart w:id="178" w:name="_Toc432437006"/>
      <w:bookmarkStart w:id="179" w:name="_Toc432446586"/>
      <w:bookmarkStart w:id="180" w:name="_Toc432446887"/>
      <w:bookmarkStart w:id="181" w:name="_Toc43244767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33BA0573" w14:textId="4AF24481" w:rsidR="00A04535" w:rsidRPr="00F3350F" w:rsidRDefault="00781454" w:rsidP="009E7ABC">
      <w:pPr>
        <w:pStyle w:val="Heading3"/>
        <w:numPr>
          <w:ilvl w:val="1"/>
          <w:numId w:val="2"/>
        </w:numPr>
        <w:ind w:left="720" w:hanging="720"/>
      </w:pPr>
      <w:bookmarkStart w:id="182" w:name="_Toc496784470"/>
      <w:r w:rsidRPr="00F3350F">
        <w:t>Gross Claimable Savings Determination</w:t>
      </w:r>
      <w:bookmarkEnd w:id="182"/>
    </w:p>
    <w:p w14:paraId="33BA0574" w14:textId="28986259" w:rsidR="00A527B4" w:rsidRPr="00F3350F" w:rsidRDefault="00A527B4" w:rsidP="00B6697F">
      <w:r w:rsidRPr="00F3350F">
        <w:t xml:space="preserve">Details: </w:t>
      </w:r>
    </w:p>
    <w:p w14:paraId="4B1258A6" w14:textId="0243C2AF" w:rsidR="00C20AE7" w:rsidRPr="00F3350F" w:rsidRDefault="00461E2A" w:rsidP="009E7ABC">
      <w:pPr>
        <w:pStyle w:val="ListParagraph"/>
        <w:numPr>
          <w:ilvl w:val="0"/>
          <w:numId w:val="61"/>
        </w:numPr>
      </w:pPr>
      <w:r w:rsidRPr="00F3350F">
        <w:t>[AG only] Gross claimable savings are determined by composing a control group</w:t>
      </w:r>
      <w:r w:rsidR="00D51E04" w:rsidRPr="00F3350F">
        <w:t xml:space="preserve"> of non-participating customers</w:t>
      </w:r>
      <w:r w:rsidRPr="00F3350F">
        <w:t xml:space="preserve"> that matches the characteristics of the participant population. </w:t>
      </w:r>
      <w:r w:rsidR="008F4DDD" w:rsidRPr="00F3350F">
        <w:t xml:space="preserve">Such characteristics typically include energy usage data, </w:t>
      </w:r>
      <w:r w:rsidR="00641588" w:rsidRPr="00F3350F">
        <w:t>size (i.e. square footage), climate zone</w:t>
      </w:r>
      <w:r w:rsidR="00960668" w:rsidRPr="00F3350F">
        <w:t>, and others</w:t>
      </w:r>
      <w:r w:rsidR="00C20AE7" w:rsidRPr="00F3350F">
        <w:t>.</w:t>
      </w:r>
      <w:r w:rsidR="00960668" w:rsidRPr="00F3350F">
        <w:t xml:space="preserve"> </w:t>
      </w:r>
      <w:r w:rsidR="00C20AE7" w:rsidRPr="00F3350F">
        <w:t xml:space="preserve">Note that “observed” savings, which calculate savings values </w:t>
      </w:r>
      <w:r w:rsidR="00A73A6A" w:rsidRPr="00F3350F">
        <w:t xml:space="preserve">purely </w:t>
      </w:r>
      <w:r w:rsidR="00C20AE7" w:rsidRPr="00F3350F">
        <w:t xml:space="preserve">based on weather-normalized analysis of pre/post interval data, are not </w:t>
      </w:r>
      <w:r w:rsidR="00EA2A3C" w:rsidRPr="00F3350F">
        <w:t xml:space="preserve">directly </w:t>
      </w:r>
      <w:r w:rsidR="00C20AE7" w:rsidRPr="00F3350F">
        <w:t>claimable. Observed savings do not normalize for other non-weather factors, such as occupancy, square footage, or production, and they do not account for systemic (that is, exogenous to the effect of the program) changes in energy use.</w:t>
      </w:r>
    </w:p>
    <w:p w14:paraId="2C24EFA4" w14:textId="77777777" w:rsidR="00641588" w:rsidRPr="00F3350F" w:rsidRDefault="00641588" w:rsidP="009E7ABC">
      <w:pPr>
        <w:pStyle w:val="ListParagraph"/>
        <w:ind w:left="720"/>
        <w:rPr>
          <w:rFonts w:eastAsiaTheme="minorHAnsi"/>
        </w:rPr>
      </w:pPr>
    </w:p>
    <w:p w14:paraId="71CA4725" w14:textId="0F0CE944" w:rsidR="00D51E04" w:rsidRPr="00F3350F" w:rsidRDefault="00641588" w:rsidP="009E7ABC">
      <w:pPr>
        <w:ind w:left="720"/>
      </w:pPr>
      <w:r w:rsidRPr="00F3350F">
        <w:t xml:space="preserve">By definition, the control group cannot be composed (and thus, gross claimable savings cannot be determined) until the participant population is </w:t>
      </w:r>
      <w:r w:rsidR="00AA7792" w:rsidRPr="00F3350F">
        <w:t>established</w:t>
      </w:r>
      <w:r w:rsidRPr="00F3350F">
        <w:t xml:space="preserve">. </w:t>
      </w:r>
      <w:r w:rsidR="00E40F82" w:rsidRPr="00F3350F">
        <w:t>For that reason, it is essential for programs to collect the necessary data to facilitate the creation of a robust control group.</w:t>
      </w:r>
      <w:r w:rsidR="00960668" w:rsidRPr="00F3350F">
        <w:t xml:space="preserve"> Programs should balance the costs of data collection and ease of implementation with the accuracy of the evaluation.</w:t>
      </w:r>
    </w:p>
    <w:p w14:paraId="1B53C245" w14:textId="216787E5" w:rsidR="00D51E04" w:rsidRPr="00F3350F" w:rsidRDefault="00D51E04" w:rsidP="009E7ABC"/>
    <w:p w14:paraId="798874D9" w14:textId="181D5BD0" w:rsidR="00461E2A" w:rsidRPr="00F3350F" w:rsidRDefault="00461E2A" w:rsidP="009E7ABC">
      <w:pPr>
        <w:pStyle w:val="ListParagraph"/>
        <w:numPr>
          <w:ilvl w:val="0"/>
          <w:numId w:val="61"/>
        </w:numPr>
      </w:pPr>
      <w:r w:rsidRPr="00F3350F">
        <w:t xml:space="preserve">[SS only] Gross claimable savings are determined by normalizing pre and post energy usage for </w:t>
      </w:r>
      <w:r w:rsidR="00EA2A3C" w:rsidRPr="00F3350F">
        <w:t xml:space="preserve">applicable variables, which may include: </w:t>
      </w:r>
      <w:r w:rsidRPr="00F3350F">
        <w:t>weather, pre-intervention energy use levels, production, occupancy, non-routine events, and other</w:t>
      </w:r>
      <w:r w:rsidR="00EA2A3C" w:rsidRPr="00F3350F">
        <w:t>s</w:t>
      </w:r>
      <w:r w:rsidRPr="00F3350F">
        <w:t xml:space="preserve">. See </w:t>
      </w:r>
      <w:r w:rsidR="002E5D59" w:rsidRPr="00F3350F">
        <w:t>Draft Guidance for Program Level M&amp;V Plans: Normalized Meter-based Savings Estimation</w:t>
      </w:r>
      <w:r w:rsidRPr="00F3350F">
        <w:t xml:space="preserve"> for details.</w:t>
      </w:r>
    </w:p>
    <w:p w14:paraId="30EE87C2" w14:textId="77777777" w:rsidR="00D276F1" w:rsidRPr="00F3350F" w:rsidRDefault="00D276F1" w:rsidP="00B6697F"/>
    <w:p w14:paraId="1B1F58B3" w14:textId="77777777" w:rsidR="00592D44" w:rsidRPr="00F3350F" w:rsidRDefault="00592D44" w:rsidP="00B6697F">
      <w:r w:rsidRPr="00F3350F">
        <w:t xml:space="preserve">Effective Dates: </w:t>
      </w:r>
    </w:p>
    <w:p w14:paraId="2021FEC1" w14:textId="46CCC02E" w:rsidR="00592D44" w:rsidRPr="00F3350F" w:rsidRDefault="00592D44" w:rsidP="00B6697F">
      <w:r w:rsidRPr="00F3350F">
        <w:t xml:space="preserve">Rule Source:  HOPPs </w:t>
      </w:r>
      <w:r w:rsidR="000975FB" w:rsidRPr="00F3350F">
        <w:t>Staff White Paper</w:t>
      </w:r>
      <w:r w:rsidRPr="00F3350F">
        <w:t xml:space="preserve">; </w:t>
      </w:r>
      <w:r w:rsidR="0046177E" w:rsidRPr="00F3350F">
        <w:t>Draft Guidance for Program Level M&amp;V Plans: Normalized Meter-based Savings Estimation</w:t>
      </w:r>
    </w:p>
    <w:p w14:paraId="49DAE003" w14:textId="77777777" w:rsidR="00D276F1" w:rsidRPr="00F3350F" w:rsidRDefault="00D276F1" w:rsidP="00B6697F"/>
    <w:p w14:paraId="63C8785F" w14:textId="5B671687" w:rsidR="003D1B37" w:rsidRPr="00F3350F" w:rsidRDefault="003D1B37" w:rsidP="00B6697F">
      <w:pPr>
        <w:pStyle w:val="Heading3"/>
      </w:pPr>
      <w:bookmarkStart w:id="183" w:name="_Toc496784471"/>
      <w:r w:rsidRPr="00F3350F">
        <w:t>Baseline Selection</w:t>
      </w:r>
      <w:bookmarkEnd w:id="183"/>
    </w:p>
    <w:p w14:paraId="065B3423" w14:textId="39580292" w:rsidR="00A44BB4" w:rsidRPr="00F3350F" w:rsidRDefault="003D1B37" w:rsidP="00B6697F">
      <w:r w:rsidRPr="00F3350F">
        <w:t>Details</w:t>
      </w:r>
      <w:r w:rsidR="00A44BB4" w:rsidRPr="00F3350F">
        <w:t>:  Gross claimable savings are calculated using the existing conditions as the baseline</w:t>
      </w:r>
      <w:r w:rsidR="00E54A92" w:rsidRPr="00F3350F">
        <w:t xml:space="preserve"> (see Measure Types section above)</w:t>
      </w:r>
      <w:r w:rsidR="00A44BB4" w:rsidRPr="00F3350F">
        <w:t>. Note that key parameters must also be monitored pre-install and normalized for post-install; key parameters are defined on a program and intervention basis</w:t>
      </w:r>
      <w:r w:rsidR="00E54A92" w:rsidRPr="00F3350F">
        <w:t>. See the Normalization section below</w:t>
      </w:r>
      <w:r w:rsidR="00A44BB4" w:rsidRPr="00F3350F">
        <w:t>.</w:t>
      </w:r>
    </w:p>
    <w:p w14:paraId="0EABA7E9" w14:textId="77777777" w:rsidR="00592D44" w:rsidRPr="00F3350F" w:rsidRDefault="00592D44" w:rsidP="00B6697F"/>
    <w:p w14:paraId="4196D4A1" w14:textId="7AB8E91E" w:rsidR="00592D44" w:rsidRPr="00F3350F" w:rsidRDefault="00592D44" w:rsidP="00B6697F">
      <w:r w:rsidRPr="00F3350F">
        <w:t xml:space="preserve">Effective Dates: </w:t>
      </w:r>
    </w:p>
    <w:p w14:paraId="6A554DEA" w14:textId="23EFCCF7" w:rsidR="00592D44" w:rsidRPr="00F3350F" w:rsidRDefault="00592D44" w:rsidP="00B6697F">
      <w:r w:rsidRPr="00F3350F">
        <w:t>Rule Source:  D.16-08-019; Resolution E-4818</w:t>
      </w:r>
    </w:p>
    <w:p w14:paraId="6CD0B851" w14:textId="77777777" w:rsidR="00D276F1" w:rsidRPr="00F3350F" w:rsidRDefault="00D276F1" w:rsidP="00B6697F"/>
    <w:p w14:paraId="4BBC9A8C" w14:textId="49208AD1" w:rsidR="0041104E" w:rsidRPr="00F3350F" w:rsidRDefault="0041104E" w:rsidP="009E7ABC"/>
    <w:p w14:paraId="15DA3584" w14:textId="146A0798" w:rsidR="003D1B37" w:rsidRPr="00F3350F" w:rsidRDefault="003D1B37" w:rsidP="00B6697F">
      <w:pPr>
        <w:pStyle w:val="Heading3"/>
      </w:pPr>
      <w:bookmarkStart w:id="184" w:name="_Toc496784472"/>
      <w:r w:rsidRPr="00F3350F">
        <w:lastRenderedPageBreak/>
        <w:t>Normalization</w:t>
      </w:r>
      <w:bookmarkEnd w:id="184"/>
    </w:p>
    <w:p w14:paraId="102463B5" w14:textId="6C880695" w:rsidR="003D1B37" w:rsidRPr="00F3350F" w:rsidRDefault="003D1B37" w:rsidP="00B6697F">
      <w:r w:rsidRPr="00F3350F">
        <w:t>Details</w:t>
      </w:r>
      <w:r w:rsidR="00A44BB4" w:rsidRPr="00F3350F">
        <w:t>:  [All] Savings must be normalized for any relevant factors. Coverage factor analysis should be used to identify which factors are relevant</w:t>
      </w:r>
      <w:r w:rsidR="00D51E04" w:rsidRPr="00F3350F">
        <w:t xml:space="preserve"> (e.g. outside air temperature and humidity, production, or occupancy)</w:t>
      </w:r>
      <w:r w:rsidR="0046177E" w:rsidRPr="00F3350F">
        <w:t>; see citations for details on coverage factor analysis.</w:t>
      </w:r>
      <w:r w:rsidR="00D51E04" w:rsidRPr="00F3350F">
        <w:t xml:space="preserve"> The source of any </w:t>
      </w:r>
      <w:r w:rsidR="00EA2A3C" w:rsidRPr="00F3350F">
        <w:t>normalization factors</w:t>
      </w:r>
      <w:r w:rsidR="00D51E04" w:rsidRPr="00F3350F">
        <w:t xml:space="preserve"> should be publically available if possible (e.g. weather data from published government sources); if not, the source of the data must be disclosed.</w:t>
      </w:r>
    </w:p>
    <w:p w14:paraId="289C5620" w14:textId="77777777" w:rsidR="00E40F82" w:rsidRPr="00F3350F" w:rsidRDefault="00E40F82" w:rsidP="00B6697F"/>
    <w:p w14:paraId="10A0CD10" w14:textId="12884AF4" w:rsidR="00E40F82" w:rsidRPr="00F3350F" w:rsidRDefault="00E40F82" w:rsidP="00B6697F">
      <w:r w:rsidRPr="00F3350F">
        <w:t xml:space="preserve">[SS only] </w:t>
      </w:r>
      <w:r w:rsidR="00642D35" w:rsidRPr="00F3350F">
        <w:t>Programs must normalize for n</w:t>
      </w:r>
      <w:r w:rsidRPr="00F3350F">
        <w:t>on-routine events (e.g. occupancy changes, equipment failure, major increases/decreases in operational hours). Programs must establish procedures to identify types of expected non-routine events</w:t>
      </w:r>
      <w:r w:rsidR="00642D35" w:rsidRPr="00F3350F">
        <w:t xml:space="preserve">, </w:t>
      </w:r>
      <w:r w:rsidR="009B04D5" w:rsidRPr="00F3350F">
        <w:t xml:space="preserve">thresholds for identifying </w:t>
      </w:r>
      <w:r w:rsidR="00642D35" w:rsidRPr="00F3350F">
        <w:t>the</w:t>
      </w:r>
      <w:r w:rsidR="009B04D5" w:rsidRPr="00F3350F">
        <w:t xml:space="preserve"> events</w:t>
      </w:r>
      <w:r w:rsidR="00642D35" w:rsidRPr="00F3350F">
        <w:t>, and actions taken to normalize data for those events.</w:t>
      </w:r>
    </w:p>
    <w:p w14:paraId="52680778" w14:textId="77777777" w:rsidR="00592D44" w:rsidRPr="00F3350F" w:rsidRDefault="00592D44" w:rsidP="00B6697F"/>
    <w:p w14:paraId="3CD3C1B9" w14:textId="1E3BE47A" w:rsidR="00592D44" w:rsidRPr="00F3350F" w:rsidRDefault="00592D44" w:rsidP="00B6697F">
      <w:r w:rsidRPr="00F3350F">
        <w:t xml:space="preserve">Effective Dates: </w:t>
      </w:r>
    </w:p>
    <w:p w14:paraId="22D42B12" w14:textId="62F2E03E" w:rsidR="00D276F1" w:rsidRPr="00F3350F" w:rsidRDefault="00CB3411" w:rsidP="00B6697F">
      <w:r w:rsidRPr="00F3350F">
        <w:t xml:space="preserve">Rule Source:  HOPPs </w:t>
      </w:r>
      <w:r w:rsidR="000975FB" w:rsidRPr="00F3350F">
        <w:t>Staff White Paper</w:t>
      </w:r>
      <w:r w:rsidRPr="00F3350F">
        <w:t xml:space="preserve">; </w:t>
      </w:r>
      <w:r w:rsidR="00642D35" w:rsidRPr="00F3350F">
        <w:t>Draft Guidance for Program Level M&amp;V Plans: Normalized Meter-based Savings Estimation</w:t>
      </w:r>
    </w:p>
    <w:p w14:paraId="4E068F1E" w14:textId="77777777" w:rsidR="00D276F1" w:rsidRPr="00F3350F" w:rsidRDefault="00D276F1" w:rsidP="00B6697F"/>
    <w:p w14:paraId="53D60B2E" w14:textId="0BD0FEB5" w:rsidR="00D51E04" w:rsidRPr="00F3350F" w:rsidRDefault="00D51E04" w:rsidP="00A515FF">
      <w:pPr>
        <w:pStyle w:val="Heading3"/>
      </w:pPr>
      <w:bookmarkStart w:id="185" w:name="_Toc496784473"/>
      <w:r w:rsidRPr="00F3350F">
        <w:t>Metering Duration</w:t>
      </w:r>
      <w:bookmarkEnd w:id="185"/>
    </w:p>
    <w:p w14:paraId="71084C5B" w14:textId="7E302531" w:rsidR="00D51E04" w:rsidRPr="00F3350F" w:rsidRDefault="00D51E04" w:rsidP="009E7ABC">
      <w:r w:rsidRPr="00F3350F">
        <w:t>Details: [</w:t>
      </w:r>
      <w:r w:rsidR="0032793C" w:rsidRPr="00F3350F">
        <w:t>SS only</w:t>
      </w:r>
      <w:r w:rsidRPr="00F3350F">
        <w:t>] Projects must be monitored for a long enough period to meet satisfactory levels of uncertainty. What is “satisfactory” will be determined in conjunction with the model’s goodness of fit</w:t>
      </w:r>
      <w:r w:rsidR="00A515FF" w:rsidRPr="00F3350F">
        <w:t xml:space="preserve"> and required levels of confidence</w:t>
      </w:r>
      <w:r w:rsidRPr="00F3350F">
        <w:t>. As discussed in the Eligibility section, savings uncertainty is a function of both the interval length and the monitoring duration. Interval length and monitoring duration should be considered together when designing eligibility criteria.</w:t>
      </w:r>
    </w:p>
    <w:p w14:paraId="5522B984" w14:textId="77777777" w:rsidR="00642D35" w:rsidRPr="00F3350F" w:rsidRDefault="00642D35" w:rsidP="00642D35"/>
    <w:p w14:paraId="3033E3E8" w14:textId="77777777" w:rsidR="00642D35" w:rsidRPr="00F3350F" w:rsidRDefault="00642D35" w:rsidP="00642D35">
      <w:r w:rsidRPr="00F3350F">
        <w:t xml:space="preserve">Effective Dates: </w:t>
      </w:r>
    </w:p>
    <w:p w14:paraId="51BB04C9" w14:textId="1CEDA233" w:rsidR="00642D35" w:rsidRPr="00F3350F" w:rsidRDefault="00642D35" w:rsidP="00642D35">
      <w:r w:rsidRPr="00F3350F">
        <w:t xml:space="preserve">Rule Source:  </w:t>
      </w:r>
      <w:r w:rsidR="0032793C" w:rsidRPr="00F3350F">
        <w:t>Draft Guidance for Program Level M&amp;V Plans: Normalized Meter-based Savings Estimation</w:t>
      </w:r>
    </w:p>
    <w:p w14:paraId="6666354B" w14:textId="77777777" w:rsidR="00D51E04" w:rsidRPr="00F3350F" w:rsidRDefault="00D51E04" w:rsidP="009E7ABC"/>
    <w:p w14:paraId="788A732F" w14:textId="7AFD8251" w:rsidR="003D1B37" w:rsidRPr="00F3350F" w:rsidRDefault="00554117" w:rsidP="00B6697F">
      <w:pPr>
        <w:pStyle w:val="Heading3"/>
      </w:pPr>
      <w:bookmarkStart w:id="186" w:name="_Toc496784474"/>
      <w:r w:rsidRPr="00F3350F">
        <w:t>Calculations and Eligible Tools</w:t>
      </w:r>
      <w:bookmarkEnd w:id="186"/>
    </w:p>
    <w:p w14:paraId="49C72BD0" w14:textId="39717C0A" w:rsidR="00A515FF" w:rsidRPr="00F3350F" w:rsidRDefault="00554117" w:rsidP="00A515FF">
      <w:r w:rsidRPr="00F3350F">
        <w:t>Details</w:t>
      </w:r>
      <w:r w:rsidR="00C62306" w:rsidRPr="00F3350F">
        <w:t xml:space="preserve">: [All] Savings must be calculated using a publically-available methodology. Programs must state which methodology is used and must demonstrate that calculations are consistent with that methodology. The version number or publication date of the methodology must be indicated for each </w:t>
      </w:r>
      <w:r w:rsidR="00EA2A3C" w:rsidRPr="00F3350F">
        <w:t>claim, project, or program</w:t>
      </w:r>
      <w:r w:rsidR="00C62306" w:rsidRPr="00F3350F">
        <w:t>; version or methodology changes must have clearly specified effective dates.</w:t>
      </w:r>
      <w:r w:rsidR="00A515FF" w:rsidRPr="00F3350F">
        <w:t xml:space="preserve"> </w:t>
      </w:r>
      <w:r w:rsidR="005B10DC" w:rsidRPr="00F3350F">
        <w:t>Examples include:</w:t>
      </w:r>
    </w:p>
    <w:p w14:paraId="533E0BD4" w14:textId="5D09C788" w:rsidR="005B10DC" w:rsidRPr="00F3350F" w:rsidRDefault="005B10DC" w:rsidP="00F3350F">
      <w:pPr>
        <w:pStyle w:val="ListParagraph"/>
        <w:numPr>
          <w:ilvl w:val="0"/>
          <w:numId w:val="61"/>
        </w:numPr>
      </w:pPr>
      <w:r w:rsidRPr="00F3350F">
        <w:t>&lt;list&gt;</w:t>
      </w:r>
    </w:p>
    <w:p w14:paraId="68AC2515" w14:textId="77777777" w:rsidR="00A515FF" w:rsidRPr="00F3350F" w:rsidRDefault="00A515FF" w:rsidP="00B6697F"/>
    <w:p w14:paraId="7C62561F" w14:textId="6CAD62F6" w:rsidR="00CB3411" w:rsidRPr="00F3350F" w:rsidRDefault="00CB3411" w:rsidP="00B6697F">
      <w:r w:rsidRPr="00F3350F">
        <w:t xml:space="preserve">Effective Dates: </w:t>
      </w:r>
    </w:p>
    <w:p w14:paraId="73310362" w14:textId="15F89F91" w:rsidR="00CB3411" w:rsidRPr="00F3350F" w:rsidRDefault="00CB3411" w:rsidP="00B6697F">
      <w:r w:rsidRPr="00F3350F">
        <w:t xml:space="preserve">Rule Source:  </w:t>
      </w:r>
      <w:r w:rsidR="00642D35" w:rsidRPr="00F3350F">
        <w:t>&lt;</w:t>
      </w:r>
      <w:r w:rsidRPr="00F3350F">
        <w:t>TBD</w:t>
      </w:r>
      <w:r w:rsidR="00642D35" w:rsidRPr="00F3350F">
        <w:t>&gt;</w:t>
      </w:r>
    </w:p>
    <w:p w14:paraId="52BA7B3D" w14:textId="77777777" w:rsidR="00D276F1" w:rsidRPr="00F3350F" w:rsidRDefault="00D276F1" w:rsidP="00B6697F"/>
    <w:p w14:paraId="724F6754" w14:textId="74382E56" w:rsidR="00554117" w:rsidRPr="00F3350F" w:rsidRDefault="00554117" w:rsidP="00B6697F">
      <w:pPr>
        <w:pStyle w:val="Heading3"/>
      </w:pPr>
      <w:bookmarkStart w:id="187" w:name="_Toc496784475"/>
      <w:r w:rsidRPr="00F3350F">
        <w:t>Evaluability</w:t>
      </w:r>
      <w:bookmarkEnd w:id="187"/>
    </w:p>
    <w:p w14:paraId="2B96A40C" w14:textId="4140E6A3" w:rsidR="00282165" w:rsidRPr="00F3350F" w:rsidRDefault="00554117" w:rsidP="00B6697F">
      <w:r w:rsidRPr="00F3350F">
        <w:t>Details</w:t>
      </w:r>
      <w:r w:rsidR="00C62306" w:rsidRPr="00F3350F">
        <w:t xml:space="preserve">: Project and program evaluations must be </w:t>
      </w:r>
      <w:r w:rsidR="007B00CC" w:rsidRPr="00F3350F">
        <w:t xml:space="preserve">transparent and </w:t>
      </w:r>
      <w:r w:rsidR="00C62306" w:rsidRPr="00F3350F">
        <w:t>replicable; that is, a third party must be able to replicate the savings calculations</w:t>
      </w:r>
      <w:r w:rsidR="00282165" w:rsidRPr="00F3350F">
        <w:t>, eligibility, baselines, and EUL</w:t>
      </w:r>
      <w:r w:rsidR="00C62306" w:rsidRPr="00F3350F">
        <w:t xml:space="preserve"> for any project or program, potentially months or years after the project/program has concluded.</w:t>
      </w:r>
      <w:r w:rsidR="00282165" w:rsidRPr="00F3350F">
        <w:t xml:space="preserve"> This may include corroboration of discussions with participants and/or verification of installed measures.</w:t>
      </w:r>
    </w:p>
    <w:p w14:paraId="63FBDB06" w14:textId="77777777" w:rsidR="00282165" w:rsidRPr="00F3350F" w:rsidRDefault="00282165" w:rsidP="00B6697F"/>
    <w:p w14:paraId="1CAAEB88" w14:textId="3AF55C24" w:rsidR="00B05E44" w:rsidRPr="00F3350F" w:rsidRDefault="00B05E44" w:rsidP="00B6697F">
      <w:r w:rsidRPr="00F3350F">
        <w:t>For example, programs must maintain records of what data are considered outliers, how those outliers are defined, and what actions, if any, are done with those outliers (e.g. discard, normalize, use as-is). Programs also should have procedures to identify duplicate records and what action was taken with those outliers.</w:t>
      </w:r>
    </w:p>
    <w:p w14:paraId="641A85EE" w14:textId="77777777" w:rsidR="00B05E44" w:rsidRPr="00F3350F" w:rsidRDefault="00B05E44" w:rsidP="00B6697F"/>
    <w:p w14:paraId="46D453F9" w14:textId="089734FA" w:rsidR="00D51E04" w:rsidRPr="00F3350F" w:rsidRDefault="00D51E04" w:rsidP="00B6697F">
      <w:r w:rsidRPr="00F3350F">
        <w:lastRenderedPageBreak/>
        <w:t>[Best Practice] Note that while the CPUC solely determines evaluation metrics, it is recommended to create some kind of feedback loop within the program design so that programs can iterate and improve while in implementation.</w:t>
      </w:r>
    </w:p>
    <w:p w14:paraId="1795A417" w14:textId="3A4D697B" w:rsidR="00C62306" w:rsidRPr="00F3350F" w:rsidRDefault="00C62306" w:rsidP="00B6697F">
      <w:r w:rsidRPr="00F3350F">
        <w:br/>
        <w:t xml:space="preserve">[Best Practice] If it is anticipated that models or methods will be updated frequently, it is highly recommended to consult with PG&amp;E’s evaluation team to determine if changing methods will create an undue burden for the evaluator. Not only must it be possible for calculations to be replicated by an evaluator, but it also must be done under reasonable cost and time constraints. </w:t>
      </w:r>
    </w:p>
    <w:p w14:paraId="5D2520AC" w14:textId="77777777" w:rsidR="00CB3411" w:rsidRPr="00F3350F" w:rsidRDefault="00CB3411" w:rsidP="00B6697F"/>
    <w:p w14:paraId="0F583BC3" w14:textId="5716C75F" w:rsidR="00CB3411" w:rsidRPr="00F3350F" w:rsidRDefault="00CB3411" w:rsidP="00B6697F">
      <w:r w:rsidRPr="00F3350F">
        <w:t xml:space="preserve">Effective Dates: </w:t>
      </w:r>
    </w:p>
    <w:p w14:paraId="74634E42" w14:textId="18EE9F33" w:rsidR="00CB3411" w:rsidRPr="00F3350F" w:rsidRDefault="001D7BF1" w:rsidP="00B6697F">
      <w:r w:rsidRPr="00F3350F">
        <w:t xml:space="preserve">Rule Source:  HOPPs </w:t>
      </w:r>
      <w:r w:rsidR="007B00CC" w:rsidRPr="00F3350F">
        <w:t>Staff White Paper</w:t>
      </w:r>
    </w:p>
    <w:p w14:paraId="40CAF094" w14:textId="77777777" w:rsidR="00B6697F" w:rsidRPr="00F3350F" w:rsidRDefault="00B6697F" w:rsidP="00B6697F"/>
    <w:p w14:paraId="208DD70E" w14:textId="1F90BDB1" w:rsidR="00554117" w:rsidRPr="00F3350F" w:rsidRDefault="00554117" w:rsidP="00B6697F">
      <w:pPr>
        <w:pStyle w:val="Heading3"/>
      </w:pPr>
      <w:bookmarkStart w:id="188" w:name="_Toc496100844"/>
      <w:bookmarkStart w:id="189" w:name="_Toc496784476"/>
      <w:bookmarkEnd w:id="188"/>
      <w:r w:rsidRPr="00F3350F">
        <w:t>Interactive Effects</w:t>
      </w:r>
      <w:bookmarkEnd w:id="189"/>
    </w:p>
    <w:p w14:paraId="688A9F73" w14:textId="155E2F63" w:rsidR="00C62306" w:rsidRPr="00F3350F" w:rsidRDefault="00554117" w:rsidP="00B6697F">
      <w:r w:rsidRPr="00F3350F">
        <w:t>Details</w:t>
      </w:r>
      <w:r w:rsidR="00F258B1" w:rsidRPr="00F3350F">
        <w:t>: [All] Programs must calculate and report all energy impacts for both electric and gas for a given intervention, regardless of what commodity the intervention saves. For example, programs targeting only electric measures must still calculate and report gas savings.</w:t>
      </w:r>
    </w:p>
    <w:p w14:paraId="28A819DE" w14:textId="77777777" w:rsidR="001D7BF1" w:rsidRPr="00F3350F" w:rsidRDefault="001D7BF1" w:rsidP="00B6697F"/>
    <w:p w14:paraId="282CFB64" w14:textId="77777777" w:rsidR="00D276F1" w:rsidRPr="00F3350F" w:rsidRDefault="001D7BF1" w:rsidP="00B6697F">
      <w:r w:rsidRPr="00F3350F">
        <w:t xml:space="preserve">Effective Dates: </w:t>
      </w:r>
    </w:p>
    <w:p w14:paraId="53F515BD" w14:textId="60B4E3F9" w:rsidR="001D7BF1" w:rsidRPr="00F3350F" w:rsidRDefault="001D7BF1" w:rsidP="00B6697F">
      <w:r w:rsidRPr="00F3350F">
        <w:t>Rule Source:  EE Policy Manual v5</w:t>
      </w:r>
    </w:p>
    <w:p w14:paraId="246E915A" w14:textId="77777777" w:rsidR="00B6697F" w:rsidRPr="00F3350F" w:rsidRDefault="00B6697F" w:rsidP="00B6697F"/>
    <w:p w14:paraId="16DDAB6D" w14:textId="594CA3DB" w:rsidR="00554117" w:rsidRPr="00F3350F" w:rsidRDefault="00641588" w:rsidP="00B6697F">
      <w:pPr>
        <w:pStyle w:val="Heading3"/>
      </w:pPr>
      <w:bookmarkStart w:id="190" w:name="_Toc496784477"/>
      <w:r w:rsidRPr="00F3350F">
        <w:t>Load Shapes</w:t>
      </w:r>
      <w:bookmarkEnd w:id="190"/>
    </w:p>
    <w:p w14:paraId="7EF77E67" w14:textId="1504C1C6" w:rsidR="00554117" w:rsidRPr="00F3350F" w:rsidRDefault="00554117" w:rsidP="00B6697F">
      <w:r w:rsidRPr="00F3350F">
        <w:t xml:space="preserve">Details:  </w:t>
      </w:r>
      <w:r w:rsidR="00E54A92" w:rsidRPr="00F3350F">
        <w:t>Currently, only DEER load shapes are capable of being reported. Since meter-based approaches allow for actual load shapes to be captured and reported, further discussion is needed on how to report actual load shapes for projects and programs.</w:t>
      </w:r>
    </w:p>
    <w:p w14:paraId="006248EE" w14:textId="77777777" w:rsidR="00554117" w:rsidRPr="00F3350F" w:rsidRDefault="00554117" w:rsidP="00B6697F"/>
    <w:p w14:paraId="6F5BD054" w14:textId="169AAD96" w:rsidR="00B6697F" w:rsidRPr="00F3350F" w:rsidRDefault="00A527B4" w:rsidP="00B6697F">
      <w:r w:rsidRPr="00F3350F">
        <w:t>Effective Dates:</w:t>
      </w:r>
      <w:r w:rsidR="00D763BE" w:rsidRPr="00F3350F">
        <w:t xml:space="preserve"> </w:t>
      </w:r>
    </w:p>
    <w:p w14:paraId="30541A5B" w14:textId="728A95E1" w:rsidR="00B6697F" w:rsidRPr="00F3350F" w:rsidRDefault="00592D44" w:rsidP="00B6697F">
      <w:r w:rsidRPr="00F3350F">
        <w:t xml:space="preserve">Rule Source:  </w:t>
      </w:r>
      <w:r w:rsidR="00E54A92" w:rsidRPr="00F3350F">
        <w:t>&lt;TBD&gt;</w:t>
      </w:r>
    </w:p>
    <w:p w14:paraId="476E7334" w14:textId="77777777" w:rsidR="000776DF" w:rsidRPr="00F3350F" w:rsidRDefault="000776DF" w:rsidP="00B6697F"/>
    <w:p w14:paraId="33BA0579" w14:textId="6CCDA260" w:rsidR="006E7109" w:rsidRPr="00F3350F" w:rsidRDefault="000776DF" w:rsidP="009E7ABC">
      <w:pPr>
        <w:pStyle w:val="Heading3"/>
        <w:numPr>
          <w:ilvl w:val="1"/>
          <w:numId w:val="2"/>
        </w:numPr>
        <w:ind w:left="720" w:hanging="720"/>
      </w:pPr>
      <w:bookmarkStart w:id="191" w:name="_Toc432437010"/>
      <w:bookmarkStart w:id="192" w:name="_Toc432446590"/>
      <w:bookmarkStart w:id="193" w:name="_Toc432446891"/>
      <w:bookmarkStart w:id="194" w:name="_Toc432447681"/>
      <w:bookmarkStart w:id="195" w:name="_Toc496784478"/>
      <w:bookmarkEnd w:id="191"/>
      <w:bookmarkEnd w:id="192"/>
      <w:bookmarkEnd w:id="193"/>
      <w:bookmarkEnd w:id="194"/>
      <w:r w:rsidRPr="00F3350F">
        <w:t>Net Claimable Savings Determination</w:t>
      </w:r>
      <w:bookmarkEnd w:id="195"/>
    </w:p>
    <w:p w14:paraId="01254DC7" w14:textId="77777777" w:rsidR="00DA1E7B" w:rsidRPr="00F3350F" w:rsidRDefault="00A527B4" w:rsidP="00B6697F">
      <w:r w:rsidRPr="00F3350F">
        <w:t xml:space="preserve">Details: </w:t>
      </w:r>
    </w:p>
    <w:p w14:paraId="2C676A53" w14:textId="709A112E" w:rsidR="00DA1E7B" w:rsidRPr="00F3350F" w:rsidRDefault="00DA1E7B" w:rsidP="00DA1E7B">
      <w:pPr>
        <w:pStyle w:val="ListParagraph"/>
        <w:numPr>
          <w:ilvl w:val="0"/>
          <w:numId w:val="37"/>
        </w:numPr>
      </w:pPr>
      <w:r w:rsidRPr="00F3350F">
        <w:t xml:space="preserve">[SS only] NTG </w:t>
      </w:r>
      <w:r w:rsidR="00DE213F" w:rsidRPr="00F3350F">
        <w:t xml:space="preserve">surveys </w:t>
      </w:r>
      <w:r w:rsidRPr="00F3350F">
        <w:t xml:space="preserve">are used to generate a net-to-gross ratio, which is then multiplied by the gross claimable savings in the above section. The questions within the NTG </w:t>
      </w:r>
      <w:r w:rsidR="00DE213F" w:rsidRPr="00F3350F">
        <w:t xml:space="preserve">survey </w:t>
      </w:r>
      <w:r w:rsidRPr="00F3350F">
        <w:t>are determined in the program’s evaluation plan.</w:t>
      </w:r>
    </w:p>
    <w:p w14:paraId="75D5527A" w14:textId="77777777" w:rsidR="00EB2AD3" w:rsidRPr="00F3350F" w:rsidRDefault="00EB2AD3" w:rsidP="009E7ABC">
      <w:pPr>
        <w:pStyle w:val="ListParagraph"/>
        <w:ind w:left="720"/>
      </w:pPr>
    </w:p>
    <w:p w14:paraId="2AD9701F" w14:textId="6191FA3C" w:rsidR="00DA1E7B" w:rsidRPr="00F3350F" w:rsidRDefault="00DA1E7B" w:rsidP="00DA1E7B">
      <w:pPr>
        <w:pStyle w:val="ListParagraph"/>
        <w:numPr>
          <w:ilvl w:val="0"/>
          <w:numId w:val="36"/>
        </w:numPr>
      </w:pPr>
      <w:r w:rsidRPr="00F3350F">
        <w:t xml:space="preserve">[AG only] Net claimable savings may be determined by composing a control group that matches the characteristics of the participant population. By definition, the control group cannot be composed (and thus, net claimable savings cannot be determined) until the participant population is set. Note that the control group composed for the purpose of determining net claimable savings may not necessarily be the same control group that is used to determine gross claimable savings.  Additionally, NTG </w:t>
      </w:r>
      <w:r w:rsidR="00DE213F" w:rsidRPr="00F3350F">
        <w:t xml:space="preserve">surveys </w:t>
      </w:r>
      <w:r w:rsidRPr="00F3350F">
        <w:t>may alternatively be used to generate a net-to-gross ratio instead of composing a comparison group.</w:t>
      </w:r>
    </w:p>
    <w:p w14:paraId="13CA19B8" w14:textId="77777777" w:rsidR="00EB2AD3" w:rsidRPr="00F3350F" w:rsidRDefault="00EB2AD3" w:rsidP="009E7ABC">
      <w:pPr>
        <w:pStyle w:val="ListParagraph"/>
        <w:ind w:left="720"/>
      </w:pPr>
    </w:p>
    <w:p w14:paraId="72AF2E03" w14:textId="3630A392" w:rsidR="00DA1E7B" w:rsidRPr="00F3350F" w:rsidRDefault="00281A83" w:rsidP="009E7ABC">
      <w:pPr>
        <w:pStyle w:val="ListParagraph"/>
        <w:numPr>
          <w:ilvl w:val="0"/>
          <w:numId w:val="36"/>
        </w:numPr>
      </w:pPr>
      <w:r w:rsidRPr="00F3350F">
        <w:t xml:space="preserve">Note: NTG </w:t>
      </w:r>
      <w:r w:rsidR="00DE213F" w:rsidRPr="00F3350F">
        <w:t xml:space="preserve">surveys </w:t>
      </w:r>
      <w:r w:rsidRPr="00F3350F">
        <w:t xml:space="preserve">are an option for either the SS or AG approach. SS analyses generally are not conducive to creating comparison groups, and thus an NTG </w:t>
      </w:r>
      <w:r w:rsidR="00DE213F" w:rsidRPr="00F3350F">
        <w:t xml:space="preserve">questionnaire </w:t>
      </w:r>
      <w:r w:rsidRPr="00F3350F">
        <w:t>is typically used.</w:t>
      </w:r>
    </w:p>
    <w:p w14:paraId="2979AA5A" w14:textId="77777777" w:rsidR="00281A83" w:rsidRPr="00F3350F" w:rsidRDefault="00281A83" w:rsidP="00B6697F"/>
    <w:p w14:paraId="33BA057F" w14:textId="608C4374" w:rsidR="006E7109" w:rsidRPr="00F3350F" w:rsidRDefault="00281A83" w:rsidP="009E7ABC">
      <w:pPr>
        <w:pStyle w:val="Heading3"/>
        <w:numPr>
          <w:ilvl w:val="1"/>
          <w:numId w:val="2"/>
        </w:numPr>
        <w:ind w:left="720" w:hanging="720"/>
      </w:pPr>
      <w:bookmarkStart w:id="196" w:name="_Toc496784479"/>
      <w:r w:rsidRPr="00F3350F">
        <w:t>Savings Persistence</w:t>
      </w:r>
      <w:bookmarkEnd w:id="196"/>
    </w:p>
    <w:p w14:paraId="4C3D3C3C" w14:textId="3ADDFB48" w:rsidR="00420FA5" w:rsidRPr="00F3350F" w:rsidRDefault="00A527B4" w:rsidP="0072400F">
      <w:pPr>
        <w:pStyle w:val="ListParagraph"/>
      </w:pPr>
      <w:r w:rsidRPr="00F3350F">
        <w:t xml:space="preserve">Details: </w:t>
      </w:r>
      <w:r w:rsidR="0072400F" w:rsidRPr="00F3350F">
        <w:rPr>
          <w:rFonts w:asciiTheme="minorHAnsi" w:eastAsiaTheme="minorHAnsi" w:hAnsiTheme="minorHAnsi" w:cstheme="minorBidi"/>
        </w:rPr>
        <w:t xml:space="preserve">Savings resulting from </w:t>
      </w:r>
      <w:r w:rsidR="00662150" w:rsidRPr="00F3350F">
        <w:rPr>
          <w:rFonts w:asciiTheme="minorHAnsi" w:eastAsiaTheme="minorHAnsi" w:hAnsiTheme="minorHAnsi" w:cstheme="minorBidi"/>
        </w:rPr>
        <w:t xml:space="preserve">a </w:t>
      </w:r>
      <w:r w:rsidR="0072400F" w:rsidRPr="00F3350F">
        <w:rPr>
          <w:rFonts w:asciiTheme="minorHAnsi" w:eastAsiaTheme="minorHAnsi" w:hAnsiTheme="minorHAnsi" w:cstheme="minorBidi"/>
        </w:rPr>
        <w:t>project must persist for at least the duration the metered data is observed</w:t>
      </w:r>
      <w:r w:rsidR="00743EFA" w:rsidRPr="00F3350F">
        <w:rPr>
          <w:rFonts w:asciiTheme="minorHAnsi" w:eastAsiaTheme="minorHAnsi" w:hAnsiTheme="minorHAnsi" w:cstheme="minorBidi"/>
        </w:rPr>
        <w:t xml:space="preserve">; </w:t>
      </w:r>
      <w:r w:rsidR="00662150" w:rsidRPr="00F3350F">
        <w:rPr>
          <w:rFonts w:asciiTheme="minorHAnsi" w:eastAsiaTheme="minorHAnsi" w:hAnsiTheme="minorHAnsi" w:cstheme="minorBidi"/>
        </w:rPr>
        <w:t xml:space="preserve">on average, </w:t>
      </w:r>
      <w:r w:rsidR="00743EFA" w:rsidRPr="00F3350F">
        <w:rPr>
          <w:rFonts w:asciiTheme="minorHAnsi" w:eastAsiaTheme="minorHAnsi" w:hAnsiTheme="minorHAnsi" w:cstheme="minorBidi"/>
        </w:rPr>
        <w:t xml:space="preserve">savings </w:t>
      </w:r>
      <w:r w:rsidR="00662150" w:rsidRPr="00F3350F">
        <w:rPr>
          <w:rFonts w:asciiTheme="minorHAnsi" w:eastAsiaTheme="minorHAnsi" w:hAnsiTheme="minorHAnsi" w:cstheme="minorBidi"/>
        </w:rPr>
        <w:t xml:space="preserve">are expected to </w:t>
      </w:r>
      <w:r w:rsidR="00743EFA" w:rsidRPr="00F3350F">
        <w:rPr>
          <w:rFonts w:asciiTheme="minorHAnsi" w:eastAsiaTheme="minorHAnsi" w:hAnsiTheme="minorHAnsi" w:cstheme="minorBidi"/>
        </w:rPr>
        <w:t>persist through the EUL of the energy efficiency measure</w:t>
      </w:r>
      <w:r w:rsidR="0072400F" w:rsidRPr="00F3350F">
        <w:rPr>
          <w:rFonts w:asciiTheme="minorHAnsi" w:eastAsiaTheme="minorHAnsi" w:hAnsiTheme="minorHAnsi" w:cstheme="minorBidi"/>
        </w:rPr>
        <w:t xml:space="preserve">. </w:t>
      </w:r>
      <w:r w:rsidR="0072400F" w:rsidRPr="00F3350F">
        <w:rPr>
          <w:rFonts w:asciiTheme="minorHAnsi" w:eastAsiaTheme="minorHAnsi" w:hAnsiTheme="minorHAnsi" w:cstheme="minorBidi"/>
        </w:rPr>
        <w:lastRenderedPageBreak/>
        <w:t>Any savings that cease during the monitoring period will be excluded from the claim by definition. Programs should describe what, if any, practices will be put in place to confirm a claimed EUL after a claim is made.</w:t>
      </w:r>
      <w:r w:rsidR="00420FA5" w:rsidRPr="00F3350F">
        <w:t xml:space="preserve"> </w:t>
      </w:r>
      <w:r w:rsidR="00743EFA" w:rsidRPr="00F3350F">
        <w:rPr>
          <w:rFonts w:asciiTheme="minorHAnsi" w:eastAsiaTheme="minorHAnsi" w:hAnsiTheme="minorHAnsi" w:cstheme="minorBidi"/>
        </w:rPr>
        <w:t>Also see the Savings Calculations section.</w:t>
      </w:r>
    </w:p>
    <w:p w14:paraId="000496BB" w14:textId="77777777" w:rsidR="00281A83" w:rsidRPr="00F3350F" w:rsidRDefault="00281A83" w:rsidP="00B6697F"/>
    <w:p w14:paraId="6675FAD9" w14:textId="33BD2357" w:rsidR="0072400F" w:rsidRPr="00F3350F" w:rsidRDefault="0072400F" w:rsidP="0072400F">
      <w:r w:rsidRPr="00F3350F">
        <w:t xml:space="preserve">Effective Dates: </w:t>
      </w:r>
    </w:p>
    <w:p w14:paraId="33BA058F" w14:textId="6C30BEC2" w:rsidR="00A527B4" w:rsidRPr="00F3350F" w:rsidRDefault="00A527B4" w:rsidP="00B6697F">
      <w:r w:rsidRPr="00F3350F">
        <w:t xml:space="preserve">Rule Source: </w:t>
      </w:r>
      <w:bookmarkStart w:id="197" w:name="_Toc432437016"/>
      <w:bookmarkStart w:id="198" w:name="_Toc432446596"/>
      <w:bookmarkStart w:id="199" w:name="_Toc432446897"/>
      <w:bookmarkStart w:id="200" w:name="_Toc432447687"/>
      <w:bookmarkEnd w:id="197"/>
      <w:bookmarkEnd w:id="198"/>
      <w:bookmarkEnd w:id="199"/>
      <w:bookmarkEnd w:id="200"/>
    </w:p>
    <w:p w14:paraId="4B173264" w14:textId="77777777" w:rsidR="00281A83" w:rsidRPr="00F3350F" w:rsidRDefault="00281A83" w:rsidP="00B6697F"/>
    <w:p w14:paraId="33BA059D" w14:textId="5604D695" w:rsidR="006B0943" w:rsidRPr="00F3350F" w:rsidRDefault="007B1102" w:rsidP="009E7ABC">
      <w:pPr>
        <w:pStyle w:val="Heading3"/>
        <w:numPr>
          <w:ilvl w:val="1"/>
          <w:numId w:val="2"/>
        </w:numPr>
        <w:ind w:left="720" w:hanging="720"/>
      </w:pPr>
      <w:bookmarkStart w:id="201" w:name="_Toc432446598"/>
      <w:bookmarkStart w:id="202" w:name="_Toc432446899"/>
      <w:bookmarkStart w:id="203" w:name="_Toc432447689"/>
      <w:bookmarkStart w:id="204" w:name="_Toc432446600"/>
      <w:bookmarkStart w:id="205" w:name="_Toc432446901"/>
      <w:bookmarkStart w:id="206" w:name="_Toc432447691"/>
      <w:bookmarkStart w:id="207" w:name="_Toc432446603"/>
      <w:bookmarkStart w:id="208" w:name="_Toc432446904"/>
      <w:bookmarkStart w:id="209" w:name="_Toc432447694"/>
      <w:bookmarkStart w:id="210" w:name="_Toc432446604"/>
      <w:bookmarkStart w:id="211" w:name="_Toc432446905"/>
      <w:bookmarkStart w:id="212" w:name="_Toc432447695"/>
      <w:bookmarkStart w:id="213" w:name="_Toc432446606"/>
      <w:bookmarkStart w:id="214" w:name="_Toc432446907"/>
      <w:bookmarkStart w:id="215" w:name="_Toc432447697"/>
      <w:bookmarkStart w:id="216" w:name="_Toc49678448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F3350F">
        <w:t>EUL Determination</w:t>
      </w:r>
      <w:bookmarkEnd w:id="216"/>
    </w:p>
    <w:p w14:paraId="720136FB" w14:textId="77777777" w:rsidR="00524B81" w:rsidRPr="00F3350F" w:rsidRDefault="00524B81" w:rsidP="007B1102"/>
    <w:p w14:paraId="06DC6AE3" w14:textId="00F4D30E" w:rsidR="00524B81" w:rsidRPr="00F3350F" w:rsidRDefault="00524B81" w:rsidP="00524B81">
      <w:pPr>
        <w:pStyle w:val="Heading3"/>
      </w:pPr>
      <w:bookmarkStart w:id="217" w:name="_Toc496784481"/>
      <w:r w:rsidRPr="00F3350F">
        <w:t>EUL for bundles of measures</w:t>
      </w:r>
      <w:bookmarkEnd w:id="217"/>
    </w:p>
    <w:p w14:paraId="523C936A" w14:textId="6CE07C00" w:rsidR="009F53B8" w:rsidRPr="00F3350F" w:rsidRDefault="00EF62C2" w:rsidP="008F4DDD">
      <w:pPr>
        <w:pStyle w:val="ListParagraph"/>
        <w:rPr>
          <w:rFonts w:asciiTheme="minorHAnsi" w:hAnsiTheme="minorHAnsi"/>
        </w:rPr>
      </w:pPr>
      <w:r w:rsidRPr="00F3350F">
        <w:rPr>
          <w:rFonts w:asciiTheme="minorHAnsi" w:hAnsiTheme="minorHAnsi"/>
        </w:rPr>
        <w:t>Details:</w:t>
      </w:r>
      <w:r w:rsidR="008F4DDD" w:rsidRPr="00F3350F">
        <w:rPr>
          <w:rFonts w:asciiTheme="minorHAnsi" w:hAnsiTheme="minorHAnsi"/>
        </w:rPr>
        <w:t xml:space="preserve"> If measure level savings (or the percentage of savings contribution) can be estimated and DEER EULs exist, use a weighted average approach to determine the bundle’s EUL.</w:t>
      </w:r>
      <w:r w:rsidR="009F53B8" w:rsidRPr="00F3350F">
        <w:rPr>
          <w:rFonts w:asciiTheme="minorHAnsi" w:hAnsiTheme="minorHAnsi"/>
        </w:rPr>
        <w:t xml:space="preserve"> If a DEER EUL does not exist for a measure, PG&amp;E may be consulted and </w:t>
      </w:r>
      <w:proofErr w:type="gramStart"/>
      <w:r w:rsidR="009F53B8" w:rsidRPr="00F3350F">
        <w:rPr>
          <w:rFonts w:asciiTheme="minorHAnsi" w:hAnsiTheme="minorHAnsi"/>
        </w:rPr>
        <w:t>an</w:t>
      </w:r>
      <w:proofErr w:type="gramEnd"/>
      <w:r w:rsidR="009F53B8" w:rsidRPr="00F3350F">
        <w:rPr>
          <w:rFonts w:asciiTheme="minorHAnsi" w:hAnsiTheme="minorHAnsi"/>
        </w:rPr>
        <w:t xml:space="preserve"> EUL may be agreed upon for that measure.</w:t>
      </w:r>
    </w:p>
    <w:p w14:paraId="2F4C81B9" w14:textId="77777777" w:rsidR="009F53B8" w:rsidRPr="00F3350F" w:rsidRDefault="009F53B8" w:rsidP="008F4DDD">
      <w:pPr>
        <w:pStyle w:val="ListParagraph"/>
        <w:rPr>
          <w:rFonts w:asciiTheme="minorHAnsi" w:hAnsiTheme="minorHAnsi"/>
        </w:rPr>
      </w:pPr>
    </w:p>
    <w:p w14:paraId="4CFBED07" w14:textId="2CDE7C6C" w:rsidR="008F4DDD" w:rsidRPr="00F3350F" w:rsidRDefault="00EB2AD3" w:rsidP="008F4DDD">
      <w:pPr>
        <w:pStyle w:val="ListParagraph"/>
        <w:rPr>
          <w:rFonts w:asciiTheme="minorHAnsi" w:hAnsiTheme="minorHAnsi"/>
        </w:rPr>
      </w:pPr>
      <w:r w:rsidRPr="00F3350F">
        <w:rPr>
          <w:rFonts w:asciiTheme="minorHAnsi" w:hAnsiTheme="minorHAnsi"/>
        </w:rPr>
        <w:t>For example:</w:t>
      </w:r>
    </w:p>
    <w:p w14:paraId="77C104B3" w14:textId="77777777" w:rsidR="008F4DDD" w:rsidRPr="00F3350F" w:rsidRDefault="008F4DDD" w:rsidP="009E7ABC">
      <w:pPr>
        <w:pStyle w:val="ListParagraph"/>
        <w:numPr>
          <w:ilvl w:val="0"/>
          <w:numId w:val="46"/>
        </w:numPr>
        <w:rPr>
          <w:rFonts w:asciiTheme="minorHAnsi" w:hAnsiTheme="minorHAnsi"/>
        </w:rPr>
      </w:pPr>
      <w:r w:rsidRPr="00F3350F">
        <w:rPr>
          <w:rFonts w:asciiTheme="minorHAnsi" w:hAnsiTheme="minorHAnsi"/>
        </w:rPr>
        <w:t>EEM1:</w:t>
      </w:r>
      <w:r w:rsidRPr="00F3350F">
        <w:rPr>
          <w:rFonts w:asciiTheme="minorHAnsi" w:hAnsiTheme="minorHAnsi"/>
        </w:rPr>
        <w:tab/>
        <w:t>100,000 kWh savings, 10 year EUL</w:t>
      </w:r>
    </w:p>
    <w:p w14:paraId="42DE3B17" w14:textId="77777777" w:rsidR="008F4DDD" w:rsidRPr="00F3350F" w:rsidRDefault="008F4DDD" w:rsidP="009E7ABC">
      <w:pPr>
        <w:pStyle w:val="ListParagraph"/>
        <w:numPr>
          <w:ilvl w:val="0"/>
          <w:numId w:val="46"/>
        </w:numPr>
        <w:rPr>
          <w:rFonts w:asciiTheme="minorHAnsi" w:hAnsiTheme="minorHAnsi"/>
        </w:rPr>
      </w:pPr>
      <w:r w:rsidRPr="00F3350F">
        <w:rPr>
          <w:rFonts w:asciiTheme="minorHAnsi" w:hAnsiTheme="minorHAnsi"/>
        </w:rPr>
        <w:t>EEM2:</w:t>
      </w:r>
      <w:r w:rsidRPr="00F3350F">
        <w:rPr>
          <w:rFonts w:asciiTheme="minorHAnsi" w:hAnsiTheme="minorHAnsi"/>
        </w:rPr>
        <w:tab/>
        <w:t>200,000 kWh savings, 3 year EUL</w:t>
      </w:r>
    </w:p>
    <w:p w14:paraId="628DC921" w14:textId="77777777" w:rsidR="008F4DDD" w:rsidRPr="00F3350F" w:rsidRDefault="008F4DDD" w:rsidP="008F4DDD">
      <w:pPr>
        <w:pStyle w:val="ListParagraph"/>
        <w:rPr>
          <w:rFonts w:asciiTheme="minorHAnsi" w:hAnsiTheme="minorHAnsi"/>
        </w:rPr>
      </w:pPr>
    </w:p>
    <w:p w14:paraId="7469E6C7" w14:textId="77777777" w:rsidR="008F4DDD" w:rsidRPr="00F3350F" w:rsidRDefault="008F4DDD" w:rsidP="008F4DDD">
      <w:pPr>
        <w:pStyle w:val="ListParagraph"/>
        <w:rPr>
          <w:rFonts w:asciiTheme="minorHAnsi" w:hAnsiTheme="minorHAnsi"/>
        </w:rPr>
      </w:pPr>
      <w:r w:rsidRPr="00F3350F">
        <w:rPr>
          <w:rFonts w:asciiTheme="minorHAnsi" w:hAnsiTheme="minorHAnsi"/>
        </w:rPr>
        <w:t>The EUL of the bundle would be (100,000 * 10 + 200,000 * 3) ÷ (100,000 + 200,000) = 5.33 years.</w:t>
      </w:r>
    </w:p>
    <w:p w14:paraId="1DC760CC" w14:textId="77777777" w:rsidR="008F4DDD" w:rsidRPr="00F3350F" w:rsidRDefault="008F4DDD" w:rsidP="008F4DDD">
      <w:pPr>
        <w:pStyle w:val="ListParagraph"/>
        <w:rPr>
          <w:rFonts w:asciiTheme="minorHAnsi" w:hAnsiTheme="minorHAnsi"/>
        </w:rPr>
      </w:pPr>
    </w:p>
    <w:p w14:paraId="79B6B80C" w14:textId="318064A6" w:rsidR="00D32BC6" w:rsidRPr="00F3350F" w:rsidRDefault="00D32BC6" w:rsidP="008F4DDD">
      <w:pPr>
        <w:pStyle w:val="ListParagraph"/>
        <w:rPr>
          <w:rFonts w:asciiTheme="minorHAnsi" w:hAnsiTheme="minorHAnsi"/>
        </w:rPr>
      </w:pPr>
      <w:r w:rsidRPr="00F3350F">
        <w:rPr>
          <w:rFonts w:asciiTheme="minorHAnsi" w:hAnsiTheme="minorHAnsi"/>
        </w:rPr>
        <w:t>Projects with both electric and gas savings may use a similar approach by taking a weighted average of the converted BTU savings.</w:t>
      </w:r>
    </w:p>
    <w:p w14:paraId="71BF9EA4" w14:textId="77777777" w:rsidR="00D32BC6" w:rsidRPr="00F3350F" w:rsidRDefault="00D32BC6" w:rsidP="008F4DDD">
      <w:pPr>
        <w:pStyle w:val="ListParagraph"/>
        <w:rPr>
          <w:rFonts w:asciiTheme="minorHAnsi" w:hAnsiTheme="minorHAnsi"/>
        </w:rPr>
      </w:pPr>
    </w:p>
    <w:p w14:paraId="04D9395F" w14:textId="26635A13" w:rsidR="008F4DDD" w:rsidRPr="00F3350F" w:rsidRDefault="008F4DDD" w:rsidP="008F4DDD">
      <w:pPr>
        <w:pStyle w:val="ListParagraph"/>
        <w:rPr>
          <w:rFonts w:asciiTheme="minorHAnsi" w:hAnsiTheme="minorHAnsi"/>
        </w:rPr>
      </w:pPr>
      <w:r w:rsidRPr="00F3350F">
        <w:rPr>
          <w:rFonts w:asciiTheme="minorHAnsi" w:hAnsiTheme="minorHAnsi"/>
        </w:rPr>
        <w:t>If measure level savings are unknown, the above approach is not possible. In that case, a program-level EUL should be proposed and agreed upon in coordination with PG&amp;E’s Evaluation team and possibly the CPUC.</w:t>
      </w:r>
    </w:p>
    <w:p w14:paraId="1C7A9B06" w14:textId="77777777" w:rsidR="008F4DDD" w:rsidRPr="00F3350F" w:rsidRDefault="008F4DDD" w:rsidP="008F4DDD">
      <w:pPr>
        <w:pStyle w:val="ListParagraph"/>
        <w:rPr>
          <w:rFonts w:asciiTheme="minorHAnsi" w:hAnsiTheme="minorHAnsi"/>
        </w:rPr>
      </w:pPr>
    </w:p>
    <w:p w14:paraId="269A00C9" w14:textId="77777777" w:rsidR="008F4DDD" w:rsidRPr="00F3350F" w:rsidRDefault="008F4DDD" w:rsidP="008F4DDD">
      <w:pPr>
        <w:pStyle w:val="ListParagraph"/>
        <w:rPr>
          <w:rFonts w:asciiTheme="minorHAnsi" w:hAnsiTheme="minorHAnsi"/>
        </w:rPr>
      </w:pPr>
      <w:r w:rsidRPr="00F3350F">
        <w:rPr>
          <w:rFonts w:asciiTheme="minorHAnsi" w:hAnsiTheme="minorHAnsi"/>
        </w:rPr>
        <w:t>A program-level EUL for a bundle of measures with varying EUL should be proposed with the following principles in mind:</w:t>
      </w:r>
    </w:p>
    <w:p w14:paraId="7D1CDD0F" w14:textId="77777777" w:rsidR="008F4DDD" w:rsidRPr="00F3350F" w:rsidRDefault="008F4DDD" w:rsidP="009E7ABC">
      <w:pPr>
        <w:pStyle w:val="ListParagraph"/>
        <w:numPr>
          <w:ilvl w:val="0"/>
          <w:numId w:val="46"/>
        </w:numPr>
        <w:rPr>
          <w:rFonts w:asciiTheme="minorHAnsi" w:hAnsiTheme="minorHAnsi"/>
        </w:rPr>
      </w:pPr>
      <w:r w:rsidRPr="00F3350F">
        <w:rPr>
          <w:rFonts w:asciiTheme="minorHAnsi" w:hAnsiTheme="minorHAnsi"/>
        </w:rPr>
        <w:t>The first-year savings claim of the bundle should equal the first-year savings of the sum of the measures</w:t>
      </w:r>
    </w:p>
    <w:p w14:paraId="57597193" w14:textId="77777777" w:rsidR="008F4DDD" w:rsidRPr="00F3350F" w:rsidRDefault="008F4DDD" w:rsidP="009E7ABC">
      <w:pPr>
        <w:pStyle w:val="ListParagraph"/>
        <w:numPr>
          <w:ilvl w:val="0"/>
          <w:numId w:val="46"/>
        </w:numPr>
        <w:rPr>
          <w:rFonts w:asciiTheme="minorHAnsi" w:hAnsiTheme="minorHAnsi"/>
        </w:rPr>
      </w:pPr>
      <w:r w:rsidRPr="00F3350F">
        <w:rPr>
          <w:rFonts w:asciiTheme="minorHAnsi" w:hAnsiTheme="minorHAnsi"/>
        </w:rPr>
        <w:t>The lifecycle savings claim of the bundle should equal the lifecycle savings of the sum of the measures</w:t>
      </w:r>
    </w:p>
    <w:p w14:paraId="75405995" w14:textId="77777777" w:rsidR="00EB2AD3" w:rsidRPr="00F3350F" w:rsidRDefault="00EB2AD3" w:rsidP="00B6697F">
      <w:pPr>
        <w:rPr>
          <w:rFonts w:asciiTheme="minorHAnsi" w:hAnsiTheme="minorHAnsi"/>
        </w:rPr>
      </w:pPr>
    </w:p>
    <w:p w14:paraId="566AA454" w14:textId="7E685A3B" w:rsidR="007B1102" w:rsidRPr="00F3350F" w:rsidRDefault="003565BE" w:rsidP="00B6697F">
      <w:pPr>
        <w:rPr>
          <w:rFonts w:asciiTheme="minorHAnsi" w:hAnsiTheme="minorHAnsi"/>
        </w:rPr>
      </w:pPr>
      <w:r w:rsidRPr="00F3350F">
        <w:rPr>
          <w:rFonts w:asciiTheme="minorHAnsi" w:hAnsiTheme="minorHAnsi"/>
        </w:rPr>
        <w:t xml:space="preserve">Effective Dates: </w:t>
      </w:r>
    </w:p>
    <w:p w14:paraId="33BA05A7" w14:textId="75336FF5" w:rsidR="00A527B4" w:rsidRPr="00F3350F" w:rsidRDefault="007B1102" w:rsidP="00B6697F">
      <w:pPr>
        <w:rPr>
          <w:rFonts w:asciiTheme="minorHAnsi" w:hAnsiTheme="minorHAnsi"/>
        </w:rPr>
      </w:pPr>
      <w:r w:rsidRPr="00F3350F">
        <w:rPr>
          <w:rFonts w:asciiTheme="minorHAnsi" w:hAnsiTheme="minorHAnsi"/>
        </w:rPr>
        <w:t>Rule Source:</w:t>
      </w:r>
      <w:r w:rsidR="007008F7" w:rsidRPr="00F3350F">
        <w:rPr>
          <w:rFonts w:asciiTheme="minorHAnsi" w:hAnsiTheme="minorHAnsi"/>
        </w:rPr>
        <w:t xml:space="preserve">  </w:t>
      </w:r>
      <w:r w:rsidR="0032793C" w:rsidRPr="00F3350F">
        <w:rPr>
          <w:rFonts w:asciiTheme="minorHAnsi" w:hAnsiTheme="minorHAnsi"/>
        </w:rPr>
        <w:t>HOPPs Staff White Paper</w:t>
      </w:r>
      <w:bookmarkStart w:id="218" w:name="_Toc432446608"/>
      <w:bookmarkStart w:id="219" w:name="_Toc432446909"/>
      <w:bookmarkStart w:id="220" w:name="_Toc432447699"/>
      <w:bookmarkEnd w:id="218"/>
      <w:bookmarkEnd w:id="219"/>
      <w:bookmarkEnd w:id="220"/>
    </w:p>
    <w:p w14:paraId="51221268" w14:textId="77777777" w:rsidR="00524B81" w:rsidRPr="00F3350F" w:rsidRDefault="00524B81" w:rsidP="00B6697F"/>
    <w:p w14:paraId="33BA05A9" w14:textId="10E6D09E" w:rsidR="00F77607" w:rsidRPr="00F3350F" w:rsidRDefault="007008F7" w:rsidP="007008F7">
      <w:pPr>
        <w:pStyle w:val="Heading3"/>
      </w:pPr>
      <w:bookmarkStart w:id="221" w:name="_Toc432446610"/>
      <w:bookmarkStart w:id="222" w:name="_Toc432446911"/>
      <w:bookmarkStart w:id="223" w:name="_Toc432447701"/>
      <w:bookmarkStart w:id="224" w:name="_Toc496784482"/>
      <w:bookmarkEnd w:id="221"/>
      <w:bookmarkEnd w:id="222"/>
      <w:bookmarkEnd w:id="223"/>
      <w:r w:rsidRPr="00F3350F">
        <w:t>EUL Maximum</w:t>
      </w:r>
      <w:bookmarkEnd w:id="224"/>
      <w:r w:rsidR="00E909E5" w:rsidRPr="00F3350F" w:rsidDel="00E909E5">
        <w:rPr>
          <w:rStyle w:val="CommentReference"/>
          <w:rFonts w:ascii="Calibri" w:hAnsi="Calibri" w:cs="Calibri"/>
          <w:b w:val="0"/>
          <w:bCs w:val="0"/>
          <w:color w:val="auto"/>
        </w:rPr>
        <w:t xml:space="preserve"> </w:t>
      </w:r>
    </w:p>
    <w:p w14:paraId="39354125" w14:textId="53C55B9F" w:rsidR="007008F7" w:rsidRPr="00F3350F" w:rsidRDefault="00A527B4" w:rsidP="00B6697F">
      <w:r w:rsidRPr="00F3350F">
        <w:t xml:space="preserve">Details: </w:t>
      </w:r>
      <w:r w:rsidR="007008F7" w:rsidRPr="00F3350F">
        <w:t xml:space="preserve">The longest allowable EUL </w:t>
      </w:r>
      <w:r w:rsidR="00A919A7" w:rsidRPr="00F3350F">
        <w:t xml:space="preserve">for installed measures </w:t>
      </w:r>
      <w:r w:rsidR="007008F7" w:rsidRPr="00F3350F">
        <w:t xml:space="preserve">is 20 years. </w:t>
      </w:r>
    </w:p>
    <w:p w14:paraId="1C5F56B4" w14:textId="77777777" w:rsidR="003A1F57" w:rsidRPr="00F3350F" w:rsidRDefault="003A1F57" w:rsidP="00B6697F">
      <w:pPr>
        <w:rPr>
          <w:rFonts w:asciiTheme="minorHAnsi" w:eastAsiaTheme="minorHAnsi" w:hAnsiTheme="minorHAnsi" w:cstheme="minorBidi"/>
        </w:rPr>
      </w:pPr>
    </w:p>
    <w:p w14:paraId="33498125" w14:textId="76342A02" w:rsidR="003F686A" w:rsidRPr="00F3350F" w:rsidRDefault="003F686A" w:rsidP="00B6697F">
      <w:r w:rsidRPr="00F3350F">
        <w:t>Effective Date:</w:t>
      </w:r>
    </w:p>
    <w:p w14:paraId="33BA05AD" w14:textId="31735E39" w:rsidR="00A527B4" w:rsidRPr="00F3350F" w:rsidRDefault="00A527B4" w:rsidP="00D3781A">
      <w:r w:rsidRPr="00F3350F">
        <w:t xml:space="preserve">Rule Source: </w:t>
      </w:r>
      <w:r w:rsidR="00AB2EC0" w:rsidRPr="00F3350F">
        <w:rPr>
          <w:rFonts w:asciiTheme="minorHAnsi" w:eastAsiaTheme="minorHAnsi" w:hAnsiTheme="minorHAnsi" w:cstheme="minorBidi"/>
        </w:rPr>
        <w:t>D.14-10-046</w:t>
      </w:r>
    </w:p>
    <w:p w14:paraId="3C882250" w14:textId="77777777" w:rsidR="00282165" w:rsidRPr="00F3350F" w:rsidRDefault="00282165" w:rsidP="00D3781A"/>
    <w:p w14:paraId="4F47CBF6" w14:textId="47999C06" w:rsidR="00282165" w:rsidRPr="00F3350F" w:rsidRDefault="00282165" w:rsidP="009E7ABC">
      <w:pPr>
        <w:pStyle w:val="Heading3"/>
      </w:pPr>
      <w:bookmarkStart w:id="225" w:name="_Toc496784483"/>
      <w:r w:rsidRPr="00F3350F">
        <w:t xml:space="preserve">EUL </w:t>
      </w:r>
      <w:r w:rsidR="002D1820" w:rsidRPr="00F3350F">
        <w:t>and Cost-Effectiveness</w:t>
      </w:r>
      <w:bookmarkEnd w:id="225"/>
      <w:r w:rsidRPr="00F3350F" w:rsidDel="00E909E5">
        <w:rPr>
          <w:rStyle w:val="CommentReference"/>
          <w:rFonts w:ascii="Calibri" w:hAnsi="Calibri" w:cs="Calibri"/>
          <w:b w:val="0"/>
          <w:bCs w:val="0"/>
          <w:color w:val="auto"/>
        </w:rPr>
        <w:t xml:space="preserve"> </w:t>
      </w:r>
    </w:p>
    <w:p w14:paraId="68B91318" w14:textId="144735B3" w:rsidR="00282165" w:rsidRPr="00F3350F" w:rsidRDefault="00282165" w:rsidP="00B6697F">
      <w:bookmarkStart w:id="226" w:name="_Toc437622472"/>
      <w:bookmarkStart w:id="227" w:name="_Toc437625451"/>
      <w:bookmarkStart w:id="228" w:name="_Toc432446612"/>
      <w:bookmarkStart w:id="229" w:name="_Toc432446913"/>
      <w:bookmarkStart w:id="230" w:name="_Toc432447703"/>
      <w:bookmarkEnd w:id="226"/>
      <w:bookmarkEnd w:id="227"/>
      <w:bookmarkEnd w:id="228"/>
      <w:bookmarkEnd w:id="229"/>
      <w:bookmarkEnd w:id="230"/>
      <w:r w:rsidRPr="00F3350F">
        <w:t xml:space="preserve">Details: </w:t>
      </w:r>
      <w:r w:rsidR="002D1820" w:rsidRPr="00F3350F">
        <w:t xml:space="preserve">[Best Practice] </w:t>
      </w:r>
      <w:r w:rsidRPr="00F3350F">
        <w:t>The EUL of an energy efficiency measure is a strong driver of cost effectiveness. As such, programs should include design elements which encourage long EULs relative to their costs. Such elements could include: contractual language in program agreements, incentive amounts tied to savings over multiple years, customer engagement during any monitoring periods.</w:t>
      </w:r>
    </w:p>
    <w:p w14:paraId="15240389" w14:textId="77777777" w:rsidR="00EF62C2" w:rsidRPr="00F3350F" w:rsidRDefault="00EF62C2" w:rsidP="00B6697F"/>
    <w:p w14:paraId="4D6F81E8" w14:textId="77777777" w:rsidR="00B41D89" w:rsidRPr="00F3350F" w:rsidRDefault="00B41D89" w:rsidP="00B6697F"/>
    <w:p w14:paraId="5CED6C37" w14:textId="3FC11DF7" w:rsidR="00B357AC" w:rsidRPr="00F3350F" w:rsidRDefault="000654D2" w:rsidP="00B6697F">
      <w:pPr>
        <w:pStyle w:val="Heading1"/>
      </w:pPr>
      <w:bookmarkStart w:id="231" w:name="_Toc451330637"/>
      <w:bookmarkStart w:id="232" w:name="_Toc451417056"/>
      <w:bookmarkStart w:id="233" w:name="_Toc496784484"/>
      <w:bookmarkEnd w:id="231"/>
      <w:bookmarkEnd w:id="232"/>
      <w:r w:rsidRPr="00F3350F">
        <w:t xml:space="preserve">Payment </w:t>
      </w:r>
      <w:r w:rsidR="00B357AC" w:rsidRPr="00F3350F">
        <w:t>Calculations</w:t>
      </w:r>
      <w:bookmarkEnd w:id="233"/>
    </w:p>
    <w:p w14:paraId="21DE8696" w14:textId="77777777" w:rsidR="00B41D89" w:rsidRPr="00F3350F" w:rsidRDefault="00B41D89" w:rsidP="00B6697F"/>
    <w:p w14:paraId="1C132A5F" w14:textId="7ACDC551" w:rsidR="00681B88" w:rsidRPr="00F3350F" w:rsidRDefault="0080566B" w:rsidP="009E7ABC">
      <w:pPr>
        <w:pStyle w:val="Heading3"/>
        <w:numPr>
          <w:ilvl w:val="1"/>
          <w:numId w:val="2"/>
        </w:numPr>
        <w:ind w:left="720" w:hanging="720"/>
      </w:pPr>
      <w:bookmarkStart w:id="234" w:name="_Toc432446689"/>
      <w:bookmarkStart w:id="235" w:name="_Toc432446990"/>
      <w:bookmarkStart w:id="236" w:name="_Toc432447780"/>
      <w:bookmarkStart w:id="237" w:name="_Toc496784485"/>
      <w:bookmarkEnd w:id="234"/>
      <w:bookmarkEnd w:id="235"/>
      <w:bookmarkEnd w:id="236"/>
      <w:r w:rsidRPr="00F3350F">
        <w:t>Measure Cost Determination</w:t>
      </w:r>
      <w:bookmarkEnd w:id="237"/>
    </w:p>
    <w:p w14:paraId="7ADCA492" w14:textId="085AB9ED" w:rsidR="00681B88" w:rsidRPr="00F3350F" w:rsidRDefault="00681B88" w:rsidP="0080566B">
      <w:r w:rsidRPr="00F3350F">
        <w:t xml:space="preserve">Details: </w:t>
      </w:r>
      <w:r w:rsidR="0080566B" w:rsidRPr="00F3350F">
        <w:t>All meter-based programs using existing conditions must report full measure costs (aka, gross measure costs). Full measure costs must include the full cost of "any equipment or materials purchased, including sales tax and installation; any ongoing operation and maintenance costs; any removal costs (less salvage value); and the value of the customer's time in arranging for the installation of the measure, if significant."</w:t>
      </w:r>
    </w:p>
    <w:p w14:paraId="1B9B80F5" w14:textId="77777777" w:rsidR="0080566B" w:rsidRPr="00F3350F" w:rsidRDefault="0080566B" w:rsidP="0080566B"/>
    <w:p w14:paraId="7DA26820" w14:textId="44BBCEC8" w:rsidR="00681B88" w:rsidRPr="00F3350F" w:rsidRDefault="00681B88" w:rsidP="00B6697F">
      <w:r w:rsidRPr="00F3350F">
        <w:t>Effective Dates:</w:t>
      </w:r>
      <w:r w:rsidR="0080566B" w:rsidRPr="00F3350F">
        <w:t xml:space="preserve"> </w:t>
      </w:r>
    </w:p>
    <w:p w14:paraId="5A8193D3" w14:textId="7999E0FD" w:rsidR="00681B88" w:rsidRPr="00F3350F" w:rsidRDefault="0080566B" w:rsidP="00B6697F">
      <w:r w:rsidRPr="00F3350F">
        <w:t xml:space="preserve">Rule Source: </w:t>
      </w:r>
      <w:r w:rsidR="00630FB0" w:rsidRPr="00F3350F">
        <w:t>Standard Practice Manual</w:t>
      </w:r>
    </w:p>
    <w:p w14:paraId="13762DB2" w14:textId="77777777" w:rsidR="000C1AD7" w:rsidRPr="00F3350F" w:rsidRDefault="000C1AD7" w:rsidP="009E7ABC">
      <w:bookmarkStart w:id="238" w:name="_Toc432446691"/>
      <w:bookmarkStart w:id="239" w:name="_Toc432446992"/>
      <w:bookmarkStart w:id="240" w:name="_Toc432447782"/>
      <w:bookmarkStart w:id="241" w:name="_Toc432446638"/>
      <w:bookmarkStart w:id="242" w:name="_Toc432446939"/>
      <w:bookmarkStart w:id="243" w:name="_Toc432447729"/>
      <w:bookmarkStart w:id="244" w:name="_Toc432446645"/>
      <w:bookmarkStart w:id="245" w:name="_Toc432446946"/>
      <w:bookmarkStart w:id="246" w:name="_Toc432447736"/>
      <w:bookmarkStart w:id="247" w:name="_Toc432446647"/>
      <w:bookmarkStart w:id="248" w:name="_Toc432446948"/>
      <w:bookmarkStart w:id="249" w:name="_Toc432447738"/>
      <w:bookmarkStart w:id="250" w:name="_Toc432446670"/>
      <w:bookmarkStart w:id="251" w:name="_Toc432446971"/>
      <w:bookmarkStart w:id="252" w:name="_Toc432447761"/>
      <w:bookmarkStart w:id="253" w:name="_Toc432446708"/>
      <w:bookmarkStart w:id="254" w:name="_Toc432447009"/>
      <w:bookmarkStart w:id="255" w:name="_Toc432447799"/>
      <w:bookmarkStart w:id="256" w:name="_Toc432446696"/>
      <w:bookmarkStart w:id="257" w:name="_Toc432446997"/>
      <w:bookmarkStart w:id="258" w:name="_Toc43244778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37C3CFFE" w14:textId="44733DD2" w:rsidR="000C1AD7" w:rsidRPr="00F3350F" w:rsidRDefault="000C1AD7" w:rsidP="009E7ABC">
      <w:pPr>
        <w:pStyle w:val="Heading3"/>
        <w:numPr>
          <w:ilvl w:val="1"/>
          <w:numId w:val="2"/>
        </w:numPr>
        <w:ind w:left="720" w:hanging="720"/>
      </w:pPr>
      <w:bookmarkStart w:id="259" w:name="_Toc496784486"/>
      <w:r w:rsidRPr="00F3350F">
        <w:t>Incentive</w:t>
      </w:r>
      <w:r w:rsidR="00630FB0" w:rsidRPr="00F3350F">
        <w:t xml:space="preserve"> Structure Guidance</w:t>
      </w:r>
      <w:bookmarkEnd w:id="259"/>
    </w:p>
    <w:p w14:paraId="6E0F244E" w14:textId="31F276C4" w:rsidR="000C1AD7" w:rsidRPr="00F3350F" w:rsidRDefault="000C1AD7" w:rsidP="000C1AD7">
      <w:pPr>
        <w:rPr>
          <w:rFonts w:asciiTheme="minorHAnsi" w:eastAsiaTheme="minorHAnsi" w:hAnsiTheme="minorHAnsi" w:cstheme="minorBidi"/>
        </w:rPr>
      </w:pPr>
      <w:r w:rsidRPr="00F3350F">
        <w:t>Details</w:t>
      </w:r>
      <w:r w:rsidRPr="00F3350F">
        <w:rPr>
          <w:b/>
        </w:rPr>
        <w:t>:</w:t>
      </w:r>
      <w:r w:rsidRPr="00F3350F">
        <w:t xml:space="preserve"> </w:t>
      </w:r>
      <w:r w:rsidRPr="00F3350F">
        <w:rPr>
          <w:rFonts w:asciiTheme="minorHAnsi" w:eastAsiaTheme="minorHAnsi" w:hAnsiTheme="minorHAnsi" w:cstheme="minorBidi"/>
        </w:rPr>
        <w:t>Any payment structure</w:t>
      </w:r>
      <w:r w:rsidR="00D11FFC" w:rsidRPr="00F3350F">
        <w:rPr>
          <w:rFonts w:asciiTheme="minorHAnsi" w:eastAsiaTheme="minorHAnsi" w:hAnsiTheme="minorHAnsi" w:cstheme="minorBidi"/>
        </w:rPr>
        <w:t xml:space="preserve"> (for both implementer and customer payments)</w:t>
      </w:r>
      <w:r w:rsidRPr="00F3350F">
        <w:rPr>
          <w:rFonts w:asciiTheme="minorHAnsi" w:eastAsiaTheme="minorHAnsi" w:hAnsiTheme="minorHAnsi" w:cstheme="minorBidi"/>
        </w:rPr>
        <w:t xml:space="preserve"> may be proposed for a given program. Payments could be based on observed savings, gross or net first-year claimable savings, gross or net lifecycle claimable savings, time and materials, milestones, or any other quantifiable metric or combination thereof.  However, note that PA goals are currently set in terms of net first-year claimable savings. Customer and implementer incentive designs should be structured to “mitigate the risk of up-front payments exceeding the value of actual savings.”</w:t>
      </w:r>
      <w:r w:rsidR="00D11FFC" w:rsidRPr="00F3350F">
        <w:rPr>
          <w:rFonts w:asciiTheme="minorHAnsi" w:eastAsiaTheme="minorHAnsi" w:hAnsiTheme="minorHAnsi" w:cstheme="minorBidi"/>
        </w:rPr>
        <w:t xml:space="preserve"> </w:t>
      </w:r>
      <w:proofErr w:type="gramStart"/>
      <w:r w:rsidR="00D11FFC" w:rsidRPr="00F3350F">
        <w:rPr>
          <w:rFonts w:asciiTheme="minorHAnsi" w:eastAsiaTheme="minorHAnsi" w:hAnsiTheme="minorHAnsi" w:cstheme="minorBidi"/>
        </w:rPr>
        <w:t>See “Timing of Payments and Claims” below.</w:t>
      </w:r>
      <w:proofErr w:type="gramEnd"/>
    </w:p>
    <w:p w14:paraId="06DC14CB" w14:textId="77777777" w:rsidR="00D11FFC" w:rsidRPr="00F3350F" w:rsidRDefault="00D11FFC" w:rsidP="000C1AD7">
      <w:pPr>
        <w:rPr>
          <w:rFonts w:asciiTheme="minorHAnsi" w:eastAsiaTheme="minorHAnsi" w:hAnsiTheme="minorHAnsi" w:cstheme="minorBidi"/>
        </w:rPr>
      </w:pPr>
    </w:p>
    <w:p w14:paraId="2A0BD1D4" w14:textId="7F637DA8" w:rsidR="00D11FFC" w:rsidRPr="00F3350F" w:rsidRDefault="00D11FFC" w:rsidP="000C1AD7">
      <w:r w:rsidRPr="00F3350F">
        <w:rPr>
          <w:rFonts w:asciiTheme="minorHAnsi" w:eastAsiaTheme="minorHAnsi" w:hAnsiTheme="minorHAnsi" w:cstheme="minorBidi"/>
        </w:rPr>
        <w:t xml:space="preserve">Note that customer payments are not required. Other sources of assistance (technical support, project financing) may be provided in addition to, or in lieu of, customer payments. </w:t>
      </w:r>
    </w:p>
    <w:p w14:paraId="2D194F62" w14:textId="77777777" w:rsidR="003B103D" w:rsidRPr="00F3350F" w:rsidRDefault="003B103D" w:rsidP="000C1AD7"/>
    <w:p w14:paraId="55F0A6CA" w14:textId="77777777" w:rsidR="000C1AD7" w:rsidRPr="00F3350F" w:rsidRDefault="000C1AD7" w:rsidP="000C1AD7">
      <w:r w:rsidRPr="00F3350F">
        <w:t xml:space="preserve">Effective Dates: </w:t>
      </w:r>
    </w:p>
    <w:p w14:paraId="0C3B8727" w14:textId="3DD41FAD" w:rsidR="000C1AD7" w:rsidRPr="00F3350F" w:rsidRDefault="000C1AD7" w:rsidP="000C1AD7">
      <w:r w:rsidRPr="00F3350F">
        <w:t xml:space="preserve">Rule Source: HOPPs </w:t>
      </w:r>
      <w:r w:rsidR="007B00CC" w:rsidRPr="00F3350F">
        <w:t>White Paper Ruling</w:t>
      </w:r>
      <w:r w:rsidRPr="00F3350F">
        <w:t>, Section 3.4.3.3</w:t>
      </w:r>
      <w:r w:rsidR="003B103D" w:rsidRPr="00F3350F">
        <w:t>; D.16-08-019; Standard Practice Manual (?)</w:t>
      </w:r>
    </w:p>
    <w:p w14:paraId="3441DE00" w14:textId="77777777" w:rsidR="000C1AD7" w:rsidRPr="00F3350F" w:rsidRDefault="000C1AD7" w:rsidP="000C1AD7"/>
    <w:p w14:paraId="5DEE7E57" w14:textId="0A91A068" w:rsidR="000C1AD7" w:rsidRPr="00F3350F" w:rsidRDefault="00D11FFC" w:rsidP="009E7ABC">
      <w:pPr>
        <w:pStyle w:val="Heading3"/>
        <w:numPr>
          <w:ilvl w:val="1"/>
          <w:numId w:val="2"/>
        </w:numPr>
        <w:ind w:left="720" w:hanging="720"/>
      </w:pPr>
      <w:bookmarkStart w:id="260" w:name="_Toc496784487"/>
      <w:r w:rsidRPr="00F3350F">
        <w:t xml:space="preserve">Customer </w:t>
      </w:r>
      <w:r w:rsidR="000C1AD7" w:rsidRPr="00F3350F">
        <w:t>Incentive</w:t>
      </w:r>
      <w:r w:rsidR="00B8356B" w:rsidRPr="00F3350F">
        <w:t xml:space="preserve"> Caps</w:t>
      </w:r>
      <w:bookmarkEnd w:id="260"/>
    </w:p>
    <w:p w14:paraId="2171AF5E" w14:textId="5EB7A594" w:rsidR="000C1AD7" w:rsidRPr="00F3350F" w:rsidRDefault="000C1AD7" w:rsidP="000C1AD7">
      <w:pPr>
        <w:pStyle w:val="ListParagraph"/>
        <w:rPr>
          <w:rFonts w:asciiTheme="minorHAnsi" w:eastAsiaTheme="minorHAnsi" w:hAnsiTheme="minorHAnsi" w:cstheme="minorBidi"/>
        </w:rPr>
      </w:pPr>
      <w:r w:rsidRPr="00F3350F">
        <w:t>Details</w:t>
      </w:r>
      <w:r w:rsidRPr="00F3350F">
        <w:rPr>
          <w:b/>
        </w:rPr>
        <w:t>:</w:t>
      </w:r>
      <w:r w:rsidRPr="00F3350F">
        <w:t xml:space="preserve"> </w:t>
      </w:r>
      <w:r w:rsidRPr="00F3350F">
        <w:rPr>
          <w:rFonts w:asciiTheme="minorHAnsi" w:eastAsiaTheme="minorHAnsi" w:hAnsiTheme="minorHAnsi" w:cstheme="minorBidi"/>
        </w:rPr>
        <w:t xml:space="preserve">Customer payment for a given measure </w:t>
      </w:r>
      <w:r w:rsidR="00CB5E4B" w:rsidRPr="00F3350F">
        <w:rPr>
          <w:rFonts w:asciiTheme="minorHAnsi" w:eastAsiaTheme="minorHAnsi" w:hAnsiTheme="minorHAnsi" w:cstheme="minorBidi"/>
        </w:rPr>
        <w:t xml:space="preserve">must </w:t>
      </w:r>
      <w:r w:rsidRPr="00F3350F">
        <w:rPr>
          <w:rFonts w:asciiTheme="minorHAnsi" w:eastAsiaTheme="minorHAnsi" w:hAnsiTheme="minorHAnsi" w:cstheme="minorBidi"/>
        </w:rPr>
        <w:t xml:space="preserve">not exceed the </w:t>
      </w:r>
      <w:r w:rsidR="00CB5E4B" w:rsidRPr="00F3350F">
        <w:rPr>
          <w:rFonts w:asciiTheme="minorHAnsi" w:eastAsiaTheme="minorHAnsi" w:hAnsiTheme="minorHAnsi" w:cstheme="minorBidi"/>
        </w:rPr>
        <w:t xml:space="preserve">full </w:t>
      </w:r>
      <w:r w:rsidRPr="00F3350F">
        <w:rPr>
          <w:rFonts w:asciiTheme="minorHAnsi" w:eastAsiaTheme="minorHAnsi" w:hAnsiTheme="minorHAnsi" w:cstheme="minorBidi"/>
        </w:rPr>
        <w:t>measure cost</w:t>
      </w:r>
      <w:r w:rsidR="00CB5E4B" w:rsidRPr="00F3350F">
        <w:rPr>
          <w:rFonts w:asciiTheme="minorHAnsi" w:eastAsiaTheme="minorHAnsi" w:hAnsiTheme="minorHAnsi" w:cstheme="minorBidi"/>
        </w:rPr>
        <w:t xml:space="preserve"> without justification and approval from Commission staff</w:t>
      </w:r>
      <w:r w:rsidRPr="00F3350F">
        <w:rPr>
          <w:rFonts w:asciiTheme="minorHAnsi" w:eastAsiaTheme="minorHAnsi" w:hAnsiTheme="minorHAnsi" w:cstheme="minorBidi"/>
        </w:rPr>
        <w:t>.</w:t>
      </w:r>
    </w:p>
    <w:p w14:paraId="216161DF" w14:textId="77777777" w:rsidR="000C1AD7" w:rsidRPr="00F3350F" w:rsidRDefault="000C1AD7" w:rsidP="000C1AD7">
      <w:pPr>
        <w:spacing w:line="276" w:lineRule="auto"/>
        <w:ind w:left="720"/>
        <w:contextualSpacing/>
        <w:rPr>
          <w:rFonts w:asciiTheme="minorHAnsi" w:eastAsiaTheme="minorHAnsi" w:hAnsiTheme="minorHAnsi" w:cstheme="minorBidi"/>
        </w:rPr>
      </w:pPr>
    </w:p>
    <w:p w14:paraId="2FF46EBF" w14:textId="77777777" w:rsidR="000C1AD7" w:rsidRPr="00F3350F" w:rsidRDefault="000C1AD7" w:rsidP="000C1AD7">
      <w:r w:rsidRPr="00F3350F">
        <w:t xml:space="preserve">Effective Dates: </w:t>
      </w:r>
    </w:p>
    <w:p w14:paraId="4F495AD8" w14:textId="064F9343" w:rsidR="000C1AD7" w:rsidRPr="00F3350F" w:rsidRDefault="000C1AD7" w:rsidP="000C1AD7">
      <w:r w:rsidRPr="00F3350F">
        <w:t xml:space="preserve">Rule Source: </w:t>
      </w:r>
      <w:r w:rsidR="003B103D" w:rsidRPr="00F3350F">
        <w:t>EE Policy Manual v5</w:t>
      </w:r>
    </w:p>
    <w:p w14:paraId="0C7F983D" w14:textId="77777777" w:rsidR="000975FB" w:rsidRPr="00F3350F" w:rsidRDefault="000975FB" w:rsidP="000C1AD7"/>
    <w:p w14:paraId="18CB6F27" w14:textId="77777777" w:rsidR="000C1AD7" w:rsidRPr="00F3350F" w:rsidRDefault="000C1AD7" w:rsidP="000C1AD7"/>
    <w:p w14:paraId="323D598C" w14:textId="77777777" w:rsidR="002466B4" w:rsidRPr="00F3350F" w:rsidRDefault="002466B4" w:rsidP="00B6697F">
      <w:pPr>
        <w:pStyle w:val="Heading1"/>
      </w:pPr>
      <w:bookmarkStart w:id="261" w:name="_Toc496100857"/>
      <w:bookmarkStart w:id="262" w:name="_Toc496100858"/>
      <w:bookmarkStart w:id="263" w:name="_Toc496100859"/>
      <w:bookmarkStart w:id="264" w:name="_Toc496100860"/>
      <w:bookmarkStart w:id="265" w:name="_Toc496100862"/>
      <w:bookmarkStart w:id="266" w:name="_Toc496100863"/>
      <w:bookmarkStart w:id="267" w:name="_Toc432446730"/>
      <w:bookmarkStart w:id="268" w:name="_Toc432447031"/>
      <w:bookmarkStart w:id="269" w:name="_Toc432447821"/>
      <w:bookmarkStart w:id="270" w:name="_Toc496100864"/>
      <w:bookmarkStart w:id="271" w:name="_Toc496784488"/>
      <w:bookmarkEnd w:id="261"/>
      <w:bookmarkEnd w:id="262"/>
      <w:bookmarkEnd w:id="263"/>
      <w:bookmarkEnd w:id="264"/>
      <w:bookmarkEnd w:id="265"/>
      <w:bookmarkEnd w:id="266"/>
      <w:bookmarkEnd w:id="267"/>
      <w:bookmarkEnd w:id="268"/>
      <w:bookmarkEnd w:id="269"/>
      <w:bookmarkEnd w:id="270"/>
      <w:r w:rsidRPr="00F3350F">
        <w:t>Inspections and QA/QC</w:t>
      </w:r>
      <w:bookmarkEnd w:id="271"/>
    </w:p>
    <w:p w14:paraId="1C25F4C2" w14:textId="77777777" w:rsidR="002B129D" w:rsidRPr="00F3350F" w:rsidRDefault="002B129D" w:rsidP="002B129D"/>
    <w:p w14:paraId="238A1D0B" w14:textId="77777777" w:rsidR="002466B4" w:rsidRPr="00F3350F" w:rsidRDefault="002466B4" w:rsidP="009E7ABC">
      <w:pPr>
        <w:pStyle w:val="Heading3"/>
        <w:numPr>
          <w:ilvl w:val="1"/>
          <w:numId w:val="2"/>
        </w:numPr>
        <w:ind w:left="720" w:hanging="720"/>
      </w:pPr>
      <w:bookmarkStart w:id="272" w:name="_Toc496784489"/>
      <w:r w:rsidRPr="00F3350F">
        <w:t>High Impact Projects</w:t>
      </w:r>
      <w:bookmarkEnd w:id="272"/>
    </w:p>
    <w:p w14:paraId="0488FC67" w14:textId="46580950" w:rsidR="002466B4" w:rsidRPr="00F3350F" w:rsidRDefault="002466B4" w:rsidP="00B6697F">
      <w:r w:rsidRPr="00F3350F">
        <w:t xml:space="preserve">Details: </w:t>
      </w:r>
      <w:r w:rsidR="005758A5" w:rsidRPr="00F3350F">
        <w:t xml:space="preserve">Individual customer projects </w:t>
      </w:r>
      <w:r w:rsidRPr="00F3350F">
        <w:t xml:space="preserve">with initial estimated savings that surpass 0.5 </w:t>
      </w:r>
      <w:proofErr w:type="spellStart"/>
      <w:r w:rsidRPr="00F3350F">
        <w:t>GWh</w:t>
      </w:r>
      <w:proofErr w:type="spellEnd"/>
      <w:r w:rsidR="005758A5" w:rsidRPr="00F3350F">
        <w:t>,</w:t>
      </w:r>
      <w:r w:rsidRPr="00F3350F">
        <w:t xml:space="preserve"> 200,000 </w:t>
      </w:r>
      <w:proofErr w:type="spellStart"/>
      <w:r w:rsidRPr="00F3350F">
        <w:t>therms</w:t>
      </w:r>
      <w:proofErr w:type="spellEnd"/>
      <w:r w:rsidR="005758A5" w:rsidRPr="00F3350F">
        <w:t>, or $100,000 in incentives</w:t>
      </w:r>
      <w:r w:rsidRPr="00F3350F">
        <w:t xml:space="preserve"> </w:t>
      </w:r>
      <w:r w:rsidR="00C115FE" w:rsidRPr="00F3350F">
        <w:t xml:space="preserve">must </w:t>
      </w:r>
      <w:r w:rsidRPr="00F3350F">
        <w:t>be submitted to PG&amp;E for an early policy review in the early project development stage. The PG&amp;E Custom Implementation Team will review the project and consider it for a Collaborative Review with CPUC staff.</w:t>
      </w:r>
    </w:p>
    <w:p w14:paraId="434FFCEE" w14:textId="77777777" w:rsidR="002B129D" w:rsidRPr="00F3350F" w:rsidRDefault="002B129D" w:rsidP="00B6697F"/>
    <w:p w14:paraId="7C1024DC" w14:textId="77A2271E" w:rsidR="002B129D" w:rsidRPr="00F3350F" w:rsidRDefault="002B129D" w:rsidP="002B129D">
      <w:r w:rsidRPr="00F3350F">
        <w:t xml:space="preserve">Effective Dates: </w:t>
      </w:r>
    </w:p>
    <w:p w14:paraId="6EA71D8F" w14:textId="345F1B84" w:rsidR="002B129D" w:rsidRPr="00F3350F" w:rsidRDefault="002B129D" w:rsidP="002B129D">
      <w:r w:rsidRPr="00F3350F">
        <w:t xml:space="preserve">Rule Source: </w:t>
      </w:r>
      <w:r w:rsidR="005758A5" w:rsidRPr="00F3350F">
        <w:t>N/A</w:t>
      </w:r>
    </w:p>
    <w:p w14:paraId="7D19F644" w14:textId="77777777" w:rsidR="002B129D" w:rsidRPr="00F3350F" w:rsidRDefault="002B129D" w:rsidP="002B129D"/>
    <w:p w14:paraId="5163A3D7" w14:textId="35AB02F7" w:rsidR="00742F1F" w:rsidRPr="00F3350F" w:rsidRDefault="00B8356B" w:rsidP="009E7ABC">
      <w:pPr>
        <w:pStyle w:val="Heading3"/>
        <w:numPr>
          <w:ilvl w:val="1"/>
          <w:numId w:val="2"/>
        </w:numPr>
        <w:ind w:left="720" w:hanging="720"/>
      </w:pPr>
      <w:bookmarkStart w:id="273" w:name="_Toc496784490"/>
      <w:r w:rsidRPr="00F3350F">
        <w:t>I</w:t>
      </w:r>
      <w:r w:rsidR="00742F1F" w:rsidRPr="00F3350F">
        <w:t>nspection</w:t>
      </w:r>
      <w:r w:rsidRPr="00F3350F">
        <w:t xml:space="preserve"> Procedures</w:t>
      </w:r>
      <w:bookmarkEnd w:id="273"/>
    </w:p>
    <w:p w14:paraId="76915F59" w14:textId="17F1C452" w:rsidR="00742F1F" w:rsidRPr="00F3350F" w:rsidRDefault="00742F1F" w:rsidP="00B6697F">
      <w:r w:rsidRPr="00F3350F">
        <w:t xml:space="preserve">Details: </w:t>
      </w:r>
      <w:r w:rsidR="00765061" w:rsidRPr="00F3350F">
        <w:t xml:space="preserve">Programs should disclose what visual inspection </w:t>
      </w:r>
      <w:r w:rsidR="00922D91" w:rsidRPr="00F3350F">
        <w:t xml:space="preserve">procedures, if any, are </w:t>
      </w:r>
      <w:r w:rsidR="005758A5" w:rsidRPr="00F3350F">
        <w:t>prescribed</w:t>
      </w:r>
      <w:r w:rsidR="00922D91" w:rsidRPr="00F3350F">
        <w:t xml:space="preserve">. </w:t>
      </w:r>
      <w:r w:rsidR="00D11FFC" w:rsidRPr="00F3350F">
        <w:t>S</w:t>
      </w:r>
      <w:r w:rsidRPr="00F3350F">
        <w:t>ite inspection</w:t>
      </w:r>
      <w:r w:rsidR="00D11FFC" w:rsidRPr="00F3350F">
        <w:t>s</w:t>
      </w:r>
      <w:r w:rsidRPr="00F3350F">
        <w:t xml:space="preserve"> </w:t>
      </w:r>
      <w:r w:rsidR="00D11FFC" w:rsidRPr="00F3350F">
        <w:t xml:space="preserve">may </w:t>
      </w:r>
      <w:r w:rsidRPr="00F3350F">
        <w:t xml:space="preserve">be </w:t>
      </w:r>
      <w:r w:rsidR="00B8356B" w:rsidRPr="00F3350F">
        <w:t xml:space="preserve">utilized </w:t>
      </w:r>
      <w:r w:rsidR="0089472E" w:rsidRPr="00F3350F">
        <w:t xml:space="preserve">either pre-implementation or post-implementation (or both) to </w:t>
      </w:r>
      <w:r w:rsidR="00EF62C2" w:rsidRPr="00F3350F">
        <w:t>ensure expected savings are realized.</w:t>
      </w:r>
      <w:r w:rsidR="00B8356B" w:rsidRPr="00F3350F">
        <w:t xml:space="preserve"> </w:t>
      </w:r>
      <w:r w:rsidR="005758A5" w:rsidRPr="00F3350F">
        <w:t xml:space="preserve">In addition, PG&amp;E reserves the right </w:t>
      </w:r>
      <w:r w:rsidRPr="00F3350F">
        <w:t xml:space="preserve">to verify </w:t>
      </w:r>
      <w:r w:rsidR="005758A5" w:rsidRPr="00F3350F">
        <w:t xml:space="preserve">the presence or absence of </w:t>
      </w:r>
      <w:r w:rsidRPr="00F3350F">
        <w:t>equipment</w:t>
      </w:r>
      <w:r w:rsidR="005758A5" w:rsidRPr="00F3350F">
        <w:t>,</w:t>
      </w:r>
      <w:r w:rsidRPr="00F3350F">
        <w:t xml:space="preserve"> </w:t>
      </w:r>
      <w:r w:rsidR="005758A5" w:rsidRPr="00F3350F">
        <w:t xml:space="preserve">confirm any </w:t>
      </w:r>
      <w:r w:rsidRPr="00F3350F">
        <w:t>loads on the equipment</w:t>
      </w:r>
      <w:r w:rsidR="005758A5" w:rsidRPr="00F3350F">
        <w:t>, and contact the customer to confirm savings are being realized and program dollars are well-spent.</w:t>
      </w:r>
    </w:p>
    <w:p w14:paraId="22C3AEE6" w14:textId="77777777" w:rsidR="002B129D" w:rsidRPr="00F3350F" w:rsidRDefault="002B129D" w:rsidP="00B6697F"/>
    <w:p w14:paraId="26FFA27D" w14:textId="481970EA" w:rsidR="00742F1F" w:rsidRPr="00F3350F" w:rsidRDefault="00742F1F" w:rsidP="00B6697F">
      <w:r w:rsidRPr="00F3350F">
        <w:t xml:space="preserve">Effective Dates: </w:t>
      </w:r>
    </w:p>
    <w:p w14:paraId="38096163" w14:textId="1C663FF4" w:rsidR="00742F1F" w:rsidRPr="00F3350F" w:rsidRDefault="002B129D" w:rsidP="00B6697F">
      <w:r w:rsidRPr="00F3350F">
        <w:t xml:space="preserve">Rule Source: </w:t>
      </w:r>
    </w:p>
    <w:p w14:paraId="02494EE0" w14:textId="77777777" w:rsidR="00742F1F" w:rsidRPr="00F3350F" w:rsidRDefault="00742F1F" w:rsidP="00B6697F"/>
    <w:p w14:paraId="0466385E" w14:textId="77777777" w:rsidR="007F49EC" w:rsidRPr="00F3350F" w:rsidRDefault="007F49EC" w:rsidP="00B6697F"/>
    <w:p w14:paraId="6B699B41" w14:textId="31053610" w:rsidR="004D3B82" w:rsidRPr="00F3350F" w:rsidRDefault="00C20AE7" w:rsidP="00B6697F">
      <w:pPr>
        <w:pStyle w:val="Heading1"/>
      </w:pPr>
      <w:bookmarkStart w:id="274" w:name="_Toc432446732"/>
      <w:bookmarkStart w:id="275" w:name="_Toc432447033"/>
      <w:bookmarkStart w:id="276" w:name="_Toc432447823"/>
      <w:bookmarkStart w:id="277" w:name="_Toc432446734"/>
      <w:bookmarkStart w:id="278" w:name="_Toc432447035"/>
      <w:bookmarkStart w:id="279" w:name="_Toc432447825"/>
      <w:bookmarkStart w:id="280" w:name="_Toc432446735"/>
      <w:bookmarkStart w:id="281" w:name="_Toc432447036"/>
      <w:bookmarkStart w:id="282" w:name="_Toc432447826"/>
      <w:bookmarkStart w:id="283" w:name="_Toc496784491"/>
      <w:bookmarkEnd w:id="274"/>
      <w:bookmarkEnd w:id="275"/>
      <w:bookmarkEnd w:id="276"/>
      <w:bookmarkEnd w:id="277"/>
      <w:bookmarkEnd w:id="278"/>
      <w:bookmarkEnd w:id="279"/>
      <w:bookmarkEnd w:id="280"/>
      <w:bookmarkEnd w:id="281"/>
      <w:bookmarkEnd w:id="282"/>
      <w:r w:rsidRPr="00F3350F">
        <w:t xml:space="preserve">Regulatory Compliance and </w:t>
      </w:r>
      <w:r w:rsidR="004D3B82" w:rsidRPr="00F3350F">
        <w:t>Reporting</w:t>
      </w:r>
      <w:bookmarkEnd w:id="283"/>
    </w:p>
    <w:p w14:paraId="4928FB62" w14:textId="0F19BAD5" w:rsidR="008F4DDD" w:rsidRPr="00F3350F" w:rsidRDefault="008F4DDD" w:rsidP="004E26B4"/>
    <w:p w14:paraId="4BDA2E01" w14:textId="2DBD6556" w:rsidR="008F4DDD" w:rsidRPr="00F3350F" w:rsidRDefault="008F4DDD" w:rsidP="009E7ABC">
      <w:pPr>
        <w:pStyle w:val="Heading3"/>
        <w:numPr>
          <w:ilvl w:val="1"/>
          <w:numId w:val="2"/>
        </w:numPr>
        <w:ind w:left="720" w:hanging="720"/>
      </w:pPr>
      <w:bookmarkStart w:id="284" w:name="_Toc496784492"/>
      <w:r w:rsidRPr="00F3350F">
        <w:t>Timing of Payments and Claims</w:t>
      </w:r>
      <w:bookmarkEnd w:id="284"/>
    </w:p>
    <w:p w14:paraId="4A6AEC46" w14:textId="6567B8AC" w:rsidR="008F4DDD" w:rsidRPr="00F3350F" w:rsidRDefault="008F4DDD" w:rsidP="008F4DDD">
      <w:r w:rsidRPr="00F3350F">
        <w:t>Details</w:t>
      </w:r>
      <w:r w:rsidRPr="00F3350F">
        <w:rPr>
          <w:b/>
        </w:rPr>
        <w:t>:</w:t>
      </w:r>
      <w:r w:rsidRPr="00F3350F">
        <w:t xml:space="preserve"> </w:t>
      </w:r>
      <w:r w:rsidRPr="00F3350F">
        <w:rPr>
          <w:rFonts w:asciiTheme="minorHAnsi" w:eastAsiaTheme="minorHAnsi" w:hAnsiTheme="minorHAnsi" w:cstheme="minorBidi"/>
        </w:rPr>
        <w:t xml:space="preserve">Programs must provide a schedule of when </w:t>
      </w:r>
      <w:r w:rsidR="00AB3571" w:rsidRPr="00F3350F">
        <w:rPr>
          <w:rFonts w:asciiTheme="minorHAnsi" w:eastAsiaTheme="minorHAnsi" w:hAnsiTheme="minorHAnsi" w:cstheme="minorBidi"/>
        </w:rPr>
        <w:t xml:space="preserve">payments and </w:t>
      </w:r>
      <w:r w:rsidRPr="00F3350F">
        <w:rPr>
          <w:rFonts w:asciiTheme="minorHAnsi" w:eastAsiaTheme="minorHAnsi" w:hAnsiTheme="minorHAnsi" w:cstheme="minorBidi"/>
        </w:rPr>
        <w:t>claims will be made. Payments tied to performance should be made after at least a sufficient amount of monitoring time, and within a reasonable amount of time of implementation</w:t>
      </w:r>
      <w:r w:rsidR="007F49EC" w:rsidRPr="00F3350F">
        <w:rPr>
          <w:rFonts w:asciiTheme="minorHAnsi" w:eastAsiaTheme="minorHAnsi" w:hAnsiTheme="minorHAnsi" w:cstheme="minorBidi"/>
        </w:rPr>
        <w:t>, so that the risk of over or underpayment for claimable savings is mitigated. Programs will likely</w:t>
      </w:r>
      <w:r w:rsidRPr="00F3350F">
        <w:rPr>
          <w:rFonts w:asciiTheme="minorHAnsi" w:eastAsiaTheme="minorHAnsi" w:hAnsiTheme="minorHAnsi" w:cstheme="minorBidi"/>
        </w:rPr>
        <w:t xml:space="preserve"> vary the interval lengths</w:t>
      </w:r>
      <w:r w:rsidR="007F49EC" w:rsidRPr="00F3350F">
        <w:rPr>
          <w:rFonts w:asciiTheme="minorHAnsi" w:eastAsiaTheme="minorHAnsi" w:hAnsiTheme="minorHAnsi" w:cstheme="minorBidi"/>
        </w:rPr>
        <w:t xml:space="preserve"> based on the budget and nature of the interventions</w:t>
      </w:r>
      <w:r w:rsidRPr="00F3350F">
        <w:rPr>
          <w:rFonts w:asciiTheme="minorHAnsi" w:eastAsiaTheme="minorHAnsi" w:hAnsiTheme="minorHAnsi" w:cstheme="minorBidi"/>
        </w:rPr>
        <w:t>. Consideration should be given to the nature of the measures installed (e.g., weather-dependent energy savings should include heating and cooling seasons in determining the measurement payment period). Conversely, measures that affect only baseload may only require three months for payment determination, but the energy savings determination should be trued up at the end of the requisite measurement period to verify persistence of savings.</w:t>
      </w:r>
    </w:p>
    <w:p w14:paraId="5EE7A4C1" w14:textId="77777777" w:rsidR="007F49EC" w:rsidRPr="00F3350F" w:rsidRDefault="007F49EC" w:rsidP="007F49EC"/>
    <w:p w14:paraId="77A86C88" w14:textId="77777777" w:rsidR="007F49EC" w:rsidRPr="00F3350F" w:rsidRDefault="007F49EC" w:rsidP="007F49EC">
      <w:r w:rsidRPr="00F3350F">
        <w:t xml:space="preserve">Effective Dates: </w:t>
      </w:r>
    </w:p>
    <w:p w14:paraId="1358973E" w14:textId="77777777" w:rsidR="007F49EC" w:rsidRPr="00F3350F" w:rsidRDefault="007F49EC" w:rsidP="007F49EC">
      <w:r w:rsidRPr="00F3350F">
        <w:t>Rule Source: N/A</w:t>
      </w:r>
    </w:p>
    <w:p w14:paraId="1E9A848C" w14:textId="77777777" w:rsidR="004E26B4" w:rsidRPr="00F3350F" w:rsidRDefault="004E26B4" w:rsidP="004E26B4"/>
    <w:p w14:paraId="14F3A9C7" w14:textId="308FD2A4" w:rsidR="004E26B4" w:rsidRPr="00F3350F" w:rsidRDefault="004E26B4" w:rsidP="009E7ABC">
      <w:pPr>
        <w:pStyle w:val="Heading3"/>
        <w:numPr>
          <w:ilvl w:val="1"/>
          <w:numId w:val="2"/>
        </w:numPr>
        <w:ind w:left="720" w:hanging="720"/>
      </w:pPr>
      <w:bookmarkStart w:id="285" w:name="_Toc496784493"/>
      <w:r w:rsidRPr="00F3350F">
        <w:t>System</w:t>
      </w:r>
      <w:r w:rsidR="00AB3571" w:rsidRPr="00F3350F">
        <w:t>s</w:t>
      </w:r>
      <w:r w:rsidRPr="00F3350F">
        <w:t xml:space="preserve"> of </w:t>
      </w:r>
      <w:r w:rsidR="00AB3571" w:rsidRPr="00F3350F">
        <w:t>Record</w:t>
      </w:r>
      <w:bookmarkEnd w:id="285"/>
    </w:p>
    <w:p w14:paraId="2825F562" w14:textId="1B8CFAA9" w:rsidR="004E26B4" w:rsidRPr="00F3350F" w:rsidRDefault="004E26B4" w:rsidP="004E26B4">
      <w:pPr>
        <w:rPr>
          <w:rFonts w:asciiTheme="minorHAnsi" w:eastAsiaTheme="minorHAnsi" w:hAnsiTheme="minorHAnsi" w:cstheme="minorBidi"/>
        </w:rPr>
      </w:pPr>
      <w:r w:rsidRPr="00F3350F">
        <w:t xml:space="preserve">Details: </w:t>
      </w:r>
      <w:r w:rsidRPr="00F3350F">
        <w:rPr>
          <w:rFonts w:asciiTheme="minorHAnsi" w:eastAsiaTheme="minorHAnsi" w:hAnsiTheme="minorHAnsi" w:cstheme="minorBidi"/>
        </w:rPr>
        <w:t>All data needed for program evaluation must be contained on PG&amp;E servers</w:t>
      </w:r>
      <w:r w:rsidR="00CB5E4B" w:rsidRPr="00F3350F">
        <w:rPr>
          <w:rFonts w:asciiTheme="minorHAnsi" w:eastAsiaTheme="minorHAnsi" w:hAnsiTheme="minorHAnsi" w:cstheme="minorBidi"/>
        </w:rPr>
        <w:t xml:space="preserve"> before a claim is made</w:t>
      </w:r>
      <w:r w:rsidRPr="00F3350F">
        <w:rPr>
          <w:rFonts w:asciiTheme="minorHAnsi" w:eastAsiaTheme="minorHAnsi" w:hAnsiTheme="minorHAnsi" w:cstheme="minorBidi"/>
        </w:rPr>
        <w:t>.</w:t>
      </w:r>
      <w:r w:rsidR="00A515FF" w:rsidRPr="00F3350F">
        <w:rPr>
          <w:rFonts w:asciiTheme="minorHAnsi" w:eastAsiaTheme="minorHAnsi" w:hAnsiTheme="minorHAnsi" w:cstheme="minorBidi"/>
        </w:rPr>
        <w:t xml:space="preserve"> Data stored in this manner should be sufficient to replicate savings results; neither PG&amp;E nor an evaluator should have to receive data from a third party in support of an impact evaluation.</w:t>
      </w:r>
    </w:p>
    <w:p w14:paraId="6901661C" w14:textId="77777777" w:rsidR="00A515FF" w:rsidRPr="00F3350F" w:rsidRDefault="00A515FF" w:rsidP="004E26B4">
      <w:pPr>
        <w:rPr>
          <w:rFonts w:asciiTheme="minorHAnsi" w:eastAsiaTheme="minorHAnsi" w:hAnsiTheme="minorHAnsi" w:cstheme="minorBidi"/>
        </w:rPr>
      </w:pPr>
    </w:p>
    <w:p w14:paraId="0946CF8F" w14:textId="7FA05AA8" w:rsidR="00A515FF" w:rsidRPr="00F3350F" w:rsidRDefault="004E26B4" w:rsidP="009E7ABC">
      <w:r w:rsidRPr="00F3350F">
        <w:t>Energy Insight</w:t>
      </w:r>
      <w:r w:rsidR="007F49EC" w:rsidRPr="00F3350F">
        <w:t xml:space="preserve"> (PG&amp;E’s project tracking database)</w:t>
      </w:r>
      <w:r w:rsidRPr="00F3350F">
        <w:t xml:space="preserve"> should house as much project specific information as possible</w:t>
      </w:r>
      <w:r w:rsidR="007F49EC" w:rsidRPr="00F3350F">
        <w:t xml:space="preserve"> to facilitate future evaluations</w:t>
      </w:r>
      <w:r w:rsidRPr="00F3350F">
        <w:t xml:space="preserve">. Larger amounts of tabulated data (e.g. interval-level savings determination, usage, </w:t>
      </w:r>
      <w:r w:rsidR="007F49EC" w:rsidRPr="00F3350F">
        <w:t>and weather</w:t>
      </w:r>
      <w:r w:rsidRPr="00F3350F">
        <w:t xml:space="preserve"> data) should be housed in Teradata</w:t>
      </w:r>
      <w:r w:rsidR="007F49EC" w:rsidRPr="00F3350F">
        <w:t xml:space="preserve"> (PG&amp;E’s data storage warehouse).</w:t>
      </w:r>
    </w:p>
    <w:p w14:paraId="3B54CC5D" w14:textId="77777777" w:rsidR="004E26B4" w:rsidRPr="00F3350F" w:rsidRDefault="004E26B4" w:rsidP="004E26B4"/>
    <w:p w14:paraId="3F30DA9C" w14:textId="77777777" w:rsidR="004E26B4" w:rsidRPr="00F3350F" w:rsidRDefault="004E26B4" w:rsidP="004E26B4">
      <w:r w:rsidRPr="00F3350F">
        <w:t xml:space="preserve">Effective Dates: </w:t>
      </w:r>
    </w:p>
    <w:p w14:paraId="503F6FCF" w14:textId="67479D84" w:rsidR="004E26B4" w:rsidRPr="00F3350F" w:rsidRDefault="004E26B4" w:rsidP="004E26B4">
      <w:r w:rsidRPr="00F3350F">
        <w:t xml:space="preserve">Rule Source: </w:t>
      </w:r>
      <w:r w:rsidR="007F49EC" w:rsidRPr="00F3350F">
        <w:t>N/A</w:t>
      </w:r>
    </w:p>
    <w:p w14:paraId="28DBBE5C" w14:textId="77777777" w:rsidR="004E26B4" w:rsidRPr="00F3350F" w:rsidRDefault="004E26B4" w:rsidP="004E26B4"/>
    <w:p w14:paraId="7CFB6062" w14:textId="69AA28B2" w:rsidR="004E26B4" w:rsidRPr="00F3350F" w:rsidRDefault="004E26B4" w:rsidP="009E7ABC">
      <w:pPr>
        <w:pStyle w:val="Heading3"/>
        <w:numPr>
          <w:ilvl w:val="1"/>
          <w:numId w:val="2"/>
        </w:numPr>
        <w:ind w:left="720" w:hanging="720"/>
      </w:pPr>
      <w:bookmarkStart w:id="286" w:name="_Toc496784494"/>
      <w:r w:rsidRPr="00F3350F">
        <w:t>Energy Insight</w:t>
      </w:r>
      <w:r w:rsidR="00642D35" w:rsidRPr="00F3350F">
        <w:t xml:space="preserve"> Documentation</w:t>
      </w:r>
      <w:bookmarkEnd w:id="286"/>
    </w:p>
    <w:p w14:paraId="3C19721D" w14:textId="77777777" w:rsidR="00061469" w:rsidRPr="00F3350F" w:rsidRDefault="004E26B4" w:rsidP="00061469">
      <w:r w:rsidRPr="00F3350F">
        <w:t xml:space="preserve">Details: </w:t>
      </w:r>
      <w:r w:rsidR="00061469" w:rsidRPr="00F3350F">
        <w:t xml:space="preserve">Data shall include: </w:t>
      </w:r>
    </w:p>
    <w:p w14:paraId="373BA7FD" w14:textId="45980FFE" w:rsidR="00061469" w:rsidRPr="00F3350F" w:rsidRDefault="00061469" w:rsidP="009E7ABC">
      <w:pPr>
        <w:pStyle w:val="ListParagraph"/>
        <w:numPr>
          <w:ilvl w:val="0"/>
          <w:numId w:val="46"/>
        </w:numPr>
      </w:pPr>
      <w:r w:rsidRPr="00F3350F">
        <w:t>Project ID, or other unique project identifier</w:t>
      </w:r>
    </w:p>
    <w:p w14:paraId="06A86C81" w14:textId="2147AFCA" w:rsidR="00061469" w:rsidRPr="00F3350F" w:rsidRDefault="00061469" w:rsidP="009E7ABC">
      <w:pPr>
        <w:pStyle w:val="ListParagraph"/>
        <w:numPr>
          <w:ilvl w:val="0"/>
          <w:numId w:val="46"/>
        </w:numPr>
      </w:pPr>
      <w:r w:rsidRPr="00F3350F">
        <w:t>Service Agreement ID</w:t>
      </w:r>
    </w:p>
    <w:p w14:paraId="0657514E" w14:textId="7D485839" w:rsidR="00061469" w:rsidRPr="00F3350F" w:rsidRDefault="00061469" w:rsidP="009E7ABC">
      <w:pPr>
        <w:pStyle w:val="ListParagraph"/>
        <w:numPr>
          <w:ilvl w:val="0"/>
          <w:numId w:val="46"/>
        </w:numPr>
      </w:pPr>
      <w:r w:rsidRPr="00F3350F">
        <w:t>Site contact’s name, address, email, and phone number</w:t>
      </w:r>
    </w:p>
    <w:p w14:paraId="5ED6D8E7" w14:textId="123002CF" w:rsidR="00061469" w:rsidRPr="00F3350F" w:rsidRDefault="00061469" w:rsidP="009E7ABC">
      <w:pPr>
        <w:pStyle w:val="ListParagraph"/>
        <w:numPr>
          <w:ilvl w:val="0"/>
          <w:numId w:val="46"/>
        </w:numPr>
      </w:pPr>
      <w:r w:rsidRPr="00F3350F">
        <w:t>Measures installed</w:t>
      </w:r>
    </w:p>
    <w:p w14:paraId="734BFF44" w14:textId="314A2894" w:rsidR="00061469" w:rsidRPr="00F3350F" w:rsidRDefault="00061469" w:rsidP="009E7ABC">
      <w:pPr>
        <w:pStyle w:val="ListParagraph"/>
        <w:numPr>
          <w:ilvl w:val="0"/>
          <w:numId w:val="46"/>
        </w:numPr>
      </w:pPr>
      <w:r w:rsidRPr="00F3350F">
        <w:lastRenderedPageBreak/>
        <w:t>Measure cost</w:t>
      </w:r>
    </w:p>
    <w:p w14:paraId="458CBC61" w14:textId="7187030F" w:rsidR="00061469" w:rsidRPr="00F3350F" w:rsidRDefault="00061469" w:rsidP="009E7ABC">
      <w:pPr>
        <w:pStyle w:val="ListParagraph"/>
        <w:numPr>
          <w:ilvl w:val="0"/>
          <w:numId w:val="46"/>
        </w:numPr>
      </w:pPr>
      <w:r w:rsidRPr="00F3350F">
        <w:t>Date measure implementation began</w:t>
      </w:r>
    </w:p>
    <w:p w14:paraId="4323A5A3" w14:textId="4005B935" w:rsidR="00061469" w:rsidRPr="00F3350F" w:rsidRDefault="00061469" w:rsidP="009E7ABC">
      <w:pPr>
        <w:pStyle w:val="ListParagraph"/>
        <w:numPr>
          <w:ilvl w:val="0"/>
          <w:numId w:val="46"/>
        </w:numPr>
      </w:pPr>
      <w:r w:rsidRPr="00F3350F">
        <w:t>Date measure implementation completed</w:t>
      </w:r>
    </w:p>
    <w:p w14:paraId="4996343B" w14:textId="77777777" w:rsidR="00061469" w:rsidRPr="00F3350F" w:rsidRDefault="00061469" w:rsidP="00061469"/>
    <w:p w14:paraId="225EA95B" w14:textId="77777777" w:rsidR="00061469" w:rsidRPr="00F3350F" w:rsidRDefault="00061469" w:rsidP="00061469">
      <w:r w:rsidRPr="00F3350F">
        <w:t>Each program must also document specific project information in Energy Insight for evaluation purposes. This information varies by program but serves to facilitate the program’s evaluation. Examples of such information may include:</w:t>
      </w:r>
    </w:p>
    <w:p w14:paraId="2493CD72" w14:textId="369EF109" w:rsidR="00061469" w:rsidRPr="00F3350F" w:rsidRDefault="00061469" w:rsidP="009E7ABC">
      <w:pPr>
        <w:pStyle w:val="ListParagraph"/>
        <w:numPr>
          <w:ilvl w:val="0"/>
          <w:numId w:val="46"/>
        </w:numPr>
      </w:pPr>
      <w:r w:rsidRPr="00F3350F">
        <w:t>Project cost (note: different from measure cost)</w:t>
      </w:r>
    </w:p>
    <w:p w14:paraId="553D4988" w14:textId="0A91A464" w:rsidR="00061469" w:rsidRPr="00F3350F" w:rsidRDefault="00061469" w:rsidP="009E7ABC">
      <w:pPr>
        <w:pStyle w:val="ListParagraph"/>
        <w:numPr>
          <w:ilvl w:val="0"/>
          <w:numId w:val="46"/>
        </w:numPr>
      </w:pPr>
      <w:r w:rsidRPr="00F3350F">
        <w:t>Year of building construction</w:t>
      </w:r>
    </w:p>
    <w:p w14:paraId="2B3ACC4F" w14:textId="105C33B3" w:rsidR="00061469" w:rsidRPr="00F3350F" w:rsidRDefault="00061469" w:rsidP="009E7ABC">
      <w:pPr>
        <w:pStyle w:val="ListParagraph"/>
        <w:numPr>
          <w:ilvl w:val="0"/>
          <w:numId w:val="46"/>
        </w:numPr>
      </w:pPr>
      <w:r w:rsidRPr="00F3350F">
        <w:t>Square footage</w:t>
      </w:r>
    </w:p>
    <w:p w14:paraId="09BCCDBE" w14:textId="3C380350" w:rsidR="00061469" w:rsidRPr="00F3350F" w:rsidRDefault="00061469" w:rsidP="009E7ABC">
      <w:pPr>
        <w:pStyle w:val="ListParagraph"/>
        <w:numPr>
          <w:ilvl w:val="0"/>
          <w:numId w:val="46"/>
        </w:numPr>
      </w:pPr>
      <w:r w:rsidRPr="00F3350F">
        <w:t>Contractor performing installation</w:t>
      </w:r>
    </w:p>
    <w:p w14:paraId="2B2D99BD" w14:textId="77777777" w:rsidR="00061469" w:rsidRPr="00F3350F" w:rsidRDefault="00061469" w:rsidP="00061469"/>
    <w:p w14:paraId="52AD7893" w14:textId="0F6FA57B" w:rsidR="004E26B4" w:rsidRPr="00F3350F" w:rsidRDefault="00061469" w:rsidP="00061469">
      <w:r w:rsidRPr="00F3350F">
        <w:t>Additional data collection requirements for evaluation purposes must be discussed and finalized prior to program launch and prior to any contract approval.</w:t>
      </w:r>
    </w:p>
    <w:p w14:paraId="63F78BAC" w14:textId="77777777" w:rsidR="004E26B4" w:rsidRPr="00F3350F" w:rsidRDefault="004E26B4" w:rsidP="004E26B4"/>
    <w:p w14:paraId="2AB63162" w14:textId="77777777" w:rsidR="004E26B4" w:rsidRPr="00F3350F" w:rsidRDefault="004E26B4" w:rsidP="004E26B4">
      <w:r w:rsidRPr="00F3350F">
        <w:t xml:space="preserve">Effective Dates: </w:t>
      </w:r>
    </w:p>
    <w:p w14:paraId="2A9145A9" w14:textId="31103A5F" w:rsidR="004E26B4" w:rsidRPr="00F3350F" w:rsidRDefault="004E26B4" w:rsidP="004E26B4">
      <w:r w:rsidRPr="00F3350F">
        <w:t xml:space="preserve">Rule Source: </w:t>
      </w:r>
      <w:r w:rsidR="00AB3571" w:rsidRPr="00F3350F">
        <w:t>N/A</w:t>
      </w:r>
    </w:p>
    <w:p w14:paraId="15EC47F8" w14:textId="77777777" w:rsidR="002B129D" w:rsidRPr="00F3350F" w:rsidRDefault="002B129D" w:rsidP="002B129D"/>
    <w:p w14:paraId="1C629D69" w14:textId="77777777" w:rsidR="00061469" w:rsidRPr="00F3350F" w:rsidRDefault="00061469" w:rsidP="00B6697F"/>
    <w:p w14:paraId="1FE3F14A" w14:textId="77777777" w:rsidR="00723589" w:rsidRPr="00F3350F" w:rsidRDefault="00723589" w:rsidP="00B6697F">
      <w:pPr>
        <w:pStyle w:val="Heading1"/>
      </w:pPr>
      <w:bookmarkStart w:id="287" w:name="_Toc496784495"/>
      <w:r w:rsidRPr="00F3350F">
        <w:t>Other</w:t>
      </w:r>
      <w:bookmarkEnd w:id="287"/>
    </w:p>
    <w:p w14:paraId="0E3D8044" w14:textId="77777777" w:rsidR="00061469" w:rsidRPr="00061469" w:rsidRDefault="00061469" w:rsidP="00061469"/>
    <w:p w14:paraId="264EA112" w14:textId="77777777" w:rsidR="00723589" w:rsidRPr="00CF0E01" w:rsidRDefault="00723589" w:rsidP="00B6697F">
      <w:bookmarkStart w:id="288" w:name="_Toc432446621"/>
      <w:bookmarkStart w:id="289" w:name="_Toc432446922"/>
      <w:bookmarkStart w:id="290" w:name="_Toc432447712"/>
      <w:bookmarkStart w:id="291" w:name="_Toc432446623"/>
      <w:bookmarkStart w:id="292" w:name="_Toc432446924"/>
      <w:bookmarkStart w:id="293" w:name="_Toc432447714"/>
      <w:bookmarkStart w:id="294" w:name="_Toc432446625"/>
      <w:bookmarkStart w:id="295" w:name="_Toc432446926"/>
      <w:bookmarkStart w:id="296" w:name="_Toc432447716"/>
      <w:bookmarkStart w:id="297" w:name="_Toc432446627"/>
      <w:bookmarkStart w:id="298" w:name="_Toc432446928"/>
      <w:bookmarkStart w:id="299" w:name="_Toc432447718"/>
      <w:bookmarkStart w:id="300" w:name="_Toc432446629"/>
      <w:bookmarkStart w:id="301" w:name="_Toc432446930"/>
      <w:bookmarkStart w:id="302" w:name="_Toc432447720"/>
      <w:bookmarkStart w:id="303" w:name="_Toc432446631"/>
      <w:bookmarkStart w:id="304" w:name="_Toc432446932"/>
      <w:bookmarkStart w:id="305" w:name="_Toc432447722"/>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sectPr w:rsidR="00723589" w:rsidRPr="00CF0E01" w:rsidSect="0069194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2B6E6" w14:textId="77777777" w:rsidR="00177330" w:rsidRDefault="00177330" w:rsidP="00B6697F">
      <w:r>
        <w:separator/>
      </w:r>
    </w:p>
  </w:endnote>
  <w:endnote w:type="continuationSeparator" w:id="0">
    <w:p w14:paraId="57412641" w14:textId="77777777" w:rsidR="00177330" w:rsidRDefault="00177330" w:rsidP="00B6697F">
      <w:r>
        <w:continuationSeparator/>
      </w:r>
    </w:p>
  </w:endnote>
  <w:endnote w:type="continuationNotice" w:id="1">
    <w:p w14:paraId="44C0847B" w14:textId="77777777" w:rsidR="00177330" w:rsidRDefault="00177330" w:rsidP="00B66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394E" w14:textId="77777777" w:rsidR="00177330" w:rsidRDefault="00177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5C82" w14:textId="7D34CCDA" w:rsidR="00177330" w:rsidRDefault="00177330" w:rsidP="00B6697F">
    <w:pPr>
      <w:pStyle w:val="Footer"/>
    </w:pPr>
    <w:r w:rsidRPr="00F51EB4">
      <w:t xml:space="preserve">PG&amp;E </w:t>
    </w:r>
    <w:r>
      <w:t>Meter-Based</w:t>
    </w:r>
    <w:r w:rsidRPr="00F51EB4">
      <w:t xml:space="preserve"> </w:t>
    </w:r>
    <w:r>
      <w:t xml:space="preserve">Platform Rulebook – DRAFT </w:t>
    </w:r>
    <w:r>
      <w:tab/>
    </w:r>
    <w:r>
      <w:fldChar w:fldCharType="begin"/>
    </w:r>
    <w:r>
      <w:instrText xml:space="preserve"> PAGE   \* MERGEFORMAT </w:instrText>
    </w:r>
    <w:r>
      <w:fldChar w:fldCharType="separate"/>
    </w:r>
    <w:r>
      <w:rPr>
        <w:noProof/>
      </w:rPr>
      <w:t>15</w:t>
    </w:r>
    <w:r>
      <w:rPr>
        <w:noProof/>
      </w:rPr>
      <w:fldChar w:fldCharType="end"/>
    </w:r>
  </w:p>
  <w:p w14:paraId="6C917DF8" w14:textId="7B590BD7" w:rsidR="00177330" w:rsidRPr="00A73B29" w:rsidRDefault="00177330" w:rsidP="00B6697F">
    <w:pPr>
      <w:pStyle w:val="Footer"/>
    </w:pPr>
    <w:r w:rsidRPr="007C3166">
      <w:t xml:space="preserve">Version </w:t>
    </w:r>
    <w:r>
      <w:t>0.5</w:t>
    </w:r>
    <w:r w:rsidRPr="007C3166">
      <w:t xml:space="preserve"> | </w:t>
    </w:r>
    <w:r>
      <w:t>October 26</w:t>
    </w:r>
    <w:r w:rsidRPr="007C3166">
      <w:t>, 201</w:t>
    </w:r>
    <w: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3AE7D" w14:textId="77777777" w:rsidR="00177330" w:rsidRDefault="00177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F0443" w14:textId="77777777" w:rsidR="00177330" w:rsidRDefault="00177330" w:rsidP="00B6697F">
      <w:r>
        <w:separator/>
      </w:r>
    </w:p>
  </w:footnote>
  <w:footnote w:type="continuationSeparator" w:id="0">
    <w:p w14:paraId="21627032" w14:textId="77777777" w:rsidR="00177330" w:rsidRDefault="00177330" w:rsidP="00B6697F">
      <w:r>
        <w:continuationSeparator/>
      </w:r>
    </w:p>
  </w:footnote>
  <w:footnote w:type="continuationNotice" w:id="1">
    <w:p w14:paraId="668F81A8" w14:textId="77777777" w:rsidR="00177330" w:rsidRDefault="00177330" w:rsidP="00B669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C8CD6" w14:textId="77777777" w:rsidR="00177330" w:rsidRDefault="00177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037697"/>
      <w:docPartObj>
        <w:docPartGallery w:val="Watermarks"/>
        <w:docPartUnique/>
      </w:docPartObj>
    </w:sdtPr>
    <w:sdtContent>
      <w:p w14:paraId="5FA990EE" w14:textId="03305C06" w:rsidR="00177330" w:rsidRDefault="00177330">
        <w:pPr>
          <w:pStyle w:val="Header"/>
        </w:pPr>
        <w:r>
          <w:rPr>
            <w:noProof/>
            <w:lang w:eastAsia="zh-TW"/>
          </w:rPr>
          <w:pict w14:anchorId="740C7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174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CE330" w14:textId="5A6872E4" w:rsidR="00177330" w:rsidRDefault="00177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4115"/>
    <w:multiLevelType w:val="hybridMultilevel"/>
    <w:tmpl w:val="F41ED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72391D"/>
    <w:multiLevelType w:val="hybridMultilevel"/>
    <w:tmpl w:val="89063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195796"/>
    <w:multiLevelType w:val="hybridMultilevel"/>
    <w:tmpl w:val="9A9C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223A5"/>
    <w:multiLevelType w:val="hybridMultilevel"/>
    <w:tmpl w:val="AF68C3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C8A5B20">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368FC"/>
    <w:multiLevelType w:val="hybridMultilevel"/>
    <w:tmpl w:val="C6AEA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31028F4"/>
    <w:multiLevelType w:val="multilevel"/>
    <w:tmpl w:val="803C1F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DD12F44"/>
    <w:multiLevelType w:val="hybridMultilevel"/>
    <w:tmpl w:val="E9BC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14CD1"/>
    <w:multiLevelType w:val="hybridMultilevel"/>
    <w:tmpl w:val="F53C9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338020F"/>
    <w:multiLevelType w:val="hybridMultilevel"/>
    <w:tmpl w:val="0726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92314"/>
    <w:multiLevelType w:val="hybridMultilevel"/>
    <w:tmpl w:val="9282E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37F84"/>
    <w:multiLevelType w:val="hybridMultilevel"/>
    <w:tmpl w:val="05749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41E8F"/>
    <w:multiLevelType w:val="hybridMultilevel"/>
    <w:tmpl w:val="1604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C55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8EF3B23"/>
    <w:multiLevelType w:val="hybridMultilevel"/>
    <w:tmpl w:val="F334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B135F"/>
    <w:multiLevelType w:val="hybridMultilevel"/>
    <w:tmpl w:val="892E2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9779F"/>
    <w:multiLevelType w:val="hybridMultilevel"/>
    <w:tmpl w:val="E0189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D1073D"/>
    <w:multiLevelType w:val="hybridMultilevel"/>
    <w:tmpl w:val="A7946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A61679"/>
    <w:multiLevelType w:val="hybridMultilevel"/>
    <w:tmpl w:val="98849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6943E3"/>
    <w:multiLevelType w:val="hybridMultilevel"/>
    <w:tmpl w:val="44921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15E48"/>
    <w:multiLevelType w:val="hybridMultilevel"/>
    <w:tmpl w:val="4BB83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D6B97"/>
    <w:multiLevelType w:val="hybridMultilevel"/>
    <w:tmpl w:val="79402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F814D7"/>
    <w:multiLevelType w:val="hybridMultilevel"/>
    <w:tmpl w:val="7DA6EC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3156BEB"/>
    <w:multiLevelType w:val="multilevel"/>
    <w:tmpl w:val="17DA8B0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0E413C"/>
    <w:multiLevelType w:val="hybridMultilevel"/>
    <w:tmpl w:val="A9546B2C"/>
    <w:lvl w:ilvl="0" w:tplc="13C60420">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69150DF2"/>
    <w:multiLevelType w:val="hybridMultilevel"/>
    <w:tmpl w:val="168A12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0B224C"/>
    <w:multiLevelType w:val="hybridMultilevel"/>
    <w:tmpl w:val="F4A4D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603DE"/>
    <w:multiLevelType w:val="hybridMultilevel"/>
    <w:tmpl w:val="44DC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8"/>
  </w:num>
  <w:num w:numId="4">
    <w:abstractNumId w:val="1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4"/>
  </w:num>
  <w:num w:numId="8">
    <w:abstractNumId w:val="0"/>
  </w:num>
  <w:num w:numId="9">
    <w:abstractNumId w:val="7"/>
  </w:num>
  <w:num w:numId="10">
    <w:abstractNumId w:val="21"/>
  </w:num>
  <w:num w:numId="11">
    <w:abstractNumId w:val="17"/>
  </w:num>
  <w:num w:numId="12">
    <w:abstractNumId w:val="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3"/>
  </w:num>
  <w:num w:numId="26">
    <w:abstractNumId w:val="19"/>
  </w:num>
  <w:num w:numId="27">
    <w:abstractNumId w:val="15"/>
  </w:num>
  <w:num w:numId="28">
    <w:abstractNumId w:val="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6"/>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0"/>
  </w:num>
  <w:num w:numId="45">
    <w:abstractNumId w:val="20"/>
  </w:num>
  <w:num w:numId="46">
    <w:abstractNumId w:val="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14"/>
  </w:num>
  <w:num w:numId="61">
    <w:abstractNumId w:val="13"/>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hdrShapeDefaults>
    <o:shapedefaults v:ext="edit" spidmax="31748"/>
    <o:shapelayout v:ext="edit">
      <o:idmap v:ext="edit" data="3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F2"/>
    <w:rsid w:val="000019B1"/>
    <w:rsid w:val="000058F7"/>
    <w:rsid w:val="00005C3B"/>
    <w:rsid w:val="0000713C"/>
    <w:rsid w:val="000100BB"/>
    <w:rsid w:val="0001092D"/>
    <w:rsid w:val="00011B7A"/>
    <w:rsid w:val="00012980"/>
    <w:rsid w:val="0001363F"/>
    <w:rsid w:val="0001393E"/>
    <w:rsid w:val="00014B64"/>
    <w:rsid w:val="00015015"/>
    <w:rsid w:val="00022991"/>
    <w:rsid w:val="00023EC1"/>
    <w:rsid w:val="0002601C"/>
    <w:rsid w:val="000278F2"/>
    <w:rsid w:val="000300EB"/>
    <w:rsid w:val="0003155D"/>
    <w:rsid w:val="000316A2"/>
    <w:rsid w:val="00031F9D"/>
    <w:rsid w:val="000320F9"/>
    <w:rsid w:val="000346C1"/>
    <w:rsid w:val="00035402"/>
    <w:rsid w:val="0003563C"/>
    <w:rsid w:val="00035739"/>
    <w:rsid w:val="00035D86"/>
    <w:rsid w:val="0004190F"/>
    <w:rsid w:val="00041C7C"/>
    <w:rsid w:val="0004361A"/>
    <w:rsid w:val="00044E99"/>
    <w:rsid w:val="00046616"/>
    <w:rsid w:val="000523CF"/>
    <w:rsid w:val="000538F2"/>
    <w:rsid w:val="00054A1F"/>
    <w:rsid w:val="00061469"/>
    <w:rsid w:val="00063E62"/>
    <w:rsid w:val="000654D2"/>
    <w:rsid w:val="00066A08"/>
    <w:rsid w:val="00067424"/>
    <w:rsid w:val="00070FD9"/>
    <w:rsid w:val="000729E3"/>
    <w:rsid w:val="00073462"/>
    <w:rsid w:val="000737A1"/>
    <w:rsid w:val="00076F08"/>
    <w:rsid w:val="00076F6F"/>
    <w:rsid w:val="000776DF"/>
    <w:rsid w:val="0008172E"/>
    <w:rsid w:val="00083F79"/>
    <w:rsid w:val="000848A0"/>
    <w:rsid w:val="00087492"/>
    <w:rsid w:val="00087D46"/>
    <w:rsid w:val="00087E1C"/>
    <w:rsid w:val="00091BE8"/>
    <w:rsid w:val="000972CE"/>
    <w:rsid w:val="000975FB"/>
    <w:rsid w:val="0009782E"/>
    <w:rsid w:val="000A0C0E"/>
    <w:rsid w:val="000A3339"/>
    <w:rsid w:val="000A3BD4"/>
    <w:rsid w:val="000A6CBF"/>
    <w:rsid w:val="000B07A2"/>
    <w:rsid w:val="000B0C27"/>
    <w:rsid w:val="000B1C4D"/>
    <w:rsid w:val="000B1E4C"/>
    <w:rsid w:val="000B252C"/>
    <w:rsid w:val="000C1AD7"/>
    <w:rsid w:val="000C4547"/>
    <w:rsid w:val="000D1591"/>
    <w:rsid w:val="000D2189"/>
    <w:rsid w:val="000D246D"/>
    <w:rsid w:val="000D3413"/>
    <w:rsid w:val="000D5080"/>
    <w:rsid w:val="000D57C3"/>
    <w:rsid w:val="000D7385"/>
    <w:rsid w:val="000D79FD"/>
    <w:rsid w:val="000E1639"/>
    <w:rsid w:val="000E170D"/>
    <w:rsid w:val="000E1BC6"/>
    <w:rsid w:val="000E1C0E"/>
    <w:rsid w:val="000E34A3"/>
    <w:rsid w:val="000E537D"/>
    <w:rsid w:val="000E6803"/>
    <w:rsid w:val="000F019C"/>
    <w:rsid w:val="000F09AC"/>
    <w:rsid w:val="000F195A"/>
    <w:rsid w:val="000F3AFD"/>
    <w:rsid w:val="000F3F45"/>
    <w:rsid w:val="000F5620"/>
    <w:rsid w:val="000F5A20"/>
    <w:rsid w:val="0010260C"/>
    <w:rsid w:val="00102A93"/>
    <w:rsid w:val="00103312"/>
    <w:rsid w:val="00106D12"/>
    <w:rsid w:val="00111D2C"/>
    <w:rsid w:val="0011236C"/>
    <w:rsid w:val="00113453"/>
    <w:rsid w:val="0011536B"/>
    <w:rsid w:val="00115CD2"/>
    <w:rsid w:val="0011638A"/>
    <w:rsid w:val="001167D8"/>
    <w:rsid w:val="00116A61"/>
    <w:rsid w:val="00117105"/>
    <w:rsid w:val="001245AA"/>
    <w:rsid w:val="001270C6"/>
    <w:rsid w:val="00131B05"/>
    <w:rsid w:val="00135BA8"/>
    <w:rsid w:val="00135C8D"/>
    <w:rsid w:val="001364D3"/>
    <w:rsid w:val="001370A6"/>
    <w:rsid w:val="001445DA"/>
    <w:rsid w:val="0014490C"/>
    <w:rsid w:val="00146FDD"/>
    <w:rsid w:val="00152A7C"/>
    <w:rsid w:val="001568BD"/>
    <w:rsid w:val="00157453"/>
    <w:rsid w:val="0016047D"/>
    <w:rsid w:val="001611AE"/>
    <w:rsid w:val="00165D01"/>
    <w:rsid w:val="0016605A"/>
    <w:rsid w:val="001733E6"/>
    <w:rsid w:val="001753AD"/>
    <w:rsid w:val="00175A33"/>
    <w:rsid w:val="00176B06"/>
    <w:rsid w:val="00176C8F"/>
    <w:rsid w:val="00177319"/>
    <w:rsid w:val="00177330"/>
    <w:rsid w:val="001824C0"/>
    <w:rsid w:val="00184CB6"/>
    <w:rsid w:val="00184D2F"/>
    <w:rsid w:val="00185E6B"/>
    <w:rsid w:val="00186165"/>
    <w:rsid w:val="00186808"/>
    <w:rsid w:val="00187A6A"/>
    <w:rsid w:val="00190EBF"/>
    <w:rsid w:val="0019120A"/>
    <w:rsid w:val="0019257B"/>
    <w:rsid w:val="00193AC4"/>
    <w:rsid w:val="0019448D"/>
    <w:rsid w:val="00194F01"/>
    <w:rsid w:val="001950C8"/>
    <w:rsid w:val="001958DC"/>
    <w:rsid w:val="00195F81"/>
    <w:rsid w:val="00197FEA"/>
    <w:rsid w:val="001A08E4"/>
    <w:rsid w:val="001A3B81"/>
    <w:rsid w:val="001B09B3"/>
    <w:rsid w:val="001B49F1"/>
    <w:rsid w:val="001B4A47"/>
    <w:rsid w:val="001B5BA8"/>
    <w:rsid w:val="001B6BC8"/>
    <w:rsid w:val="001B7100"/>
    <w:rsid w:val="001B7294"/>
    <w:rsid w:val="001C20D4"/>
    <w:rsid w:val="001C24AF"/>
    <w:rsid w:val="001C4BD1"/>
    <w:rsid w:val="001C7388"/>
    <w:rsid w:val="001D3480"/>
    <w:rsid w:val="001D5C8B"/>
    <w:rsid w:val="001D7BF1"/>
    <w:rsid w:val="001E00DE"/>
    <w:rsid w:val="001E0D3E"/>
    <w:rsid w:val="001E10CF"/>
    <w:rsid w:val="001E18AB"/>
    <w:rsid w:val="001E4F03"/>
    <w:rsid w:val="001E666F"/>
    <w:rsid w:val="001E6C77"/>
    <w:rsid w:val="001F2C11"/>
    <w:rsid w:val="001F359F"/>
    <w:rsid w:val="001F5168"/>
    <w:rsid w:val="001F6CF5"/>
    <w:rsid w:val="001F7C68"/>
    <w:rsid w:val="001F7F5A"/>
    <w:rsid w:val="00200ECD"/>
    <w:rsid w:val="002014EA"/>
    <w:rsid w:val="00201FD2"/>
    <w:rsid w:val="00202C8A"/>
    <w:rsid w:val="00210376"/>
    <w:rsid w:val="002121EF"/>
    <w:rsid w:val="00212733"/>
    <w:rsid w:val="00213541"/>
    <w:rsid w:val="00213611"/>
    <w:rsid w:val="0021377C"/>
    <w:rsid w:val="00217828"/>
    <w:rsid w:val="00220B38"/>
    <w:rsid w:val="00223552"/>
    <w:rsid w:val="00223FE2"/>
    <w:rsid w:val="0022434F"/>
    <w:rsid w:val="002246BF"/>
    <w:rsid w:val="00224FC7"/>
    <w:rsid w:val="00226AC1"/>
    <w:rsid w:val="00226E49"/>
    <w:rsid w:val="00233962"/>
    <w:rsid w:val="002343E3"/>
    <w:rsid w:val="00234991"/>
    <w:rsid w:val="00234E02"/>
    <w:rsid w:val="0024057E"/>
    <w:rsid w:val="002405BE"/>
    <w:rsid w:val="002438CD"/>
    <w:rsid w:val="00243E93"/>
    <w:rsid w:val="00243EE1"/>
    <w:rsid w:val="00244607"/>
    <w:rsid w:val="00245CF2"/>
    <w:rsid w:val="002466B4"/>
    <w:rsid w:val="002505A6"/>
    <w:rsid w:val="00250D58"/>
    <w:rsid w:val="00250FA5"/>
    <w:rsid w:val="002529DD"/>
    <w:rsid w:val="00253588"/>
    <w:rsid w:val="002539CA"/>
    <w:rsid w:val="002602FB"/>
    <w:rsid w:val="00261241"/>
    <w:rsid w:val="00264E98"/>
    <w:rsid w:val="00265AF3"/>
    <w:rsid w:val="00266AEA"/>
    <w:rsid w:val="002737A8"/>
    <w:rsid w:val="00273DAA"/>
    <w:rsid w:val="002747B0"/>
    <w:rsid w:val="0027490C"/>
    <w:rsid w:val="002760A5"/>
    <w:rsid w:val="002765C9"/>
    <w:rsid w:val="00276BD2"/>
    <w:rsid w:val="002772AE"/>
    <w:rsid w:val="00277779"/>
    <w:rsid w:val="002804B3"/>
    <w:rsid w:val="00281A83"/>
    <w:rsid w:val="00282165"/>
    <w:rsid w:val="00283CC5"/>
    <w:rsid w:val="002853F1"/>
    <w:rsid w:val="00286C4A"/>
    <w:rsid w:val="0029015C"/>
    <w:rsid w:val="00292D4B"/>
    <w:rsid w:val="002A11C1"/>
    <w:rsid w:val="002A1BF4"/>
    <w:rsid w:val="002A2628"/>
    <w:rsid w:val="002A3284"/>
    <w:rsid w:val="002A4B4D"/>
    <w:rsid w:val="002A59D5"/>
    <w:rsid w:val="002A7034"/>
    <w:rsid w:val="002B129D"/>
    <w:rsid w:val="002B239C"/>
    <w:rsid w:val="002B5163"/>
    <w:rsid w:val="002B567E"/>
    <w:rsid w:val="002B572D"/>
    <w:rsid w:val="002B77F9"/>
    <w:rsid w:val="002B7895"/>
    <w:rsid w:val="002C0802"/>
    <w:rsid w:val="002C0844"/>
    <w:rsid w:val="002C1F1A"/>
    <w:rsid w:val="002C3128"/>
    <w:rsid w:val="002C41BB"/>
    <w:rsid w:val="002C6617"/>
    <w:rsid w:val="002C6F58"/>
    <w:rsid w:val="002C70B5"/>
    <w:rsid w:val="002D01C3"/>
    <w:rsid w:val="002D1579"/>
    <w:rsid w:val="002D15C7"/>
    <w:rsid w:val="002D1820"/>
    <w:rsid w:val="002D1D89"/>
    <w:rsid w:val="002D2998"/>
    <w:rsid w:val="002D3804"/>
    <w:rsid w:val="002D60AF"/>
    <w:rsid w:val="002D7FBE"/>
    <w:rsid w:val="002E2A95"/>
    <w:rsid w:val="002E41EA"/>
    <w:rsid w:val="002E427A"/>
    <w:rsid w:val="002E5D59"/>
    <w:rsid w:val="002E6578"/>
    <w:rsid w:val="002E76EB"/>
    <w:rsid w:val="002F006D"/>
    <w:rsid w:val="002F0EB6"/>
    <w:rsid w:val="002F4BF5"/>
    <w:rsid w:val="00301FD2"/>
    <w:rsid w:val="00303D0D"/>
    <w:rsid w:val="0030642A"/>
    <w:rsid w:val="003118AA"/>
    <w:rsid w:val="00313093"/>
    <w:rsid w:val="003131DE"/>
    <w:rsid w:val="0031357D"/>
    <w:rsid w:val="00315A94"/>
    <w:rsid w:val="0031695E"/>
    <w:rsid w:val="003216C3"/>
    <w:rsid w:val="00321EEF"/>
    <w:rsid w:val="00322088"/>
    <w:rsid w:val="003231A2"/>
    <w:rsid w:val="00324F61"/>
    <w:rsid w:val="0032793C"/>
    <w:rsid w:val="00330CD4"/>
    <w:rsid w:val="00333AC9"/>
    <w:rsid w:val="00340CC2"/>
    <w:rsid w:val="00342D7A"/>
    <w:rsid w:val="00342D87"/>
    <w:rsid w:val="00344E29"/>
    <w:rsid w:val="00346A98"/>
    <w:rsid w:val="00346CA1"/>
    <w:rsid w:val="0034784E"/>
    <w:rsid w:val="00352428"/>
    <w:rsid w:val="0035260D"/>
    <w:rsid w:val="003528C9"/>
    <w:rsid w:val="003565BE"/>
    <w:rsid w:val="003611CC"/>
    <w:rsid w:val="00367A2F"/>
    <w:rsid w:val="00367F77"/>
    <w:rsid w:val="00371752"/>
    <w:rsid w:val="00372454"/>
    <w:rsid w:val="00373EA7"/>
    <w:rsid w:val="00375076"/>
    <w:rsid w:val="00380E6C"/>
    <w:rsid w:val="00383B69"/>
    <w:rsid w:val="00383FD8"/>
    <w:rsid w:val="00384CCF"/>
    <w:rsid w:val="00386293"/>
    <w:rsid w:val="0038798C"/>
    <w:rsid w:val="00387B78"/>
    <w:rsid w:val="00392B2C"/>
    <w:rsid w:val="00395146"/>
    <w:rsid w:val="00396C57"/>
    <w:rsid w:val="003A1971"/>
    <w:rsid w:val="003A1F57"/>
    <w:rsid w:val="003A6A1E"/>
    <w:rsid w:val="003A6C98"/>
    <w:rsid w:val="003A7E86"/>
    <w:rsid w:val="003B0918"/>
    <w:rsid w:val="003B103D"/>
    <w:rsid w:val="003B459B"/>
    <w:rsid w:val="003B4789"/>
    <w:rsid w:val="003B5219"/>
    <w:rsid w:val="003B5A71"/>
    <w:rsid w:val="003B7287"/>
    <w:rsid w:val="003B7A5A"/>
    <w:rsid w:val="003B7D7E"/>
    <w:rsid w:val="003C3E77"/>
    <w:rsid w:val="003C45D9"/>
    <w:rsid w:val="003C6B92"/>
    <w:rsid w:val="003C6BB6"/>
    <w:rsid w:val="003D093D"/>
    <w:rsid w:val="003D1B37"/>
    <w:rsid w:val="003D2EBD"/>
    <w:rsid w:val="003D30E2"/>
    <w:rsid w:val="003D6831"/>
    <w:rsid w:val="003E0182"/>
    <w:rsid w:val="003E166D"/>
    <w:rsid w:val="003E21B3"/>
    <w:rsid w:val="003E426C"/>
    <w:rsid w:val="003E5393"/>
    <w:rsid w:val="003E56CC"/>
    <w:rsid w:val="003E68EA"/>
    <w:rsid w:val="003E7C9B"/>
    <w:rsid w:val="003F133C"/>
    <w:rsid w:val="003F6603"/>
    <w:rsid w:val="003F686A"/>
    <w:rsid w:val="00400C8E"/>
    <w:rsid w:val="004010BA"/>
    <w:rsid w:val="00402443"/>
    <w:rsid w:val="0040506C"/>
    <w:rsid w:val="004076AD"/>
    <w:rsid w:val="0041104E"/>
    <w:rsid w:val="004165F5"/>
    <w:rsid w:val="00420D5A"/>
    <w:rsid w:val="00420FA5"/>
    <w:rsid w:val="00421C44"/>
    <w:rsid w:val="00427ED3"/>
    <w:rsid w:val="00431BF5"/>
    <w:rsid w:val="0043352F"/>
    <w:rsid w:val="00435B70"/>
    <w:rsid w:val="00435B78"/>
    <w:rsid w:val="00436380"/>
    <w:rsid w:val="00442F7C"/>
    <w:rsid w:val="004440B7"/>
    <w:rsid w:val="00450A7F"/>
    <w:rsid w:val="00451195"/>
    <w:rsid w:val="004517E9"/>
    <w:rsid w:val="0045361F"/>
    <w:rsid w:val="004548FE"/>
    <w:rsid w:val="004553C8"/>
    <w:rsid w:val="00460E18"/>
    <w:rsid w:val="0046177E"/>
    <w:rsid w:val="00461E2A"/>
    <w:rsid w:val="00463D83"/>
    <w:rsid w:val="00466596"/>
    <w:rsid w:val="00466AFD"/>
    <w:rsid w:val="0046796D"/>
    <w:rsid w:val="00467D28"/>
    <w:rsid w:val="0047121D"/>
    <w:rsid w:val="00471C8F"/>
    <w:rsid w:val="00475434"/>
    <w:rsid w:val="004825F2"/>
    <w:rsid w:val="00482E30"/>
    <w:rsid w:val="00483E90"/>
    <w:rsid w:val="00484A1B"/>
    <w:rsid w:val="00486254"/>
    <w:rsid w:val="004877D0"/>
    <w:rsid w:val="00490DE1"/>
    <w:rsid w:val="00491792"/>
    <w:rsid w:val="0049412C"/>
    <w:rsid w:val="0049414C"/>
    <w:rsid w:val="004A1457"/>
    <w:rsid w:val="004A6086"/>
    <w:rsid w:val="004B0B7A"/>
    <w:rsid w:val="004B13BF"/>
    <w:rsid w:val="004B2D62"/>
    <w:rsid w:val="004B3F06"/>
    <w:rsid w:val="004B44A6"/>
    <w:rsid w:val="004B77A0"/>
    <w:rsid w:val="004C104E"/>
    <w:rsid w:val="004C15E1"/>
    <w:rsid w:val="004C2674"/>
    <w:rsid w:val="004C7A21"/>
    <w:rsid w:val="004D37AC"/>
    <w:rsid w:val="004D3B82"/>
    <w:rsid w:val="004D5104"/>
    <w:rsid w:val="004E26B4"/>
    <w:rsid w:val="004E50D5"/>
    <w:rsid w:val="004F5FBB"/>
    <w:rsid w:val="00500839"/>
    <w:rsid w:val="00503635"/>
    <w:rsid w:val="005049C0"/>
    <w:rsid w:val="00504F55"/>
    <w:rsid w:val="00506866"/>
    <w:rsid w:val="00507CFF"/>
    <w:rsid w:val="00507F59"/>
    <w:rsid w:val="005127F2"/>
    <w:rsid w:val="005129EB"/>
    <w:rsid w:val="005137EF"/>
    <w:rsid w:val="00513F61"/>
    <w:rsid w:val="00514906"/>
    <w:rsid w:val="00522220"/>
    <w:rsid w:val="005227C7"/>
    <w:rsid w:val="00524B81"/>
    <w:rsid w:val="005262C8"/>
    <w:rsid w:val="00527FAC"/>
    <w:rsid w:val="00533235"/>
    <w:rsid w:val="0053645B"/>
    <w:rsid w:val="00541254"/>
    <w:rsid w:val="00542062"/>
    <w:rsid w:val="005436EB"/>
    <w:rsid w:val="0054663C"/>
    <w:rsid w:val="005514B7"/>
    <w:rsid w:val="00552461"/>
    <w:rsid w:val="00554117"/>
    <w:rsid w:val="0055548B"/>
    <w:rsid w:val="00556422"/>
    <w:rsid w:val="005570F7"/>
    <w:rsid w:val="0056215E"/>
    <w:rsid w:val="00562DC2"/>
    <w:rsid w:val="00565B8C"/>
    <w:rsid w:val="005666DE"/>
    <w:rsid w:val="00566BFA"/>
    <w:rsid w:val="005704A3"/>
    <w:rsid w:val="005738D3"/>
    <w:rsid w:val="005758A5"/>
    <w:rsid w:val="00576260"/>
    <w:rsid w:val="00576E76"/>
    <w:rsid w:val="00577DF3"/>
    <w:rsid w:val="00580D1C"/>
    <w:rsid w:val="00581CA1"/>
    <w:rsid w:val="005826CF"/>
    <w:rsid w:val="005854B5"/>
    <w:rsid w:val="00585808"/>
    <w:rsid w:val="00585917"/>
    <w:rsid w:val="00585D92"/>
    <w:rsid w:val="00587A7B"/>
    <w:rsid w:val="00592920"/>
    <w:rsid w:val="00592AD4"/>
    <w:rsid w:val="00592D44"/>
    <w:rsid w:val="00593C06"/>
    <w:rsid w:val="00593DA3"/>
    <w:rsid w:val="00593FE2"/>
    <w:rsid w:val="0059476B"/>
    <w:rsid w:val="00594FC2"/>
    <w:rsid w:val="00596FAE"/>
    <w:rsid w:val="005976BC"/>
    <w:rsid w:val="005A5F18"/>
    <w:rsid w:val="005A75DB"/>
    <w:rsid w:val="005B075C"/>
    <w:rsid w:val="005B10DC"/>
    <w:rsid w:val="005B1801"/>
    <w:rsid w:val="005B46CF"/>
    <w:rsid w:val="005B599E"/>
    <w:rsid w:val="005B5DC0"/>
    <w:rsid w:val="005C4C6F"/>
    <w:rsid w:val="005C5E8D"/>
    <w:rsid w:val="005C5FDC"/>
    <w:rsid w:val="005C7209"/>
    <w:rsid w:val="005D1FDA"/>
    <w:rsid w:val="005D4E1D"/>
    <w:rsid w:val="005D4F62"/>
    <w:rsid w:val="005D725E"/>
    <w:rsid w:val="005E0521"/>
    <w:rsid w:val="005E4BFF"/>
    <w:rsid w:val="005E529B"/>
    <w:rsid w:val="005F1BFE"/>
    <w:rsid w:val="005F62EF"/>
    <w:rsid w:val="006010F7"/>
    <w:rsid w:val="00602B73"/>
    <w:rsid w:val="006045DA"/>
    <w:rsid w:val="0060478F"/>
    <w:rsid w:val="00606545"/>
    <w:rsid w:val="00607F82"/>
    <w:rsid w:val="0061066F"/>
    <w:rsid w:val="0061286B"/>
    <w:rsid w:val="00614DE4"/>
    <w:rsid w:val="006155EF"/>
    <w:rsid w:val="0061746C"/>
    <w:rsid w:val="006302E6"/>
    <w:rsid w:val="00630FB0"/>
    <w:rsid w:val="0063789F"/>
    <w:rsid w:val="00641588"/>
    <w:rsid w:val="00641868"/>
    <w:rsid w:val="006427AF"/>
    <w:rsid w:val="00642B8C"/>
    <w:rsid w:val="00642D35"/>
    <w:rsid w:val="006446A7"/>
    <w:rsid w:val="00644B76"/>
    <w:rsid w:val="006542CF"/>
    <w:rsid w:val="00654DDC"/>
    <w:rsid w:val="006558DF"/>
    <w:rsid w:val="00655B47"/>
    <w:rsid w:val="0066122C"/>
    <w:rsid w:val="0066127C"/>
    <w:rsid w:val="00661B87"/>
    <w:rsid w:val="00662150"/>
    <w:rsid w:val="00663D60"/>
    <w:rsid w:val="00663F8A"/>
    <w:rsid w:val="006646FF"/>
    <w:rsid w:val="0066568C"/>
    <w:rsid w:val="00671B03"/>
    <w:rsid w:val="00674559"/>
    <w:rsid w:val="00674FC9"/>
    <w:rsid w:val="00675BAE"/>
    <w:rsid w:val="00675EB3"/>
    <w:rsid w:val="00676F66"/>
    <w:rsid w:val="00677CB2"/>
    <w:rsid w:val="00681B88"/>
    <w:rsid w:val="00682889"/>
    <w:rsid w:val="00686286"/>
    <w:rsid w:val="0068667D"/>
    <w:rsid w:val="00686C70"/>
    <w:rsid w:val="00687312"/>
    <w:rsid w:val="006876CC"/>
    <w:rsid w:val="006903D8"/>
    <w:rsid w:val="00690660"/>
    <w:rsid w:val="00691946"/>
    <w:rsid w:val="00692F49"/>
    <w:rsid w:val="00692FA7"/>
    <w:rsid w:val="00695210"/>
    <w:rsid w:val="00695788"/>
    <w:rsid w:val="00695BE3"/>
    <w:rsid w:val="006A12AC"/>
    <w:rsid w:val="006A3A6A"/>
    <w:rsid w:val="006A6491"/>
    <w:rsid w:val="006B0943"/>
    <w:rsid w:val="006B0C7F"/>
    <w:rsid w:val="006B4657"/>
    <w:rsid w:val="006B4B76"/>
    <w:rsid w:val="006B554C"/>
    <w:rsid w:val="006B65AE"/>
    <w:rsid w:val="006B782E"/>
    <w:rsid w:val="006C2C2E"/>
    <w:rsid w:val="006C3781"/>
    <w:rsid w:val="006C686A"/>
    <w:rsid w:val="006D07BE"/>
    <w:rsid w:val="006D7A9A"/>
    <w:rsid w:val="006E5036"/>
    <w:rsid w:val="006E7109"/>
    <w:rsid w:val="006F1313"/>
    <w:rsid w:val="006F4BDD"/>
    <w:rsid w:val="006F7043"/>
    <w:rsid w:val="006F7150"/>
    <w:rsid w:val="0070025B"/>
    <w:rsid w:val="0070069B"/>
    <w:rsid w:val="007008F7"/>
    <w:rsid w:val="0070228E"/>
    <w:rsid w:val="00702B6D"/>
    <w:rsid w:val="007030D3"/>
    <w:rsid w:val="00703360"/>
    <w:rsid w:val="00703ADE"/>
    <w:rsid w:val="00705213"/>
    <w:rsid w:val="00706C6E"/>
    <w:rsid w:val="00707596"/>
    <w:rsid w:val="007075AA"/>
    <w:rsid w:val="0070768C"/>
    <w:rsid w:val="00707A89"/>
    <w:rsid w:val="007113EC"/>
    <w:rsid w:val="007153F9"/>
    <w:rsid w:val="00715E6F"/>
    <w:rsid w:val="00720411"/>
    <w:rsid w:val="007221DF"/>
    <w:rsid w:val="00723589"/>
    <w:rsid w:val="007237C4"/>
    <w:rsid w:val="0072400F"/>
    <w:rsid w:val="007250C5"/>
    <w:rsid w:val="007254CD"/>
    <w:rsid w:val="00726E52"/>
    <w:rsid w:val="007273ED"/>
    <w:rsid w:val="00731702"/>
    <w:rsid w:val="00732E2D"/>
    <w:rsid w:val="00735D3F"/>
    <w:rsid w:val="00740023"/>
    <w:rsid w:val="0074076B"/>
    <w:rsid w:val="0074186C"/>
    <w:rsid w:val="00742538"/>
    <w:rsid w:val="00742F1F"/>
    <w:rsid w:val="00743EFA"/>
    <w:rsid w:val="0074551C"/>
    <w:rsid w:val="00750DA4"/>
    <w:rsid w:val="0075165F"/>
    <w:rsid w:val="0075339A"/>
    <w:rsid w:val="00760792"/>
    <w:rsid w:val="00765061"/>
    <w:rsid w:val="007700F6"/>
    <w:rsid w:val="00774F37"/>
    <w:rsid w:val="007751B2"/>
    <w:rsid w:val="0077751B"/>
    <w:rsid w:val="00780C08"/>
    <w:rsid w:val="00781454"/>
    <w:rsid w:val="007840E0"/>
    <w:rsid w:val="00784FFD"/>
    <w:rsid w:val="00785949"/>
    <w:rsid w:val="00786FC0"/>
    <w:rsid w:val="00790115"/>
    <w:rsid w:val="00790F97"/>
    <w:rsid w:val="007923B1"/>
    <w:rsid w:val="00792F24"/>
    <w:rsid w:val="007A00D8"/>
    <w:rsid w:val="007A459B"/>
    <w:rsid w:val="007A4CB3"/>
    <w:rsid w:val="007A56EC"/>
    <w:rsid w:val="007A6D9C"/>
    <w:rsid w:val="007B00CC"/>
    <w:rsid w:val="007B0A06"/>
    <w:rsid w:val="007B1102"/>
    <w:rsid w:val="007B1675"/>
    <w:rsid w:val="007B528C"/>
    <w:rsid w:val="007B5670"/>
    <w:rsid w:val="007B7BD1"/>
    <w:rsid w:val="007C01F3"/>
    <w:rsid w:val="007C3166"/>
    <w:rsid w:val="007C3DA1"/>
    <w:rsid w:val="007C3E2E"/>
    <w:rsid w:val="007C5FDC"/>
    <w:rsid w:val="007C7693"/>
    <w:rsid w:val="007D2CBF"/>
    <w:rsid w:val="007D7BF0"/>
    <w:rsid w:val="007D7DA1"/>
    <w:rsid w:val="007E134D"/>
    <w:rsid w:val="007E180B"/>
    <w:rsid w:val="007E3AC6"/>
    <w:rsid w:val="007E4257"/>
    <w:rsid w:val="007F0297"/>
    <w:rsid w:val="007F31F1"/>
    <w:rsid w:val="007F421C"/>
    <w:rsid w:val="007F428E"/>
    <w:rsid w:val="007F49EC"/>
    <w:rsid w:val="007F54A7"/>
    <w:rsid w:val="007F6965"/>
    <w:rsid w:val="00800C9F"/>
    <w:rsid w:val="0080245F"/>
    <w:rsid w:val="0080566B"/>
    <w:rsid w:val="008062EB"/>
    <w:rsid w:val="00810696"/>
    <w:rsid w:val="00817499"/>
    <w:rsid w:val="008201BB"/>
    <w:rsid w:val="00820B83"/>
    <w:rsid w:val="0082116C"/>
    <w:rsid w:val="008219A6"/>
    <w:rsid w:val="0082216B"/>
    <w:rsid w:val="0082390E"/>
    <w:rsid w:val="00826AD9"/>
    <w:rsid w:val="00826FF9"/>
    <w:rsid w:val="008336AB"/>
    <w:rsid w:val="008338F3"/>
    <w:rsid w:val="00834996"/>
    <w:rsid w:val="0083783D"/>
    <w:rsid w:val="00837B83"/>
    <w:rsid w:val="00840961"/>
    <w:rsid w:val="00840E20"/>
    <w:rsid w:val="008442F2"/>
    <w:rsid w:val="0084557B"/>
    <w:rsid w:val="008457B5"/>
    <w:rsid w:val="008474BA"/>
    <w:rsid w:val="00850318"/>
    <w:rsid w:val="00850504"/>
    <w:rsid w:val="00850E77"/>
    <w:rsid w:val="00850F59"/>
    <w:rsid w:val="0085502C"/>
    <w:rsid w:val="00861C61"/>
    <w:rsid w:val="0086228F"/>
    <w:rsid w:val="008639D9"/>
    <w:rsid w:val="00864BC3"/>
    <w:rsid w:val="00865AC6"/>
    <w:rsid w:val="0087287D"/>
    <w:rsid w:val="00873010"/>
    <w:rsid w:val="008740FE"/>
    <w:rsid w:val="008754AB"/>
    <w:rsid w:val="00875D6E"/>
    <w:rsid w:val="00882632"/>
    <w:rsid w:val="00883AD5"/>
    <w:rsid w:val="00883B71"/>
    <w:rsid w:val="008901BE"/>
    <w:rsid w:val="008904EB"/>
    <w:rsid w:val="0089054C"/>
    <w:rsid w:val="00890B9C"/>
    <w:rsid w:val="008915C7"/>
    <w:rsid w:val="00893F2F"/>
    <w:rsid w:val="0089472E"/>
    <w:rsid w:val="008A0563"/>
    <w:rsid w:val="008A0EF9"/>
    <w:rsid w:val="008A1B42"/>
    <w:rsid w:val="008A38DF"/>
    <w:rsid w:val="008B0C6C"/>
    <w:rsid w:val="008B2547"/>
    <w:rsid w:val="008B3522"/>
    <w:rsid w:val="008B6684"/>
    <w:rsid w:val="008B6A17"/>
    <w:rsid w:val="008C07EE"/>
    <w:rsid w:val="008C0FAD"/>
    <w:rsid w:val="008C2115"/>
    <w:rsid w:val="008C2203"/>
    <w:rsid w:val="008C246D"/>
    <w:rsid w:val="008D012D"/>
    <w:rsid w:val="008D06EF"/>
    <w:rsid w:val="008D48E0"/>
    <w:rsid w:val="008D6EDB"/>
    <w:rsid w:val="008F13E2"/>
    <w:rsid w:val="008F170E"/>
    <w:rsid w:val="008F1A18"/>
    <w:rsid w:val="008F4DDD"/>
    <w:rsid w:val="008F5B15"/>
    <w:rsid w:val="008F61D5"/>
    <w:rsid w:val="008F66F4"/>
    <w:rsid w:val="00904209"/>
    <w:rsid w:val="00910486"/>
    <w:rsid w:val="0091180C"/>
    <w:rsid w:val="00911E0A"/>
    <w:rsid w:val="009121B9"/>
    <w:rsid w:val="0091356A"/>
    <w:rsid w:val="00913703"/>
    <w:rsid w:val="00913BD6"/>
    <w:rsid w:val="00913F45"/>
    <w:rsid w:val="0092099C"/>
    <w:rsid w:val="00920F1F"/>
    <w:rsid w:val="00922D91"/>
    <w:rsid w:val="00923A9C"/>
    <w:rsid w:val="009245F5"/>
    <w:rsid w:val="0092522C"/>
    <w:rsid w:val="00925BF6"/>
    <w:rsid w:val="00926413"/>
    <w:rsid w:val="009321A4"/>
    <w:rsid w:val="009340BC"/>
    <w:rsid w:val="0093424B"/>
    <w:rsid w:val="00934BE5"/>
    <w:rsid w:val="00935369"/>
    <w:rsid w:val="00942087"/>
    <w:rsid w:val="0095506F"/>
    <w:rsid w:val="009560FE"/>
    <w:rsid w:val="00956458"/>
    <w:rsid w:val="0095763B"/>
    <w:rsid w:val="00960668"/>
    <w:rsid w:val="00960B20"/>
    <w:rsid w:val="00961E4A"/>
    <w:rsid w:val="009630E3"/>
    <w:rsid w:val="00963C04"/>
    <w:rsid w:val="0096436B"/>
    <w:rsid w:val="00972685"/>
    <w:rsid w:val="00972ED5"/>
    <w:rsid w:val="00974E72"/>
    <w:rsid w:val="00977CDB"/>
    <w:rsid w:val="009820BA"/>
    <w:rsid w:val="00982E50"/>
    <w:rsid w:val="00984C66"/>
    <w:rsid w:val="00991CE4"/>
    <w:rsid w:val="0099230D"/>
    <w:rsid w:val="00992C6C"/>
    <w:rsid w:val="00993B15"/>
    <w:rsid w:val="009A23BE"/>
    <w:rsid w:val="009A2D6B"/>
    <w:rsid w:val="009A38CB"/>
    <w:rsid w:val="009A441B"/>
    <w:rsid w:val="009A58AC"/>
    <w:rsid w:val="009A6A0B"/>
    <w:rsid w:val="009B04D5"/>
    <w:rsid w:val="009B2976"/>
    <w:rsid w:val="009B59F1"/>
    <w:rsid w:val="009B7C0D"/>
    <w:rsid w:val="009C2D23"/>
    <w:rsid w:val="009C53A8"/>
    <w:rsid w:val="009C53D0"/>
    <w:rsid w:val="009D286F"/>
    <w:rsid w:val="009D3F5F"/>
    <w:rsid w:val="009D59F3"/>
    <w:rsid w:val="009E2F9A"/>
    <w:rsid w:val="009E7ABC"/>
    <w:rsid w:val="009F1B61"/>
    <w:rsid w:val="009F2ED4"/>
    <w:rsid w:val="009F53B8"/>
    <w:rsid w:val="009F5793"/>
    <w:rsid w:val="009F6515"/>
    <w:rsid w:val="009F6DB1"/>
    <w:rsid w:val="00A00DBA"/>
    <w:rsid w:val="00A02010"/>
    <w:rsid w:val="00A02B5F"/>
    <w:rsid w:val="00A04535"/>
    <w:rsid w:val="00A04946"/>
    <w:rsid w:val="00A06BD3"/>
    <w:rsid w:val="00A076B4"/>
    <w:rsid w:val="00A10282"/>
    <w:rsid w:val="00A111B2"/>
    <w:rsid w:val="00A138D2"/>
    <w:rsid w:val="00A13AD7"/>
    <w:rsid w:val="00A14A52"/>
    <w:rsid w:val="00A14BD6"/>
    <w:rsid w:val="00A154AD"/>
    <w:rsid w:val="00A15AF7"/>
    <w:rsid w:val="00A15B36"/>
    <w:rsid w:val="00A16BE2"/>
    <w:rsid w:val="00A20944"/>
    <w:rsid w:val="00A2114A"/>
    <w:rsid w:val="00A21FF9"/>
    <w:rsid w:val="00A227A6"/>
    <w:rsid w:val="00A242A3"/>
    <w:rsid w:val="00A24AB6"/>
    <w:rsid w:val="00A2595C"/>
    <w:rsid w:val="00A26A6B"/>
    <w:rsid w:val="00A30AE1"/>
    <w:rsid w:val="00A31EA2"/>
    <w:rsid w:val="00A32328"/>
    <w:rsid w:val="00A34BD3"/>
    <w:rsid w:val="00A35348"/>
    <w:rsid w:val="00A356E0"/>
    <w:rsid w:val="00A35A40"/>
    <w:rsid w:val="00A36258"/>
    <w:rsid w:val="00A3753F"/>
    <w:rsid w:val="00A42555"/>
    <w:rsid w:val="00A447A3"/>
    <w:rsid w:val="00A44BB4"/>
    <w:rsid w:val="00A46879"/>
    <w:rsid w:val="00A47EA4"/>
    <w:rsid w:val="00A515FF"/>
    <w:rsid w:val="00A527B4"/>
    <w:rsid w:val="00A54D98"/>
    <w:rsid w:val="00A60655"/>
    <w:rsid w:val="00A60C14"/>
    <w:rsid w:val="00A665C6"/>
    <w:rsid w:val="00A72CF2"/>
    <w:rsid w:val="00A73A6A"/>
    <w:rsid w:val="00A73B29"/>
    <w:rsid w:val="00A773A8"/>
    <w:rsid w:val="00A83718"/>
    <w:rsid w:val="00A919A7"/>
    <w:rsid w:val="00A93137"/>
    <w:rsid w:val="00A937B0"/>
    <w:rsid w:val="00A94D23"/>
    <w:rsid w:val="00A966BA"/>
    <w:rsid w:val="00AA2C25"/>
    <w:rsid w:val="00AA61DB"/>
    <w:rsid w:val="00AA7792"/>
    <w:rsid w:val="00AB1008"/>
    <w:rsid w:val="00AB2C92"/>
    <w:rsid w:val="00AB2EC0"/>
    <w:rsid w:val="00AB3571"/>
    <w:rsid w:val="00AB3F3B"/>
    <w:rsid w:val="00AB5CD8"/>
    <w:rsid w:val="00AC142E"/>
    <w:rsid w:val="00AC2400"/>
    <w:rsid w:val="00AC2EE8"/>
    <w:rsid w:val="00AC4E03"/>
    <w:rsid w:val="00AC58C3"/>
    <w:rsid w:val="00AD2519"/>
    <w:rsid w:val="00AD3D81"/>
    <w:rsid w:val="00AD6DD3"/>
    <w:rsid w:val="00AE180E"/>
    <w:rsid w:val="00AE194B"/>
    <w:rsid w:val="00AE4D2C"/>
    <w:rsid w:val="00AE7FB0"/>
    <w:rsid w:val="00AF02C9"/>
    <w:rsid w:val="00AF2AB6"/>
    <w:rsid w:val="00AF5226"/>
    <w:rsid w:val="00AF60A6"/>
    <w:rsid w:val="00AF6250"/>
    <w:rsid w:val="00B017FC"/>
    <w:rsid w:val="00B040C7"/>
    <w:rsid w:val="00B045F4"/>
    <w:rsid w:val="00B05E44"/>
    <w:rsid w:val="00B135AD"/>
    <w:rsid w:val="00B160CB"/>
    <w:rsid w:val="00B1741E"/>
    <w:rsid w:val="00B21BB1"/>
    <w:rsid w:val="00B230C5"/>
    <w:rsid w:val="00B23E26"/>
    <w:rsid w:val="00B249DE"/>
    <w:rsid w:val="00B24F3B"/>
    <w:rsid w:val="00B24F7A"/>
    <w:rsid w:val="00B25FB6"/>
    <w:rsid w:val="00B26201"/>
    <w:rsid w:val="00B26622"/>
    <w:rsid w:val="00B271A1"/>
    <w:rsid w:val="00B27828"/>
    <w:rsid w:val="00B314F7"/>
    <w:rsid w:val="00B34018"/>
    <w:rsid w:val="00B357AC"/>
    <w:rsid w:val="00B35E50"/>
    <w:rsid w:val="00B37646"/>
    <w:rsid w:val="00B37C97"/>
    <w:rsid w:val="00B41135"/>
    <w:rsid w:val="00B41D3F"/>
    <w:rsid w:val="00B41D89"/>
    <w:rsid w:val="00B4281E"/>
    <w:rsid w:val="00B4295D"/>
    <w:rsid w:val="00B43A78"/>
    <w:rsid w:val="00B43FA0"/>
    <w:rsid w:val="00B43FD6"/>
    <w:rsid w:val="00B45AB8"/>
    <w:rsid w:val="00B47632"/>
    <w:rsid w:val="00B528FB"/>
    <w:rsid w:val="00B54DED"/>
    <w:rsid w:val="00B60F2A"/>
    <w:rsid w:val="00B60FD0"/>
    <w:rsid w:val="00B61C53"/>
    <w:rsid w:val="00B63CA6"/>
    <w:rsid w:val="00B6442F"/>
    <w:rsid w:val="00B64B62"/>
    <w:rsid w:val="00B651F8"/>
    <w:rsid w:val="00B6697F"/>
    <w:rsid w:val="00B70788"/>
    <w:rsid w:val="00B75449"/>
    <w:rsid w:val="00B75B09"/>
    <w:rsid w:val="00B75E6F"/>
    <w:rsid w:val="00B7625F"/>
    <w:rsid w:val="00B76C34"/>
    <w:rsid w:val="00B82054"/>
    <w:rsid w:val="00B8356B"/>
    <w:rsid w:val="00B83FA1"/>
    <w:rsid w:val="00B86FC7"/>
    <w:rsid w:val="00B87A1F"/>
    <w:rsid w:val="00B91673"/>
    <w:rsid w:val="00B92279"/>
    <w:rsid w:val="00B92698"/>
    <w:rsid w:val="00B9279B"/>
    <w:rsid w:val="00B953FE"/>
    <w:rsid w:val="00B967DF"/>
    <w:rsid w:val="00B97C49"/>
    <w:rsid w:val="00BA1BF8"/>
    <w:rsid w:val="00BA43DC"/>
    <w:rsid w:val="00BA4B03"/>
    <w:rsid w:val="00BA5033"/>
    <w:rsid w:val="00BA50C6"/>
    <w:rsid w:val="00BA7535"/>
    <w:rsid w:val="00BB1200"/>
    <w:rsid w:val="00BB1702"/>
    <w:rsid w:val="00BB29E6"/>
    <w:rsid w:val="00BB3103"/>
    <w:rsid w:val="00BB38BC"/>
    <w:rsid w:val="00BB4525"/>
    <w:rsid w:val="00BB506C"/>
    <w:rsid w:val="00BC221B"/>
    <w:rsid w:val="00BC2DB1"/>
    <w:rsid w:val="00BC359B"/>
    <w:rsid w:val="00BC3720"/>
    <w:rsid w:val="00BC3C00"/>
    <w:rsid w:val="00BC4EE1"/>
    <w:rsid w:val="00BC5E70"/>
    <w:rsid w:val="00BC6D72"/>
    <w:rsid w:val="00BD0C42"/>
    <w:rsid w:val="00BD37F5"/>
    <w:rsid w:val="00BD5D56"/>
    <w:rsid w:val="00BD5E81"/>
    <w:rsid w:val="00BD7C86"/>
    <w:rsid w:val="00BE064B"/>
    <w:rsid w:val="00BE22CE"/>
    <w:rsid w:val="00BE249C"/>
    <w:rsid w:val="00BE4E04"/>
    <w:rsid w:val="00BF22F1"/>
    <w:rsid w:val="00BF38CF"/>
    <w:rsid w:val="00C0214B"/>
    <w:rsid w:val="00C041C9"/>
    <w:rsid w:val="00C06C17"/>
    <w:rsid w:val="00C10785"/>
    <w:rsid w:val="00C10FC4"/>
    <w:rsid w:val="00C115FE"/>
    <w:rsid w:val="00C11653"/>
    <w:rsid w:val="00C13793"/>
    <w:rsid w:val="00C15E2B"/>
    <w:rsid w:val="00C20AE7"/>
    <w:rsid w:val="00C20B80"/>
    <w:rsid w:val="00C21EBA"/>
    <w:rsid w:val="00C22E41"/>
    <w:rsid w:val="00C239F5"/>
    <w:rsid w:val="00C23E1C"/>
    <w:rsid w:val="00C24711"/>
    <w:rsid w:val="00C2550B"/>
    <w:rsid w:val="00C25DDE"/>
    <w:rsid w:val="00C26F97"/>
    <w:rsid w:val="00C332B6"/>
    <w:rsid w:val="00C33494"/>
    <w:rsid w:val="00C354F1"/>
    <w:rsid w:val="00C40BE7"/>
    <w:rsid w:val="00C42027"/>
    <w:rsid w:val="00C46469"/>
    <w:rsid w:val="00C50BD0"/>
    <w:rsid w:val="00C56702"/>
    <w:rsid w:val="00C56EB3"/>
    <w:rsid w:val="00C57CF9"/>
    <w:rsid w:val="00C615A5"/>
    <w:rsid w:val="00C62306"/>
    <w:rsid w:val="00C6623F"/>
    <w:rsid w:val="00C70F63"/>
    <w:rsid w:val="00C7151F"/>
    <w:rsid w:val="00C720D1"/>
    <w:rsid w:val="00C72993"/>
    <w:rsid w:val="00C73107"/>
    <w:rsid w:val="00C7387D"/>
    <w:rsid w:val="00C76021"/>
    <w:rsid w:val="00C7717C"/>
    <w:rsid w:val="00C80E62"/>
    <w:rsid w:val="00C81D0A"/>
    <w:rsid w:val="00C835A2"/>
    <w:rsid w:val="00C8410F"/>
    <w:rsid w:val="00C91382"/>
    <w:rsid w:val="00C916F0"/>
    <w:rsid w:val="00C93C40"/>
    <w:rsid w:val="00C95204"/>
    <w:rsid w:val="00C95A5F"/>
    <w:rsid w:val="00CA0410"/>
    <w:rsid w:val="00CA0F99"/>
    <w:rsid w:val="00CA15C1"/>
    <w:rsid w:val="00CA2977"/>
    <w:rsid w:val="00CA3D27"/>
    <w:rsid w:val="00CA6031"/>
    <w:rsid w:val="00CA6FD1"/>
    <w:rsid w:val="00CB0051"/>
    <w:rsid w:val="00CB0DBA"/>
    <w:rsid w:val="00CB2D5A"/>
    <w:rsid w:val="00CB2EF6"/>
    <w:rsid w:val="00CB3411"/>
    <w:rsid w:val="00CB53E9"/>
    <w:rsid w:val="00CB5E4B"/>
    <w:rsid w:val="00CB6A86"/>
    <w:rsid w:val="00CC04FA"/>
    <w:rsid w:val="00CC09A0"/>
    <w:rsid w:val="00CC28C6"/>
    <w:rsid w:val="00CC480A"/>
    <w:rsid w:val="00CC77E4"/>
    <w:rsid w:val="00CD1F8B"/>
    <w:rsid w:val="00CD3A26"/>
    <w:rsid w:val="00CD3D9C"/>
    <w:rsid w:val="00CD6AF9"/>
    <w:rsid w:val="00CE10BD"/>
    <w:rsid w:val="00CE5388"/>
    <w:rsid w:val="00CE709E"/>
    <w:rsid w:val="00CF0E01"/>
    <w:rsid w:val="00CF1692"/>
    <w:rsid w:val="00CF7054"/>
    <w:rsid w:val="00D01A16"/>
    <w:rsid w:val="00D01B99"/>
    <w:rsid w:val="00D01DCF"/>
    <w:rsid w:val="00D02420"/>
    <w:rsid w:val="00D03694"/>
    <w:rsid w:val="00D04E19"/>
    <w:rsid w:val="00D06264"/>
    <w:rsid w:val="00D06FF2"/>
    <w:rsid w:val="00D11B50"/>
    <w:rsid w:val="00D11FFC"/>
    <w:rsid w:val="00D14E39"/>
    <w:rsid w:val="00D2322B"/>
    <w:rsid w:val="00D23CFA"/>
    <w:rsid w:val="00D26CB8"/>
    <w:rsid w:val="00D276F1"/>
    <w:rsid w:val="00D323E0"/>
    <w:rsid w:val="00D32463"/>
    <w:rsid w:val="00D32641"/>
    <w:rsid w:val="00D32BC6"/>
    <w:rsid w:val="00D34B86"/>
    <w:rsid w:val="00D3781A"/>
    <w:rsid w:val="00D4062F"/>
    <w:rsid w:val="00D40FAD"/>
    <w:rsid w:val="00D42F2B"/>
    <w:rsid w:val="00D452F4"/>
    <w:rsid w:val="00D4670A"/>
    <w:rsid w:val="00D508EC"/>
    <w:rsid w:val="00D50A4A"/>
    <w:rsid w:val="00D5196F"/>
    <w:rsid w:val="00D51E04"/>
    <w:rsid w:val="00D52A1A"/>
    <w:rsid w:val="00D533B9"/>
    <w:rsid w:val="00D5426B"/>
    <w:rsid w:val="00D54300"/>
    <w:rsid w:val="00D608D7"/>
    <w:rsid w:val="00D60CE8"/>
    <w:rsid w:val="00D6275E"/>
    <w:rsid w:val="00D62878"/>
    <w:rsid w:val="00D64A42"/>
    <w:rsid w:val="00D64E4D"/>
    <w:rsid w:val="00D73854"/>
    <w:rsid w:val="00D747F4"/>
    <w:rsid w:val="00D763BE"/>
    <w:rsid w:val="00D766EC"/>
    <w:rsid w:val="00D8207D"/>
    <w:rsid w:val="00D82573"/>
    <w:rsid w:val="00D85B02"/>
    <w:rsid w:val="00D85D7E"/>
    <w:rsid w:val="00D90074"/>
    <w:rsid w:val="00D9029A"/>
    <w:rsid w:val="00D91FFC"/>
    <w:rsid w:val="00D939B7"/>
    <w:rsid w:val="00D94093"/>
    <w:rsid w:val="00D95ED9"/>
    <w:rsid w:val="00DA14D2"/>
    <w:rsid w:val="00DA1E7B"/>
    <w:rsid w:val="00DA3B99"/>
    <w:rsid w:val="00DA5C8F"/>
    <w:rsid w:val="00DA5D4B"/>
    <w:rsid w:val="00DB2C3E"/>
    <w:rsid w:val="00DB33F6"/>
    <w:rsid w:val="00DB3DB0"/>
    <w:rsid w:val="00DB4EDF"/>
    <w:rsid w:val="00DB5525"/>
    <w:rsid w:val="00DC228D"/>
    <w:rsid w:val="00DC290E"/>
    <w:rsid w:val="00DC48B7"/>
    <w:rsid w:val="00DC65F8"/>
    <w:rsid w:val="00DC7422"/>
    <w:rsid w:val="00DD26B4"/>
    <w:rsid w:val="00DD2786"/>
    <w:rsid w:val="00DD27F3"/>
    <w:rsid w:val="00DD456F"/>
    <w:rsid w:val="00DD55F4"/>
    <w:rsid w:val="00DD609C"/>
    <w:rsid w:val="00DE0449"/>
    <w:rsid w:val="00DE213F"/>
    <w:rsid w:val="00DE3D85"/>
    <w:rsid w:val="00DE6021"/>
    <w:rsid w:val="00DE73C2"/>
    <w:rsid w:val="00DF0C36"/>
    <w:rsid w:val="00DF2B49"/>
    <w:rsid w:val="00DF4912"/>
    <w:rsid w:val="00DF6A44"/>
    <w:rsid w:val="00E023D6"/>
    <w:rsid w:val="00E02BE2"/>
    <w:rsid w:val="00E037CD"/>
    <w:rsid w:val="00E0565F"/>
    <w:rsid w:val="00E07636"/>
    <w:rsid w:val="00E15ECD"/>
    <w:rsid w:val="00E2281D"/>
    <w:rsid w:val="00E256CF"/>
    <w:rsid w:val="00E270F7"/>
    <w:rsid w:val="00E300E6"/>
    <w:rsid w:val="00E30837"/>
    <w:rsid w:val="00E31723"/>
    <w:rsid w:val="00E357DD"/>
    <w:rsid w:val="00E36D2A"/>
    <w:rsid w:val="00E404D6"/>
    <w:rsid w:val="00E40F82"/>
    <w:rsid w:val="00E41A77"/>
    <w:rsid w:val="00E5066A"/>
    <w:rsid w:val="00E54A92"/>
    <w:rsid w:val="00E604CD"/>
    <w:rsid w:val="00E60563"/>
    <w:rsid w:val="00E642FF"/>
    <w:rsid w:val="00E66B9B"/>
    <w:rsid w:val="00E67E37"/>
    <w:rsid w:val="00E67FA6"/>
    <w:rsid w:val="00E7209D"/>
    <w:rsid w:val="00E74E3F"/>
    <w:rsid w:val="00E75078"/>
    <w:rsid w:val="00E84AEA"/>
    <w:rsid w:val="00E84D1D"/>
    <w:rsid w:val="00E909E5"/>
    <w:rsid w:val="00E92C88"/>
    <w:rsid w:val="00E94C7D"/>
    <w:rsid w:val="00EA15DC"/>
    <w:rsid w:val="00EA1DF7"/>
    <w:rsid w:val="00EA2A3C"/>
    <w:rsid w:val="00EA37D7"/>
    <w:rsid w:val="00EA5AE2"/>
    <w:rsid w:val="00EB1D12"/>
    <w:rsid w:val="00EB2AD3"/>
    <w:rsid w:val="00EB5611"/>
    <w:rsid w:val="00EB7765"/>
    <w:rsid w:val="00EC5774"/>
    <w:rsid w:val="00EC5DE5"/>
    <w:rsid w:val="00EC691F"/>
    <w:rsid w:val="00EC7391"/>
    <w:rsid w:val="00EC73E2"/>
    <w:rsid w:val="00ED288D"/>
    <w:rsid w:val="00ED5520"/>
    <w:rsid w:val="00EE0CB8"/>
    <w:rsid w:val="00EE117F"/>
    <w:rsid w:val="00EE1225"/>
    <w:rsid w:val="00EE134D"/>
    <w:rsid w:val="00EE1ACC"/>
    <w:rsid w:val="00EE3FBD"/>
    <w:rsid w:val="00EE421E"/>
    <w:rsid w:val="00EE50C8"/>
    <w:rsid w:val="00EE5FE4"/>
    <w:rsid w:val="00EE654C"/>
    <w:rsid w:val="00EE746F"/>
    <w:rsid w:val="00EF187E"/>
    <w:rsid w:val="00EF42C9"/>
    <w:rsid w:val="00EF62C2"/>
    <w:rsid w:val="00EF6A34"/>
    <w:rsid w:val="00EF72C9"/>
    <w:rsid w:val="00EF771D"/>
    <w:rsid w:val="00EF7D0F"/>
    <w:rsid w:val="00F0201C"/>
    <w:rsid w:val="00F02ECA"/>
    <w:rsid w:val="00F037DC"/>
    <w:rsid w:val="00F04F57"/>
    <w:rsid w:val="00F0754E"/>
    <w:rsid w:val="00F077E1"/>
    <w:rsid w:val="00F10E89"/>
    <w:rsid w:val="00F177D4"/>
    <w:rsid w:val="00F17B97"/>
    <w:rsid w:val="00F20F53"/>
    <w:rsid w:val="00F238B9"/>
    <w:rsid w:val="00F23A90"/>
    <w:rsid w:val="00F244FB"/>
    <w:rsid w:val="00F24DB0"/>
    <w:rsid w:val="00F258B1"/>
    <w:rsid w:val="00F27343"/>
    <w:rsid w:val="00F312EE"/>
    <w:rsid w:val="00F3350F"/>
    <w:rsid w:val="00F344AB"/>
    <w:rsid w:val="00F34B8F"/>
    <w:rsid w:val="00F378EE"/>
    <w:rsid w:val="00F37FA4"/>
    <w:rsid w:val="00F40E8D"/>
    <w:rsid w:val="00F41522"/>
    <w:rsid w:val="00F43AFA"/>
    <w:rsid w:val="00F45968"/>
    <w:rsid w:val="00F4650D"/>
    <w:rsid w:val="00F51329"/>
    <w:rsid w:val="00F51EB4"/>
    <w:rsid w:val="00F52755"/>
    <w:rsid w:val="00F55FFE"/>
    <w:rsid w:val="00F56241"/>
    <w:rsid w:val="00F56AA0"/>
    <w:rsid w:val="00F605CD"/>
    <w:rsid w:val="00F60B82"/>
    <w:rsid w:val="00F60DC3"/>
    <w:rsid w:val="00F60E23"/>
    <w:rsid w:val="00F6493F"/>
    <w:rsid w:val="00F6591A"/>
    <w:rsid w:val="00F65E81"/>
    <w:rsid w:val="00F66DA9"/>
    <w:rsid w:val="00F66E9D"/>
    <w:rsid w:val="00F70585"/>
    <w:rsid w:val="00F71408"/>
    <w:rsid w:val="00F72E6A"/>
    <w:rsid w:val="00F73CD2"/>
    <w:rsid w:val="00F752E7"/>
    <w:rsid w:val="00F7537A"/>
    <w:rsid w:val="00F76697"/>
    <w:rsid w:val="00F77607"/>
    <w:rsid w:val="00F77E87"/>
    <w:rsid w:val="00F81FE9"/>
    <w:rsid w:val="00F82412"/>
    <w:rsid w:val="00F860B0"/>
    <w:rsid w:val="00F86806"/>
    <w:rsid w:val="00F92D10"/>
    <w:rsid w:val="00F93284"/>
    <w:rsid w:val="00FA24D5"/>
    <w:rsid w:val="00FA2F5F"/>
    <w:rsid w:val="00FA3D2E"/>
    <w:rsid w:val="00FA446B"/>
    <w:rsid w:val="00FA6CA6"/>
    <w:rsid w:val="00FB1570"/>
    <w:rsid w:val="00FB3090"/>
    <w:rsid w:val="00FB6A5D"/>
    <w:rsid w:val="00FB6FFB"/>
    <w:rsid w:val="00FB7FEB"/>
    <w:rsid w:val="00FC1CD8"/>
    <w:rsid w:val="00FC42AC"/>
    <w:rsid w:val="00FC48D5"/>
    <w:rsid w:val="00FC5CD8"/>
    <w:rsid w:val="00FC5E37"/>
    <w:rsid w:val="00FC7E05"/>
    <w:rsid w:val="00FD02FF"/>
    <w:rsid w:val="00FD10B4"/>
    <w:rsid w:val="00FD1A5A"/>
    <w:rsid w:val="00FD20B0"/>
    <w:rsid w:val="00FD2BB5"/>
    <w:rsid w:val="00FD2EB3"/>
    <w:rsid w:val="00FD5D65"/>
    <w:rsid w:val="00FD634A"/>
    <w:rsid w:val="00FD78CA"/>
    <w:rsid w:val="00FE0A75"/>
    <w:rsid w:val="00FE5431"/>
    <w:rsid w:val="00FF1ACF"/>
    <w:rsid w:val="00FF2CAE"/>
    <w:rsid w:val="00FF3B77"/>
    <w:rsid w:val="00FF3C93"/>
    <w:rsid w:val="00FF420D"/>
    <w:rsid w:val="00FF65D3"/>
    <w:rsid w:val="00FF6AD8"/>
    <w:rsid w:val="00FF76F1"/>
    <w:rsid w:val="1D2E4C0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1748"/>
    <o:shapelayout v:ext="edit">
      <o:idmap v:ext="edit" data="1"/>
    </o:shapelayout>
  </w:shapeDefaults>
  <w:decimalSymbol w:val="."/>
  <w:listSeparator w:val=","/>
  <w14:docId w14:val="33BA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B4"/>
    <w:pPr>
      <w:spacing w:after="0" w:line="240" w:lineRule="auto"/>
    </w:pPr>
    <w:rPr>
      <w:rFonts w:ascii="Calibri" w:eastAsiaTheme="majorEastAsia" w:hAnsi="Calibri" w:cs="Calibri"/>
    </w:rPr>
  </w:style>
  <w:style w:type="paragraph" w:styleId="Heading1">
    <w:name w:val="heading 1"/>
    <w:basedOn w:val="Normal"/>
    <w:next w:val="Normal"/>
    <w:link w:val="Heading1Char"/>
    <w:uiPriority w:val="9"/>
    <w:qFormat/>
    <w:rsid w:val="005B1801"/>
    <w:pPr>
      <w:keepNext/>
      <w:keepLines/>
      <w:numPr>
        <w:numId w:val="2"/>
      </w:numPr>
      <w:outlineLvl w:val="0"/>
    </w:pPr>
    <w:rPr>
      <w:rFonts w:asciiTheme="majorHAnsi"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968"/>
    <w:pPr>
      <w:keepNext/>
      <w:keepLines/>
      <w:spacing w:before="200"/>
      <w:outlineLvl w:val="1"/>
    </w:pPr>
    <w:rPr>
      <w:rFonts w:asciiTheme="majorHAnsi"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697F"/>
    <w:pPr>
      <w:keepNext/>
      <w:keepLines/>
      <w:numPr>
        <w:ilvl w:val="2"/>
        <w:numId w:val="2"/>
      </w:numPr>
      <w:outlineLvl w:val="2"/>
    </w:pPr>
    <w:rPr>
      <w:rFonts w:asciiTheme="majorHAnsi" w:eastAsia="Times New Roman"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59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697F"/>
    <w:rPr>
      <w:rFonts w:asciiTheme="majorHAnsi" w:eastAsia="Times New Roman" w:hAnsiTheme="majorHAnsi" w:cstheme="majorBidi"/>
      <w:b/>
      <w:bCs/>
      <w:color w:val="4F81BD" w:themeColor="accent1"/>
    </w:rPr>
  </w:style>
  <w:style w:type="table" w:styleId="TableGrid">
    <w:name w:val="Table Grid"/>
    <w:basedOn w:val="TableNormal"/>
    <w:uiPriority w:val="59"/>
    <w:rsid w:val="0002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278F2"/>
    <w:pPr>
      <w:outlineLvl w:val="9"/>
    </w:pPr>
    <w:rPr>
      <w:lang w:eastAsia="ja-JP"/>
    </w:rPr>
  </w:style>
  <w:style w:type="paragraph" w:styleId="TOC1">
    <w:name w:val="toc 1"/>
    <w:basedOn w:val="Normal"/>
    <w:next w:val="Normal"/>
    <w:autoRedefine/>
    <w:uiPriority w:val="39"/>
    <w:unhideWhenUsed/>
    <w:rsid w:val="00D5196F"/>
    <w:pPr>
      <w:tabs>
        <w:tab w:val="left" w:pos="540"/>
        <w:tab w:val="right" w:leader="dot" w:pos="9350"/>
      </w:tabs>
      <w:spacing w:after="100"/>
      <w:ind w:left="180"/>
    </w:pPr>
  </w:style>
  <w:style w:type="character" w:styleId="Hyperlink">
    <w:name w:val="Hyperlink"/>
    <w:basedOn w:val="DefaultParagraphFont"/>
    <w:uiPriority w:val="99"/>
    <w:unhideWhenUsed/>
    <w:rsid w:val="000278F2"/>
    <w:rPr>
      <w:color w:val="0000FF" w:themeColor="hyperlink"/>
      <w:u w:val="single"/>
    </w:rPr>
  </w:style>
  <w:style w:type="paragraph" w:styleId="BalloonText">
    <w:name w:val="Balloon Text"/>
    <w:basedOn w:val="Normal"/>
    <w:link w:val="BalloonTextChar"/>
    <w:uiPriority w:val="99"/>
    <w:semiHidden/>
    <w:unhideWhenUsed/>
    <w:rsid w:val="000278F2"/>
    <w:rPr>
      <w:rFonts w:ascii="Tahoma" w:hAnsi="Tahoma" w:cs="Tahoma"/>
      <w:sz w:val="16"/>
      <w:szCs w:val="16"/>
    </w:rPr>
  </w:style>
  <w:style w:type="character" w:customStyle="1" w:styleId="BalloonTextChar">
    <w:name w:val="Balloon Text Char"/>
    <w:basedOn w:val="DefaultParagraphFont"/>
    <w:link w:val="BalloonText"/>
    <w:uiPriority w:val="99"/>
    <w:semiHidden/>
    <w:rsid w:val="000278F2"/>
    <w:rPr>
      <w:rFonts w:ascii="Tahoma" w:hAnsi="Tahoma" w:cs="Tahoma"/>
      <w:sz w:val="16"/>
      <w:szCs w:val="16"/>
    </w:rPr>
  </w:style>
  <w:style w:type="table" w:styleId="LightShading-Accent1">
    <w:name w:val="Light Shading Accent 1"/>
    <w:basedOn w:val="TableNormal"/>
    <w:uiPriority w:val="60"/>
    <w:rsid w:val="006F704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646FF"/>
    <w:pPr>
      <w:contextualSpacing/>
    </w:pPr>
  </w:style>
  <w:style w:type="paragraph" w:styleId="TOC2">
    <w:name w:val="toc 2"/>
    <w:basedOn w:val="Normal"/>
    <w:next w:val="Normal"/>
    <w:autoRedefine/>
    <w:uiPriority w:val="39"/>
    <w:unhideWhenUsed/>
    <w:rsid w:val="00DD27F3"/>
    <w:pPr>
      <w:tabs>
        <w:tab w:val="right" w:leader="dot" w:pos="9350"/>
      </w:tabs>
      <w:spacing w:after="100"/>
      <w:ind w:left="360" w:hanging="140"/>
    </w:pPr>
  </w:style>
  <w:style w:type="paragraph" w:styleId="TOC3">
    <w:name w:val="toc 3"/>
    <w:basedOn w:val="Normal"/>
    <w:next w:val="Normal"/>
    <w:autoRedefine/>
    <w:uiPriority w:val="39"/>
    <w:unhideWhenUsed/>
    <w:rsid w:val="00580D1C"/>
    <w:pPr>
      <w:tabs>
        <w:tab w:val="left" w:pos="1100"/>
        <w:tab w:val="right" w:leader="dot" w:pos="9350"/>
      </w:tabs>
      <w:spacing w:after="40"/>
      <w:ind w:left="547"/>
    </w:pPr>
  </w:style>
  <w:style w:type="paragraph" w:styleId="TOC4">
    <w:name w:val="toc 4"/>
    <w:basedOn w:val="Normal"/>
    <w:next w:val="Normal"/>
    <w:autoRedefine/>
    <w:uiPriority w:val="39"/>
    <w:unhideWhenUsed/>
    <w:rsid w:val="0022434F"/>
    <w:pPr>
      <w:spacing w:after="100"/>
      <w:ind w:left="660"/>
    </w:pPr>
    <w:rPr>
      <w:rFonts w:eastAsiaTheme="minorEastAsia"/>
    </w:rPr>
  </w:style>
  <w:style w:type="paragraph" w:styleId="TOC5">
    <w:name w:val="toc 5"/>
    <w:basedOn w:val="Normal"/>
    <w:next w:val="Normal"/>
    <w:autoRedefine/>
    <w:uiPriority w:val="39"/>
    <w:unhideWhenUsed/>
    <w:rsid w:val="0022434F"/>
    <w:pPr>
      <w:spacing w:after="100"/>
      <w:ind w:left="880"/>
    </w:pPr>
    <w:rPr>
      <w:rFonts w:eastAsiaTheme="minorEastAsia"/>
    </w:rPr>
  </w:style>
  <w:style w:type="paragraph" w:styleId="TOC6">
    <w:name w:val="toc 6"/>
    <w:basedOn w:val="Normal"/>
    <w:next w:val="Normal"/>
    <w:autoRedefine/>
    <w:uiPriority w:val="39"/>
    <w:unhideWhenUsed/>
    <w:rsid w:val="0022434F"/>
    <w:pPr>
      <w:spacing w:after="100"/>
      <w:ind w:left="1100"/>
    </w:pPr>
    <w:rPr>
      <w:rFonts w:eastAsiaTheme="minorEastAsia"/>
    </w:rPr>
  </w:style>
  <w:style w:type="paragraph" w:styleId="TOC7">
    <w:name w:val="toc 7"/>
    <w:basedOn w:val="Normal"/>
    <w:next w:val="Normal"/>
    <w:autoRedefine/>
    <w:uiPriority w:val="39"/>
    <w:unhideWhenUsed/>
    <w:rsid w:val="0022434F"/>
    <w:pPr>
      <w:spacing w:after="100"/>
      <w:ind w:left="1320"/>
    </w:pPr>
    <w:rPr>
      <w:rFonts w:eastAsiaTheme="minorEastAsia"/>
    </w:rPr>
  </w:style>
  <w:style w:type="paragraph" w:styleId="TOC8">
    <w:name w:val="toc 8"/>
    <w:basedOn w:val="Normal"/>
    <w:next w:val="Normal"/>
    <w:autoRedefine/>
    <w:uiPriority w:val="39"/>
    <w:unhideWhenUsed/>
    <w:rsid w:val="0022434F"/>
    <w:pPr>
      <w:spacing w:after="100"/>
      <w:ind w:left="1540"/>
    </w:pPr>
    <w:rPr>
      <w:rFonts w:eastAsiaTheme="minorEastAsia"/>
    </w:rPr>
  </w:style>
  <w:style w:type="paragraph" w:styleId="TOC9">
    <w:name w:val="toc 9"/>
    <w:basedOn w:val="Normal"/>
    <w:next w:val="Normal"/>
    <w:autoRedefine/>
    <w:uiPriority w:val="39"/>
    <w:unhideWhenUsed/>
    <w:rsid w:val="0022434F"/>
    <w:pPr>
      <w:spacing w:after="100"/>
      <w:ind w:left="1760"/>
    </w:pPr>
    <w:rPr>
      <w:rFonts w:eastAsiaTheme="minorEastAsia"/>
    </w:rPr>
  </w:style>
  <w:style w:type="paragraph" w:styleId="NoSpacing">
    <w:name w:val="No Spacing"/>
    <w:link w:val="NoSpacingChar"/>
    <w:uiPriority w:val="1"/>
    <w:qFormat/>
    <w:rsid w:val="0069194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91946"/>
    <w:rPr>
      <w:rFonts w:eastAsiaTheme="minorEastAsia"/>
      <w:lang w:eastAsia="ja-JP"/>
    </w:rPr>
  </w:style>
  <w:style w:type="paragraph" w:styleId="Header">
    <w:name w:val="header"/>
    <w:basedOn w:val="Normal"/>
    <w:link w:val="HeaderChar"/>
    <w:uiPriority w:val="99"/>
    <w:unhideWhenUsed/>
    <w:rsid w:val="00691946"/>
    <w:pPr>
      <w:tabs>
        <w:tab w:val="center" w:pos="4680"/>
        <w:tab w:val="right" w:pos="9360"/>
      </w:tabs>
    </w:pPr>
  </w:style>
  <w:style w:type="character" w:customStyle="1" w:styleId="HeaderChar">
    <w:name w:val="Header Char"/>
    <w:basedOn w:val="DefaultParagraphFont"/>
    <w:link w:val="Header"/>
    <w:uiPriority w:val="99"/>
    <w:rsid w:val="00691946"/>
  </w:style>
  <w:style w:type="paragraph" w:styleId="Footer">
    <w:name w:val="footer"/>
    <w:basedOn w:val="Normal"/>
    <w:link w:val="FooterChar"/>
    <w:uiPriority w:val="99"/>
    <w:unhideWhenUsed/>
    <w:rsid w:val="00691946"/>
    <w:pPr>
      <w:tabs>
        <w:tab w:val="center" w:pos="4680"/>
        <w:tab w:val="right" w:pos="9360"/>
      </w:tabs>
    </w:pPr>
  </w:style>
  <w:style w:type="character" w:customStyle="1" w:styleId="FooterChar">
    <w:name w:val="Footer Char"/>
    <w:basedOn w:val="DefaultParagraphFont"/>
    <w:link w:val="Footer"/>
    <w:uiPriority w:val="99"/>
    <w:rsid w:val="00691946"/>
  </w:style>
  <w:style w:type="character" w:styleId="PlaceholderText">
    <w:name w:val="Placeholder Text"/>
    <w:basedOn w:val="DefaultParagraphFont"/>
    <w:uiPriority w:val="99"/>
    <w:semiHidden/>
    <w:rsid w:val="00E84AEA"/>
    <w:rPr>
      <w:color w:val="808080"/>
    </w:rPr>
  </w:style>
  <w:style w:type="character" w:styleId="CommentReference">
    <w:name w:val="annotation reference"/>
    <w:basedOn w:val="DefaultParagraphFont"/>
    <w:uiPriority w:val="99"/>
    <w:semiHidden/>
    <w:unhideWhenUsed/>
    <w:rsid w:val="00395146"/>
    <w:rPr>
      <w:sz w:val="16"/>
      <w:szCs w:val="16"/>
    </w:rPr>
  </w:style>
  <w:style w:type="paragraph" w:styleId="CommentText">
    <w:name w:val="annotation text"/>
    <w:basedOn w:val="Normal"/>
    <w:link w:val="CommentTextChar"/>
    <w:uiPriority w:val="99"/>
    <w:unhideWhenUsed/>
    <w:rsid w:val="00395146"/>
    <w:rPr>
      <w:sz w:val="20"/>
      <w:szCs w:val="20"/>
    </w:rPr>
  </w:style>
  <w:style w:type="character" w:customStyle="1" w:styleId="CommentTextChar">
    <w:name w:val="Comment Text Char"/>
    <w:basedOn w:val="DefaultParagraphFont"/>
    <w:link w:val="CommentText"/>
    <w:uiPriority w:val="99"/>
    <w:rsid w:val="00395146"/>
    <w:rPr>
      <w:sz w:val="20"/>
      <w:szCs w:val="20"/>
    </w:rPr>
  </w:style>
  <w:style w:type="paragraph" w:styleId="CommentSubject">
    <w:name w:val="annotation subject"/>
    <w:basedOn w:val="CommentText"/>
    <w:next w:val="CommentText"/>
    <w:link w:val="CommentSubjectChar"/>
    <w:uiPriority w:val="99"/>
    <w:semiHidden/>
    <w:unhideWhenUsed/>
    <w:rsid w:val="00395146"/>
    <w:rPr>
      <w:b/>
      <w:bCs/>
    </w:rPr>
  </w:style>
  <w:style w:type="character" w:customStyle="1" w:styleId="CommentSubjectChar">
    <w:name w:val="Comment Subject Char"/>
    <w:basedOn w:val="CommentTextChar"/>
    <w:link w:val="CommentSubject"/>
    <w:uiPriority w:val="99"/>
    <w:semiHidden/>
    <w:rsid w:val="00395146"/>
    <w:rPr>
      <w:b/>
      <w:bCs/>
      <w:sz w:val="20"/>
      <w:szCs w:val="20"/>
    </w:rPr>
  </w:style>
  <w:style w:type="paragraph" w:styleId="Revision">
    <w:name w:val="Revision"/>
    <w:hidden/>
    <w:uiPriority w:val="99"/>
    <w:semiHidden/>
    <w:rsid w:val="00837B83"/>
    <w:pPr>
      <w:spacing w:after="0" w:line="240" w:lineRule="auto"/>
    </w:pPr>
  </w:style>
  <w:style w:type="character" w:styleId="FollowedHyperlink">
    <w:name w:val="FollowedHyperlink"/>
    <w:basedOn w:val="DefaultParagraphFont"/>
    <w:uiPriority w:val="99"/>
    <w:semiHidden/>
    <w:unhideWhenUsed/>
    <w:rsid w:val="00B23E26"/>
    <w:rPr>
      <w:color w:val="800080" w:themeColor="followedHyperlink"/>
      <w:u w:val="single"/>
    </w:rPr>
  </w:style>
  <w:style w:type="character" w:styleId="Emphasis">
    <w:name w:val="Emphasis"/>
    <w:basedOn w:val="DefaultParagraphFont"/>
    <w:uiPriority w:val="20"/>
    <w:qFormat/>
    <w:rsid w:val="00177319"/>
    <w:rPr>
      <w:i/>
      <w:iCs/>
    </w:rPr>
  </w:style>
  <w:style w:type="character" w:customStyle="1" w:styleId="apple-converted-space">
    <w:name w:val="apple-converted-space"/>
    <w:basedOn w:val="DefaultParagraphFont"/>
    <w:rsid w:val="00177319"/>
  </w:style>
  <w:style w:type="paragraph" w:styleId="FootnoteText">
    <w:name w:val="footnote text"/>
    <w:basedOn w:val="Normal"/>
    <w:link w:val="FootnoteTextChar"/>
    <w:uiPriority w:val="99"/>
    <w:semiHidden/>
    <w:unhideWhenUsed/>
    <w:rsid w:val="00702B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02B6D"/>
    <w:rPr>
      <w:sz w:val="20"/>
      <w:szCs w:val="20"/>
    </w:rPr>
  </w:style>
  <w:style w:type="character" w:styleId="FootnoteReference">
    <w:name w:val="footnote reference"/>
    <w:basedOn w:val="DefaultParagraphFont"/>
    <w:uiPriority w:val="99"/>
    <w:semiHidden/>
    <w:unhideWhenUsed/>
    <w:rsid w:val="00702B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B4"/>
    <w:pPr>
      <w:spacing w:after="0" w:line="240" w:lineRule="auto"/>
    </w:pPr>
    <w:rPr>
      <w:rFonts w:ascii="Calibri" w:eastAsiaTheme="majorEastAsia" w:hAnsi="Calibri" w:cs="Calibri"/>
    </w:rPr>
  </w:style>
  <w:style w:type="paragraph" w:styleId="Heading1">
    <w:name w:val="heading 1"/>
    <w:basedOn w:val="Normal"/>
    <w:next w:val="Normal"/>
    <w:link w:val="Heading1Char"/>
    <w:uiPriority w:val="9"/>
    <w:qFormat/>
    <w:rsid w:val="005B1801"/>
    <w:pPr>
      <w:keepNext/>
      <w:keepLines/>
      <w:numPr>
        <w:numId w:val="2"/>
      </w:numPr>
      <w:outlineLvl w:val="0"/>
    </w:pPr>
    <w:rPr>
      <w:rFonts w:asciiTheme="majorHAnsi"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968"/>
    <w:pPr>
      <w:keepNext/>
      <w:keepLines/>
      <w:spacing w:before="200"/>
      <w:outlineLvl w:val="1"/>
    </w:pPr>
    <w:rPr>
      <w:rFonts w:asciiTheme="majorHAnsi"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697F"/>
    <w:pPr>
      <w:keepNext/>
      <w:keepLines/>
      <w:numPr>
        <w:ilvl w:val="2"/>
        <w:numId w:val="2"/>
      </w:numPr>
      <w:outlineLvl w:val="2"/>
    </w:pPr>
    <w:rPr>
      <w:rFonts w:asciiTheme="majorHAnsi" w:eastAsia="Times New Roman"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59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697F"/>
    <w:rPr>
      <w:rFonts w:asciiTheme="majorHAnsi" w:eastAsia="Times New Roman" w:hAnsiTheme="majorHAnsi" w:cstheme="majorBidi"/>
      <w:b/>
      <w:bCs/>
      <w:color w:val="4F81BD" w:themeColor="accent1"/>
    </w:rPr>
  </w:style>
  <w:style w:type="table" w:styleId="TableGrid">
    <w:name w:val="Table Grid"/>
    <w:basedOn w:val="TableNormal"/>
    <w:uiPriority w:val="59"/>
    <w:rsid w:val="0002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278F2"/>
    <w:pPr>
      <w:outlineLvl w:val="9"/>
    </w:pPr>
    <w:rPr>
      <w:lang w:eastAsia="ja-JP"/>
    </w:rPr>
  </w:style>
  <w:style w:type="paragraph" w:styleId="TOC1">
    <w:name w:val="toc 1"/>
    <w:basedOn w:val="Normal"/>
    <w:next w:val="Normal"/>
    <w:autoRedefine/>
    <w:uiPriority w:val="39"/>
    <w:unhideWhenUsed/>
    <w:rsid w:val="00D5196F"/>
    <w:pPr>
      <w:tabs>
        <w:tab w:val="left" w:pos="540"/>
        <w:tab w:val="right" w:leader="dot" w:pos="9350"/>
      </w:tabs>
      <w:spacing w:after="100"/>
      <w:ind w:left="180"/>
    </w:pPr>
  </w:style>
  <w:style w:type="character" w:styleId="Hyperlink">
    <w:name w:val="Hyperlink"/>
    <w:basedOn w:val="DefaultParagraphFont"/>
    <w:uiPriority w:val="99"/>
    <w:unhideWhenUsed/>
    <w:rsid w:val="000278F2"/>
    <w:rPr>
      <w:color w:val="0000FF" w:themeColor="hyperlink"/>
      <w:u w:val="single"/>
    </w:rPr>
  </w:style>
  <w:style w:type="paragraph" w:styleId="BalloonText">
    <w:name w:val="Balloon Text"/>
    <w:basedOn w:val="Normal"/>
    <w:link w:val="BalloonTextChar"/>
    <w:uiPriority w:val="99"/>
    <w:semiHidden/>
    <w:unhideWhenUsed/>
    <w:rsid w:val="000278F2"/>
    <w:rPr>
      <w:rFonts w:ascii="Tahoma" w:hAnsi="Tahoma" w:cs="Tahoma"/>
      <w:sz w:val="16"/>
      <w:szCs w:val="16"/>
    </w:rPr>
  </w:style>
  <w:style w:type="character" w:customStyle="1" w:styleId="BalloonTextChar">
    <w:name w:val="Balloon Text Char"/>
    <w:basedOn w:val="DefaultParagraphFont"/>
    <w:link w:val="BalloonText"/>
    <w:uiPriority w:val="99"/>
    <w:semiHidden/>
    <w:rsid w:val="000278F2"/>
    <w:rPr>
      <w:rFonts w:ascii="Tahoma" w:hAnsi="Tahoma" w:cs="Tahoma"/>
      <w:sz w:val="16"/>
      <w:szCs w:val="16"/>
    </w:rPr>
  </w:style>
  <w:style w:type="table" w:styleId="LightShading-Accent1">
    <w:name w:val="Light Shading Accent 1"/>
    <w:basedOn w:val="TableNormal"/>
    <w:uiPriority w:val="60"/>
    <w:rsid w:val="006F704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646FF"/>
    <w:pPr>
      <w:contextualSpacing/>
    </w:pPr>
  </w:style>
  <w:style w:type="paragraph" w:styleId="TOC2">
    <w:name w:val="toc 2"/>
    <w:basedOn w:val="Normal"/>
    <w:next w:val="Normal"/>
    <w:autoRedefine/>
    <w:uiPriority w:val="39"/>
    <w:unhideWhenUsed/>
    <w:rsid w:val="00DD27F3"/>
    <w:pPr>
      <w:tabs>
        <w:tab w:val="right" w:leader="dot" w:pos="9350"/>
      </w:tabs>
      <w:spacing w:after="100"/>
      <w:ind w:left="360" w:hanging="140"/>
    </w:pPr>
  </w:style>
  <w:style w:type="paragraph" w:styleId="TOC3">
    <w:name w:val="toc 3"/>
    <w:basedOn w:val="Normal"/>
    <w:next w:val="Normal"/>
    <w:autoRedefine/>
    <w:uiPriority w:val="39"/>
    <w:unhideWhenUsed/>
    <w:rsid w:val="00580D1C"/>
    <w:pPr>
      <w:tabs>
        <w:tab w:val="left" w:pos="1100"/>
        <w:tab w:val="right" w:leader="dot" w:pos="9350"/>
      </w:tabs>
      <w:spacing w:after="40"/>
      <w:ind w:left="547"/>
    </w:pPr>
  </w:style>
  <w:style w:type="paragraph" w:styleId="TOC4">
    <w:name w:val="toc 4"/>
    <w:basedOn w:val="Normal"/>
    <w:next w:val="Normal"/>
    <w:autoRedefine/>
    <w:uiPriority w:val="39"/>
    <w:unhideWhenUsed/>
    <w:rsid w:val="0022434F"/>
    <w:pPr>
      <w:spacing w:after="100"/>
      <w:ind w:left="660"/>
    </w:pPr>
    <w:rPr>
      <w:rFonts w:eastAsiaTheme="minorEastAsia"/>
    </w:rPr>
  </w:style>
  <w:style w:type="paragraph" w:styleId="TOC5">
    <w:name w:val="toc 5"/>
    <w:basedOn w:val="Normal"/>
    <w:next w:val="Normal"/>
    <w:autoRedefine/>
    <w:uiPriority w:val="39"/>
    <w:unhideWhenUsed/>
    <w:rsid w:val="0022434F"/>
    <w:pPr>
      <w:spacing w:after="100"/>
      <w:ind w:left="880"/>
    </w:pPr>
    <w:rPr>
      <w:rFonts w:eastAsiaTheme="minorEastAsia"/>
    </w:rPr>
  </w:style>
  <w:style w:type="paragraph" w:styleId="TOC6">
    <w:name w:val="toc 6"/>
    <w:basedOn w:val="Normal"/>
    <w:next w:val="Normal"/>
    <w:autoRedefine/>
    <w:uiPriority w:val="39"/>
    <w:unhideWhenUsed/>
    <w:rsid w:val="0022434F"/>
    <w:pPr>
      <w:spacing w:after="100"/>
      <w:ind w:left="1100"/>
    </w:pPr>
    <w:rPr>
      <w:rFonts w:eastAsiaTheme="minorEastAsia"/>
    </w:rPr>
  </w:style>
  <w:style w:type="paragraph" w:styleId="TOC7">
    <w:name w:val="toc 7"/>
    <w:basedOn w:val="Normal"/>
    <w:next w:val="Normal"/>
    <w:autoRedefine/>
    <w:uiPriority w:val="39"/>
    <w:unhideWhenUsed/>
    <w:rsid w:val="0022434F"/>
    <w:pPr>
      <w:spacing w:after="100"/>
      <w:ind w:left="1320"/>
    </w:pPr>
    <w:rPr>
      <w:rFonts w:eastAsiaTheme="minorEastAsia"/>
    </w:rPr>
  </w:style>
  <w:style w:type="paragraph" w:styleId="TOC8">
    <w:name w:val="toc 8"/>
    <w:basedOn w:val="Normal"/>
    <w:next w:val="Normal"/>
    <w:autoRedefine/>
    <w:uiPriority w:val="39"/>
    <w:unhideWhenUsed/>
    <w:rsid w:val="0022434F"/>
    <w:pPr>
      <w:spacing w:after="100"/>
      <w:ind w:left="1540"/>
    </w:pPr>
    <w:rPr>
      <w:rFonts w:eastAsiaTheme="minorEastAsia"/>
    </w:rPr>
  </w:style>
  <w:style w:type="paragraph" w:styleId="TOC9">
    <w:name w:val="toc 9"/>
    <w:basedOn w:val="Normal"/>
    <w:next w:val="Normal"/>
    <w:autoRedefine/>
    <w:uiPriority w:val="39"/>
    <w:unhideWhenUsed/>
    <w:rsid w:val="0022434F"/>
    <w:pPr>
      <w:spacing w:after="100"/>
      <w:ind w:left="1760"/>
    </w:pPr>
    <w:rPr>
      <w:rFonts w:eastAsiaTheme="minorEastAsia"/>
    </w:rPr>
  </w:style>
  <w:style w:type="paragraph" w:styleId="NoSpacing">
    <w:name w:val="No Spacing"/>
    <w:link w:val="NoSpacingChar"/>
    <w:uiPriority w:val="1"/>
    <w:qFormat/>
    <w:rsid w:val="0069194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91946"/>
    <w:rPr>
      <w:rFonts w:eastAsiaTheme="minorEastAsia"/>
      <w:lang w:eastAsia="ja-JP"/>
    </w:rPr>
  </w:style>
  <w:style w:type="paragraph" w:styleId="Header">
    <w:name w:val="header"/>
    <w:basedOn w:val="Normal"/>
    <w:link w:val="HeaderChar"/>
    <w:uiPriority w:val="99"/>
    <w:unhideWhenUsed/>
    <w:rsid w:val="00691946"/>
    <w:pPr>
      <w:tabs>
        <w:tab w:val="center" w:pos="4680"/>
        <w:tab w:val="right" w:pos="9360"/>
      </w:tabs>
    </w:pPr>
  </w:style>
  <w:style w:type="character" w:customStyle="1" w:styleId="HeaderChar">
    <w:name w:val="Header Char"/>
    <w:basedOn w:val="DefaultParagraphFont"/>
    <w:link w:val="Header"/>
    <w:uiPriority w:val="99"/>
    <w:rsid w:val="00691946"/>
  </w:style>
  <w:style w:type="paragraph" w:styleId="Footer">
    <w:name w:val="footer"/>
    <w:basedOn w:val="Normal"/>
    <w:link w:val="FooterChar"/>
    <w:uiPriority w:val="99"/>
    <w:unhideWhenUsed/>
    <w:rsid w:val="00691946"/>
    <w:pPr>
      <w:tabs>
        <w:tab w:val="center" w:pos="4680"/>
        <w:tab w:val="right" w:pos="9360"/>
      </w:tabs>
    </w:pPr>
  </w:style>
  <w:style w:type="character" w:customStyle="1" w:styleId="FooterChar">
    <w:name w:val="Footer Char"/>
    <w:basedOn w:val="DefaultParagraphFont"/>
    <w:link w:val="Footer"/>
    <w:uiPriority w:val="99"/>
    <w:rsid w:val="00691946"/>
  </w:style>
  <w:style w:type="character" w:styleId="PlaceholderText">
    <w:name w:val="Placeholder Text"/>
    <w:basedOn w:val="DefaultParagraphFont"/>
    <w:uiPriority w:val="99"/>
    <w:semiHidden/>
    <w:rsid w:val="00E84AEA"/>
    <w:rPr>
      <w:color w:val="808080"/>
    </w:rPr>
  </w:style>
  <w:style w:type="character" w:styleId="CommentReference">
    <w:name w:val="annotation reference"/>
    <w:basedOn w:val="DefaultParagraphFont"/>
    <w:uiPriority w:val="99"/>
    <w:semiHidden/>
    <w:unhideWhenUsed/>
    <w:rsid w:val="00395146"/>
    <w:rPr>
      <w:sz w:val="16"/>
      <w:szCs w:val="16"/>
    </w:rPr>
  </w:style>
  <w:style w:type="paragraph" w:styleId="CommentText">
    <w:name w:val="annotation text"/>
    <w:basedOn w:val="Normal"/>
    <w:link w:val="CommentTextChar"/>
    <w:uiPriority w:val="99"/>
    <w:unhideWhenUsed/>
    <w:rsid w:val="00395146"/>
    <w:rPr>
      <w:sz w:val="20"/>
      <w:szCs w:val="20"/>
    </w:rPr>
  </w:style>
  <w:style w:type="character" w:customStyle="1" w:styleId="CommentTextChar">
    <w:name w:val="Comment Text Char"/>
    <w:basedOn w:val="DefaultParagraphFont"/>
    <w:link w:val="CommentText"/>
    <w:uiPriority w:val="99"/>
    <w:rsid w:val="00395146"/>
    <w:rPr>
      <w:sz w:val="20"/>
      <w:szCs w:val="20"/>
    </w:rPr>
  </w:style>
  <w:style w:type="paragraph" w:styleId="CommentSubject">
    <w:name w:val="annotation subject"/>
    <w:basedOn w:val="CommentText"/>
    <w:next w:val="CommentText"/>
    <w:link w:val="CommentSubjectChar"/>
    <w:uiPriority w:val="99"/>
    <w:semiHidden/>
    <w:unhideWhenUsed/>
    <w:rsid w:val="00395146"/>
    <w:rPr>
      <w:b/>
      <w:bCs/>
    </w:rPr>
  </w:style>
  <w:style w:type="character" w:customStyle="1" w:styleId="CommentSubjectChar">
    <w:name w:val="Comment Subject Char"/>
    <w:basedOn w:val="CommentTextChar"/>
    <w:link w:val="CommentSubject"/>
    <w:uiPriority w:val="99"/>
    <w:semiHidden/>
    <w:rsid w:val="00395146"/>
    <w:rPr>
      <w:b/>
      <w:bCs/>
      <w:sz w:val="20"/>
      <w:szCs w:val="20"/>
    </w:rPr>
  </w:style>
  <w:style w:type="paragraph" w:styleId="Revision">
    <w:name w:val="Revision"/>
    <w:hidden/>
    <w:uiPriority w:val="99"/>
    <w:semiHidden/>
    <w:rsid w:val="00837B83"/>
    <w:pPr>
      <w:spacing w:after="0" w:line="240" w:lineRule="auto"/>
    </w:pPr>
  </w:style>
  <w:style w:type="character" w:styleId="FollowedHyperlink">
    <w:name w:val="FollowedHyperlink"/>
    <w:basedOn w:val="DefaultParagraphFont"/>
    <w:uiPriority w:val="99"/>
    <w:semiHidden/>
    <w:unhideWhenUsed/>
    <w:rsid w:val="00B23E26"/>
    <w:rPr>
      <w:color w:val="800080" w:themeColor="followedHyperlink"/>
      <w:u w:val="single"/>
    </w:rPr>
  </w:style>
  <w:style w:type="character" w:styleId="Emphasis">
    <w:name w:val="Emphasis"/>
    <w:basedOn w:val="DefaultParagraphFont"/>
    <w:uiPriority w:val="20"/>
    <w:qFormat/>
    <w:rsid w:val="00177319"/>
    <w:rPr>
      <w:i/>
      <w:iCs/>
    </w:rPr>
  </w:style>
  <w:style w:type="character" w:customStyle="1" w:styleId="apple-converted-space">
    <w:name w:val="apple-converted-space"/>
    <w:basedOn w:val="DefaultParagraphFont"/>
    <w:rsid w:val="00177319"/>
  </w:style>
  <w:style w:type="paragraph" w:styleId="FootnoteText">
    <w:name w:val="footnote text"/>
    <w:basedOn w:val="Normal"/>
    <w:link w:val="FootnoteTextChar"/>
    <w:uiPriority w:val="99"/>
    <w:semiHidden/>
    <w:unhideWhenUsed/>
    <w:rsid w:val="00702B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02B6D"/>
    <w:rPr>
      <w:sz w:val="20"/>
      <w:szCs w:val="20"/>
    </w:rPr>
  </w:style>
  <w:style w:type="character" w:styleId="FootnoteReference">
    <w:name w:val="footnote reference"/>
    <w:basedOn w:val="DefaultParagraphFont"/>
    <w:uiPriority w:val="99"/>
    <w:semiHidden/>
    <w:unhideWhenUsed/>
    <w:rsid w:val="00702B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10">
      <w:bodyDiv w:val="1"/>
      <w:marLeft w:val="0"/>
      <w:marRight w:val="0"/>
      <w:marTop w:val="0"/>
      <w:marBottom w:val="0"/>
      <w:divBdr>
        <w:top w:val="none" w:sz="0" w:space="0" w:color="auto"/>
        <w:left w:val="none" w:sz="0" w:space="0" w:color="auto"/>
        <w:bottom w:val="none" w:sz="0" w:space="0" w:color="auto"/>
        <w:right w:val="none" w:sz="0" w:space="0" w:color="auto"/>
      </w:divBdr>
    </w:div>
    <w:div w:id="106242804">
      <w:bodyDiv w:val="1"/>
      <w:marLeft w:val="0"/>
      <w:marRight w:val="0"/>
      <w:marTop w:val="0"/>
      <w:marBottom w:val="0"/>
      <w:divBdr>
        <w:top w:val="none" w:sz="0" w:space="0" w:color="auto"/>
        <w:left w:val="none" w:sz="0" w:space="0" w:color="auto"/>
        <w:bottom w:val="none" w:sz="0" w:space="0" w:color="auto"/>
        <w:right w:val="none" w:sz="0" w:space="0" w:color="auto"/>
      </w:divBdr>
    </w:div>
    <w:div w:id="124087917">
      <w:bodyDiv w:val="1"/>
      <w:marLeft w:val="0"/>
      <w:marRight w:val="0"/>
      <w:marTop w:val="0"/>
      <w:marBottom w:val="0"/>
      <w:divBdr>
        <w:top w:val="none" w:sz="0" w:space="0" w:color="auto"/>
        <w:left w:val="none" w:sz="0" w:space="0" w:color="auto"/>
        <w:bottom w:val="none" w:sz="0" w:space="0" w:color="auto"/>
        <w:right w:val="none" w:sz="0" w:space="0" w:color="auto"/>
      </w:divBdr>
    </w:div>
    <w:div w:id="125128735">
      <w:bodyDiv w:val="1"/>
      <w:marLeft w:val="0"/>
      <w:marRight w:val="0"/>
      <w:marTop w:val="0"/>
      <w:marBottom w:val="0"/>
      <w:divBdr>
        <w:top w:val="none" w:sz="0" w:space="0" w:color="auto"/>
        <w:left w:val="none" w:sz="0" w:space="0" w:color="auto"/>
        <w:bottom w:val="none" w:sz="0" w:space="0" w:color="auto"/>
        <w:right w:val="none" w:sz="0" w:space="0" w:color="auto"/>
      </w:divBdr>
    </w:div>
    <w:div w:id="172384748">
      <w:bodyDiv w:val="1"/>
      <w:marLeft w:val="0"/>
      <w:marRight w:val="0"/>
      <w:marTop w:val="0"/>
      <w:marBottom w:val="0"/>
      <w:divBdr>
        <w:top w:val="none" w:sz="0" w:space="0" w:color="auto"/>
        <w:left w:val="none" w:sz="0" w:space="0" w:color="auto"/>
        <w:bottom w:val="none" w:sz="0" w:space="0" w:color="auto"/>
        <w:right w:val="none" w:sz="0" w:space="0" w:color="auto"/>
      </w:divBdr>
    </w:div>
    <w:div w:id="183062332">
      <w:bodyDiv w:val="1"/>
      <w:marLeft w:val="0"/>
      <w:marRight w:val="0"/>
      <w:marTop w:val="0"/>
      <w:marBottom w:val="0"/>
      <w:divBdr>
        <w:top w:val="none" w:sz="0" w:space="0" w:color="auto"/>
        <w:left w:val="none" w:sz="0" w:space="0" w:color="auto"/>
        <w:bottom w:val="none" w:sz="0" w:space="0" w:color="auto"/>
        <w:right w:val="none" w:sz="0" w:space="0" w:color="auto"/>
      </w:divBdr>
    </w:div>
    <w:div w:id="210921800">
      <w:bodyDiv w:val="1"/>
      <w:marLeft w:val="0"/>
      <w:marRight w:val="0"/>
      <w:marTop w:val="0"/>
      <w:marBottom w:val="0"/>
      <w:divBdr>
        <w:top w:val="none" w:sz="0" w:space="0" w:color="auto"/>
        <w:left w:val="none" w:sz="0" w:space="0" w:color="auto"/>
        <w:bottom w:val="none" w:sz="0" w:space="0" w:color="auto"/>
        <w:right w:val="none" w:sz="0" w:space="0" w:color="auto"/>
      </w:divBdr>
    </w:div>
    <w:div w:id="250478867">
      <w:bodyDiv w:val="1"/>
      <w:marLeft w:val="0"/>
      <w:marRight w:val="0"/>
      <w:marTop w:val="0"/>
      <w:marBottom w:val="0"/>
      <w:divBdr>
        <w:top w:val="none" w:sz="0" w:space="0" w:color="auto"/>
        <w:left w:val="none" w:sz="0" w:space="0" w:color="auto"/>
        <w:bottom w:val="none" w:sz="0" w:space="0" w:color="auto"/>
        <w:right w:val="none" w:sz="0" w:space="0" w:color="auto"/>
      </w:divBdr>
    </w:div>
    <w:div w:id="288367472">
      <w:bodyDiv w:val="1"/>
      <w:marLeft w:val="0"/>
      <w:marRight w:val="0"/>
      <w:marTop w:val="0"/>
      <w:marBottom w:val="0"/>
      <w:divBdr>
        <w:top w:val="none" w:sz="0" w:space="0" w:color="auto"/>
        <w:left w:val="none" w:sz="0" w:space="0" w:color="auto"/>
        <w:bottom w:val="none" w:sz="0" w:space="0" w:color="auto"/>
        <w:right w:val="none" w:sz="0" w:space="0" w:color="auto"/>
      </w:divBdr>
    </w:div>
    <w:div w:id="309362672">
      <w:bodyDiv w:val="1"/>
      <w:marLeft w:val="0"/>
      <w:marRight w:val="0"/>
      <w:marTop w:val="0"/>
      <w:marBottom w:val="0"/>
      <w:divBdr>
        <w:top w:val="none" w:sz="0" w:space="0" w:color="auto"/>
        <w:left w:val="none" w:sz="0" w:space="0" w:color="auto"/>
        <w:bottom w:val="none" w:sz="0" w:space="0" w:color="auto"/>
        <w:right w:val="none" w:sz="0" w:space="0" w:color="auto"/>
      </w:divBdr>
    </w:div>
    <w:div w:id="320625603">
      <w:bodyDiv w:val="1"/>
      <w:marLeft w:val="0"/>
      <w:marRight w:val="0"/>
      <w:marTop w:val="0"/>
      <w:marBottom w:val="0"/>
      <w:divBdr>
        <w:top w:val="none" w:sz="0" w:space="0" w:color="auto"/>
        <w:left w:val="none" w:sz="0" w:space="0" w:color="auto"/>
        <w:bottom w:val="none" w:sz="0" w:space="0" w:color="auto"/>
        <w:right w:val="none" w:sz="0" w:space="0" w:color="auto"/>
      </w:divBdr>
    </w:div>
    <w:div w:id="320890411">
      <w:bodyDiv w:val="1"/>
      <w:marLeft w:val="0"/>
      <w:marRight w:val="0"/>
      <w:marTop w:val="0"/>
      <w:marBottom w:val="0"/>
      <w:divBdr>
        <w:top w:val="none" w:sz="0" w:space="0" w:color="auto"/>
        <w:left w:val="none" w:sz="0" w:space="0" w:color="auto"/>
        <w:bottom w:val="none" w:sz="0" w:space="0" w:color="auto"/>
        <w:right w:val="none" w:sz="0" w:space="0" w:color="auto"/>
      </w:divBdr>
    </w:div>
    <w:div w:id="323552800">
      <w:bodyDiv w:val="1"/>
      <w:marLeft w:val="0"/>
      <w:marRight w:val="0"/>
      <w:marTop w:val="0"/>
      <w:marBottom w:val="0"/>
      <w:divBdr>
        <w:top w:val="none" w:sz="0" w:space="0" w:color="auto"/>
        <w:left w:val="none" w:sz="0" w:space="0" w:color="auto"/>
        <w:bottom w:val="none" w:sz="0" w:space="0" w:color="auto"/>
        <w:right w:val="none" w:sz="0" w:space="0" w:color="auto"/>
      </w:divBdr>
    </w:div>
    <w:div w:id="349530397">
      <w:bodyDiv w:val="1"/>
      <w:marLeft w:val="0"/>
      <w:marRight w:val="0"/>
      <w:marTop w:val="0"/>
      <w:marBottom w:val="0"/>
      <w:divBdr>
        <w:top w:val="none" w:sz="0" w:space="0" w:color="auto"/>
        <w:left w:val="none" w:sz="0" w:space="0" w:color="auto"/>
        <w:bottom w:val="none" w:sz="0" w:space="0" w:color="auto"/>
        <w:right w:val="none" w:sz="0" w:space="0" w:color="auto"/>
      </w:divBdr>
    </w:div>
    <w:div w:id="350767455">
      <w:bodyDiv w:val="1"/>
      <w:marLeft w:val="0"/>
      <w:marRight w:val="0"/>
      <w:marTop w:val="0"/>
      <w:marBottom w:val="0"/>
      <w:divBdr>
        <w:top w:val="none" w:sz="0" w:space="0" w:color="auto"/>
        <w:left w:val="none" w:sz="0" w:space="0" w:color="auto"/>
        <w:bottom w:val="none" w:sz="0" w:space="0" w:color="auto"/>
        <w:right w:val="none" w:sz="0" w:space="0" w:color="auto"/>
      </w:divBdr>
    </w:div>
    <w:div w:id="362295044">
      <w:bodyDiv w:val="1"/>
      <w:marLeft w:val="0"/>
      <w:marRight w:val="0"/>
      <w:marTop w:val="0"/>
      <w:marBottom w:val="0"/>
      <w:divBdr>
        <w:top w:val="none" w:sz="0" w:space="0" w:color="auto"/>
        <w:left w:val="none" w:sz="0" w:space="0" w:color="auto"/>
        <w:bottom w:val="none" w:sz="0" w:space="0" w:color="auto"/>
        <w:right w:val="none" w:sz="0" w:space="0" w:color="auto"/>
      </w:divBdr>
    </w:div>
    <w:div w:id="393047773">
      <w:bodyDiv w:val="1"/>
      <w:marLeft w:val="0"/>
      <w:marRight w:val="0"/>
      <w:marTop w:val="0"/>
      <w:marBottom w:val="0"/>
      <w:divBdr>
        <w:top w:val="none" w:sz="0" w:space="0" w:color="auto"/>
        <w:left w:val="none" w:sz="0" w:space="0" w:color="auto"/>
        <w:bottom w:val="none" w:sz="0" w:space="0" w:color="auto"/>
        <w:right w:val="none" w:sz="0" w:space="0" w:color="auto"/>
      </w:divBdr>
    </w:div>
    <w:div w:id="396708321">
      <w:bodyDiv w:val="1"/>
      <w:marLeft w:val="0"/>
      <w:marRight w:val="0"/>
      <w:marTop w:val="0"/>
      <w:marBottom w:val="0"/>
      <w:divBdr>
        <w:top w:val="none" w:sz="0" w:space="0" w:color="auto"/>
        <w:left w:val="none" w:sz="0" w:space="0" w:color="auto"/>
        <w:bottom w:val="none" w:sz="0" w:space="0" w:color="auto"/>
        <w:right w:val="none" w:sz="0" w:space="0" w:color="auto"/>
      </w:divBdr>
    </w:div>
    <w:div w:id="397094397">
      <w:bodyDiv w:val="1"/>
      <w:marLeft w:val="0"/>
      <w:marRight w:val="0"/>
      <w:marTop w:val="0"/>
      <w:marBottom w:val="0"/>
      <w:divBdr>
        <w:top w:val="none" w:sz="0" w:space="0" w:color="auto"/>
        <w:left w:val="none" w:sz="0" w:space="0" w:color="auto"/>
        <w:bottom w:val="none" w:sz="0" w:space="0" w:color="auto"/>
        <w:right w:val="none" w:sz="0" w:space="0" w:color="auto"/>
      </w:divBdr>
    </w:div>
    <w:div w:id="426970603">
      <w:bodyDiv w:val="1"/>
      <w:marLeft w:val="0"/>
      <w:marRight w:val="0"/>
      <w:marTop w:val="0"/>
      <w:marBottom w:val="0"/>
      <w:divBdr>
        <w:top w:val="none" w:sz="0" w:space="0" w:color="auto"/>
        <w:left w:val="none" w:sz="0" w:space="0" w:color="auto"/>
        <w:bottom w:val="none" w:sz="0" w:space="0" w:color="auto"/>
        <w:right w:val="none" w:sz="0" w:space="0" w:color="auto"/>
      </w:divBdr>
    </w:div>
    <w:div w:id="456069294">
      <w:bodyDiv w:val="1"/>
      <w:marLeft w:val="0"/>
      <w:marRight w:val="0"/>
      <w:marTop w:val="0"/>
      <w:marBottom w:val="0"/>
      <w:divBdr>
        <w:top w:val="none" w:sz="0" w:space="0" w:color="auto"/>
        <w:left w:val="none" w:sz="0" w:space="0" w:color="auto"/>
        <w:bottom w:val="none" w:sz="0" w:space="0" w:color="auto"/>
        <w:right w:val="none" w:sz="0" w:space="0" w:color="auto"/>
      </w:divBdr>
    </w:div>
    <w:div w:id="494030788">
      <w:bodyDiv w:val="1"/>
      <w:marLeft w:val="0"/>
      <w:marRight w:val="0"/>
      <w:marTop w:val="0"/>
      <w:marBottom w:val="0"/>
      <w:divBdr>
        <w:top w:val="none" w:sz="0" w:space="0" w:color="auto"/>
        <w:left w:val="none" w:sz="0" w:space="0" w:color="auto"/>
        <w:bottom w:val="none" w:sz="0" w:space="0" w:color="auto"/>
        <w:right w:val="none" w:sz="0" w:space="0" w:color="auto"/>
      </w:divBdr>
    </w:div>
    <w:div w:id="528026091">
      <w:bodyDiv w:val="1"/>
      <w:marLeft w:val="0"/>
      <w:marRight w:val="0"/>
      <w:marTop w:val="0"/>
      <w:marBottom w:val="0"/>
      <w:divBdr>
        <w:top w:val="none" w:sz="0" w:space="0" w:color="auto"/>
        <w:left w:val="none" w:sz="0" w:space="0" w:color="auto"/>
        <w:bottom w:val="none" w:sz="0" w:space="0" w:color="auto"/>
        <w:right w:val="none" w:sz="0" w:space="0" w:color="auto"/>
      </w:divBdr>
      <w:divsChild>
        <w:div w:id="869955519">
          <w:marLeft w:val="1181"/>
          <w:marRight w:val="0"/>
          <w:marTop w:val="72"/>
          <w:marBottom w:val="72"/>
          <w:divBdr>
            <w:top w:val="none" w:sz="0" w:space="0" w:color="auto"/>
            <w:left w:val="none" w:sz="0" w:space="0" w:color="auto"/>
            <w:bottom w:val="none" w:sz="0" w:space="0" w:color="auto"/>
            <w:right w:val="none" w:sz="0" w:space="0" w:color="auto"/>
          </w:divBdr>
        </w:div>
        <w:div w:id="1079861128">
          <w:marLeft w:val="1181"/>
          <w:marRight w:val="0"/>
          <w:marTop w:val="72"/>
          <w:marBottom w:val="72"/>
          <w:divBdr>
            <w:top w:val="none" w:sz="0" w:space="0" w:color="auto"/>
            <w:left w:val="none" w:sz="0" w:space="0" w:color="auto"/>
            <w:bottom w:val="none" w:sz="0" w:space="0" w:color="auto"/>
            <w:right w:val="none" w:sz="0" w:space="0" w:color="auto"/>
          </w:divBdr>
        </w:div>
        <w:div w:id="1271278682">
          <w:marLeft w:val="1181"/>
          <w:marRight w:val="0"/>
          <w:marTop w:val="72"/>
          <w:marBottom w:val="72"/>
          <w:divBdr>
            <w:top w:val="none" w:sz="0" w:space="0" w:color="auto"/>
            <w:left w:val="none" w:sz="0" w:space="0" w:color="auto"/>
            <w:bottom w:val="none" w:sz="0" w:space="0" w:color="auto"/>
            <w:right w:val="none" w:sz="0" w:space="0" w:color="auto"/>
          </w:divBdr>
        </w:div>
      </w:divsChild>
    </w:div>
    <w:div w:id="533471147">
      <w:bodyDiv w:val="1"/>
      <w:marLeft w:val="0"/>
      <w:marRight w:val="0"/>
      <w:marTop w:val="0"/>
      <w:marBottom w:val="0"/>
      <w:divBdr>
        <w:top w:val="none" w:sz="0" w:space="0" w:color="auto"/>
        <w:left w:val="none" w:sz="0" w:space="0" w:color="auto"/>
        <w:bottom w:val="none" w:sz="0" w:space="0" w:color="auto"/>
        <w:right w:val="none" w:sz="0" w:space="0" w:color="auto"/>
      </w:divBdr>
    </w:div>
    <w:div w:id="564729671">
      <w:bodyDiv w:val="1"/>
      <w:marLeft w:val="0"/>
      <w:marRight w:val="0"/>
      <w:marTop w:val="0"/>
      <w:marBottom w:val="0"/>
      <w:divBdr>
        <w:top w:val="none" w:sz="0" w:space="0" w:color="auto"/>
        <w:left w:val="none" w:sz="0" w:space="0" w:color="auto"/>
        <w:bottom w:val="none" w:sz="0" w:space="0" w:color="auto"/>
        <w:right w:val="none" w:sz="0" w:space="0" w:color="auto"/>
      </w:divBdr>
    </w:div>
    <w:div w:id="605191758">
      <w:bodyDiv w:val="1"/>
      <w:marLeft w:val="0"/>
      <w:marRight w:val="0"/>
      <w:marTop w:val="0"/>
      <w:marBottom w:val="0"/>
      <w:divBdr>
        <w:top w:val="none" w:sz="0" w:space="0" w:color="auto"/>
        <w:left w:val="none" w:sz="0" w:space="0" w:color="auto"/>
        <w:bottom w:val="none" w:sz="0" w:space="0" w:color="auto"/>
        <w:right w:val="none" w:sz="0" w:space="0" w:color="auto"/>
      </w:divBdr>
    </w:div>
    <w:div w:id="616908260">
      <w:bodyDiv w:val="1"/>
      <w:marLeft w:val="0"/>
      <w:marRight w:val="0"/>
      <w:marTop w:val="0"/>
      <w:marBottom w:val="0"/>
      <w:divBdr>
        <w:top w:val="none" w:sz="0" w:space="0" w:color="auto"/>
        <w:left w:val="none" w:sz="0" w:space="0" w:color="auto"/>
        <w:bottom w:val="none" w:sz="0" w:space="0" w:color="auto"/>
        <w:right w:val="none" w:sz="0" w:space="0" w:color="auto"/>
      </w:divBdr>
    </w:div>
    <w:div w:id="618603933">
      <w:bodyDiv w:val="1"/>
      <w:marLeft w:val="0"/>
      <w:marRight w:val="0"/>
      <w:marTop w:val="0"/>
      <w:marBottom w:val="0"/>
      <w:divBdr>
        <w:top w:val="none" w:sz="0" w:space="0" w:color="auto"/>
        <w:left w:val="none" w:sz="0" w:space="0" w:color="auto"/>
        <w:bottom w:val="none" w:sz="0" w:space="0" w:color="auto"/>
        <w:right w:val="none" w:sz="0" w:space="0" w:color="auto"/>
      </w:divBdr>
    </w:div>
    <w:div w:id="626395976">
      <w:bodyDiv w:val="1"/>
      <w:marLeft w:val="0"/>
      <w:marRight w:val="0"/>
      <w:marTop w:val="0"/>
      <w:marBottom w:val="0"/>
      <w:divBdr>
        <w:top w:val="none" w:sz="0" w:space="0" w:color="auto"/>
        <w:left w:val="none" w:sz="0" w:space="0" w:color="auto"/>
        <w:bottom w:val="none" w:sz="0" w:space="0" w:color="auto"/>
        <w:right w:val="none" w:sz="0" w:space="0" w:color="auto"/>
      </w:divBdr>
    </w:div>
    <w:div w:id="661617427">
      <w:bodyDiv w:val="1"/>
      <w:marLeft w:val="0"/>
      <w:marRight w:val="0"/>
      <w:marTop w:val="0"/>
      <w:marBottom w:val="0"/>
      <w:divBdr>
        <w:top w:val="none" w:sz="0" w:space="0" w:color="auto"/>
        <w:left w:val="none" w:sz="0" w:space="0" w:color="auto"/>
        <w:bottom w:val="none" w:sz="0" w:space="0" w:color="auto"/>
        <w:right w:val="none" w:sz="0" w:space="0" w:color="auto"/>
      </w:divBdr>
    </w:div>
    <w:div w:id="662972652">
      <w:bodyDiv w:val="1"/>
      <w:marLeft w:val="0"/>
      <w:marRight w:val="0"/>
      <w:marTop w:val="0"/>
      <w:marBottom w:val="0"/>
      <w:divBdr>
        <w:top w:val="none" w:sz="0" w:space="0" w:color="auto"/>
        <w:left w:val="none" w:sz="0" w:space="0" w:color="auto"/>
        <w:bottom w:val="none" w:sz="0" w:space="0" w:color="auto"/>
        <w:right w:val="none" w:sz="0" w:space="0" w:color="auto"/>
      </w:divBdr>
    </w:div>
    <w:div w:id="663513460">
      <w:bodyDiv w:val="1"/>
      <w:marLeft w:val="0"/>
      <w:marRight w:val="0"/>
      <w:marTop w:val="0"/>
      <w:marBottom w:val="0"/>
      <w:divBdr>
        <w:top w:val="none" w:sz="0" w:space="0" w:color="auto"/>
        <w:left w:val="none" w:sz="0" w:space="0" w:color="auto"/>
        <w:bottom w:val="none" w:sz="0" w:space="0" w:color="auto"/>
        <w:right w:val="none" w:sz="0" w:space="0" w:color="auto"/>
      </w:divBdr>
    </w:div>
    <w:div w:id="670524686">
      <w:bodyDiv w:val="1"/>
      <w:marLeft w:val="0"/>
      <w:marRight w:val="0"/>
      <w:marTop w:val="0"/>
      <w:marBottom w:val="0"/>
      <w:divBdr>
        <w:top w:val="none" w:sz="0" w:space="0" w:color="auto"/>
        <w:left w:val="none" w:sz="0" w:space="0" w:color="auto"/>
        <w:bottom w:val="none" w:sz="0" w:space="0" w:color="auto"/>
        <w:right w:val="none" w:sz="0" w:space="0" w:color="auto"/>
      </w:divBdr>
    </w:div>
    <w:div w:id="729691724">
      <w:bodyDiv w:val="1"/>
      <w:marLeft w:val="0"/>
      <w:marRight w:val="0"/>
      <w:marTop w:val="0"/>
      <w:marBottom w:val="0"/>
      <w:divBdr>
        <w:top w:val="none" w:sz="0" w:space="0" w:color="auto"/>
        <w:left w:val="none" w:sz="0" w:space="0" w:color="auto"/>
        <w:bottom w:val="none" w:sz="0" w:space="0" w:color="auto"/>
        <w:right w:val="none" w:sz="0" w:space="0" w:color="auto"/>
      </w:divBdr>
    </w:div>
    <w:div w:id="746079659">
      <w:bodyDiv w:val="1"/>
      <w:marLeft w:val="0"/>
      <w:marRight w:val="0"/>
      <w:marTop w:val="0"/>
      <w:marBottom w:val="0"/>
      <w:divBdr>
        <w:top w:val="none" w:sz="0" w:space="0" w:color="auto"/>
        <w:left w:val="none" w:sz="0" w:space="0" w:color="auto"/>
        <w:bottom w:val="none" w:sz="0" w:space="0" w:color="auto"/>
        <w:right w:val="none" w:sz="0" w:space="0" w:color="auto"/>
      </w:divBdr>
    </w:div>
    <w:div w:id="830217746">
      <w:bodyDiv w:val="1"/>
      <w:marLeft w:val="0"/>
      <w:marRight w:val="0"/>
      <w:marTop w:val="0"/>
      <w:marBottom w:val="0"/>
      <w:divBdr>
        <w:top w:val="none" w:sz="0" w:space="0" w:color="auto"/>
        <w:left w:val="none" w:sz="0" w:space="0" w:color="auto"/>
        <w:bottom w:val="none" w:sz="0" w:space="0" w:color="auto"/>
        <w:right w:val="none" w:sz="0" w:space="0" w:color="auto"/>
      </w:divBdr>
    </w:div>
    <w:div w:id="831676326">
      <w:bodyDiv w:val="1"/>
      <w:marLeft w:val="0"/>
      <w:marRight w:val="0"/>
      <w:marTop w:val="0"/>
      <w:marBottom w:val="0"/>
      <w:divBdr>
        <w:top w:val="none" w:sz="0" w:space="0" w:color="auto"/>
        <w:left w:val="none" w:sz="0" w:space="0" w:color="auto"/>
        <w:bottom w:val="none" w:sz="0" w:space="0" w:color="auto"/>
        <w:right w:val="none" w:sz="0" w:space="0" w:color="auto"/>
      </w:divBdr>
    </w:div>
    <w:div w:id="864371800">
      <w:bodyDiv w:val="1"/>
      <w:marLeft w:val="0"/>
      <w:marRight w:val="0"/>
      <w:marTop w:val="0"/>
      <w:marBottom w:val="0"/>
      <w:divBdr>
        <w:top w:val="none" w:sz="0" w:space="0" w:color="auto"/>
        <w:left w:val="none" w:sz="0" w:space="0" w:color="auto"/>
        <w:bottom w:val="none" w:sz="0" w:space="0" w:color="auto"/>
        <w:right w:val="none" w:sz="0" w:space="0" w:color="auto"/>
      </w:divBdr>
    </w:div>
    <w:div w:id="899824387">
      <w:bodyDiv w:val="1"/>
      <w:marLeft w:val="0"/>
      <w:marRight w:val="0"/>
      <w:marTop w:val="0"/>
      <w:marBottom w:val="0"/>
      <w:divBdr>
        <w:top w:val="none" w:sz="0" w:space="0" w:color="auto"/>
        <w:left w:val="none" w:sz="0" w:space="0" w:color="auto"/>
        <w:bottom w:val="none" w:sz="0" w:space="0" w:color="auto"/>
        <w:right w:val="none" w:sz="0" w:space="0" w:color="auto"/>
      </w:divBdr>
    </w:div>
    <w:div w:id="922488916">
      <w:bodyDiv w:val="1"/>
      <w:marLeft w:val="0"/>
      <w:marRight w:val="0"/>
      <w:marTop w:val="0"/>
      <w:marBottom w:val="0"/>
      <w:divBdr>
        <w:top w:val="none" w:sz="0" w:space="0" w:color="auto"/>
        <w:left w:val="none" w:sz="0" w:space="0" w:color="auto"/>
        <w:bottom w:val="none" w:sz="0" w:space="0" w:color="auto"/>
        <w:right w:val="none" w:sz="0" w:space="0" w:color="auto"/>
      </w:divBdr>
    </w:div>
    <w:div w:id="970939701">
      <w:bodyDiv w:val="1"/>
      <w:marLeft w:val="0"/>
      <w:marRight w:val="0"/>
      <w:marTop w:val="0"/>
      <w:marBottom w:val="0"/>
      <w:divBdr>
        <w:top w:val="none" w:sz="0" w:space="0" w:color="auto"/>
        <w:left w:val="none" w:sz="0" w:space="0" w:color="auto"/>
        <w:bottom w:val="none" w:sz="0" w:space="0" w:color="auto"/>
        <w:right w:val="none" w:sz="0" w:space="0" w:color="auto"/>
      </w:divBdr>
    </w:div>
    <w:div w:id="1067220357">
      <w:bodyDiv w:val="1"/>
      <w:marLeft w:val="0"/>
      <w:marRight w:val="0"/>
      <w:marTop w:val="0"/>
      <w:marBottom w:val="0"/>
      <w:divBdr>
        <w:top w:val="none" w:sz="0" w:space="0" w:color="auto"/>
        <w:left w:val="none" w:sz="0" w:space="0" w:color="auto"/>
        <w:bottom w:val="none" w:sz="0" w:space="0" w:color="auto"/>
        <w:right w:val="none" w:sz="0" w:space="0" w:color="auto"/>
      </w:divBdr>
    </w:div>
    <w:div w:id="1094089495">
      <w:bodyDiv w:val="1"/>
      <w:marLeft w:val="0"/>
      <w:marRight w:val="0"/>
      <w:marTop w:val="0"/>
      <w:marBottom w:val="0"/>
      <w:divBdr>
        <w:top w:val="none" w:sz="0" w:space="0" w:color="auto"/>
        <w:left w:val="none" w:sz="0" w:space="0" w:color="auto"/>
        <w:bottom w:val="none" w:sz="0" w:space="0" w:color="auto"/>
        <w:right w:val="none" w:sz="0" w:space="0" w:color="auto"/>
      </w:divBdr>
    </w:div>
    <w:div w:id="1096444433">
      <w:bodyDiv w:val="1"/>
      <w:marLeft w:val="0"/>
      <w:marRight w:val="0"/>
      <w:marTop w:val="0"/>
      <w:marBottom w:val="0"/>
      <w:divBdr>
        <w:top w:val="none" w:sz="0" w:space="0" w:color="auto"/>
        <w:left w:val="none" w:sz="0" w:space="0" w:color="auto"/>
        <w:bottom w:val="none" w:sz="0" w:space="0" w:color="auto"/>
        <w:right w:val="none" w:sz="0" w:space="0" w:color="auto"/>
      </w:divBdr>
    </w:div>
    <w:div w:id="1126389157">
      <w:bodyDiv w:val="1"/>
      <w:marLeft w:val="0"/>
      <w:marRight w:val="0"/>
      <w:marTop w:val="0"/>
      <w:marBottom w:val="0"/>
      <w:divBdr>
        <w:top w:val="none" w:sz="0" w:space="0" w:color="auto"/>
        <w:left w:val="none" w:sz="0" w:space="0" w:color="auto"/>
        <w:bottom w:val="none" w:sz="0" w:space="0" w:color="auto"/>
        <w:right w:val="none" w:sz="0" w:space="0" w:color="auto"/>
      </w:divBdr>
    </w:div>
    <w:div w:id="1169443134">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0"/>
      <w:marRight w:val="0"/>
      <w:marTop w:val="0"/>
      <w:marBottom w:val="0"/>
      <w:divBdr>
        <w:top w:val="none" w:sz="0" w:space="0" w:color="auto"/>
        <w:left w:val="none" w:sz="0" w:space="0" w:color="auto"/>
        <w:bottom w:val="none" w:sz="0" w:space="0" w:color="auto"/>
        <w:right w:val="none" w:sz="0" w:space="0" w:color="auto"/>
      </w:divBdr>
    </w:div>
    <w:div w:id="1268779523">
      <w:bodyDiv w:val="1"/>
      <w:marLeft w:val="0"/>
      <w:marRight w:val="0"/>
      <w:marTop w:val="0"/>
      <w:marBottom w:val="0"/>
      <w:divBdr>
        <w:top w:val="none" w:sz="0" w:space="0" w:color="auto"/>
        <w:left w:val="none" w:sz="0" w:space="0" w:color="auto"/>
        <w:bottom w:val="none" w:sz="0" w:space="0" w:color="auto"/>
        <w:right w:val="none" w:sz="0" w:space="0" w:color="auto"/>
      </w:divBdr>
    </w:div>
    <w:div w:id="1334337248">
      <w:bodyDiv w:val="1"/>
      <w:marLeft w:val="0"/>
      <w:marRight w:val="0"/>
      <w:marTop w:val="0"/>
      <w:marBottom w:val="0"/>
      <w:divBdr>
        <w:top w:val="none" w:sz="0" w:space="0" w:color="auto"/>
        <w:left w:val="none" w:sz="0" w:space="0" w:color="auto"/>
        <w:bottom w:val="none" w:sz="0" w:space="0" w:color="auto"/>
        <w:right w:val="none" w:sz="0" w:space="0" w:color="auto"/>
      </w:divBdr>
    </w:div>
    <w:div w:id="1337422253">
      <w:bodyDiv w:val="1"/>
      <w:marLeft w:val="0"/>
      <w:marRight w:val="0"/>
      <w:marTop w:val="0"/>
      <w:marBottom w:val="0"/>
      <w:divBdr>
        <w:top w:val="none" w:sz="0" w:space="0" w:color="auto"/>
        <w:left w:val="none" w:sz="0" w:space="0" w:color="auto"/>
        <w:bottom w:val="none" w:sz="0" w:space="0" w:color="auto"/>
        <w:right w:val="none" w:sz="0" w:space="0" w:color="auto"/>
      </w:divBdr>
    </w:div>
    <w:div w:id="1467578629">
      <w:bodyDiv w:val="1"/>
      <w:marLeft w:val="0"/>
      <w:marRight w:val="0"/>
      <w:marTop w:val="0"/>
      <w:marBottom w:val="0"/>
      <w:divBdr>
        <w:top w:val="none" w:sz="0" w:space="0" w:color="auto"/>
        <w:left w:val="none" w:sz="0" w:space="0" w:color="auto"/>
        <w:bottom w:val="none" w:sz="0" w:space="0" w:color="auto"/>
        <w:right w:val="none" w:sz="0" w:space="0" w:color="auto"/>
      </w:divBdr>
    </w:div>
    <w:div w:id="1484545488">
      <w:bodyDiv w:val="1"/>
      <w:marLeft w:val="0"/>
      <w:marRight w:val="0"/>
      <w:marTop w:val="0"/>
      <w:marBottom w:val="0"/>
      <w:divBdr>
        <w:top w:val="none" w:sz="0" w:space="0" w:color="auto"/>
        <w:left w:val="none" w:sz="0" w:space="0" w:color="auto"/>
        <w:bottom w:val="none" w:sz="0" w:space="0" w:color="auto"/>
        <w:right w:val="none" w:sz="0" w:space="0" w:color="auto"/>
      </w:divBdr>
    </w:div>
    <w:div w:id="1496070342">
      <w:bodyDiv w:val="1"/>
      <w:marLeft w:val="0"/>
      <w:marRight w:val="0"/>
      <w:marTop w:val="0"/>
      <w:marBottom w:val="0"/>
      <w:divBdr>
        <w:top w:val="none" w:sz="0" w:space="0" w:color="auto"/>
        <w:left w:val="none" w:sz="0" w:space="0" w:color="auto"/>
        <w:bottom w:val="none" w:sz="0" w:space="0" w:color="auto"/>
        <w:right w:val="none" w:sz="0" w:space="0" w:color="auto"/>
      </w:divBdr>
    </w:div>
    <w:div w:id="1506240819">
      <w:bodyDiv w:val="1"/>
      <w:marLeft w:val="0"/>
      <w:marRight w:val="0"/>
      <w:marTop w:val="0"/>
      <w:marBottom w:val="0"/>
      <w:divBdr>
        <w:top w:val="none" w:sz="0" w:space="0" w:color="auto"/>
        <w:left w:val="none" w:sz="0" w:space="0" w:color="auto"/>
        <w:bottom w:val="none" w:sz="0" w:space="0" w:color="auto"/>
        <w:right w:val="none" w:sz="0" w:space="0" w:color="auto"/>
      </w:divBdr>
    </w:div>
    <w:div w:id="1525899928">
      <w:bodyDiv w:val="1"/>
      <w:marLeft w:val="0"/>
      <w:marRight w:val="0"/>
      <w:marTop w:val="0"/>
      <w:marBottom w:val="0"/>
      <w:divBdr>
        <w:top w:val="none" w:sz="0" w:space="0" w:color="auto"/>
        <w:left w:val="none" w:sz="0" w:space="0" w:color="auto"/>
        <w:bottom w:val="none" w:sz="0" w:space="0" w:color="auto"/>
        <w:right w:val="none" w:sz="0" w:space="0" w:color="auto"/>
      </w:divBdr>
    </w:div>
    <w:div w:id="1548027192">
      <w:bodyDiv w:val="1"/>
      <w:marLeft w:val="0"/>
      <w:marRight w:val="0"/>
      <w:marTop w:val="0"/>
      <w:marBottom w:val="0"/>
      <w:divBdr>
        <w:top w:val="none" w:sz="0" w:space="0" w:color="auto"/>
        <w:left w:val="none" w:sz="0" w:space="0" w:color="auto"/>
        <w:bottom w:val="none" w:sz="0" w:space="0" w:color="auto"/>
        <w:right w:val="none" w:sz="0" w:space="0" w:color="auto"/>
      </w:divBdr>
    </w:div>
    <w:div w:id="1671643807">
      <w:bodyDiv w:val="1"/>
      <w:marLeft w:val="0"/>
      <w:marRight w:val="0"/>
      <w:marTop w:val="0"/>
      <w:marBottom w:val="0"/>
      <w:divBdr>
        <w:top w:val="none" w:sz="0" w:space="0" w:color="auto"/>
        <w:left w:val="none" w:sz="0" w:space="0" w:color="auto"/>
        <w:bottom w:val="none" w:sz="0" w:space="0" w:color="auto"/>
        <w:right w:val="none" w:sz="0" w:space="0" w:color="auto"/>
      </w:divBdr>
    </w:div>
    <w:div w:id="1712729506">
      <w:bodyDiv w:val="1"/>
      <w:marLeft w:val="0"/>
      <w:marRight w:val="0"/>
      <w:marTop w:val="0"/>
      <w:marBottom w:val="0"/>
      <w:divBdr>
        <w:top w:val="none" w:sz="0" w:space="0" w:color="auto"/>
        <w:left w:val="none" w:sz="0" w:space="0" w:color="auto"/>
        <w:bottom w:val="none" w:sz="0" w:space="0" w:color="auto"/>
        <w:right w:val="none" w:sz="0" w:space="0" w:color="auto"/>
      </w:divBdr>
    </w:div>
    <w:div w:id="1755669019">
      <w:bodyDiv w:val="1"/>
      <w:marLeft w:val="0"/>
      <w:marRight w:val="0"/>
      <w:marTop w:val="0"/>
      <w:marBottom w:val="0"/>
      <w:divBdr>
        <w:top w:val="none" w:sz="0" w:space="0" w:color="auto"/>
        <w:left w:val="none" w:sz="0" w:space="0" w:color="auto"/>
        <w:bottom w:val="none" w:sz="0" w:space="0" w:color="auto"/>
        <w:right w:val="none" w:sz="0" w:space="0" w:color="auto"/>
      </w:divBdr>
    </w:div>
    <w:div w:id="1800224810">
      <w:bodyDiv w:val="1"/>
      <w:marLeft w:val="0"/>
      <w:marRight w:val="0"/>
      <w:marTop w:val="0"/>
      <w:marBottom w:val="0"/>
      <w:divBdr>
        <w:top w:val="none" w:sz="0" w:space="0" w:color="auto"/>
        <w:left w:val="none" w:sz="0" w:space="0" w:color="auto"/>
        <w:bottom w:val="none" w:sz="0" w:space="0" w:color="auto"/>
        <w:right w:val="none" w:sz="0" w:space="0" w:color="auto"/>
      </w:divBdr>
    </w:div>
    <w:div w:id="1809666331">
      <w:bodyDiv w:val="1"/>
      <w:marLeft w:val="0"/>
      <w:marRight w:val="0"/>
      <w:marTop w:val="0"/>
      <w:marBottom w:val="0"/>
      <w:divBdr>
        <w:top w:val="none" w:sz="0" w:space="0" w:color="auto"/>
        <w:left w:val="none" w:sz="0" w:space="0" w:color="auto"/>
        <w:bottom w:val="none" w:sz="0" w:space="0" w:color="auto"/>
        <w:right w:val="none" w:sz="0" w:space="0" w:color="auto"/>
      </w:divBdr>
    </w:div>
    <w:div w:id="1813018653">
      <w:bodyDiv w:val="1"/>
      <w:marLeft w:val="0"/>
      <w:marRight w:val="0"/>
      <w:marTop w:val="0"/>
      <w:marBottom w:val="0"/>
      <w:divBdr>
        <w:top w:val="none" w:sz="0" w:space="0" w:color="auto"/>
        <w:left w:val="none" w:sz="0" w:space="0" w:color="auto"/>
        <w:bottom w:val="none" w:sz="0" w:space="0" w:color="auto"/>
        <w:right w:val="none" w:sz="0" w:space="0" w:color="auto"/>
      </w:divBdr>
    </w:div>
    <w:div w:id="1825124670">
      <w:bodyDiv w:val="1"/>
      <w:marLeft w:val="0"/>
      <w:marRight w:val="0"/>
      <w:marTop w:val="0"/>
      <w:marBottom w:val="0"/>
      <w:divBdr>
        <w:top w:val="none" w:sz="0" w:space="0" w:color="auto"/>
        <w:left w:val="none" w:sz="0" w:space="0" w:color="auto"/>
        <w:bottom w:val="none" w:sz="0" w:space="0" w:color="auto"/>
        <w:right w:val="none" w:sz="0" w:space="0" w:color="auto"/>
      </w:divBdr>
    </w:div>
    <w:div w:id="1876380898">
      <w:bodyDiv w:val="1"/>
      <w:marLeft w:val="0"/>
      <w:marRight w:val="0"/>
      <w:marTop w:val="0"/>
      <w:marBottom w:val="0"/>
      <w:divBdr>
        <w:top w:val="none" w:sz="0" w:space="0" w:color="auto"/>
        <w:left w:val="none" w:sz="0" w:space="0" w:color="auto"/>
        <w:bottom w:val="none" w:sz="0" w:space="0" w:color="auto"/>
        <w:right w:val="none" w:sz="0" w:space="0" w:color="auto"/>
      </w:divBdr>
    </w:div>
    <w:div w:id="1905411886">
      <w:bodyDiv w:val="1"/>
      <w:marLeft w:val="0"/>
      <w:marRight w:val="0"/>
      <w:marTop w:val="0"/>
      <w:marBottom w:val="0"/>
      <w:divBdr>
        <w:top w:val="none" w:sz="0" w:space="0" w:color="auto"/>
        <w:left w:val="none" w:sz="0" w:space="0" w:color="auto"/>
        <w:bottom w:val="none" w:sz="0" w:space="0" w:color="auto"/>
        <w:right w:val="none" w:sz="0" w:space="0" w:color="auto"/>
      </w:divBdr>
    </w:div>
    <w:div w:id="1998532711">
      <w:bodyDiv w:val="1"/>
      <w:marLeft w:val="0"/>
      <w:marRight w:val="0"/>
      <w:marTop w:val="0"/>
      <w:marBottom w:val="0"/>
      <w:divBdr>
        <w:top w:val="none" w:sz="0" w:space="0" w:color="auto"/>
        <w:left w:val="none" w:sz="0" w:space="0" w:color="auto"/>
        <w:bottom w:val="none" w:sz="0" w:space="0" w:color="auto"/>
        <w:right w:val="none" w:sz="0" w:space="0" w:color="auto"/>
      </w:divBdr>
    </w:div>
    <w:div w:id="21346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mailto:r7ck@pge.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2017-10-26T00:00:00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A8018EC000E34E88836275BFF25EC6" ma:contentTypeVersion="1" ma:contentTypeDescription="Create a new document." ma:contentTypeScope="" ma:versionID="aba84dd27e51bdb77c5bd06ea7d044b6">
  <xsd:schema xmlns:xsd="http://www.w3.org/2001/XMLSchema" xmlns:xs="http://www.w3.org/2001/XMLSchema" xmlns:p="http://schemas.microsoft.com/office/2006/metadata/properties" xmlns:ns2="226c22cb-2e7b-409a-979c-13bbc29b5290" targetNamespace="http://schemas.microsoft.com/office/2006/metadata/properties" ma:root="true" ma:fieldsID="b60a626e13c4721f11b74ac901a0ea6c" ns2:_="">
    <xsd:import namespace="226c22cb-2e7b-409a-979c-13bbc29b52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c22cb-2e7b-409a-979c-13bbc29b52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226c22cb-2e7b-409a-979c-13bbc29b5290">R7ETPU5KFXXN-4-353</_dlc_DocId>
    <_dlc_DocIdUrl xmlns="226c22cb-2e7b-409a-979c-13bbc29b5290">
      <Url>https://sps.utility.pge.com/Sites/CIT/_layouts/15/DocIdRedir.aspx?ID=R7ETPU5KFXXN-4-353</Url>
      <Description>R7ETPU5KFXXN-4-353</Description>
    </_dlc_DocIdUrl>
  </documentManagement>
</p:properties>
</file>

<file path=customXml/item5.xml><?xml version="1.0" encoding="utf-8"?>
<p:properties xmlns:p="http://schemas.microsoft.com/office/2006/metadata/properties" xmlns:xsi="http://www.w3.org/2001/XMLSchema-instance">
  <documentManagement>
    <_dlc_DocId xmlns="226c22cb-2e7b-409a-979c-13bbc29b5290">R7ETPU5KFXXN-4-353</_dlc_DocId>
    <_dlc_DocIdUrl xmlns="226c22cb-2e7b-409a-979c-13bbc29b5290">
      <Url>https://sps.utility.pge.com/Sites/CIT/_layouts/15/DocIdRedir.aspx?ID=R7ETPU5KFXXN-4-353</Url>
      <Description>R7ETPU5KFXXN-4-353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documentManagement>
    <_dlc_DocId xmlns="226c22cb-2e7b-409a-979c-13bbc29b5290">R7ETPU5KFXXN-4-353</_dlc_DocId>
    <_dlc_DocIdUrl xmlns="226c22cb-2e7b-409a-979c-13bbc29b5290">
      <Url>https://sps.utility.pge.com/Sites/CIT/_layouts/15/DocIdRedir.aspx?ID=R7ETPU5KFXXN-4-353</Url>
      <Description>R7ETPU5KFXXN-4-353</Description>
    </_dlc_DocIdUrl>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1E4BCC1-C958-4F44-8B32-F5BBC7D87F09}">
  <ds:schemaRefs>
    <ds:schemaRef ds:uri="http://schemas.openxmlformats.org/officeDocument/2006/bibliography"/>
  </ds:schemaRefs>
</ds:datastoreItem>
</file>

<file path=customXml/itemProps2.xml><?xml version="1.0" encoding="utf-8"?>
<ds:datastoreItem xmlns:ds="http://schemas.openxmlformats.org/officeDocument/2006/customXml" ds:itemID="{B418885A-DDCF-4B87-AB99-A15BD09BF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c22cb-2e7b-409a-979c-13bbc29b5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28E0A-B6F0-4FB1-8477-0D681D98EE29}">
  <ds:schemaRefs>
    <ds:schemaRef ds:uri="http://schemas.microsoft.com/sharepoint/events"/>
  </ds:schemaRefs>
</ds:datastoreItem>
</file>

<file path=customXml/itemProps4.xml><?xml version="1.0" encoding="utf-8"?>
<ds:datastoreItem xmlns:ds="http://schemas.openxmlformats.org/officeDocument/2006/customXml" ds:itemID="{827D03C3-C6AB-4A8A-B5CD-3E887495A9D6}">
  <ds:schemaRef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226c22cb-2e7b-409a-979c-13bbc29b5290"/>
    <ds:schemaRef ds:uri="http://www.w3.org/XML/1998/namespace"/>
  </ds:schemaRefs>
</ds:datastoreItem>
</file>

<file path=customXml/itemProps5.xml><?xml version="1.0" encoding="utf-8"?>
<ds:datastoreItem xmlns:ds="http://schemas.openxmlformats.org/officeDocument/2006/customXml" ds:itemID="{DEC558B4-06CD-44E3-A343-6844165B71E4}">
  <ds:schemaRefs>
    <ds:schemaRef ds:uri="http://purl.org/dc/elements/1.1/"/>
    <ds:schemaRef ds:uri="http://purl.org/dc/dcmitype/"/>
    <ds:schemaRef ds:uri="226c22cb-2e7b-409a-979c-13bbc29b5290"/>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4A1ABC85-E382-44FA-B269-9F7BF0DC1352}">
  <ds:schemaRefs>
    <ds:schemaRef ds:uri="http://schemas.microsoft.com/sharepoint/v3/contenttype/forms"/>
  </ds:schemaRefs>
</ds:datastoreItem>
</file>

<file path=customXml/itemProps7.xml><?xml version="1.0" encoding="utf-8"?>
<ds:datastoreItem xmlns:ds="http://schemas.openxmlformats.org/officeDocument/2006/customXml" ds:itemID="{552A6B27-C652-45E4-922B-6EBFB83D8527}">
  <ds:schemaRefs>
    <ds:schemaRef ds:uri="http://schemas.microsoft.com/sharepoint/v3/contenttype/forms"/>
  </ds:schemaRefs>
</ds:datastoreItem>
</file>

<file path=customXml/itemProps8.xml><?xml version="1.0" encoding="utf-8"?>
<ds:datastoreItem xmlns:ds="http://schemas.openxmlformats.org/officeDocument/2006/customXml" ds:itemID="{A65C676C-3862-46FF-B536-23CACD81ABD5}">
  <ds:schemaRefs>
    <ds:schemaRef ds:uri="http://www.w3.org/XML/1998/namespace"/>
    <ds:schemaRef ds:uri="http://purl.org/dc/elements/1.1/"/>
    <ds:schemaRef ds:uri="http://schemas.microsoft.com/office/infopath/2007/PartnerControls"/>
    <ds:schemaRef ds:uri="226c22cb-2e7b-409a-979c-13bbc29b5290"/>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s>
</ds:datastoreItem>
</file>

<file path=customXml/itemProps9.xml><?xml version="1.0" encoding="utf-8"?>
<ds:datastoreItem xmlns:ds="http://schemas.openxmlformats.org/officeDocument/2006/customXml" ds:itemID="{AD40DDF6-B429-42A6-B5B3-7C113E555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5022</Words>
  <Characters>28631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PG&amp;E Meter-Based Savings Platform Rulebook</vt:lpstr>
    </vt:vector>
  </TitlesOfParts>
  <Company>Pacific Gas and Electric COMPANY</Company>
  <LinksUpToDate>false</LinksUpToDate>
  <CharactersWithSpaces>33586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PG&amp;E Meter-Based Savings Platform Rulebook</dc:title>
  <dc:subject>Version 0.5</dc:subject>
  <dc:creator>This document is maintained by:  MBS Platform Lead</dc:creator>
  <cp:lastModifiedBy>Chan, Ryan</cp:lastModifiedBy>
  <cp:revision>7</cp:revision>
  <cp:lastPrinted>2017-10-26T23:48:00Z</cp:lastPrinted>
  <dcterms:created xsi:type="dcterms:W3CDTF">2017-10-26T20:05:00Z</dcterms:created>
  <dcterms:modified xsi:type="dcterms:W3CDTF">2017-10-27T00:00:00Z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0x01010007A8018EC000E34E88836275BFF25EC6</vt:lpwstr>
  </property>
  <property fmtid="{D5CDD505-2E9C-101B-9397-08002B2CF9AE}" pid="3" name="_dlc_DocIdItemGuid">
    <vt:lpwstr>7e50c718-b26c-48eb-8809-d01281b697e6</vt:lpwstr>
  </property>
</Properties>
</file>