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EF422" w14:textId="2C0EE7C0" w:rsidR="00D470DA" w:rsidRDefault="00603B9C">
      <w:pPr>
        <w:pStyle w:val="Body"/>
      </w:pPr>
      <w:r>
        <w:t xml:space="preserve">Notes from </w:t>
      </w:r>
      <w:r w:rsidR="00FF7407">
        <w:t xml:space="preserve">Energy Efficiency </w:t>
      </w:r>
      <w:bookmarkStart w:id="0" w:name="_GoBack"/>
      <w:bookmarkEnd w:id="0"/>
      <w:r w:rsidR="007939CC">
        <w:t>Industrial</w:t>
      </w:r>
      <w:r w:rsidR="00B53744">
        <w:t xml:space="preserve"> </w:t>
      </w:r>
      <w:r w:rsidR="00081437">
        <w:t xml:space="preserve">Subcommittee </w:t>
      </w:r>
      <w:r w:rsidR="00FF7407">
        <w:t>Meeting #</w:t>
      </w:r>
      <w:r w:rsidR="00081437">
        <w:t>1</w:t>
      </w:r>
    </w:p>
    <w:p w14:paraId="4308A267" w14:textId="77EF5183" w:rsidR="00603B9C" w:rsidRDefault="00603B9C" w:rsidP="00603B9C">
      <w:pPr>
        <w:rPr>
          <w:sz w:val="20"/>
          <w:szCs w:val="20"/>
        </w:rPr>
      </w:pPr>
      <w:r>
        <w:rPr>
          <w:sz w:val="20"/>
          <w:szCs w:val="20"/>
        </w:rPr>
        <w:t>3/1</w:t>
      </w:r>
      <w:r w:rsidR="00B53744">
        <w:rPr>
          <w:sz w:val="20"/>
          <w:szCs w:val="20"/>
        </w:rPr>
        <w:t>7</w:t>
      </w:r>
      <w:r w:rsidRPr="001A3CF3">
        <w:rPr>
          <w:sz w:val="20"/>
          <w:szCs w:val="20"/>
        </w:rPr>
        <w:t>/2016</w:t>
      </w:r>
      <w:r>
        <w:rPr>
          <w:sz w:val="20"/>
          <w:szCs w:val="20"/>
        </w:rPr>
        <w:t xml:space="preserve"> </w:t>
      </w:r>
      <w:r w:rsidR="00081437">
        <w:rPr>
          <w:sz w:val="20"/>
          <w:szCs w:val="20"/>
        </w:rPr>
        <w:t>9</w:t>
      </w:r>
      <w:r>
        <w:rPr>
          <w:sz w:val="20"/>
          <w:szCs w:val="20"/>
        </w:rPr>
        <w:t xml:space="preserve">:00AM to </w:t>
      </w:r>
      <w:r w:rsidR="00B53744">
        <w:rPr>
          <w:sz w:val="20"/>
          <w:szCs w:val="20"/>
        </w:rPr>
        <w:t>12</w:t>
      </w:r>
      <w:r w:rsidR="00081437">
        <w:rPr>
          <w:sz w:val="20"/>
          <w:szCs w:val="20"/>
        </w:rPr>
        <w:t>:</w:t>
      </w:r>
      <w:r w:rsidR="005A1215">
        <w:rPr>
          <w:sz w:val="20"/>
          <w:szCs w:val="20"/>
        </w:rPr>
        <w:t>3</w:t>
      </w:r>
      <w:r w:rsidR="00081437">
        <w:rPr>
          <w:sz w:val="20"/>
          <w:szCs w:val="20"/>
        </w:rPr>
        <w:t>0pm</w:t>
      </w:r>
    </w:p>
    <w:p w14:paraId="3D4B3265" w14:textId="5C8D400F" w:rsidR="00603B9C" w:rsidRDefault="00603B9C" w:rsidP="00603B9C">
      <w:pPr>
        <w:rPr>
          <w:sz w:val="20"/>
          <w:szCs w:val="20"/>
        </w:rPr>
      </w:pPr>
      <w:r>
        <w:rPr>
          <w:sz w:val="20"/>
          <w:szCs w:val="20"/>
        </w:rPr>
        <w:t xml:space="preserve">Location:  </w:t>
      </w:r>
      <w:r w:rsidR="005A1215">
        <w:rPr>
          <w:sz w:val="20"/>
          <w:szCs w:val="20"/>
        </w:rPr>
        <w:t>ABAG</w:t>
      </w:r>
      <w:r>
        <w:rPr>
          <w:sz w:val="20"/>
          <w:szCs w:val="20"/>
        </w:rPr>
        <w:t xml:space="preserve">, </w:t>
      </w:r>
      <w:r w:rsidR="005A1215">
        <w:rPr>
          <w:sz w:val="20"/>
          <w:szCs w:val="20"/>
        </w:rPr>
        <w:t xml:space="preserve">Oakland </w:t>
      </w:r>
    </w:p>
    <w:p w14:paraId="347D8A4D" w14:textId="21E320BF" w:rsidR="00852075" w:rsidRDefault="00603B9C" w:rsidP="00603B9C">
      <w:pPr>
        <w:rPr>
          <w:sz w:val="20"/>
          <w:szCs w:val="20"/>
        </w:rPr>
      </w:pPr>
      <w:r>
        <w:rPr>
          <w:sz w:val="20"/>
          <w:szCs w:val="20"/>
        </w:rPr>
        <w:t xml:space="preserve">Meeting Co-Chairs:  </w:t>
      </w:r>
      <w:r w:rsidR="007939CC">
        <w:rPr>
          <w:sz w:val="20"/>
          <w:szCs w:val="20"/>
        </w:rPr>
        <w:t xml:space="preserve">Darren </w:t>
      </w:r>
      <w:proofErr w:type="spellStart"/>
      <w:r w:rsidR="007939CC">
        <w:rPr>
          <w:sz w:val="20"/>
          <w:szCs w:val="20"/>
        </w:rPr>
        <w:t>Hanway</w:t>
      </w:r>
      <w:proofErr w:type="spellEnd"/>
      <w:r w:rsidR="000604BB">
        <w:rPr>
          <w:sz w:val="20"/>
          <w:szCs w:val="20"/>
        </w:rPr>
        <w:t>, SCG; Richard Jett, ICF</w:t>
      </w:r>
    </w:p>
    <w:p w14:paraId="0AA8839D" w14:textId="14DD20A1" w:rsidR="00603B9C" w:rsidRPr="00852075" w:rsidRDefault="00603B9C" w:rsidP="00603B9C">
      <w:pPr>
        <w:rPr>
          <w:color w:val="000000" w:themeColor="text1"/>
          <w:sz w:val="20"/>
          <w:szCs w:val="20"/>
        </w:rPr>
      </w:pPr>
      <w:r w:rsidRPr="00852075">
        <w:rPr>
          <w:color w:val="000000" w:themeColor="text1"/>
          <w:sz w:val="20"/>
          <w:szCs w:val="20"/>
        </w:rPr>
        <w:t xml:space="preserve">Facilitator/Notes:  </w:t>
      </w:r>
      <w:r w:rsidR="00081437">
        <w:rPr>
          <w:color w:val="000000" w:themeColor="text1"/>
          <w:sz w:val="20"/>
          <w:szCs w:val="20"/>
        </w:rPr>
        <w:t>NRDC</w:t>
      </w:r>
    </w:p>
    <w:p w14:paraId="7DCDC4D8" w14:textId="77777777" w:rsidR="00603B9C" w:rsidRDefault="00603B9C" w:rsidP="00603B9C">
      <w:pPr>
        <w:rPr>
          <w:sz w:val="20"/>
          <w:szCs w:val="20"/>
        </w:rPr>
      </w:pPr>
    </w:p>
    <w:p w14:paraId="5A05961E" w14:textId="7CA76831" w:rsidR="00603B9C" w:rsidRPr="002527A5" w:rsidRDefault="00603B9C" w:rsidP="00603B9C">
      <w:pPr>
        <w:rPr>
          <w:i/>
          <w:sz w:val="20"/>
          <w:szCs w:val="20"/>
        </w:rPr>
      </w:pPr>
      <w:r w:rsidRPr="002527A5">
        <w:rPr>
          <w:i/>
          <w:sz w:val="20"/>
          <w:szCs w:val="20"/>
        </w:rPr>
        <w:t>Note</w:t>
      </w:r>
      <w:r>
        <w:rPr>
          <w:i/>
          <w:sz w:val="20"/>
          <w:szCs w:val="20"/>
        </w:rPr>
        <w:t>s</w:t>
      </w:r>
      <w:r w:rsidRPr="002527A5">
        <w:rPr>
          <w:i/>
          <w:sz w:val="20"/>
          <w:szCs w:val="20"/>
        </w:rPr>
        <w:t xml:space="preserve">: </w:t>
      </w:r>
      <w:r>
        <w:rPr>
          <w:i/>
          <w:sz w:val="20"/>
          <w:szCs w:val="20"/>
        </w:rPr>
        <w:t>P</w:t>
      </w:r>
      <w:r w:rsidRPr="002527A5">
        <w:rPr>
          <w:i/>
          <w:sz w:val="20"/>
          <w:szCs w:val="20"/>
        </w:rPr>
        <w:t>resentations are</w:t>
      </w:r>
      <w:r>
        <w:rPr>
          <w:i/>
          <w:sz w:val="20"/>
          <w:szCs w:val="20"/>
        </w:rPr>
        <w:t xml:space="preserve"> generally</w:t>
      </w:r>
      <w:r w:rsidRPr="002527A5">
        <w:rPr>
          <w:i/>
          <w:sz w:val="20"/>
          <w:szCs w:val="20"/>
        </w:rPr>
        <w:t xml:space="preserve"> not summarized in these notes</w:t>
      </w:r>
      <w:r>
        <w:rPr>
          <w:i/>
          <w:sz w:val="20"/>
          <w:szCs w:val="20"/>
        </w:rPr>
        <w:t>. P</w:t>
      </w:r>
      <w:r w:rsidRPr="002527A5">
        <w:rPr>
          <w:i/>
          <w:sz w:val="20"/>
          <w:szCs w:val="20"/>
        </w:rPr>
        <w:t>lease see presentation slides</w:t>
      </w:r>
      <w:r w:rsidR="008E4C36">
        <w:rPr>
          <w:i/>
          <w:sz w:val="20"/>
          <w:szCs w:val="20"/>
        </w:rPr>
        <w:t xml:space="preserve"> on </w:t>
      </w:r>
      <w:hyperlink r:id="rId8" w:history="1">
        <w:r w:rsidR="005E736C" w:rsidRPr="00806522">
          <w:rPr>
            <w:rStyle w:val="Hyperlink"/>
            <w:i/>
            <w:sz w:val="20"/>
            <w:szCs w:val="20"/>
          </w:rPr>
          <w:t>www.CAEECC.org</w:t>
        </w:r>
      </w:hyperlink>
      <w:r w:rsidR="005E736C">
        <w:rPr>
          <w:i/>
          <w:sz w:val="20"/>
          <w:szCs w:val="20"/>
        </w:rPr>
        <w:t xml:space="preserve"> </w:t>
      </w:r>
      <w:r w:rsidR="008E4C36">
        <w:rPr>
          <w:i/>
          <w:sz w:val="20"/>
          <w:szCs w:val="20"/>
        </w:rPr>
        <w:t xml:space="preserve"> website</w:t>
      </w:r>
      <w:r>
        <w:rPr>
          <w:i/>
          <w:sz w:val="20"/>
          <w:szCs w:val="20"/>
        </w:rPr>
        <w:t xml:space="preserve"> for context</w:t>
      </w:r>
      <w:r w:rsidRPr="002527A5">
        <w:rPr>
          <w:i/>
          <w:sz w:val="20"/>
          <w:szCs w:val="20"/>
        </w:rPr>
        <w:t xml:space="preserve">. </w:t>
      </w:r>
      <w:r>
        <w:rPr>
          <w:i/>
          <w:sz w:val="20"/>
          <w:szCs w:val="20"/>
        </w:rPr>
        <w:t>Lack of attribution for meeting participant comments is intentional by agreement of Coordinating Committee.</w:t>
      </w:r>
    </w:p>
    <w:p w14:paraId="235CDC49" w14:textId="77777777" w:rsidR="00D470DA" w:rsidRDefault="00D470DA">
      <w:pPr>
        <w:pStyle w:val="Body"/>
      </w:pPr>
    </w:p>
    <w:p w14:paraId="3C7B98C3" w14:textId="314DFBA3" w:rsidR="00D470DA" w:rsidRPr="00603B9C" w:rsidRDefault="00603B9C">
      <w:pPr>
        <w:pStyle w:val="Body"/>
        <w:rPr>
          <w:b/>
          <w:bCs/>
          <w:u w:val="single"/>
        </w:rPr>
      </w:pPr>
      <w:r w:rsidRPr="00603B9C">
        <w:rPr>
          <w:bCs/>
          <w:u w:val="single"/>
        </w:rPr>
        <w:t>Welcome –</w:t>
      </w:r>
      <w:r w:rsidRPr="00603B9C">
        <w:rPr>
          <w:b/>
          <w:bCs/>
          <w:u w:val="single"/>
        </w:rPr>
        <w:t xml:space="preserve"> </w:t>
      </w:r>
      <w:r w:rsidR="000604BB">
        <w:rPr>
          <w:bCs/>
          <w:u w:val="single"/>
        </w:rPr>
        <w:t xml:space="preserve">Jenny Berg, </w:t>
      </w:r>
      <w:proofErr w:type="spellStart"/>
      <w:r w:rsidR="000604BB">
        <w:rPr>
          <w:bCs/>
          <w:u w:val="single"/>
        </w:rPr>
        <w:t>BayREN</w:t>
      </w:r>
      <w:proofErr w:type="spellEnd"/>
      <w:r w:rsidR="000604BB">
        <w:rPr>
          <w:bCs/>
          <w:u w:val="single"/>
        </w:rPr>
        <w:t xml:space="preserve"> </w:t>
      </w:r>
    </w:p>
    <w:p w14:paraId="6CA04C2D" w14:textId="77777777" w:rsidR="00603B9C" w:rsidRDefault="00603B9C">
      <w:pPr>
        <w:pStyle w:val="Body"/>
      </w:pPr>
    </w:p>
    <w:p w14:paraId="5C97444B" w14:textId="406A45FE" w:rsidR="00D470DA" w:rsidRPr="00603B9C" w:rsidRDefault="00603B9C">
      <w:pPr>
        <w:pStyle w:val="Body"/>
        <w:rPr>
          <w:u w:val="single"/>
        </w:rPr>
      </w:pPr>
      <w:r w:rsidRPr="00603B9C">
        <w:rPr>
          <w:u w:val="single"/>
        </w:rPr>
        <w:t xml:space="preserve">Meeting Opening – </w:t>
      </w:r>
      <w:r w:rsidR="00672007">
        <w:rPr>
          <w:u w:val="single"/>
        </w:rPr>
        <w:t xml:space="preserve">Facilitator </w:t>
      </w:r>
      <w:r w:rsidRPr="00603B9C">
        <w:rPr>
          <w:u w:val="single"/>
        </w:rPr>
        <w:t>T</w:t>
      </w:r>
      <w:r w:rsidR="00FF7407" w:rsidRPr="00603B9C">
        <w:rPr>
          <w:u w:val="single"/>
        </w:rPr>
        <w:t xml:space="preserve">ed </w:t>
      </w:r>
      <w:r w:rsidRPr="00603B9C">
        <w:rPr>
          <w:u w:val="single"/>
        </w:rPr>
        <w:t>Pope</w:t>
      </w:r>
    </w:p>
    <w:p w14:paraId="3223EB75" w14:textId="77777777" w:rsidR="00D470DA" w:rsidRDefault="00603B9C" w:rsidP="00603B9C">
      <w:pPr>
        <w:pStyle w:val="Body"/>
        <w:numPr>
          <w:ilvl w:val="0"/>
          <w:numId w:val="5"/>
        </w:numPr>
      </w:pPr>
      <w:r>
        <w:t xml:space="preserve">Facilitators help the Coordinating Committee (also “CC”) Co-Chairs </w:t>
      </w:r>
      <w:r w:rsidR="00FF7407">
        <w:t>lead and document the CC process</w:t>
      </w:r>
    </w:p>
    <w:p w14:paraId="270CA4CC" w14:textId="62BF128C" w:rsidR="00D470DA" w:rsidRDefault="00603B9C" w:rsidP="00603B9C">
      <w:pPr>
        <w:pStyle w:val="Body"/>
        <w:numPr>
          <w:ilvl w:val="0"/>
          <w:numId w:val="5"/>
        </w:numPr>
      </w:pPr>
      <w:r>
        <w:t>Goal is for an impartial, transparent process which is not unreasonably</w:t>
      </w:r>
      <w:r w:rsidR="00FF7407">
        <w:t xml:space="preserve"> influence</w:t>
      </w:r>
      <w:r>
        <w:t>d</w:t>
      </w:r>
      <w:r w:rsidR="00FF7407">
        <w:t xml:space="preserve"> by</w:t>
      </w:r>
      <w:r w:rsidR="008E4C36">
        <w:t xml:space="preserve"> one or more interest group</w:t>
      </w:r>
    </w:p>
    <w:p w14:paraId="2B1AEFEA" w14:textId="77777777" w:rsidR="00D470DA" w:rsidRDefault="00FF7407" w:rsidP="00603B9C">
      <w:pPr>
        <w:pStyle w:val="Body"/>
        <w:numPr>
          <w:ilvl w:val="0"/>
          <w:numId w:val="5"/>
        </w:numPr>
      </w:pPr>
      <w:r>
        <w:t>Ground Rules</w:t>
      </w:r>
    </w:p>
    <w:p w14:paraId="4372BAA0" w14:textId="2D85300C" w:rsidR="00D470DA" w:rsidRDefault="00FF7407" w:rsidP="00603B9C">
      <w:pPr>
        <w:pStyle w:val="Body"/>
        <w:numPr>
          <w:ilvl w:val="0"/>
          <w:numId w:val="5"/>
        </w:numPr>
      </w:pPr>
      <w:r>
        <w:t xml:space="preserve">Decisions of CC require full consensus </w:t>
      </w:r>
      <w:r w:rsidR="00603B9C">
        <w:t xml:space="preserve">of all 20 members. We are looking for </w:t>
      </w:r>
      <w:r>
        <w:t xml:space="preserve">as much consensus as possible but </w:t>
      </w:r>
      <w:r w:rsidR="008E4C36">
        <w:t>it is</w:t>
      </w:r>
      <w:r w:rsidR="00603B9C">
        <w:t xml:space="preserve"> </w:t>
      </w:r>
      <w:r>
        <w:t xml:space="preserve">okay if </w:t>
      </w:r>
      <w:r w:rsidR="00603B9C">
        <w:t>agreement is not reached on issues. Plan is to</w:t>
      </w:r>
      <w:r>
        <w:t xml:space="preserve"> submit </w:t>
      </w:r>
      <w:r w:rsidR="00603B9C">
        <w:t>a Comparison D</w:t>
      </w:r>
      <w:r>
        <w:t xml:space="preserve">ocument to </w:t>
      </w:r>
      <w:r w:rsidR="008E4C36">
        <w:t xml:space="preserve">the </w:t>
      </w:r>
      <w:r>
        <w:t>CPUC documenting open issues</w:t>
      </w:r>
      <w:r w:rsidR="00603B9C">
        <w:t>.</w:t>
      </w:r>
    </w:p>
    <w:p w14:paraId="236E6511" w14:textId="77777777" w:rsidR="00D470DA" w:rsidRDefault="00FF7407" w:rsidP="00603B9C">
      <w:pPr>
        <w:pStyle w:val="Body"/>
        <w:numPr>
          <w:ilvl w:val="0"/>
          <w:numId w:val="5"/>
        </w:numPr>
      </w:pPr>
      <w:r>
        <w:t>P</w:t>
      </w:r>
      <w:r w:rsidR="00603B9C">
        <w:t xml:space="preserve">rogram </w:t>
      </w:r>
      <w:r>
        <w:t>A</w:t>
      </w:r>
      <w:r w:rsidR="00603B9C">
        <w:t>dministrator</w:t>
      </w:r>
      <w:r>
        <w:t xml:space="preserve">s </w:t>
      </w:r>
      <w:r w:rsidR="00603B9C">
        <w:t xml:space="preserve">(“PAs”) </w:t>
      </w:r>
      <w:r>
        <w:t>are required to prepare B</w:t>
      </w:r>
      <w:r w:rsidR="00603B9C">
        <w:t xml:space="preserve">usiness </w:t>
      </w:r>
      <w:r>
        <w:t>P</w:t>
      </w:r>
      <w:r w:rsidR="00603B9C">
        <w:t>lans for filing with CPUC</w:t>
      </w:r>
    </w:p>
    <w:p w14:paraId="5D2807F4" w14:textId="77777777" w:rsidR="00D470DA" w:rsidRDefault="00FF7407" w:rsidP="00603B9C">
      <w:pPr>
        <w:pStyle w:val="Body"/>
        <w:numPr>
          <w:ilvl w:val="0"/>
          <w:numId w:val="5"/>
        </w:numPr>
      </w:pPr>
      <w:r>
        <w:t xml:space="preserve">Non-PAs need to provide input and </w:t>
      </w:r>
      <w:r w:rsidR="00603B9C">
        <w:t>constructive</w:t>
      </w:r>
      <w:r>
        <w:t xml:space="preserve"> comments</w:t>
      </w:r>
    </w:p>
    <w:p w14:paraId="63C6001E" w14:textId="77777777" w:rsidR="00D470DA" w:rsidRDefault="00FF7407" w:rsidP="00603B9C">
      <w:pPr>
        <w:pStyle w:val="Body"/>
        <w:numPr>
          <w:ilvl w:val="0"/>
          <w:numId w:val="5"/>
        </w:numPr>
      </w:pPr>
      <w:r>
        <w:t>Introductions around the room</w:t>
      </w:r>
    </w:p>
    <w:p w14:paraId="3DFF6EFE" w14:textId="77777777" w:rsidR="00D470DA" w:rsidRDefault="00D470DA">
      <w:pPr>
        <w:pStyle w:val="Body"/>
      </w:pPr>
    </w:p>
    <w:p w14:paraId="0B51D5ED" w14:textId="18465108" w:rsidR="00D470DA" w:rsidRPr="00603B9C" w:rsidRDefault="00FF7407">
      <w:pPr>
        <w:pStyle w:val="Body"/>
        <w:rPr>
          <w:bCs/>
          <w:u w:val="single"/>
        </w:rPr>
      </w:pPr>
      <w:r w:rsidRPr="00603B9C">
        <w:rPr>
          <w:bCs/>
          <w:u w:val="single"/>
        </w:rPr>
        <w:t xml:space="preserve">Session 1: </w:t>
      </w:r>
      <w:r w:rsidR="000604BB">
        <w:rPr>
          <w:bCs/>
          <w:u w:val="single"/>
        </w:rPr>
        <w:t>P</w:t>
      </w:r>
      <w:r w:rsidR="003A68D3">
        <w:rPr>
          <w:bCs/>
          <w:u w:val="single"/>
        </w:rPr>
        <w:t xml:space="preserve">G&amp;E presentation on </w:t>
      </w:r>
      <w:r w:rsidR="000604BB">
        <w:rPr>
          <w:bCs/>
          <w:u w:val="single"/>
        </w:rPr>
        <w:t xml:space="preserve">Industrial </w:t>
      </w:r>
      <w:r w:rsidR="003A68D3">
        <w:rPr>
          <w:bCs/>
          <w:u w:val="single"/>
        </w:rPr>
        <w:t>Sector gaps</w:t>
      </w:r>
    </w:p>
    <w:p w14:paraId="5D889BCB" w14:textId="77777777" w:rsidR="00603B9C" w:rsidRDefault="00603B9C">
      <w:pPr>
        <w:pStyle w:val="Body"/>
        <w:rPr>
          <w:i/>
        </w:rPr>
      </w:pPr>
      <w:r w:rsidRPr="00603B9C">
        <w:rPr>
          <w:i/>
        </w:rPr>
        <w:t>See slides.</w:t>
      </w:r>
    </w:p>
    <w:p w14:paraId="364F99A3" w14:textId="77777777" w:rsidR="003A68D3" w:rsidRPr="00405C29" w:rsidRDefault="003A68D3">
      <w:pPr>
        <w:pStyle w:val="Body"/>
      </w:pPr>
    </w:p>
    <w:p w14:paraId="39F62893" w14:textId="7C49B364" w:rsidR="006A580D" w:rsidRDefault="000604BB" w:rsidP="000604BB">
      <w:pPr>
        <w:pStyle w:val="Body"/>
        <w:numPr>
          <w:ilvl w:val="0"/>
          <w:numId w:val="14"/>
        </w:numPr>
      </w:pPr>
      <w:r>
        <w:t>Note: data doesn’t match up; demand data from CEC categorizes industrial different than PG&amp;E (e.g., food processing is agricultural for CEC; it’s industrial for PG&amp;E).</w:t>
      </w:r>
    </w:p>
    <w:p w14:paraId="5DA793DC" w14:textId="77777777" w:rsidR="006A580D" w:rsidRDefault="006A580D">
      <w:pPr>
        <w:pStyle w:val="Body"/>
        <w:rPr>
          <w:i/>
        </w:rPr>
      </w:pPr>
    </w:p>
    <w:p w14:paraId="5939A897" w14:textId="77777777" w:rsidR="00603B9C" w:rsidRPr="004120DC" w:rsidRDefault="00603B9C">
      <w:pPr>
        <w:pStyle w:val="Body"/>
        <w:rPr>
          <w:i/>
        </w:rPr>
      </w:pPr>
      <w:r w:rsidRPr="004120DC">
        <w:rPr>
          <w:i/>
        </w:rPr>
        <w:t>Question and Comments</w:t>
      </w:r>
    </w:p>
    <w:p w14:paraId="14058731" w14:textId="77777777" w:rsidR="00603B9C" w:rsidRDefault="00603B9C">
      <w:pPr>
        <w:pStyle w:val="Body"/>
      </w:pPr>
    </w:p>
    <w:p w14:paraId="0FF7052A" w14:textId="77777777" w:rsidR="007679E8" w:rsidRDefault="007679E8" w:rsidP="007679E8">
      <w:pPr>
        <w:pStyle w:val="Body"/>
      </w:pPr>
      <w:r w:rsidRPr="007679E8">
        <w:t>Q</w:t>
      </w:r>
      <w:r>
        <w:t>uestion</w:t>
      </w:r>
      <w:r w:rsidRPr="007679E8">
        <w:t xml:space="preserve">: </w:t>
      </w:r>
      <w:r>
        <w:t xml:space="preserve">What about strategic energy management? </w:t>
      </w:r>
    </w:p>
    <w:p w14:paraId="5E8BE3A0" w14:textId="7E42D26D" w:rsidR="007679E8" w:rsidRDefault="007679E8" w:rsidP="007679E8">
      <w:pPr>
        <w:pStyle w:val="Body"/>
      </w:pPr>
      <w:r>
        <w:t xml:space="preserve">Answer: Plan to </w:t>
      </w:r>
      <w:r w:rsidRPr="007679E8">
        <w:t xml:space="preserve">leverage rules set forth in AB 802, </w:t>
      </w:r>
      <w:r>
        <w:t xml:space="preserve">including the ability to </w:t>
      </w:r>
      <w:r w:rsidRPr="007679E8">
        <w:t>claim saving</w:t>
      </w:r>
      <w:r>
        <w:t>s</w:t>
      </w:r>
      <w:r w:rsidRPr="007679E8">
        <w:t xml:space="preserve"> from O&amp;M</w:t>
      </w:r>
      <w:r>
        <w:t xml:space="preserve">. Also will work to </w:t>
      </w:r>
      <w:r w:rsidRPr="007679E8">
        <w:t xml:space="preserve">ensure customers understand to ensure persistency through training for O&amp;M. </w:t>
      </w:r>
      <w:r>
        <w:t xml:space="preserve">There is continuous energy improvement </w:t>
      </w:r>
      <w:r w:rsidRPr="007679E8">
        <w:t>but haven’t done a lot with it</w:t>
      </w:r>
      <w:r>
        <w:t xml:space="preserve"> within current rules. </w:t>
      </w:r>
    </w:p>
    <w:p w14:paraId="4E8754F2" w14:textId="77777777" w:rsidR="007679E8" w:rsidRDefault="007679E8" w:rsidP="007679E8">
      <w:pPr>
        <w:pStyle w:val="Body"/>
      </w:pPr>
    </w:p>
    <w:p w14:paraId="79FCDA80" w14:textId="77777777" w:rsidR="007679E8" w:rsidRDefault="007679E8" w:rsidP="007679E8">
      <w:pPr>
        <w:pStyle w:val="Body"/>
      </w:pPr>
      <w:r w:rsidRPr="007679E8">
        <w:t>Q</w:t>
      </w:r>
      <w:r>
        <w:t>uestion</w:t>
      </w:r>
      <w:r w:rsidRPr="007679E8">
        <w:t xml:space="preserve">: </w:t>
      </w:r>
      <w:r>
        <w:t xml:space="preserve">Are the PAs </w:t>
      </w:r>
      <w:r w:rsidRPr="007679E8">
        <w:t>working with staff</w:t>
      </w:r>
      <w:r>
        <w:t xml:space="preserve"> on this</w:t>
      </w:r>
      <w:r w:rsidRPr="007679E8">
        <w:t xml:space="preserve">? </w:t>
      </w:r>
    </w:p>
    <w:p w14:paraId="4D6BD7A1" w14:textId="6DB490DB" w:rsidR="0034237F" w:rsidRDefault="007679E8" w:rsidP="007679E8">
      <w:pPr>
        <w:pStyle w:val="Body"/>
      </w:pPr>
      <w:r w:rsidRPr="007679E8">
        <w:t>A</w:t>
      </w:r>
      <w:r>
        <w:t>nswer</w:t>
      </w:r>
      <w:r w:rsidRPr="007679E8">
        <w:t>:</w:t>
      </w:r>
      <w:r>
        <w:t xml:space="preserve"> Yes. </w:t>
      </w:r>
      <w:r w:rsidRPr="007679E8">
        <w:t>See barriers in current policy, but new legislation wil</w:t>
      </w:r>
      <w:r>
        <w:t>l open the thinking about that.</w:t>
      </w:r>
      <w:r w:rsidRPr="007679E8">
        <w:t xml:space="preserve"> Value in expanding this program</w:t>
      </w:r>
      <w:r>
        <w:t xml:space="preserve">, </w:t>
      </w:r>
      <w:r w:rsidRPr="007679E8">
        <w:t xml:space="preserve">will better </w:t>
      </w:r>
      <w:r>
        <w:t xml:space="preserve">track </w:t>
      </w:r>
      <w:r w:rsidRPr="007679E8">
        <w:t xml:space="preserve">influence, will be less controversy over </w:t>
      </w:r>
      <w:r>
        <w:t>estimating free ridership</w:t>
      </w:r>
      <w:r w:rsidRPr="007679E8">
        <w:t xml:space="preserve">. Better for customers to learn about their energy intensity and will learn to manage their energy use. </w:t>
      </w:r>
    </w:p>
    <w:p w14:paraId="26EF61E2" w14:textId="77777777" w:rsidR="00D470DA" w:rsidRDefault="00D470DA">
      <w:pPr>
        <w:pStyle w:val="Body"/>
      </w:pPr>
    </w:p>
    <w:p w14:paraId="61F69C64" w14:textId="77777777" w:rsidR="00443542" w:rsidRDefault="00443542">
      <w:pPr>
        <w:rPr>
          <w:rFonts w:ascii="Helvetica" w:hAnsi="Helvetica" w:cs="Arial Unicode MS"/>
          <w:bCs/>
          <w:color w:val="000000"/>
          <w:sz w:val="22"/>
          <w:szCs w:val="22"/>
          <w:u w:val="single"/>
        </w:rPr>
      </w:pPr>
      <w:r>
        <w:rPr>
          <w:bCs/>
          <w:u w:val="single"/>
        </w:rPr>
        <w:br w:type="page"/>
      </w:r>
    </w:p>
    <w:p w14:paraId="6F7FD253" w14:textId="6EAF9BBD" w:rsidR="0034237F" w:rsidRPr="00603B9C" w:rsidRDefault="0034237F" w:rsidP="0034237F">
      <w:pPr>
        <w:pStyle w:val="Body"/>
        <w:rPr>
          <w:bCs/>
          <w:u w:val="single"/>
        </w:rPr>
      </w:pPr>
      <w:r w:rsidRPr="00603B9C">
        <w:rPr>
          <w:bCs/>
          <w:u w:val="single"/>
        </w:rPr>
        <w:lastRenderedPageBreak/>
        <w:t>Session 1</w:t>
      </w:r>
      <w:r>
        <w:rPr>
          <w:bCs/>
          <w:u w:val="single"/>
        </w:rPr>
        <w:t xml:space="preserve"> </w:t>
      </w:r>
      <w:proofErr w:type="spellStart"/>
      <w:r>
        <w:rPr>
          <w:bCs/>
          <w:u w:val="single"/>
        </w:rPr>
        <w:t>cont</w:t>
      </w:r>
      <w:proofErr w:type="spellEnd"/>
      <w:r w:rsidRPr="00603B9C">
        <w:rPr>
          <w:bCs/>
          <w:u w:val="single"/>
        </w:rPr>
        <w:t xml:space="preserve">: </w:t>
      </w:r>
      <w:proofErr w:type="spellStart"/>
      <w:r>
        <w:rPr>
          <w:bCs/>
          <w:u w:val="single"/>
        </w:rPr>
        <w:t>SoCalGas</w:t>
      </w:r>
      <w:proofErr w:type="spellEnd"/>
      <w:r>
        <w:rPr>
          <w:bCs/>
          <w:u w:val="single"/>
        </w:rPr>
        <w:t xml:space="preserve"> presentation on </w:t>
      </w:r>
      <w:r w:rsidR="00443542">
        <w:rPr>
          <w:bCs/>
          <w:u w:val="single"/>
        </w:rPr>
        <w:t>Industrial</w:t>
      </w:r>
      <w:r>
        <w:rPr>
          <w:bCs/>
          <w:u w:val="single"/>
        </w:rPr>
        <w:t xml:space="preserve"> Sector gaps</w:t>
      </w:r>
    </w:p>
    <w:p w14:paraId="15B4BDF4" w14:textId="77777777" w:rsidR="0034237F" w:rsidRDefault="0034237F" w:rsidP="0034237F">
      <w:pPr>
        <w:pStyle w:val="Body"/>
        <w:rPr>
          <w:i/>
        </w:rPr>
      </w:pPr>
      <w:r w:rsidRPr="00603B9C">
        <w:rPr>
          <w:i/>
        </w:rPr>
        <w:t>See slides.</w:t>
      </w:r>
    </w:p>
    <w:p w14:paraId="51E80099" w14:textId="77777777" w:rsidR="0034237F" w:rsidRDefault="0034237F">
      <w:pPr>
        <w:pStyle w:val="Body"/>
      </w:pPr>
    </w:p>
    <w:p w14:paraId="531D691F" w14:textId="77777777" w:rsidR="00443542" w:rsidRDefault="00443542" w:rsidP="00443542">
      <w:pPr>
        <w:pStyle w:val="Body"/>
      </w:pPr>
      <w:r w:rsidRPr="00443542">
        <w:t>Q</w:t>
      </w:r>
      <w:r>
        <w:t>uestion</w:t>
      </w:r>
      <w:r w:rsidRPr="00443542">
        <w:t xml:space="preserve">: </w:t>
      </w:r>
      <w:r>
        <w:t xml:space="preserve">Does the price of oil impact participation? </w:t>
      </w:r>
    </w:p>
    <w:p w14:paraId="35168A80" w14:textId="5E8468D0" w:rsidR="00443542" w:rsidRDefault="00443542" w:rsidP="00443542">
      <w:pPr>
        <w:pStyle w:val="Body"/>
      </w:pPr>
      <w:r>
        <w:t>Answer: N</w:t>
      </w:r>
      <w:r w:rsidRPr="00443542">
        <w:t xml:space="preserve">ot as much </w:t>
      </w:r>
      <w:r>
        <w:t xml:space="preserve">of an impact with changes in the price of natural gas. </w:t>
      </w:r>
    </w:p>
    <w:p w14:paraId="18B5DAE4" w14:textId="77777777" w:rsidR="00443542" w:rsidRPr="00443542" w:rsidRDefault="00443542" w:rsidP="00443542">
      <w:pPr>
        <w:pStyle w:val="Body"/>
      </w:pPr>
    </w:p>
    <w:p w14:paraId="741070C6" w14:textId="7C31EEF8" w:rsidR="00D444AF" w:rsidRPr="00603B9C" w:rsidRDefault="00D444AF" w:rsidP="00D444AF">
      <w:pPr>
        <w:pStyle w:val="Body"/>
        <w:rPr>
          <w:bCs/>
          <w:u w:val="single"/>
        </w:rPr>
      </w:pPr>
      <w:r w:rsidRPr="00603B9C">
        <w:rPr>
          <w:bCs/>
          <w:u w:val="single"/>
        </w:rPr>
        <w:t xml:space="preserve">Session </w:t>
      </w:r>
      <w:r>
        <w:rPr>
          <w:bCs/>
          <w:u w:val="single"/>
        </w:rPr>
        <w:t>2</w:t>
      </w:r>
      <w:r w:rsidRPr="00603B9C">
        <w:rPr>
          <w:bCs/>
          <w:u w:val="single"/>
        </w:rPr>
        <w:t xml:space="preserve">: </w:t>
      </w:r>
      <w:r>
        <w:rPr>
          <w:bCs/>
          <w:u w:val="single"/>
        </w:rPr>
        <w:t xml:space="preserve">SCE presentation on </w:t>
      </w:r>
      <w:r w:rsidR="00443542">
        <w:rPr>
          <w:bCs/>
          <w:u w:val="single"/>
        </w:rPr>
        <w:t xml:space="preserve">Industrial </w:t>
      </w:r>
      <w:r>
        <w:rPr>
          <w:bCs/>
          <w:u w:val="single"/>
        </w:rPr>
        <w:t>Sector gaps</w:t>
      </w:r>
    </w:p>
    <w:p w14:paraId="35C350F8" w14:textId="77777777" w:rsidR="00D444AF" w:rsidRDefault="00D444AF" w:rsidP="00D444AF">
      <w:pPr>
        <w:pStyle w:val="Body"/>
        <w:rPr>
          <w:i/>
        </w:rPr>
      </w:pPr>
      <w:r w:rsidRPr="00603B9C">
        <w:rPr>
          <w:i/>
        </w:rPr>
        <w:t>See slides.</w:t>
      </w:r>
    </w:p>
    <w:p w14:paraId="3F5C0B86" w14:textId="77777777" w:rsidR="00D444AF" w:rsidRDefault="00D444AF">
      <w:pPr>
        <w:pStyle w:val="Body"/>
      </w:pPr>
    </w:p>
    <w:p w14:paraId="09CF9F5C" w14:textId="23DCDF35" w:rsidR="00D470DA" w:rsidRDefault="00443542">
      <w:pPr>
        <w:pStyle w:val="Body"/>
      </w:pPr>
      <w:r>
        <w:t>No questions.</w:t>
      </w:r>
    </w:p>
    <w:p w14:paraId="4BC01B1C" w14:textId="77777777" w:rsidR="00443542" w:rsidRDefault="00443542">
      <w:pPr>
        <w:pStyle w:val="Body"/>
      </w:pPr>
    </w:p>
    <w:p w14:paraId="783D6E07" w14:textId="27B565CB" w:rsidR="00521C73" w:rsidRPr="00603B9C" w:rsidRDefault="00521C73" w:rsidP="00521C73">
      <w:pPr>
        <w:pStyle w:val="Body"/>
        <w:rPr>
          <w:bCs/>
          <w:u w:val="single"/>
        </w:rPr>
      </w:pPr>
      <w:r w:rsidRPr="00603B9C">
        <w:rPr>
          <w:bCs/>
          <w:u w:val="single"/>
        </w:rPr>
        <w:t xml:space="preserve">Session </w:t>
      </w:r>
      <w:r>
        <w:rPr>
          <w:bCs/>
          <w:u w:val="single"/>
        </w:rPr>
        <w:t xml:space="preserve">2 </w:t>
      </w:r>
      <w:proofErr w:type="spellStart"/>
      <w:r>
        <w:rPr>
          <w:bCs/>
          <w:u w:val="single"/>
        </w:rPr>
        <w:t>cont</w:t>
      </w:r>
      <w:proofErr w:type="spellEnd"/>
      <w:r w:rsidRPr="00603B9C">
        <w:rPr>
          <w:bCs/>
          <w:u w:val="single"/>
        </w:rPr>
        <w:t xml:space="preserve">: </w:t>
      </w:r>
      <w:r w:rsidR="00443542">
        <w:rPr>
          <w:bCs/>
          <w:u w:val="single"/>
        </w:rPr>
        <w:t xml:space="preserve">SDG&amp;E </w:t>
      </w:r>
      <w:r>
        <w:rPr>
          <w:bCs/>
          <w:u w:val="single"/>
        </w:rPr>
        <w:t xml:space="preserve">presentation on </w:t>
      </w:r>
      <w:r w:rsidR="00443542">
        <w:rPr>
          <w:bCs/>
          <w:u w:val="single"/>
        </w:rPr>
        <w:t xml:space="preserve">Industrial </w:t>
      </w:r>
      <w:r>
        <w:rPr>
          <w:bCs/>
          <w:u w:val="single"/>
        </w:rPr>
        <w:t>Sector gaps</w:t>
      </w:r>
    </w:p>
    <w:p w14:paraId="67B30896" w14:textId="77777777" w:rsidR="00521C73" w:rsidRDefault="00521C73" w:rsidP="00521C73">
      <w:pPr>
        <w:pStyle w:val="Body"/>
        <w:rPr>
          <w:i/>
        </w:rPr>
      </w:pPr>
      <w:r w:rsidRPr="00603B9C">
        <w:rPr>
          <w:i/>
        </w:rPr>
        <w:t>See slides.</w:t>
      </w:r>
    </w:p>
    <w:p w14:paraId="22F8EFA5" w14:textId="77777777" w:rsidR="00D470DA" w:rsidRDefault="00D470DA">
      <w:pPr>
        <w:pStyle w:val="Body"/>
      </w:pPr>
    </w:p>
    <w:p w14:paraId="22A996A2" w14:textId="4B9428A6" w:rsidR="00443542" w:rsidRDefault="00443542">
      <w:pPr>
        <w:pStyle w:val="Body"/>
      </w:pPr>
      <w:r>
        <w:t>No questions</w:t>
      </w:r>
    </w:p>
    <w:p w14:paraId="5F0485F6" w14:textId="77777777" w:rsidR="00443542" w:rsidRDefault="00443542">
      <w:pPr>
        <w:pStyle w:val="Body"/>
      </w:pPr>
    </w:p>
    <w:p w14:paraId="001F5054" w14:textId="24C23A25" w:rsidR="000E41BF" w:rsidRDefault="000E41BF">
      <w:pPr>
        <w:pStyle w:val="Body"/>
      </w:pPr>
      <w:r w:rsidRPr="00603B9C">
        <w:rPr>
          <w:bCs/>
          <w:u w:val="single"/>
        </w:rPr>
        <w:t xml:space="preserve">Session </w:t>
      </w:r>
      <w:r>
        <w:rPr>
          <w:bCs/>
          <w:u w:val="single"/>
        </w:rPr>
        <w:t>3</w:t>
      </w:r>
      <w:r w:rsidRPr="00603B9C">
        <w:rPr>
          <w:bCs/>
          <w:u w:val="single"/>
        </w:rPr>
        <w:t xml:space="preserve">: </w:t>
      </w:r>
      <w:r>
        <w:rPr>
          <w:bCs/>
          <w:u w:val="single"/>
        </w:rPr>
        <w:t xml:space="preserve">Discussion re: presentations </w:t>
      </w:r>
    </w:p>
    <w:p w14:paraId="7DF147D2" w14:textId="77777777" w:rsidR="00443542" w:rsidRDefault="00443542" w:rsidP="00443542">
      <w:pPr>
        <w:pStyle w:val="Body"/>
      </w:pPr>
    </w:p>
    <w:p w14:paraId="2F63777E" w14:textId="6AB5A23E" w:rsidR="00443542" w:rsidRDefault="00443542" w:rsidP="00443542">
      <w:pPr>
        <w:pStyle w:val="Body"/>
      </w:pPr>
      <w:r w:rsidRPr="00443542">
        <w:t>Q</w:t>
      </w:r>
      <w:r>
        <w:t>uestion</w:t>
      </w:r>
      <w:r w:rsidRPr="00443542">
        <w:t xml:space="preserve">: </w:t>
      </w:r>
      <w:r>
        <w:t xml:space="preserve">There are </w:t>
      </w:r>
      <w:r w:rsidRPr="00443542">
        <w:t>near term barrie</w:t>
      </w:r>
      <w:r>
        <w:t xml:space="preserve">rs to getting custom programs. There are various levels of challenges, including CPUC rules but also communication from the IOUs re: rule changes. There </w:t>
      </w:r>
      <w:r w:rsidR="003C6E9A">
        <w:t>was also</w:t>
      </w:r>
      <w:r>
        <w:t xml:space="preserve"> direction to </w:t>
      </w:r>
      <w:r w:rsidRPr="00443542">
        <w:t xml:space="preserve">engage stakeholders </w:t>
      </w:r>
      <w:r w:rsidR="003C6E9A">
        <w:t>to draft a</w:t>
      </w:r>
      <w:r w:rsidRPr="00443542">
        <w:t xml:space="preserve"> solution</w:t>
      </w:r>
      <w:r>
        <w:t xml:space="preserve"> to custom challenges. </w:t>
      </w:r>
    </w:p>
    <w:p w14:paraId="303FDEE0" w14:textId="1D16CAD6" w:rsidR="00443542" w:rsidRPr="00443542" w:rsidRDefault="00443542" w:rsidP="00443542">
      <w:pPr>
        <w:pStyle w:val="Body"/>
      </w:pPr>
      <w:r>
        <w:t xml:space="preserve">Answer: SCG is </w:t>
      </w:r>
      <w:r w:rsidRPr="00443542">
        <w:t xml:space="preserve">leading </w:t>
      </w:r>
      <w:r>
        <w:t xml:space="preserve">the </w:t>
      </w:r>
      <w:r w:rsidRPr="00443542">
        <w:t xml:space="preserve">charge </w:t>
      </w:r>
      <w:r>
        <w:t xml:space="preserve">on a </w:t>
      </w:r>
      <w:r w:rsidRPr="00443542">
        <w:t>whitepaper</w:t>
      </w:r>
      <w:r>
        <w:t xml:space="preserve"> on that issue, but so much else going on for the filing, that unlikely </w:t>
      </w:r>
      <w:r w:rsidR="003C6E9A">
        <w:t>will get to it until the filing is done</w:t>
      </w:r>
      <w:r>
        <w:t xml:space="preserve">. </w:t>
      </w:r>
      <w:r w:rsidRPr="00443542">
        <w:t>PG&amp;E developed a customer rulebook for IOUs ex ante team, shared with CPUC staff ex ante, socializing t</w:t>
      </w:r>
      <w:r>
        <w:t xml:space="preserve">hat document, </w:t>
      </w:r>
      <w:r w:rsidRPr="00443542">
        <w:t xml:space="preserve">and </w:t>
      </w:r>
      <w:r>
        <w:t xml:space="preserve">also </w:t>
      </w:r>
      <w:r w:rsidRPr="00443542">
        <w:t xml:space="preserve">the </w:t>
      </w:r>
      <w:r>
        <w:t xml:space="preserve">PAs are creating a </w:t>
      </w:r>
      <w:r w:rsidRPr="00443542">
        <w:t>disposition database</w:t>
      </w:r>
      <w:r>
        <w:t xml:space="preserve"> to keep track of all of the dispositions</w:t>
      </w:r>
      <w:r w:rsidRPr="00443542">
        <w:t xml:space="preserve">. </w:t>
      </w:r>
      <w:r>
        <w:t>Also n</w:t>
      </w:r>
      <w:r w:rsidRPr="00443542">
        <w:t>eed the implementers to read the rules</w:t>
      </w:r>
      <w:r>
        <w:t xml:space="preserve"> like the PAs do and work together on this. Suggest including the plan for addressing this issue, even if the solution isn’t in the plan.</w:t>
      </w:r>
    </w:p>
    <w:p w14:paraId="1D55F81E" w14:textId="77777777" w:rsidR="00443542" w:rsidRPr="00443542" w:rsidRDefault="00443542" w:rsidP="00443542">
      <w:pPr>
        <w:pStyle w:val="Body"/>
      </w:pPr>
    </w:p>
    <w:p w14:paraId="48739281" w14:textId="77777777" w:rsidR="005D18DE" w:rsidRDefault="00443542" w:rsidP="00443542">
      <w:pPr>
        <w:pStyle w:val="Body"/>
      </w:pPr>
      <w:r w:rsidRPr="00443542">
        <w:t>Q</w:t>
      </w:r>
      <w:r>
        <w:t>uestion</w:t>
      </w:r>
      <w:r w:rsidR="005D18DE">
        <w:t>: D</w:t>
      </w:r>
      <w:r w:rsidRPr="00443542">
        <w:t xml:space="preserve">o we look at what customers did – e.g., are 95% of projects having no impact? Or </w:t>
      </w:r>
      <w:r w:rsidR="005D18DE">
        <w:t>this is what we’re contributing to</w:t>
      </w:r>
      <w:r w:rsidRPr="00443542">
        <w:t xml:space="preserve"> spillover</w:t>
      </w:r>
      <w:r w:rsidR="005D18DE">
        <w:t>, etc</w:t>
      </w:r>
      <w:r w:rsidRPr="00443542">
        <w:t>.</w:t>
      </w:r>
    </w:p>
    <w:p w14:paraId="061C47FB" w14:textId="06FBC287" w:rsidR="00443542" w:rsidRPr="00443542" w:rsidRDefault="005D18DE" w:rsidP="00443542">
      <w:pPr>
        <w:pStyle w:val="Body"/>
      </w:pPr>
      <w:r>
        <w:t>Answer</w:t>
      </w:r>
      <w:r w:rsidR="00443542" w:rsidRPr="00443542">
        <w:t xml:space="preserve">: </w:t>
      </w:r>
      <w:r>
        <w:t xml:space="preserve">There are </w:t>
      </w:r>
      <w:r w:rsidR="00443542" w:rsidRPr="00443542">
        <w:t xml:space="preserve">some market assessment, some </w:t>
      </w:r>
      <w:r>
        <w:t xml:space="preserve">industry standard practice studies, but it’s hard to study industrial end uses. </w:t>
      </w:r>
    </w:p>
    <w:p w14:paraId="3B790308" w14:textId="77777777" w:rsidR="005D18DE" w:rsidRDefault="005D18DE" w:rsidP="00443542">
      <w:pPr>
        <w:pStyle w:val="Body"/>
      </w:pPr>
    </w:p>
    <w:p w14:paraId="4FD0F05F" w14:textId="7BA67F6B" w:rsidR="005D18DE" w:rsidRDefault="00443542" w:rsidP="00443542">
      <w:pPr>
        <w:pStyle w:val="Body"/>
      </w:pPr>
      <w:r w:rsidRPr="00443542">
        <w:t>Q</w:t>
      </w:r>
      <w:r w:rsidR="005D18DE">
        <w:t>uestion</w:t>
      </w:r>
      <w:r w:rsidRPr="00443542">
        <w:t xml:space="preserve">: </w:t>
      </w:r>
      <w:r w:rsidR="005D18DE">
        <w:t xml:space="preserve">Do you </w:t>
      </w:r>
      <w:r w:rsidRPr="00443542">
        <w:t xml:space="preserve">look at </w:t>
      </w:r>
      <w:r w:rsidR="005D18DE">
        <w:t xml:space="preserve">the </w:t>
      </w:r>
      <w:r w:rsidRPr="00443542">
        <w:t>Consortium for EE studies for this, stage 2,</w:t>
      </w:r>
      <w:r w:rsidR="003C6E9A">
        <w:t xml:space="preserve"> </w:t>
      </w:r>
      <w:r w:rsidR="005D18DE">
        <w:t xml:space="preserve">etc.? </w:t>
      </w:r>
    </w:p>
    <w:p w14:paraId="06021AB0" w14:textId="72EB957E" w:rsidR="00443542" w:rsidRDefault="00443542" w:rsidP="00443542">
      <w:pPr>
        <w:pStyle w:val="Body"/>
      </w:pPr>
      <w:r w:rsidRPr="00443542">
        <w:t>A</w:t>
      </w:r>
      <w:r w:rsidR="005D18DE">
        <w:t>nswer</w:t>
      </w:r>
      <w:r w:rsidRPr="00443542">
        <w:t>: yes, but those are the least common denominator</w:t>
      </w:r>
      <w:r w:rsidR="005D18DE">
        <w:t xml:space="preserve"> b/c a lot are for national and California Is already doing more. </w:t>
      </w:r>
    </w:p>
    <w:p w14:paraId="0362733D" w14:textId="23C2466C" w:rsidR="005D18DE" w:rsidRDefault="005D18DE" w:rsidP="00443542">
      <w:pPr>
        <w:pStyle w:val="Body"/>
      </w:pPr>
      <w:r>
        <w:t>Response: would be good to note the documents the PAs read to inform their plans.</w:t>
      </w:r>
    </w:p>
    <w:p w14:paraId="0C7AD42B" w14:textId="77777777" w:rsidR="005D18DE" w:rsidRPr="00443542" w:rsidRDefault="005D18DE" w:rsidP="00443542">
      <w:pPr>
        <w:pStyle w:val="Body"/>
      </w:pPr>
    </w:p>
    <w:p w14:paraId="19C695C0" w14:textId="63DEFA52" w:rsidR="00443542" w:rsidRDefault="00443542" w:rsidP="00443542">
      <w:pPr>
        <w:pStyle w:val="Body"/>
      </w:pPr>
      <w:r w:rsidRPr="00443542">
        <w:t>Q</w:t>
      </w:r>
      <w:r w:rsidR="005D18DE">
        <w:t>uestion</w:t>
      </w:r>
      <w:r w:rsidRPr="00443542">
        <w:t>:</w:t>
      </w:r>
      <w:r w:rsidR="005D18DE">
        <w:t xml:space="preserve"> Can we</w:t>
      </w:r>
      <w:r w:rsidRPr="00443542">
        <w:t xml:space="preserve"> queue up policy issues to discuss at CC and </w:t>
      </w:r>
      <w:r w:rsidR="005D18DE">
        <w:t>put in BPs? Also, can we include interim proposals to address the issues while we’re waiting for Phase 3</w:t>
      </w:r>
      <w:r w:rsidR="003C6E9A">
        <w:t xml:space="preserve"> of R1311005? </w:t>
      </w:r>
    </w:p>
    <w:p w14:paraId="3E456426" w14:textId="77E3B688" w:rsidR="005D18DE" w:rsidRPr="00443542" w:rsidRDefault="005D18DE" w:rsidP="00443542">
      <w:pPr>
        <w:pStyle w:val="Body"/>
      </w:pPr>
      <w:r>
        <w:t xml:space="preserve">Answer: </w:t>
      </w:r>
      <w:proofErr w:type="gramStart"/>
      <w:r>
        <w:t>Yes</w:t>
      </w:r>
      <w:proofErr w:type="gramEnd"/>
      <w:r w:rsidR="003C6E9A">
        <w:t xml:space="preserve"> to queueing up.</w:t>
      </w:r>
      <w:r>
        <w:t xml:space="preserve"> Struggle with time to create proposals in the BP and likely not the right place b/c it’s not in scope just yet. However, an alternative is to provide a uniform prioritization for consideration by the Commission. </w:t>
      </w:r>
    </w:p>
    <w:p w14:paraId="27DA7050" w14:textId="77777777" w:rsidR="005D18DE" w:rsidRDefault="005D18DE" w:rsidP="00443542">
      <w:pPr>
        <w:pStyle w:val="Body"/>
      </w:pPr>
    </w:p>
    <w:p w14:paraId="68B7FFDC" w14:textId="77777777" w:rsidR="005D18DE" w:rsidRDefault="00443542" w:rsidP="00443542">
      <w:pPr>
        <w:pStyle w:val="Body"/>
      </w:pPr>
      <w:r w:rsidRPr="00443542">
        <w:t>Q</w:t>
      </w:r>
      <w:r w:rsidR="005D18DE">
        <w:t>uestion</w:t>
      </w:r>
      <w:r w:rsidRPr="00443542">
        <w:t xml:space="preserve">: </w:t>
      </w:r>
      <w:r w:rsidR="005D18DE">
        <w:t>C</w:t>
      </w:r>
      <w:r w:rsidRPr="00443542">
        <w:t xml:space="preserve">an we put legislative </w:t>
      </w:r>
      <w:r w:rsidR="005D18DE">
        <w:t>approaches in the business plan</w:t>
      </w:r>
      <w:r w:rsidRPr="00443542">
        <w:t xml:space="preserve">? </w:t>
      </w:r>
    </w:p>
    <w:p w14:paraId="726BA8FC" w14:textId="2DC40D41" w:rsidR="00443542" w:rsidRPr="00443542" w:rsidRDefault="00443542" w:rsidP="00443542">
      <w:pPr>
        <w:pStyle w:val="Body"/>
      </w:pPr>
      <w:r w:rsidRPr="00443542">
        <w:t>A</w:t>
      </w:r>
      <w:r w:rsidR="005D18DE">
        <w:t>nswer</w:t>
      </w:r>
      <w:r w:rsidRPr="00443542">
        <w:t>:</w:t>
      </w:r>
      <w:r w:rsidR="005D18DE">
        <w:t xml:space="preserve"> Suggest not doing that. Nearly all of the policy issues are in Phase 3. This group should focus on resolving them through this process before going the legislative route. </w:t>
      </w:r>
    </w:p>
    <w:p w14:paraId="75DE83BA" w14:textId="77777777" w:rsidR="003C6E9A" w:rsidRDefault="003C6E9A" w:rsidP="00443542">
      <w:pPr>
        <w:pStyle w:val="Body"/>
      </w:pPr>
    </w:p>
    <w:p w14:paraId="273EBB44" w14:textId="3E989F13" w:rsidR="00443542" w:rsidRDefault="003C6E9A" w:rsidP="00443542">
      <w:pPr>
        <w:pStyle w:val="Body"/>
      </w:pPr>
      <w:r>
        <w:t xml:space="preserve">Question: Are PAs working w/ water utilities given high water use in some industrial processes. </w:t>
      </w:r>
    </w:p>
    <w:p w14:paraId="4C595977" w14:textId="76C1EB01" w:rsidR="000E41BF" w:rsidRDefault="003C6E9A">
      <w:pPr>
        <w:pStyle w:val="Body"/>
      </w:pPr>
      <w:r>
        <w:lastRenderedPageBreak/>
        <w:t xml:space="preserve">Answer: Yes. LADWP/SCG partnership starting to work on joint industrial programs. Other utilities are also </w:t>
      </w:r>
      <w:r w:rsidR="00725B09">
        <w:t xml:space="preserve">partnering with water utilities. </w:t>
      </w:r>
    </w:p>
    <w:sectPr w:rsidR="000E41BF" w:rsidSect="002F31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60C03" w14:textId="77777777" w:rsidR="00EA7A13" w:rsidRDefault="00EA7A13">
      <w:r>
        <w:separator/>
      </w:r>
    </w:p>
  </w:endnote>
  <w:endnote w:type="continuationSeparator" w:id="0">
    <w:p w14:paraId="2169219F" w14:textId="77777777" w:rsidR="00EA7A13" w:rsidRDefault="00EA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E9B7DC" w14:textId="77777777" w:rsidR="00852075" w:rsidRDefault="00852075" w:rsidP="00E95D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CF899" w14:textId="77777777" w:rsidR="00852075" w:rsidRDefault="00852075" w:rsidP="008520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3F4831" w14:textId="77777777" w:rsidR="00852075" w:rsidRDefault="00852075" w:rsidP="00E95D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4B17">
      <w:rPr>
        <w:rStyle w:val="PageNumber"/>
        <w:noProof/>
      </w:rPr>
      <w:t>1</w:t>
    </w:r>
    <w:r>
      <w:rPr>
        <w:rStyle w:val="PageNumber"/>
      </w:rPr>
      <w:fldChar w:fldCharType="end"/>
    </w:r>
  </w:p>
  <w:p w14:paraId="2363FEF2" w14:textId="77777777" w:rsidR="00FF7407" w:rsidRDefault="00FF7407" w:rsidP="00852075">
    <w:pP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663834" w14:textId="77777777" w:rsidR="00852075" w:rsidRDefault="008520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BAC52" w14:textId="77777777" w:rsidR="00EA7A13" w:rsidRDefault="00EA7A13">
      <w:r>
        <w:separator/>
      </w:r>
    </w:p>
  </w:footnote>
  <w:footnote w:type="continuationSeparator" w:id="0">
    <w:p w14:paraId="5BD404D3" w14:textId="77777777" w:rsidR="00EA7A13" w:rsidRDefault="00EA7A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86D124" w14:textId="5D9A378D" w:rsidR="00852075" w:rsidRDefault="00EA7A13">
    <w:pPr>
      <w:pStyle w:val="Header"/>
    </w:pPr>
    <w:r>
      <w:rPr>
        <w:noProof/>
      </w:rPr>
      <w:pict w14:anchorId="4C7FCA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667DE9" w14:textId="0A5F6282" w:rsidR="00FF7407" w:rsidRDefault="00EA7A13">
    <w:r>
      <w:rPr>
        <w:noProof/>
      </w:rPr>
      <w:pict w14:anchorId="29FDD84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198F45" w14:textId="033F69BA" w:rsidR="00852075" w:rsidRDefault="00EA7A13">
    <w:pPr>
      <w:pStyle w:val="Header"/>
    </w:pPr>
    <w:r>
      <w:rPr>
        <w:noProof/>
      </w:rPr>
      <w:pict w14:anchorId="65E4528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F5DDF"/>
    <w:multiLevelType w:val="hybridMultilevel"/>
    <w:tmpl w:val="3E2EE9F0"/>
    <w:numStyleLink w:val="BulletBig"/>
  </w:abstractNum>
  <w:abstractNum w:abstractNumId="1">
    <w:nsid w:val="150B7B76"/>
    <w:multiLevelType w:val="hybridMultilevel"/>
    <w:tmpl w:val="45624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60500"/>
    <w:multiLevelType w:val="hybridMultilevel"/>
    <w:tmpl w:val="61A684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4432C"/>
    <w:multiLevelType w:val="hybridMultilevel"/>
    <w:tmpl w:val="3E2EE9F0"/>
    <w:styleLink w:val="BulletBig"/>
    <w:lvl w:ilvl="0" w:tplc="4D44A54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F0E04C2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35FC88E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03A892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56D0D80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FE140D5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ADFE8D6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6076259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0D48D06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nsid w:val="354E1D44"/>
    <w:multiLevelType w:val="hybridMultilevel"/>
    <w:tmpl w:val="EF4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F4103"/>
    <w:multiLevelType w:val="hybridMultilevel"/>
    <w:tmpl w:val="AF5CD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C2027"/>
    <w:multiLevelType w:val="hybridMultilevel"/>
    <w:tmpl w:val="4106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D686E"/>
    <w:multiLevelType w:val="hybridMultilevel"/>
    <w:tmpl w:val="0370250C"/>
    <w:styleLink w:val="Lettered"/>
    <w:lvl w:ilvl="0" w:tplc="942832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14A0B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BAF9E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B44E38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88867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DA0CB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52AAF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EE3A4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5011C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3223778"/>
    <w:multiLevelType w:val="hybridMultilevel"/>
    <w:tmpl w:val="80A0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1465DA"/>
    <w:multiLevelType w:val="hybridMultilevel"/>
    <w:tmpl w:val="FD704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C2BFA"/>
    <w:multiLevelType w:val="hybridMultilevel"/>
    <w:tmpl w:val="18467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50A67"/>
    <w:multiLevelType w:val="hybridMultilevel"/>
    <w:tmpl w:val="8762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773F8C"/>
    <w:multiLevelType w:val="hybridMultilevel"/>
    <w:tmpl w:val="367E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8F11D8"/>
    <w:multiLevelType w:val="hybridMultilevel"/>
    <w:tmpl w:val="A45C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615FE5"/>
    <w:multiLevelType w:val="hybridMultilevel"/>
    <w:tmpl w:val="852A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76AD5"/>
    <w:multiLevelType w:val="hybridMultilevel"/>
    <w:tmpl w:val="0370250C"/>
    <w:numStyleLink w:val="Lettered"/>
  </w:abstractNum>
  <w:num w:numId="1">
    <w:abstractNumId w:val="3"/>
  </w:num>
  <w:num w:numId="2">
    <w:abstractNumId w:val="0"/>
  </w:num>
  <w:num w:numId="3">
    <w:abstractNumId w:val="7"/>
  </w:num>
  <w:num w:numId="4">
    <w:abstractNumId w:val="15"/>
  </w:num>
  <w:num w:numId="5">
    <w:abstractNumId w:val="4"/>
  </w:num>
  <w:num w:numId="6">
    <w:abstractNumId w:val="8"/>
  </w:num>
  <w:num w:numId="7">
    <w:abstractNumId w:val="11"/>
  </w:num>
  <w:num w:numId="8">
    <w:abstractNumId w:val="2"/>
  </w:num>
  <w:num w:numId="9">
    <w:abstractNumId w:val="5"/>
  </w:num>
  <w:num w:numId="10">
    <w:abstractNumId w:val="6"/>
  </w:num>
  <w:num w:numId="11">
    <w:abstractNumId w:val="1"/>
  </w:num>
  <w:num w:numId="12">
    <w:abstractNumId w:val="10"/>
  </w:num>
  <w:num w:numId="13">
    <w:abstractNumId w:val="12"/>
  </w:num>
  <w:num w:numId="14">
    <w:abstractNumId w:val="13"/>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DA"/>
    <w:rsid w:val="00035094"/>
    <w:rsid w:val="000604BB"/>
    <w:rsid w:val="00064FF9"/>
    <w:rsid w:val="00081437"/>
    <w:rsid w:val="0008394B"/>
    <w:rsid w:val="00091524"/>
    <w:rsid w:val="000923DF"/>
    <w:rsid w:val="000E41BF"/>
    <w:rsid w:val="000E7277"/>
    <w:rsid w:val="000F1835"/>
    <w:rsid w:val="0014447C"/>
    <w:rsid w:val="00151657"/>
    <w:rsid w:val="001E7AB4"/>
    <w:rsid w:val="002571DE"/>
    <w:rsid w:val="00271FED"/>
    <w:rsid w:val="00280EAD"/>
    <w:rsid w:val="0029364E"/>
    <w:rsid w:val="002B697C"/>
    <w:rsid w:val="002F3169"/>
    <w:rsid w:val="0034237F"/>
    <w:rsid w:val="003A68D3"/>
    <w:rsid w:val="003B53A6"/>
    <w:rsid w:val="003C6E9A"/>
    <w:rsid w:val="003C7FEE"/>
    <w:rsid w:val="003F493E"/>
    <w:rsid w:val="00403A1D"/>
    <w:rsid w:val="00405C29"/>
    <w:rsid w:val="004120DC"/>
    <w:rsid w:val="004168FD"/>
    <w:rsid w:val="00417141"/>
    <w:rsid w:val="00443542"/>
    <w:rsid w:val="00463C2D"/>
    <w:rsid w:val="00477F58"/>
    <w:rsid w:val="004F6568"/>
    <w:rsid w:val="00521C73"/>
    <w:rsid w:val="00535879"/>
    <w:rsid w:val="00555B8A"/>
    <w:rsid w:val="005902BF"/>
    <w:rsid w:val="00593457"/>
    <w:rsid w:val="005A1215"/>
    <w:rsid w:val="005C162E"/>
    <w:rsid w:val="005D07A5"/>
    <w:rsid w:val="005D18DE"/>
    <w:rsid w:val="005D2D14"/>
    <w:rsid w:val="005D4EAD"/>
    <w:rsid w:val="005E736C"/>
    <w:rsid w:val="00603B9C"/>
    <w:rsid w:val="00662B77"/>
    <w:rsid w:val="00672007"/>
    <w:rsid w:val="00672C79"/>
    <w:rsid w:val="00691282"/>
    <w:rsid w:val="006A580D"/>
    <w:rsid w:val="006A6295"/>
    <w:rsid w:val="006D5446"/>
    <w:rsid w:val="006E7B20"/>
    <w:rsid w:val="00715616"/>
    <w:rsid w:val="00725B09"/>
    <w:rsid w:val="007679E8"/>
    <w:rsid w:val="00772882"/>
    <w:rsid w:val="007939CC"/>
    <w:rsid w:val="007C0EA7"/>
    <w:rsid w:val="007D4B17"/>
    <w:rsid w:val="00823F9F"/>
    <w:rsid w:val="00830F77"/>
    <w:rsid w:val="00852075"/>
    <w:rsid w:val="0088421B"/>
    <w:rsid w:val="008C311E"/>
    <w:rsid w:val="008E4C36"/>
    <w:rsid w:val="00904CC8"/>
    <w:rsid w:val="009520EB"/>
    <w:rsid w:val="00997A30"/>
    <w:rsid w:val="009B56AD"/>
    <w:rsid w:val="009C0270"/>
    <w:rsid w:val="009C2635"/>
    <w:rsid w:val="009D46F7"/>
    <w:rsid w:val="00A32CF3"/>
    <w:rsid w:val="00B53744"/>
    <w:rsid w:val="00BC08AD"/>
    <w:rsid w:val="00C70DEF"/>
    <w:rsid w:val="00C85E3F"/>
    <w:rsid w:val="00C91F3C"/>
    <w:rsid w:val="00C93BD3"/>
    <w:rsid w:val="00CC1E13"/>
    <w:rsid w:val="00CC538F"/>
    <w:rsid w:val="00CD3DB5"/>
    <w:rsid w:val="00D444AF"/>
    <w:rsid w:val="00D470DA"/>
    <w:rsid w:val="00D55B6B"/>
    <w:rsid w:val="00D9106F"/>
    <w:rsid w:val="00E44500"/>
    <w:rsid w:val="00E63833"/>
    <w:rsid w:val="00EA7A13"/>
    <w:rsid w:val="00EB23BD"/>
    <w:rsid w:val="00EE54DB"/>
    <w:rsid w:val="00F04059"/>
    <w:rsid w:val="00F27EB3"/>
    <w:rsid w:val="00F60EDC"/>
    <w:rsid w:val="00F704A9"/>
    <w:rsid w:val="00F817C8"/>
    <w:rsid w:val="00F90268"/>
    <w:rsid w:val="00F935FC"/>
    <w:rsid w:val="00FF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1FB2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Big">
    <w:name w:val="Bullet Big"/>
    <w:pPr>
      <w:numPr>
        <w:numId w:val="1"/>
      </w:numPr>
    </w:pPr>
  </w:style>
  <w:style w:type="numbering" w:customStyle="1" w:styleId="Lettered">
    <w:name w:val="Lettered"/>
    <w:pPr>
      <w:numPr>
        <w:numId w:val="3"/>
      </w:numPr>
    </w:pPr>
  </w:style>
  <w:style w:type="paragraph" w:styleId="Footer">
    <w:name w:val="footer"/>
    <w:basedOn w:val="Normal"/>
    <w:link w:val="FooterChar"/>
    <w:uiPriority w:val="99"/>
    <w:unhideWhenUsed/>
    <w:rsid w:val="00852075"/>
    <w:pPr>
      <w:tabs>
        <w:tab w:val="center" w:pos="4680"/>
        <w:tab w:val="right" w:pos="9360"/>
      </w:tabs>
    </w:pPr>
  </w:style>
  <w:style w:type="character" w:customStyle="1" w:styleId="FooterChar">
    <w:name w:val="Footer Char"/>
    <w:basedOn w:val="DefaultParagraphFont"/>
    <w:link w:val="Footer"/>
    <w:uiPriority w:val="99"/>
    <w:rsid w:val="00852075"/>
    <w:rPr>
      <w:sz w:val="24"/>
      <w:szCs w:val="24"/>
    </w:rPr>
  </w:style>
  <w:style w:type="character" w:styleId="PageNumber">
    <w:name w:val="page number"/>
    <w:basedOn w:val="DefaultParagraphFont"/>
    <w:uiPriority w:val="99"/>
    <w:semiHidden/>
    <w:unhideWhenUsed/>
    <w:rsid w:val="00852075"/>
  </w:style>
  <w:style w:type="paragraph" w:styleId="Header">
    <w:name w:val="header"/>
    <w:basedOn w:val="Normal"/>
    <w:link w:val="HeaderChar"/>
    <w:uiPriority w:val="99"/>
    <w:unhideWhenUsed/>
    <w:rsid w:val="00852075"/>
    <w:pPr>
      <w:tabs>
        <w:tab w:val="center" w:pos="4680"/>
        <w:tab w:val="right" w:pos="9360"/>
      </w:tabs>
    </w:pPr>
  </w:style>
  <w:style w:type="character" w:customStyle="1" w:styleId="HeaderChar">
    <w:name w:val="Header Char"/>
    <w:basedOn w:val="DefaultParagraphFont"/>
    <w:link w:val="Header"/>
    <w:uiPriority w:val="99"/>
    <w:rsid w:val="00852075"/>
    <w:rPr>
      <w:sz w:val="24"/>
      <w:szCs w:val="24"/>
    </w:rPr>
  </w:style>
  <w:style w:type="paragraph" w:styleId="BalloonText">
    <w:name w:val="Balloon Text"/>
    <w:basedOn w:val="Normal"/>
    <w:link w:val="BalloonTextChar"/>
    <w:uiPriority w:val="99"/>
    <w:semiHidden/>
    <w:unhideWhenUsed/>
    <w:rsid w:val="00535879"/>
    <w:rPr>
      <w:sz w:val="18"/>
      <w:szCs w:val="18"/>
    </w:rPr>
  </w:style>
  <w:style w:type="character" w:customStyle="1" w:styleId="BalloonTextChar">
    <w:name w:val="Balloon Text Char"/>
    <w:basedOn w:val="DefaultParagraphFont"/>
    <w:link w:val="BalloonText"/>
    <w:uiPriority w:val="99"/>
    <w:semiHidden/>
    <w:rsid w:val="00535879"/>
    <w:rPr>
      <w:sz w:val="18"/>
      <w:szCs w:val="18"/>
    </w:rPr>
  </w:style>
  <w:style w:type="character" w:styleId="CommentReference">
    <w:name w:val="annotation reference"/>
    <w:basedOn w:val="DefaultParagraphFont"/>
    <w:uiPriority w:val="99"/>
    <w:semiHidden/>
    <w:unhideWhenUsed/>
    <w:rsid w:val="00535879"/>
    <w:rPr>
      <w:sz w:val="18"/>
      <w:szCs w:val="18"/>
    </w:rPr>
  </w:style>
  <w:style w:type="paragraph" w:styleId="CommentText">
    <w:name w:val="annotation text"/>
    <w:basedOn w:val="Normal"/>
    <w:link w:val="CommentTextChar"/>
    <w:uiPriority w:val="99"/>
    <w:semiHidden/>
    <w:unhideWhenUsed/>
    <w:rsid w:val="00535879"/>
  </w:style>
  <w:style w:type="character" w:customStyle="1" w:styleId="CommentTextChar">
    <w:name w:val="Comment Text Char"/>
    <w:basedOn w:val="DefaultParagraphFont"/>
    <w:link w:val="CommentText"/>
    <w:uiPriority w:val="99"/>
    <w:semiHidden/>
    <w:rsid w:val="00535879"/>
    <w:rPr>
      <w:sz w:val="24"/>
      <w:szCs w:val="24"/>
    </w:rPr>
  </w:style>
  <w:style w:type="paragraph" w:styleId="CommentSubject">
    <w:name w:val="annotation subject"/>
    <w:basedOn w:val="CommentText"/>
    <w:next w:val="CommentText"/>
    <w:link w:val="CommentSubjectChar"/>
    <w:uiPriority w:val="99"/>
    <w:semiHidden/>
    <w:unhideWhenUsed/>
    <w:rsid w:val="00535879"/>
    <w:rPr>
      <w:b/>
      <w:bCs/>
      <w:sz w:val="20"/>
      <w:szCs w:val="20"/>
    </w:rPr>
  </w:style>
  <w:style w:type="character" w:customStyle="1" w:styleId="CommentSubjectChar">
    <w:name w:val="Comment Subject Char"/>
    <w:basedOn w:val="CommentTextChar"/>
    <w:link w:val="CommentSubject"/>
    <w:uiPriority w:val="99"/>
    <w:semiHidden/>
    <w:rsid w:val="0053587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EECC.org" TargetMode="External"/><Relationship Id="rId9" Type="http://schemas.openxmlformats.org/officeDocument/2006/relationships/header" Target="header1.xml"/><Relationship Id="rId10"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D0787B-0DBF-6E4C-8C2E-6E7DD22C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Whitney Pope</cp:lastModifiedBy>
  <cp:revision>2</cp:revision>
  <cp:lastPrinted>2016-03-17T23:38:00Z</cp:lastPrinted>
  <dcterms:created xsi:type="dcterms:W3CDTF">2016-03-25T14:34:00Z</dcterms:created>
  <dcterms:modified xsi:type="dcterms:W3CDTF">2016-03-25T14:34:00Z</dcterms:modified>
</cp:coreProperties>
</file>