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464" w:type="dxa"/>
        <w:tblInd w:w="-702" w:type="dxa"/>
        <w:tblLook w:val="04A0" w:firstRow="1" w:lastRow="0" w:firstColumn="1" w:lastColumn="0" w:noHBand="0" w:noVBand="1"/>
      </w:tblPr>
      <w:tblGrid>
        <w:gridCol w:w="344"/>
        <w:gridCol w:w="2153"/>
        <w:gridCol w:w="2543"/>
        <w:gridCol w:w="2880"/>
        <w:gridCol w:w="4140"/>
        <w:gridCol w:w="3005"/>
        <w:gridCol w:w="3399"/>
      </w:tblGrid>
      <w:tr w:rsidR="006017AF" w14:paraId="62AD66EC" w14:textId="77777777" w:rsidTr="007527A3">
        <w:trPr>
          <w:trHeight w:val="4699"/>
        </w:trPr>
        <w:tc>
          <w:tcPr>
            <w:tcW w:w="344" w:type="dxa"/>
          </w:tcPr>
          <w:p w14:paraId="3FADAAD6" w14:textId="77777777" w:rsidR="006017AF" w:rsidRPr="009E3ACB" w:rsidRDefault="006017AF" w:rsidP="002971AD">
            <w:pPr>
              <w:spacing w:after="240"/>
            </w:pPr>
            <w:r>
              <w:t>1</w:t>
            </w:r>
          </w:p>
        </w:tc>
        <w:tc>
          <w:tcPr>
            <w:tcW w:w="2153" w:type="dxa"/>
          </w:tcPr>
          <w:p w14:paraId="047FAF4F" w14:textId="2E0D34E2" w:rsidR="006017AF" w:rsidRDefault="006017AF" w:rsidP="002971AD">
            <w:pPr>
              <w:spacing w:after="240"/>
              <w:rPr>
                <w:i/>
              </w:rPr>
            </w:pPr>
            <w:r>
              <w:rPr>
                <w:i/>
              </w:rPr>
              <w:t xml:space="preserve">Workforce </w:t>
            </w:r>
            <w:r w:rsidR="00EC5766">
              <w:rPr>
                <w:i/>
              </w:rPr>
              <w:t xml:space="preserve">Standards and </w:t>
            </w:r>
            <w:r>
              <w:rPr>
                <w:i/>
              </w:rPr>
              <w:t>Certifications</w:t>
            </w:r>
          </w:p>
          <w:p w14:paraId="74B95B58" w14:textId="77777777" w:rsidR="006017AF" w:rsidRDefault="006017AF" w:rsidP="002971AD">
            <w:pPr>
              <w:rPr>
                <w:i/>
              </w:rPr>
            </w:pPr>
            <w:r>
              <w:rPr>
                <w:i/>
              </w:rPr>
              <w:t xml:space="preserve">Raised by: </w:t>
            </w:r>
          </w:p>
          <w:p w14:paraId="05F23C2E" w14:textId="77777777" w:rsidR="006017AF" w:rsidRDefault="006017AF" w:rsidP="00503C87">
            <w:pPr>
              <w:spacing w:after="240"/>
              <w:rPr>
                <w:i/>
              </w:rPr>
            </w:pPr>
            <w:r>
              <w:rPr>
                <w:i/>
              </w:rPr>
              <w:t>CEE</w:t>
            </w:r>
          </w:p>
          <w:p w14:paraId="75333727" w14:textId="7019FF22" w:rsidR="003B7829" w:rsidRDefault="003B7829" w:rsidP="002971AD">
            <w:pPr>
              <w:spacing w:after="240"/>
            </w:pPr>
            <w:r>
              <w:t xml:space="preserve">See </w:t>
            </w:r>
            <w:hyperlink r:id="rId8" w:history="1">
              <w:r w:rsidRPr="00752372">
                <w:rPr>
                  <w:rStyle w:val="Hyperlink"/>
                </w:rPr>
                <w:t>here</w:t>
              </w:r>
            </w:hyperlink>
            <w:r>
              <w:t xml:space="preserve"> for original CEE 3/11/16 discussion document </w:t>
            </w:r>
          </w:p>
          <w:p w14:paraId="1C81F6AB" w14:textId="2743A7FE" w:rsidR="006017AF" w:rsidRDefault="006017AF" w:rsidP="002971AD">
            <w:pPr>
              <w:spacing w:after="240"/>
            </w:pPr>
            <w:r>
              <w:t xml:space="preserve">See </w:t>
            </w:r>
            <w:hyperlink r:id="rId9" w:history="1">
              <w:r w:rsidRPr="00713D55">
                <w:rPr>
                  <w:rStyle w:val="Hyperlink"/>
                </w:rPr>
                <w:t>here</w:t>
              </w:r>
            </w:hyperlink>
            <w:r>
              <w:t xml:space="preserve"> for </w:t>
            </w:r>
            <w:r w:rsidR="003B7829">
              <w:t xml:space="preserve">7/13 </w:t>
            </w:r>
            <w:r w:rsidR="004A0EBD">
              <w:t xml:space="preserve">CEE proposal </w:t>
            </w:r>
            <w:r>
              <w:t>document</w:t>
            </w:r>
            <w:r w:rsidR="004102F7">
              <w:t xml:space="preserve"> </w:t>
            </w:r>
          </w:p>
          <w:p w14:paraId="082F3F11" w14:textId="77777777" w:rsidR="006017AF" w:rsidRDefault="006017AF" w:rsidP="002971AD">
            <w:pPr>
              <w:spacing w:after="240"/>
            </w:pPr>
            <w:r w:rsidRPr="00A04371">
              <w:rPr>
                <w:highlight w:val="yellow"/>
              </w:rPr>
              <w:t>This item was discussed on DATE, DATE, DATE, and DATE.</w:t>
            </w:r>
          </w:p>
          <w:p w14:paraId="02D33046" w14:textId="77777777" w:rsidR="003C099B" w:rsidRPr="00F5240D" w:rsidRDefault="003C099B" w:rsidP="002971AD">
            <w:pPr>
              <w:spacing w:after="240"/>
              <w:jc w:val="center"/>
            </w:pPr>
            <w:r w:rsidRPr="00F5240D">
              <w:rPr>
                <w:b/>
              </w:rPr>
              <w:t xml:space="preserve">Organizations in support of </w:t>
            </w:r>
            <w:r>
              <w:rPr>
                <w:b/>
              </w:rPr>
              <w:t>Proposal:</w:t>
            </w:r>
          </w:p>
          <w:p w14:paraId="7AEFAB3E" w14:textId="77777777" w:rsidR="003C099B" w:rsidRPr="003C099B" w:rsidRDefault="003C099B" w:rsidP="002971AD">
            <w:pPr>
              <w:pStyle w:val="ListParagraph"/>
              <w:numPr>
                <w:ilvl w:val="0"/>
                <w:numId w:val="31"/>
              </w:numPr>
              <w:spacing w:after="240"/>
              <w:contextualSpacing w:val="0"/>
            </w:pPr>
          </w:p>
        </w:tc>
        <w:tc>
          <w:tcPr>
            <w:tcW w:w="2543" w:type="dxa"/>
            <w:shd w:val="clear" w:color="auto" w:fill="BFBFBF" w:themeFill="background1" w:themeFillShade="BF"/>
          </w:tcPr>
          <w:p w14:paraId="5789641B" w14:textId="5EED89D5" w:rsidR="006017AF" w:rsidRDefault="002971AD" w:rsidP="002971AD">
            <w:pPr>
              <w:spacing w:after="240"/>
            </w:pPr>
            <w:r>
              <w:t xml:space="preserve">(A) </w:t>
            </w:r>
            <w:r w:rsidR="006017AF">
              <w:t>PA business plans should include clear and detailed descriptions of how PA incentive programs will ensure EE measures are installed by a skilled and trained workforce in order to increase energy savings by reducing lost or forgone energy savings.</w:t>
            </w:r>
          </w:p>
          <w:p w14:paraId="4CD25705" w14:textId="77777777" w:rsidR="006017AF" w:rsidRDefault="006017AF" w:rsidP="002971AD">
            <w:pPr>
              <w:spacing w:after="240"/>
            </w:pPr>
          </w:p>
          <w:p w14:paraId="3C613448" w14:textId="77777777" w:rsidR="006017AF" w:rsidRDefault="006017AF" w:rsidP="002971AD">
            <w:pPr>
              <w:spacing w:after="240"/>
              <w:jc w:val="center"/>
            </w:pPr>
          </w:p>
        </w:tc>
        <w:tc>
          <w:tcPr>
            <w:tcW w:w="2880" w:type="dxa"/>
            <w:shd w:val="clear" w:color="auto" w:fill="BFBFBF" w:themeFill="background1" w:themeFillShade="BF"/>
          </w:tcPr>
          <w:p w14:paraId="6BFEDB53" w14:textId="7B9E71C4" w:rsidR="006017AF" w:rsidRDefault="006F0AAA" w:rsidP="002971AD">
            <w:pPr>
              <w:spacing w:after="240"/>
            </w:pPr>
            <w:r>
              <w:t xml:space="preserve">(A) </w:t>
            </w:r>
            <w:r w:rsidR="00A96E4A">
              <w:t>This should be done to a</w:t>
            </w:r>
            <w:r w:rsidR="006017AF">
              <w:t>ddres</w:t>
            </w:r>
            <w:r w:rsidR="00D070CF">
              <w:t>s poor-quality workmanship and e</w:t>
            </w:r>
            <w:r w:rsidR="006017AF">
              <w:t>nsure engagement of a higher skilled and more effective workforce.</w:t>
            </w:r>
          </w:p>
          <w:p w14:paraId="0FBBAF16" w14:textId="7D3C3C7A" w:rsidR="006017AF" w:rsidRPr="00D070CF" w:rsidRDefault="003D64A0" w:rsidP="002971AD">
            <w:pPr>
              <w:spacing w:after="240"/>
              <w:rPr>
                <w:highlight w:val="yellow"/>
              </w:rPr>
            </w:pPr>
            <w:r>
              <w:t xml:space="preserve">(B) </w:t>
            </w:r>
            <w:r w:rsidR="004D6017">
              <w:t xml:space="preserve">The proposal cites </w:t>
            </w:r>
            <w:r w:rsidR="00D070CF">
              <w:t xml:space="preserve">to </w:t>
            </w:r>
            <w:r w:rsidR="004D6017">
              <w:t xml:space="preserve">studies summarized in </w:t>
            </w:r>
            <w:r w:rsidR="00D070CF">
              <w:t>the</w:t>
            </w:r>
            <w:r w:rsidR="00745215">
              <w:t xml:space="preserve"> DVC </w:t>
            </w:r>
            <w:r w:rsidR="005C661D" w:rsidRPr="005C661D">
              <w:rPr>
                <w:i/>
                <w:iCs/>
                <w:highlight w:val="yellow"/>
              </w:rPr>
              <w:t>Workforce Issues and Energy Efficiency Programs: A Plan for California’s Utilities</w:t>
            </w:r>
            <w:r w:rsidR="00737131">
              <w:rPr>
                <w:i/>
                <w:iCs/>
              </w:rPr>
              <w:t xml:space="preserve"> Appendix 2B</w:t>
            </w:r>
            <w:r w:rsidR="004D6017">
              <w:t xml:space="preserve"> </w:t>
            </w:r>
            <w:r w:rsidR="006017AF">
              <w:t>that show the benefit from having such certifications</w:t>
            </w:r>
            <w:r w:rsidR="007E1DEA">
              <w:t xml:space="preserve"> in HVAC, lighting, among other end-us</w:t>
            </w:r>
            <w:r w:rsidR="00E97672">
              <w:t>es</w:t>
            </w:r>
            <w:r w:rsidR="006017AF">
              <w:t>.</w:t>
            </w:r>
          </w:p>
        </w:tc>
        <w:tc>
          <w:tcPr>
            <w:tcW w:w="4140" w:type="dxa"/>
          </w:tcPr>
          <w:p w14:paraId="759E39BE" w14:textId="4F4A1163" w:rsidR="008C78A4" w:rsidRDefault="003D64A0" w:rsidP="002971AD">
            <w:pPr>
              <w:spacing w:after="240"/>
            </w:pPr>
            <w:r>
              <w:t>(A)</w:t>
            </w:r>
            <w:r w:rsidR="005E0676">
              <w:t xml:space="preserve"> </w:t>
            </w:r>
            <w:r w:rsidR="008C78A4">
              <w:t>Agree with intent to have skilled workforce.</w:t>
            </w:r>
          </w:p>
          <w:p w14:paraId="2E38A5E0" w14:textId="6789F30E" w:rsidR="006017AF" w:rsidRDefault="008C78A4" w:rsidP="002971AD">
            <w:pPr>
              <w:spacing w:after="240"/>
            </w:pPr>
            <w:r>
              <w:t xml:space="preserve">(B) </w:t>
            </w:r>
            <w:r w:rsidR="006017AF">
              <w:t>Certifications are sector/subsector specific. Therefore these discussions should occur at the subcommittee level utilizing available studies, evaluations, and including key experts and stakeholders.</w:t>
            </w:r>
          </w:p>
          <w:p w14:paraId="152746C7" w14:textId="09B287D9" w:rsidR="006017AF" w:rsidRDefault="008C78A4" w:rsidP="002971AD">
            <w:pPr>
              <w:spacing w:after="240"/>
            </w:pPr>
            <w:r>
              <w:t>(C</w:t>
            </w:r>
            <w:r w:rsidR="003D64A0">
              <w:t>)</w:t>
            </w:r>
            <w:r w:rsidR="005E0676">
              <w:t xml:space="preserve"> </w:t>
            </w:r>
            <w:r w:rsidR="00E97672">
              <w:t xml:space="preserve">Some </w:t>
            </w:r>
            <w:r w:rsidR="006017AF">
              <w:t xml:space="preserve">literature </w:t>
            </w:r>
            <w:r w:rsidR="00E97672">
              <w:t xml:space="preserve">has found inconclusive evidence that </w:t>
            </w:r>
            <w:r w:rsidR="006017AF">
              <w:t>certifications lead to improved savings. (e.g., Opinion Dynamics</w:t>
            </w:r>
            <w:r w:rsidR="005C661D">
              <w:t xml:space="preserve"> - </w:t>
            </w:r>
            <w:r w:rsidR="005C661D" w:rsidRPr="005C661D">
              <w:rPr>
                <w:highlight w:val="yellow"/>
              </w:rPr>
              <w:t>CITE</w:t>
            </w:r>
            <w:r w:rsidR="006017AF">
              <w:t>)</w:t>
            </w:r>
          </w:p>
          <w:p w14:paraId="1F2C0F3D" w14:textId="75C9E63C" w:rsidR="006017AF" w:rsidRDefault="008C78A4" w:rsidP="002971AD">
            <w:pPr>
              <w:spacing w:after="240"/>
            </w:pPr>
            <w:r>
              <w:t>(D</w:t>
            </w:r>
            <w:r w:rsidR="00C31DF0">
              <w:t xml:space="preserve">) </w:t>
            </w:r>
            <w:r w:rsidR="006017AF">
              <w:t>The difference in energy savings may be due to poor workmanship, but there are a number of other reasons as well (e.g., estimated useful life, hou</w:t>
            </w:r>
            <w:r w:rsidR="00122B69">
              <w:t xml:space="preserve">rs of operation, net-to-gross). It is </w:t>
            </w:r>
            <w:r w:rsidR="006017AF">
              <w:t>therefore difficult to assess</w:t>
            </w:r>
            <w:r w:rsidR="00122B69">
              <w:t xml:space="preserve"> how much of the change is due to installation vs. these other factors</w:t>
            </w:r>
            <w:r w:rsidR="00E33EAC">
              <w:t xml:space="preserve">. </w:t>
            </w:r>
            <w:r w:rsidR="00BD2B7A">
              <w:t xml:space="preserve">Future </w:t>
            </w:r>
            <w:r w:rsidR="00E33EAC">
              <w:t xml:space="preserve">EM&amp;V studies should be </w:t>
            </w:r>
            <w:r w:rsidR="005336C7">
              <w:t>designed</w:t>
            </w:r>
            <w:r w:rsidR="00B9201D">
              <w:t xml:space="preserve"> to </w:t>
            </w:r>
            <w:r w:rsidR="00BD2B7A">
              <w:t xml:space="preserve">further </w:t>
            </w:r>
            <w:r w:rsidR="00E33EAC">
              <w:t>tease this out</w:t>
            </w:r>
            <w:r w:rsidR="00161651">
              <w:t xml:space="preserve"> in order </w:t>
            </w:r>
            <w:r w:rsidR="00E33EAC">
              <w:t xml:space="preserve">to inform </w:t>
            </w:r>
            <w:r w:rsidR="005C436A">
              <w:t>improvements</w:t>
            </w:r>
            <w:r w:rsidR="00860CD4">
              <w:t>.</w:t>
            </w:r>
          </w:p>
          <w:p w14:paraId="7B3CF88C" w14:textId="15260428" w:rsidR="006017AF" w:rsidRDefault="008C78A4" w:rsidP="002971AD">
            <w:pPr>
              <w:spacing w:after="240"/>
            </w:pPr>
            <w:r>
              <w:t>(E</w:t>
            </w:r>
            <w:r w:rsidR="00517361">
              <w:t xml:space="preserve">) </w:t>
            </w:r>
            <w:r w:rsidR="001745A5">
              <w:t>There was concern about impacts on contractor availability to support program and price impacts if a given certification is not widely adopted by contracting community, whether due to cost or other reasons.</w:t>
            </w:r>
          </w:p>
        </w:tc>
        <w:tc>
          <w:tcPr>
            <w:tcW w:w="3005" w:type="dxa"/>
          </w:tcPr>
          <w:p w14:paraId="0DC0DA8D" w14:textId="77777777" w:rsidR="008C78A4" w:rsidRDefault="002C528A" w:rsidP="002971AD">
            <w:pPr>
              <w:spacing w:after="240"/>
            </w:pPr>
            <w:r>
              <w:t xml:space="preserve">(A) </w:t>
            </w:r>
            <w:r w:rsidR="00CC6CA8">
              <w:t>I</w:t>
            </w:r>
            <w:r w:rsidR="006017AF">
              <w:t>nstead of including specific certifications in the BPs, the BPs should include a stated intent</w:t>
            </w:r>
            <w:r w:rsidR="00FB76ED">
              <w:t xml:space="preserve"> and plan</w:t>
            </w:r>
            <w:r w:rsidR="006017AF">
              <w:t xml:space="preserve"> to </w:t>
            </w:r>
            <w:r w:rsidR="00892255">
              <w:t>determine</w:t>
            </w:r>
            <w:r w:rsidR="006017AF">
              <w:t xml:space="preserve"> the appropriate workforce standards after BP approval</w:t>
            </w:r>
            <w:r w:rsidR="00CC6CA8">
              <w:t xml:space="preserve">. </w:t>
            </w:r>
          </w:p>
          <w:p w14:paraId="6D181263" w14:textId="5CD4464D" w:rsidR="00725C4D" w:rsidRDefault="008C78A4" w:rsidP="002971AD">
            <w:pPr>
              <w:spacing w:after="240"/>
            </w:pPr>
            <w:r>
              <w:t xml:space="preserve">(B) </w:t>
            </w:r>
            <w:r w:rsidR="00CC6CA8">
              <w:t>The discussion would occur</w:t>
            </w:r>
            <w:r w:rsidR="006017AF">
              <w:t xml:space="preserve"> within the sector-specific subcommittee process</w:t>
            </w:r>
            <w:r w:rsidR="00CC6CA8">
              <w:t xml:space="preserve"> for develop</w:t>
            </w:r>
            <w:r w:rsidR="0062465A">
              <w:t xml:space="preserve">ment as part of the </w:t>
            </w:r>
            <w:r w:rsidR="00CC6CA8">
              <w:t>implementation plans</w:t>
            </w:r>
            <w:r w:rsidR="006017AF">
              <w:t xml:space="preserve">. </w:t>
            </w:r>
            <w:r w:rsidR="00725C4D">
              <w:t xml:space="preserve"> </w:t>
            </w:r>
          </w:p>
          <w:p w14:paraId="6C4A5B3C" w14:textId="14055607" w:rsidR="006017AF" w:rsidRDefault="002C528A" w:rsidP="002971AD">
            <w:pPr>
              <w:spacing w:after="240"/>
            </w:pPr>
            <w:r>
              <w:t>(C)</w:t>
            </w:r>
            <w:r w:rsidR="005A76D8">
              <w:t xml:space="preserve"> </w:t>
            </w:r>
            <w:r w:rsidR="00002CCC">
              <w:t xml:space="preserve">Rather than a blanket application of </w:t>
            </w:r>
            <w:r w:rsidR="008C78A4">
              <w:t xml:space="preserve">standards and </w:t>
            </w:r>
            <w:r w:rsidR="00002CCC">
              <w:t>certification</w:t>
            </w:r>
            <w:r w:rsidR="008C78A4">
              <w:t>s</w:t>
            </w:r>
            <w:r w:rsidR="00002CCC">
              <w:t>, t</w:t>
            </w:r>
            <w:r w:rsidR="00725C4D">
              <w:t xml:space="preserve">his process should rely on the </w:t>
            </w:r>
            <w:r w:rsidR="006017AF">
              <w:t>best available information</w:t>
            </w:r>
            <w:r w:rsidR="005A76D8">
              <w:t xml:space="preserve"> </w:t>
            </w:r>
            <w:r w:rsidR="00002CCC">
              <w:t>(e.g., DVC, Opinion Dynamics, etc.) to inform which</w:t>
            </w:r>
            <w:r w:rsidR="005A76D8">
              <w:t xml:space="preserve"> certification </w:t>
            </w:r>
            <w:r w:rsidR="00002CCC">
              <w:t xml:space="preserve">to use for particular subsector/end-use work </w:t>
            </w:r>
            <w:r w:rsidR="005A76D8">
              <w:t xml:space="preserve">or </w:t>
            </w:r>
            <w:r w:rsidR="00002CCC">
              <w:t xml:space="preserve">to identify </w:t>
            </w:r>
            <w:r w:rsidR="005A76D8">
              <w:t xml:space="preserve">whether none exists. </w:t>
            </w:r>
          </w:p>
          <w:p w14:paraId="7B9AFCBD" w14:textId="77777777" w:rsidR="006017AF" w:rsidRDefault="006017AF" w:rsidP="002971AD">
            <w:pPr>
              <w:spacing w:after="240"/>
            </w:pPr>
          </w:p>
          <w:p w14:paraId="03DEC6E4" w14:textId="77777777" w:rsidR="006017AF" w:rsidRPr="00F5240D" w:rsidRDefault="006017AF" w:rsidP="002971AD">
            <w:pPr>
              <w:spacing w:after="240"/>
              <w:jc w:val="center"/>
            </w:pPr>
            <w:r w:rsidRPr="00F5240D">
              <w:rPr>
                <w:b/>
              </w:rPr>
              <w:t>Organizations in support of Alternative</w:t>
            </w:r>
            <w:r w:rsidR="00B51816">
              <w:rPr>
                <w:b/>
              </w:rPr>
              <w:t xml:space="preserve"> Approach</w:t>
            </w:r>
            <w:r>
              <w:rPr>
                <w:b/>
              </w:rPr>
              <w:t>:</w:t>
            </w:r>
          </w:p>
          <w:p w14:paraId="1480BF6B" w14:textId="77777777" w:rsidR="006017AF" w:rsidRPr="00F5240D" w:rsidRDefault="006017AF" w:rsidP="002971AD">
            <w:pPr>
              <w:pStyle w:val="ListParagraph"/>
              <w:numPr>
                <w:ilvl w:val="0"/>
                <w:numId w:val="8"/>
              </w:numPr>
              <w:spacing w:after="240"/>
              <w:contextualSpacing w:val="0"/>
              <w:rPr>
                <w:b/>
              </w:rPr>
            </w:pPr>
          </w:p>
        </w:tc>
        <w:tc>
          <w:tcPr>
            <w:tcW w:w="3399" w:type="dxa"/>
          </w:tcPr>
          <w:p w14:paraId="74991983" w14:textId="602CBC88" w:rsidR="006017AF" w:rsidRDefault="00860CD4" w:rsidP="002971AD">
            <w:pPr>
              <w:spacing w:after="240"/>
              <w:ind w:firstLine="720"/>
            </w:pPr>
            <w:r w:rsidRPr="004102F7">
              <w:rPr>
                <w:highlight w:val="yellow"/>
              </w:rPr>
              <w:t xml:space="preserve">OTHER </w:t>
            </w:r>
            <w:commentRangeStart w:id="0"/>
            <w:r w:rsidRPr="004102F7">
              <w:rPr>
                <w:highlight w:val="yellow"/>
              </w:rPr>
              <w:t>POSITION</w:t>
            </w:r>
            <w:commentRangeEnd w:id="0"/>
            <w:r w:rsidR="00CC6CA8">
              <w:rPr>
                <w:rStyle w:val="CommentReference"/>
              </w:rPr>
              <w:commentReference w:id="0"/>
            </w:r>
            <w:r w:rsidRPr="004102F7">
              <w:rPr>
                <w:highlight w:val="yellow"/>
              </w:rPr>
              <w:t>?</w:t>
            </w:r>
          </w:p>
          <w:p w14:paraId="1E5019D3" w14:textId="1FA54661" w:rsidR="007C705A" w:rsidRPr="00CC6CA8" w:rsidRDefault="007C705A" w:rsidP="002971AD">
            <w:pPr>
              <w:spacing w:after="240"/>
              <w:ind w:firstLine="720"/>
              <w:rPr>
                <w:color w:val="E36C0A" w:themeColor="accent6" w:themeShade="BF"/>
              </w:rPr>
            </w:pPr>
          </w:p>
          <w:p w14:paraId="2A3C3441" w14:textId="5AD451B9" w:rsidR="007C705A" w:rsidRDefault="007C705A" w:rsidP="002971AD">
            <w:pPr>
              <w:spacing w:after="240"/>
              <w:ind w:firstLine="720"/>
            </w:pPr>
          </w:p>
        </w:tc>
      </w:tr>
    </w:tbl>
    <w:p w14:paraId="31524640" w14:textId="5D29E6A7" w:rsidR="00B731C3" w:rsidRDefault="00B731C3">
      <w:bookmarkStart w:id="1" w:name="_GoBack"/>
      <w:bookmarkEnd w:id="1"/>
    </w:p>
    <w:tbl>
      <w:tblPr>
        <w:tblStyle w:val="TableGrid"/>
        <w:tblW w:w="18270" w:type="dxa"/>
        <w:tblInd w:w="-702" w:type="dxa"/>
        <w:tblLook w:val="04A0" w:firstRow="1" w:lastRow="0" w:firstColumn="1" w:lastColumn="0" w:noHBand="0" w:noVBand="1"/>
      </w:tblPr>
      <w:tblGrid>
        <w:gridCol w:w="344"/>
        <w:gridCol w:w="2151"/>
        <w:gridCol w:w="2540"/>
        <w:gridCol w:w="2885"/>
        <w:gridCol w:w="4140"/>
        <w:gridCol w:w="2970"/>
        <w:gridCol w:w="3240"/>
      </w:tblGrid>
      <w:tr w:rsidR="001815A7" w14:paraId="51859CB6" w14:textId="77777777" w:rsidTr="007527A3">
        <w:trPr>
          <w:trHeight w:val="63"/>
        </w:trPr>
        <w:tc>
          <w:tcPr>
            <w:tcW w:w="344" w:type="dxa"/>
          </w:tcPr>
          <w:p w14:paraId="3C5DC8E9" w14:textId="77777777" w:rsidR="001815A7" w:rsidRPr="009E3ACB" w:rsidRDefault="001815A7" w:rsidP="002971AD">
            <w:pPr>
              <w:spacing w:after="240"/>
            </w:pPr>
            <w:r>
              <w:lastRenderedPageBreak/>
              <w:t>2</w:t>
            </w:r>
          </w:p>
        </w:tc>
        <w:tc>
          <w:tcPr>
            <w:tcW w:w="2151" w:type="dxa"/>
          </w:tcPr>
          <w:p w14:paraId="74F16D4E" w14:textId="77777777" w:rsidR="001815A7" w:rsidRDefault="001815A7" w:rsidP="002971AD">
            <w:pPr>
              <w:spacing w:after="240"/>
              <w:rPr>
                <w:i/>
              </w:rPr>
            </w:pPr>
            <w:r>
              <w:rPr>
                <w:i/>
              </w:rPr>
              <w:t>Municipal, Universities, Schools, and Hospitals (MUSH) &amp; Affordable Multifamily (AMF) Sector Programs</w:t>
            </w:r>
          </w:p>
          <w:p w14:paraId="7E04D31A" w14:textId="77777777" w:rsidR="001815A7" w:rsidRDefault="001815A7" w:rsidP="002971AD">
            <w:pPr>
              <w:rPr>
                <w:i/>
              </w:rPr>
            </w:pPr>
            <w:r>
              <w:rPr>
                <w:i/>
              </w:rPr>
              <w:t>Raised by:</w:t>
            </w:r>
          </w:p>
          <w:p w14:paraId="1A238C33" w14:textId="77777777" w:rsidR="001815A7" w:rsidRDefault="001815A7" w:rsidP="00503C87">
            <w:pPr>
              <w:spacing w:after="240"/>
              <w:rPr>
                <w:i/>
              </w:rPr>
            </w:pPr>
            <w:r w:rsidRPr="00CE45A5">
              <w:rPr>
                <w:i/>
              </w:rPr>
              <w:t>CEE</w:t>
            </w:r>
          </w:p>
          <w:p w14:paraId="32CAEDBD" w14:textId="77777777" w:rsidR="00BE0ED6" w:rsidRDefault="001815A7" w:rsidP="002971AD">
            <w:pPr>
              <w:spacing w:after="240"/>
            </w:pPr>
            <w:r>
              <w:t xml:space="preserve">See </w:t>
            </w:r>
            <w:hyperlink r:id="rId12" w:history="1">
              <w:r w:rsidRPr="00752372">
                <w:rPr>
                  <w:rStyle w:val="Hyperlink"/>
                </w:rPr>
                <w:t>here</w:t>
              </w:r>
            </w:hyperlink>
            <w:r>
              <w:t xml:space="preserve"> for</w:t>
            </w:r>
            <w:r w:rsidR="0045316D">
              <w:t xml:space="preserve"> </w:t>
            </w:r>
            <w:r w:rsidR="00BE0ED6">
              <w:t xml:space="preserve">original </w:t>
            </w:r>
            <w:r>
              <w:t>CEE discussion document</w:t>
            </w:r>
            <w:r w:rsidR="00BE0ED6">
              <w:t xml:space="preserve"> that this summary is based on. </w:t>
            </w:r>
          </w:p>
          <w:p w14:paraId="3A5F3401" w14:textId="7BE33F3D" w:rsidR="00E61470" w:rsidRDefault="00E61470" w:rsidP="002971AD">
            <w:pPr>
              <w:spacing w:after="240"/>
            </w:pPr>
            <w:r>
              <w:t xml:space="preserve">See </w:t>
            </w:r>
            <w:hyperlink r:id="rId13" w:history="1">
              <w:r w:rsidRPr="00E61470">
                <w:rPr>
                  <w:rStyle w:val="Hyperlink"/>
                </w:rPr>
                <w:t>here</w:t>
              </w:r>
            </w:hyperlink>
            <w:r>
              <w:t xml:space="preserve"> for savings potential estimates provided by Non-CC Member in support of the CEE proposal at request of PAs</w:t>
            </w:r>
          </w:p>
          <w:p w14:paraId="18383036" w14:textId="77777777" w:rsidR="001815A7" w:rsidRDefault="00BE0ED6" w:rsidP="002971AD">
            <w:pPr>
              <w:spacing w:after="240"/>
            </w:pPr>
            <w:r w:rsidRPr="00A04371">
              <w:rPr>
                <w:highlight w:val="yellow"/>
              </w:rPr>
              <w:t>This item was discussed on DATE, DATE, DATE, and DATE.</w:t>
            </w:r>
            <w:r w:rsidR="001815A7">
              <w:t xml:space="preserve"> </w:t>
            </w:r>
          </w:p>
          <w:p w14:paraId="5BBA666F" w14:textId="77777777" w:rsidR="00775E82" w:rsidRPr="00F5240D" w:rsidRDefault="00775E82" w:rsidP="002971AD">
            <w:pPr>
              <w:spacing w:after="240"/>
              <w:jc w:val="center"/>
            </w:pPr>
            <w:r w:rsidRPr="00F5240D">
              <w:rPr>
                <w:b/>
              </w:rPr>
              <w:t xml:space="preserve">Organizations in support of </w:t>
            </w:r>
            <w:r>
              <w:rPr>
                <w:b/>
              </w:rPr>
              <w:t>Proposal:</w:t>
            </w:r>
          </w:p>
          <w:p w14:paraId="18F8A3A4" w14:textId="77777777" w:rsidR="00775E82" w:rsidRPr="00775E82" w:rsidRDefault="00775E82" w:rsidP="002971AD">
            <w:pPr>
              <w:pStyle w:val="ListParagraph"/>
              <w:numPr>
                <w:ilvl w:val="0"/>
                <w:numId w:val="30"/>
              </w:numPr>
              <w:spacing w:after="240"/>
              <w:contextualSpacing w:val="0"/>
            </w:pPr>
          </w:p>
        </w:tc>
        <w:tc>
          <w:tcPr>
            <w:tcW w:w="2540" w:type="dxa"/>
            <w:shd w:val="clear" w:color="auto" w:fill="BFBFBF" w:themeFill="background1" w:themeFillShade="BF"/>
          </w:tcPr>
          <w:p w14:paraId="15AA92F6" w14:textId="33D164C7" w:rsidR="001815A7" w:rsidRDefault="002971AD" w:rsidP="002971AD">
            <w:pPr>
              <w:spacing w:after="240"/>
            </w:pPr>
            <w:r>
              <w:t xml:space="preserve">(A) </w:t>
            </w:r>
            <w:r w:rsidR="001815A7" w:rsidRPr="00752372">
              <w:t xml:space="preserve">Identify and launch programs specific </w:t>
            </w:r>
            <w:r w:rsidR="001815A7">
              <w:rPr>
                <w:iCs/>
              </w:rPr>
              <w:t xml:space="preserve">to </w:t>
            </w:r>
            <w:r w:rsidR="001815A7" w:rsidRPr="00752372">
              <w:t xml:space="preserve">MUSH and </w:t>
            </w:r>
            <w:r w:rsidR="00A55792" w:rsidRPr="00752372">
              <w:t xml:space="preserve">affordable </w:t>
            </w:r>
            <w:r w:rsidR="001815A7" w:rsidRPr="00752372">
              <w:t>multifamily</w:t>
            </w:r>
            <w:r w:rsidR="00A55792">
              <w:t xml:space="preserve"> (AMF)</w:t>
            </w:r>
            <w:r w:rsidR="001815A7" w:rsidRPr="00752372">
              <w:t xml:space="preserve"> housing segments to</w:t>
            </w:r>
            <w:r w:rsidR="00C662A0">
              <w:t xml:space="preserve"> </w:t>
            </w:r>
            <w:r w:rsidR="001815A7" w:rsidRPr="00752372">
              <w:t>ensure that all energy efficiency opportunities are pursued and savings realized</w:t>
            </w:r>
            <w:r w:rsidR="00030C7E">
              <w:t>.</w:t>
            </w:r>
          </w:p>
          <w:p w14:paraId="4BD4ACAD" w14:textId="77777777" w:rsidR="00504EB2" w:rsidRDefault="00504EB2" w:rsidP="002971AD">
            <w:pPr>
              <w:spacing w:after="240"/>
            </w:pPr>
          </w:p>
          <w:p w14:paraId="38F1435D" w14:textId="77777777" w:rsidR="00504EB2" w:rsidRDefault="00504EB2" w:rsidP="002971AD">
            <w:pPr>
              <w:spacing w:after="240"/>
              <w:jc w:val="center"/>
              <w:rPr>
                <w:b/>
              </w:rPr>
            </w:pPr>
          </w:p>
          <w:p w14:paraId="1AB20A73" w14:textId="77777777" w:rsidR="00504EB2" w:rsidRDefault="00504EB2" w:rsidP="002971AD">
            <w:pPr>
              <w:spacing w:after="240"/>
              <w:jc w:val="center"/>
            </w:pPr>
          </w:p>
        </w:tc>
        <w:tc>
          <w:tcPr>
            <w:tcW w:w="2885" w:type="dxa"/>
            <w:shd w:val="clear" w:color="auto" w:fill="BFBFBF" w:themeFill="background1" w:themeFillShade="BF"/>
          </w:tcPr>
          <w:p w14:paraId="3B479214" w14:textId="55734AE5" w:rsidR="001815A7" w:rsidRDefault="002C528A" w:rsidP="002971AD">
            <w:pPr>
              <w:spacing w:after="240"/>
            </w:pPr>
            <w:r>
              <w:t xml:space="preserve">(A) </w:t>
            </w:r>
            <w:r w:rsidR="001815A7">
              <w:t>This sector is currently underfunded compared to the potential for capturing savings.</w:t>
            </w:r>
          </w:p>
          <w:p w14:paraId="18C822B6" w14:textId="690CC2CE" w:rsidR="001815A7" w:rsidRDefault="002C528A" w:rsidP="002971AD">
            <w:pPr>
              <w:spacing w:after="240"/>
            </w:pPr>
            <w:r>
              <w:t xml:space="preserve">(B) </w:t>
            </w:r>
            <w:r w:rsidR="001815A7">
              <w:t>Free ridership s</w:t>
            </w:r>
            <w:r w:rsidR="001815A7" w:rsidRPr="00C656F1">
              <w:t xml:space="preserve">hould be less of a concern for the CPUC when using </w:t>
            </w:r>
            <w:r w:rsidR="001815A7">
              <w:t xml:space="preserve">funds </w:t>
            </w:r>
            <w:r w:rsidR="001815A7" w:rsidRPr="00C656F1">
              <w:t>to support projects for public projects.</w:t>
            </w:r>
          </w:p>
        </w:tc>
        <w:tc>
          <w:tcPr>
            <w:tcW w:w="4140" w:type="dxa"/>
          </w:tcPr>
          <w:p w14:paraId="50E84C19" w14:textId="2B83FB83" w:rsidR="008C66C4" w:rsidRDefault="00793D1C" w:rsidP="002971AD">
            <w:pPr>
              <w:spacing w:after="240"/>
            </w:pPr>
            <w:r>
              <w:t>(A</w:t>
            </w:r>
            <w:r w:rsidR="001815A7">
              <w:t xml:space="preserve">) There was no disagreement that the MUSH &amp; AMF sector has additional energy savings </w:t>
            </w:r>
            <w:r w:rsidR="008C66C4">
              <w:t>opportunities</w:t>
            </w:r>
            <w:r w:rsidR="00354D09">
              <w:t xml:space="preserve"> (although claimable savings </w:t>
            </w:r>
            <w:r w:rsidR="00BB4BD2">
              <w:t xml:space="preserve">are still </w:t>
            </w:r>
            <w:r w:rsidR="00354D09">
              <w:t>in question)</w:t>
            </w:r>
            <w:r w:rsidR="008C66C4">
              <w:t xml:space="preserve">. </w:t>
            </w:r>
          </w:p>
          <w:p w14:paraId="24DC0A27" w14:textId="275A784D" w:rsidR="0045316D" w:rsidRDefault="008C66C4" w:rsidP="002971AD">
            <w:pPr>
              <w:spacing w:after="240"/>
            </w:pPr>
            <w:r>
              <w:t>(</w:t>
            </w:r>
            <w:r w:rsidR="00793D1C">
              <w:t>B</w:t>
            </w:r>
            <w:r>
              <w:t>)</w:t>
            </w:r>
            <w:r w:rsidR="0045316D" w:rsidRPr="0045316D">
              <w:t xml:space="preserve"> MUSH is </w:t>
            </w:r>
            <w:r w:rsidR="00101C16">
              <w:t>called out through a new sector identification (Public)</w:t>
            </w:r>
            <w:r w:rsidR="00493BF5">
              <w:t xml:space="preserve"> and will be </w:t>
            </w:r>
            <w:r w:rsidR="0045316D" w:rsidRPr="0045316D">
              <w:t>invested in to the degree a cost-effective portfolio can be maintained.</w:t>
            </w:r>
            <w:r w:rsidR="00030C7E">
              <w:t xml:space="preserve"> </w:t>
            </w:r>
            <w:r w:rsidR="00493BF5">
              <w:t>In addition, a</w:t>
            </w:r>
            <w:r w:rsidR="00101C16">
              <w:t>ll LGPs have the goal of leading by example by improving the efficiency in their public buildings.</w:t>
            </w:r>
          </w:p>
          <w:p w14:paraId="0FD174C4" w14:textId="73A00407" w:rsidR="0045316D" w:rsidRDefault="00793D1C" w:rsidP="002971AD">
            <w:pPr>
              <w:spacing w:after="240"/>
            </w:pPr>
            <w:r>
              <w:t>(C</w:t>
            </w:r>
            <w:r w:rsidR="0045316D">
              <w:t xml:space="preserve">) Without presuming to speak on behalf of the Energy Division or the Commission, observations to date have not indicated that the policy rules </w:t>
            </w:r>
            <w:r w:rsidR="00354D09">
              <w:t>regarding</w:t>
            </w:r>
            <w:r w:rsidR="0045316D">
              <w:t xml:space="preserve"> free ridership would be applied differently to the public sector. </w:t>
            </w:r>
          </w:p>
          <w:p w14:paraId="5397F2D8" w14:textId="7186F77D" w:rsidR="0045316D" w:rsidRDefault="00793D1C" w:rsidP="002971AD">
            <w:pPr>
              <w:spacing w:after="240"/>
            </w:pPr>
            <w:r>
              <w:t>(D</w:t>
            </w:r>
            <w:r w:rsidR="0045316D">
              <w:t xml:space="preserve">) AB 802 could address some of the claimable savings concerns. However </w:t>
            </w:r>
            <w:r w:rsidR="00F9601E">
              <w:t xml:space="preserve">the CPUC AB 802 </w:t>
            </w:r>
            <w:r w:rsidR="0045316D">
              <w:t>guidance is just beginning to be implemented</w:t>
            </w:r>
            <w:r w:rsidR="00F9601E">
              <w:t xml:space="preserve">. The impacts on this (and other) sectors </w:t>
            </w:r>
            <w:r w:rsidR="0045316D">
              <w:t>will be clearer during the implementation planning process.</w:t>
            </w:r>
            <w:r w:rsidR="00A4398E">
              <w:t xml:space="preserve"> This </w:t>
            </w:r>
            <w:r w:rsidR="00602C4F">
              <w:t xml:space="preserve">could </w:t>
            </w:r>
            <w:r w:rsidR="00A4398E">
              <w:t xml:space="preserve">include applying a </w:t>
            </w:r>
            <w:r w:rsidR="00024263">
              <w:t>“</w:t>
            </w:r>
            <w:r w:rsidR="00A4398E">
              <w:t>dynamic baseline</w:t>
            </w:r>
            <w:r w:rsidR="00024263">
              <w:t>”</w:t>
            </w:r>
            <w:r w:rsidR="00A4398E">
              <w:t xml:space="preserve"> approach as used in the northwest to better assess the impact of the programs on the market</w:t>
            </w:r>
            <w:r w:rsidR="0001662A">
              <w:t xml:space="preserve"> </w:t>
            </w:r>
            <w:r w:rsidR="00602C4F">
              <w:t xml:space="preserve">and called out in </w:t>
            </w:r>
            <w:r w:rsidR="0001662A">
              <w:t>D.16-08-019 p</w:t>
            </w:r>
            <w:r w:rsidR="0001662A" w:rsidRPr="0001662A">
              <w:rPr>
                <w:highlight w:val="yellow"/>
              </w:rPr>
              <w:t>.#</w:t>
            </w:r>
            <w:r w:rsidR="00602C4F">
              <w:t xml:space="preserve"> as one possibility to improve upon free-ridership assessments.</w:t>
            </w:r>
          </w:p>
          <w:p w14:paraId="78CB8120" w14:textId="5673EBC7" w:rsidR="001815A7" w:rsidRDefault="00793D1C" w:rsidP="002971AD">
            <w:pPr>
              <w:spacing w:after="240"/>
            </w:pPr>
            <w:r>
              <w:t>(E</w:t>
            </w:r>
            <w:r w:rsidR="0045316D">
              <w:t xml:space="preserve">) </w:t>
            </w:r>
            <w:r w:rsidR="008C66C4">
              <w:t xml:space="preserve">Since the MUSH sector is not currently discussed separately from commercial in the CPUC Navigant potential study, </w:t>
            </w:r>
            <w:r w:rsidR="001815A7">
              <w:t>it is not clear what CPUC-sanctioned potential is available</w:t>
            </w:r>
            <w:r w:rsidR="008C66C4">
              <w:t xml:space="preserve">. This makes it </w:t>
            </w:r>
            <w:r w:rsidR="001815A7">
              <w:t xml:space="preserve">difficult </w:t>
            </w:r>
            <w:r w:rsidR="008C66C4">
              <w:t xml:space="preserve">to assess how much can be invested in while also maintaining a </w:t>
            </w:r>
            <w:r w:rsidR="007527A3">
              <w:t xml:space="preserve">portfolio </w:t>
            </w:r>
            <w:r w:rsidR="00C46BEC">
              <w:t xml:space="preserve">TRC </w:t>
            </w:r>
            <w:r w:rsidR="008C66C4">
              <w:t xml:space="preserve">of </w:t>
            </w:r>
            <w:commentRangeStart w:id="2"/>
            <w:r w:rsidR="008C66C4">
              <w:t>1.25</w:t>
            </w:r>
            <w:commentRangeEnd w:id="2"/>
            <w:r w:rsidR="00A55792">
              <w:rPr>
                <w:rStyle w:val="CommentReference"/>
              </w:rPr>
              <w:commentReference w:id="2"/>
            </w:r>
            <w:r w:rsidR="001815A7">
              <w:t>.</w:t>
            </w:r>
          </w:p>
          <w:p w14:paraId="690FC73E" w14:textId="1D48DEBC" w:rsidR="0045316D" w:rsidRDefault="0045316D" w:rsidP="002971AD">
            <w:pPr>
              <w:spacing w:after="240"/>
            </w:pPr>
            <w:r>
              <w:t>(</w:t>
            </w:r>
            <w:r w:rsidR="00793D1C">
              <w:t>F</w:t>
            </w:r>
            <w:r>
              <w:t>) AMF is outside the scope of the general EE proceeding, but</w:t>
            </w:r>
            <w:r w:rsidR="00C46BEC">
              <w:t xml:space="preserve"> general funds that are available to common AMF areas </w:t>
            </w:r>
            <w:r>
              <w:t>should be closely coordinated with the Energy Savings Assistance Program to ensure</w:t>
            </w:r>
            <w:r w:rsidR="00C46BEC">
              <w:t xml:space="preserve"> such funds are being pooled in line with </w:t>
            </w:r>
            <w:r w:rsidR="008C78B9">
              <w:t>policy guidance</w:t>
            </w:r>
            <w:r>
              <w:t>.</w:t>
            </w:r>
          </w:p>
          <w:p w14:paraId="1D5B7C2D" w14:textId="7B2D7591" w:rsidR="001815A7" w:rsidRDefault="0045316D" w:rsidP="002971AD">
            <w:pPr>
              <w:spacing w:after="240"/>
            </w:pPr>
            <w:r>
              <w:t>(</w:t>
            </w:r>
            <w:r w:rsidR="00793D1C">
              <w:t>G</w:t>
            </w:r>
            <w:r w:rsidR="00547D07">
              <w:t xml:space="preserve">) While the budget for the public sector will be included in the BP filed in January, what specifically will be invested in will be </w:t>
            </w:r>
            <w:r w:rsidR="001815A7">
              <w:t>determined at the implementation planning level (e.g., through the bidding process).</w:t>
            </w:r>
          </w:p>
          <w:p w14:paraId="59B79E57" w14:textId="77777777" w:rsidR="001815A7" w:rsidRDefault="001815A7" w:rsidP="002971AD">
            <w:pPr>
              <w:spacing w:after="240"/>
            </w:pPr>
          </w:p>
        </w:tc>
        <w:tc>
          <w:tcPr>
            <w:tcW w:w="2970" w:type="dxa"/>
          </w:tcPr>
          <w:p w14:paraId="190C3113" w14:textId="77777777" w:rsidR="00793D1C" w:rsidRDefault="00793D1C" w:rsidP="002971AD">
            <w:pPr>
              <w:spacing w:after="240"/>
            </w:pPr>
            <w:r>
              <w:t xml:space="preserve">(A) </w:t>
            </w:r>
            <w:r w:rsidR="00386B55">
              <w:t>Since the BPs are not identifying programs</w:t>
            </w:r>
            <w:r w:rsidR="000D6EB1">
              <w:t xml:space="preserve">, they should instead outline strategies to better reach this sector with </w:t>
            </w:r>
            <w:r w:rsidR="00B34E29">
              <w:t xml:space="preserve">a corresponding budget to enable </w:t>
            </w:r>
            <w:r w:rsidR="000D6EB1">
              <w:t>achieve</w:t>
            </w:r>
            <w:r w:rsidR="00B34E29">
              <w:t xml:space="preserve">ment </w:t>
            </w:r>
            <w:r w:rsidR="008A342E">
              <w:t xml:space="preserve">of </w:t>
            </w:r>
            <w:r w:rsidR="000D6EB1">
              <w:t xml:space="preserve">the strategies. </w:t>
            </w:r>
            <w:r w:rsidR="0045316D">
              <w:t xml:space="preserve"> </w:t>
            </w:r>
          </w:p>
          <w:p w14:paraId="74426132" w14:textId="2989B39B" w:rsidR="001815A7" w:rsidRDefault="00793D1C" w:rsidP="002971AD">
            <w:pPr>
              <w:spacing w:after="240"/>
            </w:pPr>
            <w:r>
              <w:t xml:space="preserve">(B) </w:t>
            </w:r>
            <w:r w:rsidR="00AE32F3">
              <w:t>Efforts should continue to improve free ridership and baseline issues under the current AB 802 guidance and in line with Commission direction and Policy Rules.</w:t>
            </w:r>
          </w:p>
          <w:p w14:paraId="3197A317" w14:textId="77777777" w:rsidR="0045316D" w:rsidRDefault="0045316D" w:rsidP="002971AD">
            <w:pPr>
              <w:spacing w:after="240"/>
            </w:pPr>
          </w:p>
          <w:p w14:paraId="215880CD" w14:textId="77777777" w:rsidR="0030204D" w:rsidRPr="00F5240D" w:rsidRDefault="0030204D" w:rsidP="002971AD">
            <w:pPr>
              <w:spacing w:after="240"/>
              <w:jc w:val="center"/>
            </w:pPr>
            <w:r w:rsidRPr="00F5240D">
              <w:rPr>
                <w:b/>
              </w:rPr>
              <w:t>Organizations in support of Alternative</w:t>
            </w:r>
            <w:r w:rsidR="00B51816">
              <w:rPr>
                <w:b/>
              </w:rPr>
              <w:t xml:space="preserve"> Approach</w:t>
            </w:r>
            <w:r>
              <w:rPr>
                <w:b/>
              </w:rPr>
              <w:t>:</w:t>
            </w:r>
          </w:p>
          <w:p w14:paraId="5B51EAF9" w14:textId="77777777" w:rsidR="0030204D" w:rsidRDefault="0030204D" w:rsidP="002971AD">
            <w:pPr>
              <w:pStyle w:val="ListParagraph"/>
              <w:numPr>
                <w:ilvl w:val="0"/>
                <w:numId w:val="11"/>
              </w:numPr>
              <w:spacing w:after="240"/>
              <w:contextualSpacing w:val="0"/>
            </w:pPr>
          </w:p>
        </w:tc>
        <w:tc>
          <w:tcPr>
            <w:tcW w:w="3240" w:type="dxa"/>
          </w:tcPr>
          <w:p w14:paraId="70B03CA1" w14:textId="77777777" w:rsidR="001815A7" w:rsidRDefault="001815A7" w:rsidP="002971AD">
            <w:pPr>
              <w:spacing w:after="240"/>
            </w:pPr>
          </w:p>
          <w:p w14:paraId="3412D517" w14:textId="77777777" w:rsidR="001815A7" w:rsidRDefault="001815A7" w:rsidP="002971AD">
            <w:pPr>
              <w:spacing w:after="240"/>
            </w:pPr>
            <w:r>
              <w:t xml:space="preserve"> </w:t>
            </w:r>
          </w:p>
        </w:tc>
      </w:tr>
    </w:tbl>
    <w:p w14:paraId="0DD9C54A" w14:textId="77777777" w:rsidR="00D00F56" w:rsidRDefault="00D00F56"/>
    <w:p w14:paraId="7672732F" w14:textId="77777777" w:rsidR="00D00F56" w:rsidRDefault="00D00F56">
      <w:r>
        <w:br w:type="page"/>
      </w:r>
    </w:p>
    <w:tbl>
      <w:tblPr>
        <w:tblStyle w:val="TableGrid"/>
        <w:tblW w:w="18270" w:type="dxa"/>
        <w:tblInd w:w="-702" w:type="dxa"/>
        <w:tblLayout w:type="fixed"/>
        <w:tblLook w:val="04A0" w:firstRow="1" w:lastRow="0" w:firstColumn="1" w:lastColumn="0" w:noHBand="0" w:noVBand="1"/>
      </w:tblPr>
      <w:tblGrid>
        <w:gridCol w:w="333"/>
        <w:gridCol w:w="2097"/>
        <w:gridCol w:w="2610"/>
        <w:gridCol w:w="2880"/>
        <w:gridCol w:w="4140"/>
        <w:gridCol w:w="2970"/>
        <w:gridCol w:w="3240"/>
      </w:tblGrid>
      <w:tr w:rsidR="001745A5" w14:paraId="436A8240" w14:textId="77777777" w:rsidTr="00EC61AE">
        <w:trPr>
          <w:trHeight w:val="575"/>
        </w:trPr>
        <w:tc>
          <w:tcPr>
            <w:tcW w:w="333" w:type="dxa"/>
          </w:tcPr>
          <w:p w14:paraId="1FB9C0F8" w14:textId="77777777" w:rsidR="00D00F56" w:rsidRPr="009E3ACB" w:rsidRDefault="00D00F56" w:rsidP="00753BF4">
            <w:pPr>
              <w:spacing w:after="240"/>
            </w:pPr>
            <w:r>
              <w:t>3</w:t>
            </w:r>
          </w:p>
        </w:tc>
        <w:tc>
          <w:tcPr>
            <w:tcW w:w="2097" w:type="dxa"/>
          </w:tcPr>
          <w:p w14:paraId="342CBD57" w14:textId="3EBC9CEE" w:rsidR="00D00F56" w:rsidRDefault="00D00F56" w:rsidP="00753BF4">
            <w:pPr>
              <w:spacing w:after="240"/>
              <w:rPr>
                <w:i/>
              </w:rPr>
            </w:pPr>
            <w:r>
              <w:rPr>
                <w:i/>
              </w:rPr>
              <w:t xml:space="preserve">WE&amp;T training </w:t>
            </w:r>
            <w:r w:rsidR="00F90402">
              <w:rPr>
                <w:i/>
              </w:rPr>
              <w:t xml:space="preserve">and inclusion programs. </w:t>
            </w:r>
          </w:p>
          <w:p w14:paraId="4BBE7026" w14:textId="77777777" w:rsidR="00D00F56" w:rsidRDefault="00D00F56" w:rsidP="00753BF4">
            <w:pPr>
              <w:rPr>
                <w:i/>
              </w:rPr>
            </w:pPr>
            <w:r>
              <w:rPr>
                <w:i/>
              </w:rPr>
              <w:t>Raised by:</w:t>
            </w:r>
          </w:p>
          <w:p w14:paraId="63E1356C" w14:textId="77777777" w:rsidR="00D00F56" w:rsidRPr="00CE45A5" w:rsidRDefault="00D00F56" w:rsidP="00B206C4">
            <w:pPr>
              <w:spacing w:after="240"/>
              <w:rPr>
                <w:i/>
              </w:rPr>
            </w:pPr>
            <w:r w:rsidRPr="00CE45A5">
              <w:rPr>
                <w:i/>
              </w:rPr>
              <w:t>CEE</w:t>
            </w:r>
          </w:p>
          <w:p w14:paraId="67827998" w14:textId="77777777" w:rsidR="00FA5794" w:rsidRDefault="00F02B86" w:rsidP="00753BF4">
            <w:pPr>
              <w:spacing w:after="240"/>
            </w:pPr>
            <w:r>
              <w:t xml:space="preserve">See </w:t>
            </w:r>
            <w:hyperlink r:id="rId14" w:history="1">
              <w:r w:rsidRPr="00752372">
                <w:rPr>
                  <w:rStyle w:val="Hyperlink"/>
                </w:rPr>
                <w:t>here</w:t>
              </w:r>
            </w:hyperlink>
            <w:r>
              <w:t xml:space="preserve"> for original CEE discussion document that this summary is based on. </w:t>
            </w:r>
          </w:p>
          <w:p w14:paraId="254FB9B6" w14:textId="699093C3" w:rsidR="00FA5794" w:rsidRDefault="00FA5794" w:rsidP="00753BF4">
            <w:pPr>
              <w:spacing w:after="240"/>
            </w:pPr>
            <w:r>
              <w:t xml:space="preserve">See </w:t>
            </w:r>
            <w:hyperlink r:id="rId15" w:history="1">
              <w:r w:rsidRPr="00713D55">
                <w:rPr>
                  <w:rStyle w:val="Hyperlink"/>
                </w:rPr>
                <w:t>here</w:t>
              </w:r>
            </w:hyperlink>
            <w:r>
              <w:t xml:space="preserve"> for 7/13 document which includes this item.</w:t>
            </w:r>
          </w:p>
          <w:p w14:paraId="02FBDD81" w14:textId="0AD62D75" w:rsidR="00D00F56" w:rsidRDefault="00F02B86" w:rsidP="00753BF4">
            <w:pPr>
              <w:spacing w:after="240"/>
              <w:rPr>
                <w:i/>
              </w:rPr>
            </w:pPr>
            <w:r w:rsidRPr="004A0EBD">
              <w:rPr>
                <w:i/>
              </w:rPr>
              <w:t xml:space="preserve">Also, </w:t>
            </w:r>
            <w:r w:rsidR="00793D1C" w:rsidRPr="004A0EBD">
              <w:rPr>
                <w:i/>
              </w:rPr>
              <w:t xml:space="preserve">Greenlining’s </w:t>
            </w:r>
            <w:r w:rsidR="00D00F56" w:rsidRPr="004A0EBD">
              <w:rPr>
                <w:i/>
              </w:rPr>
              <w:t xml:space="preserve">presentation at </w:t>
            </w:r>
            <w:r w:rsidR="00F93575" w:rsidRPr="004A0EBD">
              <w:rPr>
                <w:i/>
              </w:rPr>
              <w:t>CC</w:t>
            </w:r>
            <w:r w:rsidR="00F93575">
              <w:rPr>
                <w:i/>
              </w:rPr>
              <w:t xml:space="preserve"> Mtg #5 as described </w:t>
            </w:r>
            <w:hyperlink r:id="rId16" w:history="1">
              <w:r w:rsidR="00F93575" w:rsidRPr="004A0EBD">
                <w:rPr>
                  <w:rStyle w:val="Hyperlink"/>
                  <w:i/>
                </w:rPr>
                <w:t>here</w:t>
              </w:r>
            </w:hyperlink>
            <w:r w:rsidR="00F93575" w:rsidRPr="004A0EBD">
              <w:rPr>
                <w:i/>
              </w:rPr>
              <w:t xml:space="preserve"> in</w:t>
            </w:r>
            <w:r w:rsidR="00F93575">
              <w:rPr>
                <w:i/>
              </w:rPr>
              <w:t xml:space="preserve"> the notes @ p.8</w:t>
            </w:r>
          </w:p>
          <w:p w14:paraId="632F8FC7" w14:textId="77777777" w:rsidR="00D00F56" w:rsidRDefault="00D00F56" w:rsidP="00753BF4">
            <w:pPr>
              <w:spacing w:after="240"/>
            </w:pPr>
            <w:r w:rsidRPr="00A04371">
              <w:rPr>
                <w:highlight w:val="yellow"/>
              </w:rPr>
              <w:t>This item was discussed on DATE, DATE, DATE, and DATE.</w:t>
            </w:r>
          </w:p>
          <w:p w14:paraId="01B916D7" w14:textId="77777777" w:rsidR="00F30806" w:rsidRPr="00F5240D" w:rsidRDefault="00F30806" w:rsidP="00753BF4">
            <w:pPr>
              <w:spacing w:after="240"/>
              <w:jc w:val="center"/>
            </w:pPr>
            <w:r w:rsidRPr="00F5240D">
              <w:rPr>
                <w:b/>
              </w:rPr>
              <w:t xml:space="preserve">Organizations in support of </w:t>
            </w:r>
            <w:r>
              <w:rPr>
                <w:b/>
              </w:rPr>
              <w:t>Proposal:</w:t>
            </w:r>
          </w:p>
          <w:p w14:paraId="34ADE8C2" w14:textId="77777777" w:rsidR="00F30806" w:rsidRPr="00F30806" w:rsidRDefault="00F30806" w:rsidP="00753BF4">
            <w:pPr>
              <w:pStyle w:val="ListParagraph"/>
              <w:numPr>
                <w:ilvl w:val="0"/>
                <w:numId w:val="29"/>
              </w:numPr>
              <w:spacing w:after="240"/>
              <w:contextualSpacing w:val="0"/>
            </w:pPr>
            <w:r>
              <w:t xml:space="preserve"> </w:t>
            </w:r>
          </w:p>
        </w:tc>
        <w:tc>
          <w:tcPr>
            <w:tcW w:w="2610" w:type="dxa"/>
            <w:shd w:val="clear" w:color="auto" w:fill="BFBFBF" w:themeFill="background1" w:themeFillShade="BF"/>
          </w:tcPr>
          <w:p w14:paraId="4368E6D2" w14:textId="459CE54D" w:rsidR="00D00F56" w:rsidRDefault="00E5285F" w:rsidP="00753BF4">
            <w:pPr>
              <w:spacing w:after="240"/>
            </w:pPr>
            <w:r>
              <w:t xml:space="preserve">(A) </w:t>
            </w:r>
            <w:r w:rsidR="00D00F56">
              <w:t>Create an inclusion program to broaden opportunities for workers from minority, low-income and disadvantaged communities to enter rewarding careers related to EE and ensure that jobs generated by ratepayer investment provide living wages and defined pathways for advancement. This inclusion program should be tied to state-certified apprenticeship, which provides the structure and pathways for successful inclusion programs in the construction and utility industries.</w:t>
            </w:r>
          </w:p>
          <w:p w14:paraId="1D093994" w14:textId="437A6964" w:rsidR="00820555" w:rsidRPr="005B355D" w:rsidRDefault="005E1C74" w:rsidP="005B355D">
            <w:pPr>
              <w:pStyle w:val="Default"/>
              <w:spacing w:after="240"/>
              <w:rPr>
                <w:rFonts w:asciiTheme="minorHAnsi" w:hAnsiTheme="minorHAnsi" w:cstheme="minorBidi"/>
                <w:color w:val="auto"/>
                <w:sz w:val="22"/>
                <w:szCs w:val="22"/>
              </w:rPr>
            </w:pPr>
            <w:r>
              <w:rPr>
                <w:rFonts w:asciiTheme="minorHAnsi" w:hAnsiTheme="minorHAnsi" w:cstheme="minorBidi"/>
                <w:sz w:val="22"/>
                <w:szCs w:val="22"/>
              </w:rPr>
              <w:t>(B</w:t>
            </w:r>
            <w:r w:rsidR="00E8019D">
              <w:rPr>
                <w:rFonts w:asciiTheme="minorHAnsi" w:hAnsiTheme="minorHAnsi" w:cstheme="minorBidi"/>
                <w:sz w:val="22"/>
                <w:szCs w:val="22"/>
              </w:rPr>
              <w:t xml:space="preserve">) </w:t>
            </w:r>
            <w:r w:rsidR="00ED5D2B" w:rsidRPr="00827B07">
              <w:rPr>
                <w:rFonts w:asciiTheme="minorHAnsi" w:hAnsiTheme="minorHAnsi" w:cstheme="minorBidi"/>
                <w:color w:val="auto"/>
                <w:sz w:val="22"/>
                <w:szCs w:val="22"/>
              </w:rPr>
              <w:t xml:space="preserve">Expand Workforce Education and Training programs to include greater alignment with, leveraging of, and support (including funding) for California’s main training and education institutions, including community colleges, the state-certified apprenticeship system, colleges and universities (in addition to the IOU energy efficiency centers). </w:t>
            </w:r>
          </w:p>
        </w:tc>
        <w:tc>
          <w:tcPr>
            <w:tcW w:w="2880" w:type="dxa"/>
            <w:shd w:val="clear" w:color="auto" w:fill="BFBFBF" w:themeFill="background1" w:themeFillShade="BF"/>
          </w:tcPr>
          <w:p w14:paraId="00370533" w14:textId="77777777" w:rsidR="00E5285F" w:rsidRDefault="00E5285F" w:rsidP="00753BF4">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(A) </w:t>
            </w:r>
            <w:r w:rsidR="00536120" w:rsidRPr="00793D1C">
              <w:rPr>
                <w:rFonts w:asciiTheme="minorHAnsi" w:hAnsiTheme="minorHAnsi" w:cstheme="minorBidi"/>
                <w:sz w:val="22"/>
                <w:szCs w:val="22"/>
              </w:rPr>
              <w:t xml:space="preserve">The primary goal of PA EE programs is to conserve energy, but they also serve as a significant source of job generation in the state and they inevitably affect not just the number of jobs but also the type of jobs that are created in energy efficiency work, including the skills and wages for workers hired by contractors, as well as who gets the jobs. </w:t>
            </w:r>
          </w:p>
          <w:p w14:paraId="560C10D0" w14:textId="77777777" w:rsidR="00E5285F" w:rsidRDefault="00E5285F" w:rsidP="00753BF4">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(B) </w:t>
            </w:r>
            <w:r w:rsidR="00536120" w:rsidRPr="00793D1C">
              <w:rPr>
                <w:rFonts w:asciiTheme="minorHAnsi" w:hAnsiTheme="minorHAnsi" w:cstheme="minorBidi"/>
                <w:sz w:val="22"/>
                <w:szCs w:val="22"/>
              </w:rPr>
              <w:t>Training programs alone will not ensure that EE measures are installed</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by</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skilled</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workers</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nor</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will</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they</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ensure</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that disadvantaged</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workers</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receiving</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this</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training</w:t>
            </w:r>
            <w:r>
              <w:rPr>
                <w:rFonts w:asciiTheme="minorHAnsi" w:hAnsiTheme="minorHAnsi" w:cstheme="minorBidi"/>
                <w:sz w:val="22"/>
                <w:szCs w:val="22"/>
              </w:rPr>
              <w:t xml:space="preserve"> </w:t>
            </w:r>
            <w:r w:rsidR="00536120" w:rsidRPr="00793D1C">
              <w:rPr>
                <w:rFonts w:asciiTheme="minorHAnsi" w:hAnsiTheme="minorHAnsi" w:cstheme="minorBidi"/>
                <w:sz w:val="22"/>
                <w:szCs w:val="22"/>
              </w:rPr>
              <w:t xml:space="preserve">will be hired. </w:t>
            </w:r>
          </w:p>
          <w:p w14:paraId="40538BD3" w14:textId="77777777" w:rsidR="00E5285F" w:rsidRDefault="00E5285F" w:rsidP="00753BF4">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(C) </w:t>
            </w:r>
            <w:r w:rsidR="00536120" w:rsidRPr="00793D1C">
              <w:rPr>
                <w:rFonts w:asciiTheme="minorHAnsi" w:hAnsiTheme="minorHAnsi" w:cstheme="minorBidi"/>
                <w:sz w:val="22"/>
                <w:szCs w:val="22"/>
              </w:rPr>
              <w:t xml:space="preserve">Intervention on the demand side of the labor market is also needed to meet the LTEE Strategic Plan energy and equity goals. </w:t>
            </w:r>
          </w:p>
          <w:p w14:paraId="54A7D808" w14:textId="77777777" w:rsidR="00E5285F" w:rsidRDefault="00E5285F" w:rsidP="00753BF4">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(D) </w:t>
            </w:r>
            <w:r w:rsidR="00536120" w:rsidRPr="00793D1C">
              <w:rPr>
                <w:rFonts w:asciiTheme="minorHAnsi" w:hAnsiTheme="minorHAnsi" w:cstheme="minorBidi"/>
                <w:sz w:val="22"/>
                <w:szCs w:val="22"/>
              </w:rPr>
              <w:t xml:space="preserve">EE program design can raise the standards for EE work and provide better job opportunities for graduates of training programs targeted to disadvantaged workers by relying on the state-certified apprenticeship system and tying EE incentives to the employment of a skilled and trained workforce. </w:t>
            </w:r>
          </w:p>
          <w:p w14:paraId="3D36EF16" w14:textId="5ECC1A11" w:rsidR="00536120" w:rsidRDefault="00E5285F" w:rsidP="00753BF4">
            <w:pPr>
              <w:pStyle w:val="NormalWeb"/>
              <w:spacing w:after="240" w:afterAutospacing="0"/>
              <w:rPr>
                <w:rFonts w:ascii="Calibri" w:hAnsi="Calibri"/>
                <w:sz w:val="22"/>
                <w:szCs w:val="22"/>
              </w:rPr>
            </w:pPr>
            <w:r>
              <w:rPr>
                <w:rFonts w:asciiTheme="minorHAnsi" w:hAnsiTheme="minorHAnsi" w:cstheme="minorBidi"/>
                <w:sz w:val="22"/>
                <w:szCs w:val="22"/>
              </w:rPr>
              <w:t xml:space="preserve">(E) </w:t>
            </w:r>
            <w:r w:rsidR="00536120" w:rsidRPr="00793D1C">
              <w:rPr>
                <w:rFonts w:asciiTheme="minorHAnsi" w:hAnsiTheme="minorHAnsi" w:cstheme="minorBidi"/>
                <w:sz w:val="22"/>
                <w:szCs w:val="22"/>
              </w:rPr>
              <w:t>The CPUC has acknowledged that training programs for disadvantaged workers are, on their own, not enough to achieve this goal, and</w:t>
            </w:r>
            <w:r w:rsidR="00536120">
              <w:rPr>
                <w:rFonts w:ascii="Calibri" w:hAnsi="Calibri"/>
                <w:sz w:val="22"/>
                <w:szCs w:val="22"/>
              </w:rPr>
              <w:t xml:space="preserve"> recognized the importance of efforts to broaden access to jobs in the EE sector. </w:t>
            </w:r>
          </w:p>
          <w:p w14:paraId="5FE2BCCD" w14:textId="77777777" w:rsidR="00ED5D2B" w:rsidRDefault="00ED5D2B" w:rsidP="00753BF4">
            <w:pPr>
              <w:pStyle w:val="NormalWeb"/>
              <w:spacing w:after="240" w:afterAutospacing="0"/>
            </w:pPr>
            <w:r>
              <w:rPr>
                <w:rFonts w:ascii="Calibri" w:hAnsi="Calibri"/>
                <w:sz w:val="22"/>
                <w:szCs w:val="22"/>
              </w:rPr>
              <w:t xml:space="preserve">(F) </w:t>
            </w:r>
            <w:r w:rsidRPr="00ED5D2B">
              <w:rPr>
                <w:rFonts w:ascii="Calibri" w:hAnsi="Calibri"/>
                <w:sz w:val="22"/>
                <w:szCs w:val="22"/>
              </w:rPr>
              <w:t>The LTEE Strategic plan also includes a goal to “ensure that minority, low-income and disadvantaged communities fully participate in training and education programs at all levels of the demand-side management (DSM) and energy efficiency industry.”</w:t>
            </w:r>
          </w:p>
          <w:p w14:paraId="05F2AFB9" w14:textId="77777777" w:rsidR="00D00F56" w:rsidRDefault="00D00F56" w:rsidP="00753BF4">
            <w:pPr>
              <w:pStyle w:val="NormalWeb"/>
              <w:spacing w:after="240" w:afterAutospacing="0"/>
            </w:pPr>
          </w:p>
        </w:tc>
        <w:tc>
          <w:tcPr>
            <w:tcW w:w="4140" w:type="dxa"/>
          </w:tcPr>
          <w:p w14:paraId="4A4BEE39" w14:textId="4E424FE8" w:rsidR="00D00F56" w:rsidRDefault="00824895" w:rsidP="00753BF4">
            <w:pPr>
              <w:spacing w:after="240"/>
              <w:rPr>
                <w:bCs/>
              </w:rPr>
            </w:pPr>
            <w:r>
              <w:rPr>
                <w:b/>
                <w:bCs/>
              </w:rPr>
              <w:t xml:space="preserve">(A) </w:t>
            </w:r>
            <w:r w:rsidR="00D00F56" w:rsidRPr="000221A0">
              <w:rPr>
                <w:b/>
                <w:bCs/>
              </w:rPr>
              <w:t xml:space="preserve">Regarding </w:t>
            </w:r>
            <w:r w:rsidR="007E49AC">
              <w:rPr>
                <w:b/>
                <w:bCs/>
              </w:rPr>
              <w:t xml:space="preserve">expanding WE&amp;T for </w:t>
            </w:r>
            <w:r w:rsidR="00D00F56" w:rsidRPr="000221A0">
              <w:rPr>
                <w:b/>
                <w:bCs/>
              </w:rPr>
              <w:t>improved access to training:</w:t>
            </w:r>
            <w:r w:rsidR="00D00F56">
              <w:rPr>
                <w:bCs/>
              </w:rPr>
              <w:t xml:space="preserve"> The IOUs presented a </w:t>
            </w:r>
            <w:hyperlink r:id="rId17" w:history="1">
              <w:r w:rsidR="00D00F56" w:rsidRPr="00FA5794">
                <w:rPr>
                  <w:rStyle w:val="Hyperlink"/>
                  <w:bCs/>
                </w:rPr>
                <w:t>new WE&amp;T program concept</w:t>
              </w:r>
            </w:hyperlink>
            <w:r w:rsidR="00D00F56">
              <w:rPr>
                <w:bCs/>
              </w:rPr>
              <w:t>. The details of the program will be determined after approval of the BPs by the CPUC</w:t>
            </w:r>
            <w:r w:rsidR="009033EC">
              <w:rPr>
                <w:bCs/>
              </w:rPr>
              <w:t xml:space="preserve"> (excerpt from IOU WE&amp;T Table presented in each IOU WE&amp;T cross-cutting sector chapter)</w:t>
            </w:r>
            <w:r w:rsidR="00D00F56">
              <w:rPr>
                <w:bCs/>
              </w:rPr>
              <w:t xml:space="preserve">. </w:t>
            </w:r>
          </w:p>
          <w:p w14:paraId="17BF1FC1" w14:textId="77777777" w:rsidR="00D00F56" w:rsidRDefault="00D00F56" w:rsidP="00753BF4">
            <w:pPr>
              <w:spacing w:after="240"/>
              <w:rPr>
                <w:bCs/>
              </w:rPr>
            </w:pPr>
            <w:r w:rsidRPr="00F37861">
              <w:rPr>
                <w:bCs/>
                <w:u w:val="single"/>
              </w:rPr>
              <w:t>Program</w:t>
            </w:r>
            <w:r>
              <w:rPr>
                <w:bCs/>
              </w:rPr>
              <w:t xml:space="preserve">: </w:t>
            </w:r>
            <w:r w:rsidRPr="00F37861">
              <w:rPr>
                <w:bCs/>
              </w:rPr>
              <w:t>Ca</w:t>
            </w:r>
            <w:r>
              <w:rPr>
                <w:bCs/>
              </w:rPr>
              <w:t xml:space="preserve">reer &amp; Workforce Readiness </w:t>
            </w:r>
          </w:p>
          <w:p w14:paraId="093B7099" w14:textId="77777777" w:rsidR="00D00F56" w:rsidRPr="00F37861" w:rsidRDefault="00D00F56" w:rsidP="00753BF4">
            <w:pPr>
              <w:spacing w:after="240"/>
            </w:pPr>
            <w:r w:rsidRPr="00F37861">
              <w:rPr>
                <w:u w:val="single"/>
              </w:rPr>
              <w:t>Audience</w:t>
            </w:r>
            <w:r>
              <w:t xml:space="preserve">: </w:t>
            </w:r>
            <w:r w:rsidRPr="00F37861">
              <w:t xml:space="preserve">People not prepared to enter a traditional energy job/career higher education path: </w:t>
            </w:r>
          </w:p>
          <w:p w14:paraId="485B48D1" w14:textId="77777777" w:rsidR="00D00F56" w:rsidRPr="00753BF4" w:rsidRDefault="00D00F56" w:rsidP="00753BF4">
            <w:pPr>
              <w:pStyle w:val="ListParagraph"/>
              <w:numPr>
                <w:ilvl w:val="0"/>
                <w:numId w:val="39"/>
              </w:numPr>
            </w:pPr>
            <w:r w:rsidRPr="00753BF4">
              <w:t xml:space="preserve">Disadvantaged communities </w:t>
            </w:r>
          </w:p>
          <w:p w14:paraId="71054C58" w14:textId="77777777" w:rsidR="00D00F56" w:rsidRPr="00753BF4" w:rsidRDefault="00D00F56" w:rsidP="00753BF4">
            <w:pPr>
              <w:pStyle w:val="ListParagraph"/>
              <w:numPr>
                <w:ilvl w:val="0"/>
                <w:numId w:val="39"/>
              </w:numPr>
            </w:pPr>
            <w:r w:rsidRPr="00753BF4">
              <w:t xml:space="preserve">Disadvantaged workers </w:t>
            </w:r>
          </w:p>
          <w:p w14:paraId="2FDC12AA" w14:textId="77777777" w:rsidR="00D00F56" w:rsidRDefault="00D00F56" w:rsidP="00753BF4">
            <w:pPr>
              <w:spacing w:after="240"/>
              <w:rPr>
                <w:u w:val="single"/>
              </w:rPr>
            </w:pPr>
            <w:r w:rsidRPr="00F37861">
              <w:rPr>
                <w:u w:val="single"/>
              </w:rPr>
              <w:t>General Offerings/Purpose:</w:t>
            </w:r>
          </w:p>
          <w:p w14:paraId="28C4DA4D" w14:textId="77777777" w:rsidR="00D00F56" w:rsidRPr="00753BF4" w:rsidRDefault="00D00F56" w:rsidP="00753BF4">
            <w:pPr>
              <w:pStyle w:val="ListParagraph"/>
              <w:numPr>
                <w:ilvl w:val="0"/>
                <w:numId w:val="39"/>
              </w:numPr>
            </w:pPr>
            <w:r w:rsidRPr="00F37861">
              <w:t xml:space="preserve">Career prep/job readiness services (via partnerships) </w:t>
            </w:r>
          </w:p>
          <w:p w14:paraId="22F78DF2" w14:textId="77777777" w:rsidR="00D00F56" w:rsidRPr="00753BF4" w:rsidRDefault="00D00F56" w:rsidP="00753BF4">
            <w:pPr>
              <w:pStyle w:val="ListParagraph"/>
              <w:numPr>
                <w:ilvl w:val="0"/>
                <w:numId w:val="39"/>
              </w:numPr>
            </w:pPr>
            <w:r w:rsidRPr="00F37861">
              <w:t xml:space="preserve">Job placement </w:t>
            </w:r>
          </w:p>
          <w:p w14:paraId="2F224EAB" w14:textId="77777777" w:rsidR="00D00F56" w:rsidRDefault="00D00F56" w:rsidP="00753BF4">
            <w:pPr>
              <w:spacing w:after="240"/>
            </w:pPr>
            <w:r w:rsidRPr="00EA1DEA">
              <w:rPr>
                <w:u w:val="single"/>
              </w:rPr>
              <w:t>Partners</w:t>
            </w:r>
            <w:r>
              <w:t>:</w:t>
            </w:r>
          </w:p>
          <w:p w14:paraId="5230C35F" w14:textId="77777777" w:rsidR="00D00F56" w:rsidRPr="00EA1DEA" w:rsidRDefault="00D00F56" w:rsidP="00753BF4">
            <w:pPr>
              <w:pStyle w:val="ListParagraph"/>
              <w:numPr>
                <w:ilvl w:val="0"/>
                <w:numId w:val="39"/>
              </w:numPr>
            </w:pPr>
            <w:r w:rsidRPr="00EA1DEA">
              <w:t xml:space="preserve">Workforce Investment Boards </w:t>
            </w:r>
          </w:p>
          <w:p w14:paraId="33C3F7C4" w14:textId="77777777" w:rsidR="00D00F56" w:rsidRPr="00EA1DEA" w:rsidRDefault="00D00F56" w:rsidP="00753BF4">
            <w:pPr>
              <w:pStyle w:val="ListParagraph"/>
              <w:numPr>
                <w:ilvl w:val="0"/>
                <w:numId w:val="39"/>
              </w:numPr>
            </w:pPr>
            <w:r w:rsidRPr="00EA1DEA">
              <w:t xml:space="preserve">Community-based organizations </w:t>
            </w:r>
          </w:p>
          <w:p w14:paraId="0004F565" w14:textId="77777777" w:rsidR="00D00F56" w:rsidRDefault="00D00F56" w:rsidP="00753BF4">
            <w:pPr>
              <w:pStyle w:val="ListParagraph"/>
              <w:numPr>
                <w:ilvl w:val="0"/>
                <w:numId w:val="39"/>
              </w:numPr>
            </w:pPr>
            <w:r w:rsidRPr="00EA1DEA">
              <w:t>Job-training organizations</w:t>
            </w:r>
          </w:p>
          <w:p w14:paraId="5946D957" w14:textId="77777777" w:rsidR="00D00F56" w:rsidRDefault="00D00F56" w:rsidP="00753BF4">
            <w:pPr>
              <w:spacing w:after="240"/>
            </w:pPr>
          </w:p>
          <w:p w14:paraId="0E0CBA8C" w14:textId="3C9206D0" w:rsidR="00D00F56" w:rsidRPr="000221A0" w:rsidRDefault="00824895" w:rsidP="00753BF4">
            <w:pPr>
              <w:spacing w:after="240"/>
              <w:rPr>
                <w:b/>
              </w:rPr>
            </w:pPr>
            <w:r w:rsidRPr="00B206C4">
              <w:t>(B)</w:t>
            </w:r>
            <w:r>
              <w:rPr>
                <w:b/>
              </w:rPr>
              <w:t xml:space="preserve"> </w:t>
            </w:r>
            <w:r w:rsidR="00D00F56" w:rsidRPr="000221A0">
              <w:rPr>
                <w:b/>
              </w:rPr>
              <w:t>Regarding</w:t>
            </w:r>
            <w:r w:rsidR="00D00F56">
              <w:rPr>
                <w:b/>
              </w:rPr>
              <w:t xml:space="preserve"> creating a specific inclusion program </w:t>
            </w:r>
            <w:r w:rsidR="00D00F56" w:rsidRPr="000221A0">
              <w:rPr>
                <w:b/>
              </w:rPr>
              <w:t>linking trained workers from these programs to careers:</w:t>
            </w:r>
          </w:p>
          <w:p w14:paraId="195D4954" w14:textId="77777777" w:rsidR="00D00F56" w:rsidRDefault="00D00F56" w:rsidP="00753BF4">
            <w:pPr>
              <w:spacing w:after="240"/>
            </w:pPr>
            <w:r>
              <w:t xml:space="preserve">It is not within scope of the EE programs to create a job placement program nor should customer funding duplicate other existing programs that serve that purpose. However, there are </w:t>
            </w:r>
            <w:r w:rsidR="007D6696">
              <w:t xml:space="preserve">likely </w:t>
            </w:r>
            <w:r>
              <w:t xml:space="preserve">opportunities </w:t>
            </w:r>
            <w:r w:rsidR="007D6696">
              <w:t xml:space="preserve">that PAs can explore </w:t>
            </w:r>
            <w:r>
              <w:t>to partner with other organizations who work to connect workers to careers that should be explored further.</w:t>
            </w:r>
          </w:p>
        </w:tc>
        <w:tc>
          <w:tcPr>
            <w:tcW w:w="2970" w:type="dxa"/>
          </w:tcPr>
          <w:p w14:paraId="6DEEC451" w14:textId="0190CF64" w:rsidR="00DB4C93" w:rsidRDefault="00824895" w:rsidP="004D033D">
            <w:pPr>
              <w:spacing w:after="240"/>
            </w:pPr>
            <w:r>
              <w:t xml:space="preserve">(A) </w:t>
            </w:r>
            <w:r w:rsidR="003F7263">
              <w:t>I</w:t>
            </w:r>
            <w:r>
              <w:t>mplement</w:t>
            </w:r>
            <w:r w:rsidR="00DB4C93">
              <w:t xml:space="preserve"> the </w:t>
            </w:r>
            <w:r w:rsidR="00B206C4">
              <w:t xml:space="preserve">two identified </w:t>
            </w:r>
            <w:r w:rsidR="00A74DD6">
              <w:t xml:space="preserve">BP proposals </w:t>
            </w:r>
            <w:r w:rsidR="007C0111">
              <w:t>if approved</w:t>
            </w:r>
            <w:r w:rsidR="00FD0B85">
              <w:t xml:space="preserve">. </w:t>
            </w:r>
            <w:r w:rsidR="00DB4C93">
              <w:t>The specific details of the programs will be developed as part of the implementation planning process.</w:t>
            </w:r>
          </w:p>
          <w:p w14:paraId="677BC7B9" w14:textId="77777777" w:rsidR="00D00F56" w:rsidRDefault="00DB4C93" w:rsidP="004D033D">
            <w:pPr>
              <w:spacing w:after="240"/>
            </w:pPr>
            <w:r>
              <w:t xml:space="preserve">(B) Explore options for partnering with such organizations that create career paths to link the EE </w:t>
            </w:r>
            <w:r w:rsidR="007C0111">
              <w:t xml:space="preserve">programs where feasible. </w:t>
            </w:r>
          </w:p>
          <w:p w14:paraId="1F136658" w14:textId="77777777" w:rsidR="009F6119" w:rsidRPr="00F5240D" w:rsidRDefault="009F6119" w:rsidP="009F6119">
            <w:pPr>
              <w:spacing w:after="240"/>
              <w:jc w:val="center"/>
            </w:pPr>
            <w:r w:rsidRPr="00F5240D">
              <w:rPr>
                <w:b/>
              </w:rPr>
              <w:t>Organizations in support of Alternative</w:t>
            </w:r>
            <w:r>
              <w:rPr>
                <w:b/>
              </w:rPr>
              <w:t xml:space="preserve"> Approach:</w:t>
            </w:r>
          </w:p>
          <w:p w14:paraId="2AD2E566" w14:textId="220D628E" w:rsidR="009F6119" w:rsidRDefault="009F6119" w:rsidP="009F6119">
            <w:pPr>
              <w:pStyle w:val="ListParagraph"/>
              <w:numPr>
                <w:ilvl w:val="0"/>
                <w:numId w:val="40"/>
              </w:numPr>
              <w:spacing w:after="240"/>
            </w:pPr>
          </w:p>
        </w:tc>
        <w:tc>
          <w:tcPr>
            <w:tcW w:w="3240" w:type="dxa"/>
          </w:tcPr>
          <w:p w14:paraId="77B73146" w14:textId="77777777" w:rsidR="00D00F56" w:rsidRDefault="00D00F56" w:rsidP="00753BF4">
            <w:pPr>
              <w:pStyle w:val="ListParagraph"/>
              <w:spacing w:after="240"/>
              <w:ind w:left="360"/>
              <w:contextualSpacing w:val="0"/>
            </w:pPr>
          </w:p>
          <w:p w14:paraId="49EA459D" w14:textId="77777777" w:rsidR="00D00F56" w:rsidRPr="00C662A0" w:rsidRDefault="00D00F56" w:rsidP="00753BF4">
            <w:pPr>
              <w:spacing w:after="240"/>
            </w:pPr>
          </w:p>
          <w:p w14:paraId="3B7D6330" w14:textId="77777777" w:rsidR="00D00F56" w:rsidRDefault="00D00F56" w:rsidP="00753BF4">
            <w:pPr>
              <w:spacing w:after="240"/>
            </w:pPr>
          </w:p>
          <w:p w14:paraId="54530965" w14:textId="77777777" w:rsidR="00D00F56" w:rsidRDefault="00D00F56" w:rsidP="00753BF4">
            <w:pPr>
              <w:spacing w:after="240"/>
            </w:pPr>
          </w:p>
          <w:p w14:paraId="109C432F" w14:textId="77777777" w:rsidR="00D00F56" w:rsidRDefault="00D00F56" w:rsidP="00753BF4">
            <w:pPr>
              <w:spacing w:after="240"/>
            </w:pPr>
          </w:p>
          <w:p w14:paraId="55CA0D3B" w14:textId="77777777" w:rsidR="00D00F56" w:rsidRPr="00C662A0" w:rsidRDefault="00D00F56" w:rsidP="00753BF4">
            <w:pPr>
              <w:spacing w:after="240"/>
            </w:pPr>
          </w:p>
        </w:tc>
      </w:tr>
    </w:tbl>
    <w:p w14:paraId="6813A7B7" w14:textId="77777777" w:rsidR="005530C2" w:rsidRDefault="005530C2"/>
    <w:p w14:paraId="551608D9" w14:textId="77777777" w:rsidR="005530C2" w:rsidRDefault="005530C2">
      <w:r>
        <w:br w:type="page"/>
      </w:r>
    </w:p>
    <w:tbl>
      <w:tblPr>
        <w:tblStyle w:val="TableGrid"/>
        <w:tblW w:w="18270" w:type="dxa"/>
        <w:tblInd w:w="-702" w:type="dxa"/>
        <w:tblLook w:val="04A0" w:firstRow="1" w:lastRow="0" w:firstColumn="1" w:lastColumn="0" w:noHBand="0" w:noVBand="1"/>
      </w:tblPr>
      <w:tblGrid>
        <w:gridCol w:w="344"/>
        <w:gridCol w:w="2153"/>
        <w:gridCol w:w="2543"/>
        <w:gridCol w:w="2880"/>
        <w:gridCol w:w="4140"/>
        <w:gridCol w:w="2970"/>
        <w:gridCol w:w="3240"/>
      </w:tblGrid>
      <w:tr w:rsidR="00B31333" w14:paraId="02F2E328" w14:textId="77777777" w:rsidTr="00B31333">
        <w:trPr>
          <w:trHeight w:val="4699"/>
        </w:trPr>
        <w:tc>
          <w:tcPr>
            <w:tcW w:w="344" w:type="dxa"/>
          </w:tcPr>
          <w:p w14:paraId="495E3FDA" w14:textId="77777777" w:rsidR="00B31333" w:rsidRPr="009E3ACB" w:rsidRDefault="00B31333" w:rsidP="005B7FE4">
            <w:pPr>
              <w:spacing w:after="240"/>
            </w:pPr>
            <w:r>
              <w:t>4</w:t>
            </w:r>
          </w:p>
        </w:tc>
        <w:tc>
          <w:tcPr>
            <w:tcW w:w="2153" w:type="dxa"/>
          </w:tcPr>
          <w:p w14:paraId="3FC471ED" w14:textId="77777777" w:rsidR="00B31333" w:rsidRDefault="00B31333" w:rsidP="005B7FE4">
            <w:pPr>
              <w:spacing w:after="240"/>
              <w:rPr>
                <w:i/>
              </w:rPr>
            </w:pPr>
            <w:r>
              <w:rPr>
                <w:i/>
              </w:rPr>
              <w:t>Disadvantaged workers and jobs.</w:t>
            </w:r>
          </w:p>
          <w:p w14:paraId="0FDE7A83" w14:textId="77777777" w:rsidR="00B31333" w:rsidRDefault="00B31333" w:rsidP="005B7FE4">
            <w:pPr>
              <w:rPr>
                <w:i/>
              </w:rPr>
            </w:pPr>
            <w:r>
              <w:rPr>
                <w:i/>
              </w:rPr>
              <w:t>Raised by:</w:t>
            </w:r>
          </w:p>
          <w:p w14:paraId="72C676A3" w14:textId="2691D1A3" w:rsidR="005B7FE4" w:rsidRPr="005B7FE4" w:rsidRDefault="00B31333" w:rsidP="005B7FE4">
            <w:pPr>
              <w:spacing w:after="240"/>
              <w:rPr>
                <w:i/>
              </w:rPr>
            </w:pPr>
            <w:r w:rsidRPr="00CE45A5">
              <w:rPr>
                <w:i/>
              </w:rPr>
              <w:t>CEE</w:t>
            </w:r>
          </w:p>
          <w:p w14:paraId="64B5CAE0" w14:textId="653C9889" w:rsidR="00B31333" w:rsidRDefault="00B31333" w:rsidP="005B7FE4">
            <w:pPr>
              <w:spacing w:after="240"/>
            </w:pPr>
            <w:r>
              <w:t xml:space="preserve">See CC Mtg #4 </w:t>
            </w:r>
            <w:hyperlink r:id="rId18" w:history="1">
              <w:r w:rsidRPr="00E73747">
                <w:rPr>
                  <w:rStyle w:val="Hyperlink"/>
                </w:rPr>
                <w:t>notes</w:t>
              </w:r>
            </w:hyperlink>
            <w:r>
              <w:t xml:space="preserve"> for further discussion</w:t>
            </w:r>
            <w:r w:rsidR="00FF5503">
              <w:t xml:space="preserve"> and</w:t>
            </w:r>
            <w:r w:rsidR="00FF5503">
              <w:rPr>
                <w:i/>
              </w:rPr>
              <w:t xml:space="preserve"> </w:t>
            </w:r>
            <w:r w:rsidR="00FF5503" w:rsidRPr="004D033D">
              <w:rPr>
                <w:i/>
              </w:rPr>
              <w:t xml:space="preserve">Greenlining’s presentation at </w:t>
            </w:r>
            <w:r w:rsidR="00FF5503" w:rsidRPr="00FF5503">
              <w:rPr>
                <w:i/>
              </w:rPr>
              <w:t>C</w:t>
            </w:r>
            <w:r w:rsidR="00FF5503" w:rsidRPr="00953F16">
              <w:rPr>
                <w:i/>
              </w:rPr>
              <w:t>C</w:t>
            </w:r>
            <w:r w:rsidR="00FF5503">
              <w:rPr>
                <w:i/>
              </w:rPr>
              <w:t xml:space="preserve"> </w:t>
            </w:r>
            <w:r w:rsidR="004A0EBD">
              <w:rPr>
                <w:i/>
              </w:rPr>
              <w:t xml:space="preserve">Mtg #5 as described </w:t>
            </w:r>
            <w:hyperlink r:id="rId19" w:history="1">
              <w:r w:rsidR="004A0EBD" w:rsidRPr="004A0EBD">
                <w:rPr>
                  <w:rStyle w:val="Hyperlink"/>
                  <w:i/>
                </w:rPr>
                <w:t>here</w:t>
              </w:r>
            </w:hyperlink>
            <w:r w:rsidR="004A0EBD">
              <w:rPr>
                <w:i/>
              </w:rPr>
              <w:t xml:space="preserve"> </w:t>
            </w:r>
            <w:r w:rsidR="00FF5503">
              <w:rPr>
                <w:i/>
              </w:rPr>
              <w:t>in the notes @ p.8</w:t>
            </w:r>
          </w:p>
          <w:p w14:paraId="2D34E5CB" w14:textId="77777777" w:rsidR="00B713A1" w:rsidRDefault="00B713A1" w:rsidP="005B7FE4">
            <w:pPr>
              <w:spacing w:after="240"/>
            </w:pPr>
          </w:p>
          <w:p w14:paraId="61605E3B" w14:textId="77777777" w:rsidR="00B713A1" w:rsidRDefault="00B713A1" w:rsidP="005B7FE4">
            <w:pPr>
              <w:spacing w:after="240"/>
            </w:pPr>
            <w:r w:rsidRPr="00A04371">
              <w:rPr>
                <w:highlight w:val="yellow"/>
              </w:rPr>
              <w:t>This item was discussed on DATE, DATE, DATE, and DATE.</w:t>
            </w:r>
          </w:p>
          <w:p w14:paraId="6AA3F82E" w14:textId="77777777" w:rsidR="003C099B" w:rsidRDefault="003C099B" w:rsidP="005B7FE4">
            <w:pPr>
              <w:spacing w:after="240"/>
              <w:jc w:val="center"/>
              <w:rPr>
                <w:b/>
              </w:rPr>
            </w:pPr>
            <w:r w:rsidRPr="00F5240D">
              <w:rPr>
                <w:b/>
              </w:rPr>
              <w:t xml:space="preserve">Organizations in support of </w:t>
            </w:r>
            <w:r>
              <w:rPr>
                <w:b/>
              </w:rPr>
              <w:t>Proposal:</w:t>
            </w:r>
          </w:p>
          <w:p w14:paraId="2F74EAA2" w14:textId="77777777" w:rsidR="003C099B" w:rsidRPr="003C099B" w:rsidRDefault="003C099B" w:rsidP="005B7FE4">
            <w:pPr>
              <w:pStyle w:val="ListParagraph"/>
              <w:numPr>
                <w:ilvl w:val="0"/>
                <w:numId w:val="32"/>
              </w:numPr>
              <w:spacing w:after="240"/>
              <w:contextualSpacing w:val="0"/>
            </w:pPr>
            <w:r w:rsidRPr="003C099B">
              <w:t xml:space="preserve"> </w:t>
            </w:r>
          </w:p>
        </w:tc>
        <w:tc>
          <w:tcPr>
            <w:tcW w:w="2543" w:type="dxa"/>
            <w:shd w:val="clear" w:color="auto" w:fill="BFBFBF" w:themeFill="background1" w:themeFillShade="BF"/>
          </w:tcPr>
          <w:p w14:paraId="335A0E3C" w14:textId="15BC3A61" w:rsidR="00B31333" w:rsidRDefault="00F93575" w:rsidP="005B7FE4">
            <w:pPr>
              <w:spacing w:after="240"/>
            </w:pPr>
            <w:r>
              <w:t>(A</w:t>
            </w:r>
            <w:r w:rsidR="00B31333">
              <w:t xml:space="preserve">) Define </w:t>
            </w:r>
            <w:r w:rsidR="00B31333" w:rsidRPr="00B731C3">
              <w:t xml:space="preserve">“disadvantaged worker” </w:t>
            </w:r>
            <w:r w:rsidR="00B31333">
              <w:t xml:space="preserve">for adoption in PA </w:t>
            </w:r>
            <w:r w:rsidR="00B31333" w:rsidRPr="00B731C3">
              <w:t xml:space="preserve">Business Plans. </w:t>
            </w:r>
          </w:p>
          <w:p w14:paraId="712E8AB1" w14:textId="169E1AC8" w:rsidR="00B31333" w:rsidRDefault="00F93575" w:rsidP="005B7FE4">
            <w:pPr>
              <w:spacing w:after="240"/>
            </w:pPr>
            <w:r>
              <w:t>(B</w:t>
            </w:r>
            <w:r w:rsidR="00B31333">
              <w:t>) Fund training programs with a track record of connecting disadvantaged workers to good paying middle class jobs and career pathways/ New projects should include a specific goal to connect disadvantaged worked with high-road energy efficiency jobs.</w:t>
            </w:r>
          </w:p>
          <w:p w14:paraId="05FA2C8B" w14:textId="6AD16C9F" w:rsidR="00B31333" w:rsidRDefault="00F93575" w:rsidP="005B7FE4">
            <w:pPr>
              <w:spacing w:after="240"/>
            </w:pPr>
            <w:r>
              <w:t>(C</w:t>
            </w:r>
            <w:r w:rsidR="00B31333">
              <w:t>) Data</w:t>
            </w:r>
            <w:r w:rsidR="00B31333" w:rsidRPr="00342F62">
              <w:t xml:space="preserve"> collection on job quality, workforce diversity</w:t>
            </w:r>
            <w:r w:rsidR="00B31333">
              <w:t>,</w:t>
            </w:r>
            <w:r w:rsidR="00B31333" w:rsidRPr="00342F62">
              <w:t xml:space="preserve"> and other measures. </w:t>
            </w:r>
          </w:p>
          <w:p w14:paraId="2AEABB42" w14:textId="426E3E2C" w:rsidR="00B31333" w:rsidRPr="00753BF4" w:rsidRDefault="00B31333" w:rsidP="005B7FE4">
            <w:pPr>
              <w:spacing w:after="240"/>
            </w:pPr>
            <w:r w:rsidRPr="00DD6145">
              <w:t>(</w:t>
            </w:r>
            <w:r w:rsidR="00CD796C" w:rsidRPr="00DD6145">
              <w:t>D</w:t>
            </w:r>
            <w:r w:rsidRPr="00DD6145">
              <w:t>) RFP process should include workforce inclusion as a factor in ranking proposals with third party contractors in ener</w:t>
            </w:r>
            <w:r w:rsidRPr="002971AD">
              <w:t>gy efficiency solicitations</w:t>
            </w:r>
          </w:p>
        </w:tc>
        <w:tc>
          <w:tcPr>
            <w:tcW w:w="2880" w:type="dxa"/>
            <w:shd w:val="clear" w:color="auto" w:fill="BFBFBF" w:themeFill="background1" w:themeFillShade="BF"/>
          </w:tcPr>
          <w:p w14:paraId="0A1E8D20" w14:textId="4A29E9A2" w:rsidR="00B31333" w:rsidRDefault="00CD796C" w:rsidP="005B7FE4">
            <w:pPr>
              <w:spacing w:after="240"/>
            </w:pPr>
            <w:r w:rsidRPr="005B355D">
              <w:t>(A</w:t>
            </w:r>
            <w:r w:rsidR="00B31333" w:rsidRPr="005B355D">
              <w:t xml:space="preserve">) </w:t>
            </w:r>
            <w:r w:rsidR="009201EB">
              <w:t>To ensure consistency across programs and implementation, need a common definition.</w:t>
            </w:r>
          </w:p>
          <w:p w14:paraId="48F45DE9" w14:textId="0AC91097" w:rsidR="00B31333" w:rsidRDefault="00CD796C" w:rsidP="005B7FE4">
            <w:pPr>
              <w:spacing w:after="240"/>
            </w:pPr>
            <w:r>
              <w:t>(B</w:t>
            </w:r>
            <w:r w:rsidR="00B31333">
              <w:t>)</w:t>
            </w:r>
            <w:r w:rsidR="009201EB">
              <w:t xml:space="preserve"> See </w:t>
            </w:r>
            <w:r w:rsidR="00763FEF">
              <w:t xml:space="preserve">rationale for inclusion proposal in </w:t>
            </w:r>
            <w:r w:rsidR="009201EB">
              <w:t>Item # 3</w:t>
            </w:r>
            <w:r w:rsidR="00763FEF">
              <w:t xml:space="preserve"> above.</w:t>
            </w:r>
          </w:p>
          <w:p w14:paraId="43BB36E7" w14:textId="77777777" w:rsidR="00D31B08" w:rsidRDefault="00A71F5C" w:rsidP="00D31B08">
            <w:r>
              <w:t xml:space="preserve">(C) Without understanding the </w:t>
            </w:r>
            <w:r w:rsidR="004748EA">
              <w:t>baseline state of the workforce</w:t>
            </w:r>
            <w:r>
              <w:t>, the CPUC cannot assess success of efforts or progress toward a more inclusive workforce.</w:t>
            </w:r>
          </w:p>
          <w:p w14:paraId="709EFAEA" w14:textId="77777777" w:rsidR="00D31B08" w:rsidRDefault="00D31B08" w:rsidP="00D31B08"/>
          <w:p w14:paraId="0DB6CEE1" w14:textId="400FFCED" w:rsidR="00B31333" w:rsidRDefault="00B31333" w:rsidP="005B355D">
            <w:r>
              <w:t>(</w:t>
            </w:r>
            <w:r w:rsidR="00CD796C">
              <w:t>D</w:t>
            </w:r>
            <w:r>
              <w:t xml:space="preserve">) </w:t>
            </w:r>
            <w:r w:rsidR="004748EA">
              <w:t>Allowing additional credit for companies that integrate workforce inclusion</w:t>
            </w:r>
            <w:r w:rsidR="005B355D">
              <w:t xml:space="preserve"> into their practices </w:t>
            </w:r>
            <w:r w:rsidR="004748EA">
              <w:t>provides an incentive for companies to pursue such an approach.</w:t>
            </w:r>
          </w:p>
        </w:tc>
        <w:tc>
          <w:tcPr>
            <w:tcW w:w="4140" w:type="dxa"/>
          </w:tcPr>
          <w:p w14:paraId="392B3561" w14:textId="036ABF23" w:rsidR="00B31333" w:rsidRDefault="00B67CB1" w:rsidP="005B7FE4">
            <w:pPr>
              <w:spacing w:after="240"/>
            </w:pPr>
            <w:r>
              <w:t>(A</w:t>
            </w:r>
            <w:r w:rsidR="00B31333">
              <w:t xml:space="preserve">) </w:t>
            </w:r>
            <w:r w:rsidR="009201EB">
              <w:t xml:space="preserve">The IOUs defined “disadvantaged” in their </w:t>
            </w:r>
            <w:r w:rsidR="009201EB" w:rsidRPr="004D033D">
              <w:rPr>
                <w:highlight w:val="yellow"/>
              </w:rPr>
              <w:t>2015</w:t>
            </w:r>
            <w:r w:rsidR="009201EB">
              <w:t xml:space="preserve"> Advice Letter </w:t>
            </w:r>
            <w:r w:rsidR="009201EB" w:rsidRPr="004D033D">
              <w:rPr>
                <w:highlight w:val="yellow"/>
              </w:rPr>
              <w:t>##</w:t>
            </w:r>
            <w:r w:rsidR="009201EB">
              <w:t xml:space="preserve"> found </w:t>
            </w:r>
            <w:r w:rsidR="009201EB" w:rsidRPr="004D033D">
              <w:rPr>
                <w:highlight w:val="yellow"/>
              </w:rPr>
              <w:t>here</w:t>
            </w:r>
            <w:r w:rsidR="009201EB">
              <w:t>. However, given the CEC effort pursuant to SB 350</w:t>
            </w:r>
            <w:r w:rsidR="00763FEF">
              <w:t xml:space="preserve">, </w:t>
            </w:r>
            <w:r w:rsidR="009201EB">
              <w:t xml:space="preserve"> </w:t>
            </w:r>
            <w:r w:rsidR="00632EF8">
              <w:t xml:space="preserve">it doesn’t make sense for the </w:t>
            </w:r>
            <w:r w:rsidR="009201EB">
              <w:t xml:space="preserve">IOUs </w:t>
            </w:r>
            <w:r w:rsidR="00632EF8">
              <w:t xml:space="preserve">to proceed with their definition if the CEC’s forthcoming definition will be different. </w:t>
            </w:r>
          </w:p>
          <w:p w14:paraId="1C72B3FD" w14:textId="75DB7AF7" w:rsidR="00B31333" w:rsidRDefault="00763FEF" w:rsidP="005B7FE4">
            <w:pPr>
              <w:spacing w:after="240"/>
            </w:pPr>
            <w:r>
              <w:t>(B) See discussion re: inclusion program in Item #3 above.</w:t>
            </w:r>
          </w:p>
          <w:p w14:paraId="7DE5F309" w14:textId="02DA39C5" w:rsidR="002275DB" w:rsidRDefault="002275DB" w:rsidP="005B7FE4">
            <w:pPr>
              <w:spacing w:after="240"/>
            </w:pPr>
            <w:r>
              <w:t>(</w:t>
            </w:r>
            <w:r w:rsidR="00A71F5C">
              <w:t>C</w:t>
            </w:r>
            <w:r>
              <w:t xml:space="preserve">) Data collection for this type of information can be </w:t>
            </w:r>
            <w:r w:rsidR="004748EA">
              <w:t xml:space="preserve">limited by </w:t>
            </w:r>
            <w:r>
              <w:t>legal requirements. Need further guidance from the Commission on how to proceed.</w:t>
            </w:r>
          </w:p>
          <w:p w14:paraId="078FD55F" w14:textId="672F72DA" w:rsidR="00F40332" w:rsidRDefault="005B7FE4" w:rsidP="005B7FE4">
            <w:pPr>
              <w:spacing w:after="240"/>
            </w:pPr>
            <w:r>
              <w:t>(D)</w:t>
            </w:r>
            <w:r w:rsidR="001E225B">
              <w:t xml:space="preserve"> DISCUSSION?</w:t>
            </w:r>
          </w:p>
        </w:tc>
        <w:tc>
          <w:tcPr>
            <w:tcW w:w="2970" w:type="dxa"/>
          </w:tcPr>
          <w:p w14:paraId="60E1FF79" w14:textId="210971F1" w:rsidR="00B31333" w:rsidRDefault="00B67CB1" w:rsidP="005B7FE4">
            <w:pPr>
              <w:spacing w:after="240"/>
            </w:pPr>
            <w:r>
              <w:t xml:space="preserve">(A) </w:t>
            </w:r>
            <w:r w:rsidRPr="00CE126E">
              <w:rPr>
                <w:b/>
              </w:rPr>
              <w:t>Definition</w:t>
            </w:r>
            <w:r>
              <w:t>: Defer to the CEC’s forthcoming final decision</w:t>
            </w:r>
            <w:r w:rsidR="00AC5BAF">
              <w:t xml:space="preserve"> to be consistent across the state</w:t>
            </w:r>
            <w:r>
              <w:t>.</w:t>
            </w:r>
          </w:p>
          <w:p w14:paraId="367A270F" w14:textId="520BE267" w:rsidR="00B67CB1" w:rsidRDefault="00B67CB1" w:rsidP="005B7FE4">
            <w:pPr>
              <w:spacing w:after="240"/>
            </w:pPr>
            <w:r>
              <w:t xml:space="preserve">(B) </w:t>
            </w:r>
            <w:r w:rsidRPr="00CE126E">
              <w:rPr>
                <w:b/>
              </w:rPr>
              <w:t>Inclusion</w:t>
            </w:r>
            <w:r>
              <w:t>: See above</w:t>
            </w:r>
            <w:r w:rsidR="001E3535">
              <w:t xml:space="preserve"> item #3</w:t>
            </w:r>
          </w:p>
          <w:p w14:paraId="69F2DEB3" w14:textId="2CF95852" w:rsidR="00B67CB1" w:rsidRDefault="00B67CB1" w:rsidP="005B7FE4">
            <w:pPr>
              <w:spacing w:after="240"/>
            </w:pPr>
            <w:r>
              <w:t xml:space="preserve">(C) </w:t>
            </w:r>
            <w:r w:rsidR="001E3535" w:rsidRPr="00CE126E">
              <w:rPr>
                <w:b/>
              </w:rPr>
              <w:t>Data:</w:t>
            </w:r>
            <w:r w:rsidR="001E3535">
              <w:t xml:space="preserve"> </w:t>
            </w:r>
            <w:r>
              <w:t>Defer to CPUC</w:t>
            </w:r>
          </w:p>
          <w:p w14:paraId="7D002583" w14:textId="77777777" w:rsidR="00B67CB1" w:rsidRDefault="00B67CB1" w:rsidP="005B7FE4">
            <w:pPr>
              <w:spacing w:after="240"/>
            </w:pPr>
            <w:r>
              <w:t>(</w:t>
            </w:r>
            <w:commentRangeStart w:id="3"/>
            <w:r>
              <w:t>D</w:t>
            </w:r>
            <w:commentRangeEnd w:id="3"/>
            <w:r w:rsidR="006A4A75">
              <w:rPr>
                <w:rStyle w:val="CommentReference"/>
              </w:rPr>
              <w:commentReference w:id="3"/>
            </w:r>
            <w:r>
              <w:t xml:space="preserve">) </w:t>
            </w:r>
            <w:r w:rsidRPr="004D033D">
              <w:rPr>
                <w:highlight w:val="yellow"/>
              </w:rPr>
              <w:t>?</w:t>
            </w:r>
          </w:p>
          <w:p w14:paraId="299904A6" w14:textId="77777777" w:rsidR="009F6119" w:rsidRPr="00F5240D" w:rsidRDefault="009F6119" w:rsidP="009F6119">
            <w:pPr>
              <w:spacing w:after="240"/>
              <w:jc w:val="center"/>
            </w:pPr>
            <w:r w:rsidRPr="00F5240D">
              <w:rPr>
                <w:b/>
              </w:rPr>
              <w:t>Organizations in support of Alternative</w:t>
            </w:r>
            <w:r>
              <w:rPr>
                <w:b/>
              </w:rPr>
              <w:t xml:space="preserve"> Approach:</w:t>
            </w:r>
          </w:p>
          <w:p w14:paraId="33F9625F" w14:textId="2D5E7FEB" w:rsidR="009F6119" w:rsidRDefault="009F6119" w:rsidP="009F6119">
            <w:pPr>
              <w:pStyle w:val="ListParagraph"/>
              <w:numPr>
                <w:ilvl w:val="0"/>
                <w:numId w:val="41"/>
              </w:numPr>
              <w:spacing w:after="240"/>
            </w:pPr>
          </w:p>
        </w:tc>
        <w:tc>
          <w:tcPr>
            <w:tcW w:w="3240" w:type="dxa"/>
          </w:tcPr>
          <w:p w14:paraId="013FAD95" w14:textId="77777777" w:rsidR="00B31333" w:rsidRDefault="00B31333" w:rsidP="005B7FE4">
            <w:pPr>
              <w:spacing w:after="240"/>
            </w:pPr>
          </w:p>
        </w:tc>
      </w:tr>
    </w:tbl>
    <w:p w14:paraId="3B012796" w14:textId="255675DC" w:rsidR="00094A17" w:rsidRDefault="00094A17"/>
    <w:tbl>
      <w:tblPr>
        <w:tblStyle w:val="TableGrid"/>
        <w:tblW w:w="18270" w:type="dxa"/>
        <w:tblInd w:w="-702" w:type="dxa"/>
        <w:tblLook w:val="04A0" w:firstRow="1" w:lastRow="0" w:firstColumn="1" w:lastColumn="0" w:noHBand="0" w:noVBand="1"/>
      </w:tblPr>
      <w:tblGrid>
        <w:gridCol w:w="344"/>
        <w:gridCol w:w="2153"/>
        <w:gridCol w:w="2543"/>
        <w:gridCol w:w="2880"/>
        <w:gridCol w:w="4140"/>
        <w:gridCol w:w="2970"/>
        <w:gridCol w:w="3240"/>
      </w:tblGrid>
      <w:tr w:rsidR="001F737A" w14:paraId="024289D5" w14:textId="77777777" w:rsidTr="001F737A">
        <w:trPr>
          <w:trHeight w:val="4699"/>
        </w:trPr>
        <w:tc>
          <w:tcPr>
            <w:tcW w:w="344" w:type="dxa"/>
          </w:tcPr>
          <w:p w14:paraId="3658715B" w14:textId="77777777" w:rsidR="001F737A" w:rsidRPr="009E3ACB" w:rsidRDefault="001F737A" w:rsidP="00EE00CF">
            <w:pPr>
              <w:spacing w:after="240"/>
            </w:pPr>
            <w:r>
              <w:t>5</w:t>
            </w:r>
          </w:p>
        </w:tc>
        <w:tc>
          <w:tcPr>
            <w:tcW w:w="2153" w:type="dxa"/>
          </w:tcPr>
          <w:p w14:paraId="7A0182B4" w14:textId="77777777" w:rsidR="001F737A" w:rsidRDefault="001F737A" w:rsidP="00EE00CF">
            <w:pPr>
              <w:spacing w:after="240"/>
              <w:rPr>
                <w:i/>
              </w:rPr>
            </w:pPr>
            <w:r>
              <w:rPr>
                <w:i/>
              </w:rPr>
              <w:t>Bottom up Budget Justification</w:t>
            </w:r>
          </w:p>
          <w:p w14:paraId="4A0AEB1B" w14:textId="77777777" w:rsidR="001F737A" w:rsidRDefault="001F737A" w:rsidP="00EE00CF">
            <w:pPr>
              <w:rPr>
                <w:i/>
              </w:rPr>
            </w:pPr>
            <w:r>
              <w:rPr>
                <w:i/>
              </w:rPr>
              <w:t>Raised by:</w:t>
            </w:r>
          </w:p>
          <w:p w14:paraId="1FEA495F" w14:textId="77777777" w:rsidR="001F737A" w:rsidRPr="00CE45A5" w:rsidRDefault="001F737A" w:rsidP="00EE00CF">
            <w:pPr>
              <w:spacing w:after="240"/>
              <w:rPr>
                <w:i/>
              </w:rPr>
            </w:pPr>
            <w:r>
              <w:rPr>
                <w:i/>
              </w:rPr>
              <w:t>ORA</w:t>
            </w:r>
          </w:p>
          <w:p w14:paraId="72A11052" w14:textId="77777777" w:rsidR="001F737A" w:rsidRDefault="001F737A" w:rsidP="00EE00CF">
            <w:pPr>
              <w:spacing w:after="240"/>
            </w:pPr>
            <w:r>
              <w:t xml:space="preserve">See CC Mtg #10 </w:t>
            </w:r>
            <w:hyperlink r:id="rId20" w:history="1">
              <w:r w:rsidRPr="00160C54">
                <w:rPr>
                  <w:rStyle w:val="Hyperlink"/>
                </w:rPr>
                <w:t>notes</w:t>
              </w:r>
            </w:hyperlink>
            <w:r>
              <w:t xml:space="preserve"> for further discussion.</w:t>
            </w:r>
          </w:p>
          <w:p w14:paraId="098A248C" w14:textId="77777777" w:rsidR="00B713A1" w:rsidRDefault="00B713A1" w:rsidP="00EE00CF">
            <w:pPr>
              <w:spacing w:after="240"/>
            </w:pPr>
            <w:r w:rsidRPr="00A04371">
              <w:rPr>
                <w:highlight w:val="yellow"/>
              </w:rPr>
              <w:t>This item was discussed on DATE, DATE, DATE, and DATE.</w:t>
            </w:r>
          </w:p>
          <w:p w14:paraId="4C1A5014" w14:textId="77777777" w:rsidR="00F30806" w:rsidRPr="00F5240D" w:rsidRDefault="00F30806" w:rsidP="00EE00CF">
            <w:pPr>
              <w:spacing w:after="240"/>
              <w:jc w:val="center"/>
            </w:pPr>
            <w:r w:rsidRPr="00F5240D">
              <w:rPr>
                <w:b/>
              </w:rPr>
              <w:t xml:space="preserve">Organizations in support of </w:t>
            </w:r>
            <w:r>
              <w:rPr>
                <w:b/>
              </w:rPr>
              <w:t>Proposal:</w:t>
            </w:r>
          </w:p>
          <w:p w14:paraId="287EE762" w14:textId="77777777" w:rsidR="00F30806" w:rsidRPr="00094A17" w:rsidRDefault="00F30806" w:rsidP="00EE00CF">
            <w:pPr>
              <w:pStyle w:val="ListParagraph"/>
              <w:numPr>
                <w:ilvl w:val="0"/>
                <w:numId w:val="28"/>
              </w:numPr>
              <w:spacing w:after="240"/>
              <w:contextualSpacing w:val="0"/>
            </w:pPr>
          </w:p>
        </w:tc>
        <w:tc>
          <w:tcPr>
            <w:tcW w:w="2543" w:type="dxa"/>
            <w:shd w:val="clear" w:color="auto" w:fill="BFBFBF" w:themeFill="background1" w:themeFillShade="BF"/>
          </w:tcPr>
          <w:p w14:paraId="5D63FE96" w14:textId="7F05D112" w:rsidR="001F737A" w:rsidRDefault="002971AD" w:rsidP="00EE00CF">
            <w:pPr>
              <w:spacing w:after="240"/>
            </w:pPr>
            <w:r>
              <w:t xml:space="preserve">(A) </w:t>
            </w:r>
            <w:r w:rsidR="001F737A">
              <w:t xml:space="preserve">BP applications need to have </w:t>
            </w:r>
            <w:r w:rsidR="00035CF4">
              <w:t xml:space="preserve">a </w:t>
            </w:r>
            <w:r w:rsidR="001F737A">
              <w:t xml:space="preserve">companion </w:t>
            </w:r>
            <w:r w:rsidR="00343CAD">
              <w:t xml:space="preserve">comprehensive </w:t>
            </w:r>
            <w:r w:rsidR="001F737A">
              <w:t xml:space="preserve">budget that includes the basis and justification for the proposed budget, in line with the BP proposal. </w:t>
            </w:r>
          </w:p>
          <w:p w14:paraId="60272141" w14:textId="49CFAB1F" w:rsidR="00D43FF9" w:rsidRPr="00D43FF9" w:rsidRDefault="00EE00CF" w:rsidP="00EE00CF">
            <w:pPr>
              <w:spacing w:after="240"/>
              <w:rPr>
                <w:rFonts w:cs="Times New Roman"/>
              </w:rPr>
            </w:pPr>
            <w:r>
              <w:rPr>
                <w:rFonts w:cs="Times New Roman"/>
              </w:rPr>
              <w:t xml:space="preserve">(B) </w:t>
            </w:r>
            <w:r w:rsidR="00D43FF9" w:rsidRPr="00D43FF9">
              <w:rPr>
                <w:rFonts w:cs="Times New Roman"/>
              </w:rPr>
              <w:t xml:space="preserve">Includes all elements that are expected to be recorded to EE balancing account (Using a </w:t>
            </w:r>
            <w:r w:rsidR="00D43FF9">
              <w:t>GRC-type forecast with basis for forecast, with labor and non-labor separately presented, for each of the budget categories previously specified by the Commission for EE</w:t>
            </w:r>
            <w:r w:rsidR="00D43FF9" w:rsidRPr="00D43FF9">
              <w:rPr>
                <w:rFonts w:cs="Times New Roman"/>
              </w:rPr>
              <w:t>)</w:t>
            </w:r>
          </w:p>
          <w:p w14:paraId="58339427" w14:textId="46861B2F" w:rsidR="00AB191D" w:rsidRDefault="00EE00CF" w:rsidP="00EE00CF">
            <w:pPr>
              <w:spacing w:after="240"/>
            </w:pPr>
            <w:r>
              <w:rPr>
                <w:rFonts w:cs="Times New Roman"/>
              </w:rPr>
              <w:t xml:space="preserve">(C) </w:t>
            </w:r>
            <w:r w:rsidR="00D43FF9" w:rsidRPr="00FC0FAE">
              <w:rPr>
                <w:rFonts w:cs="Times New Roman"/>
              </w:rPr>
              <w:t>Budget proposal should align with business plan objectives, vision, and strategies.</w:t>
            </w:r>
          </w:p>
          <w:p w14:paraId="4DC77854" w14:textId="77777777" w:rsidR="00D43FF9" w:rsidRDefault="00D43FF9" w:rsidP="00EE00CF">
            <w:pPr>
              <w:spacing w:after="240"/>
            </w:pPr>
          </w:p>
          <w:p w14:paraId="78601863" w14:textId="77777777" w:rsidR="00AB191D" w:rsidRDefault="00AB191D" w:rsidP="00EE00CF">
            <w:pPr>
              <w:spacing w:after="240"/>
              <w:jc w:val="center"/>
            </w:pPr>
          </w:p>
        </w:tc>
        <w:tc>
          <w:tcPr>
            <w:tcW w:w="2880" w:type="dxa"/>
            <w:shd w:val="clear" w:color="auto" w:fill="BFBFBF" w:themeFill="background1" w:themeFillShade="BF"/>
          </w:tcPr>
          <w:p w14:paraId="1994810F" w14:textId="21CDC06E" w:rsidR="001F737A" w:rsidRDefault="00EE00CF" w:rsidP="00EE00CF">
            <w:pPr>
              <w:spacing w:after="240"/>
            </w:pPr>
            <w:r>
              <w:t xml:space="preserve">(A) </w:t>
            </w:r>
            <w:r w:rsidR="001F737A">
              <w:t xml:space="preserve">Without such a breakdown, the Commission and stakeholders cannot tell how the budget was derived or what the rationale is for the proposed budget. </w:t>
            </w:r>
          </w:p>
        </w:tc>
        <w:tc>
          <w:tcPr>
            <w:tcW w:w="4140" w:type="dxa"/>
          </w:tcPr>
          <w:p w14:paraId="45CD4140" w14:textId="5124B64A" w:rsidR="00C85D9F" w:rsidRDefault="00A75AA3" w:rsidP="00EE00CF">
            <w:pPr>
              <w:spacing w:after="240"/>
            </w:pPr>
            <w:r>
              <w:t xml:space="preserve">(A) </w:t>
            </w:r>
            <w:r w:rsidR="001F737A">
              <w:t>The Commission direction is at a much higher level than this request</w:t>
            </w:r>
            <w:r w:rsidR="00C85D9F">
              <w:t xml:space="preserve"> since the </w:t>
            </w:r>
            <w:r w:rsidR="00222BDE">
              <w:t>business plans</w:t>
            </w:r>
            <w:r w:rsidR="00C85D9F">
              <w:t xml:space="preserve"> are </w:t>
            </w:r>
            <w:r w:rsidR="00A87CE9">
              <w:t xml:space="preserve">intended to provide high level </w:t>
            </w:r>
            <w:r w:rsidR="00C85D9F">
              <w:t>strategic intervention approaches</w:t>
            </w:r>
            <w:r w:rsidR="001F737A">
              <w:t>.</w:t>
            </w:r>
          </w:p>
          <w:p w14:paraId="7127CFEC" w14:textId="2D6E886C" w:rsidR="001251FB" w:rsidRDefault="00C85D9F" w:rsidP="00EE00CF">
            <w:pPr>
              <w:spacing w:after="240"/>
            </w:pPr>
            <w:r>
              <w:t xml:space="preserve">(B) Until the </w:t>
            </w:r>
            <w:r w:rsidR="00A87CE9">
              <w:t>business plans</w:t>
            </w:r>
            <w:r>
              <w:t xml:space="preserve"> are approved, such an exercise could be moot</w:t>
            </w:r>
            <w:r w:rsidR="00A87CE9">
              <w:t xml:space="preserve"> and need to be redone</w:t>
            </w:r>
            <w:r>
              <w:t xml:space="preserve"> if the Commission moves in a substantially different direction than the proposals in the plans.</w:t>
            </w:r>
            <w:r w:rsidR="001F737A">
              <w:t xml:space="preserve"> </w:t>
            </w:r>
          </w:p>
          <w:p w14:paraId="556BC71B" w14:textId="2EEF3710" w:rsidR="00035CF4" w:rsidRDefault="00A75AA3" w:rsidP="00EE00CF">
            <w:pPr>
              <w:spacing w:after="240"/>
            </w:pPr>
            <w:r>
              <w:t>(</w:t>
            </w:r>
            <w:r w:rsidR="00C85D9F">
              <w:t>C</w:t>
            </w:r>
            <w:r>
              <w:t xml:space="preserve">) </w:t>
            </w:r>
            <w:r w:rsidR="00035CF4">
              <w:t>Timing may not allow for such a breakdown by January, 2017.</w:t>
            </w:r>
          </w:p>
          <w:p w14:paraId="0F2A3DF9" w14:textId="1ADC8DA1" w:rsidR="001F737A" w:rsidRDefault="00A75AA3" w:rsidP="00EE00CF">
            <w:pPr>
              <w:spacing w:after="240"/>
            </w:pPr>
            <w:r>
              <w:t>(</w:t>
            </w:r>
            <w:r w:rsidR="00C85D9F">
              <w:t>D</w:t>
            </w:r>
            <w:r>
              <w:t xml:space="preserve">) </w:t>
            </w:r>
            <w:r w:rsidR="001251FB">
              <w:t xml:space="preserve">A </w:t>
            </w:r>
            <w:r w:rsidR="001F737A">
              <w:t>number of the detailed analyses</w:t>
            </w:r>
            <w:r w:rsidR="001251FB">
              <w:t xml:space="preserve"> </w:t>
            </w:r>
            <w:r w:rsidR="00035CF4">
              <w:t xml:space="preserve">being sought </w:t>
            </w:r>
            <w:r w:rsidR="001F737A">
              <w:t>will change due to the CPUC direction to have at minimum 60% third party programs by the end of 2020</w:t>
            </w:r>
            <w:r w:rsidR="00AA5786">
              <w:t xml:space="preserve"> (e.g., budgets will need to follow what’s available in the market)</w:t>
            </w:r>
            <w:r w:rsidR="001F737A">
              <w:t xml:space="preserve">. </w:t>
            </w:r>
          </w:p>
          <w:p w14:paraId="62981FD2" w14:textId="77777777" w:rsidR="001F737A" w:rsidRDefault="001F737A" w:rsidP="00EE00CF">
            <w:pPr>
              <w:spacing w:after="240"/>
            </w:pPr>
          </w:p>
        </w:tc>
        <w:tc>
          <w:tcPr>
            <w:tcW w:w="2970" w:type="dxa"/>
          </w:tcPr>
          <w:p w14:paraId="01099522" w14:textId="5CF8A1C8" w:rsidR="001F737A" w:rsidRDefault="001F737A" w:rsidP="00EE00CF">
            <w:pPr>
              <w:spacing w:after="240"/>
            </w:pPr>
            <w:r>
              <w:t xml:space="preserve">Alternative proposal </w:t>
            </w:r>
            <w:r w:rsidR="001251FB">
              <w:t xml:space="preserve">is </w:t>
            </w:r>
            <w:r>
              <w:t>for the BP filing</w:t>
            </w:r>
            <w:r w:rsidR="002236C8">
              <w:t>s</w:t>
            </w:r>
            <w:r>
              <w:t xml:space="preserve"> in January </w:t>
            </w:r>
            <w:r w:rsidR="001251FB">
              <w:t xml:space="preserve">to remain </w:t>
            </w:r>
            <w:r>
              <w:t xml:space="preserve">consistent with </w:t>
            </w:r>
            <w:r w:rsidR="00AB191D">
              <w:t xml:space="preserve">the high level </w:t>
            </w:r>
            <w:r w:rsidR="00CC5B80">
              <w:t xml:space="preserve">Commission direction and submit a </w:t>
            </w:r>
            <w:r>
              <w:t xml:space="preserve">bottom-up approach analysis </w:t>
            </w:r>
            <w:r w:rsidR="00E31CE2">
              <w:t xml:space="preserve">at a later date (e.g., </w:t>
            </w:r>
            <w:r w:rsidR="001251FB">
              <w:t xml:space="preserve">as part of the 9/1/17 </w:t>
            </w:r>
            <w:r>
              <w:t>Annual Advice Letter</w:t>
            </w:r>
            <w:r w:rsidR="00AB191D">
              <w:t xml:space="preserve"> (AL)</w:t>
            </w:r>
            <w:r w:rsidR="00A75AA3">
              <w:t xml:space="preserve"> – but not to be expected every year hence unless directed by the Commission</w:t>
            </w:r>
            <w:r w:rsidR="00E31CE2">
              <w:t>)</w:t>
            </w:r>
            <w:r>
              <w:t>.</w:t>
            </w:r>
            <w:r w:rsidR="00AB191D">
              <w:t xml:space="preserve"> </w:t>
            </w:r>
          </w:p>
          <w:p w14:paraId="221300CA" w14:textId="77777777" w:rsidR="00AB191D" w:rsidRPr="00F5240D" w:rsidRDefault="00AB191D" w:rsidP="00EE00CF">
            <w:pPr>
              <w:spacing w:after="240"/>
              <w:jc w:val="center"/>
            </w:pPr>
            <w:r w:rsidRPr="00F5240D">
              <w:rPr>
                <w:b/>
              </w:rPr>
              <w:t>Organizations in support of Alternative</w:t>
            </w:r>
            <w:r>
              <w:rPr>
                <w:b/>
              </w:rPr>
              <w:t xml:space="preserve"> Approach:</w:t>
            </w:r>
          </w:p>
          <w:p w14:paraId="4E11F8B5" w14:textId="77777777" w:rsidR="001F737A" w:rsidRDefault="001F737A" w:rsidP="00EE00CF">
            <w:pPr>
              <w:pStyle w:val="ListParagraph"/>
              <w:numPr>
                <w:ilvl w:val="0"/>
                <w:numId w:val="13"/>
              </w:numPr>
              <w:spacing w:after="240"/>
              <w:contextualSpacing w:val="0"/>
            </w:pPr>
          </w:p>
        </w:tc>
        <w:tc>
          <w:tcPr>
            <w:tcW w:w="3240" w:type="dxa"/>
          </w:tcPr>
          <w:p w14:paraId="227F21DB" w14:textId="77777777" w:rsidR="001F737A" w:rsidRDefault="001F737A" w:rsidP="00EE00CF">
            <w:pPr>
              <w:spacing w:after="240"/>
            </w:pPr>
          </w:p>
        </w:tc>
      </w:tr>
    </w:tbl>
    <w:p w14:paraId="4DAE577E" w14:textId="77777777" w:rsidR="00EF2BE6" w:rsidRDefault="00EF2BE6"/>
    <w:p w14:paraId="345F4F93" w14:textId="77777777" w:rsidR="00EF2BE6" w:rsidRDefault="00EF2BE6">
      <w:r>
        <w:br w:type="page"/>
      </w:r>
    </w:p>
    <w:tbl>
      <w:tblPr>
        <w:tblStyle w:val="TableGrid"/>
        <w:tblW w:w="18270" w:type="dxa"/>
        <w:tblInd w:w="-702" w:type="dxa"/>
        <w:tblLook w:val="04A0" w:firstRow="1" w:lastRow="0" w:firstColumn="1" w:lastColumn="0" w:noHBand="0" w:noVBand="1"/>
      </w:tblPr>
      <w:tblGrid>
        <w:gridCol w:w="344"/>
        <w:gridCol w:w="2153"/>
        <w:gridCol w:w="2543"/>
        <w:gridCol w:w="2880"/>
        <w:gridCol w:w="4140"/>
        <w:gridCol w:w="2970"/>
        <w:gridCol w:w="3240"/>
      </w:tblGrid>
      <w:tr w:rsidR="00EF2BE6" w14:paraId="5E6A385B" w14:textId="77777777" w:rsidTr="00F2487B">
        <w:trPr>
          <w:trHeight w:val="4699"/>
        </w:trPr>
        <w:tc>
          <w:tcPr>
            <w:tcW w:w="344" w:type="dxa"/>
          </w:tcPr>
          <w:p w14:paraId="477C79DE" w14:textId="77777777" w:rsidR="00EF2BE6" w:rsidRPr="009E3ACB" w:rsidRDefault="00EF2BE6" w:rsidP="00DA78E2">
            <w:pPr>
              <w:spacing w:after="240"/>
            </w:pPr>
            <w:r>
              <w:t>6</w:t>
            </w:r>
          </w:p>
        </w:tc>
        <w:tc>
          <w:tcPr>
            <w:tcW w:w="2153" w:type="dxa"/>
          </w:tcPr>
          <w:p w14:paraId="0D5C0DB9" w14:textId="77777777" w:rsidR="00EF2BE6" w:rsidRDefault="00EF2BE6" w:rsidP="00DA78E2">
            <w:pPr>
              <w:spacing w:after="240"/>
              <w:rPr>
                <w:i/>
              </w:rPr>
            </w:pPr>
            <w:r>
              <w:rPr>
                <w:i/>
              </w:rPr>
              <w:t>Single Statewide Local Government Administrator</w:t>
            </w:r>
          </w:p>
          <w:p w14:paraId="1D984971" w14:textId="77777777" w:rsidR="00EF2BE6" w:rsidRDefault="00EF2BE6" w:rsidP="00DA78E2">
            <w:pPr>
              <w:rPr>
                <w:i/>
              </w:rPr>
            </w:pPr>
            <w:r>
              <w:rPr>
                <w:i/>
              </w:rPr>
              <w:t>Raised by:</w:t>
            </w:r>
          </w:p>
          <w:p w14:paraId="7646256D" w14:textId="77777777" w:rsidR="00EF2BE6" w:rsidRPr="00CE45A5" w:rsidRDefault="00EF2BE6" w:rsidP="00DA78E2">
            <w:pPr>
              <w:spacing w:after="240"/>
              <w:rPr>
                <w:i/>
              </w:rPr>
            </w:pPr>
            <w:r>
              <w:rPr>
                <w:i/>
              </w:rPr>
              <w:t>LGSEC</w:t>
            </w:r>
          </w:p>
          <w:p w14:paraId="0F1DAC16" w14:textId="13B1CF2C" w:rsidR="00132CA0" w:rsidRDefault="00980A85" w:rsidP="00DA78E2">
            <w:pPr>
              <w:spacing w:after="240"/>
            </w:pPr>
            <w:r>
              <w:t>The LGSEC proposal was discussed at two official CAEECC meetings—10/19/16 and 10/27/16</w:t>
            </w:r>
            <w:r w:rsidR="00AE53EB">
              <w:t xml:space="preserve"> (webinar)</w:t>
            </w:r>
            <w:r>
              <w:t xml:space="preserve">. See 10/19 meeting </w:t>
            </w:r>
            <w:hyperlink r:id="rId21" w:history="1">
              <w:r w:rsidRPr="0098429F">
                <w:rPr>
                  <w:rStyle w:val="Hyperlink"/>
                </w:rPr>
                <w:t>notes</w:t>
              </w:r>
            </w:hyperlink>
            <w:r w:rsidR="0098429F">
              <w:t>,</w:t>
            </w:r>
            <w:r>
              <w:t xml:space="preserve"> 10/27 meeting </w:t>
            </w:r>
            <w:hyperlink r:id="rId22" w:history="1">
              <w:r w:rsidR="0098429F" w:rsidRPr="0098429F">
                <w:rPr>
                  <w:rStyle w:val="Hyperlink"/>
                </w:rPr>
                <w:t>page</w:t>
              </w:r>
            </w:hyperlink>
            <w:r w:rsidR="0098429F">
              <w:t xml:space="preserve">, and 10/27 meeting </w:t>
            </w:r>
            <w:hyperlink r:id="rId23" w:history="1">
              <w:r w:rsidR="0098429F" w:rsidRPr="0098429F">
                <w:rPr>
                  <w:rStyle w:val="Hyperlink"/>
                </w:rPr>
                <w:t>notes</w:t>
              </w:r>
            </w:hyperlink>
            <w:r>
              <w:t>.</w:t>
            </w:r>
          </w:p>
          <w:p w14:paraId="68DA0A3B" w14:textId="0B5CD96C" w:rsidR="00EF2BE6" w:rsidRDefault="00132CA0" w:rsidP="00DA78E2">
            <w:pPr>
              <w:spacing w:after="240"/>
            </w:pPr>
            <w:r w:rsidRPr="00AE53EB">
              <w:t xml:space="preserve">This item was discussed on </w:t>
            </w:r>
            <w:r w:rsidR="00AE53EB" w:rsidRPr="00AE53EB">
              <w:t xml:space="preserve">10/19 and 10/27. </w:t>
            </w:r>
          </w:p>
          <w:p w14:paraId="70369D6E" w14:textId="77777777" w:rsidR="00747A22" w:rsidRPr="00F5240D" w:rsidRDefault="00747A22" w:rsidP="00DA78E2">
            <w:pPr>
              <w:spacing w:after="240"/>
              <w:jc w:val="center"/>
            </w:pPr>
            <w:r w:rsidRPr="00F5240D">
              <w:rPr>
                <w:b/>
              </w:rPr>
              <w:t xml:space="preserve">Organizations in support of </w:t>
            </w:r>
            <w:r>
              <w:rPr>
                <w:b/>
              </w:rPr>
              <w:t>Proposal:</w:t>
            </w:r>
          </w:p>
          <w:p w14:paraId="7A426EFB" w14:textId="77777777" w:rsidR="00747A22" w:rsidRPr="00094A17" w:rsidRDefault="00747A22" w:rsidP="00DA78E2">
            <w:pPr>
              <w:pStyle w:val="ListParagraph"/>
              <w:numPr>
                <w:ilvl w:val="0"/>
                <w:numId w:val="27"/>
              </w:numPr>
              <w:spacing w:after="240"/>
              <w:contextualSpacing w:val="0"/>
            </w:pPr>
          </w:p>
        </w:tc>
        <w:tc>
          <w:tcPr>
            <w:tcW w:w="2543" w:type="dxa"/>
            <w:shd w:val="clear" w:color="auto" w:fill="BFBFBF" w:themeFill="background1" w:themeFillShade="BF"/>
          </w:tcPr>
          <w:p w14:paraId="61A89449" w14:textId="77777777" w:rsidR="007F4F9A" w:rsidRDefault="007F4F9A" w:rsidP="00DA78E2">
            <w:pPr>
              <w:spacing w:after="240"/>
            </w:pPr>
            <w:r>
              <w:t xml:space="preserve">The proposal’s Elements include: </w:t>
            </w:r>
          </w:p>
          <w:p w14:paraId="092D332B" w14:textId="77777777" w:rsidR="007F4F9A" w:rsidRDefault="007F4F9A" w:rsidP="00DA78E2">
            <w:pPr>
              <w:spacing w:after="240"/>
            </w:pPr>
            <w:r>
              <w:t>“One r</w:t>
            </w:r>
            <w:r w:rsidR="00865B0B" w:rsidRPr="00865B0B">
              <w:t xml:space="preserve">ealm </w:t>
            </w:r>
            <w:r>
              <w:t xml:space="preserve">Instead of four IOU Territories; </w:t>
            </w:r>
            <w:r w:rsidR="00865B0B" w:rsidRPr="00865B0B">
              <w:t>Leverage LG energy, sustainability, climate action adaptation programs</w:t>
            </w:r>
            <w:r>
              <w:t xml:space="preserve">; </w:t>
            </w:r>
            <w:r w:rsidR="00865B0B" w:rsidRPr="00865B0B">
              <w:t>Continuity, Consistency, and Enhanced Measurability and Refinement</w:t>
            </w:r>
            <w:r>
              <w:t xml:space="preserve">; </w:t>
            </w:r>
            <w:r w:rsidR="00865B0B" w:rsidRPr="00865B0B">
              <w:t>Standardized, Enhanced and Responsible Data Access</w:t>
            </w:r>
            <w:r>
              <w:t xml:space="preserve">; </w:t>
            </w:r>
            <w:r w:rsidR="00865B0B" w:rsidRPr="00865B0B">
              <w:t xml:space="preserve">Leveling of </w:t>
            </w:r>
            <w:r>
              <w:t xml:space="preserve">cross-LGP capacity and function; </w:t>
            </w:r>
            <w:r w:rsidR="00865B0B" w:rsidRPr="00865B0B">
              <w:t>Remediation of Local Government Barriers</w:t>
            </w:r>
            <w:r>
              <w:t xml:space="preserve">; </w:t>
            </w:r>
            <w:r w:rsidR="00865B0B" w:rsidRPr="00865B0B">
              <w:t xml:space="preserve">Promote LGP </w:t>
            </w:r>
          </w:p>
          <w:p w14:paraId="2610A0DC" w14:textId="77777777" w:rsidR="0041272F" w:rsidRDefault="00865B0B" w:rsidP="00DA78E2">
            <w:pPr>
              <w:spacing w:after="240"/>
            </w:pPr>
            <w:r w:rsidRPr="00865B0B">
              <w:t>Constituency and Market Reach</w:t>
            </w:r>
            <w:r w:rsidR="007F4F9A">
              <w:t xml:space="preserve">; </w:t>
            </w:r>
            <w:r w:rsidRPr="00865B0B">
              <w:t>Pilot Program, Program design clinics, Best-In-Class and BMP Library</w:t>
            </w:r>
            <w:r w:rsidR="00981DD8">
              <w:t>.” (Slide 8, LGSEC ppt)</w:t>
            </w:r>
          </w:p>
          <w:p w14:paraId="66F7E027" w14:textId="77777777" w:rsidR="0041272F" w:rsidRDefault="0041272F" w:rsidP="00DA78E2">
            <w:pPr>
              <w:spacing w:after="240"/>
            </w:pPr>
          </w:p>
          <w:p w14:paraId="4E5F15E7" w14:textId="77777777" w:rsidR="00EF2BE6" w:rsidRDefault="00EF2BE6" w:rsidP="00DA78E2">
            <w:pPr>
              <w:spacing w:after="240"/>
            </w:pPr>
          </w:p>
          <w:p w14:paraId="30D821AD" w14:textId="77777777" w:rsidR="00EF2BE6" w:rsidRDefault="00EF2BE6" w:rsidP="00DA78E2">
            <w:pPr>
              <w:spacing w:after="240"/>
              <w:jc w:val="center"/>
            </w:pPr>
          </w:p>
        </w:tc>
        <w:tc>
          <w:tcPr>
            <w:tcW w:w="2880" w:type="dxa"/>
            <w:shd w:val="clear" w:color="auto" w:fill="BFBFBF" w:themeFill="background1" w:themeFillShade="BF"/>
          </w:tcPr>
          <w:p w14:paraId="6E90ACC2" w14:textId="77777777" w:rsidR="0041272F" w:rsidRDefault="0041272F" w:rsidP="00DA78E2">
            <w:pPr>
              <w:spacing w:after="240"/>
            </w:pPr>
            <w:r>
              <w:t xml:space="preserve">This approach is needed to address </w:t>
            </w:r>
            <w:r w:rsidR="00D0402A">
              <w:t xml:space="preserve">the following </w:t>
            </w:r>
            <w:r>
              <w:t xml:space="preserve">challenges </w:t>
            </w:r>
            <w:r w:rsidR="00D064D1">
              <w:t>identified by the LGSEC</w:t>
            </w:r>
            <w:r w:rsidR="00296B1E">
              <w:t xml:space="preserve"> (slide </w:t>
            </w:r>
            <w:r w:rsidR="00296B1E" w:rsidRPr="00296B1E">
              <w:rPr>
                <w:highlight w:val="yellow"/>
              </w:rPr>
              <w:t>#</w:t>
            </w:r>
            <w:r w:rsidR="00296B1E">
              <w:t>)</w:t>
            </w:r>
            <w:r w:rsidR="00D0402A">
              <w:t xml:space="preserve">: </w:t>
            </w:r>
            <w:r w:rsidR="00D064D1">
              <w:t xml:space="preserve"> </w:t>
            </w:r>
          </w:p>
          <w:p w14:paraId="261C8F85" w14:textId="151BE4CA" w:rsidR="0041272F" w:rsidRPr="0041272F" w:rsidRDefault="007235B0" w:rsidP="00DA78E2">
            <w:pPr>
              <w:spacing w:after="240"/>
            </w:pPr>
            <w:r>
              <w:t xml:space="preserve">(A) </w:t>
            </w:r>
            <w:r w:rsidR="0041272F" w:rsidRPr="0041272F">
              <w:t xml:space="preserve">LGPs are vessels for IOU plans and are typically not included in designing programs, but are held accountable for program performance </w:t>
            </w:r>
          </w:p>
          <w:p w14:paraId="04FE727A" w14:textId="6A24DB2B" w:rsidR="0041272F" w:rsidRPr="0041272F" w:rsidRDefault="007235B0" w:rsidP="00DA78E2">
            <w:pPr>
              <w:spacing w:after="240"/>
            </w:pPr>
            <w:r>
              <w:t xml:space="preserve">(B) </w:t>
            </w:r>
            <w:r w:rsidR="0041272F" w:rsidRPr="0041272F">
              <w:t>LGPs do not have consistent access to useful energy data</w:t>
            </w:r>
          </w:p>
          <w:p w14:paraId="6297752B" w14:textId="07EAC0D0" w:rsidR="0041272F" w:rsidRPr="0041272F" w:rsidRDefault="007235B0" w:rsidP="00DA78E2">
            <w:pPr>
              <w:spacing w:after="240"/>
            </w:pPr>
            <w:r>
              <w:t xml:space="preserve">(C) </w:t>
            </w:r>
            <w:r w:rsidR="0041272F" w:rsidRPr="0041272F">
              <w:t>LGP contract terms, timeframes, budgets and performance metrics are inconsistent and there are no established mechanisms for contract modifications</w:t>
            </w:r>
          </w:p>
          <w:p w14:paraId="5557A7FA" w14:textId="53F3A1BC" w:rsidR="0041272F" w:rsidRPr="0041272F" w:rsidRDefault="007235B0" w:rsidP="00DA78E2">
            <w:pPr>
              <w:spacing w:after="240"/>
            </w:pPr>
            <w:r>
              <w:t xml:space="preserve">(D) </w:t>
            </w:r>
            <w:r w:rsidR="0041272F" w:rsidRPr="0041272F">
              <w:t>LGP program funding can be capricious</w:t>
            </w:r>
          </w:p>
          <w:p w14:paraId="44E33A25" w14:textId="42CD7A5E" w:rsidR="0041272F" w:rsidRPr="0041272F" w:rsidRDefault="007235B0" w:rsidP="00DA78E2">
            <w:pPr>
              <w:spacing w:after="240"/>
            </w:pPr>
            <w:r>
              <w:t xml:space="preserve">(E) </w:t>
            </w:r>
            <w:r w:rsidR="0041272F" w:rsidRPr="0041272F">
              <w:t>LGPs are not integrated with other energy and climate programs</w:t>
            </w:r>
          </w:p>
          <w:p w14:paraId="4A35745F" w14:textId="5FDC5385" w:rsidR="00EF2BE6" w:rsidRDefault="007235B0" w:rsidP="00DA78E2">
            <w:pPr>
              <w:spacing w:after="240"/>
            </w:pPr>
            <w:r>
              <w:t xml:space="preserve">(F) </w:t>
            </w:r>
            <w:r w:rsidR="0041272F" w:rsidRPr="0041272F">
              <w:t>Each of the IOUs use different methods, metrics, accounting and budgeting processes</w:t>
            </w:r>
          </w:p>
        </w:tc>
        <w:tc>
          <w:tcPr>
            <w:tcW w:w="4140" w:type="dxa"/>
          </w:tcPr>
          <w:p w14:paraId="3CFDA491" w14:textId="377111F7" w:rsidR="00980A85" w:rsidRDefault="00106CB9" w:rsidP="00DA78E2">
            <w:pPr>
              <w:spacing w:after="240"/>
            </w:pPr>
            <w:r>
              <w:t xml:space="preserve">(A) </w:t>
            </w:r>
            <w:r w:rsidR="00980A85">
              <w:t>The assertions of the identified problems were countered by at least two parties</w:t>
            </w:r>
            <w:r w:rsidR="00AA32A6">
              <w:t xml:space="preserve"> (in particular to the reference of not being a part of the planning process)</w:t>
            </w:r>
            <w:r w:rsidR="00980A85">
              <w:t xml:space="preserve">. </w:t>
            </w:r>
          </w:p>
          <w:p w14:paraId="17ABDB1B" w14:textId="76802786" w:rsidR="00EA74C5" w:rsidRDefault="00106CB9" w:rsidP="00DA78E2">
            <w:pPr>
              <w:spacing w:after="240"/>
            </w:pPr>
            <w:r>
              <w:t>(B)</w:t>
            </w:r>
            <w:r w:rsidR="00EA74C5">
              <w:t xml:space="preserve"> </w:t>
            </w:r>
            <w:r w:rsidR="00BD62FB">
              <w:t>The problem statements identified (e.g., limited opportunity for local governments to design their program) is not</w:t>
            </w:r>
            <w:r w:rsidR="00D064D1">
              <w:t xml:space="preserve"> a</w:t>
            </w:r>
            <w:r w:rsidR="00BD62FB">
              <w:t xml:space="preserve"> universal</w:t>
            </w:r>
            <w:r w:rsidR="00D064D1">
              <w:t xml:space="preserve"> </w:t>
            </w:r>
            <w:r w:rsidR="00980A85">
              <w:t>problem</w:t>
            </w:r>
            <w:r w:rsidR="00BD62FB">
              <w:t>.</w:t>
            </w:r>
            <w:r w:rsidR="00980A85" w:rsidRPr="00980A85">
              <w:t xml:space="preserve"> </w:t>
            </w:r>
            <w:r w:rsidR="00980A85">
              <w:t xml:space="preserve"> </w:t>
            </w:r>
          </w:p>
          <w:p w14:paraId="49026E3C" w14:textId="6C1D72A0" w:rsidR="00EF2BE6" w:rsidRDefault="00106CB9" w:rsidP="00DA78E2">
            <w:pPr>
              <w:spacing w:after="240"/>
            </w:pPr>
            <w:r>
              <w:t xml:space="preserve">(C) </w:t>
            </w:r>
            <w:r w:rsidR="00980A85">
              <w:t>Some e</w:t>
            </w:r>
            <w:r w:rsidR="00980A85" w:rsidRPr="00980A85">
              <w:t>xisting PA Local Government Partnerships are generally working and PAs are making improvements, so not worth throwing the whole existing set of programs away.</w:t>
            </w:r>
            <w:r w:rsidR="00EA74C5">
              <w:t xml:space="preserve"> </w:t>
            </w:r>
          </w:p>
          <w:p w14:paraId="5E7BEAA3" w14:textId="54700F34" w:rsidR="00EF2BE6" w:rsidRDefault="00106CB9" w:rsidP="00DA78E2">
            <w:pPr>
              <w:spacing w:after="240"/>
            </w:pPr>
            <w:r>
              <w:t>(D)</w:t>
            </w:r>
            <w:r w:rsidR="00EA74C5">
              <w:t xml:space="preserve"> </w:t>
            </w:r>
            <w:r w:rsidR="00FB67BB">
              <w:t>The proposal doesn’t provide a clear path to how this approach would address the key issues. For example, it’s u</w:t>
            </w:r>
            <w:r w:rsidR="00BD62FB">
              <w:t>nclear how the proposal will solve data access</w:t>
            </w:r>
            <w:r w:rsidR="009856C6">
              <w:t xml:space="preserve"> issues</w:t>
            </w:r>
            <w:r w:rsidR="006B491E">
              <w:t xml:space="preserve"> or provide an analysis of how administration costs would be reduced</w:t>
            </w:r>
            <w:r w:rsidR="009856C6">
              <w:t xml:space="preserve">. </w:t>
            </w:r>
          </w:p>
          <w:p w14:paraId="44720A41" w14:textId="480C83D3" w:rsidR="00BD62FB" w:rsidRDefault="00106CB9" w:rsidP="00DA78E2">
            <w:pPr>
              <w:spacing w:after="240"/>
            </w:pPr>
            <w:r>
              <w:t>(E)</w:t>
            </w:r>
            <w:r w:rsidR="00EA74C5">
              <w:t xml:space="preserve"> </w:t>
            </w:r>
            <w:r w:rsidR="00980A85">
              <w:t xml:space="preserve">Proposal is </w:t>
            </w:r>
            <w:r w:rsidR="006B491E">
              <w:t>relying on funding based on  “</w:t>
            </w:r>
            <w:r w:rsidR="008513E4">
              <w:t>conceptual support</w:t>
            </w:r>
            <w:r w:rsidR="006B491E">
              <w:t>.” W</w:t>
            </w:r>
            <w:r w:rsidR="008513E4">
              <w:t>hat happen</w:t>
            </w:r>
            <w:r w:rsidR="006B491E">
              <w:t>s</w:t>
            </w:r>
            <w:r w:rsidR="008513E4">
              <w:t xml:space="preserve"> to the proposal </w:t>
            </w:r>
            <w:r w:rsidR="00BC50FB">
              <w:t xml:space="preserve">if full support </w:t>
            </w:r>
            <w:r w:rsidR="00B06D5E">
              <w:t xml:space="preserve">does </w:t>
            </w:r>
            <w:r w:rsidR="00BC50FB">
              <w:t>not materialize?</w:t>
            </w:r>
          </w:p>
          <w:p w14:paraId="30B773AD" w14:textId="597EE1E1" w:rsidR="00BC50FB" w:rsidRDefault="00106CB9" w:rsidP="00DA78E2">
            <w:pPr>
              <w:spacing w:after="240"/>
            </w:pPr>
            <w:r>
              <w:t>(F)</w:t>
            </w:r>
            <w:r w:rsidR="00EA74C5">
              <w:t xml:space="preserve"> </w:t>
            </w:r>
            <w:r w:rsidR="00BC50FB">
              <w:t>How would co-mingling of the funds address the CPUC rules of ensuring funding collected from customers only goes back to those customers?</w:t>
            </w:r>
            <w:r w:rsidR="00B06D5E">
              <w:t xml:space="preserve"> Similarly, how would the proposal enable allocation of savings to the PAs, LGs, and implementers (vs. other reasons) to enable claimable savings that are critical to maintain cost-effectiveness.</w:t>
            </w:r>
          </w:p>
          <w:p w14:paraId="36A2A9D6" w14:textId="160D8ECD" w:rsidR="00BC50FB" w:rsidRDefault="00106CB9" w:rsidP="00DA78E2">
            <w:pPr>
              <w:spacing w:after="240"/>
            </w:pPr>
            <w:r>
              <w:t xml:space="preserve">(G) </w:t>
            </w:r>
            <w:r w:rsidR="000333D3">
              <w:t>Local presence afforded by local PAs and local governments is preferred by some Local Governments.</w:t>
            </w:r>
            <w:r w:rsidR="00EA74C5">
              <w:t xml:space="preserve"> It is difficult to assess how the proposal will address the challenges without undermining partnerships or approaches that are seemingly working.</w:t>
            </w:r>
          </w:p>
          <w:p w14:paraId="350C6141" w14:textId="232A1796" w:rsidR="00560803" w:rsidRDefault="00106CB9" w:rsidP="001B6E26">
            <w:pPr>
              <w:spacing w:after="240"/>
            </w:pPr>
            <w:r>
              <w:t xml:space="preserve">(H) </w:t>
            </w:r>
            <w:r w:rsidR="00560803">
              <w:t>This is a big change amongst other very large changes</w:t>
            </w:r>
            <w:r w:rsidR="004C308E">
              <w:t xml:space="preserve"> (e.g., statewide lead and transition to 60% third party programs</w:t>
            </w:r>
            <w:r w:rsidR="00205017">
              <w:t>)</w:t>
            </w:r>
            <w:r w:rsidR="00560803">
              <w:t xml:space="preserve">. </w:t>
            </w:r>
            <w:r w:rsidR="001B6E26">
              <w:t xml:space="preserve">Instead of adding another big shift, we should first see how the statewide and third party transitions go. </w:t>
            </w:r>
          </w:p>
        </w:tc>
        <w:tc>
          <w:tcPr>
            <w:tcW w:w="2970" w:type="dxa"/>
          </w:tcPr>
          <w:p w14:paraId="1866B434" w14:textId="20D7987B" w:rsidR="00CE5F16" w:rsidRDefault="00CE5F16" w:rsidP="00DA78E2">
            <w:pPr>
              <w:spacing w:after="240"/>
            </w:pPr>
            <w:r>
              <w:t xml:space="preserve">(A) </w:t>
            </w:r>
            <w:r w:rsidR="00BD62FB">
              <w:t xml:space="preserve">Maintain the current structure and </w:t>
            </w:r>
            <w:commentRangeStart w:id="4"/>
            <w:r w:rsidR="00BD62FB">
              <w:t xml:space="preserve">look into </w:t>
            </w:r>
            <w:commentRangeEnd w:id="4"/>
            <w:r>
              <w:rPr>
                <w:rStyle w:val="CommentReference"/>
              </w:rPr>
              <w:commentReference w:id="4"/>
            </w:r>
            <w:r w:rsidR="00BD62FB">
              <w:t>improvements to address t</w:t>
            </w:r>
            <w:r w:rsidR="00CE693B">
              <w:t xml:space="preserve">he problems being experienced by </w:t>
            </w:r>
            <w:r w:rsidR="00BD62FB">
              <w:t>Local Governments</w:t>
            </w:r>
            <w:r w:rsidR="000456AF">
              <w:t xml:space="preserve"> before considering a wholly new structure</w:t>
            </w:r>
            <w:r w:rsidR="00BD62FB">
              <w:t>.</w:t>
            </w:r>
          </w:p>
          <w:p w14:paraId="768AF261" w14:textId="77777777" w:rsidR="00EF2BE6" w:rsidRDefault="00EF2BE6" w:rsidP="00DA78E2">
            <w:pPr>
              <w:spacing w:after="240"/>
            </w:pPr>
          </w:p>
          <w:p w14:paraId="4B815F5C" w14:textId="77777777" w:rsidR="00EF2BE6" w:rsidRPr="00F5240D" w:rsidRDefault="00EF2BE6" w:rsidP="00DA78E2">
            <w:pPr>
              <w:spacing w:after="240"/>
              <w:jc w:val="center"/>
            </w:pPr>
            <w:r w:rsidRPr="00F5240D">
              <w:rPr>
                <w:b/>
              </w:rPr>
              <w:t>Organizations in support of Alternative</w:t>
            </w:r>
            <w:r>
              <w:rPr>
                <w:b/>
              </w:rPr>
              <w:t xml:space="preserve"> Approach:</w:t>
            </w:r>
          </w:p>
          <w:p w14:paraId="3D342A75" w14:textId="77777777" w:rsidR="00EF2BE6" w:rsidRDefault="00EF2BE6" w:rsidP="00DA78E2">
            <w:pPr>
              <w:pStyle w:val="ListParagraph"/>
              <w:numPr>
                <w:ilvl w:val="0"/>
                <w:numId w:val="16"/>
              </w:numPr>
              <w:spacing w:after="240"/>
              <w:contextualSpacing w:val="0"/>
            </w:pPr>
          </w:p>
        </w:tc>
        <w:tc>
          <w:tcPr>
            <w:tcW w:w="3240" w:type="dxa"/>
          </w:tcPr>
          <w:p w14:paraId="154DA2C6" w14:textId="77777777" w:rsidR="00EF2BE6" w:rsidRDefault="00EF2BE6" w:rsidP="00DA78E2">
            <w:pPr>
              <w:spacing w:after="240"/>
            </w:pPr>
          </w:p>
        </w:tc>
      </w:tr>
    </w:tbl>
    <w:p w14:paraId="2C00DE44" w14:textId="77777777" w:rsidR="0068077E" w:rsidRDefault="0068077E"/>
    <w:tbl>
      <w:tblPr>
        <w:tblStyle w:val="TableGrid"/>
        <w:tblW w:w="18270" w:type="dxa"/>
        <w:tblInd w:w="-702" w:type="dxa"/>
        <w:tblLook w:val="04A0" w:firstRow="1" w:lastRow="0" w:firstColumn="1" w:lastColumn="0" w:noHBand="0" w:noVBand="1"/>
      </w:tblPr>
      <w:tblGrid>
        <w:gridCol w:w="344"/>
        <w:gridCol w:w="2153"/>
        <w:gridCol w:w="2543"/>
        <w:gridCol w:w="2880"/>
        <w:gridCol w:w="4140"/>
        <w:gridCol w:w="2970"/>
        <w:gridCol w:w="3240"/>
      </w:tblGrid>
      <w:tr w:rsidR="0068077E" w14:paraId="706A6CCB" w14:textId="77777777" w:rsidTr="00F2487B">
        <w:trPr>
          <w:trHeight w:val="4699"/>
        </w:trPr>
        <w:tc>
          <w:tcPr>
            <w:tcW w:w="344" w:type="dxa"/>
          </w:tcPr>
          <w:p w14:paraId="385B9D10" w14:textId="77777777" w:rsidR="0068077E" w:rsidRPr="009E3ACB" w:rsidRDefault="0068077E" w:rsidP="00DA78E2">
            <w:pPr>
              <w:spacing w:after="240"/>
            </w:pPr>
            <w:r>
              <w:br w:type="page"/>
              <w:t>7</w:t>
            </w:r>
          </w:p>
        </w:tc>
        <w:tc>
          <w:tcPr>
            <w:tcW w:w="2153" w:type="dxa"/>
          </w:tcPr>
          <w:p w14:paraId="365A3D70" w14:textId="3ACACECB" w:rsidR="0068077E" w:rsidRDefault="0068077E" w:rsidP="00DA78E2">
            <w:pPr>
              <w:spacing w:after="240"/>
              <w:rPr>
                <w:i/>
              </w:rPr>
            </w:pPr>
            <w:r>
              <w:rPr>
                <w:i/>
              </w:rPr>
              <w:t>Downstream statewide pilot</w:t>
            </w:r>
            <w:r w:rsidR="00F90402">
              <w:rPr>
                <w:i/>
              </w:rPr>
              <w:t xml:space="preserve"> </w:t>
            </w:r>
          </w:p>
          <w:p w14:paraId="3EF3D199" w14:textId="77777777" w:rsidR="0068077E" w:rsidRDefault="0068077E" w:rsidP="00DA78E2">
            <w:pPr>
              <w:rPr>
                <w:i/>
              </w:rPr>
            </w:pPr>
            <w:r>
              <w:rPr>
                <w:i/>
              </w:rPr>
              <w:t>Raised by:</w:t>
            </w:r>
          </w:p>
          <w:p w14:paraId="2ABCA13E" w14:textId="77777777" w:rsidR="0068077E" w:rsidRPr="00CE45A5" w:rsidRDefault="00B713A1" w:rsidP="00DA78E2">
            <w:pPr>
              <w:spacing w:after="240"/>
              <w:rPr>
                <w:i/>
              </w:rPr>
            </w:pPr>
            <w:r>
              <w:rPr>
                <w:i/>
              </w:rPr>
              <w:t>MCE</w:t>
            </w:r>
          </w:p>
          <w:p w14:paraId="6DC9AE2A" w14:textId="12725934" w:rsidR="00007F96" w:rsidRDefault="00007F96" w:rsidP="00DA78E2">
            <w:pPr>
              <w:spacing w:after="240"/>
              <w:rPr>
                <w:i/>
              </w:rPr>
            </w:pPr>
            <w:r>
              <w:rPr>
                <w:i/>
              </w:rPr>
              <w:t xml:space="preserve">9/21/16 CC Meeting presentation found </w:t>
            </w:r>
            <w:hyperlink r:id="rId24" w:history="1">
              <w:r w:rsidRPr="00007F96">
                <w:rPr>
                  <w:rStyle w:val="Hyperlink"/>
                  <w:i/>
                </w:rPr>
                <w:t>here</w:t>
              </w:r>
            </w:hyperlink>
          </w:p>
          <w:p w14:paraId="275C0DAA" w14:textId="054ED93E" w:rsidR="0068077E" w:rsidRDefault="00B713A1" w:rsidP="00DA78E2">
            <w:pPr>
              <w:spacing w:after="240"/>
            </w:pPr>
            <w:r w:rsidRPr="00216107">
              <w:t xml:space="preserve">See </w:t>
            </w:r>
            <w:r w:rsidR="00971392" w:rsidRPr="00216107">
              <w:t xml:space="preserve">10/14/16 </w:t>
            </w:r>
            <w:r w:rsidRPr="00216107">
              <w:t xml:space="preserve">webinar presentation </w:t>
            </w:r>
            <w:hyperlink r:id="rId25" w:history="1">
              <w:r w:rsidRPr="00216107">
                <w:rPr>
                  <w:rStyle w:val="Hyperlink"/>
                </w:rPr>
                <w:t>here</w:t>
              </w:r>
            </w:hyperlink>
            <w:r w:rsidR="0068077E" w:rsidRPr="00216107">
              <w:t>.</w:t>
            </w:r>
          </w:p>
          <w:p w14:paraId="33A3B068" w14:textId="08EBF7A0" w:rsidR="00B713A1" w:rsidRDefault="00FB165B" w:rsidP="00DA78E2">
            <w:pPr>
              <w:spacing w:after="240"/>
            </w:pPr>
            <w:r w:rsidRPr="00D96734">
              <w:t xml:space="preserve">This item was discussed on </w:t>
            </w:r>
            <w:r w:rsidR="00D96734" w:rsidRPr="00D96734">
              <w:t>9/21 and 10/14</w:t>
            </w:r>
          </w:p>
          <w:p w14:paraId="62343F40" w14:textId="77777777" w:rsidR="003C099B" w:rsidRPr="00F5240D" w:rsidRDefault="003C099B" w:rsidP="00DA78E2">
            <w:pPr>
              <w:spacing w:after="240"/>
              <w:jc w:val="center"/>
            </w:pPr>
            <w:r w:rsidRPr="00F5240D">
              <w:rPr>
                <w:b/>
              </w:rPr>
              <w:t xml:space="preserve">Organizations in support of </w:t>
            </w:r>
            <w:r>
              <w:rPr>
                <w:b/>
              </w:rPr>
              <w:t>Proposal:</w:t>
            </w:r>
          </w:p>
          <w:p w14:paraId="096B61F4" w14:textId="77777777" w:rsidR="003C099B" w:rsidRPr="00094A17" w:rsidRDefault="003C099B" w:rsidP="00DA78E2">
            <w:pPr>
              <w:pStyle w:val="ListParagraph"/>
              <w:numPr>
                <w:ilvl w:val="0"/>
                <w:numId w:val="33"/>
              </w:numPr>
              <w:spacing w:after="240"/>
              <w:contextualSpacing w:val="0"/>
            </w:pPr>
          </w:p>
        </w:tc>
        <w:tc>
          <w:tcPr>
            <w:tcW w:w="2543" w:type="dxa"/>
            <w:shd w:val="clear" w:color="auto" w:fill="BFBFBF" w:themeFill="background1" w:themeFillShade="BF"/>
          </w:tcPr>
          <w:p w14:paraId="0F83A5D0" w14:textId="5F877C3B" w:rsidR="00CF1BE7" w:rsidRDefault="0081636A" w:rsidP="004D033D">
            <w:pPr>
              <w:spacing w:after="240"/>
            </w:pPr>
            <w:r>
              <w:t xml:space="preserve">(A) </w:t>
            </w:r>
            <w:r w:rsidR="00806566">
              <w:t>Rather than establishing downstream programs as statewide pilots, take functions that support local programs that would benefit from consistency and economies of scale and administer those function</w:t>
            </w:r>
            <w:r w:rsidR="00216107">
              <w:t xml:space="preserve">s on a statewide basis (e.g., </w:t>
            </w:r>
            <w:r w:rsidR="00806566">
              <w:t>work papers, workforce training, etc.</w:t>
            </w:r>
            <w:r w:rsidR="00216107">
              <w:t>)</w:t>
            </w:r>
            <w:r w:rsidR="00806566">
              <w:t xml:space="preserve">.  </w:t>
            </w:r>
          </w:p>
          <w:p w14:paraId="5FE7975F" w14:textId="2CC33EF3" w:rsidR="00806566" w:rsidRDefault="00CF1BE7" w:rsidP="00DA78E2">
            <w:pPr>
              <w:spacing w:after="240"/>
            </w:pPr>
            <w:r>
              <w:t xml:space="preserve">(B) </w:t>
            </w:r>
            <w:r w:rsidR="00806566">
              <w:t>In this way, the local touch of local program is maintained while benefiting from more efficient support functions</w:t>
            </w:r>
            <w:r w:rsidR="008623DA">
              <w:t>.</w:t>
            </w:r>
          </w:p>
          <w:p w14:paraId="73DCE02D" w14:textId="4F0D57B4" w:rsidR="00806566" w:rsidRPr="00ED7A5A" w:rsidRDefault="00806566" w:rsidP="00DA78E2">
            <w:pPr>
              <w:spacing w:after="240"/>
            </w:pPr>
            <w:r w:rsidRPr="00ED7A5A">
              <w:t xml:space="preserve"> </w:t>
            </w:r>
          </w:p>
          <w:p w14:paraId="2412CDB7" w14:textId="62244BA4" w:rsidR="00806566" w:rsidRDefault="00806566" w:rsidP="004D033D">
            <w:pPr>
              <w:spacing w:after="240"/>
            </w:pPr>
          </w:p>
        </w:tc>
        <w:tc>
          <w:tcPr>
            <w:tcW w:w="2880" w:type="dxa"/>
            <w:shd w:val="clear" w:color="auto" w:fill="BFBFBF" w:themeFill="background1" w:themeFillShade="BF"/>
          </w:tcPr>
          <w:p w14:paraId="4DEA68FC" w14:textId="123F43CA" w:rsidR="008437DD" w:rsidRPr="0081636A" w:rsidRDefault="00EB313A" w:rsidP="00DA78E2">
            <w:pPr>
              <w:spacing w:after="240"/>
            </w:pPr>
            <w:r>
              <w:rPr>
                <w:bCs/>
              </w:rPr>
              <w:t>(A)</w:t>
            </w:r>
            <w:r w:rsidRPr="0081636A">
              <w:rPr>
                <w:bCs/>
              </w:rPr>
              <w:t xml:space="preserve"> </w:t>
            </w:r>
            <w:r w:rsidR="008437DD" w:rsidRPr="0081636A">
              <w:rPr>
                <w:bCs/>
              </w:rPr>
              <w:t xml:space="preserve">Saving ratepayer funds </w:t>
            </w:r>
            <w:r w:rsidR="008437DD" w:rsidRPr="0081636A">
              <w:t xml:space="preserve">through eliminating duplicative administration </w:t>
            </w:r>
          </w:p>
          <w:p w14:paraId="34CA6829" w14:textId="166A4A2B" w:rsidR="008437DD" w:rsidRPr="0081636A" w:rsidRDefault="00EB313A" w:rsidP="00DA78E2">
            <w:pPr>
              <w:spacing w:after="240"/>
            </w:pPr>
            <w:r w:rsidRPr="0081636A">
              <w:rPr>
                <w:bCs/>
              </w:rPr>
              <w:t xml:space="preserve">(B) </w:t>
            </w:r>
            <w:r w:rsidR="008437DD" w:rsidRPr="0081636A">
              <w:rPr>
                <w:bCs/>
              </w:rPr>
              <w:t xml:space="preserve">Providing consistency </w:t>
            </w:r>
            <w:r w:rsidR="008437DD" w:rsidRPr="0081636A">
              <w:t xml:space="preserve">among service areas when appropriate </w:t>
            </w:r>
          </w:p>
          <w:p w14:paraId="62423132" w14:textId="0616112B" w:rsidR="008437DD" w:rsidRPr="0081636A" w:rsidRDefault="00EB313A" w:rsidP="00DA78E2">
            <w:pPr>
              <w:spacing w:after="240"/>
            </w:pPr>
            <w:r w:rsidRPr="0081636A">
              <w:t>(C) F</w:t>
            </w:r>
            <w:r w:rsidR="008437DD" w:rsidRPr="0081636A">
              <w:rPr>
                <w:bCs/>
              </w:rPr>
              <w:t xml:space="preserve">ostering a positive and valuable experience </w:t>
            </w:r>
            <w:r w:rsidR="008437DD" w:rsidRPr="0081636A">
              <w:t xml:space="preserve">for the customer, contractor, and installer </w:t>
            </w:r>
          </w:p>
          <w:p w14:paraId="7EF83514" w14:textId="0077E0E5" w:rsidR="00E9142A" w:rsidRPr="0081636A" w:rsidRDefault="0081636A" w:rsidP="00DA78E2">
            <w:pPr>
              <w:spacing w:after="240"/>
            </w:pPr>
            <w:r w:rsidRPr="0081636A">
              <w:t xml:space="preserve">(D) </w:t>
            </w:r>
            <w:r w:rsidR="00E9142A" w:rsidRPr="0081636A">
              <w:t xml:space="preserve">While it is true that </w:t>
            </w:r>
            <w:r w:rsidR="00E9142A" w:rsidRPr="0081636A">
              <w:rPr>
                <w:bCs/>
              </w:rPr>
              <w:t>many downstream programs must vary due to the diversity of customers and end uses</w:t>
            </w:r>
            <w:r w:rsidR="00E9142A" w:rsidRPr="0081636A">
              <w:t xml:space="preserve">, it is not clear that that necessarily means that all program designs and approaches downstream must be different. For example, even in the industrial sector, where custom projects vary perhaps the most among any sector because of the diversity of processes involved, it could still be desirable to have a </w:t>
            </w:r>
            <w:r w:rsidR="00E9142A" w:rsidRPr="0081636A">
              <w:rPr>
                <w:bCs/>
              </w:rPr>
              <w:t xml:space="preserve">consistent set of program rules, documentation requirements, savings measurement requirements, etc. </w:t>
            </w:r>
            <w:r w:rsidR="00E9142A" w:rsidRPr="0081636A">
              <w:t xml:space="preserve">regardless of the area of the state in which the program is operating. (D.16-08-019 Page 59) </w:t>
            </w:r>
          </w:p>
          <w:p w14:paraId="006A997C" w14:textId="77777777" w:rsidR="0068077E" w:rsidRDefault="0068077E" w:rsidP="00DA78E2">
            <w:pPr>
              <w:spacing w:after="240"/>
            </w:pPr>
          </w:p>
        </w:tc>
        <w:tc>
          <w:tcPr>
            <w:tcW w:w="4140" w:type="dxa"/>
          </w:tcPr>
          <w:p w14:paraId="790498A4" w14:textId="222B1EAF" w:rsidR="009F635A" w:rsidRPr="009F635A" w:rsidRDefault="00B10F6A" w:rsidP="00DA78E2">
            <w:pPr>
              <w:spacing w:after="240"/>
            </w:pPr>
            <w:r>
              <w:t xml:space="preserve">(A) </w:t>
            </w:r>
            <w:r w:rsidR="00083DCC">
              <w:t>Similar c</w:t>
            </w:r>
            <w:r w:rsidR="003C1EFA">
              <w:t>oncerns</w:t>
            </w:r>
            <w:r w:rsidR="009F635A" w:rsidRPr="009F635A">
              <w:t xml:space="preserve"> </w:t>
            </w:r>
            <w:r w:rsidR="003C1EFA">
              <w:t xml:space="preserve">were raised </w:t>
            </w:r>
            <w:r w:rsidR="009F635A" w:rsidRPr="009F635A">
              <w:t xml:space="preserve">about downstream programs going Statewide given local touch. One </w:t>
            </w:r>
            <w:r w:rsidR="003C1EFA">
              <w:t xml:space="preserve">additional </w:t>
            </w:r>
            <w:r w:rsidR="009F635A" w:rsidRPr="009F635A">
              <w:t xml:space="preserve">idea </w:t>
            </w:r>
            <w:r w:rsidR="003C1EFA">
              <w:t xml:space="preserve">would be to have a statewide </w:t>
            </w:r>
            <w:r w:rsidR="009F635A" w:rsidRPr="009F635A">
              <w:t xml:space="preserve"> training and curriculum</w:t>
            </w:r>
            <w:r w:rsidR="003C1EFA">
              <w:t xml:space="preserve"> specifically </w:t>
            </w:r>
            <w:r w:rsidR="009F635A" w:rsidRPr="009F635A">
              <w:t xml:space="preserve">to support the </w:t>
            </w:r>
            <w:r w:rsidR="003C1EFA">
              <w:t xml:space="preserve">home </w:t>
            </w:r>
            <w:r w:rsidR="009F635A" w:rsidRPr="009F635A">
              <w:t xml:space="preserve">upgrade program (e.g., the training will be the same even if the individual programs are slightly different for local needs). </w:t>
            </w:r>
          </w:p>
          <w:p w14:paraId="7EB4685B" w14:textId="6B44F118" w:rsidR="009F635A" w:rsidRDefault="00B10F6A" w:rsidP="00DA78E2">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(B) </w:t>
            </w:r>
            <w:r w:rsidR="00145791">
              <w:rPr>
                <w:rFonts w:asciiTheme="minorHAnsi" w:hAnsiTheme="minorHAnsi" w:cstheme="minorBidi"/>
                <w:sz w:val="22"/>
                <w:szCs w:val="22"/>
              </w:rPr>
              <w:t>T</w:t>
            </w:r>
            <w:r w:rsidR="009F635A" w:rsidRPr="00B10F6A">
              <w:rPr>
                <w:rFonts w:asciiTheme="minorHAnsi" w:hAnsiTheme="minorHAnsi" w:cstheme="minorBidi"/>
                <w:sz w:val="22"/>
                <w:szCs w:val="22"/>
              </w:rPr>
              <w:t xml:space="preserve">here is value to development of work papers for Statewide programs. </w:t>
            </w:r>
          </w:p>
          <w:p w14:paraId="4C8BC098" w14:textId="7D181A82" w:rsidR="00B132CC" w:rsidRDefault="003C1EFA" w:rsidP="00DA78E2">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(C) </w:t>
            </w:r>
            <w:r w:rsidR="00B132CC" w:rsidRPr="00B132CC">
              <w:rPr>
                <w:rFonts w:asciiTheme="minorHAnsi" w:hAnsiTheme="minorHAnsi" w:cstheme="minorBidi"/>
                <w:sz w:val="22"/>
                <w:szCs w:val="22"/>
              </w:rPr>
              <w:t>A</w:t>
            </w:r>
            <w:r w:rsidR="00B132CC">
              <w:rPr>
                <w:rFonts w:asciiTheme="minorHAnsi" w:hAnsiTheme="minorHAnsi" w:cstheme="minorBidi"/>
                <w:sz w:val="22"/>
                <w:szCs w:val="22"/>
              </w:rPr>
              <w:t xml:space="preserve">greement </w:t>
            </w:r>
            <w:r w:rsidR="00B132CC" w:rsidRPr="00B132CC">
              <w:rPr>
                <w:rFonts w:asciiTheme="minorHAnsi" w:hAnsiTheme="minorHAnsi" w:cstheme="minorBidi"/>
                <w:sz w:val="22"/>
                <w:szCs w:val="22"/>
              </w:rPr>
              <w:t>that statewide processes should be consistent across the state, but this should be done separately from the statewide downstream program requirement.</w:t>
            </w:r>
            <w:r w:rsidR="00B132CC">
              <w:rPr>
                <w:rFonts w:asciiTheme="minorHAnsi" w:hAnsiTheme="minorHAnsi" w:cstheme="minorBidi"/>
                <w:sz w:val="22"/>
                <w:szCs w:val="22"/>
              </w:rPr>
              <w:t xml:space="preserve"> </w:t>
            </w:r>
          </w:p>
          <w:p w14:paraId="3C7045ED" w14:textId="487FC130" w:rsidR="003C1EFA" w:rsidRPr="00B10F6A" w:rsidRDefault="00B132CC" w:rsidP="00DA78E2">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(D) </w:t>
            </w:r>
            <w:r w:rsidR="009E1EE4" w:rsidRPr="003C1EFA">
              <w:rPr>
                <w:rFonts w:asciiTheme="minorHAnsi" w:hAnsiTheme="minorHAnsi" w:cstheme="minorBidi"/>
                <w:sz w:val="22"/>
                <w:szCs w:val="22"/>
              </w:rPr>
              <w:t>Some of these things are happening already, not necessaril</w:t>
            </w:r>
            <w:r w:rsidR="009E1EE4">
              <w:rPr>
                <w:rFonts w:asciiTheme="minorHAnsi" w:hAnsiTheme="minorHAnsi" w:cstheme="minorBidi"/>
                <w:sz w:val="22"/>
                <w:szCs w:val="22"/>
              </w:rPr>
              <w:t xml:space="preserve">y in formal downstream programs </w:t>
            </w:r>
            <w:r w:rsidR="003C1EFA" w:rsidRPr="003C1EFA">
              <w:rPr>
                <w:rFonts w:asciiTheme="minorHAnsi" w:hAnsiTheme="minorHAnsi" w:cstheme="minorBidi"/>
                <w:sz w:val="22"/>
                <w:szCs w:val="22"/>
              </w:rPr>
              <w:t xml:space="preserve">For example, with respect to work papers and deemed values, there is CalTF to work through </w:t>
            </w:r>
            <w:r w:rsidR="009E1EE4">
              <w:rPr>
                <w:rFonts w:asciiTheme="minorHAnsi" w:hAnsiTheme="minorHAnsi" w:cstheme="minorBidi"/>
                <w:sz w:val="22"/>
                <w:szCs w:val="22"/>
              </w:rPr>
              <w:t>these issues</w:t>
            </w:r>
            <w:r w:rsidR="003C1EFA" w:rsidRPr="003C1EFA">
              <w:rPr>
                <w:rFonts w:asciiTheme="minorHAnsi" w:hAnsiTheme="minorHAnsi" w:cstheme="minorBidi"/>
                <w:sz w:val="22"/>
                <w:szCs w:val="22"/>
              </w:rPr>
              <w:t xml:space="preserve">. With respect to metered analysis, SDG&amp;E wants to work together for consistent methodology. </w:t>
            </w:r>
            <w:r w:rsidR="009E1EE4">
              <w:rPr>
                <w:rFonts w:asciiTheme="minorHAnsi" w:hAnsiTheme="minorHAnsi" w:cstheme="minorBidi"/>
                <w:sz w:val="22"/>
                <w:szCs w:val="22"/>
              </w:rPr>
              <w:t>With respect to the custom program t</w:t>
            </w:r>
            <w:r w:rsidR="00083DCC">
              <w:rPr>
                <w:rFonts w:asciiTheme="minorHAnsi" w:hAnsiTheme="minorHAnsi" w:cstheme="minorBidi"/>
                <w:sz w:val="22"/>
                <w:szCs w:val="22"/>
              </w:rPr>
              <w:t>he PAs created a</w:t>
            </w:r>
            <w:r w:rsidR="00083DCC" w:rsidRPr="00083DCC">
              <w:rPr>
                <w:rFonts w:asciiTheme="minorHAnsi" w:hAnsiTheme="minorHAnsi" w:cstheme="minorBidi"/>
                <w:sz w:val="22"/>
                <w:szCs w:val="22"/>
              </w:rPr>
              <w:t xml:space="preserve"> custom handbook to ensure uniformity across territories</w:t>
            </w:r>
            <w:r w:rsidR="009E1EE4">
              <w:rPr>
                <w:rFonts w:asciiTheme="minorHAnsi" w:hAnsiTheme="minorHAnsi" w:cstheme="minorBidi"/>
                <w:sz w:val="22"/>
                <w:szCs w:val="22"/>
              </w:rPr>
              <w:t xml:space="preserve"> and there is an ongoing working group addressing related issues</w:t>
            </w:r>
            <w:r w:rsidR="00083DCC">
              <w:rPr>
                <w:rFonts w:asciiTheme="minorHAnsi" w:hAnsiTheme="minorHAnsi" w:cstheme="minorBidi"/>
                <w:sz w:val="22"/>
                <w:szCs w:val="22"/>
              </w:rPr>
              <w:t>.</w:t>
            </w:r>
          </w:p>
          <w:p w14:paraId="4060D11A" w14:textId="3CF195D3" w:rsidR="009F635A" w:rsidRPr="009F635A" w:rsidRDefault="009F635A" w:rsidP="00DA78E2">
            <w:pPr>
              <w:spacing w:after="240"/>
            </w:pPr>
          </w:p>
          <w:p w14:paraId="44C6DD4E" w14:textId="77777777" w:rsidR="0068077E" w:rsidRDefault="0068077E" w:rsidP="00DA78E2">
            <w:pPr>
              <w:spacing w:after="240"/>
            </w:pPr>
          </w:p>
        </w:tc>
        <w:tc>
          <w:tcPr>
            <w:tcW w:w="2970" w:type="dxa"/>
          </w:tcPr>
          <w:p w14:paraId="4DEB3E51" w14:textId="6CD0B055" w:rsidR="005C5D72" w:rsidRDefault="001F0E87" w:rsidP="00DA78E2">
            <w:pPr>
              <w:spacing w:after="240"/>
            </w:pPr>
            <w:r>
              <w:t xml:space="preserve">(A) </w:t>
            </w:r>
            <w:r w:rsidR="00E345B3">
              <w:t>Maintain current approach to downstream statewide pilot programs and c</w:t>
            </w:r>
            <w:r w:rsidR="00B132CC">
              <w:t>ontinue working on statewide consistency through current approaches and explore additional items that would benefit from consistency.</w:t>
            </w:r>
          </w:p>
          <w:p w14:paraId="1B0D8AF5" w14:textId="49710B6F" w:rsidR="009F635A" w:rsidRDefault="009F635A" w:rsidP="004D033D">
            <w:pPr>
              <w:spacing w:after="240"/>
            </w:pPr>
          </w:p>
          <w:p w14:paraId="54C29552" w14:textId="77777777" w:rsidR="0068077E" w:rsidRPr="00F5240D" w:rsidRDefault="0068077E" w:rsidP="00DA78E2">
            <w:pPr>
              <w:spacing w:after="240"/>
              <w:jc w:val="center"/>
            </w:pPr>
            <w:r w:rsidRPr="00F5240D">
              <w:rPr>
                <w:b/>
              </w:rPr>
              <w:t>Organizations in support of Alternative</w:t>
            </w:r>
            <w:r>
              <w:rPr>
                <w:b/>
              </w:rPr>
              <w:t xml:space="preserve"> Approach:</w:t>
            </w:r>
          </w:p>
          <w:p w14:paraId="47E75A35" w14:textId="77777777" w:rsidR="0068077E" w:rsidRDefault="0068077E" w:rsidP="00DA78E2">
            <w:pPr>
              <w:pStyle w:val="ListParagraph"/>
              <w:numPr>
                <w:ilvl w:val="0"/>
                <w:numId w:val="18"/>
              </w:numPr>
              <w:spacing w:after="240"/>
              <w:contextualSpacing w:val="0"/>
            </w:pPr>
          </w:p>
        </w:tc>
        <w:tc>
          <w:tcPr>
            <w:tcW w:w="3240" w:type="dxa"/>
          </w:tcPr>
          <w:p w14:paraId="117C80EB" w14:textId="77777777" w:rsidR="0068077E" w:rsidRDefault="0068077E" w:rsidP="00DA78E2">
            <w:pPr>
              <w:spacing w:after="240"/>
            </w:pPr>
          </w:p>
        </w:tc>
      </w:tr>
    </w:tbl>
    <w:p w14:paraId="3DDC9524" w14:textId="77777777" w:rsidR="007F6B44" w:rsidRDefault="007F6B44"/>
    <w:p w14:paraId="52526769" w14:textId="77777777" w:rsidR="007F6B44" w:rsidRDefault="007F6B44">
      <w:r>
        <w:br w:type="page"/>
      </w:r>
    </w:p>
    <w:tbl>
      <w:tblPr>
        <w:tblStyle w:val="TableGrid"/>
        <w:tblW w:w="18270" w:type="dxa"/>
        <w:tblInd w:w="-702" w:type="dxa"/>
        <w:tblLook w:val="04A0" w:firstRow="1" w:lastRow="0" w:firstColumn="1" w:lastColumn="0" w:noHBand="0" w:noVBand="1"/>
      </w:tblPr>
      <w:tblGrid>
        <w:gridCol w:w="344"/>
        <w:gridCol w:w="2153"/>
        <w:gridCol w:w="2543"/>
        <w:gridCol w:w="2880"/>
        <w:gridCol w:w="4140"/>
        <w:gridCol w:w="2970"/>
        <w:gridCol w:w="3240"/>
      </w:tblGrid>
      <w:tr w:rsidR="00FD5EB5" w14:paraId="6DB4F470" w14:textId="77777777" w:rsidTr="00F2487B">
        <w:trPr>
          <w:trHeight w:val="4699"/>
        </w:trPr>
        <w:tc>
          <w:tcPr>
            <w:tcW w:w="344" w:type="dxa"/>
          </w:tcPr>
          <w:p w14:paraId="3E55FF1C" w14:textId="77777777" w:rsidR="007F6B44" w:rsidRPr="009E3ACB" w:rsidRDefault="007F6B44" w:rsidP="00520B82">
            <w:pPr>
              <w:spacing w:after="240"/>
            </w:pPr>
            <w:r>
              <w:t>8</w:t>
            </w:r>
          </w:p>
        </w:tc>
        <w:tc>
          <w:tcPr>
            <w:tcW w:w="2153" w:type="dxa"/>
          </w:tcPr>
          <w:p w14:paraId="0428B875" w14:textId="77777777" w:rsidR="007F6B44" w:rsidRDefault="007F6B44" w:rsidP="00520B82">
            <w:pPr>
              <w:spacing w:after="240"/>
              <w:rPr>
                <w:i/>
              </w:rPr>
            </w:pPr>
            <w:r>
              <w:rPr>
                <w:i/>
              </w:rPr>
              <w:t xml:space="preserve">Oversight </w:t>
            </w:r>
            <w:r w:rsidR="001E5DDD">
              <w:rPr>
                <w:i/>
              </w:rPr>
              <w:t>of implementation</w:t>
            </w:r>
            <w:r w:rsidR="00175DA6">
              <w:rPr>
                <w:i/>
              </w:rPr>
              <w:t xml:space="preserve"> (after BPs are filed)</w:t>
            </w:r>
          </w:p>
          <w:p w14:paraId="0BE04B75" w14:textId="77777777" w:rsidR="007F6B44" w:rsidRDefault="007F6B44" w:rsidP="00520B82">
            <w:pPr>
              <w:rPr>
                <w:i/>
              </w:rPr>
            </w:pPr>
            <w:r>
              <w:rPr>
                <w:i/>
              </w:rPr>
              <w:t>Raised by:</w:t>
            </w:r>
          </w:p>
          <w:p w14:paraId="36BB7835" w14:textId="77777777" w:rsidR="007F6B44" w:rsidRDefault="007F6B44" w:rsidP="00520B82">
            <w:pPr>
              <w:spacing w:after="240"/>
              <w:rPr>
                <w:i/>
              </w:rPr>
            </w:pPr>
            <w:r>
              <w:rPr>
                <w:i/>
              </w:rPr>
              <w:t>ORA</w:t>
            </w:r>
            <w:r w:rsidR="003C1BBA">
              <w:rPr>
                <w:i/>
              </w:rPr>
              <w:t xml:space="preserve"> and CEE</w:t>
            </w:r>
          </w:p>
          <w:p w14:paraId="70EB1CFE" w14:textId="77777777" w:rsidR="007F6B44" w:rsidRDefault="007F6B44" w:rsidP="00520B82">
            <w:pPr>
              <w:spacing w:after="240"/>
            </w:pPr>
            <w:r>
              <w:t>See</w:t>
            </w:r>
            <w:r w:rsidR="0015558C">
              <w:t xml:space="preserve"> 9/8 notes </w:t>
            </w:r>
            <w:hyperlink r:id="rId26" w:history="1">
              <w:r w:rsidR="0015558C" w:rsidRPr="0015558C">
                <w:rPr>
                  <w:rStyle w:val="Hyperlink"/>
                </w:rPr>
                <w:t>here</w:t>
              </w:r>
            </w:hyperlink>
            <w:r w:rsidR="0015558C">
              <w:t>, 9/21</w:t>
            </w:r>
            <w:r>
              <w:t xml:space="preserve"> notes </w:t>
            </w:r>
            <w:hyperlink r:id="rId27" w:history="1">
              <w:r w:rsidRPr="0084210E">
                <w:rPr>
                  <w:rStyle w:val="Hyperlink"/>
                </w:rPr>
                <w:t>here</w:t>
              </w:r>
            </w:hyperlink>
            <w:r w:rsidR="0015558C">
              <w:t xml:space="preserve">, and 10/19 notes </w:t>
            </w:r>
            <w:hyperlink r:id="rId28" w:history="1">
              <w:r w:rsidR="0015558C" w:rsidRPr="0015558C">
                <w:rPr>
                  <w:rStyle w:val="Hyperlink"/>
                </w:rPr>
                <w:t>here</w:t>
              </w:r>
            </w:hyperlink>
            <w:r w:rsidR="0015558C">
              <w:t>.</w:t>
            </w:r>
            <w:r w:rsidR="008117CB">
              <w:t xml:space="preserve"> Also see ORA document for presentation at 10/19 </w:t>
            </w:r>
            <w:hyperlink r:id="rId29" w:history="1">
              <w:r w:rsidR="008117CB" w:rsidRPr="008117CB">
                <w:rPr>
                  <w:rStyle w:val="Hyperlink"/>
                </w:rPr>
                <w:t>here</w:t>
              </w:r>
            </w:hyperlink>
            <w:r w:rsidR="008117CB">
              <w:t xml:space="preserve">. </w:t>
            </w:r>
          </w:p>
          <w:p w14:paraId="2D7F920A" w14:textId="6B23CCBF" w:rsidR="007F6B44" w:rsidRDefault="007F6B44" w:rsidP="00520B82">
            <w:pPr>
              <w:spacing w:after="240"/>
            </w:pPr>
            <w:r w:rsidRPr="00A04371">
              <w:rPr>
                <w:highlight w:val="yellow"/>
              </w:rPr>
              <w:t xml:space="preserve">This item was discussed </w:t>
            </w:r>
            <w:r w:rsidR="0015558C">
              <w:rPr>
                <w:highlight w:val="yellow"/>
              </w:rPr>
              <w:t>at the 9/</w:t>
            </w:r>
            <w:r w:rsidR="004950E1">
              <w:rPr>
                <w:highlight w:val="yellow"/>
              </w:rPr>
              <w:t>8,</w:t>
            </w:r>
            <w:r w:rsidR="0015558C">
              <w:rPr>
                <w:highlight w:val="yellow"/>
              </w:rPr>
              <w:t xml:space="preserve"> </w:t>
            </w:r>
            <w:r w:rsidR="0015558C" w:rsidRPr="0015558C">
              <w:rPr>
                <w:highlight w:val="yellow"/>
              </w:rPr>
              <w:t xml:space="preserve">9/21 </w:t>
            </w:r>
            <w:r w:rsidR="0015558C">
              <w:rPr>
                <w:highlight w:val="yellow"/>
              </w:rPr>
              <w:t xml:space="preserve">and </w:t>
            </w:r>
            <w:r w:rsidR="00867219">
              <w:rPr>
                <w:highlight w:val="yellow"/>
              </w:rPr>
              <w:t>10/19 meeting.</w:t>
            </w:r>
          </w:p>
          <w:p w14:paraId="64BB9EEE" w14:textId="77777777" w:rsidR="00824A78" w:rsidRPr="00F5240D" w:rsidRDefault="00824A78" w:rsidP="00520B82">
            <w:pPr>
              <w:spacing w:after="240"/>
              <w:jc w:val="center"/>
            </w:pPr>
            <w:r w:rsidRPr="00F5240D">
              <w:rPr>
                <w:b/>
              </w:rPr>
              <w:t xml:space="preserve">Organizations in support of </w:t>
            </w:r>
            <w:r>
              <w:rPr>
                <w:b/>
              </w:rPr>
              <w:t>Proposal:</w:t>
            </w:r>
          </w:p>
          <w:p w14:paraId="0CCD0B0C" w14:textId="77777777" w:rsidR="00824A78" w:rsidRPr="00094A17" w:rsidRDefault="00824A78" w:rsidP="00520B82">
            <w:pPr>
              <w:pStyle w:val="ListParagraph"/>
              <w:numPr>
                <w:ilvl w:val="0"/>
                <w:numId w:val="34"/>
              </w:numPr>
              <w:spacing w:after="240"/>
              <w:contextualSpacing w:val="0"/>
            </w:pPr>
          </w:p>
        </w:tc>
        <w:tc>
          <w:tcPr>
            <w:tcW w:w="2543" w:type="dxa"/>
            <w:shd w:val="clear" w:color="auto" w:fill="BFBFBF" w:themeFill="background1" w:themeFillShade="BF"/>
          </w:tcPr>
          <w:p w14:paraId="3A591E8D" w14:textId="3228A0F1" w:rsidR="00FD5EB5" w:rsidRPr="00FD5EB5" w:rsidRDefault="00C2414A" w:rsidP="00520B82">
            <w:pPr>
              <w:spacing w:after="240"/>
            </w:pPr>
            <w:r>
              <w:t>(A</w:t>
            </w:r>
            <w:r w:rsidR="00E32438">
              <w:t xml:space="preserve">) </w:t>
            </w:r>
            <w:r w:rsidR="00D43FF9" w:rsidRPr="00C2414A">
              <w:rPr>
                <w:rFonts w:cs="Times New Roman"/>
              </w:rPr>
              <w:t>Implementation of Business Plans</w:t>
            </w:r>
            <w:r>
              <w:rPr>
                <w:rFonts w:cs="Times New Roman"/>
              </w:rPr>
              <w:t xml:space="preserve">: </w:t>
            </w:r>
            <w:r w:rsidR="00FD5EB5" w:rsidRPr="00FD5EB5">
              <w:t xml:space="preserve">Meaningful oversight of procurement process – </w:t>
            </w:r>
            <w:r w:rsidR="00E32438">
              <w:t xml:space="preserve">independent </w:t>
            </w:r>
            <w:r w:rsidR="007D64B5">
              <w:t xml:space="preserve">from the </w:t>
            </w:r>
            <w:r w:rsidR="00FD5EB5" w:rsidRPr="00FD5EB5">
              <w:t>CAEECC</w:t>
            </w:r>
            <w:r w:rsidR="00E32438">
              <w:t xml:space="preserve"> using an EE-PRG and Independent Evaluator and submitting contracts to CPUC for approval.</w:t>
            </w:r>
          </w:p>
          <w:p w14:paraId="1AA17D57" w14:textId="5E902995" w:rsidR="007D64B5" w:rsidRDefault="00C2414A" w:rsidP="00520B82">
            <w:pPr>
              <w:spacing w:after="240"/>
            </w:pPr>
            <w:r>
              <w:t>(B</w:t>
            </w:r>
            <w:r w:rsidR="007D64B5">
              <w:t>)</w:t>
            </w:r>
            <w:r w:rsidR="007D64B5" w:rsidRPr="00C2414A">
              <w:t xml:space="preserve"> </w:t>
            </w:r>
            <w:r w:rsidR="00D43FF9" w:rsidRPr="00C2414A">
              <w:rPr>
                <w:rFonts w:cs="Times New Roman"/>
              </w:rPr>
              <w:t>Implementation Plan Review Process</w:t>
            </w:r>
            <w:r>
              <w:rPr>
                <w:rFonts w:cs="Times New Roman"/>
              </w:rPr>
              <w:t>:</w:t>
            </w:r>
            <w:r w:rsidR="003E6F15">
              <w:rPr>
                <w:rFonts w:cs="Times New Roman"/>
              </w:rPr>
              <w:t xml:space="preserve"> Re</w:t>
            </w:r>
            <w:r w:rsidR="007D64B5" w:rsidRPr="00FC0FAE">
              <w:rPr>
                <w:rFonts w:cs="Times New Roman"/>
              </w:rPr>
              <w:t>gular status updates at CAEECC of PA activities using Business Plans as review point</w:t>
            </w:r>
            <w:r w:rsidR="007D64B5">
              <w:rPr>
                <w:rFonts w:cs="Times New Roman"/>
              </w:rPr>
              <w:t xml:space="preserve">, as described in D.15-10-028. </w:t>
            </w:r>
          </w:p>
          <w:p w14:paraId="405237FD" w14:textId="77777777" w:rsidR="00A202F0" w:rsidRDefault="00A202F0" w:rsidP="00520B82">
            <w:pPr>
              <w:spacing w:after="240"/>
            </w:pPr>
          </w:p>
          <w:p w14:paraId="2D3AC665" w14:textId="77777777" w:rsidR="007F6B44" w:rsidRDefault="007F6B44" w:rsidP="00520B82">
            <w:pPr>
              <w:spacing w:after="240"/>
            </w:pPr>
          </w:p>
          <w:p w14:paraId="42D9D03B" w14:textId="77777777" w:rsidR="007F6B44" w:rsidRDefault="007F6B44" w:rsidP="00520B82">
            <w:pPr>
              <w:spacing w:after="240"/>
              <w:jc w:val="center"/>
            </w:pPr>
          </w:p>
        </w:tc>
        <w:tc>
          <w:tcPr>
            <w:tcW w:w="2880" w:type="dxa"/>
            <w:shd w:val="clear" w:color="auto" w:fill="BFBFBF" w:themeFill="background1" w:themeFillShade="BF"/>
          </w:tcPr>
          <w:p w14:paraId="39164279" w14:textId="0EB75178" w:rsidR="007F6B44" w:rsidRDefault="00E32438" w:rsidP="00520B82">
            <w:pPr>
              <w:spacing w:after="240"/>
            </w:pPr>
            <w:r>
              <w:t>(</w:t>
            </w:r>
            <w:r w:rsidR="003E6F15">
              <w:t>A</w:t>
            </w:r>
            <w:r>
              <w:t xml:space="preserve">) </w:t>
            </w:r>
            <w:r w:rsidRPr="00FD5EB5">
              <w:t>Stakeholder process should reduce party protests, or at least expedite the protest period (no need for extensive data requests).</w:t>
            </w:r>
            <w:r>
              <w:t xml:space="preserve"> </w:t>
            </w:r>
            <w:r w:rsidRPr="00FD5EB5">
              <w:t>CPUC approval reduces PA and implementer community uncertainty about contracts.</w:t>
            </w:r>
          </w:p>
          <w:p w14:paraId="38DDF950" w14:textId="435C4D7A" w:rsidR="007D64B5" w:rsidRDefault="003E6F15" w:rsidP="00520B82">
            <w:pPr>
              <w:spacing w:after="240"/>
            </w:pPr>
            <w:r>
              <w:t>(B</w:t>
            </w:r>
            <w:r w:rsidR="007D64B5">
              <w:t>) Oversight to ensure implementation is in line with Commission direction and the Business Plans</w:t>
            </w:r>
          </w:p>
        </w:tc>
        <w:tc>
          <w:tcPr>
            <w:tcW w:w="4140" w:type="dxa"/>
          </w:tcPr>
          <w:p w14:paraId="36B24AB4" w14:textId="131CC657" w:rsidR="00D064D1" w:rsidRDefault="00D064D1" w:rsidP="00520B82">
            <w:pPr>
              <w:spacing w:after="240"/>
            </w:pPr>
            <w:r>
              <w:t>(</w:t>
            </w:r>
            <w:r w:rsidR="00BF3E8D">
              <w:t>A</w:t>
            </w:r>
            <w:r>
              <w:t xml:space="preserve">) CAEECC </w:t>
            </w:r>
            <w:commentRangeStart w:id="5"/>
            <w:r>
              <w:t xml:space="preserve">developed </w:t>
            </w:r>
            <w:commentRangeEnd w:id="5"/>
            <w:r>
              <w:rPr>
                <w:rStyle w:val="CommentReference"/>
              </w:rPr>
              <w:commentReference w:id="5"/>
            </w:r>
            <w:r>
              <w:t xml:space="preserve">a proposal for a revamped Energy Efficiency Procurement Review Group with Independent Evaluator. This proposal </w:t>
            </w:r>
            <w:r w:rsidR="003B12C9">
              <w:t xml:space="preserve">was vetted at the 12/7 CAEECC meeting and </w:t>
            </w:r>
            <w:r>
              <w:t xml:space="preserve">includes options </w:t>
            </w:r>
            <w:r w:rsidR="00797E1A">
              <w:t xml:space="preserve">for those items </w:t>
            </w:r>
            <w:r>
              <w:t>where consensus was not met</w:t>
            </w:r>
            <w:r w:rsidR="00797E1A">
              <w:t xml:space="preserve">. </w:t>
            </w:r>
            <w:r>
              <w:t>This proposal is filed</w:t>
            </w:r>
            <w:r w:rsidR="00AC646A">
              <w:t xml:space="preserve"> </w:t>
            </w:r>
            <w:r w:rsidR="00806D02">
              <w:t>as Appendix 1 to this Comparison Document.</w:t>
            </w:r>
          </w:p>
          <w:p w14:paraId="160E1940" w14:textId="716A3B89" w:rsidR="00FD5EB5" w:rsidRDefault="00BF3E8D" w:rsidP="00520B82">
            <w:pPr>
              <w:spacing w:after="240"/>
            </w:pPr>
            <w:r>
              <w:t>(B</w:t>
            </w:r>
            <w:r w:rsidR="007D64B5">
              <w:t xml:space="preserve">) </w:t>
            </w:r>
            <w:r w:rsidR="00FD5EB5">
              <w:t xml:space="preserve">CAEECC is developing a process that </w:t>
            </w:r>
            <w:r w:rsidR="007D64B5">
              <w:t>addresses these and other oversight components. Such an approach will continue to be vetted in the new year</w:t>
            </w:r>
            <w:r w:rsidR="00797E1A">
              <w:t xml:space="preserve"> and </w:t>
            </w:r>
            <w:r w:rsidR="00CE5F5D">
              <w:t xml:space="preserve">will require CAEECC member </w:t>
            </w:r>
            <w:r w:rsidR="00F54CEF">
              <w:t xml:space="preserve">support </w:t>
            </w:r>
            <w:r w:rsidR="0057760D">
              <w:t>and/</w:t>
            </w:r>
            <w:r w:rsidR="00CE5F5D">
              <w:t xml:space="preserve">or Energy Division guidance. </w:t>
            </w:r>
          </w:p>
          <w:p w14:paraId="35EB6F89" w14:textId="77777777" w:rsidR="007F6B44" w:rsidRDefault="007F6B44" w:rsidP="00520B82">
            <w:pPr>
              <w:spacing w:after="240"/>
            </w:pPr>
          </w:p>
          <w:p w14:paraId="2422B8F5" w14:textId="77777777" w:rsidR="007F6B44" w:rsidRDefault="007F6B44" w:rsidP="00520B82">
            <w:pPr>
              <w:spacing w:after="240"/>
            </w:pPr>
          </w:p>
        </w:tc>
        <w:tc>
          <w:tcPr>
            <w:tcW w:w="2970" w:type="dxa"/>
          </w:tcPr>
          <w:p w14:paraId="631E4ED7" w14:textId="66ED1F89" w:rsidR="007F6B44" w:rsidRDefault="00A241C7" w:rsidP="00520B82">
            <w:pPr>
              <w:spacing w:after="240"/>
            </w:pPr>
            <w:r>
              <w:t>No alternatives at this time as both of these suggestions are currently in process.</w:t>
            </w:r>
          </w:p>
          <w:p w14:paraId="13D2CE69" w14:textId="77777777" w:rsidR="007F6B44" w:rsidRPr="00F5240D" w:rsidRDefault="007F6B44" w:rsidP="00520B82">
            <w:pPr>
              <w:spacing w:after="240"/>
              <w:jc w:val="center"/>
            </w:pPr>
            <w:r w:rsidRPr="00F5240D">
              <w:rPr>
                <w:b/>
              </w:rPr>
              <w:t>Organizations in support of Alternative</w:t>
            </w:r>
            <w:r>
              <w:rPr>
                <w:b/>
              </w:rPr>
              <w:t xml:space="preserve"> Approach:</w:t>
            </w:r>
          </w:p>
          <w:p w14:paraId="19455176" w14:textId="34FC6AF4" w:rsidR="007F6B44" w:rsidRDefault="00520B82" w:rsidP="00520B82">
            <w:pPr>
              <w:pStyle w:val="ListParagraph"/>
              <w:numPr>
                <w:ilvl w:val="0"/>
                <w:numId w:val="20"/>
              </w:numPr>
              <w:spacing w:after="240"/>
              <w:contextualSpacing w:val="0"/>
            </w:pPr>
            <w:r>
              <w:t>n/a</w:t>
            </w:r>
          </w:p>
        </w:tc>
        <w:tc>
          <w:tcPr>
            <w:tcW w:w="3240" w:type="dxa"/>
          </w:tcPr>
          <w:p w14:paraId="1352E201" w14:textId="77777777" w:rsidR="007F6B44" w:rsidRDefault="007F6B44" w:rsidP="00520B82">
            <w:pPr>
              <w:spacing w:after="240"/>
            </w:pPr>
          </w:p>
        </w:tc>
      </w:tr>
    </w:tbl>
    <w:p w14:paraId="52124FBE" w14:textId="77777777" w:rsidR="00607D80" w:rsidRDefault="00607D80"/>
    <w:p w14:paraId="652418F1" w14:textId="4223E188" w:rsidR="00820E82" w:rsidRDefault="00607D80">
      <w:r>
        <w:br w:type="page"/>
      </w:r>
    </w:p>
    <w:tbl>
      <w:tblPr>
        <w:tblStyle w:val="TableGrid"/>
        <w:tblW w:w="18270" w:type="dxa"/>
        <w:tblInd w:w="-702" w:type="dxa"/>
        <w:tblLook w:val="04A0" w:firstRow="1" w:lastRow="0" w:firstColumn="1" w:lastColumn="0" w:noHBand="0" w:noVBand="1"/>
      </w:tblPr>
      <w:tblGrid>
        <w:gridCol w:w="343"/>
        <w:gridCol w:w="2162"/>
        <w:gridCol w:w="2543"/>
        <w:gridCol w:w="2879"/>
        <w:gridCol w:w="4137"/>
        <w:gridCol w:w="2969"/>
        <w:gridCol w:w="3237"/>
      </w:tblGrid>
      <w:tr w:rsidR="004301B9" w14:paraId="0A329050" w14:textId="77777777" w:rsidTr="00CE126E">
        <w:trPr>
          <w:trHeight w:val="4699"/>
        </w:trPr>
        <w:tc>
          <w:tcPr>
            <w:tcW w:w="344" w:type="dxa"/>
          </w:tcPr>
          <w:p w14:paraId="34DDC98A" w14:textId="15339E90" w:rsidR="00820E82" w:rsidRPr="009E3ACB" w:rsidRDefault="00BF3E8D" w:rsidP="00520B82">
            <w:pPr>
              <w:spacing w:after="240"/>
            </w:pPr>
            <w:r>
              <w:t>9</w:t>
            </w:r>
          </w:p>
        </w:tc>
        <w:tc>
          <w:tcPr>
            <w:tcW w:w="2153" w:type="dxa"/>
          </w:tcPr>
          <w:p w14:paraId="3B8993DE" w14:textId="77777777" w:rsidR="00820E82" w:rsidRDefault="00820E82" w:rsidP="00520B82">
            <w:pPr>
              <w:spacing w:after="240"/>
              <w:rPr>
                <w:i/>
              </w:rPr>
            </w:pPr>
            <w:r>
              <w:rPr>
                <w:i/>
              </w:rPr>
              <w:t>Statewide Administration</w:t>
            </w:r>
            <w:r w:rsidR="0006452B">
              <w:rPr>
                <w:i/>
              </w:rPr>
              <w:t>- Upstream/Midstream bundling</w:t>
            </w:r>
          </w:p>
          <w:p w14:paraId="4DFD1F51" w14:textId="77777777" w:rsidR="00820E82" w:rsidRDefault="00820E82" w:rsidP="00520B82">
            <w:pPr>
              <w:rPr>
                <w:i/>
              </w:rPr>
            </w:pPr>
            <w:r>
              <w:rPr>
                <w:i/>
              </w:rPr>
              <w:t>Raised by:</w:t>
            </w:r>
          </w:p>
          <w:p w14:paraId="02A7571F" w14:textId="77777777" w:rsidR="00820E82" w:rsidRDefault="0006452B" w:rsidP="00520B82">
            <w:pPr>
              <w:spacing w:after="240"/>
              <w:rPr>
                <w:i/>
              </w:rPr>
            </w:pPr>
            <w:r>
              <w:rPr>
                <w:i/>
              </w:rPr>
              <w:t>ORA &amp; NRDC</w:t>
            </w:r>
          </w:p>
          <w:p w14:paraId="239E41C7" w14:textId="77777777" w:rsidR="00820E82" w:rsidRDefault="006D1D3A" w:rsidP="00520B82">
            <w:pPr>
              <w:spacing w:after="240"/>
            </w:pPr>
            <w:r w:rsidRPr="00CB40E8">
              <w:t>See CC Meeting #9</w:t>
            </w:r>
            <w:r w:rsidR="00CB40E8" w:rsidRPr="00CB40E8">
              <w:t xml:space="preserve"> notes </w:t>
            </w:r>
            <w:hyperlink r:id="rId30" w:history="1">
              <w:r w:rsidR="00CB40E8" w:rsidRPr="00CB40E8">
                <w:rPr>
                  <w:rStyle w:val="Hyperlink"/>
                </w:rPr>
                <w:t>here</w:t>
              </w:r>
            </w:hyperlink>
            <w:r w:rsidRPr="00CB40E8">
              <w:t xml:space="preserve"> and #10 </w:t>
            </w:r>
            <w:r w:rsidR="00CB40E8" w:rsidRPr="00CB40E8">
              <w:t xml:space="preserve">notes </w:t>
            </w:r>
            <w:hyperlink r:id="rId31" w:history="1">
              <w:r w:rsidR="00CB40E8" w:rsidRPr="00CB40E8">
                <w:rPr>
                  <w:rStyle w:val="Hyperlink"/>
                </w:rPr>
                <w:t>here</w:t>
              </w:r>
            </w:hyperlink>
            <w:r w:rsidRPr="00CB40E8">
              <w:t xml:space="preserve"> for discussion</w:t>
            </w:r>
            <w:r w:rsidR="001A3F2D">
              <w:t xml:space="preserve">. See </w:t>
            </w:r>
            <w:r w:rsidR="007843E6">
              <w:t xml:space="preserve">the statewide administration page </w:t>
            </w:r>
            <w:hyperlink r:id="rId32" w:history="1">
              <w:r w:rsidR="001A3F2D" w:rsidRPr="001A3F2D">
                <w:rPr>
                  <w:rStyle w:val="Hyperlink"/>
                </w:rPr>
                <w:t>here</w:t>
              </w:r>
            </w:hyperlink>
            <w:r w:rsidR="001A3F2D">
              <w:t xml:space="preserve"> for ORA and NRDC comments.</w:t>
            </w:r>
            <w:r>
              <w:t xml:space="preserve"> </w:t>
            </w:r>
          </w:p>
          <w:p w14:paraId="17E316DC" w14:textId="77777777" w:rsidR="00820E82" w:rsidRDefault="00820E82" w:rsidP="00520B82">
            <w:pPr>
              <w:spacing w:after="240"/>
            </w:pPr>
            <w:r w:rsidRPr="00A04371">
              <w:rPr>
                <w:highlight w:val="yellow"/>
              </w:rPr>
              <w:t>This item was discussed on DATE, DATE, DATE, and DATE.</w:t>
            </w:r>
          </w:p>
          <w:p w14:paraId="246793CF" w14:textId="77777777" w:rsidR="00D175F6" w:rsidRPr="00F5240D" w:rsidRDefault="00D175F6" w:rsidP="00520B82">
            <w:pPr>
              <w:spacing w:after="240"/>
              <w:jc w:val="center"/>
            </w:pPr>
            <w:r w:rsidRPr="00F5240D">
              <w:rPr>
                <w:b/>
              </w:rPr>
              <w:t xml:space="preserve">Organizations in support of </w:t>
            </w:r>
            <w:r>
              <w:rPr>
                <w:b/>
              </w:rPr>
              <w:t>Proposal:</w:t>
            </w:r>
          </w:p>
          <w:p w14:paraId="349E224C" w14:textId="77777777" w:rsidR="00D175F6" w:rsidRPr="00094A17" w:rsidRDefault="00D175F6" w:rsidP="00520B82">
            <w:pPr>
              <w:pStyle w:val="ListParagraph"/>
              <w:numPr>
                <w:ilvl w:val="0"/>
                <w:numId w:val="36"/>
              </w:numPr>
              <w:spacing w:after="240"/>
              <w:contextualSpacing w:val="0"/>
            </w:pPr>
          </w:p>
        </w:tc>
        <w:tc>
          <w:tcPr>
            <w:tcW w:w="2543" w:type="dxa"/>
            <w:shd w:val="clear" w:color="auto" w:fill="BFBFBF" w:themeFill="background1" w:themeFillShade="BF"/>
          </w:tcPr>
          <w:p w14:paraId="7A119EE0" w14:textId="5CC24D2A" w:rsidR="00820E82" w:rsidRDefault="00BF3E8D" w:rsidP="00520B82">
            <w:pPr>
              <w:spacing w:after="240"/>
            </w:pPr>
            <w:r>
              <w:t xml:space="preserve">(A) </w:t>
            </w:r>
            <w:r w:rsidR="000B40C2">
              <w:t>Given that there is a similar formula for upstream/midstream end-use market transformation initiatives</w:t>
            </w:r>
            <w:r w:rsidR="00492867">
              <w:t xml:space="preserve"> (even if there are </w:t>
            </w:r>
            <w:r w:rsidR="000B40C2">
              <w:t>different players), the SW HVAC, PLA, and Lighting programs should be administered by one entity.</w:t>
            </w:r>
          </w:p>
        </w:tc>
        <w:tc>
          <w:tcPr>
            <w:tcW w:w="2880" w:type="dxa"/>
            <w:shd w:val="clear" w:color="auto" w:fill="BFBFBF" w:themeFill="background1" w:themeFillShade="BF"/>
          </w:tcPr>
          <w:p w14:paraId="1108F914" w14:textId="30893F9B" w:rsidR="00820E82" w:rsidRDefault="00BF3E8D" w:rsidP="00520B82">
            <w:pPr>
              <w:spacing w:after="240"/>
            </w:pPr>
            <w:r>
              <w:t xml:space="preserve">(A) </w:t>
            </w:r>
            <w:r w:rsidR="000B40C2">
              <w:t>Having one administrator would ensure a consistent market transformation approach as appropriate and would reduce the potential for duplicative efforts to develop and create such a MT plan for each end use.</w:t>
            </w:r>
          </w:p>
          <w:p w14:paraId="0D9659C4" w14:textId="2E048DE0" w:rsidR="001A1452" w:rsidRDefault="00BF3E8D" w:rsidP="00520B82">
            <w:pPr>
              <w:spacing w:after="240"/>
            </w:pPr>
            <w:r>
              <w:t xml:space="preserve">(B) </w:t>
            </w:r>
            <w:r w:rsidR="001A1452" w:rsidRPr="001A1452">
              <w:t>“[I]f the CAEECC process cannot reach consensus [on the lead administrator roles for specific statewide programs], the business plans should identify the options considered and bring the proposals forward to the Commission to resolve.” D.16-08-019</w:t>
            </w:r>
            <w:r w:rsidR="001A1452">
              <w:t xml:space="preserve"> (p</w:t>
            </w:r>
            <w:r w:rsidR="001A1452" w:rsidRPr="001A1452">
              <w:rPr>
                <w:highlight w:val="yellow"/>
              </w:rPr>
              <w:t>.#</w:t>
            </w:r>
            <w:r w:rsidR="001A1452">
              <w:t>)</w:t>
            </w:r>
          </w:p>
          <w:p w14:paraId="5BFE5F6F" w14:textId="77777777" w:rsidR="00820E82" w:rsidRDefault="00820E82" w:rsidP="00520B82">
            <w:pPr>
              <w:spacing w:after="240"/>
            </w:pPr>
          </w:p>
        </w:tc>
        <w:tc>
          <w:tcPr>
            <w:tcW w:w="4140" w:type="dxa"/>
          </w:tcPr>
          <w:p w14:paraId="48A01E1C" w14:textId="2E5CC43A" w:rsidR="004301B9" w:rsidRDefault="00BF3E8D" w:rsidP="00520B82">
            <w:pPr>
              <w:spacing w:after="240"/>
            </w:pPr>
            <w:r>
              <w:t xml:space="preserve">(A) </w:t>
            </w:r>
            <w:r w:rsidR="004301B9">
              <w:t>T</w:t>
            </w:r>
            <w:r w:rsidR="00520B82">
              <w:t xml:space="preserve">he end uses are quite different </w:t>
            </w:r>
            <w:r w:rsidR="004301B9">
              <w:t>with different interventions</w:t>
            </w:r>
            <w:r w:rsidR="0097750F">
              <w:t xml:space="preserve"> therefore it doesn’t make sense to put </w:t>
            </w:r>
            <w:r w:rsidR="0057760D">
              <w:t xml:space="preserve">them </w:t>
            </w:r>
            <w:r w:rsidR="0097750F">
              <w:t>all together</w:t>
            </w:r>
            <w:r w:rsidR="004301B9">
              <w:t>.</w:t>
            </w:r>
          </w:p>
          <w:p w14:paraId="0B003A4B" w14:textId="77777777" w:rsidR="0097750F" w:rsidRDefault="0097750F" w:rsidP="00520B82">
            <w:pPr>
              <w:spacing w:after="240"/>
            </w:pPr>
          </w:p>
          <w:p w14:paraId="682E64B4" w14:textId="1AB360ED" w:rsidR="0097750F" w:rsidRDefault="0097750F" w:rsidP="00520B82">
            <w:pPr>
              <w:spacing w:after="240"/>
            </w:pPr>
          </w:p>
          <w:p w14:paraId="41AFEA85" w14:textId="77777777" w:rsidR="00820E82" w:rsidRDefault="00820E82" w:rsidP="00520B82">
            <w:pPr>
              <w:spacing w:after="240"/>
            </w:pPr>
          </w:p>
          <w:p w14:paraId="14C4BBB2" w14:textId="77777777" w:rsidR="00820E82" w:rsidRDefault="00820E82" w:rsidP="00520B82">
            <w:pPr>
              <w:spacing w:after="240"/>
            </w:pPr>
          </w:p>
          <w:p w14:paraId="5A616B29" w14:textId="77777777" w:rsidR="00820E82" w:rsidRDefault="00820E82" w:rsidP="00520B82">
            <w:pPr>
              <w:spacing w:after="240"/>
            </w:pPr>
          </w:p>
        </w:tc>
        <w:tc>
          <w:tcPr>
            <w:tcW w:w="2970" w:type="dxa"/>
          </w:tcPr>
          <w:p w14:paraId="6658F961" w14:textId="13FF21E7" w:rsidR="00820E82" w:rsidRDefault="0097750F" w:rsidP="00520B82">
            <w:pPr>
              <w:spacing w:after="240"/>
            </w:pPr>
            <w:r>
              <w:t xml:space="preserve">(A) </w:t>
            </w:r>
            <w:r w:rsidR="00E033AD">
              <w:t>Allow different PAs to administer these end-use upstream/midstream programs</w:t>
            </w:r>
            <w:r w:rsidR="008B64D8">
              <w:t xml:space="preserve"> and coordinate to avoid duplication concerns raised by proposers</w:t>
            </w:r>
            <w:r w:rsidR="00E033AD">
              <w:t>.</w:t>
            </w:r>
          </w:p>
          <w:p w14:paraId="009A5FAD" w14:textId="77777777" w:rsidR="0097750F" w:rsidRDefault="0097750F" w:rsidP="00520B82">
            <w:pPr>
              <w:spacing w:after="240"/>
            </w:pPr>
          </w:p>
          <w:p w14:paraId="5C111323" w14:textId="77777777" w:rsidR="00820E82" w:rsidRPr="00F5240D" w:rsidRDefault="00820E82" w:rsidP="00520B82">
            <w:pPr>
              <w:spacing w:after="240"/>
              <w:jc w:val="center"/>
            </w:pPr>
            <w:r w:rsidRPr="00F5240D">
              <w:rPr>
                <w:b/>
              </w:rPr>
              <w:t>Organizations in support of Alternative</w:t>
            </w:r>
            <w:r>
              <w:rPr>
                <w:b/>
              </w:rPr>
              <w:t xml:space="preserve"> Approach:</w:t>
            </w:r>
          </w:p>
          <w:p w14:paraId="16180B3F" w14:textId="77777777" w:rsidR="00820E82" w:rsidRDefault="00820E82" w:rsidP="00520B82">
            <w:pPr>
              <w:pStyle w:val="ListParagraph"/>
              <w:numPr>
                <w:ilvl w:val="0"/>
                <w:numId w:val="23"/>
              </w:numPr>
              <w:spacing w:after="240"/>
              <w:contextualSpacing w:val="0"/>
            </w:pPr>
          </w:p>
        </w:tc>
        <w:tc>
          <w:tcPr>
            <w:tcW w:w="3240" w:type="dxa"/>
          </w:tcPr>
          <w:p w14:paraId="33742816" w14:textId="77777777" w:rsidR="00820E82" w:rsidRDefault="00820E82" w:rsidP="00520B82">
            <w:pPr>
              <w:spacing w:after="240"/>
            </w:pPr>
          </w:p>
        </w:tc>
      </w:tr>
    </w:tbl>
    <w:p w14:paraId="50D70901" w14:textId="77777777" w:rsidR="00D00F56" w:rsidRDefault="00D00F56"/>
    <w:p w14:paraId="64815130" w14:textId="77777777" w:rsidR="00D00F56" w:rsidRDefault="00D00F56">
      <w:r>
        <w:br w:type="page"/>
      </w:r>
    </w:p>
    <w:tbl>
      <w:tblPr>
        <w:tblStyle w:val="TableGrid"/>
        <w:tblW w:w="18270" w:type="dxa"/>
        <w:tblInd w:w="-702" w:type="dxa"/>
        <w:tblLook w:val="04A0" w:firstRow="1" w:lastRow="0" w:firstColumn="1" w:lastColumn="0" w:noHBand="0" w:noVBand="1"/>
      </w:tblPr>
      <w:tblGrid>
        <w:gridCol w:w="441"/>
        <w:gridCol w:w="1989"/>
        <w:gridCol w:w="2610"/>
        <w:gridCol w:w="2880"/>
        <w:gridCol w:w="4140"/>
        <w:gridCol w:w="2970"/>
        <w:gridCol w:w="3240"/>
      </w:tblGrid>
      <w:tr w:rsidR="008A4D84" w14:paraId="3E45718A" w14:textId="77777777" w:rsidTr="003F6067">
        <w:trPr>
          <w:trHeight w:val="4699"/>
        </w:trPr>
        <w:tc>
          <w:tcPr>
            <w:tcW w:w="441" w:type="dxa"/>
          </w:tcPr>
          <w:p w14:paraId="501498DF" w14:textId="698B8D1C" w:rsidR="00D00F56" w:rsidRPr="009E3ACB" w:rsidRDefault="00D00F56" w:rsidP="00885E41">
            <w:pPr>
              <w:spacing w:after="240"/>
            </w:pPr>
            <w:r>
              <w:t>1</w:t>
            </w:r>
            <w:r w:rsidR="00CB0405">
              <w:t>0</w:t>
            </w:r>
          </w:p>
        </w:tc>
        <w:tc>
          <w:tcPr>
            <w:tcW w:w="1989" w:type="dxa"/>
          </w:tcPr>
          <w:p w14:paraId="41397535" w14:textId="77777777" w:rsidR="00D00F56" w:rsidRDefault="005530C2" w:rsidP="00885E41">
            <w:pPr>
              <w:spacing w:after="240"/>
              <w:rPr>
                <w:i/>
              </w:rPr>
            </w:pPr>
            <w:r>
              <w:rPr>
                <w:i/>
              </w:rPr>
              <w:t>Contracting Practices</w:t>
            </w:r>
          </w:p>
          <w:p w14:paraId="75BC5530" w14:textId="77777777" w:rsidR="00D00F56" w:rsidRDefault="00D00F56" w:rsidP="00885E41">
            <w:pPr>
              <w:rPr>
                <w:i/>
              </w:rPr>
            </w:pPr>
            <w:r>
              <w:rPr>
                <w:i/>
              </w:rPr>
              <w:t>Raised by:</w:t>
            </w:r>
          </w:p>
          <w:p w14:paraId="551D072D" w14:textId="77777777" w:rsidR="00D00F56" w:rsidRDefault="005530C2" w:rsidP="00885E41">
            <w:pPr>
              <w:spacing w:after="240"/>
              <w:rPr>
                <w:i/>
              </w:rPr>
            </w:pPr>
            <w:r>
              <w:rPr>
                <w:i/>
              </w:rPr>
              <w:t>BayREN</w:t>
            </w:r>
          </w:p>
          <w:p w14:paraId="276B9D90" w14:textId="77777777" w:rsidR="00D00F56" w:rsidRDefault="00D00F56" w:rsidP="00885E41">
            <w:pPr>
              <w:spacing w:after="240"/>
            </w:pPr>
            <w:r>
              <w:t xml:space="preserve">See </w:t>
            </w:r>
            <w:r w:rsidR="00293A70">
              <w:t xml:space="preserve">7/13 meeting </w:t>
            </w:r>
            <w:r>
              <w:t xml:space="preserve">notes </w:t>
            </w:r>
            <w:hyperlink r:id="rId33" w:history="1">
              <w:r w:rsidRPr="00293A70">
                <w:rPr>
                  <w:rStyle w:val="Hyperlink"/>
                </w:rPr>
                <w:t>here</w:t>
              </w:r>
            </w:hyperlink>
            <w:r>
              <w:t xml:space="preserve"> and </w:t>
            </w:r>
            <w:r w:rsidR="00C83DC1">
              <w:t xml:space="preserve">discussion topic proposal </w:t>
            </w:r>
            <w:r w:rsidR="005530C2">
              <w:t>doc</w:t>
            </w:r>
            <w:r w:rsidR="00C83DC1">
              <w:t xml:space="preserve">ument </w:t>
            </w:r>
            <w:hyperlink r:id="rId34" w:history="1">
              <w:r w:rsidRPr="00C83DC1">
                <w:rPr>
                  <w:rStyle w:val="Hyperlink"/>
                </w:rPr>
                <w:t>here</w:t>
              </w:r>
            </w:hyperlink>
            <w:r>
              <w:t>.</w:t>
            </w:r>
          </w:p>
          <w:p w14:paraId="1A9258E3" w14:textId="77777777" w:rsidR="00D00F56" w:rsidRDefault="00D00F56" w:rsidP="00885E41">
            <w:pPr>
              <w:spacing w:after="240"/>
            </w:pPr>
            <w:r w:rsidRPr="00A04371">
              <w:rPr>
                <w:highlight w:val="yellow"/>
              </w:rPr>
              <w:t>This item was discussed on DATE, DATE, DATE, and DATE.</w:t>
            </w:r>
          </w:p>
          <w:p w14:paraId="7DDE77EE" w14:textId="77777777" w:rsidR="0014307A" w:rsidRPr="00F5240D" w:rsidRDefault="0014307A" w:rsidP="00885E41">
            <w:pPr>
              <w:spacing w:after="240"/>
              <w:jc w:val="center"/>
            </w:pPr>
            <w:r w:rsidRPr="00F5240D">
              <w:rPr>
                <w:b/>
              </w:rPr>
              <w:t xml:space="preserve">Organizations in support of </w:t>
            </w:r>
            <w:r>
              <w:rPr>
                <w:b/>
              </w:rPr>
              <w:t>Proposal:</w:t>
            </w:r>
          </w:p>
          <w:p w14:paraId="5AABE06B" w14:textId="77777777" w:rsidR="0014307A" w:rsidRPr="00094A17" w:rsidRDefault="0014307A" w:rsidP="00885E41">
            <w:pPr>
              <w:pStyle w:val="ListParagraph"/>
              <w:numPr>
                <w:ilvl w:val="0"/>
                <w:numId w:val="37"/>
              </w:numPr>
              <w:spacing w:after="240"/>
              <w:contextualSpacing w:val="0"/>
            </w:pPr>
          </w:p>
        </w:tc>
        <w:tc>
          <w:tcPr>
            <w:tcW w:w="2610" w:type="dxa"/>
            <w:shd w:val="clear" w:color="auto" w:fill="BFBFBF" w:themeFill="background1" w:themeFillShade="BF"/>
          </w:tcPr>
          <w:p w14:paraId="12B946AB" w14:textId="77777777" w:rsidR="00AC725F" w:rsidRDefault="00AC725F" w:rsidP="00885E41">
            <w:pPr>
              <w:spacing w:after="240"/>
            </w:pPr>
            <w:r>
              <w:t xml:space="preserve">(A) </w:t>
            </w:r>
            <w:r w:rsidR="008A4D84" w:rsidRPr="008A4D84">
              <w:t xml:space="preserve">The IOUs should be directed to have executed contracts with all implementers, vendors, and program administrators by December 12th. </w:t>
            </w:r>
          </w:p>
          <w:p w14:paraId="53B59998" w14:textId="77777777" w:rsidR="00AC725F" w:rsidRDefault="00AC725F" w:rsidP="00885E41">
            <w:pPr>
              <w:spacing w:after="240"/>
            </w:pPr>
            <w:r>
              <w:t xml:space="preserve">(B) </w:t>
            </w:r>
            <w:r w:rsidR="008A4D84" w:rsidRPr="008A4D84">
              <w:t xml:space="preserve">The contracts should be for 5 year periods and should allow for amendments if budgets or other material terms change during the contract period. </w:t>
            </w:r>
          </w:p>
          <w:p w14:paraId="7C6EF76F" w14:textId="77777777" w:rsidR="00AC725F" w:rsidRDefault="00AC725F" w:rsidP="00885E41">
            <w:pPr>
              <w:spacing w:after="240"/>
            </w:pPr>
            <w:r>
              <w:t xml:space="preserve">(C) </w:t>
            </w:r>
            <w:r w:rsidR="008A4D84" w:rsidRPr="008A4D84">
              <w:t>After</w:t>
            </w:r>
            <w:r>
              <w:t xml:space="preserve"> </w:t>
            </w:r>
            <w:r w:rsidR="008A4D84" w:rsidRPr="008A4D84">
              <w:t>several</w:t>
            </w:r>
            <w:r>
              <w:t xml:space="preserve"> </w:t>
            </w:r>
            <w:r w:rsidR="008A4D84" w:rsidRPr="008A4D84">
              <w:t>years,</w:t>
            </w:r>
            <w:r w:rsidR="008A4D84">
              <w:t xml:space="preserve"> </w:t>
            </w:r>
            <w:r w:rsidR="008A4D84" w:rsidRPr="008A4D84">
              <w:t>programs</w:t>
            </w:r>
            <w:r>
              <w:t xml:space="preserve"> </w:t>
            </w:r>
            <w:r w:rsidR="008A4D84" w:rsidRPr="008A4D84">
              <w:t>are</w:t>
            </w:r>
            <w:r>
              <w:t xml:space="preserve"> </w:t>
            </w:r>
            <w:r w:rsidR="008A4D84" w:rsidRPr="008A4D84">
              <w:t>in</w:t>
            </w:r>
            <w:r w:rsidR="008A4D84">
              <w:t xml:space="preserve"> </w:t>
            </w:r>
            <w:r w:rsidR="008A4D84" w:rsidRPr="008A4D84">
              <w:t>need</w:t>
            </w:r>
            <w:r w:rsidR="008A4D84">
              <w:t xml:space="preserve"> </w:t>
            </w:r>
            <w:r w:rsidR="008A4D84" w:rsidRPr="008A4D84">
              <w:t>of</w:t>
            </w:r>
            <w:r w:rsidR="008A4D84">
              <w:t xml:space="preserve"> </w:t>
            </w:r>
            <w:r w:rsidR="008A4D84" w:rsidRPr="008A4D84">
              <w:t>operational</w:t>
            </w:r>
            <w:r w:rsidR="008A4D84">
              <w:t xml:space="preserve"> </w:t>
            </w:r>
            <w:r w:rsidR="008A4D84" w:rsidRPr="008A4D84">
              <w:t>improvements</w:t>
            </w:r>
            <w:r w:rsidR="008A4D84">
              <w:t xml:space="preserve"> </w:t>
            </w:r>
            <w:r w:rsidR="008A4D84" w:rsidRPr="008A4D84">
              <w:t>to</w:t>
            </w:r>
            <w:r>
              <w:t xml:space="preserve"> </w:t>
            </w:r>
            <w:r w:rsidR="008A4D84" w:rsidRPr="008A4D84">
              <w:t xml:space="preserve">improve performance, and scope adjustments should be encouraged. </w:t>
            </w:r>
          </w:p>
          <w:p w14:paraId="15DE979F" w14:textId="2126A75D" w:rsidR="008A4D84" w:rsidRPr="008A4D84" w:rsidRDefault="00AC725F" w:rsidP="00885E41">
            <w:pPr>
              <w:spacing w:after="240"/>
            </w:pPr>
            <w:r>
              <w:t xml:space="preserve">(D) </w:t>
            </w:r>
            <w:r w:rsidR="008A4D84" w:rsidRPr="008A4D84">
              <w:t>In addition, specific direction should be given to the IOUs regarding funding carryover methodology and the IOUs should be directed to apply the methodology consistently to all contractors.</w:t>
            </w:r>
          </w:p>
          <w:p w14:paraId="73F24CDF" w14:textId="77777777" w:rsidR="00351C6D" w:rsidRDefault="00351C6D" w:rsidP="00885E41">
            <w:pPr>
              <w:spacing w:after="240"/>
            </w:pPr>
          </w:p>
          <w:p w14:paraId="317C039E" w14:textId="77777777" w:rsidR="00D00F56" w:rsidRDefault="00D00F56" w:rsidP="00885E41">
            <w:pPr>
              <w:pStyle w:val="ListParagraph"/>
              <w:spacing w:after="240"/>
              <w:contextualSpacing w:val="0"/>
            </w:pPr>
          </w:p>
        </w:tc>
        <w:tc>
          <w:tcPr>
            <w:tcW w:w="2880" w:type="dxa"/>
            <w:shd w:val="clear" w:color="auto" w:fill="BFBFBF" w:themeFill="background1" w:themeFillShade="BF"/>
          </w:tcPr>
          <w:p w14:paraId="7BC9FFE8" w14:textId="77777777" w:rsidR="003B3DE0" w:rsidRDefault="003B3DE0" w:rsidP="00885E41">
            <w:pPr>
              <w:spacing w:after="240"/>
            </w:pPr>
            <w:r>
              <w:t xml:space="preserve">(A) </w:t>
            </w:r>
            <w:r w:rsidR="008A4D84" w:rsidRPr="008A4D84">
              <w:t xml:space="preserve">The process of contract negotiation with IOUs typically takes several months and often is not completed until well after the New Year. </w:t>
            </w:r>
          </w:p>
          <w:p w14:paraId="6569DDAC" w14:textId="77777777" w:rsidR="003B3DE0" w:rsidRDefault="003B3DE0" w:rsidP="00885E41">
            <w:pPr>
              <w:spacing w:after="240"/>
            </w:pPr>
            <w:r>
              <w:t xml:space="preserve">(B) </w:t>
            </w:r>
            <w:r w:rsidR="008A4D84" w:rsidRPr="008A4D84">
              <w:t xml:space="preserve">In addition to added administration time, the non-IOU PAs cannot enter into contracts with their vendors until after the IOU contract is executed causing a potential delay in program implementation. </w:t>
            </w:r>
          </w:p>
          <w:p w14:paraId="399D72C5" w14:textId="77777777" w:rsidR="003B3DE0" w:rsidRDefault="003B3DE0" w:rsidP="00885E41">
            <w:pPr>
              <w:spacing w:after="240"/>
            </w:pPr>
            <w:r>
              <w:t xml:space="preserve">(C) </w:t>
            </w:r>
            <w:r w:rsidR="008A4D84" w:rsidRPr="008A4D84">
              <w:t xml:space="preserve">This risk creates a start/stop cycle that is not healthy for the industry and keeps a lot of contractors and vendors from working in programs. This is exactly what the Rolling Portfolio seeks to prevent against. </w:t>
            </w:r>
          </w:p>
          <w:p w14:paraId="13F49876" w14:textId="0BEC69CE" w:rsidR="008A4D84" w:rsidRDefault="003B3DE0" w:rsidP="00885E41">
            <w:pPr>
              <w:spacing w:after="240"/>
            </w:pPr>
            <w:r>
              <w:t xml:space="preserve">(D) </w:t>
            </w:r>
            <w:r w:rsidR="008A4D84" w:rsidRPr="008A4D84">
              <w:t xml:space="preserve">Unfortunately, in the years since the Rolling Portfolio was established, contracts under the IOUs are often limited to one year terms, and scope changes are often deferred until the phased Rolling Portfolio process is complete, which is still uncertain. </w:t>
            </w:r>
          </w:p>
          <w:p w14:paraId="2989AD3A" w14:textId="0827507A" w:rsidR="008A4D84" w:rsidRPr="008A4D84" w:rsidRDefault="003B3DE0" w:rsidP="00885E41">
            <w:pPr>
              <w:spacing w:after="240"/>
            </w:pPr>
            <w:r>
              <w:t xml:space="preserve">(E) </w:t>
            </w:r>
            <w:r w:rsidR="008A4D84" w:rsidRPr="008A4D84">
              <w:t xml:space="preserve">Having certainty for when contracts will be executed and having multiyear contracts will reduce administration costs and will allow programs to continue uninterrupted. This will also allow for proper planning, staffing, etc. </w:t>
            </w:r>
          </w:p>
          <w:p w14:paraId="0961D72E" w14:textId="77777777" w:rsidR="00D00F56" w:rsidRDefault="00D00F56" w:rsidP="00885E41">
            <w:pPr>
              <w:spacing w:after="240"/>
            </w:pPr>
          </w:p>
        </w:tc>
        <w:tc>
          <w:tcPr>
            <w:tcW w:w="4140" w:type="dxa"/>
          </w:tcPr>
          <w:p w14:paraId="2B229546" w14:textId="01064F31" w:rsidR="003A54A7" w:rsidRPr="003F6067" w:rsidRDefault="003F6067" w:rsidP="00885E41">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(A) </w:t>
            </w:r>
            <w:r w:rsidR="003A54A7" w:rsidRPr="003F6067">
              <w:rPr>
                <w:rFonts w:asciiTheme="minorHAnsi" w:hAnsiTheme="minorHAnsi" w:cstheme="minorBidi"/>
                <w:sz w:val="22"/>
                <w:szCs w:val="22"/>
              </w:rPr>
              <w:t>One-year cycle</w:t>
            </w:r>
            <w:r w:rsidR="0057760D">
              <w:rPr>
                <w:rFonts w:asciiTheme="minorHAnsi" w:hAnsiTheme="minorHAnsi" w:cstheme="minorBidi"/>
                <w:sz w:val="22"/>
                <w:szCs w:val="22"/>
              </w:rPr>
              <w:t>s</w:t>
            </w:r>
            <w:r w:rsidR="003A54A7" w:rsidRPr="003F6067">
              <w:rPr>
                <w:rFonts w:asciiTheme="minorHAnsi" w:hAnsiTheme="minorHAnsi" w:cstheme="minorBidi"/>
                <w:sz w:val="22"/>
                <w:szCs w:val="22"/>
              </w:rPr>
              <w:t xml:space="preserve"> create </w:t>
            </w:r>
            <w:r w:rsidR="0057760D">
              <w:rPr>
                <w:rFonts w:asciiTheme="minorHAnsi" w:hAnsiTheme="minorHAnsi" w:cstheme="minorBidi"/>
                <w:sz w:val="22"/>
                <w:szCs w:val="22"/>
              </w:rPr>
              <w:t>challenges</w:t>
            </w:r>
            <w:r w:rsidR="003A54A7" w:rsidRPr="003F6067">
              <w:rPr>
                <w:rFonts w:asciiTheme="minorHAnsi" w:hAnsiTheme="minorHAnsi" w:cstheme="minorBidi"/>
                <w:sz w:val="22"/>
                <w:szCs w:val="22"/>
              </w:rPr>
              <w:t xml:space="preserve">. Sometimes </w:t>
            </w:r>
            <w:r>
              <w:rPr>
                <w:rFonts w:asciiTheme="minorHAnsi" w:hAnsiTheme="minorHAnsi" w:cstheme="minorBidi"/>
                <w:sz w:val="22"/>
                <w:szCs w:val="22"/>
              </w:rPr>
              <w:t>implementers</w:t>
            </w:r>
            <w:r w:rsidRPr="003F6067">
              <w:rPr>
                <w:rFonts w:asciiTheme="minorHAnsi" w:hAnsiTheme="minorHAnsi" w:cstheme="minorBidi"/>
                <w:sz w:val="22"/>
                <w:szCs w:val="22"/>
              </w:rPr>
              <w:t xml:space="preserve"> </w:t>
            </w:r>
            <w:r w:rsidR="003A54A7" w:rsidRPr="003F6067">
              <w:rPr>
                <w:rFonts w:asciiTheme="minorHAnsi" w:hAnsiTheme="minorHAnsi" w:cstheme="minorBidi"/>
                <w:sz w:val="22"/>
                <w:szCs w:val="22"/>
              </w:rPr>
              <w:t>can’t provide work for customer</w:t>
            </w:r>
            <w:r w:rsidR="0057760D">
              <w:rPr>
                <w:rFonts w:asciiTheme="minorHAnsi" w:hAnsiTheme="minorHAnsi" w:cstheme="minorBidi"/>
                <w:sz w:val="22"/>
                <w:szCs w:val="22"/>
              </w:rPr>
              <w:t>s</w:t>
            </w:r>
            <w:r w:rsidR="003A54A7" w:rsidRPr="003F6067">
              <w:rPr>
                <w:rFonts w:asciiTheme="minorHAnsi" w:hAnsiTheme="minorHAnsi" w:cstheme="minorBidi"/>
                <w:sz w:val="22"/>
                <w:szCs w:val="22"/>
              </w:rPr>
              <w:t xml:space="preserve"> because </w:t>
            </w:r>
            <w:r>
              <w:rPr>
                <w:rFonts w:asciiTheme="minorHAnsi" w:hAnsiTheme="minorHAnsi" w:cstheme="minorBidi"/>
                <w:sz w:val="22"/>
                <w:szCs w:val="22"/>
              </w:rPr>
              <w:t xml:space="preserve">they </w:t>
            </w:r>
            <w:r w:rsidR="003A54A7" w:rsidRPr="003F6067">
              <w:rPr>
                <w:rFonts w:asciiTheme="minorHAnsi" w:hAnsiTheme="minorHAnsi" w:cstheme="minorBidi"/>
                <w:sz w:val="22"/>
                <w:szCs w:val="22"/>
              </w:rPr>
              <w:t>hit the end of the contract period before the project can be installed when program</w:t>
            </w:r>
            <w:r>
              <w:rPr>
                <w:rFonts w:asciiTheme="minorHAnsi" w:hAnsiTheme="minorHAnsi" w:cstheme="minorBidi"/>
                <w:sz w:val="22"/>
                <w:szCs w:val="22"/>
              </w:rPr>
              <w:t xml:space="preserve"> contracts </w:t>
            </w:r>
            <w:r w:rsidR="003A54A7" w:rsidRPr="003F6067">
              <w:rPr>
                <w:rFonts w:asciiTheme="minorHAnsi" w:hAnsiTheme="minorHAnsi" w:cstheme="minorBidi"/>
                <w:sz w:val="22"/>
                <w:szCs w:val="22"/>
              </w:rPr>
              <w:t xml:space="preserve">are short. </w:t>
            </w:r>
          </w:p>
          <w:p w14:paraId="4E53501A" w14:textId="539BAC34" w:rsidR="008F43FA" w:rsidRPr="003F6067" w:rsidRDefault="003F6067" w:rsidP="00885E41">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(B) </w:t>
            </w:r>
            <w:r w:rsidR="008F43FA" w:rsidRPr="003F6067">
              <w:rPr>
                <w:rFonts w:asciiTheme="minorHAnsi" w:hAnsiTheme="minorHAnsi" w:cstheme="minorBidi"/>
                <w:sz w:val="22"/>
                <w:szCs w:val="22"/>
              </w:rPr>
              <w:t xml:space="preserve">This </w:t>
            </w:r>
            <w:r>
              <w:rPr>
                <w:rFonts w:asciiTheme="minorHAnsi" w:hAnsiTheme="minorHAnsi" w:cstheme="minorBidi"/>
                <w:sz w:val="22"/>
                <w:szCs w:val="22"/>
              </w:rPr>
              <w:t xml:space="preserve">should also apply to amending </w:t>
            </w:r>
            <w:r w:rsidR="00DC04A6">
              <w:rPr>
                <w:rFonts w:asciiTheme="minorHAnsi" w:hAnsiTheme="minorHAnsi" w:cstheme="minorBidi"/>
                <w:sz w:val="22"/>
                <w:szCs w:val="22"/>
              </w:rPr>
              <w:t>contracts.</w:t>
            </w:r>
          </w:p>
          <w:p w14:paraId="4EFE5FC3" w14:textId="6CBA2F20" w:rsidR="008F43FA" w:rsidRDefault="003F6067" w:rsidP="00885E41">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 xml:space="preserve">(C) </w:t>
            </w:r>
            <w:r w:rsidR="008F43FA" w:rsidRPr="003F6067">
              <w:rPr>
                <w:rFonts w:asciiTheme="minorHAnsi" w:hAnsiTheme="minorHAnsi" w:cstheme="minorBidi"/>
                <w:sz w:val="22"/>
                <w:szCs w:val="22"/>
              </w:rPr>
              <w:t>Sometimes a contract’s scope really is limited to one year’s worth of work</w:t>
            </w:r>
            <w:r w:rsidR="00DC04A6">
              <w:rPr>
                <w:rFonts w:asciiTheme="minorHAnsi" w:hAnsiTheme="minorHAnsi" w:cstheme="minorBidi"/>
                <w:sz w:val="22"/>
                <w:szCs w:val="22"/>
              </w:rPr>
              <w:t xml:space="preserve"> and contracts should be able to reflect that</w:t>
            </w:r>
            <w:r w:rsidR="008F43FA" w:rsidRPr="003F6067">
              <w:rPr>
                <w:rFonts w:asciiTheme="minorHAnsi" w:hAnsiTheme="minorHAnsi" w:cstheme="minorBidi"/>
                <w:sz w:val="22"/>
                <w:szCs w:val="22"/>
              </w:rPr>
              <w:t xml:space="preserve">. </w:t>
            </w:r>
          </w:p>
          <w:p w14:paraId="03C7ECB8" w14:textId="5223E794" w:rsidR="00CB0405" w:rsidRPr="0057760D" w:rsidRDefault="00CB0405" w:rsidP="00B63A18">
            <w:r>
              <w:t xml:space="preserve">(D) </w:t>
            </w:r>
            <w:r w:rsidRPr="0057760D">
              <w:t>PAs need flexibility in contracting practices</w:t>
            </w:r>
            <w:r w:rsidR="00DC04A6">
              <w:t xml:space="preserve"> to determine lengths depending on what type of program is being proposed as new or continuing</w:t>
            </w:r>
            <w:r w:rsidRPr="0057760D">
              <w:t>. There are other criteria that should be considered</w:t>
            </w:r>
            <w:r w:rsidR="00DC04A6">
              <w:t xml:space="preserve"> as well</w:t>
            </w:r>
            <w:r w:rsidRPr="0057760D">
              <w:t xml:space="preserve">, like program performance. </w:t>
            </w:r>
          </w:p>
          <w:p w14:paraId="4EBE9801" w14:textId="77777777" w:rsidR="00171EC6" w:rsidRDefault="00CB0405" w:rsidP="00885E41">
            <w:pPr>
              <w:pStyle w:val="NormalWeb"/>
              <w:spacing w:after="240" w:afterAutospacing="0"/>
              <w:rPr>
                <w:rFonts w:asciiTheme="minorHAnsi" w:hAnsiTheme="minorHAnsi" w:cstheme="minorBidi"/>
                <w:sz w:val="22"/>
                <w:szCs w:val="22"/>
              </w:rPr>
            </w:pPr>
            <w:r w:rsidRPr="0057760D">
              <w:rPr>
                <w:rFonts w:asciiTheme="minorHAnsi" w:hAnsiTheme="minorHAnsi" w:cstheme="minorBidi"/>
                <w:sz w:val="22"/>
                <w:szCs w:val="22"/>
              </w:rPr>
              <w:t xml:space="preserve">(E) </w:t>
            </w:r>
            <w:r w:rsidR="00F66DB6">
              <w:rPr>
                <w:rFonts w:asciiTheme="minorHAnsi" w:hAnsiTheme="minorHAnsi" w:cstheme="minorBidi"/>
                <w:sz w:val="22"/>
                <w:szCs w:val="22"/>
              </w:rPr>
              <w:t>Not all contracts are on a 1-</w:t>
            </w:r>
            <w:r w:rsidRPr="0057760D">
              <w:rPr>
                <w:rFonts w:asciiTheme="minorHAnsi" w:hAnsiTheme="minorHAnsi" w:cstheme="minorBidi"/>
                <w:sz w:val="22"/>
                <w:szCs w:val="22"/>
              </w:rPr>
              <w:t xml:space="preserve">year term (e.g., SDG&amp;E local government partnerships </w:t>
            </w:r>
            <w:r w:rsidR="004A6CDC">
              <w:rPr>
                <w:rFonts w:asciiTheme="minorHAnsi" w:hAnsiTheme="minorHAnsi" w:cstheme="minorBidi"/>
                <w:sz w:val="22"/>
                <w:szCs w:val="22"/>
              </w:rPr>
              <w:t>have</w:t>
            </w:r>
            <w:r w:rsidRPr="0057760D">
              <w:rPr>
                <w:rFonts w:asciiTheme="minorHAnsi" w:hAnsiTheme="minorHAnsi" w:cstheme="minorBidi"/>
                <w:sz w:val="22"/>
                <w:szCs w:val="22"/>
              </w:rPr>
              <w:t xml:space="preserve"> 5 years</w:t>
            </w:r>
            <w:r w:rsidR="004A6CDC">
              <w:rPr>
                <w:rFonts w:asciiTheme="minorHAnsi" w:hAnsiTheme="minorHAnsi" w:cstheme="minorBidi"/>
                <w:sz w:val="22"/>
                <w:szCs w:val="22"/>
              </w:rPr>
              <w:t xml:space="preserve"> contracts</w:t>
            </w:r>
            <w:r w:rsidRPr="0057760D">
              <w:rPr>
                <w:rFonts w:asciiTheme="minorHAnsi" w:hAnsiTheme="minorHAnsi" w:cstheme="minorBidi"/>
                <w:sz w:val="22"/>
                <w:szCs w:val="22"/>
              </w:rPr>
              <w:t>)</w:t>
            </w:r>
            <w:r w:rsidR="00171EC6">
              <w:rPr>
                <w:rFonts w:asciiTheme="minorHAnsi" w:hAnsiTheme="minorHAnsi" w:cstheme="minorBidi"/>
                <w:sz w:val="22"/>
                <w:szCs w:val="22"/>
              </w:rPr>
              <w:t xml:space="preserve">. </w:t>
            </w:r>
          </w:p>
          <w:p w14:paraId="12E2FB9D" w14:textId="776F565E" w:rsidR="00CB0405" w:rsidRPr="003F6067" w:rsidRDefault="00171EC6" w:rsidP="00885E41">
            <w:pPr>
              <w:pStyle w:val="NormalWeb"/>
              <w:spacing w:after="240" w:afterAutospacing="0"/>
              <w:rPr>
                <w:rFonts w:asciiTheme="minorHAnsi" w:hAnsiTheme="minorHAnsi" w:cstheme="minorBidi"/>
                <w:sz w:val="22"/>
                <w:szCs w:val="22"/>
              </w:rPr>
            </w:pPr>
            <w:r>
              <w:rPr>
                <w:rFonts w:asciiTheme="minorHAnsi" w:hAnsiTheme="minorHAnsi" w:cstheme="minorBidi"/>
                <w:sz w:val="22"/>
                <w:szCs w:val="22"/>
              </w:rPr>
              <w:t>(F) However, all contracts (no matter what length)</w:t>
            </w:r>
            <w:r w:rsidR="00CB0405" w:rsidRPr="0057760D">
              <w:rPr>
                <w:rFonts w:asciiTheme="minorHAnsi" w:hAnsiTheme="minorHAnsi" w:cstheme="minorBidi"/>
                <w:sz w:val="22"/>
                <w:szCs w:val="22"/>
              </w:rPr>
              <w:t xml:space="preserve"> are going to be contingent on Annual Advice Letter approval given the new requirement to file a Tier 2 September 1 Advice Letter. This by itself creates uncertainty that the PAs cannot avoid even with multi-year contracts.</w:t>
            </w:r>
          </w:p>
          <w:p w14:paraId="424A534D" w14:textId="77777777" w:rsidR="008F43FA" w:rsidRDefault="008F43FA" w:rsidP="00885E41">
            <w:pPr>
              <w:pStyle w:val="NormalWeb"/>
              <w:spacing w:after="240" w:afterAutospacing="0"/>
            </w:pPr>
          </w:p>
          <w:p w14:paraId="5D0701D5" w14:textId="77777777" w:rsidR="00D00F56" w:rsidRDefault="00D00F56" w:rsidP="00885E41">
            <w:pPr>
              <w:spacing w:after="240"/>
            </w:pPr>
          </w:p>
          <w:p w14:paraId="70DE2690" w14:textId="77777777" w:rsidR="00D00F56" w:rsidRDefault="00D00F56" w:rsidP="00885E41">
            <w:pPr>
              <w:spacing w:after="240"/>
            </w:pPr>
          </w:p>
          <w:p w14:paraId="157A4885" w14:textId="77777777" w:rsidR="00D00F56" w:rsidRDefault="00D00F56" w:rsidP="00885E41">
            <w:pPr>
              <w:spacing w:after="240"/>
            </w:pPr>
          </w:p>
        </w:tc>
        <w:tc>
          <w:tcPr>
            <w:tcW w:w="2970" w:type="dxa"/>
          </w:tcPr>
          <w:p w14:paraId="50A6A99D" w14:textId="20CDABF0" w:rsidR="008F43FA" w:rsidRPr="00210686" w:rsidRDefault="0045076B" w:rsidP="001F2581">
            <w:pPr>
              <w:pStyle w:val="NormalWeb"/>
              <w:spacing w:after="240" w:afterAutospacing="0"/>
            </w:pPr>
            <w:r w:rsidRPr="00210686">
              <w:rPr>
                <w:rFonts w:asciiTheme="minorHAnsi" w:hAnsiTheme="minorHAnsi" w:cstheme="minorBidi"/>
                <w:sz w:val="22"/>
                <w:szCs w:val="22"/>
              </w:rPr>
              <w:t xml:space="preserve">(A) </w:t>
            </w:r>
            <w:r w:rsidR="001412E6">
              <w:rPr>
                <w:rFonts w:asciiTheme="minorHAnsi" w:hAnsiTheme="minorHAnsi" w:cstheme="minorBidi"/>
                <w:sz w:val="22"/>
                <w:szCs w:val="22"/>
              </w:rPr>
              <w:t>Keep the s</w:t>
            </w:r>
            <w:r w:rsidRPr="00210686">
              <w:rPr>
                <w:rFonts w:asciiTheme="minorHAnsi" w:hAnsiTheme="minorHAnsi" w:cstheme="minorBidi"/>
                <w:sz w:val="22"/>
                <w:szCs w:val="22"/>
              </w:rPr>
              <w:t xml:space="preserve">tatus </w:t>
            </w:r>
            <w:r w:rsidR="001412E6">
              <w:rPr>
                <w:rFonts w:asciiTheme="minorHAnsi" w:hAnsiTheme="minorHAnsi" w:cstheme="minorBidi"/>
                <w:sz w:val="22"/>
                <w:szCs w:val="22"/>
              </w:rPr>
              <w:t>q</w:t>
            </w:r>
            <w:commentRangeStart w:id="6"/>
            <w:r w:rsidRPr="00B160F1">
              <w:rPr>
                <w:rFonts w:asciiTheme="minorHAnsi" w:hAnsiTheme="minorHAnsi" w:cstheme="minorBidi"/>
                <w:sz w:val="22"/>
                <w:szCs w:val="22"/>
                <w:highlight w:val="yellow"/>
              </w:rPr>
              <w:t>uo</w:t>
            </w:r>
            <w:commentRangeEnd w:id="6"/>
            <w:r w:rsidRPr="001F2581">
              <w:rPr>
                <w:sz w:val="22"/>
                <w:szCs w:val="22"/>
                <w:highlight w:val="yellow"/>
              </w:rPr>
              <w:commentReference w:id="6"/>
            </w:r>
          </w:p>
          <w:p w14:paraId="48E391D1" w14:textId="77777777" w:rsidR="00D00F56" w:rsidRPr="00F5240D" w:rsidRDefault="00D00F56" w:rsidP="00885E41">
            <w:pPr>
              <w:spacing w:after="240"/>
              <w:jc w:val="center"/>
            </w:pPr>
            <w:r w:rsidRPr="00F5240D">
              <w:rPr>
                <w:b/>
              </w:rPr>
              <w:t>Organizations in support of Alternative</w:t>
            </w:r>
            <w:r>
              <w:rPr>
                <w:b/>
              </w:rPr>
              <w:t xml:space="preserve"> Approach:</w:t>
            </w:r>
          </w:p>
          <w:p w14:paraId="5D5DEB6C" w14:textId="77777777" w:rsidR="00D00F56" w:rsidRDefault="00D00F56" w:rsidP="00885E41">
            <w:pPr>
              <w:pStyle w:val="ListParagraph"/>
              <w:numPr>
                <w:ilvl w:val="0"/>
                <w:numId w:val="24"/>
              </w:numPr>
              <w:spacing w:after="240"/>
              <w:contextualSpacing w:val="0"/>
            </w:pPr>
          </w:p>
        </w:tc>
        <w:tc>
          <w:tcPr>
            <w:tcW w:w="3240" w:type="dxa"/>
          </w:tcPr>
          <w:p w14:paraId="771D68AB" w14:textId="77777777" w:rsidR="00D00F56" w:rsidRDefault="00D00F56" w:rsidP="00885E41">
            <w:pPr>
              <w:spacing w:after="240"/>
            </w:pPr>
          </w:p>
        </w:tc>
      </w:tr>
    </w:tbl>
    <w:p w14:paraId="09219A12" w14:textId="00DA4339" w:rsidR="00094A17" w:rsidRDefault="00094A17"/>
    <w:sectPr w:rsidR="00094A17" w:rsidSect="006017AF">
      <w:headerReference w:type="default" r:id="rId35"/>
      <w:footerReference w:type="default" r:id="rId36"/>
      <w:pgSz w:w="20160" w:h="12240" w:orient="landscape"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ttenson, Lara" w:date="2016-11-30T12:00:00Z" w:initials="EL">
    <w:p w14:paraId="338C03B5" w14:textId="053D4463" w:rsidR="00503C87" w:rsidRDefault="00503C87">
      <w:pPr>
        <w:pStyle w:val="CommentText"/>
      </w:pPr>
      <w:r>
        <w:rPr>
          <w:rStyle w:val="CommentReference"/>
        </w:rPr>
        <w:annotationRef/>
      </w:r>
      <w:r>
        <w:t>Do stakeholders want the option of this column to write 1-2 sentences if they have a position but it doesn’t match the proposal or alternative?</w:t>
      </w:r>
    </w:p>
  </w:comment>
  <w:comment w:id="2" w:author="Ettenson, Lara" w:date="2016-11-30T12:00:00Z" w:initials="EL">
    <w:p w14:paraId="3396F34E" w14:textId="5826145A" w:rsidR="00503C87" w:rsidRDefault="00503C87">
      <w:pPr>
        <w:pStyle w:val="CommentText"/>
      </w:pPr>
      <w:r>
        <w:rPr>
          <w:rStyle w:val="CommentReference"/>
        </w:rPr>
        <w:annotationRef/>
      </w:r>
      <w:r>
        <w:t>Was this modified in D.16-08-019 to be 1?</w:t>
      </w:r>
    </w:p>
  </w:comment>
  <w:comment w:id="3" w:author="Ettenson, Lara" w:date="2016-11-30T12:00:00Z" w:initials="EL">
    <w:p w14:paraId="2CDE6105" w14:textId="06FDC511" w:rsidR="00503C87" w:rsidRDefault="00503C87">
      <w:pPr>
        <w:pStyle w:val="CommentText"/>
      </w:pPr>
      <w:r>
        <w:rPr>
          <w:rStyle w:val="CommentReference"/>
        </w:rPr>
        <w:annotationRef/>
      </w:r>
      <w:r>
        <w:t>Did we discuss this? If not, we can include: “No discussion on this topic.”</w:t>
      </w:r>
    </w:p>
  </w:comment>
  <w:comment w:id="4" w:author="Ettenson, Lara" w:date="2016-11-30T12:41:00Z" w:initials="EL">
    <w:p w14:paraId="4291783B" w14:textId="55687B74" w:rsidR="00503C87" w:rsidRDefault="00503C87">
      <w:pPr>
        <w:pStyle w:val="CommentText"/>
      </w:pPr>
      <w:r>
        <w:rPr>
          <w:rStyle w:val="CommentReference"/>
        </w:rPr>
        <w:annotationRef/>
      </w:r>
      <w:r>
        <w:t>This wasn’t fully discussed so it quite vague. Did anyone propose another alternative?</w:t>
      </w:r>
    </w:p>
  </w:comment>
  <w:comment w:id="5" w:author="Ettenson, Lara" w:date="2016-11-30T12:00:00Z" w:initials="EL">
    <w:p w14:paraId="2CCD3A96" w14:textId="361668F9" w:rsidR="00503C87" w:rsidRDefault="00503C87" w:rsidP="00D064D1">
      <w:pPr>
        <w:pStyle w:val="CommentText"/>
      </w:pPr>
      <w:r>
        <w:rPr>
          <w:rStyle w:val="CommentReference"/>
        </w:rPr>
        <w:annotationRef/>
      </w:r>
      <w:r>
        <w:t>We will have developed by the time this is filed in January</w:t>
      </w:r>
    </w:p>
  </w:comment>
  <w:comment w:id="6" w:author="Ettenson, Lara" w:date="2016-11-30T12:00:00Z" w:initials="EL">
    <w:p w14:paraId="4CD29385" w14:textId="11AAB6E8" w:rsidR="00503C87" w:rsidRDefault="00503C87">
      <w:pPr>
        <w:pStyle w:val="CommentText"/>
      </w:pPr>
      <w:r>
        <w:rPr>
          <w:rStyle w:val="CommentReference"/>
        </w:rPr>
        <w:annotationRef/>
      </w:r>
      <w:r>
        <w:t>Did anyone provide an alternative? Status quo?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8C03B5" w15:done="0"/>
  <w15:commentEx w15:paraId="3396F34E" w15:done="0"/>
  <w15:commentEx w15:paraId="2CDE6105" w15:done="0"/>
  <w15:commentEx w15:paraId="4291783B" w15:done="0"/>
  <w15:commentEx w15:paraId="2CCD3A96" w15:done="0"/>
  <w15:commentEx w15:paraId="4CD293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EC5C" w14:textId="77777777" w:rsidR="00FC258D" w:rsidRDefault="00FC258D" w:rsidP="005307C6">
      <w:pPr>
        <w:spacing w:after="0" w:line="240" w:lineRule="auto"/>
      </w:pPr>
      <w:r>
        <w:separator/>
      </w:r>
    </w:p>
  </w:endnote>
  <w:endnote w:type="continuationSeparator" w:id="0">
    <w:p w14:paraId="36FCD206" w14:textId="77777777" w:rsidR="00FC258D" w:rsidRDefault="00FC258D" w:rsidP="0053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color w:val="FF0000"/>
      </w:rPr>
      <w:id w:val="1077866251"/>
      <w:docPartObj>
        <w:docPartGallery w:val="Page Numbers (Bottom of Page)"/>
        <w:docPartUnique/>
      </w:docPartObj>
    </w:sdtPr>
    <w:sdtEndPr>
      <w:rPr>
        <w:noProof/>
        <w:color w:val="auto"/>
      </w:rPr>
    </w:sdtEndPr>
    <w:sdtContent>
      <w:p w14:paraId="39D0C0A2" w14:textId="00EC6E43" w:rsidR="00503C87" w:rsidRDefault="008566F0" w:rsidP="008566F0">
        <w:pPr>
          <w:pStyle w:val="Footer"/>
        </w:pPr>
        <w:r w:rsidRPr="008566F0">
          <w:rPr>
            <w:color w:val="FF0000"/>
          </w:rPr>
          <w:t>Note: CAEECC ceased work on this</w:t>
        </w:r>
        <w:r>
          <w:rPr>
            <w:color w:val="FF0000"/>
          </w:rPr>
          <w:t xml:space="preserve"> incomplete</w:t>
        </w:r>
        <w:r w:rsidRPr="008566F0">
          <w:rPr>
            <w:color w:val="FF0000"/>
          </w:rPr>
          <w:t xml:space="preserve"> document</w:t>
        </w:r>
        <w:r>
          <w:rPr>
            <w:color w:val="FF0000"/>
          </w:rPr>
          <w:t xml:space="preserve"> as of 12/7/16 </w:t>
        </w:r>
        <w:r w:rsidRPr="008566F0">
          <w:rPr>
            <w:color w:val="FF0000"/>
          </w:rPr>
          <w:t xml:space="preserve">. The draft </w:t>
        </w:r>
        <w:r>
          <w:rPr>
            <w:color w:val="FF0000"/>
          </w:rPr>
          <w:t xml:space="preserve">is not approved and </w:t>
        </w:r>
        <w:r w:rsidRPr="008566F0">
          <w:rPr>
            <w:color w:val="FF0000"/>
          </w:rPr>
          <w:t>may not accurately reflect the positions of named CC Members.</w:t>
        </w:r>
        <w:r>
          <w:rPr>
            <w:color w:val="FF0000"/>
          </w:rPr>
          <w:t xml:space="preserve">  Not for inclusion in the CPUC Proceeding record.</w:t>
        </w:r>
        <w:r>
          <w:rPr>
            <w:color w:val="FF0000"/>
          </w:rPr>
          <w:tab/>
        </w:r>
        <w:r>
          <w:rPr>
            <w:color w:val="FF0000"/>
          </w:rPr>
          <w:tab/>
        </w:r>
        <w:r w:rsidRPr="008566F0">
          <w:rPr>
            <w:color w:val="FF0000"/>
          </w:rPr>
          <w:t xml:space="preserve"> </w:t>
        </w:r>
        <w:r w:rsidR="00503C87">
          <w:fldChar w:fldCharType="begin"/>
        </w:r>
        <w:r w:rsidR="00503C87">
          <w:instrText xml:space="preserve"> PAGE   \* MERGEFORMAT </w:instrText>
        </w:r>
        <w:r w:rsidR="00503C87">
          <w:fldChar w:fldCharType="separate"/>
        </w:r>
        <w:r w:rsidR="00FC258D">
          <w:rPr>
            <w:noProof/>
          </w:rPr>
          <w:t>1</w:t>
        </w:r>
        <w:r w:rsidR="00503C87">
          <w:rPr>
            <w:noProof/>
          </w:rPr>
          <w:fldChar w:fldCharType="end"/>
        </w:r>
      </w:p>
    </w:sdtContent>
  </w:sdt>
  <w:p w14:paraId="187AE7D0" w14:textId="77777777" w:rsidR="00503C87" w:rsidRDefault="00503C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E55F" w14:textId="77777777" w:rsidR="00FC258D" w:rsidRDefault="00FC258D" w:rsidP="005307C6">
      <w:pPr>
        <w:spacing w:after="0" w:line="240" w:lineRule="auto"/>
      </w:pPr>
      <w:r>
        <w:separator/>
      </w:r>
    </w:p>
  </w:footnote>
  <w:footnote w:type="continuationSeparator" w:id="0">
    <w:p w14:paraId="08EBDD4F" w14:textId="77777777" w:rsidR="00FC258D" w:rsidRDefault="00FC258D" w:rsidP="005307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31FD18" w14:textId="77777777" w:rsidR="00503C87" w:rsidRDefault="00FC258D" w:rsidP="000E5E1A">
    <w:pPr>
      <w:pStyle w:val="Header"/>
      <w:spacing w:after="120"/>
      <w:jc w:val="center"/>
      <w:rPr>
        <w:b/>
      </w:rPr>
    </w:pPr>
    <w:sdt>
      <w:sdtPr>
        <w:rPr>
          <w:b/>
        </w:rPr>
        <w:id w:val="1196964852"/>
        <w:docPartObj>
          <w:docPartGallery w:val="Watermarks"/>
          <w:docPartUnique/>
        </w:docPartObj>
      </w:sdtPr>
      <w:sdtEndPr/>
      <w:sdtContent>
        <w:r>
          <w:rPr>
            <w:b/>
            <w:noProof/>
            <w:lang w:eastAsia="zh-TW"/>
          </w:rPr>
          <w:pict w14:anchorId="0752AA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3C87" w:rsidRPr="00C16A28">
      <w:rPr>
        <w:b/>
      </w:rPr>
      <w:t xml:space="preserve">Comparison Document for Major Items </w:t>
    </w:r>
    <w:r w:rsidR="00503C87">
      <w:rPr>
        <w:b/>
      </w:rPr>
      <w:t xml:space="preserve">Raised by the </w:t>
    </w:r>
    <w:r w:rsidR="00503C87" w:rsidRPr="00C16A28">
      <w:rPr>
        <w:b/>
      </w:rPr>
      <w:t>Coordinating Committee</w:t>
    </w:r>
    <w:r w:rsidR="00503C87">
      <w:rPr>
        <w:b/>
      </w:rPr>
      <w:t xml:space="preserve"> Members</w:t>
    </w:r>
  </w:p>
  <w:tbl>
    <w:tblPr>
      <w:tblStyle w:val="TableGrid"/>
      <w:tblW w:w="18270" w:type="dxa"/>
      <w:tblInd w:w="-702" w:type="dxa"/>
      <w:tblLook w:val="04A0" w:firstRow="1" w:lastRow="0" w:firstColumn="1" w:lastColumn="0" w:noHBand="0" w:noVBand="1"/>
    </w:tblPr>
    <w:tblGrid>
      <w:gridCol w:w="339"/>
      <w:gridCol w:w="2116"/>
      <w:gridCol w:w="2624"/>
      <w:gridCol w:w="2841"/>
      <w:gridCol w:w="4140"/>
      <w:gridCol w:w="2970"/>
      <w:gridCol w:w="3240"/>
    </w:tblGrid>
    <w:tr w:rsidR="00503C87" w:rsidRPr="00D93F71" w14:paraId="40AE7439" w14:textId="77777777" w:rsidTr="007527A3">
      <w:trPr>
        <w:trHeight w:val="273"/>
      </w:trPr>
      <w:tc>
        <w:tcPr>
          <w:tcW w:w="339" w:type="dxa"/>
        </w:tcPr>
        <w:p w14:paraId="47C774CF" w14:textId="77777777" w:rsidR="00503C87" w:rsidRPr="00D93F71" w:rsidRDefault="00503C87" w:rsidP="009E3ACB">
          <w:pPr>
            <w:pStyle w:val="Header"/>
            <w:ind w:left="-378"/>
            <w:jc w:val="center"/>
            <w:rPr>
              <w:b/>
            </w:rPr>
          </w:pPr>
        </w:p>
      </w:tc>
      <w:tc>
        <w:tcPr>
          <w:tcW w:w="2116" w:type="dxa"/>
        </w:tcPr>
        <w:p w14:paraId="49D9030A" w14:textId="77777777" w:rsidR="00503C87" w:rsidRPr="00D93F71" w:rsidRDefault="00503C87" w:rsidP="00D93F71">
          <w:pPr>
            <w:pStyle w:val="Header"/>
            <w:jc w:val="center"/>
            <w:rPr>
              <w:b/>
            </w:rPr>
          </w:pPr>
          <w:r w:rsidRPr="00D93F71">
            <w:rPr>
              <w:b/>
            </w:rPr>
            <w:t>Item</w:t>
          </w:r>
        </w:p>
      </w:tc>
      <w:tc>
        <w:tcPr>
          <w:tcW w:w="2624" w:type="dxa"/>
        </w:tcPr>
        <w:p w14:paraId="2556684E" w14:textId="77777777" w:rsidR="00503C87" w:rsidRPr="00D93F71" w:rsidRDefault="00503C87" w:rsidP="00D93F71">
          <w:pPr>
            <w:pStyle w:val="Header"/>
            <w:jc w:val="center"/>
            <w:rPr>
              <w:b/>
            </w:rPr>
          </w:pPr>
          <w:r w:rsidRPr="00D93F71">
            <w:rPr>
              <w:b/>
            </w:rPr>
            <w:t>Proposal</w:t>
          </w:r>
        </w:p>
      </w:tc>
      <w:tc>
        <w:tcPr>
          <w:tcW w:w="2841" w:type="dxa"/>
        </w:tcPr>
        <w:p w14:paraId="7EEC51B9" w14:textId="77777777" w:rsidR="00503C87" w:rsidRPr="00D93F71" w:rsidRDefault="00503C87" w:rsidP="00D93F71">
          <w:pPr>
            <w:pStyle w:val="Header"/>
            <w:jc w:val="center"/>
            <w:rPr>
              <w:b/>
            </w:rPr>
          </w:pPr>
          <w:r w:rsidRPr="00D93F71">
            <w:rPr>
              <w:b/>
            </w:rPr>
            <w:t>Rationale</w:t>
          </w:r>
        </w:p>
      </w:tc>
      <w:tc>
        <w:tcPr>
          <w:tcW w:w="4140" w:type="dxa"/>
        </w:tcPr>
        <w:p w14:paraId="4B081ACC" w14:textId="77777777" w:rsidR="00503C87" w:rsidRPr="00D93F71" w:rsidRDefault="00503C87" w:rsidP="00D93F71">
          <w:pPr>
            <w:pStyle w:val="Header"/>
            <w:jc w:val="center"/>
            <w:rPr>
              <w:b/>
            </w:rPr>
          </w:pPr>
          <w:r>
            <w:rPr>
              <w:b/>
            </w:rPr>
            <w:t>Discussion</w:t>
          </w:r>
        </w:p>
      </w:tc>
      <w:tc>
        <w:tcPr>
          <w:tcW w:w="2970" w:type="dxa"/>
        </w:tcPr>
        <w:p w14:paraId="10F8CFDD" w14:textId="77777777" w:rsidR="00503C87" w:rsidRDefault="00503C87" w:rsidP="009D47DB">
          <w:pPr>
            <w:pStyle w:val="Header"/>
            <w:tabs>
              <w:tab w:val="left" w:pos="1053"/>
              <w:tab w:val="center" w:pos="1602"/>
            </w:tabs>
            <w:jc w:val="center"/>
            <w:rPr>
              <w:b/>
            </w:rPr>
          </w:pPr>
          <w:r>
            <w:rPr>
              <w:b/>
            </w:rPr>
            <w:t>Alternative 1</w:t>
          </w:r>
        </w:p>
      </w:tc>
      <w:tc>
        <w:tcPr>
          <w:tcW w:w="3240" w:type="dxa"/>
        </w:tcPr>
        <w:p w14:paraId="344B1D43" w14:textId="4612D815" w:rsidR="00503C87" w:rsidRPr="00D93F71" w:rsidRDefault="00503C87" w:rsidP="00CC6CA8">
          <w:pPr>
            <w:pStyle w:val="Header"/>
            <w:tabs>
              <w:tab w:val="left" w:pos="1053"/>
              <w:tab w:val="center" w:pos="1602"/>
            </w:tabs>
            <w:rPr>
              <w:b/>
            </w:rPr>
          </w:pPr>
          <w:r>
            <w:rPr>
              <w:b/>
            </w:rPr>
            <w:tab/>
            <w:t xml:space="preserve">Other Positions </w:t>
          </w:r>
        </w:p>
      </w:tc>
    </w:tr>
  </w:tbl>
  <w:p w14:paraId="7FAD8339" w14:textId="77777777" w:rsidR="00503C87" w:rsidRDefault="00503C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F83"/>
    <w:multiLevelType w:val="hybridMultilevel"/>
    <w:tmpl w:val="172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3ED4"/>
    <w:multiLevelType w:val="hybridMultilevel"/>
    <w:tmpl w:val="316C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CF1183"/>
    <w:multiLevelType w:val="hybridMultilevel"/>
    <w:tmpl w:val="89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D539A"/>
    <w:multiLevelType w:val="hybridMultilevel"/>
    <w:tmpl w:val="F990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0CC3"/>
    <w:multiLevelType w:val="hybridMultilevel"/>
    <w:tmpl w:val="93E2D3B8"/>
    <w:lvl w:ilvl="0" w:tplc="FCE460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1D6323"/>
    <w:multiLevelType w:val="hybridMultilevel"/>
    <w:tmpl w:val="EAEE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974D47"/>
    <w:multiLevelType w:val="hybridMultilevel"/>
    <w:tmpl w:val="E94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731F3"/>
    <w:multiLevelType w:val="hybridMultilevel"/>
    <w:tmpl w:val="2568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219A"/>
    <w:multiLevelType w:val="hybridMultilevel"/>
    <w:tmpl w:val="172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771A3"/>
    <w:multiLevelType w:val="hybridMultilevel"/>
    <w:tmpl w:val="E662EC14"/>
    <w:lvl w:ilvl="0" w:tplc="F49E05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3FDD"/>
    <w:multiLevelType w:val="hybridMultilevel"/>
    <w:tmpl w:val="74B8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C7A3A"/>
    <w:multiLevelType w:val="hybridMultilevel"/>
    <w:tmpl w:val="EC02CC16"/>
    <w:lvl w:ilvl="0" w:tplc="FCE460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37996"/>
    <w:multiLevelType w:val="hybridMultilevel"/>
    <w:tmpl w:val="89D6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1140"/>
    <w:multiLevelType w:val="hybridMultilevel"/>
    <w:tmpl w:val="C3007218"/>
    <w:lvl w:ilvl="0" w:tplc="9856B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D54B39"/>
    <w:multiLevelType w:val="hybridMultilevel"/>
    <w:tmpl w:val="54C4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D10A1"/>
    <w:multiLevelType w:val="hybridMultilevel"/>
    <w:tmpl w:val="73CC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04A09"/>
    <w:multiLevelType w:val="hybridMultilevel"/>
    <w:tmpl w:val="9852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80A73"/>
    <w:multiLevelType w:val="hybridMultilevel"/>
    <w:tmpl w:val="89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651B8"/>
    <w:multiLevelType w:val="hybridMultilevel"/>
    <w:tmpl w:val="172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46F25"/>
    <w:multiLevelType w:val="hybridMultilevel"/>
    <w:tmpl w:val="B57E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54525"/>
    <w:multiLevelType w:val="hybridMultilevel"/>
    <w:tmpl w:val="24CC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12262"/>
    <w:multiLevelType w:val="hybridMultilevel"/>
    <w:tmpl w:val="0880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76D55"/>
    <w:multiLevelType w:val="hybridMultilevel"/>
    <w:tmpl w:val="340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213A1"/>
    <w:multiLevelType w:val="hybridMultilevel"/>
    <w:tmpl w:val="89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C1ECD"/>
    <w:multiLevelType w:val="hybridMultilevel"/>
    <w:tmpl w:val="89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0438B"/>
    <w:multiLevelType w:val="hybridMultilevel"/>
    <w:tmpl w:val="ED2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930AC"/>
    <w:multiLevelType w:val="hybridMultilevel"/>
    <w:tmpl w:val="172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74851"/>
    <w:multiLevelType w:val="hybridMultilevel"/>
    <w:tmpl w:val="3A8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C0CD1"/>
    <w:multiLevelType w:val="hybridMultilevel"/>
    <w:tmpl w:val="89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FC52DE"/>
    <w:multiLevelType w:val="hybridMultilevel"/>
    <w:tmpl w:val="898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600BC"/>
    <w:multiLevelType w:val="hybridMultilevel"/>
    <w:tmpl w:val="172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323DA"/>
    <w:multiLevelType w:val="hybridMultilevel"/>
    <w:tmpl w:val="172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F32C5"/>
    <w:multiLevelType w:val="hybridMultilevel"/>
    <w:tmpl w:val="E94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D190A"/>
    <w:multiLevelType w:val="hybridMultilevel"/>
    <w:tmpl w:val="F40C29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55208C"/>
    <w:multiLevelType w:val="hybridMultilevel"/>
    <w:tmpl w:val="ACC0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976EFF"/>
    <w:multiLevelType w:val="hybridMultilevel"/>
    <w:tmpl w:val="6ACC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94261"/>
    <w:multiLevelType w:val="hybridMultilevel"/>
    <w:tmpl w:val="EF86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7368E"/>
    <w:multiLevelType w:val="hybridMultilevel"/>
    <w:tmpl w:val="66D46BB8"/>
    <w:lvl w:ilvl="0" w:tplc="287A1D2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193069"/>
    <w:multiLevelType w:val="hybridMultilevel"/>
    <w:tmpl w:val="F9A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86FFB"/>
    <w:multiLevelType w:val="hybridMultilevel"/>
    <w:tmpl w:val="1FD2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276B4"/>
    <w:multiLevelType w:val="hybridMultilevel"/>
    <w:tmpl w:val="ED2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27"/>
  </w:num>
  <w:num w:numId="4">
    <w:abstractNumId w:val="1"/>
  </w:num>
  <w:num w:numId="5">
    <w:abstractNumId w:val="34"/>
  </w:num>
  <w:num w:numId="6">
    <w:abstractNumId w:val="13"/>
  </w:num>
  <w:num w:numId="7">
    <w:abstractNumId w:val="5"/>
  </w:num>
  <w:num w:numId="8">
    <w:abstractNumId w:val="11"/>
  </w:num>
  <w:num w:numId="9">
    <w:abstractNumId w:val="4"/>
  </w:num>
  <w:num w:numId="10">
    <w:abstractNumId w:val="21"/>
  </w:num>
  <w:num w:numId="11">
    <w:abstractNumId w:val="8"/>
  </w:num>
  <w:num w:numId="12">
    <w:abstractNumId w:val="19"/>
  </w:num>
  <w:num w:numId="13">
    <w:abstractNumId w:val="29"/>
  </w:num>
  <w:num w:numId="14">
    <w:abstractNumId w:val="26"/>
  </w:num>
  <w:num w:numId="15">
    <w:abstractNumId w:val="0"/>
  </w:num>
  <w:num w:numId="16">
    <w:abstractNumId w:val="2"/>
  </w:num>
  <w:num w:numId="17">
    <w:abstractNumId w:val="18"/>
  </w:num>
  <w:num w:numId="18">
    <w:abstractNumId w:val="6"/>
  </w:num>
  <w:num w:numId="19">
    <w:abstractNumId w:val="30"/>
  </w:num>
  <w:num w:numId="20">
    <w:abstractNumId w:val="24"/>
  </w:num>
  <w:num w:numId="21">
    <w:abstractNumId w:val="37"/>
  </w:num>
  <w:num w:numId="22">
    <w:abstractNumId w:val="31"/>
  </w:num>
  <w:num w:numId="23">
    <w:abstractNumId w:val="17"/>
  </w:num>
  <w:num w:numId="24">
    <w:abstractNumId w:val="28"/>
  </w:num>
  <w:num w:numId="25">
    <w:abstractNumId w:val="12"/>
  </w:num>
  <w:num w:numId="26">
    <w:abstractNumId w:val="16"/>
  </w:num>
  <w:num w:numId="27">
    <w:abstractNumId w:val="14"/>
  </w:num>
  <w:num w:numId="28">
    <w:abstractNumId w:val="39"/>
  </w:num>
  <w:num w:numId="29">
    <w:abstractNumId w:val="25"/>
  </w:num>
  <w:num w:numId="30">
    <w:abstractNumId w:val="38"/>
  </w:num>
  <w:num w:numId="31">
    <w:abstractNumId w:val="3"/>
  </w:num>
  <w:num w:numId="32">
    <w:abstractNumId w:val="40"/>
  </w:num>
  <w:num w:numId="33">
    <w:abstractNumId w:val="15"/>
  </w:num>
  <w:num w:numId="34">
    <w:abstractNumId w:val="32"/>
  </w:num>
  <w:num w:numId="35">
    <w:abstractNumId w:val="20"/>
  </w:num>
  <w:num w:numId="36">
    <w:abstractNumId w:val="7"/>
  </w:num>
  <w:num w:numId="37">
    <w:abstractNumId w:val="35"/>
  </w:num>
  <w:num w:numId="38">
    <w:abstractNumId w:val="23"/>
  </w:num>
  <w:num w:numId="39">
    <w:abstractNumId w:val="22"/>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28"/>
    <w:rsid w:val="00001A27"/>
    <w:rsid w:val="00002CCC"/>
    <w:rsid w:val="0000555B"/>
    <w:rsid w:val="00006EA8"/>
    <w:rsid w:val="00007F96"/>
    <w:rsid w:val="00010DFB"/>
    <w:rsid w:val="000111EC"/>
    <w:rsid w:val="00012996"/>
    <w:rsid w:val="000138E4"/>
    <w:rsid w:val="00014B4D"/>
    <w:rsid w:val="0001662A"/>
    <w:rsid w:val="00021487"/>
    <w:rsid w:val="000221A0"/>
    <w:rsid w:val="00023018"/>
    <w:rsid w:val="00024263"/>
    <w:rsid w:val="00024510"/>
    <w:rsid w:val="00024783"/>
    <w:rsid w:val="0002514C"/>
    <w:rsid w:val="000257FD"/>
    <w:rsid w:val="000304DB"/>
    <w:rsid w:val="0003054D"/>
    <w:rsid w:val="00030C7E"/>
    <w:rsid w:val="00032543"/>
    <w:rsid w:val="00032860"/>
    <w:rsid w:val="00032D0E"/>
    <w:rsid w:val="00033050"/>
    <w:rsid w:val="000333D3"/>
    <w:rsid w:val="00033781"/>
    <w:rsid w:val="00034E09"/>
    <w:rsid w:val="00035CF4"/>
    <w:rsid w:val="0003621E"/>
    <w:rsid w:val="000362F3"/>
    <w:rsid w:val="00041327"/>
    <w:rsid w:val="000456AF"/>
    <w:rsid w:val="00046629"/>
    <w:rsid w:val="00046AC0"/>
    <w:rsid w:val="00047094"/>
    <w:rsid w:val="00047A8E"/>
    <w:rsid w:val="00052683"/>
    <w:rsid w:val="000532FB"/>
    <w:rsid w:val="00056691"/>
    <w:rsid w:val="00056C1B"/>
    <w:rsid w:val="000606F5"/>
    <w:rsid w:val="000607D8"/>
    <w:rsid w:val="00061BF3"/>
    <w:rsid w:val="00062713"/>
    <w:rsid w:val="0006452B"/>
    <w:rsid w:val="00064765"/>
    <w:rsid w:val="00064C46"/>
    <w:rsid w:val="00065405"/>
    <w:rsid w:val="0007046F"/>
    <w:rsid w:val="00074B69"/>
    <w:rsid w:val="00076AAE"/>
    <w:rsid w:val="00080B32"/>
    <w:rsid w:val="00081CB3"/>
    <w:rsid w:val="00082955"/>
    <w:rsid w:val="00082C6F"/>
    <w:rsid w:val="00082E40"/>
    <w:rsid w:val="00083DCC"/>
    <w:rsid w:val="000879FC"/>
    <w:rsid w:val="0009308C"/>
    <w:rsid w:val="0009334A"/>
    <w:rsid w:val="00093924"/>
    <w:rsid w:val="00094A17"/>
    <w:rsid w:val="000957F8"/>
    <w:rsid w:val="00095DB9"/>
    <w:rsid w:val="0009781E"/>
    <w:rsid w:val="00097CAF"/>
    <w:rsid w:val="000A0D97"/>
    <w:rsid w:val="000A4CA0"/>
    <w:rsid w:val="000A7E8E"/>
    <w:rsid w:val="000B1735"/>
    <w:rsid w:val="000B40C2"/>
    <w:rsid w:val="000B6757"/>
    <w:rsid w:val="000B6DC1"/>
    <w:rsid w:val="000C19AE"/>
    <w:rsid w:val="000C22E0"/>
    <w:rsid w:val="000C66A6"/>
    <w:rsid w:val="000D0AD4"/>
    <w:rsid w:val="000D204A"/>
    <w:rsid w:val="000D2274"/>
    <w:rsid w:val="000D2CE7"/>
    <w:rsid w:val="000D57EF"/>
    <w:rsid w:val="000D63AB"/>
    <w:rsid w:val="000D6EB1"/>
    <w:rsid w:val="000D782D"/>
    <w:rsid w:val="000E07F3"/>
    <w:rsid w:val="000E5A29"/>
    <w:rsid w:val="000E5E1A"/>
    <w:rsid w:val="000F3D88"/>
    <w:rsid w:val="000F4365"/>
    <w:rsid w:val="000F4E8D"/>
    <w:rsid w:val="00100D6E"/>
    <w:rsid w:val="00101C16"/>
    <w:rsid w:val="0010212D"/>
    <w:rsid w:val="0010358C"/>
    <w:rsid w:val="00105228"/>
    <w:rsid w:val="0010594D"/>
    <w:rsid w:val="0010616D"/>
    <w:rsid w:val="00106CB9"/>
    <w:rsid w:val="00112490"/>
    <w:rsid w:val="00113974"/>
    <w:rsid w:val="00116795"/>
    <w:rsid w:val="00117385"/>
    <w:rsid w:val="00120090"/>
    <w:rsid w:val="00120584"/>
    <w:rsid w:val="0012092A"/>
    <w:rsid w:val="00122B69"/>
    <w:rsid w:val="001251FB"/>
    <w:rsid w:val="00125D64"/>
    <w:rsid w:val="001270EE"/>
    <w:rsid w:val="00127201"/>
    <w:rsid w:val="001275B7"/>
    <w:rsid w:val="00127F0C"/>
    <w:rsid w:val="00131A45"/>
    <w:rsid w:val="00131B91"/>
    <w:rsid w:val="00131E18"/>
    <w:rsid w:val="00132244"/>
    <w:rsid w:val="00132CA0"/>
    <w:rsid w:val="001341B3"/>
    <w:rsid w:val="001367D7"/>
    <w:rsid w:val="001371D3"/>
    <w:rsid w:val="0013794C"/>
    <w:rsid w:val="00140282"/>
    <w:rsid w:val="001412E6"/>
    <w:rsid w:val="0014307A"/>
    <w:rsid w:val="001431D6"/>
    <w:rsid w:val="001434B2"/>
    <w:rsid w:val="00145791"/>
    <w:rsid w:val="00146BF6"/>
    <w:rsid w:val="0014704C"/>
    <w:rsid w:val="00150A04"/>
    <w:rsid w:val="00151535"/>
    <w:rsid w:val="00151E07"/>
    <w:rsid w:val="00151EEE"/>
    <w:rsid w:val="001521E3"/>
    <w:rsid w:val="001521EB"/>
    <w:rsid w:val="001553E2"/>
    <w:rsid w:val="0015558C"/>
    <w:rsid w:val="001557B1"/>
    <w:rsid w:val="00156AA9"/>
    <w:rsid w:val="0015732C"/>
    <w:rsid w:val="00157540"/>
    <w:rsid w:val="00157B37"/>
    <w:rsid w:val="00160C54"/>
    <w:rsid w:val="00161651"/>
    <w:rsid w:val="00163046"/>
    <w:rsid w:val="001636AF"/>
    <w:rsid w:val="00163876"/>
    <w:rsid w:val="001667D1"/>
    <w:rsid w:val="00171306"/>
    <w:rsid w:val="00171E87"/>
    <w:rsid w:val="00171EC6"/>
    <w:rsid w:val="00172B30"/>
    <w:rsid w:val="0017362F"/>
    <w:rsid w:val="00173A21"/>
    <w:rsid w:val="001745A5"/>
    <w:rsid w:val="00174B2A"/>
    <w:rsid w:val="00175299"/>
    <w:rsid w:val="0017542B"/>
    <w:rsid w:val="0017597A"/>
    <w:rsid w:val="00175DA6"/>
    <w:rsid w:val="001807F9"/>
    <w:rsid w:val="001815A7"/>
    <w:rsid w:val="00182CAB"/>
    <w:rsid w:val="00183851"/>
    <w:rsid w:val="0018499A"/>
    <w:rsid w:val="001865F5"/>
    <w:rsid w:val="00187BA8"/>
    <w:rsid w:val="00190C22"/>
    <w:rsid w:val="001924BA"/>
    <w:rsid w:val="00192D2F"/>
    <w:rsid w:val="00196CE5"/>
    <w:rsid w:val="0019799E"/>
    <w:rsid w:val="001A07C1"/>
    <w:rsid w:val="001A12AE"/>
    <w:rsid w:val="001A1452"/>
    <w:rsid w:val="001A2364"/>
    <w:rsid w:val="001A3638"/>
    <w:rsid w:val="001A3F2D"/>
    <w:rsid w:val="001A5650"/>
    <w:rsid w:val="001A5FDD"/>
    <w:rsid w:val="001B17BB"/>
    <w:rsid w:val="001B2D6D"/>
    <w:rsid w:val="001B455B"/>
    <w:rsid w:val="001B4E7B"/>
    <w:rsid w:val="001B5D43"/>
    <w:rsid w:val="001B6E26"/>
    <w:rsid w:val="001C2769"/>
    <w:rsid w:val="001C2D94"/>
    <w:rsid w:val="001C6140"/>
    <w:rsid w:val="001C6CD4"/>
    <w:rsid w:val="001C708B"/>
    <w:rsid w:val="001C71C8"/>
    <w:rsid w:val="001D0D88"/>
    <w:rsid w:val="001D2371"/>
    <w:rsid w:val="001D7567"/>
    <w:rsid w:val="001E087D"/>
    <w:rsid w:val="001E11A3"/>
    <w:rsid w:val="001E225B"/>
    <w:rsid w:val="001E2C90"/>
    <w:rsid w:val="001E3503"/>
    <w:rsid w:val="001E3535"/>
    <w:rsid w:val="001E399C"/>
    <w:rsid w:val="001E4162"/>
    <w:rsid w:val="001E4CA9"/>
    <w:rsid w:val="001E551F"/>
    <w:rsid w:val="001E5A19"/>
    <w:rsid w:val="001E5DDD"/>
    <w:rsid w:val="001F0E87"/>
    <w:rsid w:val="001F225B"/>
    <w:rsid w:val="001F22F7"/>
    <w:rsid w:val="001F2581"/>
    <w:rsid w:val="001F5F2F"/>
    <w:rsid w:val="001F737A"/>
    <w:rsid w:val="0020226A"/>
    <w:rsid w:val="002022A2"/>
    <w:rsid w:val="00202BED"/>
    <w:rsid w:val="0020318F"/>
    <w:rsid w:val="00204763"/>
    <w:rsid w:val="00205017"/>
    <w:rsid w:val="002051FB"/>
    <w:rsid w:val="00205BDE"/>
    <w:rsid w:val="00207A43"/>
    <w:rsid w:val="00207E45"/>
    <w:rsid w:val="00210533"/>
    <w:rsid w:val="00210686"/>
    <w:rsid w:val="00211D6E"/>
    <w:rsid w:val="0021586C"/>
    <w:rsid w:val="00215D5B"/>
    <w:rsid w:val="00216107"/>
    <w:rsid w:val="002173B3"/>
    <w:rsid w:val="00217FD4"/>
    <w:rsid w:val="002215C3"/>
    <w:rsid w:val="00222BDE"/>
    <w:rsid w:val="002236C8"/>
    <w:rsid w:val="00224C16"/>
    <w:rsid w:val="002273CD"/>
    <w:rsid w:val="002275DB"/>
    <w:rsid w:val="00230009"/>
    <w:rsid w:val="00230CFF"/>
    <w:rsid w:val="00231717"/>
    <w:rsid w:val="00231790"/>
    <w:rsid w:val="00235E58"/>
    <w:rsid w:val="0023705A"/>
    <w:rsid w:val="0024285A"/>
    <w:rsid w:val="002456DB"/>
    <w:rsid w:val="002465A4"/>
    <w:rsid w:val="00246640"/>
    <w:rsid w:val="00247F7E"/>
    <w:rsid w:val="00255C25"/>
    <w:rsid w:val="002579C4"/>
    <w:rsid w:val="002602E0"/>
    <w:rsid w:val="00260F4B"/>
    <w:rsid w:val="002611CC"/>
    <w:rsid w:val="00261E0B"/>
    <w:rsid w:val="00261F2F"/>
    <w:rsid w:val="00262F46"/>
    <w:rsid w:val="002635A5"/>
    <w:rsid w:val="00263DFB"/>
    <w:rsid w:val="00264A32"/>
    <w:rsid w:val="00265320"/>
    <w:rsid w:val="00265D72"/>
    <w:rsid w:val="002665BB"/>
    <w:rsid w:val="00266B6E"/>
    <w:rsid w:val="00266B76"/>
    <w:rsid w:val="002704D8"/>
    <w:rsid w:val="0027076A"/>
    <w:rsid w:val="00277927"/>
    <w:rsid w:val="00277EC2"/>
    <w:rsid w:val="00280426"/>
    <w:rsid w:val="002813BC"/>
    <w:rsid w:val="002814A5"/>
    <w:rsid w:val="00282D44"/>
    <w:rsid w:val="00285D17"/>
    <w:rsid w:val="00292E3B"/>
    <w:rsid w:val="00293A70"/>
    <w:rsid w:val="00296B1E"/>
    <w:rsid w:val="002971AD"/>
    <w:rsid w:val="00297CAC"/>
    <w:rsid w:val="002A4050"/>
    <w:rsid w:val="002A5B23"/>
    <w:rsid w:val="002A6434"/>
    <w:rsid w:val="002A71DC"/>
    <w:rsid w:val="002B05A5"/>
    <w:rsid w:val="002B2498"/>
    <w:rsid w:val="002B3FD6"/>
    <w:rsid w:val="002B4CB9"/>
    <w:rsid w:val="002B520F"/>
    <w:rsid w:val="002B601E"/>
    <w:rsid w:val="002B7096"/>
    <w:rsid w:val="002B7F1D"/>
    <w:rsid w:val="002C08A4"/>
    <w:rsid w:val="002C378C"/>
    <w:rsid w:val="002C3D7B"/>
    <w:rsid w:val="002C528A"/>
    <w:rsid w:val="002C74E8"/>
    <w:rsid w:val="002D3222"/>
    <w:rsid w:val="002D3A0A"/>
    <w:rsid w:val="002D774D"/>
    <w:rsid w:val="002E08C3"/>
    <w:rsid w:val="002E2F7F"/>
    <w:rsid w:val="002E3D64"/>
    <w:rsid w:val="002E3F42"/>
    <w:rsid w:val="002E4047"/>
    <w:rsid w:val="002E5188"/>
    <w:rsid w:val="002E5960"/>
    <w:rsid w:val="002F005F"/>
    <w:rsid w:val="002F21AE"/>
    <w:rsid w:val="002F3F18"/>
    <w:rsid w:val="002F5115"/>
    <w:rsid w:val="002F5F22"/>
    <w:rsid w:val="002F640D"/>
    <w:rsid w:val="002F700A"/>
    <w:rsid w:val="002F71FA"/>
    <w:rsid w:val="002F7E67"/>
    <w:rsid w:val="0030204D"/>
    <w:rsid w:val="00302679"/>
    <w:rsid w:val="00304469"/>
    <w:rsid w:val="003048E5"/>
    <w:rsid w:val="003067C1"/>
    <w:rsid w:val="00307D20"/>
    <w:rsid w:val="00313222"/>
    <w:rsid w:val="00315F66"/>
    <w:rsid w:val="00316C85"/>
    <w:rsid w:val="00320B58"/>
    <w:rsid w:val="00324410"/>
    <w:rsid w:val="00325B16"/>
    <w:rsid w:val="00326EEB"/>
    <w:rsid w:val="003272A6"/>
    <w:rsid w:val="00331784"/>
    <w:rsid w:val="00333E8D"/>
    <w:rsid w:val="00334F6E"/>
    <w:rsid w:val="00335C77"/>
    <w:rsid w:val="0033790E"/>
    <w:rsid w:val="003408C0"/>
    <w:rsid w:val="00340AE5"/>
    <w:rsid w:val="00340CCE"/>
    <w:rsid w:val="00342F62"/>
    <w:rsid w:val="0034312D"/>
    <w:rsid w:val="00343CAD"/>
    <w:rsid w:val="00343D54"/>
    <w:rsid w:val="003451B3"/>
    <w:rsid w:val="0034623B"/>
    <w:rsid w:val="0034629C"/>
    <w:rsid w:val="003462B7"/>
    <w:rsid w:val="003479AE"/>
    <w:rsid w:val="00351C6D"/>
    <w:rsid w:val="00352A50"/>
    <w:rsid w:val="003544D9"/>
    <w:rsid w:val="00354D09"/>
    <w:rsid w:val="003551AD"/>
    <w:rsid w:val="00356CCE"/>
    <w:rsid w:val="003626F6"/>
    <w:rsid w:val="003631A6"/>
    <w:rsid w:val="00364605"/>
    <w:rsid w:val="003653F5"/>
    <w:rsid w:val="003704C3"/>
    <w:rsid w:val="00371888"/>
    <w:rsid w:val="003732FE"/>
    <w:rsid w:val="00373F75"/>
    <w:rsid w:val="00374787"/>
    <w:rsid w:val="00374AD6"/>
    <w:rsid w:val="0037598E"/>
    <w:rsid w:val="00375A02"/>
    <w:rsid w:val="00375D32"/>
    <w:rsid w:val="0037735E"/>
    <w:rsid w:val="003801E5"/>
    <w:rsid w:val="00384D0A"/>
    <w:rsid w:val="00386508"/>
    <w:rsid w:val="00386B55"/>
    <w:rsid w:val="003871FE"/>
    <w:rsid w:val="00390067"/>
    <w:rsid w:val="00390667"/>
    <w:rsid w:val="00394ABD"/>
    <w:rsid w:val="003955C5"/>
    <w:rsid w:val="00396870"/>
    <w:rsid w:val="0039738B"/>
    <w:rsid w:val="003A01E9"/>
    <w:rsid w:val="003A0D41"/>
    <w:rsid w:val="003A3E60"/>
    <w:rsid w:val="003A4D90"/>
    <w:rsid w:val="003A54A7"/>
    <w:rsid w:val="003A5926"/>
    <w:rsid w:val="003B12C9"/>
    <w:rsid w:val="003B23CC"/>
    <w:rsid w:val="003B3DE0"/>
    <w:rsid w:val="003B4CB9"/>
    <w:rsid w:val="003B580C"/>
    <w:rsid w:val="003B62F6"/>
    <w:rsid w:val="003B7829"/>
    <w:rsid w:val="003C099B"/>
    <w:rsid w:val="003C1BBA"/>
    <w:rsid w:val="003C1EFA"/>
    <w:rsid w:val="003C20B2"/>
    <w:rsid w:val="003C27B1"/>
    <w:rsid w:val="003D13D4"/>
    <w:rsid w:val="003D1CEE"/>
    <w:rsid w:val="003D278C"/>
    <w:rsid w:val="003D40BC"/>
    <w:rsid w:val="003D64A0"/>
    <w:rsid w:val="003E00BA"/>
    <w:rsid w:val="003E237D"/>
    <w:rsid w:val="003E533B"/>
    <w:rsid w:val="003E60CD"/>
    <w:rsid w:val="003E6C6A"/>
    <w:rsid w:val="003E6F15"/>
    <w:rsid w:val="003F28C6"/>
    <w:rsid w:val="003F2E49"/>
    <w:rsid w:val="003F59B3"/>
    <w:rsid w:val="003F5A40"/>
    <w:rsid w:val="003F6067"/>
    <w:rsid w:val="003F64F2"/>
    <w:rsid w:val="003F7263"/>
    <w:rsid w:val="003F7B07"/>
    <w:rsid w:val="00400412"/>
    <w:rsid w:val="004004A0"/>
    <w:rsid w:val="004006DA"/>
    <w:rsid w:val="004006DD"/>
    <w:rsid w:val="00403DEC"/>
    <w:rsid w:val="00404766"/>
    <w:rsid w:val="00405035"/>
    <w:rsid w:val="004063C7"/>
    <w:rsid w:val="004075FB"/>
    <w:rsid w:val="00407B12"/>
    <w:rsid w:val="004102F7"/>
    <w:rsid w:val="004122BA"/>
    <w:rsid w:val="0041266B"/>
    <w:rsid w:val="0041272F"/>
    <w:rsid w:val="00413F0F"/>
    <w:rsid w:val="00415C52"/>
    <w:rsid w:val="0041664A"/>
    <w:rsid w:val="00417FAB"/>
    <w:rsid w:val="00422486"/>
    <w:rsid w:val="004250A3"/>
    <w:rsid w:val="00426D88"/>
    <w:rsid w:val="004301B9"/>
    <w:rsid w:val="0043058A"/>
    <w:rsid w:val="00431C95"/>
    <w:rsid w:val="00432CE6"/>
    <w:rsid w:val="0043365B"/>
    <w:rsid w:val="00434F27"/>
    <w:rsid w:val="0043542F"/>
    <w:rsid w:val="004374C5"/>
    <w:rsid w:val="00437576"/>
    <w:rsid w:val="0044196B"/>
    <w:rsid w:val="00443BFD"/>
    <w:rsid w:val="00446A2A"/>
    <w:rsid w:val="00447E60"/>
    <w:rsid w:val="00450209"/>
    <w:rsid w:val="0045076B"/>
    <w:rsid w:val="00450C94"/>
    <w:rsid w:val="0045316D"/>
    <w:rsid w:val="00453444"/>
    <w:rsid w:val="00456B86"/>
    <w:rsid w:val="0045782A"/>
    <w:rsid w:val="00462774"/>
    <w:rsid w:val="004637B1"/>
    <w:rsid w:val="00463F99"/>
    <w:rsid w:val="00465635"/>
    <w:rsid w:val="004710EE"/>
    <w:rsid w:val="00471705"/>
    <w:rsid w:val="00471B67"/>
    <w:rsid w:val="004748EA"/>
    <w:rsid w:val="00477AB2"/>
    <w:rsid w:val="004808BA"/>
    <w:rsid w:val="00481803"/>
    <w:rsid w:val="00481C21"/>
    <w:rsid w:val="00483A88"/>
    <w:rsid w:val="00485967"/>
    <w:rsid w:val="00490BDF"/>
    <w:rsid w:val="0049175B"/>
    <w:rsid w:val="00492867"/>
    <w:rsid w:val="00493BF5"/>
    <w:rsid w:val="0049464B"/>
    <w:rsid w:val="00494BA6"/>
    <w:rsid w:val="004950E1"/>
    <w:rsid w:val="004975C7"/>
    <w:rsid w:val="004A0EBD"/>
    <w:rsid w:val="004A1FA0"/>
    <w:rsid w:val="004A4F63"/>
    <w:rsid w:val="004A512E"/>
    <w:rsid w:val="004A5EF9"/>
    <w:rsid w:val="004A6CDC"/>
    <w:rsid w:val="004A7542"/>
    <w:rsid w:val="004A7F05"/>
    <w:rsid w:val="004B07B1"/>
    <w:rsid w:val="004B1B06"/>
    <w:rsid w:val="004B75C8"/>
    <w:rsid w:val="004B7EF7"/>
    <w:rsid w:val="004C0016"/>
    <w:rsid w:val="004C2591"/>
    <w:rsid w:val="004C308E"/>
    <w:rsid w:val="004C38CB"/>
    <w:rsid w:val="004C531D"/>
    <w:rsid w:val="004C6530"/>
    <w:rsid w:val="004C7109"/>
    <w:rsid w:val="004C7139"/>
    <w:rsid w:val="004C728F"/>
    <w:rsid w:val="004C7767"/>
    <w:rsid w:val="004D033D"/>
    <w:rsid w:val="004D0750"/>
    <w:rsid w:val="004D0803"/>
    <w:rsid w:val="004D13BE"/>
    <w:rsid w:val="004D46F3"/>
    <w:rsid w:val="004D54E9"/>
    <w:rsid w:val="004D6017"/>
    <w:rsid w:val="004E1AEB"/>
    <w:rsid w:val="004E1DB9"/>
    <w:rsid w:val="004E43B0"/>
    <w:rsid w:val="004E62CA"/>
    <w:rsid w:val="004E6F72"/>
    <w:rsid w:val="004F03F3"/>
    <w:rsid w:val="004F24D7"/>
    <w:rsid w:val="004F3864"/>
    <w:rsid w:val="004F5093"/>
    <w:rsid w:val="004F52B4"/>
    <w:rsid w:val="004F54AE"/>
    <w:rsid w:val="0050048B"/>
    <w:rsid w:val="005016A7"/>
    <w:rsid w:val="00501E65"/>
    <w:rsid w:val="005033C3"/>
    <w:rsid w:val="00503C87"/>
    <w:rsid w:val="00503CA4"/>
    <w:rsid w:val="00504747"/>
    <w:rsid w:val="00504EB2"/>
    <w:rsid w:val="00505307"/>
    <w:rsid w:val="005142B7"/>
    <w:rsid w:val="00514FF4"/>
    <w:rsid w:val="00516ACA"/>
    <w:rsid w:val="00517361"/>
    <w:rsid w:val="005176A6"/>
    <w:rsid w:val="005206CC"/>
    <w:rsid w:val="00520B82"/>
    <w:rsid w:val="00522570"/>
    <w:rsid w:val="00527530"/>
    <w:rsid w:val="005307C6"/>
    <w:rsid w:val="00530832"/>
    <w:rsid w:val="00531AE8"/>
    <w:rsid w:val="0053213C"/>
    <w:rsid w:val="0053270D"/>
    <w:rsid w:val="005330A9"/>
    <w:rsid w:val="005336C7"/>
    <w:rsid w:val="005357BB"/>
    <w:rsid w:val="00536120"/>
    <w:rsid w:val="0054112C"/>
    <w:rsid w:val="005417B9"/>
    <w:rsid w:val="00546EE0"/>
    <w:rsid w:val="00547D07"/>
    <w:rsid w:val="00547D0A"/>
    <w:rsid w:val="005514C2"/>
    <w:rsid w:val="00551EA9"/>
    <w:rsid w:val="00552648"/>
    <w:rsid w:val="005530C2"/>
    <w:rsid w:val="0055619C"/>
    <w:rsid w:val="005561B1"/>
    <w:rsid w:val="00560803"/>
    <w:rsid w:val="00565861"/>
    <w:rsid w:val="0056701F"/>
    <w:rsid w:val="00570454"/>
    <w:rsid w:val="00571FB3"/>
    <w:rsid w:val="005720B0"/>
    <w:rsid w:val="0057290E"/>
    <w:rsid w:val="005756A4"/>
    <w:rsid w:val="00576958"/>
    <w:rsid w:val="0057760D"/>
    <w:rsid w:val="005815C6"/>
    <w:rsid w:val="00581651"/>
    <w:rsid w:val="00582ECD"/>
    <w:rsid w:val="005836BF"/>
    <w:rsid w:val="00585199"/>
    <w:rsid w:val="00586042"/>
    <w:rsid w:val="0058680B"/>
    <w:rsid w:val="00587668"/>
    <w:rsid w:val="005953C6"/>
    <w:rsid w:val="00595C2A"/>
    <w:rsid w:val="00595E94"/>
    <w:rsid w:val="005A0CF9"/>
    <w:rsid w:val="005A1C71"/>
    <w:rsid w:val="005A1E6B"/>
    <w:rsid w:val="005A221D"/>
    <w:rsid w:val="005A26BC"/>
    <w:rsid w:val="005A4DD8"/>
    <w:rsid w:val="005A76D8"/>
    <w:rsid w:val="005B2D06"/>
    <w:rsid w:val="005B309E"/>
    <w:rsid w:val="005B353A"/>
    <w:rsid w:val="005B355D"/>
    <w:rsid w:val="005B4B0A"/>
    <w:rsid w:val="005B7FE4"/>
    <w:rsid w:val="005C0D52"/>
    <w:rsid w:val="005C0FC4"/>
    <w:rsid w:val="005C24CF"/>
    <w:rsid w:val="005C3AF6"/>
    <w:rsid w:val="005C4152"/>
    <w:rsid w:val="005C436A"/>
    <w:rsid w:val="005C5D72"/>
    <w:rsid w:val="005C5EDA"/>
    <w:rsid w:val="005C661D"/>
    <w:rsid w:val="005C6721"/>
    <w:rsid w:val="005C6FFB"/>
    <w:rsid w:val="005D2082"/>
    <w:rsid w:val="005D27EE"/>
    <w:rsid w:val="005D2C66"/>
    <w:rsid w:val="005D4E71"/>
    <w:rsid w:val="005D6891"/>
    <w:rsid w:val="005D765D"/>
    <w:rsid w:val="005E0676"/>
    <w:rsid w:val="005E1C74"/>
    <w:rsid w:val="005E2470"/>
    <w:rsid w:val="005E3AE3"/>
    <w:rsid w:val="005E6E60"/>
    <w:rsid w:val="005E7DF5"/>
    <w:rsid w:val="005F037B"/>
    <w:rsid w:val="005F195A"/>
    <w:rsid w:val="005F2714"/>
    <w:rsid w:val="005F35F9"/>
    <w:rsid w:val="005F4811"/>
    <w:rsid w:val="005F6F6E"/>
    <w:rsid w:val="006017AF"/>
    <w:rsid w:val="00602C4F"/>
    <w:rsid w:val="00602F07"/>
    <w:rsid w:val="00605146"/>
    <w:rsid w:val="00605224"/>
    <w:rsid w:val="00605941"/>
    <w:rsid w:val="00607144"/>
    <w:rsid w:val="00607D80"/>
    <w:rsid w:val="00612D17"/>
    <w:rsid w:val="00613C22"/>
    <w:rsid w:val="00613C3D"/>
    <w:rsid w:val="0061561C"/>
    <w:rsid w:val="006169C5"/>
    <w:rsid w:val="006210B6"/>
    <w:rsid w:val="0062465A"/>
    <w:rsid w:val="00630541"/>
    <w:rsid w:val="006329D6"/>
    <w:rsid w:val="00632EF8"/>
    <w:rsid w:val="00636EA6"/>
    <w:rsid w:val="006377A8"/>
    <w:rsid w:val="00641320"/>
    <w:rsid w:val="006414FF"/>
    <w:rsid w:val="0064165F"/>
    <w:rsid w:val="00642303"/>
    <w:rsid w:val="00643C54"/>
    <w:rsid w:val="00646CE9"/>
    <w:rsid w:val="006476E6"/>
    <w:rsid w:val="00650735"/>
    <w:rsid w:val="00651951"/>
    <w:rsid w:val="00651C50"/>
    <w:rsid w:val="0066284A"/>
    <w:rsid w:val="00662906"/>
    <w:rsid w:val="00667A80"/>
    <w:rsid w:val="00672D73"/>
    <w:rsid w:val="00676F19"/>
    <w:rsid w:val="00677D1C"/>
    <w:rsid w:val="0068077E"/>
    <w:rsid w:val="00680B08"/>
    <w:rsid w:val="006814D6"/>
    <w:rsid w:val="00682060"/>
    <w:rsid w:val="006823EB"/>
    <w:rsid w:val="006827D1"/>
    <w:rsid w:val="00684B12"/>
    <w:rsid w:val="00687C91"/>
    <w:rsid w:val="006908E1"/>
    <w:rsid w:val="006925CA"/>
    <w:rsid w:val="0069624B"/>
    <w:rsid w:val="0069656B"/>
    <w:rsid w:val="006A020C"/>
    <w:rsid w:val="006A0963"/>
    <w:rsid w:val="006A2928"/>
    <w:rsid w:val="006A3A9D"/>
    <w:rsid w:val="006A4A75"/>
    <w:rsid w:val="006A66F6"/>
    <w:rsid w:val="006B015E"/>
    <w:rsid w:val="006B2BC3"/>
    <w:rsid w:val="006B39BC"/>
    <w:rsid w:val="006B491E"/>
    <w:rsid w:val="006B56D1"/>
    <w:rsid w:val="006B5D87"/>
    <w:rsid w:val="006B5E6C"/>
    <w:rsid w:val="006B61E8"/>
    <w:rsid w:val="006B6E82"/>
    <w:rsid w:val="006B78AE"/>
    <w:rsid w:val="006C2463"/>
    <w:rsid w:val="006C4B88"/>
    <w:rsid w:val="006C70AF"/>
    <w:rsid w:val="006D1976"/>
    <w:rsid w:val="006D1D3A"/>
    <w:rsid w:val="006D27FC"/>
    <w:rsid w:val="006D3751"/>
    <w:rsid w:val="006D52B5"/>
    <w:rsid w:val="006D66A2"/>
    <w:rsid w:val="006D7775"/>
    <w:rsid w:val="006E1CB5"/>
    <w:rsid w:val="006E1CF5"/>
    <w:rsid w:val="006E297D"/>
    <w:rsid w:val="006E73EC"/>
    <w:rsid w:val="006F011A"/>
    <w:rsid w:val="006F0AAA"/>
    <w:rsid w:val="006F2418"/>
    <w:rsid w:val="006F2CC1"/>
    <w:rsid w:val="006F2E82"/>
    <w:rsid w:val="006F2F5E"/>
    <w:rsid w:val="006F3E66"/>
    <w:rsid w:val="006F40F0"/>
    <w:rsid w:val="006F4384"/>
    <w:rsid w:val="006F5AE0"/>
    <w:rsid w:val="006F6E9B"/>
    <w:rsid w:val="006F7211"/>
    <w:rsid w:val="00700D83"/>
    <w:rsid w:val="007045FE"/>
    <w:rsid w:val="00706977"/>
    <w:rsid w:val="0070776A"/>
    <w:rsid w:val="007132A3"/>
    <w:rsid w:val="00713CF8"/>
    <w:rsid w:val="00713D55"/>
    <w:rsid w:val="007146C7"/>
    <w:rsid w:val="007148DC"/>
    <w:rsid w:val="00715D14"/>
    <w:rsid w:val="00716112"/>
    <w:rsid w:val="00721423"/>
    <w:rsid w:val="007214B5"/>
    <w:rsid w:val="00722982"/>
    <w:rsid w:val="007235B0"/>
    <w:rsid w:val="00724211"/>
    <w:rsid w:val="00725C4D"/>
    <w:rsid w:val="00731BC5"/>
    <w:rsid w:val="00731F84"/>
    <w:rsid w:val="00732E66"/>
    <w:rsid w:val="0073422E"/>
    <w:rsid w:val="00734BB2"/>
    <w:rsid w:val="00736480"/>
    <w:rsid w:val="00737131"/>
    <w:rsid w:val="007379D2"/>
    <w:rsid w:val="00745215"/>
    <w:rsid w:val="00747022"/>
    <w:rsid w:val="00747421"/>
    <w:rsid w:val="007479C8"/>
    <w:rsid w:val="00747A22"/>
    <w:rsid w:val="00747BE1"/>
    <w:rsid w:val="0075090E"/>
    <w:rsid w:val="007509CE"/>
    <w:rsid w:val="00750C10"/>
    <w:rsid w:val="00751C3C"/>
    <w:rsid w:val="00752372"/>
    <w:rsid w:val="007527A3"/>
    <w:rsid w:val="007530A1"/>
    <w:rsid w:val="007531F2"/>
    <w:rsid w:val="007535D3"/>
    <w:rsid w:val="00753989"/>
    <w:rsid w:val="00753BF4"/>
    <w:rsid w:val="0075404A"/>
    <w:rsid w:val="00756562"/>
    <w:rsid w:val="00756AF6"/>
    <w:rsid w:val="00756C95"/>
    <w:rsid w:val="00756DC2"/>
    <w:rsid w:val="00756DE6"/>
    <w:rsid w:val="00756E4A"/>
    <w:rsid w:val="00757171"/>
    <w:rsid w:val="007620A8"/>
    <w:rsid w:val="00763FEF"/>
    <w:rsid w:val="00764110"/>
    <w:rsid w:val="00764430"/>
    <w:rsid w:val="007705A9"/>
    <w:rsid w:val="00774E90"/>
    <w:rsid w:val="00775E82"/>
    <w:rsid w:val="00775F6E"/>
    <w:rsid w:val="00777068"/>
    <w:rsid w:val="00781297"/>
    <w:rsid w:val="0078146E"/>
    <w:rsid w:val="007843E6"/>
    <w:rsid w:val="00785BB7"/>
    <w:rsid w:val="00786169"/>
    <w:rsid w:val="007870F8"/>
    <w:rsid w:val="00787CA8"/>
    <w:rsid w:val="007913D5"/>
    <w:rsid w:val="00791FDE"/>
    <w:rsid w:val="007932DD"/>
    <w:rsid w:val="00793D1C"/>
    <w:rsid w:val="0079415E"/>
    <w:rsid w:val="00794B97"/>
    <w:rsid w:val="00794C43"/>
    <w:rsid w:val="00797E1A"/>
    <w:rsid w:val="007A3244"/>
    <w:rsid w:val="007A3947"/>
    <w:rsid w:val="007A63D2"/>
    <w:rsid w:val="007A7384"/>
    <w:rsid w:val="007B3FA9"/>
    <w:rsid w:val="007B4423"/>
    <w:rsid w:val="007B7133"/>
    <w:rsid w:val="007C0111"/>
    <w:rsid w:val="007C0733"/>
    <w:rsid w:val="007C1E7F"/>
    <w:rsid w:val="007C50AE"/>
    <w:rsid w:val="007C5ADB"/>
    <w:rsid w:val="007C5F4E"/>
    <w:rsid w:val="007C6F0E"/>
    <w:rsid w:val="007C705A"/>
    <w:rsid w:val="007D0748"/>
    <w:rsid w:val="007D0879"/>
    <w:rsid w:val="007D1AD4"/>
    <w:rsid w:val="007D2BFE"/>
    <w:rsid w:val="007D40B8"/>
    <w:rsid w:val="007D566A"/>
    <w:rsid w:val="007D64B5"/>
    <w:rsid w:val="007D6696"/>
    <w:rsid w:val="007D7107"/>
    <w:rsid w:val="007E0360"/>
    <w:rsid w:val="007E1DEA"/>
    <w:rsid w:val="007E2ED1"/>
    <w:rsid w:val="007E2FAC"/>
    <w:rsid w:val="007E49AC"/>
    <w:rsid w:val="007F0E97"/>
    <w:rsid w:val="007F17BF"/>
    <w:rsid w:val="007F1B1A"/>
    <w:rsid w:val="007F3E39"/>
    <w:rsid w:val="007F4D6C"/>
    <w:rsid w:val="007F4F9A"/>
    <w:rsid w:val="007F551D"/>
    <w:rsid w:val="007F6B44"/>
    <w:rsid w:val="00806566"/>
    <w:rsid w:val="00806D02"/>
    <w:rsid w:val="00810750"/>
    <w:rsid w:val="00810AB0"/>
    <w:rsid w:val="008117CB"/>
    <w:rsid w:val="0081636A"/>
    <w:rsid w:val="008164AC"/>
    <w:rsid w:val="00820555"/>
    <w:rsid w:val="00820E82"/>
    <w:rsid w:val="00822301"/>
    <w:rsid w:val="008240F2"/>
    <w:rsid w:val="0082437F"/>
    <w:rsid w:val="00824895"/>
    <w:rsid w:val="00824A78"/>
    <w:rsid w:val="00826D0A"/>
    <w:rsid w:val="00827461"/>
    <w:rsid w:val="00827B07"/>
    <w:rsid w:val="00827B6D"/>
    <w:rsid w:val="0083041C"/>
    <w:rsid w:val="008357C4"/>
    <w:rsid w:val="00836BA1"/>
    <w:rsid w:val="00837CC3"/>
    <w:rsid w:val="00840873"/>
    <w:rsid w:val="0084090F"/>
    <w:rsid w:val="00840E1C"/>
    <w:rsid w:val="00840F22"/>
    <w:rsid w:val="00841F62"/>
    <w:rsid w:val="0084210E"/>
    <w:rsid w:val="00843697"/>
    <w:rsid w:val="008437DD"/>
    <w:rsid w:val="00844A2F"/>
    <w:rsid w:val="00845088"/>
    <w:rsid w:val="008456B4"/>
    <w:rsid w:val="00847A2E"/>
    <w:rsid w:val="008513E4"/>
    <w:rsid w:val="00851614"/>
    <w:rsid w:val="00851A39"/>
    <w:rsid w:val="00853106"/>
    <w:rsid w:val="00853268"/>
    <w:rsid w:val="00854BAA"/>
    <w:rsid w:val="00854F3C"/>
    <w:rsid w:val="008566F0"/>
    <w:rsid w:val="00860CD4"/>
    <w:rsid w:val="0086169E"/>
    <w:rsid w:val="008623DA"/>
    <w:rsid w:val="00863B7C"/>
    <w:rsid w:val="00864D36"/>
    <w:rsid w:val="00865388"/>
    <w:rsid w:val="00865761"/>
    <w:rsid w:val="00865B0B"/>
    <w:rsid w:val="00865F13"/>
    <w:rsid w:val="00867219"/>
    <w:rsid w:val="00872697"/>
    <w:rsid w:val="00872A84"/>
    <w:rsid w:val="00872EB0"/>
    <w:rsid w:val="0087401C"/>
    <w:rsid w:val="00875059"/>
    <w:rsid w:val="00876BF5"/>
    <w:rsid w:val="008804E0"/>
    <w:rsid w:val="0088341C"/>
    <w:rsid w:val="008836CE"/>
    <w:rsid w:val="00885E41"/>
    <w:rsid w:val="00885F5C"/>
    <w:rsid w:val="0089028E"/>
    <w:rsid w:val="0089057F"/>
    <w:rsid w:val="00892255"/>
    <w:rsid w:val="008944AC"/>
    <w:rsid w:val="0089472E"/>
    <w:rsid w:val="00894869"/>
    <w:rsid w:val="0089627C"/>
    <w:rsid w:val="0089769E"/>
    <w:rsid w:val="008A03BD"/>
    <w:rsid w:val="008A143C"/>
    <w:rsid w:val="008A2DFE"/>
    <w:rsid w:val="008A30D1"/>
    <w:rsid w:val="008A342E"/>
    <w:rsid w:val="008A4D84"/>
    <w:rsid w:val="008A74E5"/>
    <w:rsid w:val="008A7AD3"/>
    <w:rsid w:val="008A7F4E"/>
    <w:rsid w:val="008B1425"/>
    <w:rsid w:val="008B1535"/>
    <w:rsid w:val="008B193D"/>
    <w:rsid w:val="008B33E3"/>
    <w:rsid w:val="008B3CB0"/>
    <w:rsid w:val="008B3DD7"/>
    <w:rsid w:val="008B4A74"/>
    <w:rsid w:val="008B4D2D"/>
    <w:rsid w:val="008B64D8"/>
    <w:rsid w:val="008C1926"/>
    <w:rsid w:val="008C1DFC"/>
    <w:rsid w:val="008C24FD"/>
    <w:rsid w:val="008C31EF"/>
    <w:rsid w:val="008C36EA"/>
    <w:rsid w:val="008C38AB"/>
    <w:rsid w:val="008C3920"/>
    <w:rsid w:val="008C4BB1"/>
    <w:rsid w:val="008C66C4"/>
    <w:rsid w:val="008C78A4"/>
    <w:rsid w:val="008C78B9"/>
    <w:rsid w:val="008C7B2E"/>
    <w:rsid w:val="008D0661"/>
    <w:rsid w:val="008D1BE1"/>
    <w:rsid w:val="008D330A"/>
    <w:rsid w:val="008D4B66"/>
    <w:rsid w:val="008D6815"/>
    <w:rsid w:val="008D7845"/>
    <w:rsid w:val="008E0ED8"/>
    <w:rsid w:val="008E13E6"/>
    <w:rsid w:val="008E2FA8"/>
    <w:rsid w:val="008E3F76"/>
    <w:rsid w:val="008E56C1"/>
    <w:rsid w:val="008E69BD"/>
    <w:rsid w:val="008E704F"/>
    <w:rsid w:val="008F0450"/>
    <w:rsid w:val="008F294C"/>
    <w:rsid w:val="008F2C86"/>
    <w:rsid w:val="008F35D7"/>
    <w:rsid w:val="008F43FA"/>
    <w:rsid w:val="008F4B32"/>
    <w:rsid w:val="008F6CDE"/>
    <w:rsid w:val="009020B2"/>
    <w:rsid w:val="0090248C"/>
    <w:rsid w:val="009033EC"/>
    <w:rsid w:val="00905F49"/>
    <w:rsid w:val="009065B8"/>
    <w:rsid w:val="00906752"/>
    <w:rsid w:val="00906E20"/>
    <w:rsid w:val="00910BDA"/>
    <w:rsid w:val="009125CA"/>
    <w:rsid w:val="009127DB"/>
    <w:rsid w:val="00915667"/>
    <w:rsid w:val="00916119"/>
    <w:rsid w:val="009201EB"/>
    <w:rsid w:val="009222E2"/>
    <w:rsid w:val="00926C22"/>
    <w:rsid w:val="009273EC"/>
    <w:rsid w:val="00927B5B"/>
    <w:rsid w:val="00927BAC"/>
    <w:rsid w:val="00927E9C"/>
    <w:rsid w:val="009300D6"/>
    <w:rsid w:val="009337B8"/>
    <w:rsid w:val="00935287"/>
    <w:rsid w:val="0093584F"/>
    <w:rsid w:val="0093683E"/>
    <w:rsid w:val="00937059"/>
    <w:rsid w:val="00945FB1"/>
    <w:rsid w:val="0094767B"/>
    <w:rsid w:val="00947BD8"/>
    <w:rsid w:val="0095129F"/>
    <w:rsid w:val="009516AA"/>
    <w:rsid w:val="00953F16"/>
    <w:rsid w:val="00955F0B"/>
    <w:rsid w:val="009570CC"/>
    <w:rsid w:val="0096287B"/>
    <w:rsid w:val="009630F4"/>
    <w:rsid w:val="0096481F"/>
    <w:rsid w:val="00965B43"/>
    <w:rsid w:val="00965B91"/>
    <w:rsid w:val="00966AE6"/>
    <w:rsid w:val="00971392"/>
    <w:rsid w:val="00973D91"/>
    <w:rsid w:val="009759FD"/>
    <w:rsid w:val="00975C57"/>
    <w:rsid w:val="00976C9F"/>
    <w:rsid w:val="0097750F"/>
    <w:rsid w:val="00977E36"/>
    <w:rsid w:val="009802B6"/>
    <w:rsid w:val="00980A85"/>
    <w:rsid w:val="00981DD8"/>
    <w:rsid w:val="00982521"/>
    <w:rsid w:val="0098386C"/>
    <w:rsid w:val="00983B68"/>
    <w:rsid w:val="0098429F"/>
    <w:rsid w:val="00984F8F"/>
    <w:rsid w:val="009856C6"/>
    <w:rsid w:val="0098610F"/>
    <w:rsid w:val="00986A30"/>
    <w:rsid w:val="0098744A"/>
    <w:rsid w:val="00990310"/>
    <w:rsid w:val="00990642"/>
    <w:rsid w:val="00990F08"/>
    <w:rsid w:val="0099199B"/>
    <w:rsid w:val="009A229B"/>
    <w:rsid w:val="009A5B4B"/>
    <w:rsid w:val="009A7E9E"/>
    <w:rsid w:val="009C33BD"/>
    <w:rsid w:val="009C6366"/>
    <w:rsid w:val="009C686D"/>
    <w:rsid w:val="009C7478"/>
    <w:rsid w:val="009C7CC6"/>
    <w:rsid w:val="009D1955"/>
    <w:rsid w:val="009D313B"/>
    <w:rsid w:val="009D45CE"/>
    <w:rsid w:val="009D47DB"/>
    <w:rsid w:val="009D483C"/>
    <w:rsid w:val="009D6950"/>
    <w:rsid w:val="009E084D"/>
    <w:rsid w:val="009E08BB"/>
    <w:rsid w:val="009E091D"/>
    <w:rsid w:val="009E1638"/>
    <w:rsid w:val="009E1EE4"/>
    <w:rsid w:val="009E21C1"/>
    <w:rsid w:val="009E3ACB"/>
    <w:rsid w:val="009E6BC0"/>
    <w:rsid w:val="009E753B"/>
    <w:rsid w:val="009F060E"/>
    <w:rsid w:val="009F0A7B"/>
    <w:rsid w:val="009F0D12"/>
    <w:rsid w:val="009F453E"/>
    <w:rsid w:val="009F4BFE"/>
    <w:rsid w:val="009F569B"/>
    <w:rsid w:val="009F6119"/>
    <w:rsid w:val="009F6309"/>
    <w:rsid w:val="009F635A"/>
    <w:rsid w:val="009F6811"/>
    <w:rsid w:val="00A0065C"/>
    <w:rsid w:val="00A031FF"/>
    <w:rsid w:val="00A03653"/>
    <w:rsid w:val="00A04371"/>
    <w:rsid w:val="00A052E6"/>
    <w:rsid w:val="00A05E22"/>
    <w:rsid w:val="00A0672F"/>
    <w:rsid w:val="00A1077A"/>
    <w:rsid w:val="00A12424"/>
    <w:rsid w:val="00A138EF"/>
    <w:rsid w:val="00A14BD6"/>
    <w:rsid w:val="00A156F2"/>
    <w:rsid w:val="00A1752B"/>
    <w:rsid w:val="00A202F0"/>
    <w:rsid w:val="00A23375"/>
    <w:rsid w:val="00A238A2"/>
    <w:rsid w:val="00A241C7"/>
    <w:rsid w:val="00A24C41"/>
    <w:rsid w:val="00A25013"/>
    <w:rsid w:val="00A2684D"/>
    <w:rsid w:val="00A27E15"/>
    <w:rsid w:val="00A3006A"/>
    <w:rsid w:val="00A30647"/>
    <w:rsid w:val="00A3067F"/>
    <w:rsid w:val="00A30C4B"/>
    <w:rsid w:val="00A315BB"/>
    <w:rsid w:val="00A3258D"/>
    <w:rsid w:val="00A33FF0"/>
    <w:rsid w:val="00A36E3F"/>
    <w:rsid w:val="00A40341"/>
    <w:rsid w:val="00A40CCA"/>
    <w:rsid w:val="00A43262"/>
    <w:rsid w:val="00A4398E"/>
    <w:rsid w:val="00A43AB3"/>
    <w:rsid w:val="00A46553"/>
    <w:rsid w:val="00A51567"/>
    <w:rsid w:val="00A5240D"/>
    <w:rsid w:val="00A535EF"/>
    <w:rsid w:val="00A53706"/>
    <w:rsid w:val="00A53C52"/>
    <w:rsid w:val="00A53F69"/>
    <w:rsid w:val="00A55792"/>
    <w:rsid w:val="00A614CD"/>
    <w:rsid w:val="00A615CE"/>
    <w:rsid w:val="00A618E5"/>
    <w:rsid w:val="00A62180"/>
    <w:rsid w:val="00A624CD"/>
    <w:rsid w:val="00A642B0"/>
    <w:rsid w:val="00A64AE6"/>
    <w:rsid w:val="00A66E9B"/>
    <w:rsid w:val="00A71F5C"/>
    <w:rsid w:val="00A72CE9"/>
    <w:rsid w:val="00A7408A"/>
    <w:rsid w:val="00A74DD6"/>
    <w:rsid w:val="00A75AA3"/>
    <w:rsid w:val="00A80630"/>
    <w:rsid w:val="00A81302"/>
    <w:rsid w:val="00A81966"/>
    <w:rsid w:val="00A8203C"/>
    <w:rsid w:val="00A84A00"/>
    <w:rsid w:val="00A852BA"/>
    <w:rsid w:val="00A852D6"/>
    <w:rsid w:val="00A86FFD"/>
    <w:rsid w:val="00A87CE9"/>
    <w:rsid w:val="00A9132C"/>
    <w:rsid w:val="00A926E9"/>
    <w:rsid w:val="00A92CAF"/>
    <w:rsid w:val="00A94D31"/>
    <w:rsid w:val="00A95270"/>
    <w:rsid w:val="00A96E4A"/>
    <w:rsid w:val="00A97D1C"/>
    <w:rsid w:val="00AA0285"/>
    <w:rsid w:val="00AA32A6"/>
    <w:rsid w:val="00AA3A86"/>
    <w:rsid w:val="00AA436E"/>
    <w:rsid w:val="00AA5786"/>
    <w:rsid w:val="00AA59B6"/>
    <w:rsid w:val="00AA6E3B"/>
    <w:rsid w:val="00AA7EE1"/>
    <w:rsid w:val="00AB000D"/>
    <w:rsid w:val="00AB08CB"/>
    <w:rsid w:val="00AB191D"/>
    <w:rsid w:val="00AB205D"/>
    <w:rsid w:val="00AB2CA5"/>
    <w:rsid w:val="00AB473A"/>
    <w:rsid w:val="00AB5470"/>
    <w:rsid w:val="00AB65B4"/>
    <w:rsid w:val="00AC000E"/>
    <w:rsid w:val="00AC171C"/>
    <w:rsid w:val="00AC3FC9"/>
    <w:rsid w:val="00AC490C"/>
    <w:rsid w:val="00AC49CB"/>
    <w:rsid w:val="00AC5BAF"/>
    <w:rsid w:val="00AC6135"/>
    <w:rsid w:val="00AC646A"/>
    <w:rsid w:val="00AC66E0"/>
    <w:rsid w:val="00AC69CA"/>
    <w:rsid w:val="00AC725F"/>
    <w:rsid w:val="00AD25E7"/>
    <w:rsid w:val="00AD3535"/>
    <w:rsid w:val="00AD45A9"/>
    <w:rsid w:val="00AD619C"/>
    <w:rsid w:val="00AD731D"/>
    <w:rsid w:val="00AE32F3"/>
    <w:rsid w:val="00AE3485"/>
    <w:rsid w:val="00AE53EB"/>
    <w:rsid w:val="00AE6958"/>
    <w:rsid w:val="00AE6A49"/>
    <w:rsid w:val="00AE7D81"/>
    <w:rsid w:val="00AF26E8"/>
    <w:rsid w:val="00AF40A2"/>
    <w:rsid w:val="00AF4F89"/>
    <w:rsid w:val="00AF7AEF"/>
    <w:rsid w:val="00B010AD"/>
    <w:rsid w:val="00B0281C"/>
    <w:rsid w:val="00B033FE"/>
    <w:rsid w:val="00B03DA7"/>
    <w:rsid w:val="00B046E5"/>
    <w:rsid w:val="00B04D61"/>
    <w:rsid w:val="00B054A5"/>
    <w:rsid w:val="00B057A2"/>
    <w:rsid w:val="00B05AA0"/>
    <w:rsid w:val="00B0623C"/>
    <w:rsid w:val="00B06D5E"/>
    <w:rsid w:val="00B072FC"/>
    <w:rsid w:val="00B10F6A"/>
    <w:rsid w:val="00B1169E"/>
    <w:rsid w:val="00B11F9B"/>
    <w:rsid w:val="00B127F7"/>
    <w:rsid w:val="00B132CC"/>
    <w:rsid w:val="00B160F1"/>
    <w:rsid w:val="00B175E4"/>
    <w:rsid w:val="00B178AB"/>
    <w:rsid w:val="00B206C4"/>
    <w:rsid w:val="00B26EA3"/>
    <w:rsid w:val="00B276E1"/>
    <w:rsid w:val="00B31333"/>
    <w:rsid w:val="00B315B4"/>
    <w:rsid w:val="00B31FF6"/>
    <w:rsid w:val="00B34B20"/>
    <w:rsid w:val="00B34E29"/>
    <w:rsid w:val="00B36BBE"/>
    <w:rsid w:val="00B3796A"/>
    <w:rsid w:val="00B42CBF"/>
    <w:rsid w:val="00B42CD5"/>
    <w:rsid w:val="00B43452"/>
    <w:rsid w:val="00B46D6B"/>
    <w:rsid w:val="00B5167A"/>
    <w:rsid w:val="00B51816"/>
    <w:rsid w:val="00B521BA"/>
    <w:rsid w:val="00B52CA5"/>
    <w:rsid w:val="00B52CCE"/>
    <w:rsid w:val="00B53253"/>
    <w:rsid w:val="00B54894"/>
    <w:rsid w:val="00B60C83"/>
    <w:rsid w:val="00B63A18"/>
    <w:rsid w:val="00B652BA"/>
    <w:rsid w:val="00B668A7"/>
    <w:rsid w:val="00B675A2"/>
    <w:rsid w:val="00B67616"/>
    <w:rsid w:val="00B67CB1"/>
    <w:rsid w:val="00B713A1"/>
    <w:rsid w:val="00B716B6"/>
    <w:rsid w:val="00B72340"/>
    <w:rsid w:val="00B731C3"/>
    <w:rsid w:val="00B73248"/>
    <w:rsid w:val="00B74ED3"/>
    <w:rsid w:val="00B7576C"/>
    <w:rsid w:val="00B757A4"/>
    <w:rsid w:val="00B762C4"/>
    <w:rsid w:val="00B814F1"/>
    <w:rsid w:val="00B81F8B"/>
    <w:rsid w:val="00B825B1"/>
    <w:rsid w:val="00B87641"/>
    <w:rsid w:val="00B9201D"/>
    <w:rsid w:val="00B961DB"/>
    <w:rsid w:val="00B96283"/>
    <w:rsid w:val="00B97CE9"/>
    <w:rsid w:val="00B97F44"/>
    <w:rsid w:val="00BA099D"/>
    <w:rsid w:val="00BA16A5"/>
    <w:rsid w:val="00BA23DF"/>
    <w:rsid w:val="00BA2B93"/>
    <w:rsid w:val="00BA2FF1"/>
    <w:rsid w:val="00BA4224"/>
    <w:rsid w:val="00BA4941"/>
    <w:rsid w:val="00BA5F61"/>
    <w:rsid w:val="00BB0268"/>
    <w:rsid w:val="00BB0499"/>
    <w:rsid w:val="00BB2729"/>
    <w:rsid w:val="00BB36D2"/>
    <w:rsid w:val="00BB4341"/>
    <w:rsid w:val="00BB4BD2"/>
    <w:rsid w:val="00BB5327"/>
    <w:rsid w:val="00BC290D"/>
    <w:rsid w:val="00BC50FB"/>
    <w:rsid w:val="00BC57A7"/>
    <w:rsid w:val="00BC735C"/>
    <w:rsid w:val="00BD1369"/>
    <w:rsid w:val="00BD1F07"/>
    <w:rsid w:val="00BD2B7A"/>
    <w:rsid w:val="00BD3998"/>
    <w:rsid w:val="00BD43A5"/>
    <w:rsid w:val="00BD4F76"/>
    <w:rsid w:val="00BD5BFB"/>
    <w:rsid w:val="00BD5F2F"/>
    <w:rsid w:val="00BD62FB"/>
    <w:rsid w:val="00BD63F7"/>
    <w:rsid w:val="00BD7CFB"/>
    <w:rsid w:val="00BE072A"/>
    <w:rsid w:val="00BE0D1E"/>
    <w:rsid w:val="00BE0ED6"/>
    <w:rsid w:val="00BE5225"/>
    <w:rsid w:val="00BE6299"/>
    <w:rsid w:val="00BF3E8D"/>
    <w:rsid w:val="00BF4871"/>
    <w:rsid w:val="00BF4A36"/>
    <w:rsid w:val="00BF6184"/>
    <w:rsid w:val="00BF743F"/>
    <w:rsid w:val="00C015B3"/>
    <w:rsid w:val="00C017CE"/>
    <w:rsid w:val="00C03F31"/>
    <w:rsid w:val="00C05CD3"/>
    <w:rsid w:val="00C06D3A"/>
    <w:rsid w:val="00C10421"/>
    <w:rsid w:val="00C11EC3"/>
    <w:rsid w:val="00C13F3C"/>
    <w:rsid w:val="00C143AA"/>
    <w:rsid w:val="00C16A28"/>
    <w:rsid w:val="00C20254"/>
    <w:rsid w:val="00C20CDE"/>
    <w:rsid w:val="00C2358A"/>
    <w:rsid w:val="00C2414A"/>
    <w:rsid w:val="00C25CC4"/>
    <w:rsid w:val="00C26446"/>
    <w:rsid w:val="00C30C42"/>
    <w:rsid w:val="00C31DF0"/>
    <w:rsid w:val="00C32E6C"/>
    <w:rsid w:val="00C36638"/>
    <w:rsid w:val="00C42B85"/>
    <w:rsid w:val="00C45816"/>
    <w:rsid w:val="00C46A81"/>
    <w:rsid w:val="00C46BEC"/>
    <w:rsid w:val="00C474FF"/>
    <w:rsid w:val="00C528E0"/>
    <w:rsid w:val="00C62F65"/>
    <w:rsid w:val="00C656F1"/>
    <w:rsid w:val="00C659A3"/>
    <w:rsid w:val="00C662A0"/>
    <w:rsid w:val="00C71D68"/>
    <w:rsid w:val="00C72666"/>
    <w:rsid w:val="00C7360D"/>
    <w:rsid w:val="00C7421A"/>
    <w:rsid w:val="00C76870"/>
    <w:rsid w:val="00C76954"/>
    <w:rsid w:val="00C77126"/>
    <w:rsid w:val="00C776F4"/>
    <w:rsid w:val="00C77B3C"/>
    <w:rsid w:val="00C80235"/>
    <w:rsid w:val="00C80D14"/>
    <w:rsid w:val="00C8147C"/>
    <w:rsid w:val="00C8320F"/>
    <w:rsid w:val="00C83CD4"/>
    <w:rsid w:val="00C83DC1"/>
    <w:rsid w:val="00C85D9F"/>
    <w:rsid w:val="00C917BB"/>
    <w:rsid w:val="00C94683"/>
    <w:rsid w:val="00CA1730"/>
    <w:rsid w:val="00CA17DE"/>
    <w:rsid w:val="00CA7934"/>
    <w:rsid w:val="00CA7BE4"/>
    <w:rsid w:val="00CB0405"/>
    <w:rsid w:val="00CB0D74"/>
    <w:rsid w:val="00CB1146"/>
    <w:rsid w:val="00CB1319"/>
    <w:rsid w:val="00CB1519"/>
    <w:rsid w:val="00CB2277"/>
    <w:rsid w:val="00CB40E8"/>
    <w:rsid w:val="00CB4491"/>
    <w:rsid w:val="00CB4EDA"/>
    <w:rsid w:val="00CB5587"/>
    <w:rsid w:val="00CB6615"/>
    <w:rsid w:val="00CB662E"/>
    <w:rsid w:val="00CB75FD"/>
    <w:rsid w:val="00CB78C3"/>
    <w:rsid w:val="00CC036A"/>
    <w:rsid w:val="00CC08EA"/>
    <w:rsid w:val="00CC1AAC"/>
    <w:rsid w:val="00CC48FA"/>
    <w:rsid w:val="00CC53EB"/>
    <w:rsid w:val="00CC5B80"/>
    <w:rsid w:val="00CC5E6D"/>
    <w:rsid w:val="00CC5F54"/>
    <w:rsid w:val="00CC6480"/>
    <w:rsid w:val="00CC69CE"/>
    <w:rsid w:val="00CC6CA8"/>
    <w:rsid w:val="00CD25C7"/>
    <w:rsid w:val="00CD28E2"/>
    <w:rsid w:val="00CD6FF2"/>
    <w:rsid w:val="00CD7853"/>
    <w:rsid w:val="00CD796C"/>
    <w:rsid w:val="00CE126E"/>
    <w:rsid w:val="00CE45A5"/>
    <w:rsid w:val="00CE5880"/>
    <w:rsid w:val="00CE5F16"/>
    <w:rsid w:val="00CE5F5D"/>
    <w:rsid w:val="00CE693B"/>
    <w:rsid w:val="00CF0C76"/>
    <w:rsid w:val="00CF1BE7"/>
    <w:rsid w:val="00CF1E74"/>
    <w:rsid w:val="00CF4A26"/>
    <w:rsid w:val="00CF4EE7"/>
    <w:rsid w:val="00CF6697"/>
    <w:rsid w:val="00D00CA3"/>
    <w:rsid w:val="00D00F56"/>
    <w:rsid w:val="00D027F7"/>
    <w:rsid w:val="00D02B95"/>
    <w:rsid w:val="00D036A3"/>
    <w:rsid w:val="00D0402A"/>
    <w:rsid w:val="00D04D32"/>
    <w:rsid w:val="00D064D1"/>
    <w:rsid w:val="00D070CF"/>
    <w:rsid w:val="00D07906"/>
    <w:rsid w:val="00D07E74"/>
    <w:rsid w:val="00D10B16"/>
    <w:rsid w:val="00D10DD3"/>
    <w:rsid w:val="00D1268F"/>
    <w:rsid w:val="00D130FD"/>
    <w:rsid w:val="00D13B52"/>
    <w:rsid w:val="00D1528D"/>
    <w:rsid w:val="00D17462"/>
    <w:rsid w:val="00D175F6"/>
    <w:rsid w:val="00D22AB5"/>
    <w:rsid w:val="00D23DA2"/>
    <w:rsid w:val="00D253D0"/>
    <w:rsid w:val="00D273C5"/>
    <w:rsid w:val="00D278F4"/>
    <w:rsid w:val="00D27ACF"/>
    <w:rsid w:val="00D27AF2"/>
    <w:rsid w:val="00D309EE"/>
    <w:rsid w:val="00D31B08"/>
    <w:rsid w:val="00D31CD0"/>
    <w:rsid w:val="00D34CED"/>
    <w:rsid w:val="00D3507F"/>
    <w:rsid w:val="00D36F7D"/>
    <w:rsid w:val="00D401C0"/>
    <w:rsid w:val="00D40C9B"/>
    <w:rsid w:val="00D4266C"/>
    <w:rsid w:val="00D430DA"/>
    <w:rsid w:val="00D4340C"/>
    <w:rsid w:val="00D43FF9"/>
    <w:rsid w:val="00D4568A"/>
    <w:rsid w:val="00D45916"/>
    <w:rsid w:val="00D50AB2"/>
    <w:rsid w:val="00D53867"/>
    <w:rsid w:val="00D54CD7"/>
    <w:rsid w:val="00D553A6"/>
    <w:rsid w:val="00D61194"/>
    <w:rsid w:val="00D62F0F"/>
    <w:rsid w:val="00D63862"/>
    <w:rsid w:val="00D64532"/>
    <w:rsid w:val="00D64D9D"/>
    <w:rsid w:val="00D65D2E"/>
    <w:rsid w:val="00D66039"/>
    <w:rsid w:val="00D6784A"/>
    <w:rsid w:val="00D72162"/>
    <w:rsid w:val="00D7323F"/>
    <w:rsid w:val="00D743F3"/>
    <w:rsid w:val="00D74DB0"/>
    <w:rsid w:val="00D75E37"/>
    <w:rsid w:val="00D76130"/>
    <w:rsid w:val="00D7701A"/>
    <w:rsid w:val="00D7794A"/>
    <w:rsid w:val="00D81D72"/>
    <w:rsid w:val="00D8326E"/>
    <w:rsid w:val="00D839FE"/>
    <w:rsid w:val="00D84372"/>
    <w:rsid w:val="00D850DF"/>
    <w:rsid w:val="00D85726"/>
    <w:rsid w:val="00D87816"/>
    <w:rsid w:val="00D90231"/>
    <w:rsid w:val="00D911A6"/>
    <w:rsid w:val="00D9364C"/>
    <w:rsid w:val="00D93F71"/>
    <w:rsid w:val="00D94609"/>
    <w:rsid w:val="00D951C4"/>
    <w:rsid w:val="00D9559F"/>
    <w:rsid w:val="00D96734"/>
    <w:rsid w:val="00D96DBF"/>
    <w:rsid w:val="00D96F00"/>
    <w:rsid w:val="00D97B39"/>
    <w:rsid w:val="00DA2B85"/>
    <w:rsid w:val="00DA5A42"/>
    <w:rsid w:val="00DA648B"/>
    <w:rsid w:val="00DA671A"/>
    <w:rsid w:val="00DA7773"/>
    <w:rsid w:val="00DA78E2"/>
    <w:rsid w:val="00DB2069"/>
    <w:rsid w:val="00DB3941"/>
    <w:rsid w:val="00DB4C93"/>
    <w:rsid w:val="00DB6091"/>
    <w:rsid w:val="00DB673E"/>
    <w:rsid w:val="00DB6B7F"/>
    <w:rsid w:val="00DB7B44"/>
    <w:rsid w:val="00DC04A6"/>
    <w:rsid w:val="00DC0600"/>
    <w:rsid w:val="00DC1AA4"/>
    <w:rsid w:val="00DC3475"/>
    <w:rsid w:val="00DC4A7D"/>
    <w:rsid w:val="00DD3A95"/>
    <w:rsid w:val="00DD3B07"/>
    <w:rsid w:val="00DD55E3"/>
    <w:rsid w:val="00DD58F2"/>
    <w:rsid w:val="00DD6145"/>
    <w:rsid w:val="00DD6DF4"/>
    <w:rsid w:val="00DD6EF8"/>
    <w:rsid w:val="00DD73D9"/>
    <w:rsid w:val="00DE41BC"/>
    <w:rsid w:val="00DE45D1"/>
    <w:rsid w:val="00DE57B3"/>
    <w:rsid w:val="00DF3062"/>
    <w:rsid w:val="00DF37CC"/>
    <w:rsid w:val="00DF4118"/>
    <w:rsid w:val="00E02365"/>
    <w:rsid w:val="00E033AD"/>
    <w:rsid w:val="00E04678"/>
    <w:rsid w:val="00E05219"/>
    <w:rsid w:val="00E05BE0"/>
    <w:rsid w:val="00E11DF4"/>
    <w:rsid w:val="00E129A3"/>
    <w:rsid w:val="00E13E04"/>
    <w:rsid w:val="00E15ACC"/>
    <w:rsid w:val="00E16B1B"/>
    <w:rsid w:val="00E20331"/>
    <w:rsid w:val="00E211AE"/>
    <w:rsid w:val="00E2158C"/>
    <w:rsid w:val="00E22983"/>
    <w:rsid w:val="00E24B65"/>
    <w:rsid w:val="00E2706F"/>
    <w:rsid w:val="00E30EC8"/>
    <w:rsid w:val="00E31CE2"/>
    <w:rsid w:val="00E32438"/>
    <w:rsid w:val="00E33EAC"/>
    <w:rsid w:val="00E34286"/>
    <w:rsid w:val="00E345B3"/>
    <w:rsid w:val="00E34993"/>
    <w:rsid w:val="00E34E4B"/>
    <w:rsid w:val="00E36C5B"/>
    <w:rsid w:val="00E37519"/>
    <w:rsid w:val="00E37798"/>
    <w:rsid w:val="00E377B6"/>
    <w:rsid w:val="00E37D61"/>
    <w:rsid w:val="00E448CB"/>
    <w:rsid w:val="00E44CF4"/>
    <w:rsid w:val="00E5233A"/>
    <w:rsid w:val="00E5285F"/>
    <w:rsid w:val="00E53305"/>
    <w:rsid w:val="00E608E1"/>
    <w:rsid w:val="00E61470"/>
    <w:rsid w:val="00E61AC3"/>
    <w:rsid w:val="00E64379"/>
    <w:rsid w:val="00E64657"/>
    <w:rsid w:val="00E64D3E"/>
    <w:rsid w:val="00E70DD8"/>
    <w:rsid w:val="00E71C30"/>
    <w:rsid w:val="00E73747"/>
    <w:rsid w:val="00E73F69"/>
    <w:rsid w:val="00E7476A"/>
    <w:rsid w:val="00E7516E"/>
    <w:rsid w:val="00E770A8"/>
    <w:rsid w:val="00E8019D"/>
    <w:rsid w:val="00E82B07"/>
    <w:rsid w:val="00E82E63"/>
    <w:rsid w:val="00E8562B"/>
    <w:rsid w:val="00E86141"/>
    <w:rsid w:val="00E8658D"/>
    <w:rsid w:val="00E87C16"/>
    <w:rsid w:val="00E87CE5"/>
    <w:rsid w:val="00E87FD3"/>
    <w:rsid w:val="00E9075D"/>
    <w:rsid w:val="00E9142A"/>
    <w:rsid w:val="00E9670B"/>
    <w:rsid w:val="00E96A65"/>
    <w:rsid w:val="00E97672"/>
    <w:rsid w:val="00EA1DEA"/>
    <w:rsid w:val="00EA325B"/>
    <w:rsid w:val="00EA4F62"/>
    <w:rsid w:val="00EA74C5"/>
    <w:rsid w:val="00EA7FE7"/>
    <w:rsid w:val="00EB0975"/>
    <w:rsid w:val="00EB12C3"/>
    <w:rsid w:val="00EB24E1"/>
    <w:rsid w:val="00EB313A"/>
    <w:rsid w:val="00EB3466"/>
    <w:rsid w:val="00EB4F02"/>
    <w:rsid w:val="00EB77FB"/>
    <w:rsid w:val="00EC09E7"/>
    <w:rsid w:val="00EC3867"/>
    <w:rsid w:val="00EC3B4E"/>
    <w:rsid w:val="00EC5766"/>
    <w:rsid w:val="00EC61AE"/>
    <w:rsid w:val="00EC7569"/>
    <w:rsid w:val="00ED14ED"/>
    <w:rsid w:val="00ED3E72"/>
    <w:rsid w:val="00ED5D2B"/>
    <w:rsid w:val="00EE00CF"/>
    <w:rsid w:val="00EE1FE2"/>
    <w:rsid w:val="00EE52AE"/>
    <w:rsid w:val="00EE6383"/>
    <w:rsid w:val="00EE7FB1"/>
    <w:rsid w:val="00EF01B5"/>
    <w:rsid w:val="00EF0D32"/>
    <w:rsid w:val="00EF2698"/>
    <w:rsid w:val="00EF2BE6"/>
    <w:rsid w:val="00EF5A0D"/>
    <w:rsid w:val="00EF5B9D"/>
    <w:rsid w:val="00F0133B"/>
    <w:rsid w:val="00F020CF"/>
    <w:rsid w:val="00F02B86"/>
    <w:rsid w:val="00F02F34"/>
    <w:rsid w:val="00F03651"/>
    <w:rsid w:val="00F03E07"/>
    <w:rsid w:val="00F06AF5"/>
    <w:rsid w:val="00F0765A"/>
    <w:rsid w:val="00F07BF6"/>
    <w:rsid w:val="00F11F6A"/>
    <w:rsid w:val="00F143C2"/>
    <w:rsid w:val="00F1576D"/>
    <w:rsid w:val="00F16F63"/>
    <w:rsid w:val="00F24727"/>
    <w:rsid w:val="00F2487B"/>
    <w:rsid w:val="00F30362"/>
    <w:rsid w:val="00F30806"/>
    <w:rsid w:val="00F310EF"/>
    <w:rsid w:val="00F330F1"/>
    <w:rsid w:val="00F35612"/>
    <w:rsid w:val="00F35738"/>
    <w:rsid w:val="00F37861"/>
    <w:rsid w:val="00F37A8D"/>
    <w:rsid w:val="00F37CD7"/>
    <w:rsid w:val="00F40332"/>
    <w:rsid w:val="00F40BBD"/>
    <w:rsid w:val="00F437DE"/>
    <w:rsid w:val="00F50692"/>
    <w:rsid w:val="00F50BF8"/>
    <w:rsid w:val="00F50FBF"/>
    <w:rsid w:val="00F51B66"/>
    <w:rsid w:val="00F51D8E"/>
    <w:rsid w:val="00F5240D"/>
    <w:rsid w:val="00F53846"/>
    <w:rsid w:val="00F53FBE"/>
    <w:rsid w:val="00F54044"/>
    <w:rsid w:val="00F54101"/>
    <w:rsid w:val="00F54B61"/>
    <w:rsid w:val="00F54CEF"/>
    <w:rsid w:val="00F5555A"/>
    <w:rsid w:val="00F6255F"/>
    <w:rsid w:val="00F64DA6"/>
    <w:rsid w:val="00F6591C"/>
    <w:rsid w:val="00F66DB6"/>
    <w:rsid w:val="00F7161A"/>
    <w:rsid w:val="00F730DA"/>
    <w:rsid w:val="00F7432C"/>
    <w:rsid w:val="00F74F9A"/>
    <w:rsid w:val="00F75196"/>
    <w:rsid w:val="00F77E27"/>
    <w:rsid w:val="00F80627"/>
    <w:rsid w:val="00F80836"/>
    <w:rsid w:val="00F811D6"/>
    <w:rsid w:val="00F822E5"/>
    <w:rsid w:val="00F82A5D"/>
    <w:rsid w:val="00F902E2"/>
    <w:rsid w:val="00F90402"/>
    <w:rsid w:val="00F9116A"/>
    <w:rsid w:val="00F92FA9"/>
    <w:rsid w:val="00F931DB"/>
    <w:rsid w:val="00F93575"/>
    <w:rsid w:val="00F93641"/>
    <w:rsid w:val="00F9601E"/>
    <w:rsid w:val="00F966D0"/>
    <w:rsid w:val="00F967E5"/>
    <w:rsid w:val="00F96DAF"/>
    <w:rsid w:val="00F97264"/>
    <w:rsid w:val="00F97FAE"/>
    <w:rsid w:val="00FA1287"/>
    <w:rsid w:val="00FA2626"/>
    <w:rsid w:val="00FA3BE4"/>
    <w:rsid w:val="00FA5794"/>
    <w:rsid w:val="00FA7836"/>
    <w:rsid w:val="00FB14DA"/>
    <w:rsid w:val="00FB165B"/>
    <w:rsid w:val="00FB402F"/>
    <w:rsid w:val="00FB67BB"/>
    <w:rsid w:val="00FB76ED"/>
    <w:rsid w:val="00FB7B8F"/>
    <w:rsid w:val="00FC1167"/>
    <w:rsid w:val="00FC18F4"/>
    <w:rsid w:val="00FC258D"/>
    <w:rsid w:val="00FC2F16"/>
    <w:rsid w:val="00FC42BF"/>
    <w:rsid w:val="00FC434A"/>
    <w:rsid w:val="00FC58C8"/>
    <w:rsid w:val="00FD008D"/>
    <w:rsid w:val="00FD066D"/>
    <w:rsid w:val="00FD0B85"/>
    <w:rsid w:val="00FD13BB"/>
    <w:rsid w:val="00FD4319"/>
    <w:rsid w:val="00FD47CC"/>
    <w:rsid w:val="00FD4DFF"/>
    <w:rsid w:val="00FD5EB5"/>
    <w:rsid w:val="00FD628D"/>
    <w:rsid w:val="00FD7D2D"/>
    <w:rsid w:val="00FD7F51"/>
    <w:rsid w:val="00FE00F6"/>
    <w:rsid w:val="00FE0461"/>
    <w:rsid w:val="00FE126E"/>
    <w:rsid w:val="00FE30A7"/>
    <w:rsid w:val="00FE50C3"/>
    <w:rsid w:val="00FE512C"/>
    <w:rsid w:val="00FE6647"/>
    <w:rsid w:val="00FE67A3"/>
    <w:rsid w:val="00FE7901"/>
    <w:rsid w:val="00FF0F32"/>
    <w:rsid w:val="00FF3E3E"/>
    <w:rsid w:val="00FF3E81"/>
    <w:rsid w:val="00FF42DA"/>
    <w:rsid w:val="00FF5503"/>
    <w:rsid w:val="00FF5C81"/>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60C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310"/>
    <w:pPr>
      <w:ind w:left="720"/>
      <w:contextualSpacing/>
    </w:pPr>
  </w:style>
  <w:style w:type="character" w:styleId="CommentReference">
    <w:name w:val="annotation reference"/>
    <w:basedOn w:val="DefaultParagraphFont"/>
    <w:uiPriority w:val="99"/>
    <w:semiHidden/>
    <w:unhideWhenUsed/>
    <w:rsid w:val="00CE5880"/>
    <w:rPr>
      <w:sz w:val="16"/>
      <w:szCs w:val="16"/>
    </w:rPr>
  </w:style>
  <w:style w:type="paragraph" w:styleId="CommentText">
    <w:name w:val="annotation text"/>
    <w:basedOn w:val="Normal"/>
    <w:link w:val="CommentTextChar"/>
    <w:uiPriority w:val="99"/>
    <w:unhideWhenUsed/>
    <w:rsid w:val="00CE5880"/>
    <w:pPr>
      <w:spacing w:line="240" w:lineRule="auto"/>
    </w:pPr>
    <w:rPr>
      <w:sz w:val="20"/>
      <w:szCs w:val="20"/>
    </w:rPr>
  </w:style>
  <w:style w:type="character" w:customStyle="1" w:styleId="CommentTextChar">
    <w:name w:val="Comment Text Char"/>
    <w:basedOn w:val="DefaultParagraphFont"/>
    <w:link w:val="CommentText"/>
    <w:uiPriority w:val="99"/>
    <w:rsid w:val="00CE5880"/>
    <w:rPr>
      <w:sz w:val="20"/>
      <w:szCs w:val="20"/>
    </w:rPr>
  </w:style>
  <w:style w:type="paragraph" w:styleId="CommentSubject">
    <w:name w:val="annotation subject"/>
    <w:basedOn w:val="CommentText"/>
    <w:next w:val="CommentText"/>
    <w:link w:val="CommentSubjectChar"/>
    <w:uiPriority w:val="99"/>
    <w:semiHidden/>
    <w:unhideWhenUsed/>
    <w:rsid w:val="00CE5880"/>
    <w:rPr>
      <w:b/>
      <w:bCs/>
    </w:rPr>
  </w:style>
  <w:style w:type="character" w:customStyle="1" w:styleId="CommentSubjectChar">
    <w:name w:val="Comment Subject Char"/>
    <w:basedOn w:val="CommentTextChar"/>
    <w:link w:val="CommentSubject"/>
    <w:uiPriority w:val="99"/>
    <w:semiHidden/>
    <w:rsid w:val="00CE5880"/>
    <w:rPr>
      <w:b/>
      <w:bCs/>
      <w:sz w:val="20"/>
      <w:szCs w:val="20"/>
    </w:rPr>
  </w:style>
  <w:style w:type="paragraph" w:styleId="BalloonText">
    <w:name w:val="Balloon Text"/>
    <w:basedOn w:val="Normal"/>
    <w:link w:val="BalloonTextChar"/>
    <w:uiPriority w:val="99"/>
    <w:semiHidden/>
    <w:unhideWhenUsed/>
    <w:rsid w:val="00CE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80"/>
    <w:rPr>
      <w:rFonts w:ascii="Tahoma" w:hAnsi="Tahoma" w:cs="Tahoma"/>
      <w:sz w:val="16"/>
      <w:szCs w:val="16"/>
    </w:rPr>
  </w:style>
  <w:style w:type="paragraph" w:styleId="Header">
    <w:name w:val="header"/>
    <w:basedOn w:val="Normal"/>
    <w:link w:val="HeaderChar"/>
    <w:uiPriority w:val="99"/>
    <w:unhideWhenUsed/>
    <w:rsid w:val="0053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C6"/>
  </w:style>
  <w:style w:type="paragraph" w:styleId="Footer">
    <w:name w:val="footer"/>
    <w:basedOn w:val="Normal"/>
    <w:link w:val="FooterChar"/>
    <w:uiPriority w:val="99"/>
    <w:unhideWhenUsed/>
    <w:rsid w:val="0053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C6"/>
  </w:style>
  <w:style w:type="character" w:styleId="Hyperlink">
    <w:name w:val="Hyperlink"/>
    <w:basedOn w:val="DefaultParagraphFont"/>
    <w:uiPriority w:val="99"/>
    <w:unhideWhenUsed/>
    <w:rsid w:val="00713D55"/>
    <w:rPr>
      <w:color w:val="0000FF" w:themeColor="hyperlink"/>
      <w:u w:val="single"/>
    </w:rPr>
  </w:style>
  <w:style w:type="character" w:styleId="FollowedHyperlink">
    <w:name w:val="FollowedHyperlink"/>
    <w:basedOn w:val="DefaultParagraphFont"/>
    <w:uiPriority w:val="99"/>
    <w:semiHidden/>
    <w:unhideWhenUsed/>
    <w:rsid w:val="00576958"/>
    <w:rPr>
      <w:color w:val="800080" w:themeColor="followedHyperlink"/>
      <w:u w:val="single"/>
    </w:rPr>
  </w:style>
  <w:style w:type="paragraph" w:styleId="NormalWeb">
    <w:name w:val="Normal (Web)"/>
    <w:basedOn w:val="Normal"/>
    <w:uiPriority w:val="99"/>
    <w:unhideWhenUsed/>
    <w:rsid w:val="0053612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ED5D2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7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493">
      <w:bodyDiv w:val="1"/>
      <w:marLeft w:val="0"/>
      <w:marRight w:val="0"/>
      <w:marTop w:val="0"/>
      <w:marBottom w:val="0"/>
      <w:divBdr>
        <w:top w:val="none" w:sz="0" w:space="0" w:color="auto"/>
        <w:left w:val="none" w:sz="0" w:space="0" w:color="auto"/>
        <w:bottom w:val="none" w:sz="0" w:space="0" w:color="auto"/>
        <w:right w:val="none" w:sz="0" w:space="0" w:color="auto"/>
      </w:divBdr>
      <w:divsChild>
        <w:div w:id="1021787500">
          <w:marLeft w:val="0"/>
          <w:marRight w:val="0"/>
          <w:marTop w:val="0"/>
          <w:marBottom w:val="0"/>
          <w:divBdr>
            <w:top w:val="none" w:sz="0" w:space="0" w:color="auto"/>
            <w:left w:val="none" w:sz="0" w:space="0" w:color="auto"/>
            <w:bottom w:val="none" w:sz="0" w:space="0" w:color="auto"/>
            <w:right w:val="none" w:sz="0" w:space="0" w:color="auto"/>
          </w:divBdr>
          <w:divsChild>
            <w:div w:id="543980788">
              <w:marLeft w:val="0"/>
              <w:marRight w:val="0"/>
              <w:marTop w:val="0"/>
              <w:marBottom w:val="0"/>
              <w:divBdr>
                <w:top w:val="none" w:sz="0" w:space="0" w:color="auto"/>
                <w:left w:val="none" w:sz="0" w:space="0" w:color="auto"/>
                <w:bottom w:val="none" w:sz="0" w:space="0" w:color="auto"/>
                <w:right w:val="none" w:sz="0" w:space="0" w:color="auto"/>
              </w:divBdr>
              <w:divsChild>
                <w:div w:id="1811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6035">
      <w:bodyDiv w:val="1"/>
      <w:marLeft w:val="0"/>
      <w:marRight w:val="0"/>
      <w:marTop w:val="0"/>
      <w:marBottom w:val="0"/>
      <w:divBdr>
        <w:top w:val="none" w:sz="0" w:space="0" w:color="auto"/>
        <w:left w:val="none" w:sz="0" w:space="0" w:color="auto"/>
        <w:bottom w:val="none" w:sz="0" w:space="0" w:color="auto"/>
        <w:right w:val="none" w:sz="0" w:space="0" w:color="auto"/>
      </w:divBdr>
      <w:divsChild>
        <w:div w:id="972909986">
          <w:marLeft w:val="0"/>
          <w:marRight w:val="0"/>
          <w:marTop w:val="0"/>
          <w:marBottom w:val="0"/>
          <w:divBdr>
            <w:top w:val="none" w:sz="0" w:space="0" w:color="auto"/>
            <w:left w:val="none" w:sz="0" w:space="0" w:color="auto"/>
            <w:bottom w:val="none" w:sz="0" w:space="0" w:color="auto"/>
            <w:right w:val="none" w:sz="0" w:space="0" w:color="auto"/>
          </w:divBdr>
          <w:divsChild>
            <w:div w:id="821237933">
              <w:marLeft w:val="0"/>
              <w:marRight w:val="0"/>
              <w:marTop w:val="0"/>
              <w:marBottom w:val="0"/>
              <w:divBdr>
                <w:top w:val="none" w:sz="0" w:space="0" w:color="auto"/>
                <w:left w:val="none" w:sz="0" w:space="0" w:color="auto"/>
                <w:bottom w:val="none" w:sz="0" w:space="0" w:color="auto"/>
                <w:right w:val="none" w:sz="0" w:space="0" w:color="auto"/>
              </w:divBdr>
              <w:divsChild>
                <w:div w:id="4354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7192">
      <w:bodyDiv w:val="1"/>
      <w:marLeft w:val="0"/>
      <w:marRight w:val="0"/>
      <w:marTop w:val="0"/>
      <w:marBottom w:val="0"/>
      <w:divBdr>
        <w:top w:val="none" w:sz="0" w:space="0" w:color="auto"/>
        <w:left w:val="none" w:sz="0" w:space="0" w:color="auto"/>
        <w:bottom w:val="none" w:sz="0" w:space="0" w:color="auto"/>
        <w:right w:val="none" w:sz="0" w:space="0" w:color="auto"/>
      </w:divBdr>
      <w:divsChild>
        <w:div w:id="759838084">
          <w:marLeft w:val="0"/>
          <w:marRight w:val="0"/>
          <w:marTop w:val="0"/>
          <w:marBottom w:val="0"/>
          <w:divBdr>
            <w:top w:val="none" w:sz="0" w:space="0" w:color="auto"/>
            <w:left w:val="none" w:sz="0" w:space="0" w:color="auto"/>
            <w:bottom w:val="none" w:sz="0" w:space="0" w:color="auto"/>
            <w:right w:val="none" w:sz="0" w:space="0" w:color="auto"/>
          </w:divBdr>
          <w:divsChild>
            <w:div w:id="1364404938">
              <w:marLeft w:val="0"/>
              <w:marRight w:val="0"/>
              <w:marTop w:val="0"/>
              <w:marBottom w:val="0"/>
              <w:divBdr>
                <w:top w:val="none" w:sz="0" w:space="0" w:color="auto"/>
                <w:left w:val="none" w:sz="0" w:space="0" w:color="auto"/>
                <w:bottom w:val="none" w:sz="0" w:space="0" w:color="auto"/>
                <w:right w:val="none" w:sz="0" w:space="0" w:color="auto"/>
              </w:divBdr>
              <w:divsChild>
                <w:div w:id="9098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3181">
      <w:bodyDiv w:val="1"/>
      <w:marLeft w:val="0"/>
      <w:marRight w:val="0"/>
      <w:marTop w:val="0"/>
      <w:marBottom w:val="0"/>
      <w:divBdr>
        <w:top w:val="none" w:sz="0" w:space="0" w:color="auto"/>
        <w:left w:val="none" w:sz="0" w:space="0" w:color="auto"/>
        <w:bottom w:val="none" w:sz="0" w:space="0" w:color="auto"/>
        <w:right w:val="none" w:sz="0" w:space="0" w:color="auto"/>
      </w:divBdr>
      <w:divsChild>
        <w:div w:id="1552426428">
          <w:marLeft w:val="0"/>
          <w:marRight w:val="0"/>
          <w:marTop w:val="0"/>
          <w:marBottom w:val="0"/>
          <w:divBdr>
            <w:top w:val="none" w:sz="0" w:space="0" w:color="auto"/>
            <w:left w:val="none" w:sz="0" w:space="0" w:color="auto"/>
            <w:bottom w:val="none" w:sz="0" w:space="0" w:color="auto"/>
            <w:right w:val="none" w:sz="0" w:space="0" w:color="auto"/>
          </w:divBdr>
          <w:divsChild>
            <w:div w:id="796726429">
              <w:marLeft w:val="0"/>
              <w:marRight w:val="0"/>
              <w:marTop w:val="0"/>
              <w:marBottom w:val="0"/>
              <w:divBdr>
                <w:top w:val="none" w:sz="0" w:space="0" w:color="auto"/>
                <w:left w:val="none" w:sz="0" w:space="0" w:color="auto"/>
                <w:bottom w:val="none" w:sz="0" w:space="0" w:color="auto"/>
                <w:right w:val="none" w:sz="0" w:space="0" w:color="auto"/>
              </w:divBdr>
              <w:divsChild>
                <w:div w:id="1587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9141">
      <w:bodyDiv w:val="1"/>
      <w:marLeft w:val="0"/>
      <w:marRight w:val="0"/>
      <w:marTop w:val="0"/>
      <w:marBottom w:val="0"/>
      <w:divBdr>
        <w:top w:val="none" w:sz="0" w:space="0" w:color="auto"/>
        <w:left w:val="none" w:sz="0" w:space="0" w:color="auto"/>
        <w:bottom w:val="none" w:sz="0" w:space="0" w:color="auto"/>
        <w:right w:val="none" w:sz="0" w:space="0" w:color="auto"/>
      </w:divBdr>
      <w:divsChild>
        <w:div w:id="1761826316">
          <w:marLeft w:val="0"/>
          <w:marRight w:val="0"/>
          <w:marTop w:val="0"/>
          <w:marBottom w:val="0"/>
          <w:divBdr>
            <w:top w:val="none" w:sz="0" w:space="0" w:color="auto"/>
            <w:left w:val="none" w:sz="0" w:space="0" w:color="auto"/>
            <w:bottom w:val="none" w:sz="0" w:space="0" w:color="auto"/>
            <w:right w:val="none" w:sz="0" w:space="0" w:color="auto"/>
          </w:divBdr>
          <w:divsChild>
            <w:div w:id="944844783">
              <w:marLeft w:val="0"/>
              <w:marRight w:val="0"/>
              <w:marTop w:val="0"/>
              <w:marBottom w:val="0"/>
              <w:divBdr>
                <w:top w:val="none" w:sz="0" w:space="0" w:color="auto"/>
                <w:left w:val="none" w:sz="0" w:space="0" w:color="auto"/>
                <w:bottom w:val="none" w:sz="0" w:space="0" w:color="auto"/>
                <w:right w:val="none" w:sz="0" w:space="0" w:color="auto"/>
              </w:divBdr>
              <w:divsChild>
                <w:div w:id="1696225474">
                  <w:marLeft w:val="0"/>
                  <w:marRight w:val="0"/>
                  <w:marTop w:val="0"/>
                  <w:marBottom w:val="0"/>
                  <w:divBdr>
                    <w:top w:val="none" w:sz="0" w:space="0" w:color="auto"/>
                    <w:left w:val="none" w:sz="0" w:space="0" w:color="auto"/>
                    <w:bottom w:val="none" w:sz="0" w:space="0" w:color="auto"/>
                    <w:right w:val="none" w:sz="0" w:space="0" w:color="auto"/>
                  </w:divBdr>
                  <w:divsChild>
                    <w:div w:id="321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90742">
      <w:bodyDiv w:val="1"/>
      <w:marLeft w:val="0"/>
      <w:marRight w:val="0"/>
      <w:marTop w:val="0"/>
      <w:marBottom w:val="0"/>
      <w:divBdr>
        <w:top w:val="none" w:sz="0" w:space="0" w:color="auto"/>
        <w:left w:val="none" w:sz="0" w:space="0" w:color="auto"/>
        <w:bottom w:val="none" w:sz="0" w:space="0" w:color="auto"/>
        <w:right w:val="none" w:sz="0" w:space="0" w:color="auto"/>
      </w:divBdr>
      <w:divsChild>
        <w:div w:id="261186641">
          <w:marLeft w:val="0"/>
          <w:marRight w:val="0"/>
          <w:marTop w:val="0"/>
          <w:marBottom w:val="0"/>
          <w:divBdr>
            <w:top w:val="none" w:sz="0" w:space="0" w:color="auto"/>
            <w:left w:val="none" w:sz="0" w:space="0" w:color="auto"/>
            <w:bottom w:val="none" w:sz="0" w:space="0" w:color="auto"/>
            <w:right w:val="none" w:sz="0" w:space="0" w:color="auto"/>
          </w:divBdr>
          <w:divsChild>
            <w:div w:id="783768102">
              <w:marLeft w:val="0"/>
              <w:marRight w:val="0"/>
              <w:marTop w:val="0"/>
              <w:marBottom w:val="0"/>
              <w:divBdr>
                <w:top w:val="none" w:sz="0" w:space="0" w:color="auto"/>
                <w:left w:val="none" w:sz="0" w:space="0" w:color="auto"/>
                <w:bottom w:val="none" w:sz="0" w:space="0" w:color="auto"/>
                <w:right w:val="none" w:sz="0" w:space="0" w:color="auto"/>
              </w:divBdr>
              <w:divsChild>
                <w:div w:id="664283744">
                  <w:marLeft w:val="0"/>
                  <w:marRight w:val="0"/>
                  <w:marTop w:val="0"/>
                  <w:marBottom w:val="0"/>
                  <w:divBdr>
                    <w:top w:val="none" w:sz="0" w:space="0" w:color="auto"/>
                    <w:left w:val="none" w:sz="0" w:space="0" w:color="auto"/>
                    <w:bottom w:val="none" w:sz="0" w:space="0" w:color="auto"/>
                    <w:right w:val="none" w:sz="0" w:space="0" w:color="auto"/>
                  </w:divBdr>
                  <w:divsChild>
                    <w:div w:id="14515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5738">
      <w:bodyDiv w:val="1"/>
      <w:marLeft w:val="0"/>
      <w:marRight w:val="0"/>
      <w:marTop w:val="0"/>
      <w:marBottom w:val="0"/>
      <w:divBdr>
        <w:top w:val="none" w:sz="0" w:space="0" w:color="auto"/>
        <w:left w:val="none" w:sz="0" w:space="0" w:color="auto"/>
        <w:bottom w:val="none" w:sz="0" w:space="0" w:color="auto"/>
        <w:right w:val="none" w:sz="0" w:space="0" w:color="auto"/>
      </w:divBdr>
      <w:divsChild>
        <w:div w:id="643852414">
          <w:marLeft w:val="0"/>
          <w:marRight w:val="0"/>
          <w:marTop w:val="0"/>
          <w:marBottom w:val="0"/>
          <w:divBdr>
            <w:top w:val="none" w:sz="0" w:space="0" w:color="auto"/>
            <w:left w:val="none" w:sz="0" w:space="0" w:color="auto"/>
            <w:bottom w:val="none" w:sz="0" w:space="0" w:color="auto"/>
            <w:right w:val="none" w:sz="0" w:space="0" w:color="auto"/>
          </w:divBdr>
          <w:divsChild>
            <w:div w:id="1943564824">
              <w:marLeft w:val="0"/>
              <w:marRight w:val="0"/>
              <w:marTop w:val="0"/>
              <w:marBottom w:val="0"/>
              <w:divBdr>
                <w:top w:val="none" w:sz="0" w:space="0" w:color="auto"/>
                <w:left w:val="none" w:sz="0" w:space="0" w:color="auto"/>
                <w:bottom w:val="none" w:sz="0" w:space="0" w:color="auto"/>
                <w:right w:val="none" w:sz="0" w:space="0" w:color="auto"/>
              </w:divBdr>
              <w:divsChild>
                <w:div w:id="2144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6184">
      <w:bodyDiv w:val="1"/>
      <w:marLeft w:val="0"/>
      <w:marRight w:val="0"/>
      <w:marTop w:val="0"/>
      <w:marBottom w:val="0"/>
      <w:divBdr>
        <w:top w:val="none" w:sz="0" w:space="0" w:color="auto"/>
        <w:left w:val="none" w:sz="0" w:space="0" w:color="auto"/>
        <w:bottom w:val="none" w:sz="0" w:space="0" w:color="auto"/>
        <w:right w:val="none" w:sz="0" w:space="0" w:color="auto"/>
      </w:divBdr>
      <w:divsChild>
        <w:div w:id="702286020">
          <w:marLeft w:val="0"/>
          <w:marRight w:val="0"/>
          <w:marTop w:val="0"/>
          <w:marBottom w:val="0"/>
          <w:divBdr>
            <w:top w:val="none" w:sz="0" w:space="0" w:color="auto"/>
            <w:left w:val="none" w:sz="0" w:space="0" w:color="auto"/>
            <w:bottom w:val="none" w:sz="0" w:space="0" w:color="auto"/>
            <w:right w:val="none" w:sz="0" w:space="0" w:color="auto"/>
          </w:divBdr>
          <w:divsChild>
            <w:div w:id="1460490016">
              <w:marLeft w:val="0"/>
              <w:marRight w:val="0"/>
              <w:marTop w:val="0"/>
              <w:marBottom w:val="0"/>
              <w:divBdr>
                <w:top w:val="none" w:sz="0" w:space="0" w:color="auto"/>
                <w:left w:val="none" w:sz="0" w:space="0" w:color="auto"/>
                <w:bottom w:val="none" w:sz="0" w:space="0" w:color="auto"/>
                <w:right w:val="none" w:sz="0" w:space="0" w:color="auto"/>
              </w:divBdr>
              <w:divsChild>
                <w:div w:id="10153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12738">
      <w:bodyDiv w:val="1"/>
      <w:marLeft w:val="0"/>
      <w:marRight w:val="0"/>
      <w:marTop w:val="0"/>
      <w:marBottom w:val="0"/>
      <w:divBdr>
        <w:top w:val="none" w:sz="0" w:space="0" w:color="auto"/>
        <w:left w:val="none" w:sz="0" w:space="0" w:color="auto"/>
        <w:bottom w:val="none" w:sz="0" w:space="0" w:color="auto"/>
        <w:right w:val="none" w:sz="0" w:space="0" w:color="auto"/>
      </w:divBdr>
      <w:divsChild>
        <w:div w:id="1359772950">
          <w:marLeft w:val="0"/>
          <w:marRight w:val="0"/>
          <w:marTop w:val="0"/>
          <w:marBottom w:val="0"/>
          <w:divBdr>
            <w:top w:val="none" w:sz="0" w:space="0" w:color="auto"/>
            <w:left w:val="none" w:sz="0" w:space="0" w:color="auto"/>
            <w:bottom w:val="none" w:sz="0" w:space="0" w:color="auto"/>
            <w:right w:val="none" w:sz="0" w:space="0" w:color="auto"/>
          </w:divBdr>
          <w:divsChild>
            <w:div w:id="461847478">
              <w:marLeft w:val="0"/>
              <w:marRight w:val="0"/>
              <w:marTop w:val="0"/>
              <w:marBottom w:val="0"/>
              <w:divBdr>
                <w:top w:val="none" w:sz="0" w:space="0" w:color="auto"/>
                <w:left w:val="none" w:sz="0" w:space="0" w:color="auto"/>
                <w:bottom w:val="none" w:sz="0" w:space="0" w:color="auto"/>
                <w:right w:val="none" w:sz="0" w:space="0" w:color="auto"/>
              </w:divBdr>
              <w:divsChild>
                <w:div w:id="6184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5099">
      <w:bodyDiv w:val="1"/>
      <w:marLeft w:val="0"/>
      <w:marRight w:val="0"/>
      <w:marTop w:val="0"/>
      <w:marBottom w:val="0"/>
      <w:divBdr>
        <w:top w:val="none" w:sz="0" w:space="0" w:color="auto"/>
        <w:left w:val="none" w:sz="0" w:space="0" w:color="auto"/>
        <w:bottom w:val="none" w:sz="0" w:space="0" w:color="auto"/>
        <w:right w:val="none" w:sz="0" w:space="0" w:color="auto"/>
      </w:divBdr>
      <w:divsChild>
        <w:div w:id="1141385147">
          <w:marLeft w:val="0"/>
          <w:marRight w:val="0"/>
          <w:marTop w:val="0"/>
          <w:marBottom w:val="0"/>
          <w:divBdr>
            <w:top w:val="none" w:sz="0" w:space="0" w:color="auto"/>
            <w:left w:val="none" w:sz="0" w:space="0" w:color="auto"/>
            <w:bottom w:val="none" w:sz="0" w:space="0" w:color="auto"/>
            <w:right w:val="none" w:sz="0" w:space="0" w:color="auto"/>
          </w:divBdr>
          <w:divsChild>
            <w:div w:id="1703283077">
              <w:marLeft w:val="0"/>
              <w:marRight w:val="0"/>
              <w:marTop w:val="0"/>
              <w:marBottom w:val="0"/>
              <w:divBdr>
                <w:top w:val="none" w:sz="0" w:space="0" w:color="auto"/>
                <w:left w:val="none" w:sz="0" w:space="0" w:color="auto"/>
                <w:bottom w:val="none" w:sz="0" w:space="0" w:color="auto"/>
                <w:right w:val="none" w:sz="0" w:space="0" w:color="auto"/>
              </w:divBdr>
              <w:divsChild>
                <w:div w:id="1335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1514">
      <w:bodyDiv w:val="1"/>
      <w:marLeft w:val="0"/>
      <w:marRight w:val="0"/>
      <w:marTop w:val="0"/>
      <w:marBottom w:val="0"/>
      <w:divBdr>
        <w:top w:val="none" w:sz="0" w:space="0" w:color="auto"/>
        <w:left w:val="none" w:sz="0" w:space="0" w:color="auto"/>
        <w:bottom w:val="none" w:sz="0" w:space="0" w:color="auto"/>
        <w:right w:val="none" w:sz="0" w:space="0" w:color="auto"/>
      </w:divBdr>
      <w:divsChild>
        <w:div w:id="1675572002">
          <w:marLeft w:val="446"/>
          <w:marRight w:val="0"/>
          <w:marTop w:val="0"/>
          <w:marBottom w:val="120"/>
          <w:divBdr>
            <w:top w:val="none" w:sz="0" w:space="0" w:color="auto"/>
            <w:left w:val="none" w:sz="0" w:space="0" w:color="auto"/>
            <w:bottom w:val="none" w:sz="0" w:space="0" w:color="auto"/>
            <w:right w:val="none" w:sz="0" w:space="0" w:color="auto"/>
          </w:divBdr>
        </w:div>
        <w:div w:id="1836653211">
          <w:marLeft w:val="446"/>
          <w:marRight w:val="0"/>
          <w:marTop w:val="0"/>
          <w:marBottom w:val="120"/>
          <w:divBdr>
            <w:top w:val="none" w:sz="0" w:space="0" w:color="auto"/>
            <w:left w:val="none" w:sz="0" w:space="0" w:color="auto"/>
            <w:bottom w:val="none" w:sz="0" w:space="0" w:color="auto"/>
            <w:right w:val="none" w:sz="0" w:space="0" w:color="auto"/>
          </w:divBdr>
        </w:div>
        <w:div w:id="1956019958">
          <w:marLeft w:val="446"/>
          <w:marRight w:val="0"/>
          <w:marTop w:val="0"/>
          <w:marBottom w:val="120"/>
          <w:divBdr>
            <w:top w:val="none" w:sz="0" w:space="0" w:color="auto"/>
            <w:left w:val="none" w:sz="0" w:space="0" w:color="auto"/>
            <w:bottom w:val="none" w:sz="0" w:space="0" w:color="auto"/>
            <w:right w:val="none" w:sz="0" w:space="0" w:color="auto"/>
          </w:divBdr>
        </w:div>
        <w:div w:id="2106489266">
          <w:marLeft w:val="446"/>
          <w:marRight w:val="0"/>
          <w:marTop w:val="0"/>
          <w:marBottom w:val="120"/>
          <w:divBdr>
            <w:top w:val="none" w:sz="0" w:space="0" w:color="auto"/>
            <w:left w:val="none" w:sz="0" w:space="0" w:color="auto"/>
            <w:bottom w:val="none" w:sz="0" w:space="0" w:color="auto"/>
            <w:right w:val="none" w:sz="0" w:space="0" w:color="auto"/>
          </w:divBdr>
        </w:div>
        <w:div w:id="324237570">
          <w:marLeft w:val="446"/>
          <w:marRight w:val="0"/>
          <w:marTop w:val="0"/>
          <w:marBottom w:val="120"/>
          <w:divBdr>
            <w:top w:val="none" w:sz="0" w:space="0" w:color="auto"/>
            <w:left w:val="none" w:sz="0" w:space="0" w:color="auto"/>
            <w:bottom w:val="none" w:sz="0" w:space="0" w:color="auto"/>
            <w:right w:val="none" w:sz="0" w:space="0" w:color="auto"/>
          </w:divBdr>
        </w:div>
        <w:div w:id="413091439">
          <w:marLeft w:val="446"/>
          <w:marRight w:val="0"/>
          <w:marTop w:val="0"/>
          <w:marBottom w:val="120"/>
          <w:divBdr>
            <w:top w:val="none" w:sz="0" w:space="0" w:color="auto"/>
            <w:left w:val="none" w:sz="0" w:space="0" w:color="auto"/>
            <w:bottom w:val="none" w:sz="0" w:space="0" w:color="auto"/>
            <w:right w:val="none" w:sz="0" w:space="0" w:color="auto"/>
          </w:divBdr>
        </w:div>
        <w:div w:id="2098938857">
          <w:marLeft w:val="446"/>
          <w:marRight w:val="0"/>
          <w:marTop w:val="0"/>
          <w:marBottom w:val="120"/>
          <w:divBdr>
            <w:top w:val="none" w:sz="0" w:space="0" w:color="auto"/>
            <w:left w:val="none" w:sz="0" w:space="0" w:color="auto"/>
            <w:bottom w:val="none" w:sz="0" w:space="0" w:color="auto"/>
            <w:right w:val="none" w:sz="0" w:space="0" w:color="auto"/>
          </w:divBdr>
        </w:div>
      </w:divsChild>
    </w:div>
    <w:div w:id="1752309836">
      <w:bodyDiv w:val="1"/>
      <w:marLeft w:val="0"/>
      <w:marRight w:val="0"/>
      <w:marTop w:val="0"/>
      <w:marBottom w:val="0"/>
      <w:divBdr>
        <w:top w:val="none" w:sz="0" w:space="0" w:color="auto"/>
        <w:left w:val="none" w:sz="0" w:space="0" w:color="auto"/>
        <w:bottom w:val="none" w:sz="0" w:space="0" w:color="auto"/>
        <w:right w:val="none" w:sz="0" w:space="0" w:color="auto"/>
      </w:divBdr>
      <w:divsChild>
        <w:div w:id="1358651942">
          <w:marLeft w:val="0"/>
          <w:marRight w:val="0"/>
          <w:marTop w:val="0"/>
          <w:marBottom w:val="0"/>
          <w:divBdr>
            <w:top w:val="none" w:sz="0" w:space="0" w:color="auto"/>
            <w:left w:val="none" w:sz="0" w:space="0" w:color="auto"/>
            <w:bottom w:val="none" w:sz="0" w:space="0" w:color="auto"/>
            <w:right w:val="none" w:sz="0" w:space="0" w:color="auto"/>
          </w:divBdr>
          <w:divsChild>
            <w:div w:id="1416049529">
              <w:marLeft w:val="0"/>
              <w:marRight w:val="0"/>
              <w:marTop w:val="0"/>
              <w:marBottom w:val="0"/>
              <w:divBdr>
                <w:top w:val="none" w:sz="0" w:space="0" w:color="auto"/>
                <w:left w:val="none" w:sz="0" w:space="0" w:color="auto"/>
                <w:bottom w:val="none" w:sz="0" w:space="0" w:color="auto"/>
                <w:right w:val="none" w:sz="0" w:space="0" w:color="auto"/>
              </w:divBdr>
              <w:divsChild>
                <w:div w:id="1340502867">
                  <w:marLeft w:val="0"/>
                  <w:marRight w:val="0"/>
                  <w:marTop w:val="0"/>
                  <w:marBottom w:val="0"/>
                  <w:divBdr>
                    <w:top w:val="none" w:sz="0" w:space="0" w:color="auto"/>
                    <w:left w:val="none" w:sz="0" w:space="0" w:color="auto"/>
                    <w:bottom w:val="none" w:sz="0" w:space="0" w:color="auto"/>
                    <w:right w:val="none" w:sz="0" w:space="0" w:color="auto"/>
                  </w:divBdr>
                  <w:divsChild>
                    <w:div w:id="13454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00394">
      <w:bodyDiv w:val="1"/>
      <w:marLeft w:val="0"/>
      <w:marRight w:val="0"/>
      <w:marTop w:val="0"/>
      <w:marBottom w:val="0"/>
      <w:divBdr>
        <w:top w:val="none" w:sz="0" w:space="0" w:color="auto"/>
        <w:left w:val="none" w:sz="0" w:space="0" w:color="auto"/>
        <w:bottom w:val="none" w:sz="0" w:space="0" w:color="auto"/>
        <w:right w:val="none" w:sz="0" w:space="0" w:color="auto"/>
      </w:divBdr>
      <w:divsChild>
        <w:div w:id="2023975309">
          <w:marLeft w:val="0"/>
          <w:marRight w:val="0"/>
          <w:marTop w:val="0"/>
          <w:marBottom w:val="0"/>
          <w:divBdr>
            <w:top w:val="none" w:sz="0" w:space="0" w:color="auto"/>
            <w:left w:val="none" w:sz="0" w:space="0" w:color="auto"/>
            <w:bottom w:val="none" w:sz="0" w:space="0" w:color="auto"/>
            <w:right w:val="none" w:sz="0" w:space="0" w:color="auto"/>
          </w:divBdr>
          <w:divsChild>
            <w:div w:id="1532842907">
              <w:marLeft w:val="0"/>
              <w:marRight w:val="0"/>
              <w:marTop w:val="0"/>
              <w:marBottom w:val="0"/>
              <w:divBdr>
                <w:top w:val="none" w:sz="0" w:space="0" w:color="auto"/>
                <w:left w:val="none" w:sz="0" w:space="0" w:color="auto"/>
                <w:bottom w:val="none" w:sz="0" w:space="0" w:color="auto"/>
                <w:right w:val="none" w:sz="0" w:space="0" w:color="auto"/>
              </w:divBdr>
              <w:divsChild>
                <w:div w:id="7040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56">
      <w:bodyDiv w:val="1"/>
      <w:marLeft w:val="0"/>
      <w:marRight w:val="0"/>
      <w:marTop w:val="0"/>
      <w:marBottom w:val="0"/>
      <w:divBdr>
        <w:top w:val="none" w:sz="0" w:space="0" w:color="auto"/>
        <w:left w:val="none" w:sz="0" w:space="0" w:color="auto"/>
        <w:bottom w:val="none" w:sz="0" w:space="0" w:color="auto"/>
        <w:right w:val="none" w:sz="0" w:space="0" w:color="auto"/>
      </w:divBdr>
    </w:div>
    <w:div w:id="2019699034">
      <w:bodyDiv w:val="1"/>
      <w:marLeft w:val="0"/>
      <w:marRight w:val="0"/>
      <w:marTop w:val="0"/>
      <w:marBottom w:val="0"/>
      <w:divBdr>
        <w:top w:val="none" w:sz="0" w:space="0" w:color="auto"/>
        <w:left w:val="none" w:sz="0" w:space="0" w:color="auto"/>
        <w:bottom w:val="none" w:sz="0" w:space="0" w:color="auto"/>
        <w:right w:val="none" w:sz="0" w:space="0" w:color="auto"/>
      </w:divBdr>
      <w:divsChild>
        <w:div w:id="1911771999">
          <w:marLeft w:val="0"/>
          <w:marRight w:val="0"/>
          <w:marTop w:val="0"/>
          <w:marBottom w:val="0"/>
          <w:divBdr>
            <w:top w:val="none" w:sz="0" w:space="0" w:color="auto"/>
            <w:left w:val="none" w:sz="0" w:space="0" w:color="auto"/>
            <w:bottom w:val="none" w:sz="0" w:space="0" w:color="auto"/>
            <w:right w:val="none" w:sz="0" w:space="0" w:color="auto"/>
          </w:divBdr>
          <w:divsChild>
            <w:div w:id="1446541967">
              <w:marLeft w:val="0"/>
              <w:marRight w:val="0"/>
              <w:marTop w:val="0"/>
              <w:marBottom w:val="0"/>
              <w:divBdr>
                <w:top w:val="none" w:sz="0" w:space="0" w:color="auto"/>
                <w:left w:val="none" w:sz="0" w:space="0" w:color="auto"/>
                <w:bottom w:val="none" w:sz="0" w:space="0" w:color="auto"/>
                <w:right w:val="none" w:sz="0" w:space="0" w:color="auto"/>
              </w:divBdr>
              <w:divsChild>
                <w:div w:id="7690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edia.wix.com/ugd/0c9650_97057b736aa74db19767a0c9cfc2dba9.pdf" TargetMode="External"/><Relationship Id="rId21" Type="http://schemas.openxmlformats.org/officeDocument/2006/relationships/hyperlink" Target="http://media.wix.com/ugd/0c9650_97057b736aa74db19767a0c9cfc2dba9.pdf" TargetMode="External"/><Relationship Id="rId22" Type="http://schemas.openxmlformats.org/officeDocument/2006/relationships/hyperlink" Target="http://www.caeecc.org/10-27-deel-dive-lgsec" TargetMode="External"/><Relationship Id="rId23" Type="http://schemas.openxmlformats.org/officeDocument/2006/relationships/hyperlink" Target="http://media.wix.com/ugd/0c9650_dc47a528ea0847db9415cfe0f8c4219d.pdf" TargetMode="External"/><Relationship Id="rId24" Type="http://schemas.openxmlformats.org/officeDocument/2006/relationships/hyperlink" Target="http://media.wix.com/ugd/0c9650_8be16d4d254a4185bc97665f12338b54.pdf" TargetMode="External"/><Relationship Id="rId25" Type="http://schemas.openxmlformats.org/officeDocument/2006/relationships/hyperlink" Target="http://media.wix.com/ugd/0c9650_70533b83c0474b27bc57f656ff357c4b.pdf" TargetMode="External"/><Relationship Id="rId26" Type="http://schemas.openxmlformats.org/officeDocument/2006/relationships/hyperlink" Target="http://media.wix.com/ugd/0c9650_ac62d20067104be299602d57f6fce437.pdf" TargetMode="External"/><Relationship Id="rId27" Type="http://schemas.openxmlformats.org/officeDocument/2006/relationships/hyperlink" Target="http://media.wix.com/ugd/0c9650_345e433413804d20bd71642bd4d58760.pdf" TargetMode="External"/><Relationship Id="rId28" Type="http://schemas.openxmlformats.org/officeDocument/2006/relationships/hyperlink" Target="http://media.wix.com/ugd/0c9650_97057b736aa74db19767a0c9cfc2dba9.pdf" TargetMode="External"/><Relationship Id="rId29" Type="http://schemas.openxmlformats.org/officeDocument/2006/relationships/hyperlink" Target="http://media.wix.com/ugd/0c9650_7831b0a88b6249138afb253042ce134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edia.wix.com/ugd/0c9650_345e433413804d20bd71642bd4d58760.pdf" TargetMode="External"/><Relationship Id="rId31" Type="http://schemas.openxmlformats.org/officeDocument/2006/relationships/hyperlink" Target="http://media.wix.com/ugd/0c9650_97057b736aa74db19767a0c9cfc2dba9.pdf" TargetMode="External"/><Relationship Id="rId32" Type="http://schemas.openxmlformats.org/officeDocument/2006/relationships/hyperlink" Target="http://www.caeecc.org/statewide-admininstration" TargetMode="External"/><Relationship Id="rId9" Type="http://schemas.openxmlformats.org/officeDocument/2006/relationships/hyperlink" Target="http://media.wix.com/ugd/0c9650_d4cfaf7786d64695a00b8c2a8984d69a.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a.wix.com/ugd/0c9650_6f9be5e39b5141b888298332c36f4e8d.pdf" TargetMode="External"/><Relationship Id="rId33" Type="http://schemas.openxmlformats.org/officeDocument/2006/relationships/hyperlink" Target="http://media.wix.com/ugd/0c9650_0fb3c5d45d4742e683ad1236773b2d85.pdf" TargetMode="External"/><Relationship Id="rId34" Type="http://schemas.openxmlformats.org/officeDocument/2006/relationships/hyperlink" Target="http://media.wix.com/ugd/0c9650_b4b6b884799c4aae9575fb7633b3b54a.pdf"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media.wix.com/ugd/0c9650_6f9be5e39b5141b888298332c36f4e8d.pdf" TargetMode="External"/><Relationship Id="rId13" Type="http://schemas.openxmlformats.org/officeDocument/2006/relationships/hyperlink" Target="http://media.wix.com/ugd/0c9650_9cefb42d3fc441e99e23384832da8f04.pdf" TargetMode="External"/><Relationship Id="rId14" Type="http://schemas.openxmlformats.org/officeDocument/2006/relationships/hyperlink" Target="http://media.wix.com/ugd/0c9650_6f9be5e39b5141b888298332c36f4e8d.pdf" TargetMode="External"/><Relationship Id="rId15" Type="http://schemas.openxmlformats.org/officeDocument/2006/relationships/hyperlink" Target="http://media.wix.com/ugd/0c9650_d4cfaf7786d64695a00b8c2a8984d69a.pdf" TargetMode="External"/><Relationship Id="rId16" Type="http://schemas.openxmlformats.org/officeDocument/2006/relationships/hyperlink" Target="http://media.wix.com/ugd/0c9650_9c7f48bc0f8c48a599361031028f9b8c.pdf" TargetMode="External"/><Relationship Id="rId17" Type="http://schemas.openxmlformats.org/officeDocument/2006/relationships/hyperlink" Target="http://media.wix.com/ugd/0c9650_70533b83c0474b27bc57f656ff357c4b.pdf" TargetMode="External"/><Relationship Id="rId18" Type="http://schemas.openxmlformats.org/officeDocument/2006/relationships/hyperlink" Target="http://media.wix.com/ugd/0c9650_9c7f48bc0f8c48a599361031028f9b8c.pdf" TargetMode="External"/><Relationship Id="rId19" Type="http://schemas.openxmlformats.org/officeDocument/2006/relationships/hyperlink" Target="http://media.wix.com/ugd/0c9650_9c7f48bc0f8c48a599361031028f9b8c.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9373-9AA3-6641-9979-DC140EFF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4126</Words>
  <Characters>23522</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Ted Pope</cp:lastModifiedBy>
  <cp:revision>2</cp:revision>
  <dcterms:created xsi:type="dcterms:W3CDTF">2016-12-12T02:34:00Z</dcterms:created>
  <dcterms:modified xsi:type="dcterms:W3CDTF">2016-12-12T02:34:00Z</dcterms:modified>
</cp:coreProperties>
</file>