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93E" w:rsidRDefault="0075653E">
      <w:pPr>
        <w:rPr>
          <w:rFonts w:ascii="Candara" w:hAnsi="Candara"/>
          <w:b/>
          <w:color w:val="0070C0"/>
          <w:sz w:val="44"/>
          <w:szCs w:val="44"/>
        </w:rPr>
      </w:pPr>
      <w:bookmarkStart w:id="0" w:name="_GoBack"/>
      <w:bookmarkEnd w:id="0"/>
      <w:r>
        <w:rPr>
          <w:rFonts w:ascii="Candara" w:hAnsi="Candara"/>
          <w:b/>
          <w:color w:val="005DA2"/>
          <w:sz w:val="44"/>
          <w:szCs w:val="44"/>
        </w:rPr>
        <w:t xml:space="preserve">Public </w:t>
      </w:r>
      <w:r w:rsidR="0029393E" w:rsidRPr="004D6F7C">
        <w:rPr>
          <w:rFonts w:ascii="Candara" w:hAnsi="Candara"/>
          <w:b/>
          <w:color w:val="005DA2"/>
          <w:sz w:val="44"/>
          <w:szCs w:val="44"/>
        </w:rPr>
        <w:t>Meeting Notes</w:t>
      </w:r>
      <w:r w:rsidR="00D76EEE">
        <w:rPr>
          <w:rFonts w:ascii="Candara" w:hAnsi="Candara"/>
          <w:b/>
          <w:color w:val="0070C0"/>
          <w:sz w:val="44"/>
          <w:szCs w:val="44"/>
        </w:rPr>
        <w:t xml:space="preserve"> </w:t>
      </w:r>
    </w:p>
    <w:p w:rsidR="00D9499D" w:rsidRPr="003431D4" w:rsidRDefault="0098038F">
      <w:pPr>
        <w:rPr>
          <w:rFonts w:asciiTheme="minorHAnsi" w:hAnsiTheme="minorHAnsi" w:cstheme="minorHAnsi"/>
          <w:b/>
          <w:color w:val="7F7F7F" w:themeColor="text1" w:themeTint="80"/>
          <w:sz w:val="32"/>
          <w:szCs w:val="36"/>
        </w:rPr>
      </w:pPr>
      <w:r>
        <w:rPr>
          <w:rFonts w:asciiTheme="minorHAnsi" w:hAnsiTheme="minorHAnsi" w:cstheme="minorHAnsi"/>
          <w:b/>
          <w:color w:val="7F7F7F" w:themeColor="text1" w:themeTint="80"/>
          <w:sz w:val="32"/>
          <w:szCs w:val="36"/>
        </w:rPr>
        <w:t>DOE</w:t>
      </w:r>
      <w:r w:rsidR="00BB3A84">
        <w:rPr>
          <w:rFonts w:asciiTheme="minorHAnsi" w:hAnsiTheme="minorHAnsi" w:cstheme="minorHAnsi"/>
          <w:b/>
          <w:color w:val="7F7F7F" w:themeColor="text1" w:themeTint="80"/>
          <w:sz w:val="32"/>
          <w:szCs w:val="36"/>
        </w:rPr>
        <w:t>,</w:t>
      </w:r>
      <w:r w:rsidR="0022557C">
        <w:rPr>
          <w:rFonts w:asciiTheme="minorHAnsi" w:hAnsiTheme="minorHAnsi" w:cstheme="minorHAnsi"/>
          <w:b/>
          <w:color w:val="7F7F7F" w:themeColor="text1" w:themeTint="80"/>
          <w:sz w:val="32"/>
          <w:szCs w:val="36"/>
        </w:rPr>
        <w:t xml:space="preserve"> Residential</w:t>
      </w:r>
      <w:r w:rsidR="00BB3A84">
        <w:rPr>
          <w:rFonts w:asciiTheme="minorHAnsi" w:hAnsiTheme="minorHAnsi" w:cstheme="minorHAnsi"/>
          <w:b/>
          <w:color w:val="7F7F7F" w:themeColor="text1" w:themeTint="80"/>
          <w:sz w:val="32"/>
          <w:szCs w:val="36"/>
        </w:rPr>
        <w:t xml:space="preserve"> </w:t>
      </w:r>
      <w:r>
        <w:rPr>
          <w:rFonts w:asciiTheme="minorHAnsi" w:hAnsiTheme="minorHAnsi" w:cstheme="minorHAnsi"/>
          <w:b/>
          <w:color w:val="7F7F7F" w:themeColor="text1" w:themeTint="80"/>
          <w:sz w:val="32"/>
          <w:szCs w:val="36"/>
        </w:rPr>
        <w:t>Furnace Fan</w:t>
      </w:r>
      <w:r w:rsidR="0056389D">
        <w:rPr>
          <w:rFonts w:asciiTheme="minorHAnsi" w:hAnsiTheme="minorHAnsi" w:cstheme="minorHAnsi"/>
          <w:b/>
          <w:color w:val="7F7F7F" w:themeColor="text1" w:themeTint="80"/>
          <w:sz w:val="32"/>
          <w:szCs w:val="36"/>
        </w:rPr>
        <w:t xml:space="preserve">, </w:t>
      </w:r>
      <w:r w:rsidR="0022557C">
        <w:rPr>
          <w:rFonts w:asciiTheme="minorHAnsi" w:hAnsiTheme="minorHAnsi" w:cstheme="minorHAnsi"/>
          <w:b/>
          <w:color w:val="7F7F7F" w:themeColor="text1" w:themeTint="80"/>
          <w:sz w:val="32"/>
          <w:szCs w:val="36"/>
        </w:rPr>
        <w:t>Standards Rulemaking – Preliminary Technical Support Document (PTSD)</w:t>
      </w:r>
    </w:p>
    <w:p w:rsidR="0022557C" w:rsidRDefault="0022557C">
      <w:pPr>
        <w:rPr>
          <w:rFonts w:asciiTheme="minorHAnsi" w:hAnsiTheme="minorHAnsi" w:cstheme="minorHAnsi"/>
          <w:b/>
          <w:color w:val="7F7F7F" w:themeColor="text1" w:themeTint="80"/>
          <w:sz w:val="32"/>
          <w:szCs w:val="36"/>
        </w:rPr>
      </w:pPr>
      <w:r>
        <w:rPr>
          <w:rFonts w:asciiTheme="minorHAnsi" w:hAnsiTheme="minorHAnsi" w:cstheme="minorHAnsi"/>
          <w:b/>
          <w:color w:val="7F7F7F" w:themeColor="text1" w:themeTint="80"/>
          <w:sz w:val="32"/>
          <w:szCs w:val="36"/>
        </w:rPr>
        <w:t>July 27, 2012</w:t>
      </w:r>
    </w:p>
    <w:p w:rsidR="0056389D" w:rsidRDefault="0056389D"/>
    <w:p w:rsidR="00D76EEE" w:rsidRPr="008C2318" w:rsidRDefault="0029393E">
      <w:pPr>
        <w:rPr>
          <w:rFonts w:ascii="Candara" w:hAnsi="Candara"/>
          <w:b/>
        </w:rPr>
      </w:pPr>
      <w:r w:rsidRPr="008C2318">
        <w:rPr>
          <w:rFonts w:ascii="Candara" w:hAnsi="Candara"/>
          <w:b/>
        </w:rPr>
        <w:t xml:space="preserve">Notes </w:t>
      </w:r>
      <w:r w:rsidR="0075653E">
        <w:rPr>
          <w:rFonts w:ascii="Candara" w:hAnsi="Candara"/>
          <w:b/>
        </w:rPr>
        <w:t>P</w:t>
      </w:r>
      <w:r w:rsidRPr="008C2318">
        <w:rPr>
          <w:rFonts w:ascii="Candara" w:hAnsi="Candara"/>
          <w:b/>
        </w:rPr>
        <w:t>repared by:</w:t>
      </w:r>
    </w:p>
    <w:p w:rsidR="0029393E" w:rsidRDefault="0022557C">
      <w:pPr>
        <w:rPr>
          <w:rFonts w:asciiTheme="minorHAnsi" w:hAnsiTheme="minorHAnsi" w:cstheme="minorHAnsi"/>
        </w:rPr>
      </w:pPr>
      <w:r>
        <w:rPr>
          <w:rFonts w:asciiTheme="minorHAnsi" w:hAnsiTheme="minorHAnsi" w:cstheme="minorHAnsi"/>
        </w:rPr>
        <w:t>Brian James, SCE</w:t>
      </w:r>
    </w:p>
    <w:p w:rsidR="0022557C" w:rsidRDefault="008760FF">
      <w:pPr>
        <w:rPr>
          <w:rFonts w:asciiTheme="minorHAnsi" w:hAnsiTheme="minorHAnsi" w:cstheme="minorHAnsi"/>
        </w:rPr>
      </w:pPr>
      <w:hyperlink r:id="rId9" w:history="1">
        <w:r w:rsidR="0022557C" w:rsidRPr="00FB654B">
          <w:rPr>
            <w:rStyle w:val="Hyperlink"/>
            <w:rFonts w:asciiTheme="minorHAnsi" w:hAnsiTheme="minorHAnsi" w:cstheme="minorHAnsi"/>
          </w:rPr>
          <w:t>Brian.James@sce.com</w:t>
        </w:r>
      </w:hyperlink>
    </w:p>
    <w:p w:rsidR="00B52B0E" w:rsidRDefault="0022557C">
      <w:pPr>
        <w:rPr>
          <w:rFonts w:ascii="Arial" w:hAnsi="Arial" w:cs="Arial"/>
          <w:sz w:val="20"/>
          <w:szCs w:val="20"/>
        </w:rPr>
      </w:pPr>
      <w:r>
        <w:rPr>
          <w:rFonts w:ascii="Arial" w:hAnsi="Arial" w:cs="Arial"/>
          <w:sz w:val="20"/>
          <w:szCs w:val="20"/>
        </w:rPr>
        <w:t>(626) 633-7125</w:t>
      </w:r>
    </w:p>
    <w:p w:rsidR="0022557C" w:rsidRDefault="0022557C">
      <w:pPr>
        <w:rPr>
          <w:rFonts w:asciiTheme="minorHAnsi" w:hAnsiTheme="minorHAnsi" w:cstheme="minorHAnsi"/>
        </w:rPr>
      </w:pPr>
    </w:p>
    <w:p w:rsidR="00B52B0E" w:rsidRDefault="00B52B0E" w:rsidP="00B52B0E">
      <w:pPr>
        <w:ind w:firstLine="720"/>
        <w:rPr>
          <w:rFonts w:ascii="Candara" w:hAnsi="Candara"/>
        </w:rPr>
      </w:pPr>
      <w:r w:rsidRPr="00B52B0E">
        <w:rPr>
          <w:rFonts w:ascii="Candara" w:hAnsi="Candara"/>
        </w:rPr>
        <w:t>A</w:t>
      </w:r>
      <w:r>
        <w:rPr>
          <w:rFonts w:ascii="Candara" w:hAnsi="Candara"/>
        </w:rPr>
        <w:t>ttended</w:t>
      </w:r>
      <w:r w:rsidR="001648EA">
        <w:rPr>
          <w:rFonts w:ascii="Candara" w:hAnsi="Candara"/>
        </w:rPr>
        <w:t>:</w:t>
      </w:r>
      <w:r w:rsidR="001648EA">
        <w:rPr>
          <w:rFonts w:ascii="Candara" w:hAnsi="Candara"/>
        </w:rPr>
        <w:tab/>
        <w:t>In-person</w:t>
      </w:r>
    </w:p>
    <w:p w:rsidR="00B52B0E" w:rsidRDefault="00B52B0E" w:rsidP="00B52B0E">
      <w:pPr>
        <w:rPr>
          <w:rFonts w:ascii="Candara" w:hAnsi="Candara"/>
        </w:rPr>
      </w:pPr>
    </w:p>
    <w:p w:rsidR="00B52B0E" w:rsidRPr="008C2318" w:rsidRDefault="00B52B0E" w:rsidP="00B52B0E">
      <w:pPr>
        <w:rPr>
          <w:rFonts w:ascii="Candara" w:hAnsi="Candara"/>
          <w:b/>
        </w:rPr>
      </w:pPr>
      <w:r>
        <w:rPr>
          <w:rFonts w:ascii="Candara" w:hAnsi="Candara"/>
          <w:b/>
        </w:rPr>
        <w:t>DOE Product Manager and Key Consultants</w:t>
      </w:r>
      <w:r w:rsidRPr="008C2318">
        <w:rPr>
          <w:rFonts w:ascii="Candara" w:hAnsi="Candara"/>
          <w:b/>
        </w:rPr>
        <w:t>:</w:t>
      </w:r>
    </w:p>
    <w:p w:rsidR="00BD387D" w:rsidRDefault="00BD387D" w:rsidP="00B52B0E">
      <w:pPr>
        <w:tabs>
          <w:tab w:val="left" w:pos="7695"/>
        </w:tabs>
        <w:rPr>
          <w:rFonts w:asciiTheme="minorHAnsi" w:hAnsiTheme="minorHAnsi" w:cstheme="minorHAnsi"/>
        </w:rPr>
      </w:pPr>
      <w:r>
        <w:rPr>
          <w:rFonts w:asciiTheme="minorHAnsi" w:hAnsiTheme="minorHAnsi" w:cstheme="minorHAnsi"/>
        </w:rPr>
        <w:t>DOE Product Manager – Mohammed Khan, DOE</w:t>
      </w:r>
    </w:p>
    <w:p w:rsidR="00BD387D" w:rsidRDefault="00BD387D" w:rsidP="00B52B0E">
      <w:pPr>
        <w:tabs>
          <w:tab w:val="left" w:pos="7695"/>
        </w:tabs>
        <w:rPr>
          <w:rFonts w:asciiTheme="minorHAnsi" w:hAnsiTheme="minorHAnsi" w:cstheme="minorHAnsi"/>
        </w:rPr>
      </w:pPr>
      <w:r>
        <w:rPr>
          <w:rFonts w:asciiTheme="minorHAnsi" w:hAnsiTheme="minorHAnsi" w:cstheme="minorHAnsi"/>
        </w:rPr>
        <w:t>Moderator – Doug Brookman, Public Solutions, Inc.</w:t>
      </w:r>
    </w:p>
    <w:p w:rsidR="00B52B0E" w:rsidRDefault="00BD387D" w:rsidP="00B52B0E">
      <w:pPr>
        <w:tabs>
          <w:tab w:val="left" w:pos="7695"/>
        </w:tabs>
      </w:pPr>
      <w:r>
        <w:rPr>
          <w:rFonts w:asciiTheme="minorHAnsi" w:hAnsiTheme="minorHAnsi" w:cstheme="minorHAnsi"/>
        </w:rPr>
        <w:t>Lead Consultants – Sam Jasinki, Navigant; Alex Lekov, LBNL</w:t>
      </w:r>
      <w:r w:rsidR="00B52B0E">
        <w:rPr>
          <w:rFonts w:asciiTheme="minorHAnsi" w:hAnsiTheme="minorHAnsi" w:cstheme="minorHAnsi"/>
        </w:rPr>
        <w:tab/>
      </w:r>
    </w:p>
    <w:p w:rsidR="00B52B0E" w:rsidRPr="00C76863" w:rsidRDefault="00B52B0E" w:rsidP="00B52B0E">
      <w:pPr>
        <w:rPr>
          <w:rFonts w:ascii="Candara" w:hAnsi="Candara"/>
          <w:b/>
          <w:color w:val="068C3C"/>
        </w:rPr>
      </w:pPr>
    </w:p>
    <w:p w:rsidR="008418DA" w:rsidRPr="008C2318" w:rsidRDefault="0029393E">
      <w:pPr>
        <w:rPr>
          <w:rFonts w:ascii="Candara" w:hAnsi="Candara"/>
          <w:b/>
        </w:rPr>
      </w:pPr>
      <w:r w:rsidRPr="008C2318">
        <w:rPr>
          <w:rFonts w:ascii="Candara" w:hAnsi="Candara"/>
          <w:b/>
        </w:rPr>
        <w:t>Participants:</w:t>
      </w:r>
    </w:p>
    <w:p w:rsidR="00D76EEE" w:rsidRDefault="0002141B" w:rsidP="00D76EEE">
      <w:pPr>
        <w:rPr>
          <w:rFonts w:asciiTheme="minorHAnsi" w:hAnsiTheme="minorHAnsi" w:cstheme="minorHAnsi"/>
        </w:rPr>
      </w:pPr>
      <w:r>
        <w:rPr>
          <w:rFonts w:asciiTheme="minorHAnsi" w:hAnsiTheme="minorHAnsi" w:cstheme="minorHAnsi"/>
        </w:rPr>
        <w:t>Karim Amrane, AHRI</w:t>
      </w:r>
    </w:p>
    <w:p w:rsidR="0002141B" w:rsidRDefault="0002141B" w:rsidP="00D76EEE">
      <w:pPr>
        <w:rPr>
          <w:rFonts w:asciiTheme="minorHAnsi" w:hAnsiTheme="minorHAnsi" w:cstheme="minorHAnsi"/>
        </w:rPr>
      </w:pPr>
      <w:r>
        <w:rPr>
          <w:rFonts w:asciiTheme="minorHAnsi" w:hAnsiTheme="minorHAnsi" w:cstheme="minorHAnsi"/>
        </w:rPr>
        <w:t>Aniruddh Roy, AHRI</w:t>
      </w:r>
    </w:p>
    <w:p w:rsidR="0002141B" w:rsidRDefault="0002141B" w:rsidP="00D76EEE">
      <w:pPr>
        <w:rPr>
          <w:rFonts w:asciiTheme="minorHAnsi" w:hAnsiTheme="minorHAnsi" w:cstheme="minorHAnsi"/>
        </w:rPr>
      </w:pPr>
      <w:r>
        <w:rPr>
          <w:rFonts w:asciiTheme="minorHAnsi" w:hAnsiTheme="minorHAnsi" w:cstheme="minorHAnsi"/>
        </w:rPr>
        <w:t>Timothy Ballo, Earth Justice</w:t>
      </w:r>
    </w:p>
    <w:p w:rsidR="0002141B" w:rsidRDefault="0002141B" w:rsidP="00D76EEE">
      <w:pPr>
        <w:rPr>
          <w:rFonts w:asciiTheme="minorHAnsi" w:hAnsiTheme="minorHAnsi" w:cstheme="minorHAnsi"/>
        </w:rPr>
      </w:pPr>
      <w:r>
        <w:rPr>
          <w:rFonts w:asciiTheme="minorHAnsi" w:hAnsiTheme="minorHAnsi" w:cstheme="minorHAnsi"/>
        </w:rPr>
        <w:t>Alex Boesenberg, NEMA</w:t>
      </w:r>
    </w:p>
    <w:p w:rsidR="0002141B" w:rsidRDefault="0002141B" w:rsidP="00D76EEE">
      <w:pPr>
        <w:rPr>
          <w:rFonts w:asciiTheme="minorHAnsi" w:hAnsiTheme="minorHAnsi" w:cstheme="minorHAnsi"/>
        </w:rPr>
      </w:pPr>
      <w:r>
        <w:rPr>
          <w:rFonts w:asciiTheme="minorHAnsi" w:hAnsiTheme="minorHAnsi" w:cstheme="minorHAnsi"/>
        </w:rPr>
        <w:t>Rob Boteler, Nidec Motor Corp</w:t>
      </w:r>
    </w:p>
    <w:p w:rsidR="0002141B" w:rsidRDefault="0002141B" w:rsidP="00D76EEE">
      <w:pPr>
        <w:rPr>
          <w:rFonts w:asciiTheme="minorHAnsi" w:hAnsiTheme="minorHAnsi" w:cstheme="minorHAnsi"/>
        </w:rPr>
      </w:pPr>
      <w:r>
        <w:rPr>
          <w:rFonts w:asciiTheme="minorHAnsi" w:hAnsiTheme="minorHAnsi" w:cstheme="minorHAnsi"/>
        </w:rPr>
        <w:t>Adam Christensen, ASAP</w:t>
      </w:r>
    </w:p>
    <w:p w:rsidR="0002141B" w:rsidRDefault="0002141B" w:rsidP="00D76EEE">
      <w:pPr>
        <w:rPr>
          <w:rFonts w:asciiTheme="minorHAnsi" w:hAnsiTheme="minorHAnsi" w:cstheme="minorHAnsi"/>
        </w:rPr>
      </w:pPr>
      <w:r>
        <w:rPr>
          <w:rFonts w:asciiTheme="minorHAnsi" w:hAnsiTheme="minorHAnsi" w:cstheme="minorHAnsi"/>
        </w:rPr>
        <w:t>Tom Eckman, Northwest Power and Conservation Council</w:t>
      </w:r>
      <w:r w:rsidR="00185C2F">
        <w:rPr>
          <w:rFonts w:asciiTheme="minorHAnsi" w:hAnsiTheme="minorHAnsi" w:cstheme="minorHAnsi"/>
        </w:rPr>
        <w:t xml:space="preserve"> (NPPC)</w:t>
      </w:r>
    </w:p>
    <w:p w:rsidR="0002141B" w:rsidRDefault="0002141B" w:rsidP="00D76EEE">
      <w:pPr>
        <w:rPr>
          <w:rFonts w:asciiTheme="minorHAnsi" w:hAnsiTheme="minorHAnsi" w:cstheme="minorHAnsi"/>
        </w:rPr>
      </w:pPr>
      <w:r>
        <w:rPr>
          <w:rFonts w:asciiTheme="minorHAnsi" w:hAnsiTheme="minorHAnsi" w:cstheme="minorHAnsi"/>
        </w:rPr>
        <w:t>Victor Franco, LBNL</w:t>
      </w:r>
    </w:p>
    <w:p w:rsidR="00185C2F" w:rsidRDefault="00185C2F" w:rsidP="00D76EEE">
      <w:pPr>
        <w:rPr>
          <w:rFonts w:asciiTheme="minorHAnsi" w:hAnsiTheme="minorHAnsi" w:cstheme="minorHAnsi"/>
        </w:rPr>
      </w:pPr>
      <w:r>
        <w:rPr>
          <w:rFonts w:asciiTheme="minorHAnsi" w:hAnsiTheme="minorHAnsi" w:cstheme="minorHAnsi"/>
        </w:rPr>
        <w:t>Michael Ivanovich, Air Movement and Control Association International, Inc</w:t>
      </w:r>
    </w:p>
    <w:p w:rsidR="00185C2F" w:rsidRDefault="00185C2F" w:rsidP="00D76EEE">
      <w:pPr>
        <w:rPr>
          <w:rFonts w:asciiTheme="minorHAnsi" w:hAnsiTheme="minorHAnsi" w:cstheme="minorHAnsi"/>
        </w:rPr>
      </w:pPr>
      <w:r>
        <w:rPr>
          <w:rFonts w:asciiTheme="minorHAnsi" w:hAnsiTheme="minorHAnsi" w:cstheme="minorHAnsi"/>
        </w:rPr>
        <w:t>Diane Jakobs, Rheem</w:t>
      </w:r>
    </w:p>
    <w:p w:rsidR="00185C2F" w:rsidRDefault="00185C2F" w:rsidP="00D76EEE">
      <w:pPr>
        <w:rPr>
          <w:rFonts w:asciiTheme="minorHAnsi" w:hAnsiTheme="minorHAnsi" w:cstheme="minorHAnsi"/>
        </w:rPr>
      </w:pPr>
      <w:r>
        <w:rPr>
          <w:rFonts w:asciiTheme="minorHAnsi" w:hAnsiTheme="minorHAnsi" w:cstheme="minorHAnsi"/>
        </w:rPr>
        <w:t>Brian James, SCE</w:t>
      </w:r>
    </w:p>
    <w:p w:rsidR="00185C2F" w:rsidRDefault="00185C2F" w:rsidP="00D76EEE">
      <w:pPr>
        <w:rPr>
          <w:rFonts w:asciiTheme="minorHAnsi" w:hAnsiTheme="minorHAnsi" w:cstheme="minorHAnsi"/>
        </w:rPr>
      </w:pPr>
      <w:r>
        <w:rPr>
          <w:rFonts w:asciiTheme="minorHAnsi" w:hAnsiTheme="minorHAnsi" w:cstheme="minorHAnsi"/>
        </w:rPr>
        <w:t>Sam Jasinski, Navigant</w:t>
      </w:r>
    </w:p>
    <w:p w:rsidR="00185C2F" w:rsidRDefault="00185C2F" w:rsidP="00D76EEE">
      <w:pPr>
        <w:rPr>
          <w:rFonts w:asciiTheme="minorHAnsi" w:hAnsiTheme="minorHAnsi" w:cstheme="minorHAnsi"/>
        </w:rPr>
      </w:pPr>
      <w:r>
        <w:rPr>
          <w:rFonts w:asciiTheme="minorHAnsi" w:hAnsiTheme="minorHAnsi" w:cstheme="minorHAnsi"/>
        </w:rPr>
        <w:t>Paul Lin, Regal Beloit</w:t>
      </w:r>
    </w:p>
    <w:p w:rsidR="00185C2F" w:rsidRDefault="00185C2F" w:rsidP="00D76EEE">
      <w:pPr>
        <w:rPr>
          <w:rFonts w:asciiTheme="minorHAnsi" w:hAnsiTheme="minorHAnsi" w:cstheme="minorHAnsi"/>
        </w:rPr>
      </w:pPr>
      <w:r>
        <w:rPr>
          <w:rFonts w:asciiTheme="minorHAnsi" w:hAnsiTheme="minorHAnsi" w:cstheme="minorHAnsi"/>
        </w:rPr>
        <w:t>Chris Lau, Navigant</w:t>
      </w:r>
    </w:p>
    <w:p w:rsidR="00185C2F" w:rsidRDefault="00185C2F" w:rsidP="00D76EEE">
      <w:pPr>
        <w:rPr>
          <w:rFonts w:asciiTheme="minorHAnsi" w:hAnsiTheme="minorHAnsi" w:cstheme="minorHAnsi"/>
        </w:rPr>
      </w:pPr>
      <w:r>
        <w:rPr>
          <w:rFonts w:asciiTheme="minorHAnsi" w:hAnsiTheme="minorHAnsi" w:cstheme="minorHAnsi"/>
        </w:rPr>
        <w:t>Alex Lekov, LBNL</w:t>
      </w:r>
    </w:p>
    <w:p w:rsidR="00185C2F" w:rsidRDefault="00185C2F" w:rsidP="00D76EEE">
      <w:pPr>
        <w:rPr>
          <w:rFonts w:asciiTheme="minorHAnsi" w:hAnsiTheme="minorHAnsi" w:cstheme="minorHAnsi"/>
        </w:rPr>
      </w:pPr>
      <w:r>
        <w:rPr>
          <w:rFonts w:asciiTheme="minorHAnsi" w:hAnsiTheme="minorHAnsi" w:cstheme="minorHAnsi"/>
        </w:rPr>
        <w:t>Joanna Mauer, ASAP</w:t>
      </w:r>
    </w:p>
    <w:p w:rsidR="00185C2F" w:rsidRDefault="00185C2F" w:rsidP="00D76EEE">
      <w:pPr>
        <w:rPr>
          <w:rFonts w:asciiTheme="minorHAnsi" w:hAnsiTheme="minorHAnsi" w:cstheme="minorHAnsi"/>
        </w:rPr>
      </w:pPr>
      <w:r>
        <w:rPr>
          <w:rFonts w:asciiTheme="minorHAnsi" w:hAnsiTheme="minorHAnsi" w:cstheme="minorHAnsi"/>
        </w:rPr>
        <w:t>Sarah Medepalli, ICF</w:t>
      </w:r>
    </w:p>
    <w:p w:rsidR="00185C2F" w:rsidRDefault="00185C2F" w:rsidP="00D76EEE">
      <w:pPr>
        <w:rPr>
          <w:rFonts w:asciiTheme="minorHAnsi" w:hAnsiTheme="minorHAnsi" w:cstheme="minorHAnsi"/>
        </w:rPr>
      </w:pPr>
      <w:r>
        <w:rPr>
          <w:rFonts w:asciiTheme="minorHAnsi" w:hAnsiTheme="minorHAnsi" w:cstheme="minorHAnsi"/>
        </w:rPr>
        <w:t>Craig Messmer, Unico</w:t>
      </w:r>
    </w:p>
    <w:p w:rsidR="00185C2F" w:rsidRDefault="00185C2F" w:rsidP="00D76EEE">
      <w:pPr>
        <w:rPr>
          <w:rFonts w:asciiTheme="minorHAnsi" w:hAnsiTheme="minorHAnsi" w:cstheme="minorHAnsi"/>
        </w:rPr>
      </w:pPr>
      <w:r>
        <w:rPr>
          <w:rFonts w:asciiTheme="minorHAnsi" w:hAnsiTheme="minorHAnsi" w:cstheme="minorHAnsi"/>
        </w:rPr>
        <w:t>David Ransom, McDermott Will &amp; Emery</w:t>
      </w:r>
    </w:p>
    <w:p w:rsidR="00185C2F" w:rsidRDefault="00185C2F" w:rsidP="00D76EEE">
      <w:pPr>
        <w:rPr>
          <w:rFonts w:asciiTheme="minorHAnsi" w:hAnsiTheme="minorHAnsi" w:cstheme="minorHAnsi"/>
        </w:rPr>
      </w:pPr>
      <w:r>
        <w:rPr>
          <w:rFonts w:asciiTheme="minorHAnsi" w:hAnsiTheme="minorHAnsi" w:cstheme="minorHAnsi"/>
        </w:rPr>
        <w:t>Steve Rosenstock, EEI</w:t>
      </w:r>
    </w:p>
    <w:p w:rsidR="00185C2F" w:rsidRDefault="00185C2F" w:rsidP="00D76EEE">
      <w:pPr>
        <w:rPr>
          <w:rFonts w:asciiTheme="minorHAnsi" w:hAnsiTheme="minorHAnsi" w:cstheme="minorHAnsi"/>
        </w:rPr>
      </w:pPr>
      <w:r>
        <w:rPr>
          <w:rFonts w:asciiTheme="minorHAnsi" w:hAnsiTheme="minorHAnsi" w:cstheme="minorHAnsi"/>
        </w:rPr>
        <w:t>Gregory Rosenquist, LBNL</w:t>
      </w:r>
    </w:p>
    <w:p w:rsidR="00185C2F" w:rsidRDefault="00185C2F" w:rsidP="00D76EEE">
      <w:pPr>
        <w:rPr>
          <w:rFonts w:asciiTheme="minorHAnsi" w:hAnsiTheme="minorHAnsi" w:cstheme="minorHAnsi"/>
        </w:rPr>
      </w:pPr>
      <w:r>
        <w:rPr>
          <w:rFonts w:asciiTheme="minorHAnsi" w:hAnsiTheme="minorHAnsi" w:cstheme="minorHAnsi"/>
        </w:rPr>
        <w:t>Charlie Stephens, Northwest Energy Efficiency Alliance (NEEA)</w:t>
      </w:r>
    </w:p>
    <w:p w:rsidR="00185C2F" w:rsidRDefault="00185C2F" w:rsidP="00D76EEE">
      <w:pPr>
        <w:rPr>
          <w:rFonts w:asciiTheme="minorHAnsi" w:hAnsiTheme="minorHAnsi" w:cstheme="minorHAnsi"/>
        </w:rPr>
      </w:pPr>
      <w:r>
        <w:rPr>
          <w:rFonts w:asciiTheme="minorHAnsi" w:hAnsiTheme="minorHAnsi" w:cstheme="minorHAnsi"/>
        </w:rPr>
        <w:t>Greg Wagner, Morrison Products</w:t>
      </w:r>
    </w:p>
    <w:p w:rsidR="00185C2F" w:rsidRDefault="00185C2F" w:rsidP="00D76EEE">
      <w:pPr>
        <w:rPr>
          <w:rFonts w:asciiTheme="minorHAnsi" w:hAnsiTheme="minorHAnsi" w:cstheme="minorHAnsi"/>
        </w:rPr>
      </w:pPr>
      <w:r>
        <w:rPr>
          <w:rFonts w:asciiTheme="minorHAnsi" w:hAnsiTheme="minorHAnsi" w:cstheme="minorHAnsi"/>
        </w:rPr>
        <w:t>Ted Williams, American Gas Association</w:t>
      </w:r>
    </w:p>
    <w:p w:rsidR="00185C2F" w:rsidRDefault="00185C2F" w:rsidP="00D76EEE">
      <w:pPr>
        <w:rPr>
          <w:rFonts w:asciiTheme="minorHAnsi" w:hAnsiTheme="minorHAnsi" w:cstheme="minorHAnsi"/>
        </w:rPr>
      </w:pPr>
      <w:r>
        <w:rPr>
          <w:rFonts w:asciiTheme="minorHAnsi" w:hAnsiTheme="minorHAnsi" w:cstheme="minorHAnsi"/>
        </w:rPr>
        <w:t>Dave Winningham, Allied Air Enterprises, A Lennox International Inc Company</w:t>
      </w:r>
    </w:p>
    <w:p w:rsidR="00185C2F" w:rsidRDefault="00185C2F" w:rsidP="00D76EEE">
      <w:pPr>
        <w:rPr>
          <w:rFonts w:asciiTheme="minorHAnsi" w:hAnsiTheme="minorHAnsi" w:cstheme="minorHAnsi"/>
        </w:rPr>
      </w:pPr>
      <w:r>
        <w:rPr>
          <w:rFonts w:asciiTheme="minorHAnsi" w:hAnsiTheme="minorHAnsi" w:cstheme="minorHAnsi"/>
        </w:rPr>
        <w:t>Detlef Westphalen, Navigant</w:t>
      </w:r>
    </w:p>
    <w:p w:rsidR="00185C2F" w:rsidRDefault="00185C2F" w:rsidP="00D76EEE">
      <w:pPr>
        <w:rPr>
          <w:rFonts w:asciiTheme="minorHAnsi" w:hAnsiTheme="minorHAnsi" w:cstheme="minorHAnsi"/>
        </w:rPr>
      </w:pPr>
      <w:r>
        <w:rPr>
          <w:rFonts w:asciiTheme="minorHAnsi" w:hAnsiTheme="minorHAnsi" w:cstheme="minorHAnsi"/>
        </w:rPr>
        <w:t>Bingyi Yu, LBNL</w:t>
      </w:r>
    </w:p>
    <w:p w:rsidR="00185C2F" w:rsidRDefault="00185C2F" w:rsidP="00D76EEE">
      <w:pPr>
        <w:rPr>
          <w:rFonts w:asciiTheme="minorHAnsi" w:hAnsiTheme="minorHAnsi" w:cstheme="minorHAnsi"/>
        </w:rPr>
      </w:pPr>
      <w:r>
        <w:rPr>
          <w:rFonts w:asciiTheme="minorHAnsi" w:hAnsiTheme="minorHAnsi" w:cstheme="minorHAnsi"/>
        </w:rPr>
        <w:lastRenderedPageBreak/>
        <w:t>Abigail Daken, EPA</w:t>
      </w:r>
    </w:p>
    <w:p w:rsidR="00185C2F" w:rsidRPr="00185C2F" w:rsidRDefault="00185C2F" w:rsidP="00D76EEE">
      <w:pPr>
        <w:rPr>
          <w:rFonts w:asciiTheme="minorHAnsi" w:hAnsiTheme="minorHAnsi" w:cstheme="minorHAnsi"/>
          <w:i/>
        </w:rPr>
      </w:pPr>
      <w:r w:rsidRPr="00185C2F">
        <w:rPr>
          <w:rFonts w:asciiTheme="minorHAnsi" w:hAnsiTheme="minorHAnsi" w:cstheme="minorHAnsi"/>
          <w:i/>
        </w:rPr>
        <w:t>Various Webinar Participants</w:t>
      </w:r>
    </w:p>
    <w:p w:rsidR="0029393E" w:rsidRDefault="0029393E"/>
    <w:p w:rsidR="0029393E" w:rsidRPr="008C2318" w:rsidRDefault="0029393E">
      <w:pPr>
        <w:rPr>
          <w:rFonts w:ascii="Candara" w:hAnsi="Candara"/>
          <w:b/>
        </w:rPr>
      </w:pPr>
      <w:r w:rsidRPr="008C2318">
        <w:rPr>
          <w:rFonts w:ascii="Candara" w:hAnsi="Candara"/>
          <w:b/>
        </w:rPr>
        <w:t>Key Issues:</w:t>
      </w:r>
    </w:p>
    <w:p w:rsidR="00BD387D" w:rsidRDefault="00BD387D" w:rsidP="00BD387D">
      <w:pPr>
        <w:pStyle w:val="ListParagraph"/>
        <w:numPr>
          <w:ilvl w:val="0"/>
          <w:numId w:val="1"/>
        </w:numPr>
      </w:pPr>
      <w:r>
        <w:t>We recommend that DOE redefine what a typical furnace fan consists of. In the PTSD, DOE states:</w:t>
      </w:r>
    </w:p>
    <w:p w:rsidR="00BD387D" w:rsidRDefault="00BD387D" w:rsidP="00BD387D">
      <w:pPr>
        <w:pStyle w:val="ListParagraph"/>
        <w:numPr>
          <w:ilvl w:val="1"/>
          <w:numId w:val="1"/>
        </w:numPr>
      </w:pPr>
      <w:r>
        <w:t xml:space="preserve">“DOE considered a typical furnace fan as consisting of a fan motor and its controls, an impeller, and a housing, all of which are components of an HVAC product that includes additional components, including the cabinet.” </w:t>
      </w:r>
    </w:p>
    <w:p w:rsidR="00BD387D" w:rsidRDefault="00BD387D" w:rsidP="00BD387D">
      <w:pPr>
        <w:pStyle w:val="ListParagraph"/>
        <w:numPr>
          <w:ilvl w:val="1"/>
          <w:numId w:val="1"/>
        </w:numPr>
      </w:pPr>
      <w:r>
        <w:t>In order to reduce ambiguity we think a typical furnace fan ought to be described as: “a unit consisting of a fan motor, its controls, an impeller, shroud, and cabinet that houses all of the heat exchange material for the furnace.”</w:t>
      </w:r>
    </w:p>
    <w:p w:rsidR="00BD387D" w:rsidRDefault="00BD387D" w:rsidP="00BD387D">
      <w:pPr>
        <w:pStyle w:val="ListParagraph"/>
        <w:numPr>
          <w:ilvl w:val="0"/>
          <w:numId w:val="1"/>
        </w:numPr>
      </w:pPr>
      <w:r>
        <w:t>We believe that “Non-Weatherized Heat Pump Air Handler” ought to be considered as a 10th product class for the rulemaking. In Chapter 2 of the PTSD, DOE states that it intends to include residential CAC/HP products in the scope of this rulemaking, and provides methodology for how DOE avoids double counting the energy savings in cooling mode from higher EE furnace fans used in CAC/HP that is already accounted for in the analysis of those products. As such, we would like DOE to amend Table ES.3.1 to include heat pump air handlers.</w:t>
      </w:r>
    </w:p>
    <w:p w:rsidR="00BD387D" w:rsidRDefault="00BD387D" w:rsidP="00BD387D">
      <w:pPr>
        <w:pStyle w:val="ListParagraph"/>
        <w:numPr>
          <w:ilvl w:val="0"/>
          <w:numId w:val="1"/>
        </w:numPr>
      </w:pPr>
      <w:r>
        <w:t>We seek clarification on the efficiency levels for furnace fans used in hydronic air handlers, referenced in table ES.3.5. We believe that EL6 (Switching Mode Power Supply) and EL7 (Toroidal Transformer) must be paired with a premium ECM (EL5). As such, we believe that EL6 should be read as “ECM + Switching Mode Power Supply”, and EL7 should be read as “ECM + Toroidal Transformer”.</w:t>
      </w:r>
    </w:p>
    <w:p w:rsidR="005A015A" w:rsidRDefault="005A015A" w:rsidP="005A015A">
      <w:pPr>
        <w:pStyle w:val="ListParagraph"/>
        <w:numPr>
          <w:ilvl w:val="1"/>
          <w:numId w:val="1"/>
        </w:numPr>
      </w:pPr>
      <w:r>
        <w:rPr>
          <w:i/>
        </w:rPr>
        <w:t>This was verified at meeting</w:t>
      </w:r>
    </w:p>
    <w:p w:rsidR="00BD387D" w:rsidRDefault="00BD387D" w:rsidP="00BD387D">
      <w:pPr>
        <w:pStyle w:val="ListParagraph"/>
        <w:numPr>
          <w:ilvl w:val="0"/>
          <w:numId w:val="1"/>
        </w:numPr>
      </w:pPr>
      <w:r>
        <w:t>ES 4.1 Efficiency as a function of capacity: Amanda spoke with Iain Walker on this matter, and this is a summary of his thoughts:</w:t>
      </w:r>
    </w:p>
    <w:p w:rsidR="00BD387D" w:rsidRDefault="00BD387D" w:rsidP="00BD387D">
      <w:pPr>
        <w:pStyle w:val="ListParagraph"/>
        <w:numPr>
          <w:ilvl w:val="1"/>
          <w:numId w:val="1"/>
        </w:numPr>
      </w:pPr>
      <w:r>
        <w:t>It’s true that with larger units you will see more energy consumption, but that’s ok because you’re moving more air</w:t>
      </w:r>
    </w:p>
    <w:p w:rsidR="00BD387D" w:rsidRDefault="00BD387D" w:rsidP="00BD387D">
      <w:pPr>
        <w:pStyle w:val="ListParagraph"/>
        <w:numPr>
          <w:ilvl w:val="1"/>
          <w:numId w:val="1"/>
        </w:numPr>
      </w:pPr>
      <w:r>
        <w:t>DOE is doing the right thing with the FER metric since it measures actually efficiency; inefficient higher capacity units will be reflected in the FER metric</w:t>
      </w:r>
    </w:p>
    <w:p w:rsidR="00BD387D" w:rsidRDefault="00BD387D" w:rsidP="00BD387D">
      <w:pPr>
        <w:pStyle w:val="ListParagraph"/>
        <w:numPr>
          <w:ilvl w:val="0"/>
          <w:numId w:val="1"/>
        </w:numPr>
      </w:pPr>
      <w:r>
        <w:t>ES.4.3 Inverter-Driven PSC Fan Motors: The market for inverter-driven PSC fan motors has been overtaken by brushless magnet motors. As such, we believe that inverter-driven PSC fan motors should be prohibited from being tested/sold on the U.S. market.</w:t>
      </w:r>
    </w:p>
    <w:p w:rsidR="00BD387D" w:rsidRDefault="00BD387D" w:rsidP="00BD387D">
      <w:pPr>
        <w:pStyle w:val="ListParagraph"/>
        <w:numPr>
          <w:ilvl w:val="0"/>
          <w:numId w:val="1"/>
        </w:numPr>
      </w:pPr>
      <w:r>
        <w:t>ES.4.6 Higher Efficiency Fan Motor Control Costs: Controls do not have to be paired with the fan motors, although they often are integrated. Additionally, you rarely if ever see controls paired with lower energy efficiency motors.</w:t>
      </w:r>
    </w:p>
    <w:p w:rsidR="00BD387D" w:rsidRDefault="00BD387D" w:rsidP="003F1098">
      <w:pPr>
        <w:pStyle w:val="ListParagraph"/>
        <w:numPr>
          <w:ilvl w:val="0"/>
          <w:numId w:val="1"/>
        </w:numPr>
      </w:pPr>
      <w:r>
        <w:t xml:space="preserve"> ES.4.7 Backward-Inclined Impellers: Amanda spoke with Iain Walker about identifying favorable/unfavorable conditions for backward inclined impellers. Below is a summary of Iain’s thoughts on this matter:</w:t>
      </w:r>
    </w:p>
    <w:p w:rsidR="00BD387D" w:rsidRDefault="00BD387D" w:rsidP="003F1098">
      <w:pPr>
        <w:pStyle w:val="ListParagraph"/>
        <w:numPr>
          <w:ilvl w:val="1"/>
          <w:numId w:val="1"/>
        </w:numPr>
      </w:pPr>
      <w:r>
        <w:t>Their performance depends a lot on other factors, so this isn’t a cut and dry question</w:t>
      </w:r>
    </w:p>
    <w:p w:rsidR="00BD387D" w:rsidRDefault="00BD387D" w:rsidP="003F1098">
      <w:pPr>
        <w:pStyle w:val="ListParagraph"/>
        <w:numPr>
          <w:ilvl w:val="1"/>
          <w:numId w:val="1"/>
        </w:numPr>
      </w:pPr>
      <w:r>
        <w:lastRenderedPageBreak/>
        <w:t>While they may be more EE over a narrow operating range, these EE gains are not necessary robust since it underperforms outside this range; they probably shouldn’t be thought of as an EE technology</w:t>
      </w:r>
    </w:p>
    <w:p w:rsidR="00BD387D" w:rsidRDefault="00BD387D" w:rsidP="003F1098">
      <w:pPr>
        <w:pStyle w:val="ListParagraph"/>
        <w:numPr>
          <w:ilvl w:val="1"/>
          <w:numId w:val="1"/>
        </w:numPr>
      </w:pPr>
      <w:r>
        <w:t>Backward inclined propellers are also noisier</w:t>
      </w:r>
    </w:p>
    <w:p w:rsidR="00BD387D" w:rsidRDefault="00BD387D" w:rsidP="003F1098">
      <w:pPr>
        <w:pStyle w:val="ListParagraph"/>
        <w:numPr>
          <w:ilvl w:val="1"/>
          <w:numId w:val="1"/>
        </w:numPr>
      </w:pPr>
      <w:r>
        <w:t>Forward inclined impellers (which are more universal) are less sensitive to changes in pressure</w:t>
      </w:r>
    </w:p>
    <w:p w:rsidR="00BD387D" w:rsidRDefault="00BD387D" w:rsidP="003F1098">
      <w:pPr>
        <w:pStyle w:val="ListParagraph"/>
        <w:numPr>
          <w:ilvl w:val="0"/>
          <w:numId w:val="1"/>
        </w:numPr>
      </w:pPr>
      <w:r>
        <w:t xml:space="preserve">ES.4.8 Airflow Path Design: While we realized that optimizing thermal and electrical efficiency is more difficult than optimizing just one or the other, we believe that consideration of the whole unit’s performance is necessary to maximize energy savings. We concur that the size of the cabinet and the geometry of the heat exchanger(s) would be the primary targets for improvements in airflow path design, and as such DOE should develop a methodology to account for energy differences associated with these components. </w:t>
      </w:r>
    </w:p>
    <w:p w:rsidR="00BD387D" w:rsidRDefault="00BD387D" w:rsidP="00BD387D">
      <w:pPr>
        <w:pStyle w:val="ListParagraph"/>
        <w:numPr>
          <w:ilvl w:val="0"/>
          <w:numId w:val="1"/>
        </w:numPr>
      </w:pPr>
      <w:r>
        <w:t>ES.4.11 Rebound Effect on Energy Savings from Higher-Efficiency Furnace Fans: We are concerned that the study, conducted in Wisconsin, unfairly biases the rebound effect on the furnace operation since Wisconsin experiences considerably more cooling degree days than the country at large. We believe more data representative of weighted US average cooling degree days be used to better understand the rebound effect’s impact on savings.</w:t>
      </w:r>
    </w:p>
    <w:p w:rsidR="00BD387D" w:rsidRDefault="00BD387D" w:rsidP="00BD387D">
      <w:pPr>
        <w:pStyle w:val="ListParagraph"/>
        <w:numPr>
          <w:ilvl w:val="0"/>
          <w:numId w:val="1"/>
        </w:numPr>
      </w:pPr>
      <w:r>
        <w:t xml:space="preserve"> </w:t>
      </w:r>
    </w:p>
    <w:p w:rsidR="00EE66B9" w:rsidRPr="00EE66B9" w:rsidRDefault="00BD387D" w:rsidP="00BD387D">
      <w:pPr>
        <w:pStyle w:val="ListParagraph"/>
        <w:numPr>
          <w:ilvl w:val="0"/>
          <w:numId w:val="1"/>
        </w:numPr>
        <w:spacing w:after="0"/>
      </w:pPr>
      <w:r>
        <w:t>10. ES.4.14 Full-Fuel-Cycle Energy Savings: As discussed on the CA IOU call, we will not be making comments at the public meeting on this topic. However, it will be useful to collect information on what DOE thinks it ought to be doing with respect to calculating full fuel cycle energy savings</w:t>
      </w:r>
      <w:r w:rsidR="002421F5">
        <w:t>&lt;insert key issues and talking points, to be completed before meeting&gt;</w:t>
      </w:r>
    </w:p>
    <w:p w:rsidR="00EE66B9" w:rsidRDefault="00EE66B9" w:rsidP="00EE66B9">
      <w:pPr>
        <w:pStyle w:val="ListParagraph"/>
        <w:numPr>
          <w:ilvl w:val="0"/>
          <w:numId w:val="1"/>
        </w:numPr>
        <w:spacing w:after="0"/>
      </w:pPr>
    </w:p>
    <w:p w:rsidR="00EE66B9" w:rsidRPr="00EE66B9" w:rsidRDefault="00EE66B9" w:rsidP="00EE66B9"/>
    <w:p w:rsidR="00C76863" w:rsidRDefault="00EE66B9">
      <w:pPr>
        <w:rPr>
          <w:rFonts w:ascii="Candara" w:hAnsi="Candara"/>
          <w:b/>
          <w:color w:val="005DA2"/>
          <w:sz w:val="32"/>
          <w:szCs w:val="28"/>
        </w:rPr>
      </w:pPr>
      <w:r w:rsidRPr="00C76863">
        <w:rPr>
          <w:rFonts w:ascii="Candara" w:hAnsi="Candara"/>
          <w:b/>
          <w:color w:val="005DA2"/>
          <w:sz w:val="32"/>
          <w:szCs w:val="28"/>
        </w:rPr>
        <w:t>Meeting Notes</w:t>
      </w:r>
    </w:p>
    <w:p w:rsidR="00C76863" w:rsidRPr="00C76863" w:rsidRDefault="00C76863">
      <w:pPr>
        <w:rPr>
          <w:rFonts w:ascii="Candara" w:hAnsi="Candara"/>
          <w:b/>
          <w:color w:val="005DA2"/>
          <w:sz w:val="24"/>
          <w:szCs w:val="24"/>
        </w:rPr>
      </w:pPr>
    </w:p>
    <w:p w:rsidR="00EE66B9" w:rsidRPr="00C76863" w:rsidRDefault="0002141B">
      <w:pPr>
        <w:rPr>
          <w:rFonts w:ascii="Candara" w:hAnsi="Candara"/>
          <w:b/>
          <w:color w:val="068C3C"/>
          <w:sz w:val="28"/>
          <w:szCs w:val="28"/>
        </w:rPr>
      </w:pPr>
      <w:r>
        <w:rPr>
          <w:rFonts w:ascii="Candara" w:hAnsi="Candara"/>
          <w:b/>
          <w:color w:val="068C3C"/>
          <w:sz w:val="28"/>
          <w:szCs w:val="28"/>
        </w:rPr>
        <w:t>Opening</w:t>
      </w:r>
    </w:p>
    <w:p w:rsidR="00EE66B9" w:rsidRPr="00EE66B9" w:rsidRDefault="0002141B">
      <w:pPr>
        <w:rPr>
          <w:rFonts w:asciiTheme="minorHAnsi" w:hAnsiTheme="minorHAnsi" w:cstheme="minorHAnsi"/>
          <w:b/>
        </w:rPr>
      </w:pPr>
      <w:r>
        <w:rPr>
          <w:rFonts w:asciiTheme="minorHAnsi" w:hAnsiTheme="minorHAnsi" w:cstheme="minorHAnsi"/>
          <w:b/>
        </w:rPr>
        <w:t>Opening remarks by interested parties</w:t>
      </w:r>
    </w:p>
    <w:p w:rsidR="00EE66B9" w:rsidRPr="00EE66B9" w:rsidRDefault="0002141B" w:rsidP="00EE66B9">
      <w:pPr>
        <w:pStyle w:val="ListParagraph"/>
        <w:numPr>
          <w:ilvl w:val="0"/>
          <w:numId w:val="2"/>
        </w:numPr>
        <w:rPr>
          <w:rFonts w:cstheme="minorHAnsi"/>
        </w:rPr>
      </w:pPr>
      <w:r>
        <w:rPr>
          <w:rFonts w:cstheme="minorHAnsi"/>
        </w:rPr>
        <w:t>Rheem: Costs reported are low, FERs we obtained in lab are higher</w:t>
      </w:r>
    </w:p>
    <w:p w:rsidR="00EE66B9" w:rsidRDefault="0002141B" w:rsidP="00EE66B9">
      <w:pPr>
        <w:pStyle w:val="ListParagraph"/>
        <w:numPr>
          <w:ilvl w:val="0"/>
          <w:numId w:val="2"/>
        </w:numPr>
        <w:rPr>
          <w:rFonts w:cstheme="minorHAnsi"/>
        </w:rPr>
      </w:pPr>
      <w:r>
        <w:rPr>
          <w:rFonts w:cstheme="minorHAnsi"/>
        </w:rPr>
        <w:t>AHRI: Timing for this rulemaking is off, test standard should be done first before standards rule making is considered</w:t>
      </w:r>
    </w:p>
    <w:p w:rsidR="0002141B" w:rsidRDefault="0002141B" w:rsidP="00EE66B9">
      <w:pPr>
        <w:pStyle w:val="ListParagraph"/>
        <w:numPr>
          <w:ilvl w:val="0"/>
          <w:numId w:val="2"/>
        </w:numPr>
        <w:rPr>
          <w:rFonts w:cstheme="minorHAnsi"/>
        </w:rPr>
      </w:pPr>
      <w:r>
        <w:rPr>
          <w:rFonts w:cstheme="minorHAnsi"/>
        </w:rPr>
        <w:t>ASAP: DOE excluded central blower HP units. In general, we agree with PTSD, but would like to expand scope of coverage to include HP units, which make up 37% of the market for furnace fans</w:t>
      </w:r>
    </w:p>
    <w:p w:rsidR="0002141B" w:rsidRDefault="0002141B" w:rsidP="00EE66B9">
      <w:pPr>
        <w:pStyle w:val="ListParagraph"/>
        <w:numPr>
          <w:ilvl w:val="0"/>
          <w:numId w:val="2"/>
        </w:numPr>
        <w:rPr>
          <w:rFonts w:cstheme="minorHAnsi"/>
        </w:rPr>
      </w:pPr>
      <w:r>
        <w:rPr>
          <w:rFonts w:cstheme="minorHAnsi"/>
        </w:rPr>
        <w:t>EEI: Consider the impact on the whole system. There should not be such a disconnect between the furnace, furnace fan, and central ACHP rulemakings</w:t>
      </w:r>
    </w:p>
    <w:p w:rsidR="0002141B" w:rsidRDefault="0002141B" w:rsidP="00EE66B9">
      <w:pPr>
        <w:pStyle w:val="ListParagraph"/>
        <w:numPr>
          <w:ilvl w:val="0"/>
          <w:numId w:val="2"/>
        </w:numPr>
        <w:rPr>
          <w:rFonts w:cstheme="minorHAnsi"/>
        </w:rPr>
      </w:pPr>
      <w:r>
        <w:rPr>
          <w:rFonts w:cstheme="minorHAnsi"/>
        </w:rPr>
        <w:t>Allied Air: Burden by adding on more regulations could impact affordability for consumers at exponential costs. Data needed for this standard should not require a whole new test setup. Motor prices in PTSD are too low.</w:t>
      </w:r>
    </w:p>
    <w:p w:rsidR="0002141B" w:rsidRDefault="0002141B" w:rsidP="0002141B">
      <w:pPr>
        <w:pStyle w:val="ListParagraph"/>
        <w:numPr>
          <w:ilvl w:val="0"/>
          <w:numId w:val="2"/>
        </w:numPr>
        <w:rPr>
          <w:rFonts w:cstheme="minorHAnsi"/>
        </w:rPr>
      </w:pPr>
      <w:r>
        <w:rPr>
          <w:rFonts w:cstheme="minorHAnsi"/>
        </w:rPr>
        <w:lastRenderedPageBreak/>
        <w:t>Morrison: Small manufacturer gets larger burden. Motor costs are low. This brings into question the entire economic analysis.</w:t>
      </w:r>
    </w:p>
    <w:p w:rsidR="0002141B" w:rsidRPr="00C76863" w:rsidRDefault="008137B6" w:rsidP="0002141B">
      <w:pPr>
        <w:rPr>
          <w:rFonts w:ascii="Candara" w:hAnsi="Candara"/>
          <w:b/>
          <w:color w:val="068C3C"/>
          <w:sz w:val="28"/>
          <w:szCs w:val="28"/>
        </w:rPr>
      </w:pPr>
      <w:r>
        <w:rPr>
          <w:rFonts w:ascii="Candara" w:hAnsi="Candara"/>
          <w:b/>
          <w:color w:val="068C3C"/>
          <w:sz w:val="28"/>
          <w:szCs w:val="28"/>
        </w:rPr>
        <w:t>Market and Technology Assessment</w:t>
      </w:r>
    </w:p>
    <w:p w:rsidR="0002141B" w:rsidRPr="00EE66B9" w:rsidRDefault="008137B6" w:rsidP="0002141B">
      <w:pPr>
        <w:rPr>
          <w:rFonts w:asciiTheme="minorHAnsi" w:hAnsiTheme="minorHAnsi" w:cstheme="minorHAnsi"/>
          <w:b/>
        </w:rPr>
      </w:pPr>
      <w:r>
        <w:rPr>
          <w:rFonts w:asciiTheme="minorHAnsi" w:hAnsiTheme="minorHAnsi" w:cstheme="minorHAnsi"/>
          <w:b/>
        </w:rPr>
        <w:t>DOE presented an overview of scope of coverage and product classes they are identifying for this rulemaking.</w:t>
      </w:r>
    </w:p>
    <w:p w:rsidR="0002141B" w:rsidRPr="00EE66B9" w:rsidRDefault="0002141B" w:rsidP="0002141B">
      <w:pPr>
        <w:pStyle w:val="ListParagraph"/>
        <w:numPr>
          <w:ilvl w:val="0"/>
          <w:numId w:val="2"/>
        </w:numPr>
        <w:rPr>
          <w:rFonts w:cstheme="minorHAnsi"/>
        </w:rPr>
      </w:pPr>
      <w:r>
        <w:rPr>
          <w:rFonts w:cstheme="minorHAnsi"/>
        </w:rPr>
        <w:t>ASAP: While fan energy is calculated in CACHP rulemaking, ESP values are too low. High ESP in this rulemaking is important to account for energy consumption at higher ESP.</w:t>
      </w:r>
    </w:p>
    <w:p w:rsidR="0002141B" w:rsidRDefault="0002141B" w:rsidP="0002141B">
      <w:pPr>
        <w:pStyle w:val="ListParagraph"/>
        <w:numPr>
          <w:ilvl w:val="0"/>
          <w:numId w:val="2"/>
        </w:numPr>
        <w:rPr>
          <w:rFonts w:cstheme="minorHAnsi"/>
        </w:rPr>
      </w:pPr>
      <w:r>
        <w:rPr>
          <w:rFonts w:cstheme="minorHAnsi"/>
        </w:rPr>
        <w:t xml:space="preserve">NEEA: </w:t>
      </w:r>
      <w:r w:rsidR="00185C2F">
        <w:rPr>
          <w:rFonts w:cstheme="minorHAnsi"/>
        </w:rPr>
        <w:t>Blower Furnace units are sold separately and therefore should be regulated. This would help consumers make purchasing decisions if they knew the efficiency of the AHU. Clarify what DOE is actually trying to regulate: furnace fans or AHUs</w:t>
      </w:r>
    </w:p>
    <w:p w:rsidR="00185C2F" w:rsidRDefault="00185C2F" w:rsidP="0002141B">
      <w:pPr>
        <w:pStyle w:val="ListParagraph"/>
        <w:numPr>
          <w:ilvl w:val="0"/>
          <w:numId w:val="2"/>
        </w:numPr>
        <w:rPr>
          <w:rFonts w:cstheme="minorHAnsi"/>
        </w:rPr>
      </w:pPr>
      <w:r>
        <w:rPr>
          <w:rFonts w:cstheme="minorHAnsi"/>
        </w:rPr>
        <w:t>Mortek: Are larger multi-family units excluded? These could potential be used for commercial applications. (DOE said they need data to consider)</w:t>
      </w:r>
    </w:p>
    <w:p w:rsidR="00185C2F" w:rsidRDefault="00185C2F" w:rsidP="0002141B">
      <w:pPr>
        <w:pStyle w:val="ListParagraph"/>
        <w:numPr>
          <w:ilvl w:val="0"/>
          <w:numId w:val="2"/>
        </w:numPr>
        <w:rPr>
          <w:rFonts w:cstheme="minorHAnsi"/>
        </w:rPr>
      </w:pPr>
      <w:r>
        <w:rPr>
          <w:rFonts w:cstheme="minorHAnsi"/>
        </w:rPr>
        <w:t>Ingersoll-Rand: We should look at system level performance. We shouldn’t be looking at component performance.</w:t>
      </w:r>
    </w:p>
    <w:p w:rsidR="00185C2F" w:rsidRDefault="00185C2F" w:rsidP="0002141B">
      <w:pPr>
        <w:pStyle w:val="ListParagraph"/>
        <w:numPr>
          <w:ilvl w:val="0"/>
          <w:numId w:val="2"/>
        </w:numPr>
        <w:rPr>
          <w:rFonts w:cstheme="minorHAnsi"/>
        </w:rPr>
      </w:pPr>
      <w:r>
        <w:rPr>
          <w:rFonts w:cstheme="minorHAnsi"/>
        </w:rPr>
        <w:t>Ingersoll-Rand: DOE is grouping manufactured homes into key product classes but FER is lower due to lower ESP. This doesn’t make sense.</w:t>
      </w:r>
    </w:p>
    <w:p w:rsidR="00185C2F" w:rsidRDefault="00185C2F" w:rsidP="0002141B">
      <w:pPr>
        <w:pStyle w:val="ListParagraph"/>
        <w:numPr>
          <w:ilvl w:val="0"/>
          <w:numId w:val="2"/>
        </w:numPr>
        <w:rPr>
          <w:rFonts w:cstheme="minorHAnsi"/>
        </w:rPr>
      </w:pPr>
      <w:r>
        <w:rPr>
          <w:rFonts w:cstheme="minorHAnsi"/>
        </w:rPr>
        <w:t>Mortek: Too broad of product classes could exclude units that are design for applications intended for smaller markets</w:t>
      </w:r>
    </w:p>
    <w:p w:rsidR="008137B6" w:rsidRPr="00C76863" w:rsidRDefault="008137B6" w:rsidP="008137B6">
      <w:pPr>
        <w:rPr>
          <w:rFonts w:ascii="Candara" w:hAnsi="Candara"/>
          <w:b/>
          <w:color w:val="068C3C"/>
          <w:sz w:val="28"/>
          <w:szCs w:val="28"/>
        </w:rPr>
      </w:pPr>
      <w:r>
        <w:rPr>
          <w:rFonts w:ascii="Candara" w:hAnsi="Candara"/>
          <w:b/>
          <w:color w:val="068C3C"/>
          <w:sz w:val="28"/>
          <w:szCs w:val="28"/>
        </w:rPr>
        <w:t>Technology Options</w:t>
      </w:r>
    </w:p>
    <w:p w:rsidR="008137B6" w:rsidRPr="00EE66B9" w:rsidRDefault="008137B6" w:rsidP="008137B6">
      <w:pPr>
        <w:rPr>
          <w:rFonts w:asciiTheme="minorHAnsi" w:hAnsiTheme="minorHAnsi" w:cstheme="minorHAnsi"/>
          <w:b/>
        </w:rPr>
      </w:pPr>
      <w:r>
        <w:rPr>
          <w:rFonts w:asciiTheme="minorHAnsi" w:hAnsiTheme="minorHAnsi" w:cstheme="minorHAnsi"/>
          <w:b/>
        </w:rPr>
        <w:t>DOE presented an overview of the technology options identified that will be the basis for establishing the engineering and economic analysis for the standard</w:t>
      </w:r>
    </w:p>
    <w:p w:rsidR="00185C2F" w:rsidRDefault="008137B6" w:rsidP="008137B6">
      <w:pPr>
        <w:pStyle w:val="ListParagraph"/>
        <w:numPr>
          <w:ilvl w:val="0"/>
          <w:numId w:val="2"/>
        </w:numPr>
        <w:rPr>
          <w:rFonts w:cstheme="minorHAnsi"/>
        </w:rPr>
      </w:pPr>
      <w:r>
        <w:rPr>
          <w:rFonts w:cstheme="minorHAnsi"/>
        </w:rPr>
        <w:t>SCE on behalf of CA IOUs: Backward impellers are only more efficient over a narrow range, less-efficient over a broad range.</w:t>
      </w:r>
    </w:p>
    <w:p w:rsidR="008137B6" w:rsidRDefault="008137B6" w:rsidP="008137B6">
      <w:pPr>
        <w:pStyle w:val="ListParagraph"/>
        <w:numPr>
          <w:ilvl w:val="0"/>
          <w:numId w:val="2"/>
        </w:numPr>
        <w:rPr>
          <w:rFonts w:cstheme="minorHAnsi"/>
        </w:rPr>
      </w:pPr>
      <w:r>
        <w:rPr>
          <w:rFonts w:cstheme="minorHAnsi"/>
        </w:rPr>
        <w:t xml:space="preserve">NEEA: List is woefully short if regulating an air handler. </w:t>
      </w:r>
    </w:p>
    <w:p w:rsidR="00F12D8F" w:rsidRDefault="00F12D8F" w:rsidP="008137B6">
      <w:pPr>
        <w:pStyle w:val="ListParagraph"/>
        <w:numPr>
          <w:ilvl w:val="0"/>
          <w:numId w:val="2"/>
        </w:numPr>
        <w:rPr>
          <w:rFonts w:cstheme="minorHAnsi"/>
        </w:rPr>
      </w:pPr>
      <w:r>
        <w:rPr>
          <w:rFonts w:cstheme="minorHAnsi"/>
        </w:rPr>
        <w:t>Morrison: Cils have grown in size and furnaces have shrunken and become less efficient. This is an example of how DOE needs to account for efficiency of the whole system.</w:t>
      </w:r>
    </w:p>
    <w:p w:rsidR="00F12D8F" w:rsidRDefault="00F12D8F" w:rsidP="00F12D8F">
      <w:pPr>
        <w:pStyle w:val="ListParagraph"/>
        <w:numPr>
          <w:ilvl w:val="1"/>
          <w:numId w:val="2"/>
        </w:numPr>
        <w:rPr>
          <w:rFonts w:cstheme="minorHAnsi"/>
        </w:rPr>
      </w:pPr>
      <w:r>
        <w:rPr>
          <w:rFonts w:cstheme="minorHAnsi"/>
        </w:rPr>
        <w:t>Echoed by Rheem and Allied Air</w:t>
      </w:r>
    </w:p>
    <w:p w:rsidR="00F12D8F" w:rsidRDefault="00F12D8F" w:rsidP="00F12D8F">
      <w:pPr>
        <w:pStyle w:val="ListParagraph"/>
        <w:numPr>
          <w:ilvl w:val="0"/>
          <w:numId w:val="2"/>
        </w:numPr>
        <w:rPr>
          <w:rFonts w:cstheme="minorHAnsi"/>
        </w:rPr>
      </w:pPr>
      <w:r>
        <w:rPr>
          <w:rFonts w:cstheme="minorHAnsi"/>
        </w:rPr>
        <w:t>Ingersoll-Rand: Echoed backward impeller comments</w:t>
      </w:r>
    </w:p>
    <w:p w:rsidR="00F12D8F" w:rsidRDefault="00F12D8F" w:rsidP="00F12D8F">
      <w:pPr>
        <w:pStyle w:val="ListParagraph"/>
        <w:numPr>
          <w:ilvl w:val="0"/>
          <w:numId w:val="2"/>
        </w:numPr>
        <w:rPr>
          <w:rFonts w:cstheme="minorHAnsi"/>
        </w:rPr>
      </w:pPr>
      <w:r>
        <w:rPr>
          <w:rFonts w:cstheme="minorHAnsi"/>
        </w:rPr>
        <w:t>ASAP: GE study on fan housing design should help provide data</w:t>
      </w:r>
    </w:p>
    <w:p w:rsidR="00F12D8F" w:rsidRDefault="00F12D8F" w:rsidP="00F12D8F">
      <w:pPr>
        <w:pStyle w:val="ListParagraph"/>
        <w:numPr>
          <w:ilvl w:val="0"/>
          <w:numId w:val="2"/>
        </w:numPr>
        <w:rPr>
          <w:rFonts w:cstheme="minorHAnsi"/>
        </w:rPr>
      </w:pPr>
      <w:r>
        <w:rPr>
          <w:rFonts w:cstheme="minorHAnsi"/>
        </w:rPr>
        <w:t>Unico: Airflow path design should be considered</w:t>
      </w:r>
    </w:p>
    <w:p w:rsidR="00F12D8F" w:rsidRDefault="00F12D8F" w:rsidP="00F12D8F">
      <w:pPr>
        <w:pStyle w:val="ListParagraph"/>
        <w:numPr>
          <w:ilvl w:val="1"/>
          <w:numId w:val="2"/>
        </w:numPr>
        <w:rPr>
          <w:rFonts w:cstheme="minorHAnsi"/>
        </w:rPr>
      </w:pPr>
      <w:r>
        <w:rPr>
          <w:rFonts w:cstheme="minorHAnsi"/>
        </w:rPr>
        <w:t>Echoed by multiple manufacturers, NEEA, EPA, ASAP</w:t>
      </w:r>
    </w:p>
    <w:p w:rsidR="00F12D8F" w:rsidRDefault="00F12D8F" w:rsidP="00F12D8F">
      <w:pPr>
        <w:rPr>
          <w:rFonts w:cstheme="minorHAnsi"/>
        </w:rPr>
      </w:pPr>
    </w:p>
    <w:p w:rsidR="00F12D8F" w:rsidRPr="00C76863" w:rsidRDefault="00F12D8F" w:rsidP="00F12D8F">
      <w:pPr>
        <w:rPr>
          <w:rFonts w:ascii="Candara" w:hAnsi="Candara"/>
          <w:b/>
          <w:color w:val="068C3C"/>
          <w:sz w:val="28"/>
          <w:szCs w:val="28"/>
        </w:rPr>
      </w:pPr>
      <w:r>
        <w:rPr>
          <w:rFonts w:ascii="Candara" w:hAnsi="Candara"/>
          <w:b/>
          <w:color w:val="068C3C"/>
          <w:sz w:val="28"/>
          <w:szCs w:val="28"/>
        </w:rPr>
        <w:t>Engineering Analysis</w:t>
      </w:r>
    </w:p>
    <w:p w:rsidR="00F12D8F" w:rsidRDefault="00F12D8F" w:rsidP="00F12D8F">
      <w:pPr>
        <w:rPr>
          <w:rFonts w:asciiTheme="minorHAnsi" w:hAnsiTheme="minorHAnsi" w:cstheme="minorHAnsi"/>
          <w:b/>
        </w:rPr>
      </w:pPr>
      <w:r>
        <w:rPr>
          <w:rFonts w:asciiTheme="minorHAnsi" w:hAnsiTheme="minorHAnsi" w:cstheme="minorHAnsi"/>
          <w:b/>
        </w:rPr>
        <w:t xml:space="preserve">DOE presented information on results obtained from preliminary </w:t>
      </w:r>
      <w:r w:rsidR="00D30A76">
        <w:rPr>
          <w:rFonts w:asciiTheme="minorHAnsi" w:hAnsiTheme="minorHAnsi" w:cstheme="minorHAnsi"/>
          <w:b/>
        </w:rPr>
        <w:t>lab tests to determine FER. Analysis included potential FER reduction from implementing technology options. Percent reductions were ranked and placed into efficiency levels.</w:t>
      </w:r>
    </w:p>
    <w:p w:rsidR="00D30A76" w:rsidRPr="00D30A76" w:rsidRDefault="00D30A76" w:rsidP="00D30A76">
      <w:pPr>
        <w:pStyle w:val="ListParagraph"/>
        <w:numPr>
          <w:ilvl w:val="0"/>
          <w:numId w:val="3"/>
        </w:numPr>
        <w:rPr>
          <w:rFonts w:cstheme="minorHAnsi"/>
          <w:b/>
        </w:rPr>
      </w:pPr>
      <w:r>
        <w:rPr>
          <w:rFonts w:cstheme="minorHAnsi"/>
        </w:rPr>
        <w:t>Rheem: We tested 3 units for NWG-NC furnaces and FERs for baseline were up in 400s compared to DOE’s 380 FER</w:t>
      </w:r>
    </w:p>
    <w:p w:rsidR="00D30A76" w:rsidRPr="00D30A76" w:rsidRDefault="00D30A76" w:rsidP="00D30A76">
      <w:pPr>
        <w:pStyle w:val="ListParagraph"/>
        <w:numPr>
          <w:ilvl w:val="0"/>
          <w:numId w:val="3"/>
        </w:numPr>
        <w:rPr>
          <w:rFonts w:cstheme="minorHAnsi"/>
          <w:b/>
        </w:rPr>
      </w:pPr>
      <w:r>
        <w:rPr>
          <w:rFonts w:cstheme="minorHAnsi"/>
        </w:rPr>
        <w:t>Unico: Should divide by max CFM</w:t>
      </w:r>
    </w:p>
    <w:p w:rsidR="00D30A76" w:rsidRPr="00D30A76" w:rsidRDefault="00D30A76" w:rsidP="00D30A76">
      <w:pPr>
        <w:pStyle w:val="ListParagraph"/>
        <w:numPr>
          <w:ilvl w:val="1"/>
          <w:numId w:val="3"/>
        </w:numPr>
        <w:rPr>
          <w:rFonts w:cstheme="minorHAnsi"/>
          <w:b/>
        </w:rPr>
      </w:pPr>
      <w:r>
        <w:rPr>
          <w:rFonts w:cstheme="minorHAnsi"/>
        </w:rPr>
        <w:lastRenderedPageBreak/>
        <w:t>DOE: max CFM is to limit sensitivity and not penalize ECM motors for ramping up airflow</w:t>
      </w:r>
    </w:p>
    <w:p w:rsidR="00D30A76" w:rsidRPr="00D30A76" w:rsidRDefault="00D30A76" w:rsidP="00D30A76">
      <w:pPr>
        <w:pStyle w:val="ListParagraph"/>
        <w:numPr>
          <w:ilvl w:val="0"/>
          <w:numId w:val="3"/>
        </w:numPr>
        <w:rPr>
          <w:rFonts w:cstheme="minorHAnsi"/>
          <w:b/>
        </w:rPr>
      </w:pPr>
      <w:r>
        <w:rPr>
          <w:rFonts w:cstheme="minorHAnsi"/>
        </w:rPr>
        <w:t>Data in slide 36 developed based on literature and DOE testing</w:t>
      </w:r>
    </w:p>
    <w:p w:rsidR="00D30A76" w:rsidRPr="00D30A76" w:rsidRDefault="00D30A76" w:rsidP="00D30A76">
      <w:pPr>
        <w:pStyle w:val="ListParagraph"/>
        <w:numPr>
          <w:ilvl w:val="0"/>
          <w:numId w:val="3"/>
        </w:numPr>
        <w:rPr>
          <w:rFonts w:cstheme="minorHAnsi"/>
          <w:b/>
        </w:rPr>
      </w:pPr>
      <w:r>
        <w:rPr>
          <w:rFonts w:cstheme="minorHAnsi"/>
        </w:rPr>
        <w:t>SCE: Are EL6 and EL7 add-ons to EL5?</w:t>
      </w:r>
    </w:p>
    <w:p w:rsidR="00D30A76" w:rsidRPr="00D30A76" w:rsidRDefault="00D30A76" w:rsidP="00D30A76">
      <w:pPr>
        <w:pStyle w:val="ListParagraph"/>
        <w:numPr>
          <w:ilvl w:val="1"/>
          <w:numId w:val="3"/>
        </w:numPr>
        <w:rPr>
          <w:rFonts w:cstheme="minorHAnsi"/>
          <w:b/>
        </w:rPr>
      </w:pPr>
      <w:r>
        <w:rPr>
          <w:rFonts w:cstheme="minorHAnsi"/>
        </w:rPr>
        <w:t>DOE: Yes</w:t>
      </w:r>
    </w:p>
    <w:p w:rsidR="00D30A76" w:rsidRPr="00D30A76" w:rsidRDefault="00D30A76" w:rsidP="00D30A76">
      <w:pPr>
        <w:pStyle w:val="ListParagraph"/>
        <w:numPr>
          <w:ilvl w:val="0"/>
          <w:numId w:val="3"/>
        </w:numPr>
        <w:rPr>
          <w:rFonts w:cstheme="minorHAnsi"/>
          <w:b/>
        </w:rPr>
      </w:pPr>
      <w:r>
        <w:rPr>
          <w:rFonts w:cstheme="minorHAnsi"/>
        </w:rPr>
        <w:t>Rheem: Lower IFER compared to FER may lead consumers to think they are savings money when they aren’t necessarily.</w:t>
      </w:r>
    </w:p>
    <w:p w:rsidR="00D30A76" w:rsidRPr="00230F76" w:rsidRDefault="00D30A76" w:rsidP="00D30A76">
      <w:pPr>
        <w:pStyle w:val="ListParagraph"/>
        <w:numPr>
          <w:ilvl w:val="0"/>
          <w:numId w:val="3"/>
        </w:numPr>
        <w:rPr>
          <w:rFonts w:cstheme="minorHAnsi"/>
          <w:b/>
        </w:rPr>
      </w:pPr>
      <w:r>
        <w:rPr>
          <w:rFonts w:cstheme="minorHAnsi"/>
        </w:rPr>
        <w:t xml:space="preserve">Manufacturers: </w:t>
      </w:r>
      <w:r w:rsidR="00230F76">
        <w:rPr>
          <w:rFonts w:cstheme="minorHAnsi"/>
        </w:rPr>
        <w:t>we see higher costs than what’s presented. Include all costs, including data.</w:t>
      </w:r>
    </w:p>
    <w:p w:rsidR="00230F76" w:rsidRPr="00230F76" w:rsidRDefault="00230F76" w:rsidP="00230F76">
      <w:pPr>
        <w:pStyle w:val="ListParagraph"/>
        <w:numPr>
          <w:ilvl w:val="1"/>
          <w:numId w:val="3"/>
        </w:numPr>
        <w:rPr>
          <w:rFonts w:cstheme="minorHAnsi"/>
          <w:b/>
        </w:rPr>
      </w:pPr>
      <w:r>
        <w:rPr>
          <w:rFonts w:cstheme="minorHAnsi"/>
        </w:rPr>
        <w:t>DOE: Cost only includes fan components. More detailed costs will be developed in NOPR</w:t>
      </w:r>
    </w:p>
    <w:p w:rsidR="00230F76" w:rsidRPr="00230F76" w:rsidRDefault="00230F76" w:rsidP="00230F76">
      <w:pPr>
        <w:pStyle w:val="ListParagraph"/>
        <w:numPr>
          <w:ilvl w:val="0"/>
          <w:numId w:val="3"/>
        </w:numPr>
        <w:rPr>
          <w:rFonts w:cstheme="minorHAnsi"/>
          <w:b/>
        </w:rPr>
      </w:pPr>
      <w:r>
        <w:rPr>
          <w:rFonts w:cstheme="minorHAnsi"/>
        </w:rPr>
        <w:t>Low volume, high mix manufacturers will have a drastically different price due to lack of economies of scale</w:t>
      </w:r>
    </w:p>
    <w:p w:rsidR="00230F76" w:rsidRPr="00230F76" w:rsidRDefault="00230F76" w:rsidP="00230F76">
      <w:pPr>
        <w:pStyle w:val="ListParagraph"/>
        <w:numPr>
          <w:ilvl w:val="0"/>
          <w:numId w:val="3"/>
        </w:numPr>
        <w:rPr>
          <w:rFonts w:cstheme="minorHAnsi"/>
          <w:b/>
        </w:rPr>
      </w:pPr>
      <w:r>
        <w:rPr>
          <w:rFonts w:cstheme="minorHAnsi"/>
        </w:rPr>
        <w:t>Rheem: ISO standard showed residential FF that small diameter of wheels shows some disadvantages</w:t>
      </w:r>
    </w:p>
    <w:p w:rsidR="00230F76" w:rsidRPr="00D30A76" w:rsidRDefault="00230F76" w:rsidP="00230F76">
      <w:pPr>
        <w:pStyle w:val="ListParagraph"/>
        <w:numPr>
          <w:ilvl w:val="0"/>
          <w:numId w:val="3"/>
        </w:numPr>
        <w:rPr>
          <w:rFonts w:cstheme="minorHAnsi"/>
          <w:b/>
        </w:rPr>
      </w:pPr>
      <w:r>
        <w:rPr>
          <w:rFonts w:cstheme="minorHAnsi"/>
        </w:rPr>
        <w:t>Ingersoll: Above 1200 CFM performance falls off for backward inclined fans</w:t>
      </w:r>
    </w:p>
    <w:p w:rsidR="00F12D8F" w:rsidRPr="00F12D8F" w:rsidRDefault="00F12D8F" w:rsidP="00F12D8F">
      <w:pPr>
        <w:rPr>
          <w:rFonts w:cstheme="minorHAnsi"/>
        </w:rPr>
      </w:pPr>
    </w:p>
    <w:p w:rsidR="00230F76" w:rsidRPr="00C76863" w:rsidRDefault="00230F76" w:rsidP="00230F76">
      <w:pPr>
        <w:rPr>
          <w:rFonts w:ascii="Candara" w:hAnsi="Candara"/>
          <w:b/>
          <w:color w:val="068C3C"/>
          <w:sz w:val="28"/>
          <w:szCs w:val="28"/>
        </w:rPr>
      </w:pPr>
      <w:r>
        <w:rPr>
          <w:rFonts w:ascii="Candara" w:hAnsi="Candara"/>
          <w:b/>
          <w:color w:val="068C3C"/>
          <w:sz w:val="28"/>
          <w:szCs w:val="28"/>
        </w:rPr>
        <w:t>Energy Use Characterization</w:t>
      </w:r>
    </w:p>
    <w:p w:rsidR="00230F76" w:rsidRDefault="00230F76" w:rsidP="00230F76">
      <w:pPr>
        <w:rPr>
          <w:rFonts w:asciiTheme="minorHAnsi" w:hAnsiTheme="minorHAnsi" w:cstheme="minorHAnsi"/>
          <w:b/>
        </w:rPr>
      </w:pPr>
      <w:r>
        <w:rPr>
          <w:rFonts w:asciiTheme="minorHAnsi" w:hAnsiTheme="minorHAnsi" w:cstheme="minorHAnsi"/>
          <w:b/>
        </w:rPr>
        <w:t>To develop energy consumption savings estimates for selected product efficiency levels.</w:t>
      </w:r>
    </w:p>
    <w:p w:rsidR="008B5F2A" w:rsidRPr="008B5F2A" w:rsidRDefault="008B5F2A" w:rsidP="00230F76">
      <w:pPr>
        <w:pStyle w:val="ListParagraph"/>
        <w:numPr>
          <w:ilvl w:val="0"/>
          <w:numId w:val="4"/>
        </w:numPr>
        <w:rPr>
          <w:rFonts w:cstheme="minorHAnsi"/>
        </w:rPr>
      </w:pPr>
      <w:r w:rsidRPr="008B5F2A">
        <w:rPr>
          <w:rFonts w:cstheme="minorHAnsi"/>
          <w:color w:val="000000"/>
        </w:rPr>
        <w:t>PSC with controls uses more Watts than baseline at higher static</w:t>
      </w:r>
    </w:p>
    <w:p w:rsidR="008B5F2A" w:rsidRPr="008B5F2A" w:rsidRDefault="008B5F2A" w:rsidP="00230F76">
      <w:pPr>
        <w:pStyle w:val="ListParagraph"/>
        <w:numPr>
          <w:ilvl w:val="0"/>
          <w:numId w:val="4"/>
        </w:numPr>
        <w:rPr>
          <w:rFonts w:cstheme="minorHAnsi"/>
        </w:rPr>
      </w:pPr>
      <w:r w:rsidRPr="008B5F2A">
        <w:rPr>
          <w:rFonts w:cstheme="minorHAnsi"/>
          <w:color w:val="000000"/>
        </w:rPr>
        <w:t>Manufacturers: Operating at high static where lines on p.74 converge is unsafe and operating in conditions where the unit wasn’t designed to operate.</w:t>
      </w:r>
      <w:r>
        <w:rPr>
          <w:rFonts w:cstheme="minorHAnsi"/>
          <w:color w:val="000000"/>
        </w:rPr>
        <w:t xml:space="preserve"> </w:t>
      </w:r>
      <w:r w:rsidRPr="008B5F2A">
        <w:rPr>
          <w:rFonts w:cstheme="minorHAnsi"/>
          <w:color w:val="000000"/>
        </w:rPr>
        <w:t>This is a comparison tool and we should use low ESP</w:t>
      </w:r>
    </w:p>
    <w:p w:rsidR="008B5F2A" w:rsidRPr="008B5F2A" w:rsidRDefault="008B5F2A" w:rsidP="008B5F2A">
      <w:pPr>
        <w:pStyle w:val="ListParagraph"/>
        <w:numPr>
          <w:ilvl w:val="0"/>
          <w:numId w:val="4"/>
        </w:numPr>
        <w:rPr>
          <w:rFonts w:cstheme="minorHAnsi"/>
        </w:rPr>
      </w:pPr>
      <w:r w:rsidRPr="008B5F2A">
        <w:rPr>
          <w:rFonts w:cstheme="minorHAnsi"/>
          <w:color w:val="000000"/>
        </w:rPr>
        <w:t>Ingersoll: Circulation mode will skew all numbers</w:t>
      </w:r>
    </w:p>
    <w:p w:rsidR="008B5F2A" w:rsidRPr="008B5F2A" w:rsidRDefault="008B5F2A" w:rsidP="008B5F2A">
      <w:pPr>
        <w:pStyle w:val="ListParagraph"/>
        <w:numPr>
          <w:ilvl w:val="1"/>
          <w:numId w:val="4"/>
        </w:numPr>
        <w:rPr>
          <w:rFonts w:cstheme="minorHAnsi"/>
        </w:rPr>
      </w:pPr>
      <w:r w:rsidRPr="008B5F2A">
        <w:rPr>
          <w:rFonts w:cstheme="minorHAnsi"/>
          <w:color w:val="000000"/>
        </w:rPr>
        <w:t>Echoed by Rheem</w:t>
      </w:r>
      <w:r w:rsidR="0002141B" w:rsidRPr="008B5F2A">
        <w:rPr>
          <w:rFonts w:ascii="Courier" w:hAnsi="Courier" w:cs="Courier"/>
          <w:color w:val="000000"/>
          <w:sz w:val="20"/>
          <w:szCs w:val="20"/>
        </w:rPr>
        <w:br/>
      </w:r>
    </w:p>
    <w:p w:rsidR="008B5F2A" w:rsidRPr="00C76863" w:rsidRDefault="008B5F2A" w:rsidP="008B5F2A">
      <w:pPr>
        <w:tabs>
          <w:tab w:val="left" w:pos="8205"/>
        </w:tabs>
        <w:rPr>
          <w:rFonts w:ascii="Candara" w:hAnsi="Candara"/>
          <w:b/>
          <w:color w:val="068C3C"/>
          <w:sz w:val="28"/>
          <w:szCs w:val="28"/>
        </w:rPr>
      </w:pPr>
      <w:r>
        <w:rPr>
          <w:rFonts w:ascii="Candara" w:hAnsi="Candara"/>
          <w:b/>
          <w:color w:val="068C3C"/>
          <w:sz w:val="28"/>
          <w:szCs w:val="28"/>
        </w:rPr>
        <w:t>LCC and Payback Period Analysis</w:t>
      </w:r>
      <w:r>
        <w:rPr>
          <w:rFonts w:ascii="Candara" w:hAnsi="Candara"/>
          <w:b/>
          <w:color w:val="068C3C"/>
          <w:sz w:val="28"/>
          <w:szCs w:val="28"/>
        </w:rPr>
        <w:tab/>
      </w:r>
    </w:p>
    <w:p w:rsidR="008B5F2A" w:rsidRDefault="008B5F2A" w:rsidP="008B5F2A">
      <w:pPr>
        <w:rPr>
          <w:rFonts w:asciiTheme="minorHAnsi" w:hAnsiTheme="minorHAnsi" w:cstheme="minorHAnsi"/>
          <w:b/>
        </w:rPr>
      </w:pPr>
      <w:r>
        <w:rPr>
          <w:rFonts w:asciiTheme="minorHAnsi" w:hAnsiTheme="minorHAnsi" w:cstheme="minorHAnsi"/>
          <w:b/>
        </w:rPr>
        <w:t>Manufacturers expressed concern about costs used to develop LCC analysis.</w:t>
      </w:r>
    </w:p>
    <w:p w:rsidR="008B5F2A" w:rsidRPr="008B5F2A" w:rsidRDefault="008B5F2A" w:rsidP="008B5F2A">
      <w:pPr>
        <w:pStyle w:val="ListParagraph"/>
        <w:numPr>
          <w:ilvl w:val="0"/>
          <w:numId w:val="4"/>
        </w:numPr>
        <w:rPr>
          <w:rFonts w:cstheme="minorHAnsi"/>
        </w:rPr>
      </w:pPr>
      <w:r>
        <w:rPr>
          <w:rFonts w:cstheme="minorHAnsi"/>
          <w:color w:val="000000"/>
        </w:rPr>
        <w:t>No installation cost because the furnace fan is installed in factory</w:t>
      </w:r>
    </w:p>
    <w:p w:rsidR="008B5F2A" w:rsidRPr="008B5F2A" w:rsidRDefault="008B5F2A" w:rsidP="008B5F2A">
      <w:pPr>
        <w:pStyle w:val="ListParagraph"/>
        <w:numPr>
          <w:ilvl w:val="1"/>
          <w:numId w:val="4"/>
        </w:numPr>
        <w:rPr>
          <w:rFonts w:cstheme="minorHAnsi"/>
        </w:rPr>
      </w:pPr>
      <w:r>
        <w:rPr>
          <w:rFonts w:cstheme="minorHAnsi"/>
          <w:color w:val="000000"/>
        </w:rPr>
        <w:t>This clearly means DOE is only regulating the fan and not cabinet</w:t>
      </w:r>
    </w:p>
    <w:p w:rsidR="00EE66B9" w:rsidRPr="008B5F2A" w:rsidRDefault="008B5F2A" w:rsidP="008B5F2A">
      <w:pPr>
        <w:pStyle w:val="ListParagraph"/>
        <w:numPr>
          <w:ilvl w:val="0"/>
          <w:numId w:val="4"/>
        </w:numPr>
        <w:rPr>
          <w:rFonts w:cstheme="minorHAnsi"/>
        </w:rPr>
      </w:pPr>
      <w:r>
        <w:rPr>
          <w:rFonts w:cstheme="minorHAnsi"/>
          <w:color w:val="000000"/>
        </w:rPr>
        <w:t>Mortek: X13 will have higher failure rate and therefore longer PBP than projected</w:t>
      </w:r>
      <w:r w:rsidR="0002141B" w:rsidRPr="008B5F2A">
        <w:rPr>
          <w:rFonts w:ascii="Courier" w:hAnsi="Courier" w:cs="Courier"/>
          <w:color w:val="000000"/>
          <w:sz w:val="20"/>
          <w:szCs w:val="20"/>
        </w:rPr>
        <w:br/>
      </w:r>
    </w:p>
    <w:p w:rsidR="00191E4C" w:rsidRDefault="00191E4C" w:rsidP="00191E4C">
      <w:pPr>
        <w:rPr>
          <w:rFonts w:ascii="Candara" w:hAnsi="Candara"/>
          <w:b/>
          <w:color w:val="005DA2"/>
          <w:sz w:val="32"/>
          <w:szCs w:val="28"/>
        </w:rPr>
      </w:pPr>
      <w:r>
        <w:rPr>
          <w:rFonts w:ascii="Candara" w:hAnsi="Candara"/>
          <w:b/>
          <w:color w:val="005DA2"/>
          <w:sz w:val="32"/>
          <w:szCs w:val="28"/>
        </w:rPr>
        <w:t>Key Dates &amp; Milestones</w:t>
      </w:r>
    </w:p>
    <w:p w:rsidR="00191E4C" w:rsidRDefault="005A015A" w:rsidP="00191E4C">
      <w:pPr>
        <w:pStyle w:val="ListParagraph"/>
        <w:numPr>
          <w:ilvl w:val="0"/>
          <w:numId w:val="2"/>
        </w:numPr>
        <w:rPr>
          <w:rFonts w:cstheme="minorHAnsi"/>
        </w:rPr>
      </w:pPr>
      <w:r>
        <w:rPr>
          <w:rFonts w:cstheme="minorHAnsi"/>
        </w:rPr>
        <w:t>Comment period closes 9/10/2012</w:t>
      </w:r>
    </w:p>
    <w:p w:rsidR="00191E4C" w:rsidRDefault="005A015A" w:rsidP="00191E4C">
      <w:pPr>
        <w:pStyle w:val="ListParagraph"/>
        <w:numPr>
          <w:ilvl w:val="0"/>
          <w:numId w:val="2"/>
        </w:numPr>
        <w:rPr>
          <w:rFonts w:cstheme="minorHAnsi"/>
        </w:rPr>
      </w:pPr>
      <w:r>
        <w:rPr>
          <w:rFonts w:cstheme="minorHAnsi"/>
        </w:rPr>
        <w:t>Standard must be adopted by 12/31/2013</w:t>
      </w:r>
    </w:p>
    <w:p w:rsidR="00191E4C" w:rsidRDefault="00191E4C" w:rsidP="00191E4C">
      <w:pPr>
        <w:pStyle w:val="ListParagraph"/>
        <w:numPr>
          <w:ilvl w:val="0"/>
          <w:numId w:val="2"/>
        </w:numPr>
        <w:rPr>
          <w:rFonts w:cstheme="minorHAnsi"/>
        </w:rPr>
      </w:pPr>
      <w:r>
        <w:rPr>
          <w:rFonts w:cstheme="minorHAnsi"/>
        </w:rPr>
        <w:t xml:space="preserve"> </w:t>
      </w:r>
      <w:r w:rsidR="005A015A">
        <w:rPr>
          <w:rFonts w:cstheme="minorHAnsi"/>
        </w:rPr>
        <w:t>Framework was held 6/18/2010</w:t>
      </w:r>
    </w:p>
    <w:p w:rsidR="0056389D" w:rsidRDefault="0056389D" w:rsidP="0056389D">
      <w:pPr>
        <w:rPr>
          <w:rFonts w:ascii="Candara" w:hAnsi="Candara"/>
          <w:b/>
          <w:color w:val="005DA2"/>
          <w:sz w:val="32"/>
          <w:szCs w:val="28"/>
        </w:rPr>
      </w:pPr>
      <w:r>
        <w:rPr>
          <w:rFonts w:ascii="Candara" w:hAnsi="Candara"/>
          <w:b/>
          <w:color w:val="005DA2"/>
          <w:sz w:val="32"/>
          <w:szCs w:val="28"/>
        </w:rPr>
        <w:t>Action Items (if any)</w:t>
      </w:r>
    </w:p>
    <w:p w:rsidR="0056389D" w:rsidRDefault="005A015A" w:rsidP="0056389D">
      <w:pPr>
        <w:pStyle w:val="ListParagraph"/>
        <w:numPr>
          <w:ilvl w:val="0"/>
          <w:numId w:val="2"/>
        </w:numPr>
        <w:rPr>
          <w:rFonts w:cstheme="minorHAnsi"/>
        </w:rPr>
      </w:pPr>
      <w:r>
        <w:rPr>
          <w:rFonts w:cstheme="minorHAnsi"/>
        </w:rPr>
        <w:t>Submit data, if available, on ranges of EE operation for backwards impeller fans</w:t>
      </w:r>
    </w:p>
    <w:p w:rsidR="0056389D" w:rsidRDefault="0056389D" w:rsidP="005A015A">
      <w:pPr>
        <w:pStyle w:val="ListParagraph"/>
        <w:rPr>
          <w:rFonts w:cstheme="minorHAnsi"/>
        </w:rPr>
      </w:pPr>
    </w:p>
    <w:p w:rsidR="008C2318" w:rsidRPr="0056389D" w:rsidRDefault="008C2318" w:rsidP="0056389D">
      <w:pPr>
        <w:rPr>
          <w:rFonts w:cstheme="minorHAnsi"/>
        </w:rPr>
      </w:pPr>
    </w:p>
    <w:p w:rsidR="008C2318" w:rsidRDefault="008C2318" w:rsidP="008C2318">
      <w:pPr>
        <w:rPr>
          <w:rFonts w:ascii="Candara" w:hAnsi="Candara"/>
          <w:b/>
          <w:color w:val="005DA2"/>
          <w:sz w:val="32"/>
          <w:szCs w:val="28"/>
        </w:rPr>
      </w:pPr>
      <w:r>
        <w:rPr>
          <w:rFonts w:ascii="Candara" w:hAnsi="Candara"/>
          <w:b/>
          <w:color w:val="005DA2"/>
          <w:sz w:val="32"/>
          <w:szCs w:val="28"/>
        </w:rPr>
        <w:t>Appendix</w:t>
      </w:r>
    </w:p>
    <w:p w:rsidR="005A015A" w:rsidRDefault="005A015A" w:rsidP="008C2318">
      <w:pPr>
        <w:pStyle w:val="ListParagraph"/>
        <w:numPr>
          <w:ilvl w:val="0"/>
          <w:numId w:val="2"/>
        </w:numPr>
        <w:rPr>
          <w:rFonts w:cstheme="minorHAnsi"/>
        </w:rPr>
      </w:pPr>
      <w:r>
        <w:rPr>
          <w:rFonts w:cstheme="minorHAnsi"/>
        </w:rPr>
        <w:t xml:space="preserve">Presentation Slides </w:t>
      </w:r>
    </w:p>
    <w:p w:rsidR="008C2318" w:rsidRDefault="005A015A" w:rsidP="005A015A">
      <w:pPr>
        <w:pStyle w:val="ListParagraph"/>
        <w:rPr>
          <w:rFonts w:cstheme="minorHAnsi"/>
        </w:rPr>
      </w:pPr>
      <w:r>
        <w:rPr>
          <w:rFonts w:cstheme="minorHAnsi"/>
        </w:rPr>
        <w:object w:dxaOrig="1540"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AcroExch.Document.7" ShapeID="_x0000_i1025" DrawAspect="Icon" ObjectID="_1407907380" r:id="rId11"/>
        </w:object>
      </w:r>
    </w:p>
    <w:p w:rsidR="005A015A" w:rsidRDefault="005A015A" w:rsidP="005A015A">
      <w:pPr>
        <w:pStyle w:val="ListParagraph"/>
        <w:numPr>
          <w:ilvl w:val="0"/>
          <w:numId w:val="2"/>
        </w:numPr>
        <w:rPr>
          <w:rFonts w:cstheme="minorHAnsi"/>
        </w:rPr>
      </w:pPr>
      <w:r>
        <w:rPr>
          <w:rFonts w:cstheme="minorHAnsi"/>
        </w:rPr>
        <w:t>Transcript</w:t>
      </w:r>
    </w:p>
    <w:p w:rsidR="005A015A" w:rsidRDefault="005A015A" w:rsidP="005A015A">
      <w:pPr>
        <w:pStyle w:val="ListParagraph"/>
        <w:rPr>
          <w:rFonts w:cstheme="minorHAnsi"/>
        </w:rPr>
      </w:pPr>
      <w:r>
        <w:rPr>
          <w:rFonts w:cstheme="minorHAnsi"/>
        </w:rPr>
        <w:object w:dxaOrig="1540" w:dyaOrig="1000">
          <v:shape id="_x0000_i1026" type="#_x0000_t75" style="width:77.25pt;height:50.25pt" o:ole="">
            <v:imagedata r:id="rId12" o:title=""/>
          </v:shape>
          <o:OLEObject Type="Embed" ProgID="AcroExch.Document.7" ShapeID="_x0000_i1026" DrawAspect="Icon" ObjectID="_1407907381" r:id="rId13"/>
        </w:object>
      </w:r>
    </w:p>
    <w:p w:rsidR="008C2318" w:rsidRDefault="008C2318" w:rsidP="005A015A">
      <w:pPr>
        <w:pStyle w:val="ListParagraph"/>
        <w:rPr>
          <w:rFonts w:cstheme="minorHAnsi"/>
        </w:rPr>
      </w:pPr>
    </w:p>
    <w:p w:rsidR="008C2318" w:rsidRDefault="008C2318" w:rsidP="008C2318">
      <w:pPr>
        <w:rPr>
          <w:rFonts w:ascii="Candara" w:hAnsi="Candara"/>
          <w:b/>
          <w:color w:val="005DA2"/>
          <w:sz w:val="32"/>
          <w:szCs w:val="28"/>
        </w:rPr>
      </w:pPr>
    </w:p>
    <w:p w:rsidR="008C2318" w:rsidRDefault="008C2318" w:rsidP="008C2318">
      <w:pPr>
        <w:rPr>
          <w:rFonts w:ascii="Candara" w:hAnsi="Candara"/>
          <w:b/>
          <w:color w:val="005DA2"/>
          <w:sz w:val="32"/>
          <w:szCs w:val="28"/>
        </w:rPr>
      </w:pPr>
    </w:p>
    <w:p w:rsidR="008C2318" w:rsidRDefault="008C2318" w:rsidP="008C2318">
      <w:pPr>
        <w:pStyle w:val="ListParagraph"/>
        <w:rPr>
          <w:rFonts w:cstheme="minorHAnsi"/>
        </w:rPr>
      </w:pPr>
    </w:p>
    <w:p w:rsidR="00191E4C" w:rsidRPr="00191E4C" w:rsidRDefault="00191E4C" w:rsidP="00191E4C">
      <w:pPr>
        <w:rPr>
          <w:rFonts w:asciiTheme="minorHAnsi" w:hAnsiTheme="minorHAnsi" w:cstheme="minorHAnsi"/>
        </w:rPr>
      </w:pPr>
    </w:p>
    <w:p w:rsidR="00191E4C" w:rsidRPr="00191E4C" w:rsidRDefault="00191E4C" w:rsidP="00191E4C">
      <w:pPr>
        <w:rPr>
          <w:rFonts w:cstheme="minorHAnsi"/>
        </w:rPr>
      </w:pPr>
    </w:p>
    <w:p w:rsidR="00D9499D" w:rsidRPr="00EE66B9" w:rsidRDefault="00D9499D">
      <w:pPr>
        <w:rPr>
          <w:rFonts w:asciiTheme="minorHAnsi" w:hAnsiTheme="minorHAnsi" w:cstheme="minorHAnsi"/>
        </w:rPr>
      </w:pPr>
    </w:p>
    <w:p w:rsidR="0029393E" w:rsidRDefault="0029393E"/>
    <w:sectPr w:rsidR="0029393E" w:rsidSect="004028A1">
      <w:headerReference w:type="default" r:id="rId14"/>
      <w:footerReference w:type="defaul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0FF" w:rsidRDefault="008760FF" w:rsidP="00D9499D">
      <w:r>
        <w:separator/>
      </w:r>
    </w:p>
  </w:endnote>
  <w:endnote w:type="continuationSeparator" w:id="0">
    <w:p w:rsidR="008760FF" w:rsidRDefault="008760FF" w:rsidP="00D94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80000000" w:usb2="00000008"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887739"/>
      <w:docPartObj>
        <w:docPartGallery w:val="Page Numbers (Bottom of Page)"/>
        <w:docPartUnique/>
      </w:docPartObj>
    </w:sdtPr>
    <w:sdtEndPr/>
    <w:sdtContent>
      <w:sdt>
        <w:sdtPr>
          <w:id w:val="-1669238322"/>
          <w:docPartObj>
            <w:docPartGallery w:val="Page Numbers (Top of Page)"/>
            <w:docPartUnique/>
          </w:docPartObj>
        </w:sdtPr>
        <w:sdtEndPr/>
        <w:sdtContent>
          <w:p w:rsidR="004028A1" w:rsidRPr="00FE1132" w:rsidRDefault="004028A1" w:rsidP="004028A1">
            <w:pPr>
              <w:pStyle w:val="Footer"/>
              <w:jc w:val="right"/>
            </w:pPr>
            <w:r w:rsidRPr="00FE1132">
              <w:t xml:space="preserve">Page </w:t>
            </w:r>
            <w:r w:rsidRPr="00FE1132">
              <w:rPr>
                <w:bCs/>
                <w:sz w:val="24"/>
                <w:szCs w:val="24"/>
              </w:rPr>
              <w:fldChar w:fldCharType="begin"/>
            </w:r>
            <w:r w:rsidRPr="00FE1132">
              <w:rPr>
                <w:bCs/>
              </w:rPr>
              <w:instrText xml:space="preserve"> PAGE </w:instrText>
            </w:r>
            <w:r w:rsidRPr="00FE1132">
              <w:rPr>
                <w:bCs/>
                <w:sz w:val="24"/>
                <w:szCs w:val="24"/>
              </w:rPr>
              <w:fldChar w:fldCharType="separate"/>
            </w:r>
            <w:r w:rsidR="00CE4A61">
              <w:rPr>
                <w:bCs/>
                <w:noProof/>
              </w:rPr>
              <w:t>2</w:t>
            </w:r>
            <w:r w:rsidRPr="00FE1132">
              <w:rPr>
                <w:bCs/>
                <w:sz w:val="24"/>
                <w:szCs w:val="24"/>
              </w:rPr>
              <w:fldChar w:fldCharType="end"/>
            </w:r>
            <w:r w:rsidRPr="00FE1132">
              <w:t xml:space="preserve"> of </w:t>
            </w:r>
            <w:r w:rsidRPr="00FE1132">
              <w:rPr>
                <w:bCs/>
                <w:sz w:val="24"/>
                <w:szCs w:val="24"/>
              </w:rPr>
              <w:fldChar w:fldCharType="begin"/>
            </w:r>
            <w:r w:rsidRPr="00FE1132">
              <w:rPr>
                <w:bCs/>
              </w:rPr>
              <w:instrText xml:space="preserve"> NUMPAGES  </w:instrText>
            </w:r>
            <w:r w:rsidRPr="00FE1132">
              <w:rPr>
                <w:bCs/>
                <w:sz w:val="24"/>
                <w:szCs w:val="24"/>
              </w:rPr>
              <w:fldChar w:fldCharType="separate"/>
            </w:r>
            <w:r w:rsidR="00CE4A61">
              <w:rPr>
                <w:bCs/>
                <w:noProof/>
              </w:rPr>
              <w:t>6</w:t>
            </w:r>
            <w:r w:rsidRPr="00FE1132">
              <w:rPr>
                <w:bCs/>
                <w:sz w:val="24"/>
                <w:szCs w:val="24"/>
              </w:rPr>
              <w:fldChar w:fldCharType="end"/>
            </w:r>
          </w:p>
        </w:sdtContent>
      </w:sdt>
    </w:sdtContent>
  </w:sdt>
  <w:p w:rsidR="004028A1" w:rsidRDefault="004028A1" w:rsidP="004028A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53E" w:rsidRDefault="0075653E">
    <w:pPr>
      <w:pStyle w:val="Footer"/>
      <w:jc w:val="right"/>
    </w:pPr>
  </w:p>
  <w:sdt>
    <w:sdtPr>
      <w:id w:val="-1944913302"/>
      <w:docPartObj>
        <w:docPartGallery w:val="Page Numbers (Bottom of Page)"/>
        <w:docPartUnique/>
      </w:docPartObj>
    </w:sdtPr>
    <w:sdtEndPr>
      <w:rPr>
        <w:noProof/>
      </w:rPr>
    </w:sdtEndPr>
    <w:sdtContent>
      <w:p w:rsidR="0075653E" w:rsidRPr="00FE1132" w:rsidRDefault="008760FF" w:rsidP="00FE1132">
        <w:pPr>
          <w:pStyle w:val="Footer"/>
          <w:jc w:val="right"/>
        </w:pPr>
        <w:sdt>
          <w:sdtPr>
            <w:id w:val="-1631082403"/>
            <w:docPartObj>
              <w:docPartGallery w:val="Page Numbers (Top of Page)"/>
              <w:docPartUnique/>
            </w:docPartObj>
          </w:sdtPr>
          <w:sdtEndPr/>
          <w:sdtContent>
            <w:r w:rsidR="00FE1132" w:rsidRPr="00FE1132">
              <w:t xml:space="preserve">Page </w:t>
            </w:r>
            <w:r w:rsidR="00FE1132" w:rsidRPr="00FE1132">
              <w:rPr>
                <w:bCs/>
                <w:sz w:val="24"/>
                <w:szCs w:val="24"/>
              </w:rPr>
              <w:fldChar w:fldCharType="begin"/>
            </w:r>
            <w:r w:rsidR="00FE1132" w:rsidRPr="00FE1132">
              <w:rPr>
                <w:bCs/>
              </w:rPr>
              <w:instrText xml:space="preserve"> PAGE </w:instrText>
            </w:r>
            <w:r w:rsidR="00FE1132" w:rsidRPr="00FE1132">
              <w:rPr>
                <w:bCs/>
                <w:sz w:val="24"/>
                <w:szCs w:val="24"/>
              </w:rPr>
              <w:fldChar w:fldCharType="separate"/>
            </w:r>
            <w:r w:rsidR="00CE4A61">
              <w:rPr>
                <w:bCs/>
                <w:noProof/>
              </w:rPr>
              <w:t>1</w:t>
            </w:r>
            <w:r w:rsidR="00FE1132" w:rsidRPr="00FE1132">
              <w:rPr>
                <w:bCs/>
                <w:sz w:val="24"/>
                <w:szCs w:val="24"/>
              </w:rPr>
              <w:fldChar w:fldCharType="end"/>
            </w:r>
            <w:r w:rsidR="00FE1132" w:rsidRPr="00FE1132">
              <w:t xml:space="preserve"> of </w:t>
            </w:r>
            <w:r w:rsidR="00FE1132" w:rsidRPr="00FE1132">
              <w:rPr>
                <w:bCs/>
                <w:sz w:val="24"/>
                <w:szCs w:val="24"/>
              </w:rPr>
              <w:fldChar w:fldCharType="begin"/>
            </w:r>
            <w:r w:rsidR="00FE1132" w:rsidRPr="00FE1132">
              <w:rPr>
                <w:bCs/>
              </w:rPr>
              <w:instrText xml:space="preserve"> NUMPAGES  </w:instrText>
            </w:r>
            <w:r w:rsidR="00FE1132" w:rsidRPr="00FE1132">
              <w:rPr>
                <w:bCs/>
                <w:sz w:val="24"/>
                <w:szCs w:val="24"/>
              </w:rPr>
              <w:fldChar w:fldCharType="separate"/>
            </w:r>
            <w:r w:rsidR="00CE4A61">
              <w:rPr>
                <w:bCs/>
                <w:noProof/>
              </w:rPr>
              <w:t>1</w:t>
            </w:r>
            <w:r w:rsidR="00FE1132" w:rsidRPr="00FE1132">
              <w:rPr>
                <w:bCs/>
                <w:sz w:val="24"/>
                <w:szCs w:val="24"/>
              </w:rPr>
              <w:fldChar w:fldCharType="end"/>
            </w:r>
          </w:sdtContent>
        </w:sdt>
      </w:p>
    </w:sdtContent>
  </w:sdt>
  <w:p w:rsidR="0075653E" w:rsidRDefault="00756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0FF" w:rsidRDefault="008760FF" w:rsidP="00D9499D">
      <w:r>
        <w:separator/>
      </w:r>
    </w:p>
  </w:footnote>
  <w:footnote w:type="continuationSeparator" w:id="0">
    <w:p w:rsidR="008760FF" w:rsidRDefault="008760FF" w:rsidP="00D949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99D" w:rsidRPr="00D9499D" w:rsidRDefault="00D9499D" w:rsidP="00D9499D">
    <w:pPr>
      <w:rPr>
        <w:rFonts w:ascii="Candara" w:hAnsi="Candara"/>
        <w:b/>
        <w:color w:val="0070C0"/>
        <w:sz w:val="28"/>
        <w:szCs w:val="28"/>
      </w:rPr>
    </w:pPr>
    <w:r w:rsidRPr="00D9499D">
      <w:rPr>
        <w:rFonts w:ascii="Candara" w:hAnsi="Candara"/>
        <w:b/>
        <w:color w:val="0070C0"/>
        <w:sz w:val="28"/>
        <w:szCs w:val="28"/>
      </w:rPr>
      <w:t xml:space="preserve">DOE </w:t>
    </w:r>
    <w:r w:rsidR="0075653E">
      <w:rPr>
        <w:rFonts w:ascii="Candara" w:hAnsi="Candara"/>
        <w:b/>
        <w:color w:val="0070C0"/>
        <w:sz w:val="28"/>
        <w:szCs w:val="28"/>
      </w:rPr>
      <w:t xml:space="preserve">Public </w:t>
    </w:r>
    <w:r w:rsidRPr="00D9499D">
      <w:rPr>
        <w:rFonts w:ascii="Candara" w:hAnsi="Candara"/>
        <w:b/>
        <w:color w:val="0070C0"/>
        <w:sz w:val="28"/>
        <w:szCs w:val="28"/>
      </w:rPr>
      <w:t>Meeting Notes (continued)</w:t>
    </w:r>
  </w:p>
  <w:p w:rsidR="00D9499D" w:rsidRDefault="00681A11" w:rsidP="00D9499D">
    <w:pPr>
      <w:rPr>
        <w:rFonts w:asciiTheme="minorHAnsi" w:hAnsiTheme="minorHAnsi" w:cstheme="minorHAnsi"/>
        <w:color w:val="7F7F7F" w:themeColor="text1" w:themeTint="80"/>
      </w:rPr>
    </w:pPr>
    <w:r>
      <w:rPr>
        <w:rFonts w:asciiTheme="minorHAnsi" w:hAnsiTheme="minorHAnsi" w:cstheme="minorHAnsi"/>
        <w:color w:val="7F7F7F" w:themeColor="text1" w:themeTint="80"/>
      </w:rPr>
      <w:t>Residential Furnace Fans - PTSD</w:t>
    </w:r>
  </w:p>
  <w:p w:rsidR="00D9499D" w:rsidRPr="00D9499D" w:rsidRDefault="00681A11" w:rsidP="00D9499D">
    <w:pPr>
      <w:rPr>
        <w:rFonts w:asciiTheme="minorHAnsi" w:hAnsiTheme="minorHAnsi" w:cstheme="minorHAnsi"/>
        <w:color w:val="7F7F7F" w:themeColor="text1" w:themeTint="80"/>
      </w:rPr>
    </w:pPr>
    <w:r>
      <w:rPr>
        <w:rFonts w:asciiTheme="minorHAnsi" w:hAnsiTheme="minorHAnsi" w:cstheme="minorHAnsi"/>
        <w:color w:val="7F7F7F" w:themeColor="text1" w:themeTint="80"/>
      </w:rPr>
      <w:t>July 27, 2012</w:t>
    </w:r>
  </w:p>
  <w:p w:rsidR="00D9499D" w:rsidRDefault="00D949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23ED4"/>
    <w:multiLevelType w:val="hybridMultilevel"/>
    <w:tmpl w:val="2FF40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4D38BD"/>
    <w:multiLevelType w:val="hybridMultilevel"/>
    <w:tmpl w:val="CC9AC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B64C41"/>
    <w:multiLevelType w:val="hybridMultilevel"/>
    <w:tmpl w:val="1F242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0F306F"/>
    <w:multiLevelType w:val="hybridMultilevel"/>
    <w:tmpl w:val="A0382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93E"/>
    <w:rsid w:val="0002141B"/>
    <w:rsid w:val="000610D2"/>
    <w:rsid w:val="000D44C6"/>
    <w:rsid w:val="000F0AA4"/>
    <w:rsid w:val="001648EA"/>
    <w:rsid w:val="00185C2F"/>
    <w:rsid w:val="00191E4C"/>
    <w:rsid w:val="0022557C"/>
    <w:rsid w:val="00230F76"/>
    <w:rsid w:val="002421F5"/>
    <w:rsid w:val="0029393E"/>
    <w:rsid w:val="002C2D72"/>
    <w:rsid w:val="0033125F"/>
    <w:rsid w:val="003431D4"/>
    <w:rsid w:val="003F1098"/>
    <w:rsid w:val="003F691A"/>
    <w:rsid w:val="004028A1"/>
    <w:rsid w:val="00406E03"/>
    <w:rsid w:val="004D6F7C"/>
    <w:rsid w:val="004F0071"/>
    <w:rsid w:val="00502212"/>
    <w:rsid w:val="0056389D"/>
    <w:rsid w:val="005A015A"/>
    <w:rsid w:val="005B7062"/>
    <w:rsid w:val="00681A11"/>
    <w:rsid w:val="006E03F4"/>
    <w:rsid w:val="0075653E"/>
    <w:rsid w:val="008137B6"/>
    <w:rsid w:val="0082793E"/>
    <w:rsid w:val="008418DA"/>
    <w:rsid w:val="00862279"/>
    <w:rsid w:val="008760FF"/>
    <w:rsid w:val="008B5F2A"/>
    <w:rsid w:val="008C2318"/>
    <w:rsid w:val="0098038F"/>
    <w:rsid w:val="009A7FF8"/>
    <w:rsid w:val="009E1991"/>
    <w:rsid w:val="00B52B0E"/>
    <w:rsid w:val="00BB3A84"/>
    <w:rsid w:val="00BD387D"/>
    <w:rsid w:val="00C10810"/>
    <w:rsid w:val="00C71C75"/>
    <w:rsid w:val="00C76863"/>
    <w:rsid w:val="00CC334E"/>
    <w:rsid w:val="00CE42CE"/>
    <w:rsid w:val="00CE4A61"/>
    <w:rsid w:val="00D30A76"/>
    <w:rsid w:val="00D76EEE"/>
    <w:rsid w:val="00D9499D"/>
    <w:rsid w:val="00EE66B9"/>
    <w:rsid w:val="00F076A6"/>
    <w:rsid w:val="00F12D8F"/>
    <w:rsid w:val="00FB3C6A"/>
    <w:rsid w:val="00FE1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Calibr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99D"/>
    <w:pPr>
      <w:tabs>
        <w:tab w:val="center" w:pos="4680"/>
        <w:tab w:val="right" w:pos="9360"/>
      </w:tabs>
    </w:pPr>
  </w:style>
  <w:style w:type="character" w:customStyle="1" w:styleId="HeaderChar">
    <w:name w:val="Header Char"/>
    <w:basedOn w:val="DefaultParagraphFont"/>
    <w:link w:val="Header"/>
    <w:uiPriority w:val="99"/>
    <w:rsid w:val="00D9499D"/>
  </w:style>
  <w:style w:type="paragraph" w:styleId="Footer">
    <w:name w:val="footer"/>
    <w:basedOn w:val="Normal"/>
    <w:link w:val="FooterChar"/>
    <w:uiPriority w:val="99"/>
    <w:unhideWhenUsed/>
    <w:rsid w:val="00D9499D"/>
    <w:pPr>
      <w:tabs>
        <w:tab w:val="center" w:pos="4680"/>
        <w:tab w:val="right" w:pos="9360"/>
      </w:tabs>
    </w:pPr>
  </w:style>
  <w:style w:type="character" w:customStyle="1" w:styleId="FooterChar">
    <w:name w:val="Footer Char"/>
    <w:basedOn w:val="DefaultParagraphFont"/>
    <w:link w:val="Footer"/>
    <w:uiPriority w:val="99"/>
    <w:rsid w:val="00D9499D"/>
  </w:style>
  <w:style w:type="paragraph" w:styleId="ListParagraph">
    <w:name w:val="List Paragraph"/>
    <w:basedOn w:val="Normal"/>
    <w:uiPriority w:val="34"/>
    <w:qFormat/>
    <w:rsid w:val="00EE66B9"/>
    <w:pPr>
      <w:spacing w:after="200" w:line="276"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75653E"/>
    <w:rPr>
      <w:rFonts w:ascii="Tahoma" w:hAnsi="Tahoma" w:cs="Tahoma"/>
      <w:sz w:val="16"/>
      <w:szCs w:val="16"/>
    </w:rPr>
  </w:style>
  <w:style w:type="character" w:customStyle="1" w:styleId="BalloonTextChar">
    <w:name w:val="Balloon Text Char"/>
    <w:basedOn w:val="DefaultParagraphFont"/>
    <w:link w:val="BalloonText"/>
    <w:uiPriority w:val="99"/>
    <w:semiHidden/>
    <w:rsid w:val="0075653E"/>
    <w:rPr>
      <w:rFonts w:ascii="Tahoma" w:hAnsi="Tahoma" w:cs="Tahoma"/>
      <w:sz w:val="16"/>
      <w:szCs w:val="16"/>
    </w:rPr>
  </w:style>
  <w:style w:type="character" w:styleId="Hyperlink">
    <w:name w:val="Hyperlink"/>
    <w:basedOn w:val="DefaultParagraphFont"/>
    <w:uiPriority w:val="99"/>
    <w:unhideWhenUsed/>
    <w:rsid w:val="0022557C"/>
    <w:rPr>
      <w:color w:val="0000FF" w:themeColor="hyperlink"/>
      <w:u w:val="single"/>
    </w:rPr>
  </w:style>
  <w:style w:type="character" w:styleId="CommentReference">
    <w:name w:val="annotation reference"/>
    <w:basedOn w:val="DefaultParagraphFont"/>
    <w:uiPriority w:val="99"/>
    <w:semiHidden/>
    <w:unhideWhenUsed/>
    <w:rsid w:val="00BD387D"/>
    <w:rPr>
      <w:sz w:val="16"/>
      <w:szCs w:val="16"/>
    </w:rPr>
  </w:style>
  <w:style w:type="paragraph" w:styleId="CommentText">
    <w:name w:val="annotation text"/>
    <w:basedOn w:val="Normal"/>
    <w:link w:val="CommentTextChar"/>
    <w:uiPriority w:val="99"/>
    <w:semiHidden/>
    <w:unhideWhenUsed/>
    <w:rsid w:val="00BD387D"/>
    <w:rPr>
      <w:sz w:val="20"/>
      <w:szCs w:val="20"/>
    </w:rPr>
  </w:style>
  <w:style w:type="character" w:customStyle="1" w:styleId="CommentTextChar">
    <w:name w:val="Comment Text Char"/>
    <w:basedOn w:val="DefaultParagraphFont"/>
    <w:link w:val="CommentText"/>
    <w:uiPriority w:val="99"/>
    <w:semiHidden/>
    <w:rsid w:val="00BD387D"/>
    <w:rPr>
      <w:sz w:val="20"/>
      <w:szCs w:val="20"/>
    </w:rPr>
  </w:style>
  <w:style w:type="paragraph" w:styleId="CommentSubject">
    <w:name w:val="annotation subject"/>
    <w:basedOn w:val="CommentText"/>
    <w:next w:val="CommentText"/>
    <w:link w:val="CommentSubjectChar"/>
    <w:uiPriority w:val="99"/>
    <w:semiHidden/>
    <w:unhideWhenUsed/>
    <w:rsid w:val="00BD387D"/>
    <w:rPr>
      <w:b/>
      <w:bCs/>
    </w:rPr>
  </w:style>
  <w:style w:type="character" w:customStyle="1" w:styleId="CommentSubjectChar">
    <w:name w:val="Comment Subject Char"/>
    <w:basedOn w:val="CommentTextChar"/>
    <w:link w:val="CommentSubject"/>
    <w:uiPriority w:val="99"/>
    <w:semiHidden/>
    <w:rsid w:val="00BD387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Calibr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99D"/>
    <w:pPr>
      <w:tabs>
        <w:tab w:val="center" w:pos="4680"/>
        <w:tab w:val="right" w:pos="9360"/>
      </w:tabs>
    </w:pPr>
  </w:style>
  <w:style w:type="character" w:customStyle="1" w:styleId="HeaderChar">
    <w:name w:val="Header Char"/>
    <w:basedOn w:val="DefaultParagraphFont"/>
    <w:link w:val="Header"/>
    <w:uiPriority w:val="99"/>
    <w:rsid w:val="00D9499D"/>
  </w:style>
  <w:style w:type="paragraph" w:styleId="Footer">
    <w:name w:val="footer"/>
    <w:basedOn w:val="Normal"/>
    <w:link w:val="FooterChar"/>
    <w:uiPriority w:val="99"/>
    <w:unhideWhenUsed/>
    <w:rsid w:val="00D9499D"/>
    <w:pPr>
      <w:tabs>
        <w:tab w:val="center" w:pos="4680"/>
        <w:tab w:val="right" w:pos="9360"/>
      </w:tabs>
    </w:pPr>
  </w:style>
  <w:style w:type="character" w:customStyle="1" w:styleId="FooterChar">
    <w:name w:val="Footer Char"/>
    <w:basedOn w:val="DefaultParagraphFont"/>
    <w:link w:val="Footer"/>
    <w:uiPriority w:val="99"/>
    <w:rsid w:val="00D9499D"/>
  </w:style>
  <w:style w:type="paragraph" w:styleId="ListParagraph">
    <w:name w:val="List Paragraph"/>
    <w:basedOn w:val="Normal"/>
    <w:uiPriority w:val="34"/>
    <w:qFormat/>
    <w:rsid w:val="00EE66B9"/>
    <w:pPr>
      <w:spacing w:after="200" w:line="276"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75653E"/>
    <w:rPr>
      <w:rFonts w:ascii="Tahoma" w:hAnsi="Tahoma" w:cs="Tahoma"/>
      <w:sz w:val="16"/>
      <w:szCs w:val="16"/>
    </w:rPr>
  </w:style>
  <w:style w:type="character" w:customStyle="1" w:styleId="BalloonTextChar">
    <w:name w:val="Balloon Text Char"/>
    <w:basedOn w:val="DefaultParagraphFont"/>
    <w:link w:val="BalloonText"/>
    <w:uiPriority w:val="99"/>
    <w:semiHidden/>
    <w:rsid w:val="0075653E"/>
    <w:rPr>
      <w:rFonts w:ascii="Tahoma" w:hAnsi="Tahoma" w:cs="Tahoma"/>
      <w:sz w:val="16"/>
      <w:szCs w:val="16"/>
    </w:rPr>
  </w:style>
  <w:style w:type="character" w:styleId="Hyperlink">
    <w:name w:val="Hyperlink"/>
    <w:basedOn w:val="DefaultParagraphFont"/>
    <w:uiPriority w:val="99"/>
    <w:unhideWhenUsed/>
    <w:rsid w:val="0022557C"/>
    <w:rPr>
      <w:color w:val="0000FF" w:themeColor="hyperlink"/>
      <w:u w:val="single"/>
    </w:rPr>
  </w:style>
  <w:style w:type="character" w:styleId="CommentReference">
    <w:name w:val="annotation reference"/>
    <w:basedOn w:val="DefaultParagraphFont"/>
    <w:uiPriority w:val="99"/>
    <w:semiHidden/>
    <w:unhideWhenUsed/>
    <w:rsid w:val="00BD387D"/>
    <w:rPr>
      <w:sz w:val="16"/>
      <w:szCs w:val="16"/>
    </w:rPr>
  </w:style>
  <w:style w:type="paragraph" w:styleId="CommentText">
    <w:name w:val="annotation text"/>
    <w:basedOn w:val="Normal"/>
    <w:link w:val="CommentTextChar"/>
    <w:uiPriority w:val="99"/>
    <w:semiHidden/>
    <w:unhideWhenUsed/>
    <w:rsid w:val="00BD387D"/>
    <w:rPr>
      <w:sz w:val="20"/>
      <w:szCs w:val="20"/>
    </w:rPr>
  </w:style>
  <w:style w:type="character" w:customStyle="1" w:styleId="CommentTextChar">
    <w:name w:val="Comment Text Char"/>
    <w:basedOn w:val="DefaultParagraphFont"/>
    <w:link w:val="CommentText"/>
    <w:uiPriority w:val="99"/>
    <w:semiHidden/>
    <w:rsid w:val="00BD387D"/>
    <w:rPr>
      <w:sz w:val="20"/>
      <w:szCs w:val="20"/>
    </w:rPr>
  </w:style>
  <w:style w:type="paragraph" w:styleId="CommentSubject">
    <w:name w:val="annotation subject"/>
    <w:basedOn w:val="CommentText"/>
    <w:next w:val="CommentText"/>
    <w:link w:val="CommentSubjectChar"/>
    <w:uiPriority w:val="99"/>
    <w:semiHidden/>
    <w:unhideWhenUsed/>
    <w:rsid w:val="00BD387D"/>
    <w:rPr>
      <w:b/>
      <w:bCs/>
    </w:rPr>
  </w:style>
  <w:style w:type="character" w:customStyle="1" w:styleId="CommentSubjectChar">
    <w:name w:val="Comment Subject Char"/>
    <w:basedOn w:val="CommentTextChar"/>
    <w:link w:val="CommentSubject"/>
    <w:uiPriority w:val="99"/>
    <w:semiHidden/>
    <w:rsid w:val="00BD38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mailto:Brian.James@sce.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EB435662BCEB47BBD83BD0933A752E" ma:contentTypeVersion="2" ma:contentTypeDescription="Create a new document." ma:contentTypeScope="" ma:versionID="24849355d23d09a214ed68b7d35d2fc5">
  <xsd:schema xmlns:xsd="http://www.w3.org/2001/XMLSchema" xmlns:xs="http://www.w3.org/2001/XMLSchema" xmlns:p="http://schemas.microsoft.com/office/2006/metadata/properties" targetNamespace="http://schemas.microsoft.com/office/2006/metadata/properties" ma:root="true" ma:fieldsID="945b1eb723395c1f2f5ab635b757ccd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D086BE-20EC-4EF7-9E6D-6A2574603762}"/>
</file>

<file path=customXml/itemProps2.xml><?xml version="1.0" encoding="utf-8"?>
<ds:datastoreItem xmlns:ds="http://schemas.openxmlformats.org/officeDocument/2006/customXml" ds:itemID="{48D352D8-5198-4F3A-8BCE-1E57AA468CB3}"/>
</file>

<file path=customXml/itemProps3.xml><?xml version="1.0" encoding="utf-8"?>
<ds:datastoreItem xmlns:ds="http://schemas.openxmlformats.org/officeDocument/2006/customXml" ds:itemID="{24DBABCA-B68C-4E0E-82AA-45901089632F}"/>
</file>

<file path=customXml/itemProps4.xml><?xml version="1.0" encoding="utf-8"?>
<ds:datastoreItem xmlns:ds="http://schemas.openxmlformats.org/officeDocument/2006/customXml" ds:itemID="{C7ABBD0D-946C-412B-AF49-E2E812AC6B57}"/>
</file>

<file path=docProps/app.xml><?xml version="1.0" encoding="utf-8"?>
<Properties xmlns="http://schemas.openxmlformats.org/officeDocument/2006/extended-properties" xmlns:vt="http://schemas.openxmlformats.org/officeDocument/2006/docPropsVTypes">
  <Template>Normal.dotm</Template>
  <TotalTime>1</TotalTime>
  <Pages>6</Pages>
  <Words>1605</Words>
  <Characters>9151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Kalea</dc:creator>
  <cp:lastModifiedBy>Marshall B. Hunt</cp:lastModifiedBy>
  <cp:revision>2</cp:revision>
  <dcterms:created xsi:type="dcterms:W3CDTF">2012-08-31T15:37:00Z</dcterms:created>
  <dcterms:modified xsi:type="dcterms:W3CDTF">2012-08-31T15:37:00Z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0x010100C8EB435662BCEB47BBD83BD0933A752E</vt:lpwstr>
  </property>
</Properties>
</file>