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49600" w14:textId="77777777" w:rsidR="002105B3" w:rsidRDefault="002105B3" w:rsidP="00C501DD">
      <w:pPr>
        <w:rPr>
          <w:rStyle w:val="BookTitle"/>
          <w:b w:val="0"/>
          <w:i w:val="0"/>
        </w:rPr>
      </w:pPr>
    </w:p>
    <w:p w14:paraId="3B287EDB" w14:textId="77777777" w:rsidR="00DA40BF" w:rsidRPr="0086341F" w:rsidRDefault="00854DAB" w:rsidP="0086341F">
      <w:pPr>
        <w:pStyle w:val="BodyText"/>
        <w:jc w:val="center"/>
        <w:rPr>
          <w:b/>
          <w:sz w:val="72"/>
          <w:szCs w:val="72"/>
        </w:rPr>
      </w:pPr>
      <w:r w:rsidRPr="0086341F">
        <w:rPr>
          <w:b/>
          <w:sz w:val="72"/>
          <w:szCs w:val="72"/>
        </w:rPr>
        <w:t>Southern California Edison</w:t>
      </w:r>
    </w:p>
    <w:p w14:paraId="1B977479" w14:textId="77777777" w:rsidR="00271C66" w:rsidRPr="0086341F" w:rsidRDefault="00271C66" w:rsidP="0086341F">
      <w:pPr>
        <w:pStyle w:val="BodyText"/>
      </w:pPr>
    </w:p>
    <w:p w14:paraId="1C5C026D" w14:textId="77777777" w:rsidR="00DA40BF" w:rsidRPr="0086341F" w:rsidRDefault="00DD6B13" w:rsidP="0086341F">
      <w:pPr>
        <w:pStyle w:val="Illustration"/>
      </w:pPr>
      <w:r>
        <w:drawing>
          <wp:inline distT="0" distB="0" distL="0" distR="0" wp14:anchorId="3A8D3D3B" wp14:editId="5772C18C">
            <wp:extent cx="2767054" cy="10972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E logo_w tagline_horizontal_cmyk.jpg"/>
                    <pic:cNvPicPr/>
                  </pic:nvPicPr>
                  <pic:blipFill>
                    <a:blip r:embed="rId12">
                      <a:extLst>
                        <a:ext uri="{28A0092B-C50C-407E-A947-70E740481C1C}">
                          <a14:useLocalDpi xmlns:a14="http://schemas.microsoft.com/office/drawing/2010/main" val="0"/>
                        </a:ext>
                      </a:extLst>
                    </a:blip>
                    <a:stretch>
                      <a:fillRect/>
                    </a:stretch>
                  </pic:blipFill>
                  <pic:spPr>
                    <a:xfrm>
                      <a:off x="0" y="0"/>
                      <a:ext cx="2767054" cy="1097280"/>
                    </a:xfrm>
                    <a:prstGeom prst="rect">
                      <a:avLst/>
                    </a:prstGeom>
                  </pic:spPr>
                </pic:pic>
              </a:graphicData>
            </a:graphic>
          </wp:inline>
        </w:drawing>
      </w:r>
    </w:p>
    <w:p w14:paraId="10D5D97B" w14:textId="77777777" w:rsidR="00BE759C" w:rsidRPr="0086341F" w:rsidRDefault="00BE759C" w:rsidP="0086341F">
      <w:pPr>
        <w:pStyle w:val="BodyText"/>
      </w:pPr>
    </w:p>
    <w:p w14:paraId="7704FAE7" w14:textId="77777777" w:rsidR="00BE759C" w:rsidRPr="0086341F" w:rsidRDefault="00BE759C" w:rsidP="0086341F">
      <w:pPr>
        <w:pStyle w:val="BodyText"/>
      </w:pPr>
    </w:p>
    <w:p w14:paraId="151A6B1A" w14:textId="77777777" w:rsidR="00BE759C" w:rsidRPr="0086341F" w:rsidRDefault="00BE759C" w:rsidP="0086341F">
      <w:pPr>
        <w:pStyle w:val="BodyText"/>
      </w:pPr>
    </w:p>
    <w:p w14:paraId="318B8F99" w14:textId="77777777" w:rsidR="00BE759C" w:rsidRPr="0086341F" w:rsidRDefault="00BE759C" w:rsidP="0086341F">
      <w:pPr>
        <w:pStyle w:val="BodyText"/>
      </w:pPr>
    </w:p>
    <w:p w14:paraId="531FA6BD" w14:textId="486F2743" w:rsidR="009C2E51" w:rsidRDefault="009C2E51" w:rsidP="0086341F">
      <w:pPr>
        <w:pStyle w:val="Caption"/>
        <w:rPr>
          <w:sz w:val="72"/>
          <w:szCs w:val="72"/>
        </w:rPr>
      </w:pPr>
      <w:r>
        <w:rPr>
          <w:sz w:val="72"/>
          <w:szCs w:val="72"/>
        </w:rPr>
        <w:t>C</w:t>
      </w:r>
      <w:r w:rsidR="009A0C3B">
        <w:rPr>
          <w:sz w:val="72"/>
          <w:szCs w:val="72"/>
        </w:rPr>
        <w:t>ascade Energy, Inc.</w:t>
      </w:r>
    </w:p>
    <w:p w14:paraId="5210C18A" w14:textId="642AA598" w:rsidR="002105B3" w:rsidRPr="0086341F" w:rsidRDefault="002105B3" w:rsidP="0086341F">
      <w:pPr>
        <w:pStyle w:val="Caption"/>
        <w:rPr>
          <w:sz w:val="72"/>
          <w:szCs w:val="72"/>
        </w:rPr>
      </w:pPr>
      <w:r w:rsidRPr="0086341F">
        <w:rPr>
          <w:sz w:val="72"/>
          <w:szCs w:val="72"/>
        </w:rPr>
        <w:t>Implementation Plan</w:t>
      </w:r>
    </w:p>
    <w:p w14:paraId="67DDA69E" w14:textId="77777777" w:rsidR="00692C1F" w:rsidRPr="0086341F" w:rsidRDefault="00692C1F" w:rsidP="0086341F">
      <w:pPr>
        <w:pStyle w:val="Illustration"/>
        <w:rPr>
          <w:sz w:val="40"/>
          <w:szCs w:val="40"/>
        </w:rPr>
      </w:pPr>
    </w:p>
    <w:p w14:paraId="3D4DF349" w14:textId="25B168EE" w:rsidR="00311599" w:rsidRPr="008A156F" w:rsidRDefault="002759E7" w:rsidP="0086341F">
      <w:pPr>
        <w:pStyle w:val="Caption"/>
        <w:rPr>
          <w:sz w:val="56"/>
          <w:szCs w:val="56"/>
        </w:rPr>
      </w:pPr>
      <w:r>
        <w:rPr>
          <w:sz w:val="56"/>
          <w:szCs w:val="56"/>
        </w:rPr>
        <w:t xml:space="preserve">SPARKe </w:t>
      </w:r>
      <w:r w:rsidR="007C7415">
        <w:rPr>
          <w:sz w:val="56"/>
          <w:szCs w:val="56"/>
        </w:rPr>
        <w:t>Commercial</w:t>
      </w:r>
      <w:r>
        <w:rPr>
          <w:sz w:val="56"/>
          <w:szCs w:val="56"/>
        </w:rPr>
        <w:t xml:space="preserve"> SEM</w:t>
      </w:r>
      <w:r w:rsidR="009173B5">
        <w:rPr>
          <w:sz w:val="56"/>
          <w:szCs w:val="56"/>
        </w:rPr>
        <w:t xml:space="preserve"> program</w:t>
      </w:r>
    </w:p>
    <w:p w14:paraId="727B02F8" w14:textId="77777777" w:rsidR="00122673" w:rsidRPr="00122673" w:rsidRDefault="00122673" w:rsidP="0086341F">
      <w:pPr>
        <w:pStyle w:val="BodyText"/>
      </w:pPr>
    </w:p>
    <w:p w14:paraId="62368560" w14:textId="77777777" w:rsidR="00B70853" w:rsidRPr="00B70853" w:rsidRDefault="00B70853" w:rsidP="0086341F">
      <w:pPr>
        <w:pStyle w:val="Caption"/>
        <w:rPr>
          <w:b/>
          <w:bCs/>
          <w:i w:val="0"/>
          <w:iCs/>
          <w:color w:val="FF0000"/>
          <w:sz w:val="40"/>
          <w:szCs w:val="40"/>
        </w:rPr>
      </w:pPr>
      <w:r w:rsidRPr="00B70853">
        <w:rPr>
          <w:b/>
          <w:bCs/>
          <w:i w:val="0"/>
          <w:iCs/>
          <w:color w:val="FF0000"/>
          <w:sz w:val="40"/>
          <w:szCs w:val="40"/>
        </w:rPr>
        <w:t>DRAFT 2</w:t>
      </w:r>
    </w:p>
    <w:p w14:paraId="742DE0EC" w14:textId="779D2237" w:rsidR="00692C1F" w:rsidRDefault="00692C1F" w:rsidP="0086341F">
      <w:pPr>
        <w:pStyle w:val="Caption"/>
        <w:rPr>
          <w:sz w:val="40"/>
          <w:szCs w:val="40"/>
        </w:rPr>
      </w:pPr>
      <w:r w:rsidRPr="0086341F">
        <w:rPr>
          <w:sz w:val="40"/>
          <w:szCs w:val="40"/>
        </w:rPr>
        <w:t xml:space="preserve">First Filing Date: </w:t>
      </w:r>
      <w:r w:rsidR="006160A1">
        <w:rPr>
          <w:sz w:val="40"/>
          <w:szCs w:val="40"/>
        </w:rPr>
        <w:t>07</w:t>
      </w:r>
      <w:r w:rsidRPr="0086341F">
        <w:rPr>
          <w:sz w:val="40"/>
          <w:szCs w:val="40"/>
        </w:rPr>
        <w:t>/</w:t>
      </w:r>
      <w:r w:rsidR="006160A1">
        <w:rPr>
          <w:sz w:val="40"/>
          <w:szCs w:val="40"/>
        </w:rPr>
        <w:t>09</w:t>
      </w:r>
      <w:r w:rsidRPr="0086341F">
        <w:rPr>
          <w:sz w:val="40"/>
          <w:szCs w:val="40"/>
        </w:rPr>
        <w:t>/</w:t>
      </w:r>
      <w:r w:rsidR="006160A1">
        <w:rPr>
          <w:sz w:val="40"/>
          <w:szCs w:val="40"/>
        </w:rPr>
        <w:t>2024</w:t>
      </w:r>
    </w:p>
    <w:p w14:paraId="5DC20B48" w14:textId="77777777" w:rsidR="00197690" w:rsidRPr="00197690" w:rsidRDefault="00197690" w:rsidP="0086341F">
      <w:pPr>
        <w:pStyle w:val="BodyText"/>
      </w:pPr>
    </w:p>
    <w:p w14:paraId="7837AB9C" w14:textId="77777777" w:rsidR="00296A2C" w:rsidRDefault="00296A2C">
      <w:pPr>
        <w:spacing w:after="160"/>
        <w:rPr>
          <w:rFonts w:ascii="Segoe UI" w:hAnsi="Segoe UI"/>
        </w:rPr>
      </w:pPr>
      <w:r>
        <w:rPr>
          <w:rFonts w:ascii="Segoe UI" w:hAnsi="Segoe UI"/>
        </w:rPr>
        <w:br w:type="page"/>
      </w:r>
    </w:p>
    <w:sdt>
      <w:sdtPr>
        <w:rPr>
          <w:rFonts w:ascii="Segoe UI" w:eastAsiaTheme="minorEastAsia" w:hAnsi="Segoe UI" w:cstheme="minorBidi"/>
          <w:color w:val="auto"/>
          <w:sz w:val="22"/>
          <w:szCs w:val="22"/>
        </w:rPr>
        <w:id w:val="1691646574"/>
        <w:docPartObj>
          <w:docPartGallery w:val="Table of Contents"/>
          <w:docPartUnique/>
        </w:docPartObj>
      </w:sdtPr>
      <w:sdtEndPr>
        <w:rPr>
          <w:rFonts w:ascii="Times New Roman" w:hAnsi="Times New Roman"/>
          <w:b/>
          <w:bCs/>
        </w:rPr>
      </w:sdtEndPr>
      <w:sdtContent>
        <w:p w14:paraId="0ABF7371" w14:textId="77777777" w:rsidR="00854DAB" w:rsidRPr="00F07039" w:rsidRDefault="00854DAB" w:rsidP="00296A2C">
          <w:pPr>
            <w:pStyle w:val="TOCHeading"/>
            <w:spacing w:before="0" w:after="240" w:line="240" w:lineRule="auto"/>
            <w:jc w:val="center"/>
            <w:rPr>
              <w:b/>
              <w:color w:val="auto"/>
              <w:u w:val="single"/>
            </w:rPr>
          </w:pPr>
          <w:r w:rsidRPr="00F07039">
            <w:rPr>
              <w:b/>
              <w:color w:val="auto"/>
              <w:u w:val="single"/>
            </w:rPr>
            <w:t>Table of Contents</w:t>
          </w:r>
        </w:p>
        <w:p w14:paraId="20647B5E" w14:textId="2DEC9F08" w:rsidR="00A6197B" w:rsidRDefault="00B526DA">
          <w:pPr>
            <w:pStyle w:val="TOC1"/>
            <w:rPr>
              <w:rFonts w:asciiTheme="minorHAnsi" w:eastAsiaTheme="minorEastAsia" w:hAnsiTheme="minorHAnsi" w:cstheme="minorBidi"/>
              <w:b w:val="0"/>
              <w:noProof/>
              <w:kern w:val="2"/>
              <w:szCs w:val="24"/>
              <w14:ligatures w14:val="standardContextual"/>
            </w:rPr>
          </w:pPr>
          <w:r>
            <w:rPr>
              <w:b w:val="0"/>
            </w:rPr>
            <w:fldChar w:fldCharType="begin"/>
          </w:r>
          <w:r>
            <w:rPr>
              <w:b w:val="0"/>
            </w:rPr>
            <w:instrText xml:space="preserve"> TOC \o "1-2" \h \z \u </w:instrText>
          </w:r>
          <w:r>
            <w:rPr>
              <w:b w:val="0"/>
            </w:rPr>
            <w:fldChar w:fldCharType="separate"/>
          </w:r>
          <w:hyperlink w:anchor="_Toc168663902" w:history="1">
            <w:r w:rsidR="00A6197B" w:rsidRPr="00992E8A">
              <w:rPr>
                <w:rStyle w:val="Hyperlink"/>
                <w:noProof/>
              </w:rPr>
              <w:t>1.</w:t>
            </w:r>
            <w:r w:rsidR="00A6197B">
              <w:rPr>
                <w:rFonts w:asciiTheme="minorHAnsi" w:eastAsiaTheme="minorEastAsia" w:hAnsiTheme="minorHAnsi" w:cstheme="minorBidi"/>
                <w:b w:val="0"/>
                <w:noProof/>
                <w:kern w:val="2"/>
                <w:szCs w:val="24"/>
                <w14:ligatures w14:val="standardContextual"/>
              </w:rPr>
              <w:tab/>
            </w:r>
            <w:r w:rsidR="00A6197B" w:rsidRPr="00992E8A">
              <w:rPr>
                <w:rStyle w:val="Hyperlink"/>
                <w:noProof/>
              </w:rPr>
              <w:t>Program Budget and Savings Information</w:t>
            </w:r>
            <w:r w:rsidR="00A6197B">
              <w:rPr>
                <w:noProof/>
                <w:webHidden/>
              </w:rPr>
              <w:tab/>
            </w:r>
            <w:r w:rsidR="00A6197B">
              <w:rPr>
                <w:noProof/>
                <w:webHidden/>
              </w:rPr>
              <w:fldChar w:fldCharType="begin"/>
            </w:r>
            <w:r w:rsidR="00A6197B">
              <w:rPr>
                <w:noProof/>
                <w:webHidden/>
              </w:rPr>
              <w:instrText xml:space="preserve"> PAGEREF _Toc168663902 \h </w:instrText>
            </w:r>
            <w:r w:rsidR="00A6197B">
              <w:rPr>
                <w:noProof/>
                <w:webHidden/>
              </w:rPr>
            </w:r>
            <w:r w:rsidR="00A6197B">
              <w:rPr>
                <w:noProof/>
                <w:webHidden/>
              </w:rPr>
              <w:fldChar w:fldCharType="separate"/>
            </w:r>
            <w:r w:rsidR="00A6197B">
              <w:rPr>
                <w:noProof/>
                <w:webHidden/>
              </w:rPr>
              <w:t>3</w:t>
            </w:r>
            <w:r w:rsidR="00A6197B">
              <w:rPr>
                <w:noProof/>
                <w:webHidden/>
              </w:rPr>
              <w:fldChar w:fldCharType="end"/>
            </w:r>
          </w:hyperlink>
        </w:p>
        <w:p w14:paraId="49DD8CDB" w14:textId="6629695D" w:rsidR="00A6197B" w:rsidRDefault="00B70853">
          <w:pPr>
            <w:pStyle w:val="TOC2"/>
            <w:tabs>
              <w:tab w:val="left" w:pos="1224"/>
            </w:tabs>
            <w:rPr>
              <w:rFonts w:asciiTheme="minorHAnsi" w:eastAsiaTheme="minorEastAsia" w:hAnsiTheme="minorHAnsi" w:cstheme="minorBidi"/>
              <w:noProof/>
              <w:kern w:val="2"/>
              <w:szCs w:val="24"/>
              <w14:ligatures w14:val="standardContextual"/>
            </w:rPr>
          </w:pPr>
          <w:hyperlink w:anchor="_Toc168663903" w:history="1">
            <w:r w:rsidR="00A6197B" w:rsidRPr="00992E8A">
              <w:rPr>
                <w:rStyle w:val="Hyperlink"/>
                <w:noProof/>
                <w14:scene3d>
                  <w14:camera w14:prst="orthographicFront"/>
                  <w14:lightRig w14:rig="threePt" w14:dir="t">
                    <w14:rot w14:lat="0" w14:lon="0" w14:rev="0"/>
                  </w14:lightRig>
                </w14:scene3d>
              </w:rPr>
              <w:t>1.</w:t>
            </w:r>
            <w:r w:rsidR="00A6197B">
              <w:rPr>
                <w:rFonts w:asciiTheme="minorHAnsi" w:eastAsiaTheme="minorEastAsia" w:hAnsiTheme="minorHAnsi" w:cstheme="minorBidi"/>
                <w:noProof/>
                <w:kern w:val="2"/>
                <w:szCs w:val="24"/>
                <w14:ligatures w14:val="standardContextual"/>
              </w:rPr>
              <w:tab/>
            </w:r>
            <w:r w:rsidR="00A6197B" w:rsidRPr="00992E8A">
              <w:rPr>
                <w:rStyle w:val="Hyperlink"/>
                <w:noProof/>
              </w:rPr>
              <w:t>Program and/or Sub-Program Name</w:t>
            </w:r>
            <w:r w:rsidR="00A6197B">
              <w:rPr>
                <w:noProof/>
                <w:webHidden/>
              </w:rPr>
              <w:tab/>
            </w:r>
            <w:r w:rsidR="00A6197B">
              <w:rPr>
                <w:noProof/>
                <w:webHidden/>
              </w:rPr>
              <w:fldChar w:fldCharType="begin"/>
            </w:r>
            <w:r w:rsidR="00A6197B">
              <w:rPr>
                <w:noProof/>
                <w:webHidden/>
              </w:rPr>
              <w:instrText xml:space="preserve"> PAGEREF _Toc168663903 \h </w:instrText>
            </w:r>
            <w:r w:rsidR="00A6197B">
              <w:rPr>
                <w:noProof/>
                <w:webHidden/>
              </w:rPr>
            </w:r>
            <w:r w:rsidR="00A6197B">
              <w:rPr>
                <w:noProof/>
                <w:webHidden/>
              </w:rPr>
              <w:fldChar w:fldCharType="separate"/>
            </w:r>
            <w:r w:rsidR="00A6197B">
              <w:rPr>
                <w:noProof/>
                <w:webHidden/>
              </w:rPr>
              <w:t>3</w:t>
            </w:r>
            <w:r w:rsidR="00A6197B">
              <w:rPr>
                <w:noProof/>
                <w:webHidden/>
              </w:rPr>
              <w:fldChar w:fldCharType="end"/>
            </w:r>
          </w:hyperlink>
        </w:p>
        <w:p w14:paraId="537180E1" w14:textId="2CAF2A21" w:rsidR="00A6197B" w:rsidRDefault="00B70853">
          <w:pPr>
            <w:pStyle w:val="TOC2"/>
            <w:tabs>
              <w:tab w:val="left" w:pos="1224"/>
            </w:tabs>
            <w:rPr>
              <w:rFonts w:asciiTheme="minorHAnsi" w:eastAsiaTheme="minorEastAsia" w:hAnsiTheme="minorHAnsi" w:cstheme="minorBidi"/>
              <w:noProof/>
              <w:kern w:val="2"/>
              <w:szCs w:val="24"/>
              <w14:ligatures w14:val="standardContextual"/>
            </w:rPr>
          </w:pPr>
          <w:hyperlink w:anchor="_Toc168663904" w:history="1">
            <w:r w:rsidR="00A6197B" w:rsidRPr="00992E8A">
              <w:rPr>
                <w:rStyle w:val="Hyperlink"/>
                <w:noProof/>
                <w14:scene3d>
                  <w14:camera w14:prst="orthographicFront"/>
                  <w14:lightRig w14:rig="threePt" w14:dir="t">
                    <w14:rot w14:lat="0" w14:lon="0" w14:rev="0"/>
                  </w14:lightRig>
                </w14:scene3d>
              </w:rPr>
              <w:t>2.</w:t>
            </w:r>
            <w:r w:rsidR="00A6197B">
              <w:rPr>
                <w:rFonts w:asciiTheme="minorHAnsi" w:eastAsiaTheme="minorEastAsia" w:hAnsiTheme="minorHAnsi" w:cstheme="minorBidi"/>
                <w:noProof/>
                <w:kern w:val="2"/>
                <w:szCs w:val="24"/>
                <w14:ligatures w14:val="standardContextual"/>
              </w:rPr>
              <w:tab/>
            </w:r>
            <w:r w:rsidR="00A6197B" w:rsidRPr="00992E8A">
              <w:rPr>
                <w:rStyle w:val="Hyperlink"/>
                <w:noProof/>
              </w:rPr>
              <w:t>Program and/or Sub-Program ID Number</w:t>
            </w:r>
            <w:r w:rsidR="00A6197B">
              <w:rPr>
                <w:noProof/>
                <w:webHidden/>
              </w:rPr>
              <w:tab/>
            </w:r>
            <w:r w:rsidR="00A6197B">
              <w:rPr>
                <w:noProof/>
                <w:webHidden/>
              </w:rPr>
              <w:fldChar w:fldCharType="begin"/>
            </w:r>
            <w:r w:rsidR="00A6197B">
              <w:rPr>
                <w:noProof/>
                <w:webHidden/>
              </w:rPr>
              <w:instrText xml:space="preserve"> PAGEREF _Toc168663904 \h </w:instrText>
            </w:r>
            <w:r w:rsidR="00A6197B">
              <w:rPr>
                <w:noProof/>
                <w:webHidden/>
              </w:rPr>
            </w:r>
            <w:r w:rsidR="00A6197B">
              <w:rPr>
                <w:noProof/>
                <w:webHidden/>
              </w:rPr>
              <w:fldChar w:fldCharType="separate"/>
            </w:r>
            <w:r w:rsidR="00A6197B">
              <w:rPr>
                <w:noProof/>
                <w:webHidden/>
              </w:rPr>
              <w:t>3</w:t>
            </w:r>
            <w:r w:rsidR="00A6197B">
              <w:rPr>
                <w:noProof/>
                <w:webHidden/>
              </w:rPr>
              <w:fldChar w:fldCharType="end"/>
            </w:r>
          </w:hyperlink>
        </w:p>
        <w:p w14:paraId="446A10FA" w14:textId="6FAC8F50" w:rsidR="00A6197B" w:rsidRDefault="00B70853">
          <w:pPr>
            <w:pStyle w:val="TOC2"/>
            <w:tabs>
              <w:tab w:val="left" w:pos="1224"/>
            </w:tabs>
            <w:rPr>
              <w:rFonts w:asciiTheme="minorHAnsi" w:eastAsiaTheme="minorEastAsia" w:hAnsiTheme="minorHAnsi" w:cstheme="minorBidi"/>
              <w:noProof/>
              <w:kern w:val="2"/>
              <w:szCs w:val="24"/>
              <w14:ligatures w14:val="standardContextual"/>
            </w:rPr>
          </w:pPr>
          <w:hyperlink w:anchor="_Toc168663905" w:history="1">
            <w:r w:rsidR="00A6197B">
              <w:rPr>
                <w:rFonts w:asciiTheme="minorHAnsi" w:eastAsiaTheme="minorEastAsia" w:hAnsiTheme="minorHAnsi" w:cstheme="minorBidi"/>
                <w:noProof/>
                <w:kern w:val="2"/>
                <w:szCs w:val="24"/>
                <w14:ligatures w14:val="standardContextual"/>
              </w:rPr>
              <w:tab/>
            </w:r>
            <w:r w:rsidR="00A6197B" w:rsidRPr="00992E8A">
              <w:rPr>
                <w:rStyle w:val="Hyperlink"/>
                <w:noProof/>
              </w:rPr>
              <w:t>SCE_3P_SEM_003</w:t>
            </w:r>
            <w:r w:rsidR="00A6197B">
              <w:rPr>
                <w:noProof/>
                <w:webHidden/>
              </w:rPr>
              <w:tab/>
            </w:r>
            <w:r w:rsidR="00A6197B">
              <w:rPr>
                <w:noProof/>
                <w:webHidden/>
              </w:rPr>
              <w:fldChar w:fldCharType="begin"/>
            </w:r>
            <w:r w:rsidR="00A6197B">
              <w:rPr>
                <w:noProof/>
                <w:webHidden/>
              </w:rPr>
              <w:instrText xml:space="preserve"> PAGEREF _Toc168663905 \h </w:instrText>
            </w:r>
            <w:r w:rsidR="00A6197B">
              <w:rPr>
                <w:noProof/>
                <w:webHidden/>
              </w:rPr>
            </w:r>
            <w:r w:rsidR="00A6197B">
              <w:rPr>
                <w:noProof/>
                <w:webHidden/>
              </w:rPr>
              <w:fldChar w:fldCharType="separate"/>
            </w:r>
            <w:r w:rsidR="00A6197B">
              <w:rPr>
                <w:noProof/>
                <w:webHidden/>
              </w:rPr>
              <w:t>3</w:t>
            </w:r>
            <w:r w:rsidR="00A6197B">
              <w:rPr>
                <w:noProof/>
                <w:webHidden/>
              </w:rPr>
              <w:fldChar w:fldCharType="end"/>
            </w:r>
          </w:hyperlink>
        </w:p>
        <w:p w14:paraId="341A2D79" w14:textId="5E04D035" w:rsidR="00A6197B" w:rsidRDefault="00B70853">
          <w:pPr>
            <w:pStyle w:val="TOC2"/>
            <w:tabs>
              <w:tab w:val="left" w:pos="1224"/>
            </w:tabs>
            <w:rPr>
              <w:rFonts w:asciiTheme="minorHAnsi" w:eastAsiaTheme="minorEastAsia" w:hAnsiTheme="minorHAnsi" w:cstheme="minorBidi"/>
              <w:noProof/>
              <w:kern w:val="2"/>
              <w:szCs w:val="24"/>
              <w14:ligatures w14:val="standardContextual"/>
            </w:rPr>
          </w:pPr>
          <w:hyperlink w:anchor="_Toc168663906" w:history="1">
            <w:r w:rsidR="00A6197B" w:rsidRPr="00992E8A">
              <w:rPr>
                <w:rStyle w:val="Hyperlink"/>
                <w:noProof/>
                <w14:scene3d>
                  <w14:camera w14:prst="orthographicFront"/>
                  <w14:lightRig w14:rig="threePt" w14:dir="t">
                    <w14:rot w14:lat="0" w14:lon="0" w14:rev="0"/>
                  </w14:lightRig>
                </w14:scene3d>
              </w:rPr>
              <w:t>3.</w:t>
            </w:r>
            <w:r w:rsidR="00A6197B">
              <w:rPr>
                <w:rFonts w:asciiTheme="minorHAnsi" w:eastAsiaTheme="minorEastAsia" w:hAnsiTheme="minorHAnsi" w:cstheme="minorBidi"/>
                <w:noProof/>
                <w:kern w:val="2"/>
                <w:szCs w:val="24"/>
                <w14:ligatures w14:val="standardContextual"/>
              </w:rPr>
              <w:tab/>
            </w:r>
            <w:r w:rsidR="00A6197B" w:rsidRPr="00992E8A">
              <w:rPr>
                <w:rStyle w:val="Hyperlink"/>
                <w:noProof/>
              </w:rPr>
              <w:t>Program and/or Sub-Program Budget Table</w:t>
            </w:r>
            <w:r w:rsidR="00A6197B">
              <w:rPr>
                <w:noProof/>
                <w:webHidden/>
              </w:rPr>
              <w:tab/>
            </w:r>
            <w:r w:rsidR="00A6197B">
              <w:rPr>
                <w:noProof/>
                <w:webHidden/>
              </w:rPr>
              <w:fldChar w:fldCharType="begin"/>
            </w:r>
            <w:r w:rsidR="00A6197B">
              <w:rPr>
                <w:noProof/>
                <w:webHidden/>
              </w:rPr>
              <w:instrText xml:space="preserve"> PAGEREF _Toc168663906 \h </w:instrText>
            </w:r>
            <w:r w:rsidR="00A6197B">
              <w:rPr>
                <w:noProof/>
                <w:webHidden/>
              </w:rPr>
            </w:r>
            <w:r w:rsidR="00A6197B">
              <w:rPr>
                <w:noProof/>
                <w:webHidden/>
              </w:rPr>
              <w:fldChar w:fldCharType="separate"/>
            </w:r>
            <w:r w:rsidR="00A6197B">
              <w:rPr>
                <w:noProof/>
                <w:webHidden/>
              </w:rPr>
              <w:t>3</w:t>
            </w:r>
            <w:r w:rsidR="00A6197B">
              <w:rPr>
                <w:noProof/>
                <w:webHidden/>
              </w:rPr>
              <w:fldChar w:fldCharType="end"/>
            </w:r>
          </w:hyperlink>
        </w:p>
        <w:p w14:paraId="6B4F4EF3" w14:textId="09CFEB62" w:rsidR="00A6197B" w:rsidRDefault="00B70853">
          <w:pPr>
            <w:pStyle w:val="TOC2"/>
            <w:tabs>
              <w:tab w:val="left" w:pos="1224"/>
            </w:tabs>
            <w:rPr>
              <w:rFonts w:asciiTheme="minorHAnsi" w:eastAsiaTheme="minorEastAsia" w:hAnsiTheme="minorHAnsi" w:cstheme="minorBidi"/>
              <w:noProof/>
              <w:kern w:val="2"/>
              <w:szCs w:val="24"/>
              <w14:ligatures w14:val="standardContextual"/>
            </w:rPr>
          </w:pPr>
          <w:hyperlink w:anchor="_Toc168663907" w:history="1">
            <w:r w:rsidR="00A6197B" w:rsidRPr="00992E8A">
              <w:rPr>
                <w:rStyle w:val="Hyperlink"/>
                <w:noProof/>
                <w14:scene3d>
                  <w14:camera w14:prst="orthographicFront"/>
                  <w14:lightRig w14:rig="threePt" w14:dir="t">
                    <w14:rot w14:lat="0" w14:lon="0" w14:rev="0"/>
                  </w14:lightRig>
                </w14:scene3d>
              </w:rPr>
              <w:t>4.</w:t>
            </w:r>
            <w:r w:rsidR="00A6197B">
              <w:rPr>
                <w:rFonts w:asciiTheme="minorHAnsi" w:eastAsiaTheme="minorEastAsia" w:hAnsiTheme="minorHAnsi" w:cstheme="minorBidi"/>
                <w:noProof/>
                <w:kern w:val="2"/>
                <w:szCs w:val="24"/>
                <w14:ligatures w14:val="standardContextual"/>
              </w:rPr>
              <w:tab/>
            </w:r>
            <w:r w:rsidR="00A6197B" w:rsidRPr="00992E8A">
              <w:rPr>
                <w:rStyle w:val="Hyperlink"/>
                <w:noProof/>
              </w:rPr>
              <w:t>Program and/or Sub-Program Gross Impacts Table</w:t>
            </w:r>
            <w:r w:rsidR="00A6197B">
              <w:rPr>
                <w:noProof/>
                <w:webHidden/>
              </w:rPr>
              <w:tab/>
            </w:r>
            <w:r w:rsidR="00A6197B">
              <w:rPr>
                <w:noProof/>
                <w:webHidden/>
              </w:rPr>
              <w:fldChar w:fldCharType="begin"/>
            </w:r>
            <w:r w:rsidR="00A6197B">
              <w:rPr>
                <w:noProof/>
                <w:webHidden/>
              </w:rPr>
              <w:instrText xml:space="preserve"> PAGEREF _Toc168663907 \h </w:instrText>
            </w:r>
            <w:r w:rsidR="00A6197B">
              <w:rPr>
                <w:noProof/>
                <w:webHidden/>
              </w:rPr>
            </w:r>
            <w:r w:rsidR="00A6197B">
              <w:rPr>
                <w:noProof/>
                <w:webHidden/>
              </w:rPr>
              <w:fldChar w:fldCharType="separate"/>
            </w:r>
            <w:r w:rsidR="00A6197B">
              <w:rPr>
                <w:noProof/>
                <w:webHidden/>
              </w:rPr>
              <w:t>3</w:t>
            </w:r>
            <w:r w:rsidR="00A6197B">
              <w:rPr>
                <w:noProof/>
                <w:webHidden/>
              </w:rPr>
              <w:fldChar w:fldCharType="end"/>
            </w:r>
          </w:hyperlink>
        </w:p>
        <w:p w14:paraId="5C94B1DE" w14:textId="782DCFAE" w:rsidR="00A6197B" w:rsidRDefault="00B70853">
          <w:pPr>
            <w:pStyle w:val="TOC2"/>
            <w:tabs>
              <w:tab w:val="left" w:pos="1224"/>
            </w:tabs>
            <w:rPr>
              <w:rFonts w:asciiTheme="minorHAnsi" w:eastAsiaTheme="minorEastAsia" w:hAnsiTheme="minorHAnsi" w:cstheme="minorBidi"/>
              <w:noProof/>
              <w:kern w:val="2"/>
              <w:szCs w:val="24"/>
              <w14:ligatures w14:val="standardContextual"/>
            </w:rPr>
          </w:pPr>
          <w:hyperlink w:anchor="_Toc168663908" w:history="1">
            <w:r w:rsidR="00A6197B" w:rsidRPr="00992E8A">
              <w:rPr>
                <w:rStyle w:val="Hyperlink"/>
                <w:noProof/>
                <w14:scene3d>
                  <w14:camera w14:prst="orthographicFront"/>
                  <w14:lightRig w14:rig="threePt" w14:dir="t">
                    <w14:rot w14:lat="0" w14:lon="0" w14:rev="0"/>
                  </w14:lightRig>
                </w14:scene3d>
              </w:rPr>
              <w:t>5.</w:t>
            </w:r>
            <w:r w:rsidR="00A6197B">
              <w:rPr>
                <w:rFonts w:asciiTheme="minorHAnsi" w:eastAsiaTheme="minorEastAsia" w:hAnsiTheme="minorHAnsi" w:cstheme="minorBidi"/>
                <w:noProof/>
                <w:kern w:val="2"/>
                <w:szCs w:val="24"/>
                <w14:ligatures w14:val="standardContextual"/>
              </w:rPr>
              <w:tab/>
            </w:r>
            <w:r w:rsidR="00A6197B" w:rsidRPr="00992E8A">
              <w:rPr>
                <w:rStyle w:val="Hyperlink"/>
                <w:noProof/>
              </w:rPr>
              <w:t>Program and/or Sub-Program Cost-Effectiveness (TRC)</w:t>
            </w:r>
            <w:r w:rsidR="00A6197B">
              <w:rPr>
                <w:noProof/>
                <w:webHidden/>
              </w:rPr>
              <w:tab/>
            </w:r>
            <w:r w:rsidR="00A6197B">
              <w:rPr>
                <w:noProof/>
                <w:webHidden/>
              </w:rPr>
              <w:fldChar w:fldCharType="begin"/>
            </w:r>
            <w:r w:rsidR="00A6197B">
              <w:rPr>
                <w:noProof/>
                <w:webHidden/>
              </w:rPr>
              <w:instrText xml:space="preserve"> PAGEREF _Toc168663908 \h </w:instrText>
            </w:r>
            <w:r w:rsidR="00A6197B">
              <w:rPr>
                <w:noProof/>
                <w:webHidden/>
              </w:rPr>
            </w:r>
            <w:r w:rsidR="00A6197B">
              <w:rPr>
                <w:noProof/>
                <w:webHidden/>
              </w:rPr>
              <w:fldChar w:fldCharType="separate"/>
            </w:r>
            <w:r w:rsidR="00A6197B">
              <w:rPr>
                <w:noProof/>
                <w:webHidden/>
              </w:rPr>
              <w:t>4</w:t>
            </w:r>
            <w:r w:rsidR="00A6197B">
              <w:rPr>
                <w:noProof/>
                <w:webHidden/>
              </w:rPr>
              <w:fldChar w:fldCharType="end"/>
            </w:r>
          </w:hyperlink>
        </w:p>
        <w:p w14:paraId="4F787993" w14:textId="175B347A" w:rsidR="00A6197B" w:rsidRDefault="00B70853">
          <w:pPr>
            <w:pStyle w:val="TOC2"/>
            <w:tabs>
              <w:tab w:val="left" w:pos="1224"/>
            </w:tabs>
            <w:rPr>
              <w:rFonts w:asciiTheme="minorHAnsi" w:eastAsiaTheme="minorEastAsia" w:hAnsiTheme="minorHAnsi" w:cstheme="minorBidi"/>
              <w:noProof/>
              <w:kern w:val="2"/>
              <w:szCs w:val="24"/>
              <w14:ligatures w14:val="standardContextual"/>
            </w:rPr>
          </w:pPr>
          <w:hyperlink w:anchor="_Toc168663909" w:history="1">
            <w:r w:rsidR="00A6197B" w:rsidRPr="00992E8A">
              <w:rPr>
                <w:rStyle w:val="Hyperlink"/>
                <w:noProof/>
                <w14:scene3d>
                  <w14:camera w14:prst="orthographicFront"/>
                  <w14:lightRig w14:rig="threePt" w14:dir="t">
                    <w14:rot w14:lat="0" w14:lon="0" w14:rev="0"/>
                  </w14:lightRig>
                </w14:scene3d>
              </w:rPr>
              <w:t>6.</w:t>
            </w:r>
            <w:r w:rsidR="00A6197B">
              <w:rPr>
                <w:rFonts w:asciiTheme="minorHAnsi" w:eastAsiaTheme="minorEastAsia" w:hAnsiTheme="minorHAnsi" w:cstheme="minorBidi"/>
                <w:noProof/>
                <w:kern w:val="2"/>
                <w:szCs w:val="24"/>
                <w14:ligatures w14:val="standardContextual"/>
              </w:rPr>
              <w:tab/>
            </w:r>
            <w:r w:rsidR="00A6197B" w:rsidRPr="00992E8A">
              <w:rPr>
                <w:rStyle w:val="Hyperlink"/>
                <w:noProof/>
              </w:rPr>
              <w:t>Program and/or Sub-Program Cost-Effectiveness (PAC)</w:t>
            </w:r>
            <w:r w:rsidR="00A6197B">
              <w:rPr>
                <w:noProof/>
                <w:webHidden/>
              </w:rPr>
              <w:tab/>
            </w:r>
            <w:r w:rsidR="00A6197B">
              <w:rPr>
                <w:noProof/>
                <w:webHidden/>
              </w:rPr>
              <w:fldChar w:fldCharType="begin"/>
            </w:r>
            <w:r w:rsidR="00A6197B">
              <w:rPr>
                <w:noProof/>
                <w:webHidden/>
              </w:rPr>
              <w:instrText xml:space="preserve"> PAGEREF _Toc168663909 \h </w:instrText>
            </w:r>
            <w:r w:rsidR="00A6197B">
              <w:rPr>
                <w:noProof/>
                <w:webHidden/>
              </w:rPr>
            </w:r>
            <w:r w:rsidR="00A6197B">
              <w:rPr>
                <w:noProof/>
                <w:webHidden/>
              </w:rPr>
              <w:fldChar w:fldCharType="separate"/>
            </w:r>
            <w:r w:rsidR="00A6197B">
              <w:rPr>
                <w:noProof/>
                <w:webHidden/>
              </w:rPr>
              <w:t>4</w:t>
            </w:r>
            <w:r w:rsidR="00A6197B">
              <w:rPr>
                <w:noProof/>
                <w:webHidden/>
              </w:rPr>
              <w:fldChar w:fldCharType="end"/>
            </w:r>
          </w:hyperlink>
        </w:p>
        <w:p w14:paraId="5BDCD3C4" w14:textId="61E93183" w:rsidR="00A6197B" w:rsidRDefault="00B70853">
          <w:pPr>
            <w:pStyle w:val="TOC2"/>
            <w:tabs>
              <w:tab w:val="left" w:pos="1224"/>
            </w:tabs>
            <w:rPr>
              <w:rFonts w:asciiTheme="minorHAnsi" w:eastAsiaTheme="minorEastAsia" w:hAnsiTheme="minorHAnsi" w:cstheme="minorBidi"/>
              <w:noProof/>
              <w:kern w:val="2"/>
              <w:szCs w:val="24"/>
              <w14:ligatures w14:val="standardContextual"/>
            </w:rPr>
          </w:pPr>
          <w:hyperlink w:anchor="_Toc168663910" w:history="1">
            <w:r w:rsidR="00A6197B" w:rsidRPr="00992E8A">
              <w:rPr>
                <w:rStyle w:val="Hyperlink"/>
                <w:noProof/>
                <w14:scene3d>
                  <w14:camera w14:prst="orthographicFront"/>
                  <w14:lightRig w14:rig="threePt" w14:dir="t">
                    <w14:rot w14:lat="0" w14:lon="0" w14:rev="0"/>
                  </w14:lightRig>
                </w14:scene3d>
              </w:rPr>
              <w:t>7.</w:t>
            </w:r>
            <w:r w:rsidR="00A6197B">
              <w:rPr>
                <w:rFonts w:asciiTheme="minorHAnsi" w:eastAsiaTheme="minorEastAsia" w:hAnsiTheme="minorHAnsi" w:cstheme="minorBidi"/>
                <w:noProof/>
                <w:kern w:val="2"/>
                <w:szCs w:val="24"/>
                <w14:ligatures w14:val="standardContextual"/>
              </w:rPr>
              <w:tab/>
            </w:r>
            <w:r w:rsidR="00A6197B" w:rsidRPr="00992E8A">
              <w:rPr>
                <w:rStyle w:val="Hyperlink"/>
                <w:noProof/>
              </w:rPr>
              <w:t>Type of Program and/or Sub-Program Implementer</w:t>
            </w:r>
            <w:r w:rsidR="00A6197B">
              <w:rPr>
                <w:noProof/>
                <w:webHidden/>
              </w:rPr>
              <w:tab/>
            </w:r>
            <w:r w:rsidR="00A6197B">
              <w:rPr>
                <w:noProof/>
                <w:webHidden/>
              </w:rPr>
              <w:fldChar w:fldCharType="begin"/>
            </w:r>
            <w:r w:rsidR="00A6197B">
              <w:rPr>
                <w:noProof/>
                <w:webHidden/>
              </w:rPr>
              <w:instrText xml:space="preserve"> PAGEREF _Toc168663910 \h </w:instrText>
            </w:r>
            <w:r w:rsidR="00A6197B">
              <w:rPr>
                <w:noProof/>
                <w:webHidden/>
              </w:rPr>
            </w:r>
            <w:r w:rsidR="00A6197B">
              <w:rPr>
                <w:noProof/>
                <w:webHidden/>
              </w:rPr>
              <w:fldChar w:fldCharType="separate"/>
            </w:r>
            <w:r w:rsidR="00A6197B">
              <w:rPr>
                <w:noProof/>
                <w:webHidden/>
              </w:rPr>
              <w:t>5</w:t>
            </w:r>
            <w:r w:rsidR="00A6197B">
              <w:rPr>
                <w:noProof/>
                <w:webHidden/>
              </w:rPr>
              <w:fldChar w:fldCharType="end"/>
            </w:r>
          </w:hyperlink>
        </w:p>
        <w:p w14:paraId="41B4FE77" w14:textId="6CCBE38A" w:rsidR="00A6197B" w:rsidRDefault="00B70853">
          <w:pPr>
            <w:pStyle w:val="TOC2"/>
            <w:tabs>
              <w:tab w:val="left" w:pos="1224"/>
            </w:tabs>
            <w:rPr>
              <w:rFonts w:asciiTheme="minorHAnsi" w:eastAsiaTheme="minorEastAsia" w:hAnsiTheme="minorHAnsi" w:cstheme="minorBidi"/>
              <w:noProof/>
              <w:kern w:val="2"/>
              <w:szCs w:val="24"/>
              <w14:ligatures w14:val="standardContextual"/>
            </w:rPr>
          </w:pPr>
          <w:hyperlink w:anchor="_Toc168663911" w:history="1">
            <w:r w:rsidR="00A6197B" w:rsidRPr="00992E8A">
              <w:rPr>
                <w:rStyle w:val="Hyperlink"/>
                <w:noProof/>
                <w14:scene3d>
                  <w14:camera w14:prst="orthographicFront"/>
                  <w14:lightRig w14:rig="threePt" w14:dir="t">
                    <w14:rot w14:lat="0" w14:lon="0" w14:rev="0"/>
                  </w14:lightRig>
                </w14:scene3d>
              </w:rPr>
              <w:t>8.</w:t>
            </w:r>
            <w:r w:rsidR="00A6197B">
              <w:rPr>
                <w:rFonts w:asciiTheme="minorHAnsi" w:eastAsiaTheme="minorEastAsia" w:hAnsiTheme="minorHAnsi" w:cstheme="minorBidi"/>
                <w:noProof/>
                <w:kern w:val="2"/>
                <w:szCs w:val="24"/>
                <w14:ligatures w14:val="standardContextual"/>
              </w:rPr>
              <w:tab/>
            </w:r>
            <w:r w:rsidR="00A6197B" w:rsidRPr="00992E8A">
              <w:rPr>
                <w:rStyle w:val="Hyperlink"/>
                <w:noProof/>
              </w:rPr>
              <w:t>Market Sector</w:t>
            </w:r>
            <w:r w:rsidR="00A6197B">
              <w:rPr>
                <w:noProof/>
                <w:webHidden/>
              </w:rPr>
              <w:tab/>
            </w:r>
            <w:r w:rsidR="00A6197B">
              <w:rPr>
                <w:noProof/>
                <w:webHidden/>
              </w:rPr>
              <w:fldChar w:fldCharType="begin"/>
            </w:r>
            <w:r w:rsidR="00A6197B">
              <w:rPr>
                <w:noProof/>
                <w:webHidden/>
              </w:rPr>
              <w:instrText xml:space="preserve"> PAGEREF _Toc168663911 \h </w:instrText>
            </w:r>
            <w:r w:rsidR="00A6197B">
              <w:rPr>
                <w:noProof/>
                <w:webHidden/>
              </w:rPr>
            </w:r>
            <w:r w:rsidR="00A6197B">
              <w:rPr>
                <w:noProof/>
                <w:webHidden/>
              </w:rPr>
              <w:fldChar w:fldCharType="separate"/>
            </w:r>
            <w:r w:rsidR="00A6197B">
              <w:rPr>
                <w:noProof/>
                <w:webHidden/>
              </w:rPr>
              <w:t>5</w:t>
            </w:r>
            <w:r w:rsidR="00A6197B">
              <w:rPr>
                <w:noProof/>
                <w:webHidden/>
              </w:rPr>
              <w:fldChar w:fldCharType="end"/>
            </w:r>
          </w:hyperlink>
        </w:p>
        <w:p w14:paraId="5792E329" w14:textId="672DA1B3" w:rsidR="00A6197B" w:rsidRDefault="00B70853">
          <w:pPr>
            <w:pStyle w:val="TOC2"/>
            <w:tabs>
              <w:tab w:val="left" w:pos="1224"/>
            </w:tabs>
            <w:rPr>
              <w:rFonts w:asciiTheme="minorHAnsi" w:eastAsiaTheme="minorEastAsia" w:hAnsiTheme="minorHAnsi" w:cstheme="minorBidi"/>
              <w:noProof/>
              <w:kern w:val="2"/>
              <w:szCs w:val="24"/>
              <w14:ligatures w14:val="standardContextual"/>
            </w:rPr>
          </w:pPr>
          <w:hyperlink w:anchor="_Toc168663912" w:history="1">
            <w:r w:rsidR="00A6197B" w:rsidRPr="00992E8A">
              <w:rPr>
                <w:rStyle w:val="Hyperlink"/>
                <w:noProof/>
                <w14:scene3d>
                  <w14:camera w14:prst="orthographicFront"/>
                  <w14:lightRig w14:rig="threePt" w14:dir="t">
                    <w14:rot w14:lat="0" w14:lon="0" w14:rev="0"/>
                  </w14:lightRig>
                </w14:scene3d>
              </w:rPr>
              <w:t>9.</w:t>
            </w:r>
            <w:r w:rsidR="00A6197B">
              <w:rPr>
                <w:rFonts w:asciiTheme="minorHAnsi" w:eastAsiaTheme="minorEastAsia" w:hAnsiTheme="minorHAnsi" w:cstheme="minorBidi"/>
                <w:noProof/>
                <w:kern w:val="2"/>
                <w:szCs w:val="24"/>
                <w14:ligatures w14:val="standardContextual"/>
              </w:rPr>
              <w:tab/>
            </w:r>
            <w:r w:rsidR="00A6197B" w:rsidRPr="00992E8A">
              <w:rPr>
                <w:rStyle w:val="Hyperlink"/>
                <w:bCs/>
                <w:noProof/>
              </w:rPr>
              <w:t>Program and/or Sub-Program Type</w:t>
            </w:r>
            <w:r w:rsidR="00A6197B">
              <w:rPr>
                <w:noProof/>
                <w:webHidden/>
              </w:rPr>
              <w:tab/>
            </w:r>
            <w:r w:rsidR="00A6197B">
              <w:rPr>
                <w:noProof/>
                <w:webHidden/>
              </w:rPr>
              <w:fldChar w:fldCharType="begin"/>
            </w:r>
            <w:r w:rsidR="00A6197B">
              <w:rPr>
                <w:noProof/>
                <w:webHidden/>
              </w:rPr>
              <w:instrText xml:space="preserve"> PAGEREF _Toc168663912 \h </w:instrText>
            </w:r>
            <w:r w:rsidR="00A6197B">
              <w:rPr>
                <w:noProof/>
                <w:webHidden/>
              </w:rPr>
            </w:r>
            <w:r w:rsidR="00A6197B">
              <w:rPr>
                <w:noProof/>
                <w:webHidden/>
              </w:rPr>
              <w:fldChar w:fldCharType="separate"/>
            </w:r>
            <w:r w:rsidR="00A6197B">
              <w:rPr>
                <w:noProof/>
                <w:webHidden/>
              </w:rPr>
              <w:t>5</w:t>
            </w:r>
            <w:r w:rsidR="00A6197B">
              <w:rPr>
                <w:noProof/>
                <w:webHidden/>
              </w:rPr>
              <w:fldChar w:fldCharType="end"/>
            </w:r>
          </w:hyperlink>
        </w:p>
        <w:p w14:paraId="3921841F" w14:textId="75450556" w:rsidR="00A6197B" w:rsidRDefault="00B70853">
          <w:pPr>
            <w:pStyle w:val="TOC2"/>
            <w:tabs>
              <w:tab w:val="left" w:pos="1440"/>
            </w:tabs>
            <w:rPr>
              <w:rFonts w:asciiTheme="minorHAnsi" w:eastAsiaTheme="minorEastAsia" w:hAnsiTheme="minorHAnsi" w:cstheme="minorBidi"/>
              <w:noProof/>
              <w:kern w:val="2"/>
              <w:szCs w:val="24"/>
              <w14:ligatures w14:val="standardContextual"/>
            </w:rPr>
          </w:pPr>
          <w:hyperlink w:anchor="_Toc168663913" w:history="1">
            <w:r w:rsidR="00A6197B" w:rsidRPr="00992E8A">
              <w:rPr>
                <w:rStyle w:val="Hyperlink"/>
                <w:noProof/>
                <w14:scene3d>
                  <w14:camera w14:prst="orthographicFront"/>
                  <w14:lightRig w14:rig="threePt" w14:dir="t">
                    <w14:rot w14:lat="0" w14:lon="0" w14:rev="0"/>
                  </w14:lightRig>
                </w14:scene3d>
              </w:rPr>
              <w:t>10.</w:t>
            </w:r>
            <w:r w:rsidR="00A6197B">
              <w:rPr>
                <w:rFonts w:asciiTheme="minorHAnsi" w:eastAsiaTheme="minorEastAsia" w:hAnsiTheme="minorHAnsi" w:cstheme="minorBidi"/>
                <w:noProof/>
                <w:kern w:val="2"/>
                <w:szCs w:val="24"/>
                <w14:ligatures w14:val="standardContextual"/>
              </w:rPr>
              <w:tab/>
            </w:r>
            <w:r w:rsidR="00A6197B" w:rsidRPr="00992E8A">
              <w:rPr>
                <w:rStyle w:val="Hyperlink"/>
                <w:noProof/>
              </w:rPr>
              <w:t>Market Channels and Intervention Strategies:</w:t>
            </w:r>
            <w:r w:rsidR="00A6197B">
              <w:rPr>
                <w:noProof/>
                <w:webHidden/>
              </w:rPr>
              <w:tab/>
            </w:r>
            <w:r w:rsidR="00A6197B">
              <w:rPr>
                <w:noProof/>
                <w:webHidden/>
              </w:rPr>
              <w:fldChar w:fldCharType="begin"/>
            </w:r>
            <w:r w:rsidR="00A6197B">
              <w:rPr>
                <w:noProof/>
                <w:webHidden/>
              </w:rPr>
              <w:instrText xml:space="preserve"> PAGEREF _Toc168663913 \h </w:instrText>
            </w:r>
            <w:r w:rsidR="00A6197B">
              <w:rPr>
                <w:noProof/>
                <w:webHidden/>
              </w:rPr>
            </w:r>
            <w:r w:rsidR="00A6197B">
              <w:rPr>
                <w:noProof/>
                <w:webHidden/>
              </w:rPr>
              <w:fldChar w:fldCharType="separate"/>
            </w:r>
            <w:r w:rsidR="00A6197B">
              <w:rPr>
                <w:noProof/>
                <w:webHidden/>
              </w:rPr>
              <w:t>5</w:t>
            </w:r>
            <w:r w:rsidR="00A6197B">
              <w:rPr>
                <w:noProof/>
                <w:webHidden/>
              </w:rPr>
              <w:fldChar w:fldCharType="end"/>
            </w:r>
          </w:hyperlink>
        </w:p>
        <w:p w14:paraId="55D66623" w14:textId="59BCBEEF" w:rsidR="00A6197B" w:rsidRDefault="00B70853">
          <w:pPr>
            <w:pStyle w:val="TOC1"/>
            <w:rPr>
              <w:rFonts w:asciiTheme="minorHAnsi" w:eastAsiaTheme="minorEastAsia" w:hAnsiTheme="minorHAnsi" w:cstheme="minorBidi"/>
              <w:b w:val="0"/>
              <w:noProof/>
              <w:kern w:val="2"/>
              <w:szCs w:val="24"/>
              <w14:ligatures w14:val="standardContextual"/>
            </w:rPr>
          </w:pPr>
          <w:hyperlink w:anchor="_Toc168663914" w:history="1">
            <w:r w:rsidR="00A6197B" w:rsidRPr="00992E8A">
              <w:rPr>
                <w:rStyle w:val="Hyperlink"/>
                <w:noProof/>
              </w:rPr>
              <w:t>2.</w:t>
            </w:r>
            <w:r w:rsidR="00A6197B">
              <w:rPr>
                <w:rFonts w:asciiTheme="minorHAnsi" w:eastAsiaTheme="minorEastAsia" w:hAnsiTheme="minorHAnsi" w:cstheme="minorBidi"/>
                <w:b w:val="0"/>
                <w:noProof/>
                <w:kern w:val="2"/>
                <w:szCs w:val="24"/>
                <w14:ligatures w14:val="standardContextual"/>
              </w:rPr>
              <w:tab/>
            </w:r>
            <w:r w:rsidR="00A6197B" w:rsidRPr="00992E8A">
              <w:rPr>
                <w:rStyle w:val="Hyperlink"/>
                <w:noProof/>
              </w:rPr>
              <w:t>Implementation Plan Narrative</w:t>
            </w:r>
            <w:r w:rsidR="00A6197B">
              <w:rPr>
                <w:noProof/>
                <w:webHidden/>
              </w:rPr>
              <w:tab/>
            </w:r>
            <w:r w:rsidR="00A6197B">
              <w:rPr>
                <w:noProof/>
                <w:webHidden/>
              </w:rPr>
              <w:fldChar w:fldCharType="begin"/>
            </w:r>
            <w:r w:rsidR="00A6197B">
              <w:rPr>
                <w:noProof/>
                <w:webHidden/>
              </w:rPr>
              <w:instrText xml:space="preserve"> PAGEREF _Toc168663914 \h </w:instrText>
            </w:r>
            <w:r w:rsidR="00A6197B">
              <w:rPr>
                <w:noProof/>
                <w:webHidden/>
              </w:rPr>
            </w:r>
            <w:r w:rsidR="00A6197B">
              <w:rPr>
                <w:noProof/>
                <w:webHidden/>
              </w:rPr>
              <w:fldChar w:fldCharType="separate"/>
            </w:r>
            <w:r w:rsidR="00A6197B">
              <w:rPr>
                <w:noProof/>
                <w:webHidden/>
              </w:rPr>
              <w:t>7</w:t>
            </w:r>
            <w:r w:rsidR="00A6197B">
              <w:rPr>
                <w:noProof/>
                <w:webHidden/>
              </w:rPr>
              <w:fldChar w:fldCharType="end"/>
            </w:r>
          </w:hyperlink>
        </w:p>
        <w:p w14:paraId="1D19347E" w14:textId="5357A4D9" w:rsidR="00A6197B" w:rsidRDefault="00B70853">
          <w:pPr>
            <w:pStyle w:val="TOC2"/>
            <w:tabs>
              <w:tab w:val="left" w:pos="1224"/>
            </w:tabs>
            <w:rPr>
              <w:rFonts w:asciiTheme="minorHAnsi" w:eastAsiaTheme="minorEastAsia" w:hAnsiTheme="minorHAnsi" w:cstheme="minorBidi"/>
              <w:noProof/>
              <w:kern w:val="2"/>
              <w:szCs w:val="24"/>
              <w14:ligatures w14:val="standardContextual"/>
            </w:rPr>
          </w:pPr>
          <w:hyperlink w:anchor="_Toc168663915" w:history="1">
            <w:r w:rsidR="00A6197B" w:rsidRPr="00992E8A">
              <w:rPr>
                <w:rStyle w:val="Hyperlink"/>
                <w:noProof/>
                <w14:scene3d>
                  <w14:camera w14:prst="orthographicFront"/>
                  <w14:lightRig w14:rig="threePt" w14:dir="t">
                    <w14:rot w14:lat="0" w14:lon="0" w14:rev="0"/>
                  </w14:lightRig>
                </w14:scene3d>
              </w:rPr>
              <w:t>1.</w:t>
            </w:r>
            <w:r w:rsidR="00A6197B">
              <w:rPr>
                <w:rFonts w:asciiTheme="minorHAnsi" w:eastAsiaTheme="minorEastAsia" w:hAnsiTheme="minorHAnsi" w:cstheme="minorBidi"/>
                <w:noProof/>
                <w:kern w:val="2"/>
                <w:szCs w:val="24"/>
                <w14:ligatures w14:val="standardContextual"/>
              </w:rPr>
              <w:tab/>
            </w:r>
            <w:r w:rsidR="00A6197B" w:rsidRPr="00992E8A">
              <w:rPr>
                <w:rStyle w:val="Hyperlink"/>
                <w:noProof/>
              </w:rPr>
              <w:t>Program Description</w:t>
            </w:r>
            <w:r w:rsidR="00A6197B">
              <w:rPr>
                <w:noProof/>
                <w:webHidden/>
              </w:rPr>
              <w:tab/>
            </w:r>
            <w:r w:rsidR="00A6197B">
              <w:rPr>
                <w:noProof/>
                <w:webHidden/>
              </w:rPr>
              <w:fldChar w:fldCharType="begin"/>
            </w:r>
            <w:r w:rsidR="00A6197B">
              <w:rPr>
                <w:noProof/>
                <w:webHidden/>
              </w:rPr>
              <w:instrText xml:space="preserve"> PAGEREF _Toc168663915 \h </w:instrText>
            </w:r>
            <w:r w:rsidR="00A6197B">
              <w:rPr>
                <w:noProof/>
                <w:webHidden/>
              </w:rPr>
            </w:r>
            <w:r w:rsidR="00A6197B">
              <w:rPr>
                <w:noProof/>
                <w:webHidden/>
              </w:rPr>
              <w:fldChar w:fldCharType="separate"/>
            </w:r>
            <w:r w:rsidR="00A6197B">
              <w:rPr>
                <w:noProof/>
                <w:webHidden/>
              </w:rPr>
              <w:t>7</w:t>
            </w:r>
            <w:r w:rsidR="00A6197B">
              <w:rPr>
                <w:noProof/>
                <w:webHidden/>
              </w:rPr>
              <w:fldChar w:fldCharType="end"/>
            </w:r>
          </w:hyperlink>
        </w:p>
        <w:p w14:paraId="6AFF8F33" w14:textId="451CFF4C" w:rsidR="00A6197B" w:rsidRDefault="00B70853">
          <w:pPr>
            <w:pStyle w:val="TOC2"/>
            <w:tabs>
              <w:tab w:val="left" w:pos="1224"/>
            </w:tabs>
            <w:rPr>
              <w:rFonts w:asciiTheme="minorHAnsi" w:eastAsiaTheme="minorEastAsia" w:hAnsiTheme="minorHAnsi" w:cstheme="minorBidi"/>
              <w:noProof/>
              <w:kern w:val="2"/>
              <w:szCs w:val="24"/>
              <w14:ligatures w14:val="standardContextual"/>
            </w:rPr>
          </w:pPr>
          <w:hyperlink w:anchor="_Toc168663916" w:history="1">
            <w:r w:rsidR="00A6197B" w:rsidRPr="00992E8A">
              <w:rPr>
                <w:rStyle w:val="Hyperlink"/>
                <w:noProof/>
                <w14:scene3d>
                  <w14:camera w14:prst="orthographicFront"/>
                  <w14:lightRig w14:rig="threePt" w14:dir="t">
                    <w14:rot w14:lat="0" w14:lon="0" w14:rev="0"/>
                  </w14:lightRig>
                </w14:scene3d>
              </w:rPr>
              <w:t>2.</w:t>
            </w:r>
            <w:r w:rsidR="00A6197B">
              <w:rPr>
                <w:rFonts w:asciiTheme="minorHAnsi" w:eastAsiaTheme="minorEastAsia" w:hAnsiTheme="minorHAnsi" w:cstheme="minorBidi"/>
                <w:noProof/>
                <w:kern w:val="2"/>
                <w:szCs w:val="24"/>
                <w14:ligatures w14:val="standardContextual"/>
              </w:rPr>
              <w:tab/>
            </w:r>
            <w:r w:rsidR="00A6197B" w:rsidRPr="00992E8A">
              <w:rPr>
                <w:rStyle w:val="Hyperlink"/>
                <w:noProof/>
              </w:rPr>
              <w:t>Program Delivery and Customer Services</w:t>
            </w:r>
            <w:r w:rsidR="00A6197B">
              <w:rPr>
                <w:noProof/>
                <w:webHidden/>
              </w:rPr>
              <w:tab/>
            </w:r>
            <w:r w:rsidR="00A6197B">
              <w:rPr>
                <w:noProof/>
                <w:webHidden/>
              </w:rPr>
              <w:fldChar w:fldCharType="begin"/>
            </w:r>
            <w:r w:rsidR="00A6197B">
              <w:rPr>
                <w:noProof/>
                <w:webHidden/>
              </w:rPr>
              <w:instrText xml:space="preserve"> PAGEREF _Toc168663916 \h </w:instrText>
            </w:r>
            <w:r w:rsidR="00A6197B">
              <w:rPr>
                <w:noProof/>
                <w:webHidden/>
              </w:rPr>
            </w:r>
            <w:r w:rsidR="00A6197B">
              <w:rPr>
                <w:noProof/>
                <w:webHidden/>
              </w:rPr>
              <w:fldChar w:fldCharType="separate"/>
            </w:r>
            <w:r w:rsidR="00A6197B">
              <w:rPr>
                <w:noProof/>
                <w:webHidden/>
              </w:rPr>
              <w:t>8</w:t>
            </w:r>
            <w:r w:rsidR="00A6197B">
              <w:rPr>
                <w:noProof/>
                <w:webHidden/>
              </w:rPr>
              <w:fldChar w:fldCharType="end"/>
            </w:r>
          </w:hyperlink>
        </w:p>
        <w:p w14:paraId="69259807" w14:textId="333033FF" w:rsidR="00A6197B" w:rsidRDefault="00B70853">
          <w:pPr>
            <w:pStyle w:val="TOC2"/>
            <w:tabs>
              <w:tab w:val="left" w:pos="1224"/>
            </w:tabs>
            <w:rPr>
              <w:rFonts w:asciiTheme="minorHAnsi" w:eastAsiaTheme="minorEastAsia" w:hAnsiTheme="minorHAnsi" w:cstheme="minorBidi"/>
              <w:noProof/>
              <w:kern w:val="2"/>
              <w:szCs w:val="24"/>
              <w14:ligatures w14:val="standardContextual"/>
            </w:rPr>
          </w:pPr>
          <w:hyperlink w:anchor="_Toc168663919" w:history="1">
            <w:r w:rsidR="00A6197B" w:rsidRPr="00992E8A">
              <w:rPr>
                <w:rStyle w:val="Hyperlink"/>
                <w:noProof/>
                <w14:scene3d>
                  <w14:camera w14:prst="orthographicFront"/>
                  <w14:lightRig w14:rig="threePt" w14:dir="t">
                    <w14:rot w14:lat="0" w14:lon="0" w14:rev="0"/>
                  </w14:lightRig>
                </w14:scene3d>
              </w:rPr>
              <w:t>3.</w:t>
            </w:r>
            <w:r w:rsidR="00A6197B">
              <w:rPr>
                <w:rFonts w:asciiTheme="minorHAnsi" w:eastAsiaTheme="minorEastAsia" w:hAnsiTheme="minorHAnsi" w:cstheme="minorBidi"/>
                <w:noProof/>
                <w:kern w:val="2"/>
                <w:szCs w:val="24"/>
                <w14:ligatures w14:val="standardContextual"/>
              </w:rPr>
              <w:tab/>
            </w:r>
            <w:r w:rsidR="00A6197B" w:rsidRPr="00992E8A">
              <w:rPr>
                <w:rStyle w:val="Hyperlink"/>
                <w:noProof/>
              </w:rPr>
              <w:t>Program Design and Best Practices</w:t>
            </w:r>
            <w:r w:rsidR="00A6197B">
              <w:rPr>
                <w:noProof/>
                <w:webHidden/>
              </w:rPr>
              <w:tab/>
            </w:r>
            <w:r w:rsidR="00A6197B">
              <w:rPr>
                <w:noProof/>
                <w:webHidden/>
              </w:rPr>
              <w:fldChar w:fldCharType="begin"/>
            </w:r>
            <w:r w:rsidR="00A6197B">
              <w:rPr>
                <w:noProof/>
                <w:webHidden/>
              </w:rPr>
              <w:instrText xml:space="preserve"> PAGEREF _Toc168663919 \h </w:instrText>
            </w:r>
            <w:r w:rsidR="00A6197B">
              <w:rPr>
                <w:noProof/>
                <w:webHidden/>
              </w:rPr>
            </w:r>
            <w:r w:rsidR="00A6197B">
              <w:rPr>
                <w:noProof/>
                <w:webHidden/>
              </w:rPr>
              <w:fldChar w:fldCharType="separate"/>
            </w:r>
            <w:r w:rsidR="00A6197B">
              <w:rPr>
                <w:noProof/>
                <w:webHidden/>
              </w:rPr>
              <w:t>12</w:t>
            </w:r>
            <w:r w:rsidR="00A6197B">
              <w:rPr>
                <w:noProof/>
                <w:webHidden/>
              </w:rPr>
              <w:fldChar w:fldCharType="end"/>
            </w:r>
          </w:hyperlink>
        </w:p>
        <w:p w14:paraId="62463229" w14:textId="77ADE186" w:rsidR="00A6197B" w:rsidRDefault="00B70853">
          <w:pPr>
            <w:pStyle w:val="TOC2"/>
            <w:tabs>
              <w:tab w:val="left" w:pos="1224"/>
            </w:tabs>
            <w:rPr>
              <w:rFonts w:asciiTheme="minorHAnsi" w:eastAsiaTheme="minorEastAsia" w:hAnsiTheme="minorHAnsi" w:cstheme="minorBidi"/>
              <w:noProof/>
              <w:kern w:val="2"/>
              <w:szCs w:val="24"/>
              <w14:ligatures w14:val="standardContextual"/>
            </w:rPr>
          </w:pPr>
          <w:hyperlink w:anchor="_Toc168663920" w:history="1">
            <w:r w:rsidR="00A6197B" w:rsidRPr="00992E8A">
              <w:rPr>
                <w:rStyle w:val="Hyperlink"/>
                <w:noProof/>
                <w14:scene3d>
                  <w14:camera w14:prst="orthographicFront"/>
                  <w14:lightRig w14:rig="threePt" w14:dir="t">
                    <w14:rot w14:lat="0" w14:lon="0" w14:rev="0"/>
                  </w14:lightRig>
                </w14:scene3d>
              </w:rPr>
              <w:t>4.</w:t>
            </w:r>
            <w:r w:rsidR="00A6197B">
              <w:rPr>
                <w:rFonts w:asciiTheme="minorHAnsi" w:eastAsiaTheme="minorEastAsia" w:hAnsiTheme="minorHAnsi" w:cstheme="minorBidi"/>
                <w:noProof/>
                <w:kern w:val="2"/>
                <w:szCs w:val="24"/>
                <w14:ligatures w14:val="standardContextual"/>
              </w:rPr>
              <w:tab/>
            </w:r>
            <w:r w:rsidR="00A6197B" w:rsidRPr="00992E8A">
              <w:rPr>
                <w:rStyle w:val="Hyperlink"/>
                <w:noProof/>
              </w:rPr>
              <w:t>Innovation</w:t>
            </w:r>
            <w:r w:rsidR="00A6197B">
              <w:rPr>
                <w:noProof/>
                <w:webHidden/>
              </w:rPr>
              <w:tab/>
            </w:r>
            <w:r w:rsidR="00A6197B">
              <w:rPr>
                <w:noProof/>
                <w:webHidden/>
              </w:rPr>
              <w:fldChar w:fldCharType="begin"/>
            </w:r>
            <w:r w:rsidR="00A6197B">
              <w:rPr>
                <w:noProof/>
                <w:webHidden/>
              </w:rPr>
              <w:instrText xml:space="preserve"> PAGEREF _Toc168663920 \h </w:instrText>
            </w:r>
            <w:r w:rsidR="00A6197B">
              <w:rPr>
                <w:noProof/>
                <w:webHidden/>
              </w:rPr>
            </w:r>
            <w:r w:rsidR="00A6197B">
              <w:rPr>
                <w:noProof/>
                <w:webHidden/>
              </w:rPr>
              <w:fldChar w:fldCharType="separate"/>
            </w:r>
            <w:r w:rsidR="00A6197B">
              <w:rPr>
                <w:noProof/>
                <w:webHidden/>
              </w:rPr>
              <w:t>14</w:t>
            </w:r>
            <w:r w:rsidR="00A6197B">
              <w:rPr>
                <w:noProof/>
                <w:webHidden/>
              </w:rPr>
              <w:fldChar w:fldCharType="end"/>
            </w:r>
          </w:hyperlink>
        </w:p>
        <w:p w14:paraId="39FF4522" w14:textId="1DC70FA4" w:rsidR="00A6197B" w:rsidRDefault="00B70853">
          <w:pPr>
            <w:pStyle w:val="TOC2"/>
            <w:tabs>
              <w:tab w:val="left" w:pos="1224"/>
            </w:tabs>
            <w:rPr>
              <w:rFonts w:asciiTheme="minorHAnsi" w:eastAsiaTheme="minorEastAsia" w:hAnsiTheme="minorHAnsi" w:cstheme="minorBidi"/>
              <w:noProof/>
              <w:kern w:val="2"/>
              <w:szCs w:val="24"/>
              <w14:ligatures w14:val="standardContextual"/>
            </w:rPr>
          </w:pPr>
          <w:hyperlink w:anchor="_Toc168663923" w:history="1">
            <w:r w:rsidR="00A6197B" w:rsidRPr="00992E8A">
              <w:rPr>
                <w:rStyle w:val="Hyperlink"/>
                <w:noProof/>
                <w14:scene3d>
                  <w14:camera w14:prst="orthographicFront"/>
                  <w14:lightRig w14:rig="threePt" w14:dir="t">
                    <w14:rot w14:lat="0" w14:lon="0" w14:rev="0"/>
                  </w14:lightRig>
                </w14:scene3d>
              </w:rPr>
              <w:t>5.</w:t>
            </w:r>
            <w:r w:rsidR="00A6197B">
              <w:rPr>
                <w:rFonts w:asciiTheme="minorHAnsi" w:eastAsiaTheme="minorEastAsia" w:hAnsiTheme="minorHAnsi" w:cstheme="minorBidi"/>
                <w:noProof/>
                <w:kern w:val="2"/>
                <w:szCs w:val="24"/>
                <w14:ligatures w14:val="standardContextual"/>
              </w:rPr>
              <w:tab/>
            </w:r>
            <w:r w:rsidR="00A6197B" w:rsidRPr="00992E8A">
              <w:rPr>
                <w:rStyle w:val="Hyperlink"/>
                <w:noProof/>
              </w:rPr>
              <w:t>Metrics</w:t>
            </w:r>
            <w:r w:rsidR="00A6197B">
              <w:rPr>
                <w:noProof/>
                <w:webHidden/>
              </w:rPr>
              <w:tab/>
            </w:r>
            <w:r w:rsidR="00A6197B">
              <w:rPr>
                <w:noProof/>
                <w:webHidden/>
              </w:rPr>
              <w:fldChar w:fldCharType="begin"/>
            </w:r>
            <w:r w:rsidR="00A6197B">
              <w:rPr>
                <w:noProof/>
                <w:webHidden/>
              </w:rPr>
              <w:instrText xml:space="preserve"> PAGEREF _Toc168663923 \h </w:instrText>
            </w:r>
            <w:r w:rsidR="00A6197B">
              <w:rPr>
                <w:noProof/>
                <w:webHidden/>
              </w:rPr>
            </w:r>
            <w:r w:rsidR="00A6197B">
              <w:rPr>
                <w:noProof/>
                <w:webHidden/>
              </w:rPr>
              <w:fldChar w:fldCharType="separate"/>
            </w:r>
            <w:r w:rsidR="00A6197B">
              <w:rPr>
                <w:noProof/>
                <w:webHidden/>
              </w:rPr>
              <w:t>17</w:t>
            </w:r>
            <w:r w:rsidR="00A6197B">
              <w:rPr>
                <w:noProof/>
                <w:webHidden/>
              </w:rPr>
              <w:fldChar w:fldCharType="end"/>
            </w:r>
          </w:hyperlink>
        </w:p>
        <w:p w14:paraId="110BF4F5" w14:textId="76438A76" w:rsidR="00A6197B" w:rsidRDefault="00B70853">
          <w:pPr>
            <w:pStyle w:val="TOC2"/>
            <w:tabs>
              <w:tab w:val="left" w:pos="1224"/>
            </w:tabs>
            <w:rPr>
              <w:rFonts w:asciiTheme="minorHAnsi" w:eastAsiaTheme="minorEastAsia" w:hAnsiTheme="minorHAnsi" w:cstheme="minorBidi"/>
              <w:noProof/>
              <w:kern w:val="2"/>
              <w:szCs w:val="24"/>
              <w14:ligatures w14:val="standardContextual"/>
            </w:rPr>
          </w:pPr>
          <w:hyperlink w:anchor="_Toc168663924" w:history="1">
            <w:r w:rsidR="00A6197B" w:rsidRPr="00992E8A">
              <w:rPr>
                <w:rStyle w:val="Hyperlink"/>
                <w:noProof/>
                <w14:scene3d>
                  <w14:camera w14:prst="orthographicFront"/>
                  <w14:lightRig w14:rig="threePt" w14:dir="t">
                    <w14:rot w14:lat="0" w14:lon="0" w14:rev="0"/>
                  </w14:lightRig>
                </w14:scene3d>
              </w:rPr>
              <w:t>6.</w:t>
            </w:r>
            <w:r w:rsidR="00A6197B">
              <w:rPr>
                <w:rFonts w:asciiTheme="minorHAnsi" w:eastAsiaTheme="minorEastAsia" w:hAnsiTheme="minorHAnsi" w:cstheme="minorBidi"/>
                <w:noProof/>
                <w:kern w:val="2"/>
                <w:szCs w:val="24"/>
                <w14:ligatures w14:val="standardContextual"/>
              </w:rPr>
              <w:tab/>
            </w:r>
            <w:r w:rsidR="00A6197B" w:rsidRPr="00992E8A">
              <w:rPr>
                <w:rStyle w:val="Hyperlink"/>
                <w:noProof/>
              </w:rPr>
              <w:t>For Programs Claiming To‐Code Savings</w:t>
            </w:r>
            <w:r w:rsidR="00A6197B">
              <w:rPr>
                <w:noProof/>
                <w:webHidden/>
              </w:rPr>
              <w:tab/>
            </w:r>
            <w:r w:rsidR="00A6197B">
              <w:rPr>
                <w:noProof/>
                <w:webHidden/>
              </w:rPr>
              <w:fldChar w:fldCharType="begin"/>
            </w:r>
            <w:r w:rsidR="00A6197B">
              <w:rPr>
                <w:noProof/>
                <w:webHidden/>
              </w:rPr>
              <w:instrText xml:space="preserve"> PAGEREF _Toc168663924 \h </w:instrText>
            </w:r>
            <w:r w:rsidR="00A6197B">
              <w:rPr>
                <w:noProof/>
                <w:webHidden/>
              </w:rPr>
            </w:r>
            <w:r w:rsidR="00A6197B">
              <w:rPr>
                <w:noProof/>
                <w:webHidden/>
              </w:rPr>
              <w:fldChar w:fldCharType="separate"/>
            </w:r>
            <w:r w:rsidR="00A6197B">
              <w:rPr>
                <w:noProof/>
                <w:webHidden/>
              </w:rPr>
              <w:t>18</w:t>
            </w:r>
            <w:r w:rsidR="00A6197B">
              <w:rPr>
                <w:noProof/>
                <w:webHidden/>
              </w:rPr>
              <w:fldChar w:fldCharType="end"/>
            </w:r>
          </w:hyperlink>
        </w:p>
        <w:p w14:paraId="12C1190C" w14:textId="7A91B5A8" w:rsidR="00A6197B" w:rsidRDefault="00B70853">
          <w:pPr>
            <w:pStyle w:val="TOC2"/>
            <w:tabs>
              <w:tab w:val="left" w:pos="1224"/>
            </w:tabs>
            <w:rPr>
              <w:rFonts w:asciiTheme="minorHAnsi" w:eastAsiaTheme="minorEastAsia" w:hAnsiTheme="minorHAnsi" w:cstheme="minorBidi"/>
              <w:noProof/>
              <w:kern w:val="2"/>
              <w:szCs w:val="24"/>
              <w14:ligatures w14:val="standardContextual"/>
            </w:rPr>
          </w:pPr>
          <w:hyperlink w:anchor="_Toc168663925" w:history="1">
            <w:r w:rsidR="00A6197B" w:rsidRPr="00992E8A">
              <w:rPr>
                <w:rStyle w:val="Hyperlink"/>
                <w:noProof/>
                <w14:scene3d>
                  <w14:camera w14:prst="orthographicFront"/>
                  <w14:lightRig w14:rig="threePt" w14:dir="t">
                    <w14:rot w14:lat="0" w14:lon="0" w14:rev="0"/>
                  </w14:lightRig>
                </w14:scene3d>
              </w:rPr>
              <w:t>7.</w:t>
            </w:r>
            <w:r w:rsidR="00A6197B">
              <w:rPr>
                <w:rFonts w:asciiTheme="minorHAnsi" w:eastAsiaTheme="minorEastAsia" w:hAnsiTheme="minorHAnsi" w:cstheme="minorBidi"/>
                <w:noProof/>
                <w:kern w:val="2"/>
                <w:szCs w:val="24"/>
                <w14:ligatures w14:val="standardContextual"/>
              </w:rPr>
              <w:tab/>
            </w:r>
            <w:r w:rsidR="00A6197B" w:rsidRPr="00992E8A">
              <w:rPr>
                <w:rStyle w:val="Hyperlink"/>
                <w:noProof/>
              </w:rPr>
              <w:t>Pilots</w:t>
            </w:r>
            <w:r w:rsidR="00A6197B">
              <w:rPr>
                <w:noProof/>
                <w:webHidden/>
              </w:rPr>
              <w:tab/>
            </w:r>
            <w:r w:rsidR="00A6197B">
              <w:rPr>
                <w:noProof/>
                <w:webHidden/>
              </w:rPr>
              <w:fldChar w:fldCharType="begin"/>
            </w:r>
            <w:r w:rsidR="00A6197B">
              <w:rPr>
                <w:noProof/>
                <w:webHidden/>
              </w:rPr>
              <w:instrText xml:space="preserve"> PAGEREF _Toc168663925 \h </w:instrText>
            </w:r>
            <w:r w:rsidR="00A6197B">
              <w:rPr>
                <w:noProof/>
                <w:webHidden/>
              </w:rPr>
            </w:r>
            <w:r w:rsidR="00A6197B">
              <w:rPr>
                <w:noProof/>
                <w:webHidden/>
              </w:rPr>
              <w:fldChar w:fldCharType="separate"/>
            </w:r>
            <w:r w:rsidR="00A6197B">
              <w:rPr>
                <w:noProof/>
                <w:webHidden/>
              </w:rPr>
              <w:t>18</w:t>
            </w:r>
            <w:r w:rsidR="00A6197B">
              <w:rPr>
                <w:noProof/>
                <w:webHidden/>
              </w:rPr>
              <w:fldChar w:fldCharType="end"/>
            </w:r>
          </w:hyperlink>
        </w:p>
        <w:p w14:paraId="14EAA420" w14:textId="36E25874" w:rsidR="00A6197B" w:rsidRDefault="00B70853">
          <w:pPr>
            <w:pStyle w:val="TOC2"/>
            <w:tabs>
              <w:tab w:val="left" w:pos="1224"/>
            </w:tabs>
            <w:rPr>
              <w:rFonts w:asciiTheme="minorHAnsi" w:eastAsiaTheme="minorEastAsia" w:hAnsiTheme="minorHAnsi" w:cstheme="minorBidi"/>
              <w:noProof/>
              <w:kern w:val="2"/>
              <w:szCs w:val="24"/>
              <w14:ligatures w14:val="standardContextual"/>
            </w:rPr>
          </w:pPr>
          <w:hyperlink w:anchor="_Toc168663926" w:history="1">
            <w:r w:rsidR="00A6197B" w:rsidRPr="00992E8A">
              <w:rPr>
                <w:rStyle w:val="Hyperlink"/>
                <w:noProof/>
                <w14:scene3d>
                  <w14:camera w14:prst="orthographicFront"/>
                  <w14:lightRig w14:rig="threePt" w14:dir="t">
                    <w14:rot w14:lat="0" w14:lon="0" w14:rev="0"/>
                  </w14:lightRig>
                </w14:scene3d>
              </w:rPr>
              <w:t>8.</w:t>
            </w:r>
            <w:r w:rsidR="00A6197B">
              <w:rPr>
                <w:rFonts w:asciiTheme="minorHAnsi" w:eastAsiaTheme="minorEastAsia" w:hAnsiTheme="minorHAnsi" w:cstheme="minorBidi"/>
                <w:noProof/>
                <w:kern w:val="2"/>
                <w:szCs w:val="24"/>
                <w14:ligatures w14:val="standardContextual"/>
              </w:rPr>
              <w:tab/>
            </w:r>
            <w:r w:rsidR="00A6197B" w:rsidRPr="00992E8A">
              <w:rPr>
                <w:rStyle w:val="Hyperlink"/>
                <w:noProof/>
              </w:rPr>
              <w:t>Workforce Education &amp; Training (WE&amp;T)</w:t>
            </w:r>
            <w:r w:rsidR="00A6197B">
              <w:rPr>
                <w:noProof/>
                <w:webHidden/>
              </w:rPr>
              <w:tab/>
            </w:r>
            <w:r w:rsidR="00A6197B">
              <w:rPr>
                <w:noProof/>
                <w:webHidden/>
              </w:rPr>
              <w:fldChar w:fldCharType="begin"/>
            </w:r>
            <w:r w:rsidR="00A6197B">
              <w:rPr>
                <w:noProof/>
                <w:webHidden/>
              </w:rPr>
              <w:instrText xml:space="preserve"> PAGEREF _Toc168663926 \h </w:instrText>
            </w:r>
            <w:r w:rsidR="00A6197B">
              <w:rPr>
                <w:noProof/>
                <w:webHidden/>
              </w:rPr>
            </w:r>
            <w:r w:rsidR="00A6197B">
              <w:rPr>
                <w:noProof/>
                <w:webHidden/>
              </w:rPr>
              <w:fldChar w:fldCharType="separate"/>
            </w:r>
            <w:r w:rsidR="00A6197B">
              <w:rPr>
                <w:noProof/>
                <w:webHidden/>
              </w:rPr>
              <w:t>19</w:t>
            </w:r>
            <w:r w:rsidR="00A6197B">
              <w:rPr>
                <w:noProof/>
                <w:webHidden/>
              </w:rPr>
              <w:fldChar w:fldCharType="end"/>
            </w:r>
          </w:hyperlink>
        </w:p>
        <w:p w14:paraId="08A70D09" w14:textId="40F9E3E0" w:rsidR="00A6197B" w:rsidRDefault="00B70853">
          <w:pPr>
            <w:pStyle w:val="TOC2"/>
            <w:tabs>
              <w:tab w:val="left" w:pos="1224"/>
            </w:tabs>
            <w:rPr>
              <w:rFonts w:asciiTheme="minorHAnsi" w:eastAsiaTheme="minorEastAsia" w:hAnsiTheme="minorHAnsi" w:cstheme="minorBidi"/>
              <w:noProof/>
              <w:kern w:val="2"/>
              <w:szCs w:val="24"/>
              <w14:ligatures w14:val="standardContextual"/>
            </w:rPr>
          </w:pPr>
          <w:hyperlink w:anchor="_Toc168663927" w:history="1">
            <w:r w:rsidR="00A6197B" w:rsidRPr="00992E8A">
              <w:rPr>
                <w:rStyle w:val="Hyperlink"/>
                <w:noProof/>
                <w14:scene3d>
                  <w14:camera w14:prst="orthographicFront"/>
                  <w14:lightRig w14:rig="threePt" w14:dir="t">
                    <w14:rot w14:lat="0" w14:lon="0" w14:rev="0"/>
                  </w14:lightRig>
                </w14:scene3d>
              </w:rPr>
              <w:t>9.</w:t>
            </w:r>
            <w:r w:rsidR="00A6197B">
              <w:rPr>
                <w:rFonts w:asciiTheme="minorHAnsi" w:eastAsiaTheme="minorEastAsia" w:hAnsiTheme="minorHAnsi" w:cstheme="minorBidi"/>
                <w:noProof/>
                <w:kern w:val="2"/>
                <w:szCs w:val="24"/>
                <w14:ligatures w14:val="standardContextual"/>
              </w:rPr>
              <w:tab/>
            </w:r>
            <w:r w:rsidR="00A6197B" w:rsidRPr="00992E8A">
              <w:rPr>
                <w:rStyle w:val="Hyperlink"/>
                <w:noProof/>
              </w:rPr>
              <w:t>Workforce Standards</w:t>
            </w:r>
            <w:r w:rsidR="00A6197B">
              <w:rPr>
                <w:noProof/>
                <w:webHidden/>
              </w:rPr>
              <w:tab/>
            </w:r>
            <w:r w:rsidR="00A6197B">
              <w:rPr>
                <w:noProof/>
                <w:webHidden/>
              </w:rPr>
              <w:fldChar w:fldCharType="begin"/>
            </w:r>
            <w:r w:rsidR="00A6197B">
              <w:rPr>
                <w:noProof/>
                <w:webHidden/>
              </w:rPr>
              <w:instrText xml:space="preserve"> PAGEREF _Toc168663927 \h </w:instrText>
            </w:r>
            <w:r w:rsidR="00A6197B">
              <w:rPr>
                <w:noProof/>
                <w:webHidden/>
              </w:rPr>
            </w:r>
            <w:r w:rsidR="00A6197B">
              <w:rPr>
                <w:noProof/>
                <w:webHidden/>
              </w:rPr>
              <w:fldChar w:fldCharType="separate"/>
            </w:r>
            <w:r w:rsidR="00A6197B">
              <w:rPr>
                <w:noProof/>
                <w:webHidden/>
              </w:rPr>
              <w:t>19</w:t>
            </w:r>
            <w:r w:rsidR="00A6197B">
              <w:rPr>
                <w:noProof/>
                <w:webHidden/>
              </w:rPr>
              <w:fldChar w:fldCharType="end"/>
            </w:r>
          </w:hyperlink>
        </w:p>
        <w:p w14:paraId="0BABC899" w14:textId="12F617B3" w:rsidR="00A6197B" w:rsidRDefault="00B70853">
          <w:pPr>
            <w:pStyle w:val="TOC2"/>
            <w:tabs>
              <w:tab w:val="left" w:pos="1440"/>
            </w:tabs>
            <w:rPr>
              <w:rFonts w:asciiTheme="minorHAnsi" w:eastAsiaTheme="minorEastAsia" w:hAnsiTheme="minorHAnsi" w:cstheme="minorBidi"/>
              <w:noProof/>
              <w:kern w:val="2"/>
              <w:szCs w:val="24"/>
              <w14:ligatures w14:val="standardContextual"/>
            </w:rPr>
          </w:pPr>
          <w:hyperlink w:anchor="_Toc168663928" w:history="1">
            <w:r w:rsidR="00A6197B" w:rsidRPr="00992E8A">
              <w:rPr>
                <w:rStyle w:val="Hyperlink"/>
                <w:noProof/>
                <w14:scene3d>
                  <w14:camera w14:prst="orthographicFront"/>
                  <w14:lightRig w14:rig="threePt" w14:dir="t">
                    <w14:rot w14:lat="0" w14:lon="0" w14:rev="0"/>
                  </w14:lightRig>
                </w14:scene3d>
              </w:rPr>
              <w:t>10.</w:t>
            </w:r>
            <w:r w:rsidR="00A6197B">
              <w:rPr>
                <w:rFonts w:asciiTheme="minorHAnsi" w:eastAsiaTheme="minorEastAsia" w:hAnsiTheme="minorHAnsi" w:cstheme="minorBidi"/>
                <w:noProof/>
                <w:kern w:val="2"/>
                <w:szCs w:val="24"/>
                <w14:ligatures w14:val="standardContextual"/>
              </w:rPr>
              <w:tab/>
            </w:r>
            <w:r w:rsidR="00A6197B" w:rsidRPr="00992E8A">
              <w:rPr>
                <w:rStyle w:val="Hyperlink"/>
                <w:noProof/>
              </w:rPr>
              <w:t>Disadvantaged Worker Plan:</w:t>
            </w:r>
            <w:r w:rsidR="00A6197B">
              <w:rPr>
                <w:noProof/>
                <w:webHidden/>
              </w:rPr>
              <w:tab/>
            </w:r>
            <w:r w:rsidR="00A6197B">
              <w:rPr>
                <w:noProof/>
                <w:webHidden/>
              </w:rPr>
              <w:fldChar w:fldCharType="begin"/>
            </w:r>
            <w:r w:rsidR="00A6197B">
              <w:rPr>
                <w:noProof/>
                <w:webHidden/>
              </w:rPr>
              <w:instrText xml:space="preserve"> PAGEREF _Toc168663928 \h </w:instrText>
            </w:r>
            <w:r w:rsidR="00A6197B">
              <w:rPr>
                <w:noProof/>
                <w:webHidden/>
              </w:rPr>
            </w:r>
            <w:r w:rsidR="00A6197B">
              <w:rPr>
                <w:noProof/>
                <w:webHidden/>
              </w:rPr>
              <w:fldChar w:fldCharType="separate"/>
            </w:r>
            <w:r w:rsidR="00A6197B">
              <w:rPr>
                <w:noProof/>
                <w:webHidden/>
              </w:rPr>
              <w:t>19</w:t>
            </w:r>
            <w:r w:rsidR="00A6197B">
              <w:rPr>
                <w:noProof/>
                <w:webHidden/>
              </w:rPr>
              <w:fldChar w:fldCharType="end"/>
            </w:r>
          </w:hyperlink>
        </w:p>
        <w:p w14:paraId="583B3D25" w14:textId="6CBC2050" w:rsidR="00A6197B" w:rsidRDefault="00B70853">
          <w:pPr>
            <w:pStyle w:val="TOC2"/>
            <w:tabs>
              <w:tab w:val="left" w:pos="1440"/>
            </w:tabs>
            <w:rPr>
              <w:rFonts w:asciiTheme="minorHAnsi" w:eastAsiaTheme="minorEastAsia" w:hAnsiTheme="minorHAnsi" w:cstheme="minorBidi"/>
              <w:noProof/>
              <w:kern w:val="2"/>
              <w:szCs w:val="24"/>
              <w14:ligatures w14:val="standardContextual"/>
            </w:rPr>
          </w:pPr>
          <w:hyperlink w:anchor="_Toc168663932" w:history="1">
            <w:r w:rsidR="00A6197B" w:rsidRPr="00992E8A">
              <w:rPr>
                <w:rStyle w:val="Hyperlink"/>
                <w:noProof/>
                <w14:scene3d>
                  <w14:camera w14:prst="orthographicFront"/>
                  <w14:lightRig w14:rig="threePt" w14:dir="t">
                    <w14:rot w14:lat="0" w14:lon="0" w14:rev="0"/>
                  </w14:lightRig>
                </w14:scene3d>
              </w:rPr>
              <w:t>11.</w:t>
            </w:r>
            <w:r w:rsidR="00A6197B">
              <w:rPr>
                <w:rFonts w:asciiTheme="minorHAnsi" w:eastAsiaTheme="minorEastAsia" w:hAnsiTheme="minorHAnsi" w:cstheme="minorBidi"/>
                <w:noProof/>
                <w:kern w:val="2"/>
                <w:szCs w:val="24"/>
                <w14:ligatures w14:val="standardContextual"/>
              </w:rPr>
              <w:tab/>
            </w:r>
            <w:r w:rsidR="00A6197B" w:rsidRPr="00992E8A">
              <w:rPr>
                <w:rStyle w:val="Hyperlink"/>
                <w:noProof/>
              </w:rPr>
              <w:t>Additional Information</w:t>
            </w:r>
            <w:r w:rsidR="00A6197B">
              <w:rPr>
                <w:noProof/>
                <w:webHidden/>
              </w:rPr>
              <w:tab/>
            </w:r>
            <w:r w:rsidR="00A6197B">
              <w:rPr>
                <w:noProof/>
                <w:webHidden/>
              </w:rPr>
              <w:fldChar w:fldCharType="begin"/>
            </w:r>
            <w:r w:rsidR="00A6197B">
              <w:rPr>
                <w:noProof/>
                <w:webHidden/>
              </w:rPr>
              <w:instrText xml:space="preserve"> PAGEREF _Toc168663932 \h </w:instrText>
            </w:r>
            <w:r w:rsidR="00A6197B">
              <w:rPr>
                <w:noProof/>
                <w:webHidden/>
              </w:rPr>
            </w:r>
            <w:r w:rsidR="00A6197B">
              <w:rPr>
                <w:noProof/>
                <w:webHidden/>
              </w:rPr>
              <w:fldChar w:fldCharType="separate"/>
            </w:r>
            <w:r w:rsidR="00A6197B">
              <w:rPr>
                <w:noProof/>
                <w:webHidden/>
              </w:rPr>
              <w:t>19</w:t>
            </w:r>
            <w:r w:rsidR="00A6197B">
              <w:rPr>
                <w:noProof/>
                <w:webHidden/>
              </w:rPr>
              <w:fldChar w:fldCharType="end"/>
            </w:r>
          </w:hyperlink>
        </w:p>
        <w:p w14:paraId="73A58AAE" w14:textId="34F846BA" w:rsidR="00A6197B" w:rsidRDefault="00B70853">
          <w:pPr>
            <w:pStyle w:val="TOC1"/>
            <w:rPr>
              <w:rFonts w:asciiTheme="minorHAnsi" w:eastAsiaTheme="minorEastAsia" w:hAnsiTheme="minorHAnsi" w:cstheme="minorBidi"/>
              <w:b w:val="0"/>
              <w:noProof/>
              <w:kern w:val="2"/>
              <w:szCs w:val="24"/>
              <w14:ligatures w14:val="standardContextual"/>
            </w:rPr>
          </w:pPr>
          <w:hyperlink w:anchor="_Toc168663933" w:history="1">
            <w:r w:rsidR="00A6197B" w:rsidRPr="00992E8A">
              <w:rPr>
                <w:rStyle w:val="Hyperlink"/>
                <w:noProof/>
              </w:rPr>
              <w:t>3.</w:t>
            </w:r>
            <w:r w:rsidR="00A6197B">
              <w:rPr>
                <w:rFonts w:asciiTheme="minorHAnsi" w:eastAsiaTheme="minorEastAsia" w:hAnsiTheme="minorHAnsi" w:cstheme="minorBidi"/>
                <w:b w:val="0"/>
                <w:noProof/>
                <w:kern w:val="2"/>
                <w:szCs w:val="24"/>
                <w14:ligatures w14:val="standardContextual"/>
              </w:rPr>
              <w:tab/>
            </w:r>
            <w:r w:rsidR="00A6197B" w:rsidRPr="00992E8A">
              <w:rPr>
                <w:rStyle w:val="Hyperlink"/>
                <w:noProof/>
              </w:rPr>
              <w:t>Supporting Documents</w:t>
            </w:r>
            <w:r w:rsidR="00A6197B">
              <w:rPr>
                <w:noProof/>
                <w:webHidden/>
              </w:rPr>
              <w:tab/>
            </w:r>
            <w:r w:rsidR="00A6197B">
              <w:rPr>
                <w:noProof/>
                <w:webHidden/>
              </w:rPr>
              <w:fldChar w:fldCharType="begin"/>
            </w:r>
            <w:r w:rsidR="00A6197B">
              <w:rPr>
                <w:noProof/>
                <w:webHidden/>
              </w:rPr>
              <w:instrText xml:space="preserve"> PAGEREF _Toc168663933 \h </w:instrText>
            </w:r>
            <w:r w:rsidR="00A6197B">
              <w:rPr>
                <w:noProof/>
                <w:webHidden/>
              </w:rPr>
            </w:r>
            <w:r w:rsidR="00A6197B">
              <w:rPr>
                <w:noProof/>
                <w:webHidden/>
              </w:rPr>
              <w:fldChar w:fldCharType="separate"/>
            </w:r>
            <w:r w:rsidR="00A6197B">
              <w:rPr>
                <w:noProof/>
                <w:webHidden/>
              </w:rPr>
              <w:t>20</w:t>
            </w:r>
            <w:r w:rsidR="00A6197B">
              <w:rPr>
                <w:noProof/>
                <w:webHidden/>
              </w:rPr>
              <w:fldChar w:fldCharType="end"/>
            </w:r>
          </w:hyperlink>
        </w:p>
        <w:p w14:paraId="30C63809" w14:textId="498500F9" w:rsidR="00A6197B" w:rsidRDefault="00B70853">
          <w:pPr>
            <w:pStyle w:val="TOC2"/>
            <w:tabs>
              <w:tab w:val="left" w:pos="1224"/>
            </w:tabs>
            <w:rPr>
              <w:rFonts w:asciiTheme="minorHAnsi" w:eastAsiaTheme="minorEastAsia" w:hAnsiTheme="minorHAnsi" w:cstheme="minorBidi"/>
              <w:noProof/>
              <w:kern w:val="2"/>
              <w:szCs w:val="24"/>
              <w14:ligatures w14:val="standardContextual"/>
            </w:rPr>
          </w:pPr>
          <w:hyperlink w:anchor="_Toc168663934" w:history="1">
            <w:r w:rsidR="00A6197B" w:rsidRPr="00992E8A">
              <w:rPr>
                <w:rStyle w:val="Hyperlink"/>
                <w:noProof/>
                <w14:scene3d>
                  <w14:camera w14:prst="orthographicFront"/>
                  <w14:lightRig w14:rig="threePt" w14:dir="t">
                    <w14:rot w14:lat="0" w14:lon="0" w14:rev="0"/>
                  </w14:lightRig>
                </w14:scene3d>
              </w:rPr>
              <w:t>1.</w:t>
            </w:r>
            <w:r w:rsidR="00A6197B">
              <w:rPr>
                <w:rFonts w:asciiTheme="minorHAnsi" w:eastAsiaTheme="minorEastAsia" w:hAnsiTheme="minorHAnsi" w:cstheme="minorBidi"/>
                <w:noProof/>
                <w:kern w:val="2"/>
                <w:szCs w:val="24"/>
                <w14:ligatures w14:val="standardContextual"/>
              </w:rPr>
              <w:tab/>
            </w:r>
            <w:r w:rsidR="00A6197B" w:rsidRPr="00992E8A">
              <w:rPr>
                <w:rStyle w:val="Hyperlink"/>
                <w:noProof/>
              </w:rPr>
              <w:t xml:space="preserve">Program Manual and Program Rules </w:t>
            </w:r>
            <w:r w:rsidR="00A6197B">
              <w:rPr>
                <w:noProof/>
                <w:webHidden/>
              </w:rPr>
              <w:tab/>
            </w:r>
            <w:r w:rsidR="00A6197B">
              <w:rPr>
                <w:noProof/>
                <w:webHidden/>
              </w:rPr>
              <w:fldChar w:fldCharType="begin"/>
            </w:r>
            <w:r w:rsidR="00A6197B">
              <w:rPr>
                <w:noProof/>
                <w:webHidden/>
              </w:rPr>
              <w:instrText xml:space="preserve"> PAGEREF _Toc168663934 \h </w:instrText>
            </w:r>
            <w:r w:rsidR="00A6197B">
              <w:rPr>
                <w:noProof/>
                <w:webHidden/>
              </w:rPr>
            </w:r>
            <w:r w:rsidR="00A6197B">
              <w:rPr>
                <w:noProof/>
                <w:webHidden/>
              </w:rPr>
              <w:fldChar w:fldCharType="separate"/>
            </w:r>
            <w:r w:rsidR="00A6197B">
              <w:rPr>
                <w:noProof/>
                <w:webHidden/>
              </w:rPr>
              <w:t>20</w:t>
            </w:r>
            <w:r w:rsidR="00A6197B">
              <w:rPr>
                <w:noProof/>
                <w:webHidden/>
              </w:rPr>
              <w:fldChar w:fldCharType="end"/>
            </w:r>
          </w:hyperlink>
        </w:p>
        <w:p w14:paraId="3F6090CE" w14:textId="42E0B5C9" w:rsidR="00A6197B" w:rsidRDefault="00B70853">
          <w:pPr>
            <w:pStyle w:val="TOC2"/>
            <w:tabs>
              <w:tab w:val="left" w:pos="1224"/>
            </w:tabs>
            <w:rPr>
              <w:rFonts w:asciiTheme="minorHAnsi" w:eastAsiaTheme="minorEastAsia" w:hAnsiTheme="minorHAnsi" w:cstheme="minorBidi"/>
              <w:noProof/>
              <w:kern w:val="2"/>
              <w:szCs w:val="24"/>
              <w14:ligatures w14:val="standardContextual"/>
            </w:rPr>
          </w:pPr>
          <w:hyperlink w:anchor="_Toc168663935" w:history="1">
            <w:r w:rsidR="00A6197B" w:rsidRPr="00992E8A">
              <w:rPr>
                <w:rStyle w:val="Hyperlink"/>
                <w:noProof/>
                <w14:scene3d>
                  <w14:camera w14:prst="orthographicFront"/>
                  <w14:lightRig w14:rig="threePt" w14:dir="t">
                    <w14:rot w14:lat="0" w14:lon="0" w14:rev="0"/>
                  </w14:lightRig>
                </w14:scene3d>
              </w:rPr>
              <w:t>2.</w:t>
            </w:r>
            <w:r w:rsidR="00A6197B">
              <w:rPr>
                <w:rFonts w:asciiTheme="minorHAnsi" w:eastAsiaTheme="minorEastAsia" w:hAnsiTheme="minorHAnsi" w:cstheme="minorBidi"/>
                <w:noProof/>
                <w:kern w:val="2"/>
                <w:szCs w:val="24"/>
                <w14:ligatures w14:val="standardContextual"/>
              </w:rPr>
              <w:tab/>
            </w:r>
            <w:r w:rsidR="00A6197B" w:rsidRPr="00992E8A">
              <w:rPr>
                <w:rStyle w:val="Hyperlink"/>
                <w:noProof/>
              </w:rPr>
              <w:t>Program Theory</w:t>
            </w:r>
            <w:r w:rsidR="00A6197B" w:rsidRPr="00992E8A">
              <w:rPr>
                <w:rStyle w:val="Hyperlink"/>
                <w:noProof/>
                <w:vertAlign w:val="superscript"/>
              </w:rPr>
              <w:t xml:space="preserve"> </w:t>
            </w:r>
            <w:r w:rsidR="00A6197B" w:rsidRPr="00992E8A">
              <w:rPr>
                <w:rStyle w:val="Hyperlink"/>
                <w:noProof/>
              </w:rPr>
              <w:t xml:space="preserve"> and Program Logic Model</w:t>
            </w:r>
            <w:r w:rsidR="00A6197B" w:rsidRPr="00992E8A">
              <w:rPr>
                <w:rStyle w:val="Hyperlink"/>
                <w:noProof/>
                <w:vertAlign w:val="superscript"/>
              </w:rPr>
              <w:t xml:space="preserve"> </w:t>
            </w:r>
            <w:r w:rsidR="00A6197B">
              <w:rPr>
                <w:noProof/>
                <w:webHidden/>
              </w:rPr>
              <w:tab/>
            </w:r>
            <w:r w:rsidR="00A6197B">
              <w:rPr>
                <w:noProof/>
                <w:webHidden/>
              </w:rPr>
              <w:fldChar w:fldCharType="begin"/>
            </w:r>
            <w:r w:rsidR="00A6197B">
              <w:rPr>
                <w:noProof/>
                <w:webHidden/>
              </w:rPr>
              <w:instrText xml:space="preserve"> PAGEREF _Toc168663935 \h </w:instrText>
            </w:r>
            <w:r w:rsidR="00A6197B">
              <w:rPr>
                <w:noProof/>
                <w:webHidden/>
              </w:rPr>
            </w:r>
            <w:r w:rsidR="00A6197B">
              <w:rPr>
                <w:noProof/>
                <w:webHidden/>
              </w:rPr>
              <w:fldChar w:fldCharType="separate"/>
            </w:r>
            <w:r w:rsidR="00A6197B">
              <w:rPr>
                <w:noProof/>
                <w:webHidden/>
              </w:rPr>
              <w:t>25</w:t>
            </w:r>
            <w:r w:rsidR="00A6197B">
              <w:rPr>
                <w:noProof/>
                <w:webHidden/>
              </w:rPr>
              <w:fldChar w:fldCharType="end"/>
            </w:r>
          </w:hyperlink>
        </w:p>
        <w:p w14:paraId="769FF903" w14:textId="596F35BB" w:rsidR="00A6197B" w:rsidRDefault="00B70853">
          <w:pPr>
            <w:pStyle w:val="TOC2"/>
            <w:tabs>
              <w:tab w:val="left" w:pos="1224"/>
            </w:tabs>
            <w:rPr>
              <w:rFonts w:asciiTheme="minorHAnsi" w:eastAsiaTheme="minorEastAsia" w:hAnsiTheme="minorHAnsi" w:cstheme="minorBidi"/>
              <w:noProof/>
              <w:kern w:val="2"/>
              <w:szCs w:val="24"/>
              <w14:ligatures w14:val="standardContextual"/>
            </w:rPr>
          </w:pPr>
          <w:hyperlink w:anchor="_Toc168663936" w:history="1">
            <w:r w:rsidR="00A6197B" w:rsidRPr="00992E8A">
              <w:rPr>
                <w:rStyle w:val="Hyperlink"/>
                <w:noProof/>
                <w14:scene3d>
                  <w14:camera w14:prst="orthographicFront"/>
                  <w14:lightRig w14:rig="threePt" w14:dir="t">
                    <w14:rot w14:lat="0" w14:lon="0" w14:rev="0"/>
                  </w14:lightRig>
                </w14:scene3d>
              </w:rPr>
              <w:t>3.</w:t>
            </w:r>
            <w:r w:rsidR="00A6197B">
              <w:rPr>
                <w:rFonts w:asciiTheme="minorHAnsi" w:eastAsiaTheme="minorEastAsia" w:hAnsiTheme="minorHAnsi" w:cstheme="minorBidi"/>
                <w:noProof/>
                <w:kern w:val="2"/>
                <w:szCs w:val="24"/>
                <w14:ligatures w14:val="standardContextual"/>
              </w:rPr>
              <w:tab/>
            </w:r>
            <w:r w:rsidR="00A6197B" w:rsidRPr="00992E8A">
              <w:rPr>
                <w:rStyle w:val="Hyperlink"/>
                <w:noProof/>
              </w:rPr>
              <w:t>Process Flow Chart</w:t>
            </w:r>
            <w:r w:rsidR="00A6197B">
              <w:rPr>
                <w:noProof/>
                <w:webHidden/>
              </w:rPr>
              <w:tab/>
            </w:r>
            <w:r w:rsidR="00A6197B">
              <w:rPr>
                <w:noProof/>
                <w:webHidden/>
              </w:rPr>
              <w:fldChar w:fldCharType="begin"/>
            </w:r>
            <w:r w:rsidR="00A6197B">
              <w:rPr>
                <w:noProof/>
                <w:webHidden/>
              </w:rPr>
              <w:instrText xml:space="preserve"> PAGEREF _Toc168663936 \h </w:instrText>
            </w:r>
            <w:r w:rsidR="00A6197B">
              <w:rPr>
                <w:noProof/>
                <w:webHidden/>
              </w:rPr>
            </w:r>
            <w:r w:rsidR="00A6197B">
              <w:rPr>
                <w:noProof/>
                <w:webHidden/>
              </w:rPr>
              <w:fldChar w:fldCharType="separate"/>
            </w:r>
            <w:r w:rsidR="00A6197B">
              <w:rPr>
                <w:noProof/>
                <w:webHidden/>
              </w:rPr>
              <w:t>26</w:t>
            </w:r>
            <w:r w:rsidR="00A6197B">
              <w:rPr>
                <w:noProof/>
                <w:webHidden/>
              </w:rPr>
              <w:fldChar w:fldCharType="end"/>
            </w:r>
          </w:hyperlink>
        </w:p>
        <w:p w14:paraId="7220E18C" w14:textId="7BA1ACED" w:rsidR="00A6197B" w:rsidRDefault="00B70853">
          <w:pPr>
            <w:pStyle w:val="TOC2"/>
            <w:tabs>
              <w:tab w:val="left" w:pos="1224"/>
            </w:tabs>
            <w:rPr>
              <w:rFonts w:asciiTheme="minorHAnsi" w:eastAsiaTheme="minorEastAsia" w:hAnsiTheme="minorHAnsi" w:cstheme="minorBidi"/>
              <w:noProof/>
              <w:kern w:val="2"/>
              <w:szCs w:val="24"/>
              <w14:ligatures w14:val="standardContextual"/>
            </w:rPr>
          </w:pPr>
          <w:hyperlink w:anchor="_Toc168663937" w:history="1">
            <w:r w:rsidR="00A6197B" w:rsidRPr="00992E8A">
              <w:rPr>
                <w:rStyle w:val="Hyperlink"/>
                <w:noProof/>
                <w14:scene3d>
                  <w14:camera w14:prst="orthographicFront"/>
                  <w14:lightRig w14:rig="threePt" w14:dir="t">
                    <w14:rot w14:lat="0" w14:lon="0" w14:rev="0"/>
                  </w14:lightRig>
                </w14:scene3d>
              </w:rPr>
              <w:t>4.</w:t>
            </w:r>
            <w:r w:rsidR="00A6197B">
              <w:rPr>
                <w:rFonts w:asciiTheme="minorHAnsi" w:eastAsiaTheme="minorEastAsia" w:hAnsiTheme="minorHAnsi" w:cstheme="minorBidi"/>
                <w:noProof/>
                <w:kern w:val="2"/>
                <w:szCs w:val="24"/>
                <w14:ligatures w14:val="standardContextual"/>
              </w:rPr>
              <w:tab/>
            </w:r>
            <w:r w:rsidR="00A6197B" w:rsidRPr="00992E8A">
              <w:rPr>
                <w:rStyle w:val="Hyperlink"/>
                <w:noProof/>
              </w:rPr>
              <w:t>Incentive Tables, Workpapers, Software Tools</w:t>
            </w:r>
            <w:r w:rsidR="00A6197B">
              <w:rPr>
                <w:noProof/>
                <w:webHidden/>
              </w:rPr>
              <w:tab/>
            </w:r>
            <w:r w:rsidR="00A6197B">
              <w:rPr>
                <w:noProof/>
                <w:webHidden/>
              </w:rPr>
              <w:fldChar w:fldCharType="begin"/>
            </w:r>
            <w:r w:rsidR="00A6197B">
              <w:rPr>
                <w:noProof/>
                <w:webHidden/>
              </w:rPr>
              <w:instrText xml:space="preserve"> PAGEREF _Toc168663937 \h </w:instrText>
            </w:r>
            <w:r w:rsidR="00A6197B">
              <w:rPr>
                <w:noProof/>
                <w:webHidden/>
              </w:rPr>
            </w:r>
            <w:r w:rsidR="00A6197B">
              <w:rPr>
                <w:noProof/>
                <w:webHidden/>
              </w:rPr>
              <w:fldChar w:fldCharType="separate"/>
            </w:r>
            <w:r w:rsidR="00A6197B">
              <w:rPr>
                <w:noProof/>
                <w:webHidden/>
              </w:rPr>
              <w:t>27</w:t>
            </w:r>
            <w:r w:rsidR="00A6197B">
              <w:rPr>
                <w:noProof/>
                <w:webHidden/>
              </w:rPr>
              <w:fldChar w:fldCharType="end"/>
            </w:r>
          </w:hyperlink>
        </w:p>
        <w:p w14:paraId="7279A2A1" w14:textId="282E29D2" w:rsidR="00A6197B" w:rsidRDefault="00B70853">
          <w:pPr>
            <w:pStyle w:val="TOC2"/>
            <w:tabs>
              <w:tab w:val="left" w:pos="1224"/>
            </w:tabs>
            <w:rPr>
              <w:rFonts w:asciiTheme="minorHAnsi" w:eastAsiaTheme="minorEastAsia" w:hAnsiTheme="minorHAnsi" w:cstheme="minorBidi"/>
              <w:noProof/>
              <w:kern w:val="2"/>
              <w:szCs w:val="24"/>
              <w14:ligatures w14:val="standardContextual"/>
            </w:rPr>
          </w:pPr>
          <w:hyperlink w:anchor="_Toc168663938" w:history="1">
            <w:r w:rsidR="00A6197B" w:rsidRPr="00992E8A">
              <w:rPr>
                <w:rStyle w:val="Hyperlink"/>
                <w:noProof/>
                <w14:scene3d>
                  <w14:camera w14:prst="orthographicFront"/>
                  <w14:lightRig w14:rig="threePt" w14:dir="t">
                    <w14:rot w14:lat="0" w14:lon="0" w14:rev="0"/>
                  </w14:lightRig>
                </w14:scene3d>
              </w:rPr>
              <w:t>5.</w:t>
            </w:r>
            <w:r w:rsidR="00A6197B">
              <w:rPr>
                <w:rFonts w:asciiTheme="minorHAnsi" w:eastAsiaTheme="minorEastAsia" w:hAnsiTheme="minorHAnsi" w:cstheme="minorBidi"/>
                <w:noProof/>
                <w:kern w:val="2"/>
                <w:szCs w:val="24"/>
                <w14:ligatures w14:val="standardContextual"/>
              </w:rPr>
              <w:tab/>
            </w:r>
            <w:r w:rsidR="00A6197B" w:rsidRPr="00992E8A">
              <w:rPr>
                <w:rStyle w:val="Hyperlink"/>
                <w:noProof/>
              </w:rPr>
              <w:t>Quantitative Program Targets</w:t>
            </w:r>
            <w:r w:rsidR="00A6197B">
              <w:rPr>
                <w:noProof/>
                <w:webHidden/>
              </w:rPr>
              <w:tab/>
            </w:r>
            <w:r w:rsidR="00A6197B">
              <w:rPr>
                <w:noProof/>
                <w:webHidden/>
              </w:rPr>
              <w:fldChar w:fldCharType="begin"/>
            </w:r>
            <w:r w:rsidR="00A6197B">
              <w:rPr>
                <w:noProof/>
                <w:webHidden/>
              </w:rPr>
              <w:instrText xml:space="preserve"> PAGEREF _Toc168663938 \h </w:instrText>
            </w:r>
            <w:r w:rsidR="00A6197B">
              <w:rPr>
                <w:noProof/>
                <w:webHidden/>
              </w:rPr>
            </w:r>
            <w:r w:rsidR="00A6197B">
              <w:rPr>
                <w:noProof/>
                <w:webHidden/>
              </w:rPr>
              <w:fldChar w:fldCharType="separate"/>
            </w:r>
            <w:r w:rsidR="00A6197B">
              <w:rPr>
                <w:noProof/>
                <w:webHidden/>
              </w:rPr>
              <w:t>28</w:t>
            </w:r>
            <w:r w:rsidR="00A6197B">
              <w:rPr>
                <w:noProof/>
                <w:webHidden/>
              </w:rPr>
              <w:fldChar w:fldCharType="end"/>
            </w:r>
          </w:hyperlink>
        </w:p>
        <w:p w14:paraId="3F60F48C" w14:textId="3B33FFA6" w:rsidR="00A6197B" w:rsidRDefault="00B70853">
          <w:pPr>
            <w:pStyle w:val="TOC2"/>
            <w:tabs>
              <w:tab w:val="left" w:pos="1224"/>
            </w:tabs>
            <w:rPr>
              <w:rFonts w:asciiTheme="minorHAnsi" w:eastAsiaTheme="minorEastAsia" w:hAnsiTheme="minorHAnsi" w:cstheme="minorBidi"/>
              <w:noProof/>
              <w:kern w:val="2"/>
              <w:szCs w:val="24"/>
              <w14:ligatures w14:val="standardContextual"/>
            </w:rPr>
          </w:pPr>
          <w:hyperlink w:anchor="_Toc168663939" w:history="1">
            <w:r w:rsidR="00A6197B" w:rsidRPr="00992E8A">
              <w:rPr>
                <w:rStyle w:val="Hyperlink"/>
                <w:noProof/>
                <w14:scene3d>
                  <w14:camera w14:prst="orthographicFront"/>
                  <w14:lightRig w14:rig="threePt" w14:dir="t">
                    <w14:rot w14:lat="0" w14:lon="0" w14:rev="0"/>
                  </w14:lightRig>
                </w14:scene3d>
              </w:rPr>
              <w:t>6.</w:t>
            </w:r>
            <w:r w:rsidR="00A6197B">
              <w:rPr>
                <w:rFonts w:asciiTheme="minorHAnsi" w:eastAsiaTheme="minorEastAsia" w:hAnsiTheme="minorHAnsi" w:cstheme="minorBidi"/>
                <w:noProof/>
                <w:kern w:val="2"/>
                <w:szCs w:val="24"/>
                <w14:ligatures w14:val="standardContextual"/>
              </w:rPr>
              <w:tab/>
            </w:r>
            <w:r w:rsidR="00A6197B" w:rsidRPr="00992E8A">
              <w:rPr>
                <w:rStyle w:val="Hyperlink"/>
                <w:noProof/>
              </w:rPr>
              <w:t>Diagram of Program</w:t>
            </w:r>
            <w:r w:rsidR="00A6197B">
              <w:rPr>
                <w:noProof/>
                <w:webHidden/>
              </w:rPr>
              <w:tab/>
            </w:r>
            <w:r w:rsidR="00A6197B">
              <w:rPr>
                <w:noProof/>
                <w:webHidden/>
              </w:rPr>
              <w:fldChar w:fldCharType="begin"/>
            </w:r>
            <w:r w:rsidR="00A6197B">
              <w:rPr>
                <w:noProof/>
                <w:webHidden/>
              </w:rPr>
              <w:instrText xml:space="preserve"> PAGEREF _Toc168663939 \h </w:instrText>
            </w:r>
            <w:r w:rsidR="00A6197B">
              <w:rPr>
                <w:noProof/>
                <w:webHidden/>
              </w:rPr>
            </w:r>
            <w:r w:rsidR="00A6197B">
              <w:rPr>
                <w:noProof/>
                <w:webHidden/>
              </w:rPr>
              <w:fldChar w:fldCharType="separate"/>
            </w:r>
            <w:r w:rsidR="00A6197B">
              <w:rPr>
                <w:noProof/>
                <w:webHidden/>
              </w:rPr>
              <w:t>28</w:t>
            </w:r>
            <w:r w:rsidR="00A6197B">
              <w:rPr>
                <w:noProof/>
                <w:webHidden/>
              </w:rPr>
              <w:fldChar w:fldCharType="end"/>
            </w:r>
          </w:hyperlink>
        </w:p>
        <w:p w14:paraId="059274A8" w14:textId="567F3B41" w:rsidR="00A6197B" w:rsidRDefault="00B70853">
          <w:pPr>
            <w:pStyle w:val="TOC2"/>
            <w:tabs>
              <w:tab w:val="left" w:pos="1224"/>
            </w:tabs>
            <w:rPr>
              <w:rFonts w:asciiTheme="minorHAnsi" w:eastAsiaTheme="minorEastAsia" w:hAnsiTheme="minorHAnsi" w:cstheme="minorBidi"/>
              <w:noProof/>
              <w:kern w:val="2"/>
              <w:szCs w:val="24"/>
              <w14:ligatures w14:val="standardContextual"/>
            </w:rPr>
          </w:pPr>
          <w:hyperlink w:anchor="_Toc168663940" w:history="1">
            <w:r w:rsidR="00A6197B" w:rsidRPr="00992E8A">
              <w:rPr>
                <w:rStyle w:val="Hyperlink"/>
                <w:noProof/>
                <w14:scene3d>
                  <w14:camera w14:prst="orthographicFront"/>
                  <w14:lightRig w14:rig="threePt" w14:dir="t">
                    <w14:rot w14:lat="0" w14:lon="0" w14:rev="0"/>
                  </w14:lightRig>
                </w14:scene3d>
              </w:rPr>
              <w:t>7.</w:t>
            </w:r>
            <w:r w:rsidR="00A6197B">
              <w:rPr>
                <w:rFonts w:asciiTheme="minorHAnsi" w:eastAsiaTheme="minorEastAsia" w:hAnsiTheme="minorHAnsi" w:cstheme="minorBidi"/>
                <w:noProof/>
                <w:kern w:val="2"/>
                <w:szCs w:val="24"/>
                <w14:ligatures w14:val="standardContextual"/>
              </w:rPr>
              <w:tab/>
            </w:r>
            <w:r w:rsidR="00A6197B" w:rsidRPr="00992E8A">
              <w:rPr>
                <w:rStyle w:val="Hyperlink"/>
                <w:noProof/>
              </w:rPr>
              <w:t>Evaluation, Measurement, and Verification (EM&amp;V):</w:t>
            </w:r>
            <w:r w:rsidR="00A6197B">
              <w:rPr>
                <w:noProof/>
                <w:webHidden/>
              </w:rPr>
              <w:tab/>
            </w:r>
            <w:r w:rsidR="00A6197B">
              <w:rPr>
                <w:noProof/>
                <w:webHidden/>
              </w:rPr>
              <w:fldChar w:fldCharType="begin"/>
            </w:r>
            <w:r w:rsidR="00A6197B">
              <w:rPr>
                <w:noProof/>
                <w:webHidden/>
              </w:rPr>
              <w:instrText xml:space="preserve"> PAGEREF _Toc168663940 \h </w:instrText>
            </w:r>
            <w:r w:rsidR="00A6197B">
              <w:rPr>
                <w:noProof/>
                <w:webHidden/>
              </w:rPr>
            </w:r>
            <w:r w:rsidR="00A6197B">
              <w:rPr>
                <w:noProof/>
                <w:webHidden/>
              </w:rPr>
              <w:fldChar w:fldCharType="separate"/>
            </w:r>
            <w:r w:rsidR="00A6197B">
              <w:rPr>
                <w:noProof/>
                <w:webHidden/>
              </w:rPr>
              <w:t>29</w:t>
            </w:r>
            <w:r w:rsidR="00A6197B">
              <w:rPr>
                <w:noProof/>
                <w:webHidden/>
              </w:rPr>
              <w:fldChar w:fldCharType="end"/>
            </w:r>
          </w:hyperlink>
        </w:p>
        <w:p w14:paraId="5E9203AE" w14:textId="60C44D8D" w:rsidR="00A6197B" w:rsidRDefault="00B70853">
          <w:pPr>
            <w:pStyle w:val="TOC2"/>
            <w:tabs>
              <w:tab w:val="left" w:pos="1224"/>
            </w:tabs>
            <w:rPr>
              <w:rFonts w:asciiTheme="minorHAnsi" w:eastAsiaTheme="minorEastAsia" w:hAnsiTheme="minorHAnsi" w:cstheme="minorBidi"/>
              <w:noProof/>
              <w:kern w:val="2"/>
              <w:szCs w:val="24"/>
              <w14:ligatures w14:val="standardContextual"/>
            </w:rPr>
          </w:pPr>
          <w:hyperlink w:anchor="_Toc168663941" w:history="1">
            <w:r w:rsidR="00A6197B" w:rsidRPr="00992E8A">
              <w:rPr>
                <w:rStyle w:val="Hyperlink"/>
                <w:noProof/>
                <w14:scene3d>
                  <w14:camera w14:prst="orthographicFront"/>
                  <w14:lightRig w14:rig="threePt" w14:dir="t">
                    <w14:rot w14:lat="0" w14:lon="0" w14:rev="0"/>
                  </w14:lightRig>
                </w14:scene3d>
              </w:rPr>
              <w:t>8.</w:t>
            </w:r>
            <w:r w:rsidR="00A6197B">
              <w:rPr>
                <w:rFonts w:asciiTheme="minorHAnsi" w:eastAsiaTheme="minorEastAsia" w:hAnsiTheme="minorHAnsi" w:cstheme="minorBidi"/>
                <w:noProof/>
                <w:kern w:val="2"/>
                <w:szCs w:val="24"/>
                <w14:ligatures w14:val="standardContextual"/>
              </w:rPr>
              <w:tab/>
            </w:r>
            <w:r w:rsidR="00A6197B" w:rsidRPr="00992E8A">
              <w:rPr>
                <w:rStyle w:val="Hyperlink"/>
                <w:noProof/>
              </w:rPr>
              <w:t>Normalized Metered Energy Consumption (NMEC):</w:t>
            </w:r>
            <w:r w:rsidR="00A6197B">
              <w:rPr>
                <w:noProof/>
                <w:webHidden/>
              </w:rPr>
              <w:tab/>
            </w:r>
            <w:r w:rsidR="00A6197B">
              <w:rPr>
                <w:noProof/>
                <w:webHidden/>
              </w:rPr>
              <w:fldChar w:fldCharType="begin"/>
            </w:r>
            <w:r w:rsidR="00A6197B">
              <w:rPr>
                <w:noProof/>
                <w:webHidden/>
              </w:rPr>
              <w:instrText xml:space="preserve"> PAGEREF _Toc168663941 \h </w:instrText>
            </w:r>
            <w:r w:rsidR="00A6197B">
              <w:rPr>
                <w:noProof/>
                <w:webHidden/>
              </w:rPr>
            </w:r>
            <w:r w:rsidR="00A6197B">
              <w:rPr>
                <w:noProof/>
                <w:webHidden/>
              </w:rPr>
              <w:fldChar w:fldCharType="separate"/>
            </w:r>
            <w:r w:rsidR="00A6197B">
              <w:rPr>
                <w:noProof/>
                <w:webHidden/>
              </w:rPr>
              <w:t>30</w:t>
            </w:r>
            <w:r w:rsidR="00A6197B">
              <w:rPr>
                <w:noProof/>
                <w:webHidden/>
              </w:rPr>
              <w:fldChar w:fldCharType="end"/>
            </w:r>
          </w:hyperlink>
        </w:p>
        <w:p w14:paraId="22A42253" w14:textId="529F525C" w:rsidR="00A6197B" w:rsidRDefault="00B70853">
          <w:pPr>
            <w:pStyle w:val="TOC1"/>
            <w:rPr>
              <w:rFonts w:asciiTheme="minorHAnsi" w:eastAsiaTheme="minorEastAsia" w:hAnsiTheme="minorHAnsi" w:cstheme="minorBidi"/>
              <w:b w:val="0"/>
              <w:noProof/>
              <w:kern w:val="2"/>
              <w:szCs w:val="24"/>
              <w14:ligatures w14:val="standardContextual"/>
            </w:rPr>
          </w:pPr>
          <w:hyperlink w:anchor="_Toc168663942" w:history="1">
            <w:r w:rsidR="00A6197B" w:rsidRPr="00992E8A">
              <w:rPr>
                <w:rStyle w:val="Hyperlink"/>
                <w:noProof/>
              </w:rPr>
              <w:t>APPENDIX.  List of Acronyms and Abbreviations</w:t>
            </w:r>
            <w:r w:rsidR="00A6197B">
              <w:rPr>
                <w:noProof/>
                <w:webHidden/>
              </w:rPr>
              <w:tab/>
            </w:r>
            <w:r w:rsidR="00A6197B">
              <w:rPr>
                <w:noProof/>
                <w:webHidden/>
              </w:rPr>
              <w:fldChar w:fldCharType="begin"/>
            </w:r>
            <w:r w:rsidR="00A6197B">
              <w:rPr>
                <w:noProof/>
                <w:webHidden/>
              </w:rPr>
              <w:instrText xml:space="preserve"> PAGEREF _Toc168663942 \h </w:instrText>
            </w:r>
            <w:r w:rsidR="00A6197B">
              <w:rPr>
                <w:noProof/>
                <w:webHidden/>
              </w:rPr>
            </w:r>
            <w:r w:rsidR="00A6197B">
              <w:rPr>
                <w:noProof/>
                <w:webHidden/>
              </w:rPr>
              <w:fldChar w:fldCharType="separate"/>
            </w:r>
            <w:r w:rsidR="00A6197B">
              <w:rPr>
                <w:noProof/>
                <w:webHidden/>
              </w:rPr>
              <w:t>31</w:t>
            </w:r>
            <w:r w:rsidR="00A6197B">
              <w:rPr>
                <w:noProof/>
                <w:webHidden/>
              </w:rPr>
              <w:fldChar w:fldCharType="end"/>
            </w:r>
          </w:hyperlink>
        </w:p>
        <w:p w14:paraId="036A2E4D" w14:textId="24F7223A" w:rsidR="00854DAB" w:rsidRDefault="00B526DA" w:rsidP="009F7AAA">
          <w:r>
            <w:rPr>
              <w:rFonts w:eastAsia="Times New Roman" w:cs="Times New Roman"/>
              <w:b/>
              <w:sz w:val="24"/>
              <w:szCs w:val="20"/>
            </w:rPr>
            <w:fldChar w:fldCharType="end"/>
          </w:r>
        </w:p>
      </w:sdtContent>
    </w:sdt>
    <w:p w14:paraId="1B7EF912" w14:textId="77777777" w:rsidR="00854DAB" w:rsidRDefault="00854DAB">
      <w:r>
        <w:br w:type="page"/>
      </w:r>
    </w:p>
    <w:p w14:paraId="7125EABF" w14:textId="77777777" w:rsidR="00692C1F" w:rsidRDefault="00CA4676" w:rsidP="00232968">
      <w:pPr>
        <w:pStyle w:val="Heading1"/>
        <w:spacing w:line="240" w:lineRule="auto"/>
      </w:pPr>
      <w:bookmarkStart w:id="0" w:name="_Toc168663902"/>
      <w:r>
        <w:lastRenderedPageBreak/>
        <w:t>Program Budget and Savings Information</w:t>
      </w:r>
      <w:bookmarkEnd w:id="0"/>
    </w:p>
    <w:p w14:paraId="56AB9EF7" w14:textId="77777777" w:rsidR="0098660C" w:rsidRPr="00C06495" w:rsidRDefault="00AB491A" w:rsidP="00923D3E">
      <w:pPr>
        <w:pStyle w:val="Heading2"/>
        <w:spacing w:before="200"/>
      </w:pPr>
      <w:bookmarkStart w:id="1" w:name="_Toc168663903"/>
      <w:r w:rsidRPr="00C06495">
        <w:t xml:space="preserve">Program </w:t>
      </w:r>
      <w:r w:rsidR="00E21B39" w:rsidRPr="00C06495">
        <w:t>and/or Sub-Program Name</w:t>
      </w:r>
      <w:bookmarkEnd w:id="1"/>
    </w:p>
    <w:p w14:paraId="10FE540F" w14:textId="6A270FDF" w:rsidR="00E21B39" w:rsidRPr="00E21B39" w:rsidRDefault="00677210" w:rsidP="001210E7">
      <w:pPr>
        <w:ind w:firstLine="720"/>
      </w:pPr>
      <w:r>
        <w:t xml:space="preserve">SPARKe </w:t>
      </w:r>
      <w:r w:rsidR="007C7415">
        <w:t>Commercial</w:t>
      </w:r>
      <w:r w:rsidR="00CE2CB9">
        <w:t xml:space="preserve"> SEM </w:t>
      </w:r>
    </w:p>
    <w:p w14:paraId="07EB6D43" w14:textId="77777777" w:rsidR="00E21B39" w:rsidRDefault="00E21B39" w:rsidP="00923D3E">
      <w:pPr>
        <w:pStyle w:val="Heading2"/>
        <w:spacing w:before="200"/>
      </w:pPr>
      <w:bookmarkStart w:id="2" w:name="_Toc168663904"/>
      <w:r w:rsidRPr="0013465B">
        <w:t xml:space="preserve">Program </w:t>
      </w:r>
      <w:r w:rsidRPr="00E21B39">
        <w:t xml:space="preserve">and/or Sub-Program </w:t>
      </w:r>
      <w:r w:rsidRPr="0013465B">
        <w:t>ID</w:t>
      </w:r>
      <w:r>
        <w:t xml:space="preserve"> Number</w:t>
      </w:r>
      <w:bookmarkEnd w:id="2"/>
    </w:p>
    <w:p w14:paraId="2ED6A80E" w14:textId="79948F6E" w:rsidR="00732CE3" w:rsidRPr="00732CE3" w:rsidRDefault="00C05E12" w:rsidP="00732CE3">
      <w:pPr>
        <w:pStyle w:val="BodyText"/>
      </w:pPr>
      <w:r>
        <w:t>SCE_3P_SEM_003</w:t>
      </w:r>
    </w:p>
    <w:p w14:paraId="2ED98A10" w14:textId="48F674DD" w:rsidR="00E21B39" w:rsidRPr="00C06495" w:rsidRDefault="00F6295E" w:rsidP="00923D3E">
      <w:pPr>
        <w:pStyle w:val="Heading2"/>
        <w:spacing w:before="200"/>
      </w:pPr>
      <w:bookmarkStart w:id="3" w:name="_Toc168663905"/>
      <w:r w:rsidRPr="006378DD">
        <w:t>SCE_3P_SEM_003</w:t>
      </w:r>
      <w:bookmarkStart w:id="4" w:name="_Toc168663906"/>
      <w:bookmarkEnd w:id="3"/>
      <w:r w:rsidR="00E21B39" w:rsidRPr="00C06495">
        <w:t>Program and/or Sub-Program Budget Table</w:t>
      </w:r>
      <w:bookmarkStart w:id="5" w:name="_Toc523841327"/>
      <w:bookmarkStart w:id="6" w:name="_Toc523843038"/>
      <w:bookmarkStart w:id="7" w:name="_Toc523843890"/>
      <w:bookmarkStart w:id="8" w:name="_Toc523844629"/>
      <w:bookmarkEnd w:id="4"/>
    </w:p>
    <w:p w14:paraId="20C18630" w14:textId="09092AA2" w:rsidR="006973BC" w:rsidRPr="008A0B00" w:rsidRDefault="006973BC" w:rsidP="00255332">
      <w:pPr>
        <w:pStyle w:val="Caption"/>
        <w:ind w:firstLine="360"/>
        <w:jc w:val="left"/>
      </w:pPr>
      <w:r w:rsidRPr="008A0B00">
        <w:t xml:space="preserve">Table </w:t>
      </w:r>
      <w:r w:rsidRPr="008A0B00">
        <w:fldChar w:fldCharType="begin"/>
      </w:r>
      <w:r w:rsidRPr="008A0B00">
        <w:instrText>SEQ Table \* ARABIC</w:instrText>
      </w:r>
      <w:r w:rsidRPr="008A0B00">
        <w:fldChar w:fldCharType="separate"/>
      </w:r>
      <w:r w:rsidR="00A6197B">
        <w:rPr>
          <w:noProof/>
        </w:rPr>
        <w:t>1</w:t>
      </w:r>
      <w:r w:rsidRPr="008A0B00">
        <w:fldChar w:fldCharType="end"/>
      </w:r>
      <w:r w:rsidRPr="008A0B00">
        <w:t xml:space="preserve"> SPARKe</w:t>
      </w:r>
      <w:r w:rsidR="009E3395">
        <w:t xml:space="preserve"> Commercial</w:t>
      </w:r>
      <w:r w:rsidRPr="008A0B00">
        <w:t xml:space="preserve"> Implementation Budget Allocation</w:t>
      </w:r>
    </w:p>
    <w:tbl>
      <w:tblPr>
        <w:tblStyle w:val="BandedBlueTable"/>
        <w:tblW w:w="9000" w:type="dxa"/>
        <w:tblInd w:w="355" w:type="dxa"/>
        <w:tblLayout w:type="fixed"/>
        <w:tblLook w:val="04A0" w:firstRow="1" w:lastRow="0" w:firstColumn="1" w:lastColumn="0" w:noHBand="0" w:noVBand="1"/>
      </w:tblPr>
      <w:tblGrid>
        <w:gridCol w:w="990"/>
        <w:gridCol w:w="720"/>
        <w:gridCol w:w="1170"/>
        <w:gridCol w:w="1170"/>
        <w:gridCol w:w="1260"/>
        <w:gridCol w:w="1260"/>
        <w:gridCol w:w="1170"/>
        <w:gridCol w:w="1260"/>
      </w:tblGrid>
      <w:tr w:rsidR="00D43029" w14:paraId="26297583" w14:textId="0F606FF2" w:rsidTr="004D688E">
        <w:trPr>
          <w:cnfStyle w:val="100000000000" w:firstRow="1" w:lastRow="0" w:firstColumn="0" w:lastColumn="0" w:oddVBand="0" w:evenVBand="0" w:oddHBand="0" w:evenHBand="0" w:firstRowFirstColumn="0" w:firstRowLastColumn="0" w:lastRowFirstColumn="0" w:lastRowLastColumn="0"/>
        </w:trPr>
        <w:tc>
          <w:tcPr>
            <w:tcW w:w="990" w:type="dxa"/>
          </w:tcPr>
          <w:p w14:paraId="3B459742" w14:textId="77777777" w:rsidR="00D43029" w:rsidRPr="000F11F2" w:rsidRDefault="00D43029">
            <w:pPr>
              <w:rPr>
                <w:rFonts w:asciiTheme="minorHAnsi" w:hAnsiTheme="minorHAnsi" w:cstheme="minorHAnsi"/>
              </w:rPr>
            </w:pPr>
            <w:r w:rsidRPr="000F11F2">
              <w:rPr>
                <w:rFonts w:asciiTheme="minorHAnsi" w:hAnsiTheme="minorHAnsi" w:cstheme="minorHAnsi"/>
              </w:rPr>
              <w:t xml:space="preserve">Cost Category </w:t>
            </w:r>
          </w:p>
        </w:tc>
        <w:tc>
          <w:tcPr>
            <w:tcW w:w="720" w:type="dxa"/>
          </w:tcPr>
          <w:p w14:paraId="77C8A52D" w14:textId="77777777" w:rsidR="00D43029" w:rsidRPr="000F11F2" w:rsidRDefault="00D43029">
            <w:pPr>
              <w:jc w:val="center"/>
              <w:rPr>
                <w:rFonts w:asciiTheme="minorHAnsi" w:hAnsiTheme="minorHAnsi" w:cstheme="minorHAnsi"/>
              </w:rPr>
            </w:pPr>
            <w:r w:rsidRPr="000F11F2">
              <w:rPr>
                <w:rFonts w:asciiTheme="minorHAnsi" w:hAnsiTheme="minorHAnsi" w:cstheme="minorHAnsi"/>
              </w:rPr>
              <w:t>2024</w:t>
            </w:r>
          </w:p>
        </w:tc>
        <w:tc>
          <w:tcPr>
            <w:tcW w:w="1170" w:type="dxa"/>
          </w:tcPr>
          <w:p w14:paraId="6775A642" w14:textId="77777777" w:rsidR="00D43029" w:rsidRPr="000F11F2" w:rsidRDefault="00D43029">
            <w:pPr>
              <w:jc w:val="center"/>
              <w:rPr>
                <w:rFonts w:asciiTheme="minorHAnsi" w:hAnsiTheme="minorHAnsi" w:cstheme="minorHAnsi"/>
              </w:rPr>
            </w:pPr>
            <w:r w:rsidRPr="000F11F2">
              <w:rPr>
                <w:rFonts w:asciiTheme="minorHAnsi" w:hAnsiTheme="minorHAnsi" w:cstheme="minorHAnsi"/>
              </w:rPr>
              <w:t>2025</w:t>
            </w:r>
          </w:p>
        </w:tc>
        <w:tc>
          <w:tcPr>
            <w:tcW w:w="1170" w:type="dxa"/>
          </w:tcPr>
          <w:p w14:paraId="27781602" w14:textId="77777777" w:rsidR="00D43029" w:rsidRPr="000F11F2" w:rsidRDefault="00D43029">
            <w:pPr>
              <w:jc w:val="center"/>
              <w:rPr>
                <w:rFonts w:asciiTheme="minorHAnsi" w:hAnsiTheme="minorHAnsi" w:cstheme="minorHAnsi"/>
              </w:rPr>
            </w:pPr>
            <w:r w:rsidRPr="000F11F2">
              <w:rPr>
                <w:rFonts w:asciiTheme="minorHAnsi" w:hAnsiTheme="minorHAnsi" w:cstheme="minorHAnsi"/>
              </w:rPr>
              <w:t>2026</w:t>
            </w:r>
          </w:p>
        </w:tc>
        <w:tc>
          <w:tcPr>
            <w:tcW w:w="1260" w:type="dxa"/>
          </w:tcPr>
          <w:p w14:paraId="44F11102" w14:textId="77777777" w:rsidR="00D43029" w:rsidRPr="000F11F2" w:rsidRDefault="00D43029">
            <w:pPr>
              <w:jc w:val="center"/>
              <w:rPr>
                <w:rFonts w:asciiTheme="minorHAnsi" w:hAnsiTheme="minorHAnsi" w:cstheme="minorHAnsi"/>
              </w:rPr>
            </w:pPr>
            <w:r w:rsidRPr="000F11F2">
              <w:rPr>
                <w:rFonts w:asciiTheme="minorHAnsi" w:hAnsiTheme="minorHAnsi" w:cstheme="minorHAnsi"/>
              </w:rPr>
              <w:t>2027</w:t>
            </w:r>
          </w:p>
        </w:tc>
        <w:tc>
          <w:tcPr>
            <w:tcW w:w="1260" w:type="dxa"/>
          </w:tcPr>
          <w:p w14:paraId="6F266219" w14:textId="77777777" w:rsidR="00D43029" w:rsidRPr="000F11F2" w:rsidRDefault="00D43029">
            <w:pPr>
              <w:jc w:val="center"/>
              <w:rPr>
                <w:rFonts w:asciiTheme="minorHAnsi" w:hAnsiTheme="minorHAnsi" w:cstheme="minorHAnsi"/>
              </w:rPr>
            </w:pPr>
            <w:r w:rsidRPr="000F11F2">
              <w:rPr>
                <w:rFonts w:asciiTheme="minorHAnsi" w:hAnsiTheme="minorHAnsi" w:cstheme="minorHAnsi"/>
              </w:rPr>
              <w:t>2028</w:t>
            </w:r>
          </w:p>
        </w:tc>
        <w:tc>
          <w:tcPr>
            <w:tcW w:w="1170" w:type="dxa"/>
          </w:tcPr>
          <w:p w14:paraId="2E8E5A43" w14:textId="77777777" w:rsidR="00D43029" w:rsidRPr="000F11F2" w:rsidRDefault="00D43029">
            <w:pPr>
              <w:jc w:val="center"/>
              <w:rPr>
                <w:rFonts w:asciiTheme="minorHAnsi" w:hAnsiTheme="minorHAnsi" w:cstheme="minorHAnsi"/>
              </w:rPr>
            </w:pPr>
            <w:r w:rsidRPr="000F11F2">
              <w:rPr>
                <w:rFonts w:asciiTheme="minorHAnsi" w:hAnsiTheme="minorHAnsi" w:cstheme="minorHAnsi"/>
              </w:rPr>
              <w:t>2029</w:t>
            </w:r>
          </w:p>
        </w:tc>
        <w:tc>
          <w:tcPr>
            <w:tcW w:w="1260" w:type="dxa"/>
          </w:tcPr>
          <w:p w14:paraId="2408A51B" w14:textId="6459D7EB" w:rsidR="00D43029" w:rsidRPr="000F11F2" w:rsidRDefault="00D43029">
            <w:pPr>
              <w:jc w:val="center"/>
              <w:rPr>
                <w:rFonts w:asciiTheme="minorHAnsi" w:hAnsiTheme="minorHAnsi" w:cstheme="minorHAnsi"/>
              </w:rPr>
            </w:pPr>
            <w:r>
              <w:rPr>
                <w:rFonts w:asciiTheme="minorHAnsi" w:hAnsiTheme="minorHAnsi" w:cstheme="minorHAnsi"/>
              </w:rPr>
              <w:t>Total</w:t>
            </w:r>
          </w:p>
        </w:tc>
      </w:tr>
      <w:tr w:rsidR="00770D32" w14:paraId="4EAFA780" w14:textId="135EC4BC" w:rsidTr="007C6A6D">
        <w:tc>
          <w:tcPr>
            <w:tcW w:w="0" w:type="dxa"/>
          </w:tcPr>
          <w:p w14:paraId="1F8DECC5" w14:textId="77777777" w:rsidR="00770D32" w:rsidRPr="000F11F2" w:rsidRDefault="00770D32" w:rsidP="00770D32">
            <w:pPr>
              <w:rPr>
                <w:rFonts w:asciiTheme="minorHAnsi" w:hAnsiTheme="minorHAnsi" w:cstheme="minorHAnsi"/>
                <w:sz w:val="18"/>
                <w:szCs w:val="18"/>
              </w:rPr>
            </w:pPr>
            <w:r w:rsidRPr="000F11F2">
              <w:rPr>
                <w:rFonts w:asciiTheme="minorHAnsi" w:hAnsiTheme="minorHAnsi" w:cstheme="minorHAnsi"/>
                <w:sz w:val="18"/>
                <w:szCs w:val="18"/>
              </w:rPr>
              <w:t xml:space="preserve">Administration </w:t>
            </w:r>
          </w:p>
        </w:tc>
        <w:tc>
          <w:tcPr>
            <w:tcW w:w="0" w:type="dxa"/>
            <w:vAlign w:val="center"/>
          </w:tcPr>
          <w:p w14:paraId="22C114AA" w14:textId="2652B06E" w:rsidR="00770D32" w:rsidRPr="000F11F2" w:rsidRDefault="00770D32" w:rsidP="00770D32">
            <w:pPr>
              <w:jc w:val="center"/>
              <w:rPr>
                <w:rFonts w:asciiTheme="minorHAnsi" w:hAnsiTheme="minorHAnsi" w:cstheme="minorHAnsi"/>
                <w:sz w:val="20"/>
                <w:szCs w:val="20"/>
              </w:rPr>
            </w:pPr>
            <w:r>
              <w:rPr>
                <w:rFonts w:asciiTheme="minorHAnsi" w:hAnsiTheme="minorHAnsi" w:cstheme="minorHAnsi"/>
                <w:sz w:val="20"/>
                <w:szCs w:val="20"/>
              </w:rPr>
              <w:t>-</w:t>
            </w:r>
          </w:p>
        </w:tc>
        <w:tc>
          <w:tcPr>
            <w:tcW w:w="0" w:type="dxa"/>
            <w:vAlign w:val="center"/>
          </w:tcPr>
          <w:p w14:paraId="64428217" w14:textId="36D292D5" w:rsidR="00770D32" w:rsidRPr="00C102BC" w:rsidRDefault="00770D32" w:rsidP="00770D32">
            <w:pPr>
              <w:jc w:val="center"/>
              <w:rPr>
                <w:rFonts w:asciiTheme="minorHAnsi" w:hAnsiTheme="minorHAnsi" w:cstheme="minorHAnsi"/>
                <w:sz w:val="18"/>
                <w:szCs w:val="18"/>
              </w:rPr>
            </w:pPr>
            <w:r w:rsidRPr="00C102BC">
              <w:rPr>
                <w:rFonts w:asciiTheme="minorHAnsi" w:hAnsiTheme="minorHAnsi" w:cstheme="minorHAnsi"/>
                <w:sz w:val="18"/>
                <w:szCs w:val="18"/>
              </w:rPr>
              <w:t>-</w:t>
            </w:r>
          </w:p>
        </w:tc>
        <w:tc>
          <w:tcPr>
            <w:tcW w:w="0" w:type="dxa"/>
            <w:vAlign w:val="center"/>
          </w:tcPr>
          <w:p w14:paraId="66859F5E" w14:textId="3090F62D" w:rsidR="00770D32" w:rsidRPr="00C102BC" w:rsidRDefault="00770D32" w:rsidP="00770D32">
            <w:pPr>
              <w:jc w:val="center"/>
              <w:rPr>
                <w:rFonts w:asciiTheme="minorHAnsi" w:hAnsiTheme="minorHAnsi" w:cstheme="minorHAnsi"/>
                <w:sz w:val="18"/>
                <w:szCs w:val="18"/>
              </w:rPr>
            </w:pPr>
            <w:r w:rsidRPr="00C102BC">
              <w:rPr>
                <w:rFonts w:asciiTheme="minorHAnsi" w:hAnsiTheme="minorHAnsi" w:cstheme="minorHAnsi"/>
                <w:color w:val="000000"/>
                <w:sz w:val="18"/>
                <w:szCs w:val="18"/>
              </w:rPr>
              <w:t>$</w:t>
            </w:r>
            <w:r>
              <w:rPr>
                <w:rFonts w:asciiTheme="minorHAnsi" w:hAnsiTheme="minorHAnsi" w:cstheme="minorHAnsi"/>
                <w:color w:val="000000"/>
                <w:sz w:val="18"/>
                <w:szCs w:val="18"/>
              </w:rPr>
              <w:t xml:space="preserve"> </w:t>
            </w:r>
            <w:r w:rsidRPr="00C102BC">
              <w:rPr>
                <w:rFonts w:asciiTheme="minorHAnsi" w:hAnsiTheme="minorHAnsi" w:cstheme="minorHAnsi"/>
                <w:color w:val="000000"/>
                <w:sz w:val="18"/>
                <w:szCs w:val="18"/>
              </w:rPr>
              <w:t>248,463</w:t>
            </w:r>
          </w:p>
        </w:tc>
        <w:tc>
          <w:tcPr>
            <w:tcW w:w="0" w:type="dxa"/>
            <w:vAlign w:val="center"/>
          </w:tcPr>
          <w:p w14:paraId="2F3FD262" w14:textId="03CEE0C4" w:rsidR="00770D32" w:rsidRPr="00C102BC" w:rsidRDefault="00770D32" w:rsidP="00770D32">
            <w:pPr>
              <w:jc w:val="center"/>
              <w:rPr>
                <w:rFonts w:asciiTheme="minorHAnsi" w:hAnsiTheme="minorHAnsi" w:cstheme="minorHAnsi"/>
                <w:sz w:val="18"/>
                <w:szCs w:val="18"/>
              </w:rPr>
            </w:pPr>
            <w:r w:rsidRPr="00C102BC">
              <w:rPr>
                <w:rFonts w:asciiTheme="minorHAnsi" w:hAnsiTheme="minorHAnsi" w:cstheme="minorHAnsi"/>
                <w:color w:val="000000"/>
                <w:sz w:val="18"/>
                <w:szCs w:val="18"/>
              </w:rPr>
              <w:t>$ 197,309</w:t>
            </w:r>
          </w:p>
        </w:tc>
        <w:tc>
          <w:tcPr>
            <w:tcW w:w="0" w:type="dxa"/>
            <w:vAlign w:val="center"/>
          </w:tcPr>
          <w:p w14:paraId="3E76CF65" w14:textId="52839757" w:rsidR="00770D32" w:rsidRPr="00C102BC" w:rsidRDefault="00770D32" w:rsidP="00770D32">
            <w:pPr>
              <w:jc w:val="center"/>
              <w:rPr>
                <w:rFonts w:asciiTheme="minorHAnsi" w:hAnsiTheme="minorHAnsi" w:cstheme="minorHAnsi"/>
                <w:sz w:val="18"/>
                <w:szCs w:val="18"/>
              </w:rPr>
            </w:pPr>
            <w:r w:rsidRPr="00C102BC">
              <w:rPr>
                <w:rFonts w:asciiTheme="minorHAnsi" w:hAnsiTheme="minorHAnsi" w:cstheme="minorHAnsi"/>
                <w:color w:val="000000"/>
                <w:sz w:val="18"/>
                <w:szCs w:val="18"/>
              </w:rPr>
              <w:t>$</w:t>
            </w:r>
            <w:r>
              <w:rPr>
                <w:rFonts w:asciiTheme="minorHAnsi" w:hAnsiTheme="minorHAnsi" w:cstheme="minorHAnsi"/>
                <w:color w:val="000000"/>
                <w:sz w:val="18"/>
                <w:szCs w:val="18"/>
              </w:rPr>
              <w:t xml:space="preserve"> </w:t>
            </w:r>
            <w:r w:rsidRPr="00C102BC">
              <w:rPr>
                <w:rFonts w:asciiTheme="minorHAnsi" w:hAnsiTheme="minorHAnsi" w:cstheme="minorHAnsi"/>
                <w:color w:val="000000"/>
                <w:sz w:val="18"/>
                <w:szCs w:val="18"/>
              </w:rPr>
              <w:t>198,963</w:t>
            </w:r>
          </w:p>
        </w:tc>
        <w:tc>
          <w:tcPr>
            <w:tcW w:w="1170" w:type="dxa"/>
            <w:vAlign w:val="center"/>
          </w:tcPr>
          <w:p w14:paraId="6EFF2EB4" w14:textId="71DADB80" w:rsidR="00770D32" w:rsidRPr="00C102BC" w:rsidRDefault="00770D32" w:rsidP="00770D32">
            <w:pPr>
              <w:jc w:val="center"/>
              <w:rPr>
                <w:rFonts w:asciiTheme="minorHAnsi" w:hAnsiTheme="minorHAnsi" w:cstheme="minorHAnsi"/>
                <w:sz w:val="18"/>
                <w:szCs w:val="18"/>
              </w:rPr>
            </w:pPr>
            <w:r w:rsidRPr="00C102BC">
              <w:rPr>
                <w:rFonts w:asciiTheme="minorHAnsi" w:hAnsiTheme="minorHAnsi" w:cstheme="minorHAnsi"/>
                <w:color w:val="000000"/>
                <w:sz w:val="18"/>
                <w:szCs w:val="18"/>
              </w:rPr>
              <w:t>$ 155,975</w:t>
            </w:r>
          </w:p>
        </w:tc>
        <w:tc>
          <w:tcPr>
            <w:tcW w:w="1260" w:type="dxa"/>
            <w:vAlign w:val="center"/>
          </w:tcPr>
          <w:p w14:paraId="720F3DC5" w14:textId="7B308BA6" w:rsidR="00770D32" w:rsidRPr="000F11F2" w:rsidRDefault="00770D32" w:rsidP="00770D32">
            <w:pPr>
              <w:jc w:val="center"/>
              <w:rPr>
                <w:rFonts w:asciiTheme="minorHAnsi" w:hAnsiTheme="minorHAnsi" w:cstheme="minorHAnsi"/>
                <w:color w:val="000000"/>
                <w:sz w:val="20"/>
                <w:szCs w:val="20"/>
              </w:rPr>
            </w:pPr>
            <w:r>
              <w:rPr>
                <w:rFonts w:ascii="Calibri" w:hAnsi="Calibri" w:cs="Calibri"/>
                <w:color w:val="000000"/>
                <w:sz w:val="20"/>
                <w:szCs w:val="20"/>
              </w:rPr>
              <w:t xml:space="preserve">$800,710 </w:t>
            </w:r>
          </w:p>
        </w:tc>
      </w:tr>
      <w:tr w:rsidR="00770D32" w14:paraId="1E672DC7" w14:textId="1EBEA016" w:rsidTr="007C6A6D">
        <w:trPr>
          <w:cnfStyle w:val="000000010000" w:firstRow="0" w:lastRow="0" w:firstColumn="0" w:lastColumn="0" w:oddVBand="0" w:evenVBand="0" w:oddHBand="0" w:evenHBand="1" w:firstRowFirstColumn="0" w:firstRowLastColumn="0" w:lastRowFirstColumn="0" w:lastRowLastColumn="0"/>
        </w:trPr>
        <w:tc>
          <w:tcPr>
            <w:tcW w:w="0" w:type="dxa"/>
          </w:tcPr>
          <w:p w14:paraId="43B9B9EF" w14:textId="77777777" w:rsidR="00770D32" w:rsidRPr="000F11F2" w:rsidRDefault="00770D32" w:rsidP="00770D32">
            <w:pPr>
              <w:rPr>
                <w:rFonts w:asciiTheme="minorHAnsi" w:hAnsiTheme="minorHAnsi" w:cstheme="minorHAnsi"/>
                <w:sz w:val="18"/>
                <w:szCs w:val="18"/>
              </w:rPr>
            </w:pPr>
            <w:r w:rsidRPr="000F11F2">
              <w:rPr>
                <w:rFonts w:asciiTheme="minorHAnsi" w:hAnsiTheme="minorHAnsi" w:cstheme="minorHAnsi"/>
                <w:sz w:val="18"/>
                <w:szCs w:val="18"/>
              </w:rPr>
              <w:t>Marketing, Outreach</w:t>
            </w:r>
          </w:p>
        </w:tc>
        <w:tc>
          <w:tcPr>
            <w:tcW w:w="0" w:type="dxa"/>
            <w:vAlign w:val="center"/>
          </w:tcPr>
          <w:p w14:paraId="471ED6E6" w14:textId="4D472FC5" w:rsidR="00770D32" w:rsidRPr="000F11F2" w:rsidRDefault="00770D32" w:rsidP="00770D32">
            <w:pPr>
              <w:jc w:val="center"/>
              <w:rPr>
                <w:rFonts w:asciiTheme="minorHAnsi" w:hAnsiTheme="minorHAnsi" w:cstheme="minorHAnsi"/>
                <w:sz w:val="20"/>
                <w:szCs w:val="20"/>
              </w:rPr>
            </w:pPr>
            <w:r>
              <w:rPr>
                <w:rFonts w:asciiTheme="minorHAnsi" w:hAnsiTheme="minorHAnsi" w:cstheme="minorHAnsi"/>
                <w:sz w:val="20"/>
                <w:szCs w:val="20"/>
              </w:rPr>
              <w:t>-</w:t>
            </w:r>
          </w:p>
        </w:tc>
        <w:tc>
          <w:tcPr>
            <w:tcW w:w="0" w:type="dxa"/>
            <w:vAlign w:val="center"/>
          </w:tcPr>
          <w:p w14:paraId="0526FD91" w14:textId="4757B9CA" w:rsidR="00770D32" w:rsidRPr="00C102BC" w:rsidRDefault="00770D32" w:rsidP="00770D32">
            <w:pPr>
              <w:jc w:val="center"/>
              <w:rPr>
                <w:rFonts w:asciiTheme="minorHAnsi" w:hAnsiTheme="minorHAnsi" w:cstheme="minorHAnsi"/>
                <w:sz w:val="18"/>
                <w:szCs w:val="18"/>
              </w:rPr>
            </w:pPr>
            <w:r w:rsidRPr="00C102BC">
              <w:rPr>
                <w:rFonts w:asciiTheme="minorHAnsi" w:hAnsiTheme="minorHAnsi" w:cstheme="minorHAnsi"/>
                <w:sz w:val="18"/>
                <w:szCs w:val="18"/>
              </w:rPr>
              <w:t>-</w:t>
            </w:r>
          </w:p>
        </w:tc>
        <w:tc>
          <w:tcPr>
            <w:tcW w:w="0" w:type="dxa"/>
            <w:vAlign w:val="center"/>
          </w:tcPr>
          <w:p w14:paraId="43DA4625" w14:textId="04726D2D" w:rsidR="00770D32" w:rsidRPr="00C102BC" w:rsidRDefault="00770D32" w:rsidP="00770D32">
            <w:pPr>
              <w:jc w:val="center"/>
              <w:rPr>
                <w:rFonts w:asciiTheme="minorHAnsi" w:hAnsiTheme="minorHAnsi" w:cstheme="minorHAnsi"/>
                <w:sz w:val="18"/>
                <w:szCs w:val="18"/>
              </w:rPr>
            </w:pPr>
            <w:r w:rsidRPr="00C102BC">
              <w:rPr>
                <w:rFonts w:asciiTheme="minorHAnsi" w:hAnsiTheme="minorHAnsi" w:cstheme="minorHAnsi"/>
                <w:color w:val="000000"/>
                <w:sz w:val="18"/>
                <w:szCs w:val="18"/>
              </w:rPr>
              <w:t>$ 124,232</w:t>
            </w:r>
          </w:p>
        </w:tc>
        <w:tc>
          <w:tcPr>
            <w:tcW w:w="0" w:type="dxa"/>
            <w:vAlign w:val="center"/>
          </w:tcPr>
          <w:p w14:paraId="27C1C233" w14:textId="2FAAFDFE" w:rsidR="00770D32" w:rsidRPr="00C102BC" w:rsidRDefault="00770D32" w:rsidP="00770D32">
            <w:pPr>
              <w:jc w:val="center"/>
              <w:rPr>
                <w:rFonts w:asciiTheme="minorHAnsi" w:hAnsiTheme="minorHAnsi" w:cstheme="minorHAnsi"/>
                <w:sz w:val="18"/>
                <w:szCs w:val="18"/>
              </w:rPr>
            </w:pPr>
            <w:r w:rsidRPr="00C102BC">
              <w:rPr>
                <w:rFonts w:asciiTheme="minorHAnsi" w:hAnsiTheme="minorHAnsi" w:cstheme="minorHAnsi"/>
                <w:color w:val="000000"/>
                <w:sz w:val="18"/>
                <w:szCs w:val="18"/>
              </w:rPr>
              <w:t>$ 98,654</w:t>
            </w:r>
          </w:p>
        </w:tc>
        <w:tc>
          <w:tcPr>
            <w:tcW w:w="0" w:type="dxa"/>
            <w:vAlign w:val="center"/>
          </w:tcPr>
          <w:p w14:paraId="4F43E050" w14:textId="53DC4CAC" w:rsidR="00770D32" w:rsidRPr="00C102BC" w:rsidRDefault="00770D32" w:rsidP="00770D32">
            <w:pPr>
              <w:jc w:val="center"/>
              <w:rPr>
                <w:rFonts w:asciiTheme="minorHAnsi" w:hAnsiTheme="minorHAnsi" w:cstheme="minorHAnsi"/>
                <w:sz w:val="18"/>
                <w:szCs w:val="18"/>
              </w:rPr>
            </w:pPr>
            <w:r w:rsidRPr="00C102BC">
              <w:rPr>
                <w:rFonts w:asciiTheme="minorHAnsi" w:hAnsiTheme="minorHAnsi" w:cstheme="minorHAnsi"/>
                <w:color w:val="000000"/>
                <w:sz w:val="18"/>
                <w:szCs w:val="18"/>
              </w:rPr>
              <w:t>$ 99,481</w:t>
            </w:r>
          </w:p>
        </w:tc>
        <w:tc>
          <w:tcPr>
            <w:tcW w:w="1170" w:type="dxa"/>
            <w:vAlign w:val="center"/>
          </w:tcPr>
          <w:p w14:paraId="7A014955" w14:textId="07A5F7B3" w:rsidR="00770D32" w:rsidRPr="00C102BC" w:rsidRDefault="00770D32" w:rsidP="00770D32">
            <w:pPr>
              <w:jc w:val="center"/>
              <w:rPr>
                <w:rFonts w:asciiTheme="minorHAnsi" w:hAnsiTheme="minorHAnsi" w:cstheme="minorHAnsi"/>
                <w:sz w:val="18"/>
                <w:szCs w:val="18"/>
              </w:rPr>
            </w:pPr>
            <w:r w:rsidRPr="00C102BC">
              <w:rPr>
                <w:rFonts w:asciiTheme="minorHAnsi" w:hAnsiTheme="minorHAnsi" w:cstheme="minorHAnsi"/>
                <w:color w:val="000000"/>
                <w:sz w:val="18"/>
                <w:szCs w:val="18"/>
              </w:rPr>
              <w:t>$ 77,988</w:t>
            </w:r>
          </w:p>
        </w:tc>
        <w:tc>
          <w:tcPr>
            <w:tcW w:w="1260" w:type="dxa"/>
            <w:vAlign w:val="center"/>
          </w:tcPr>
          <w:p w14:paraId="6AD6050C" w14:textId="106A692D" w:rsidR="00770D32" w:rsidRPr="000F11F2" w:rsidRDefault="00770D32" w:rsidP="00770D32">
            <w:pPr>
              <w:jc w:val="center"/>
              <w:rPr>
                <w:rFonts w:asciiTheme="minorHAnsi" w:hAnsiTheme="minorHAnsi" w:cstheme="minorHAnsi"/>
                <w:color w:val="000000"/>
                <w:sz w:val="20"/>
                <w:szCs w:val="20"/>
              </w:rPr>
            </w:pPr>
            <w:r>
              <w:rPr>
                <w:rFonts w:ascii="Calibri" w:hAnsi="Calibri" w:cs="Calibri"/>
                <w:color w:val="000000"/>
                <w:sz w:val="20"/>
                <w:szCs w:val="20"/>
              </w:rPr>
              <w:t xml:space="preserve">$400,355 </w:t>
            </w:r>
          </w:p>
        </w:tc>
      </w:tr>
      <w:tr w:rsidR="00770D32" w14:paraId="324F5F4F" w14:textId="1F907D05" w:rsidTr="007C6A6D">
        <w:tc>
          <w:tcPr>
            <w:tcW w:w="0" w:type="dxa"/>
          </w:tcPr>
          <w:p w14:paraId="7753F458" w14:textId="77777777" w:rsidR="00770D32" w:rsidRPr="000F11F2" w:rsidRDefault="00770D32" w:rsidP="00770D32">
            <w:pPr>
              <w:rPr>
                <w:rFonts w:asciiTheme="minorHAnsi" w:hAnsiTheme="minorHAnsi" w:cstheme="minorHAnsi"/>
                <w:sz w:val="18"/>
                <w:szCs w:val="18"/>
              </w:rPr>
            </w:pPr>
            <w:r w:rsidRPr="000F11F2">
              <w:rPr>
                <w:rFonts w:asciiTheme="minorHAnsi" w:hAnsiTheme="minorHAnsi" w:cstheme="minorHAnsi"/>
                <w:sz w:val="18"/>
                <w:szCs w:val="18"/>
              </w:rPr>
              <w:t>Incentive/</w:t>
            </w:r>
          </w:p>
          <w:p w14:paraId="6AD1D7FD" w14:textId="77777777" w:rsidR="00770D32" w:rsidRPr="000F11F2" w:rsidRDefault="00770D32" w:rsidP="00770D32">
            <w:pPr>
              <w:rPr>
                <w:rFonts w:asciiTheme="minorHAnsi" w:hAnsiTheme="minorHAnsi" w:cstheme="minorHAnsi"/>
                <w:sz w:val="18"/>
                <w:szCs w:val="18"/>
              </w:rPr>
            </w:pPr>
            <w:r w:rsidRPr="000F11F2">
              <w:rPr>
                <w:rFonts w:asciiTheme="minorHAnsi" w:hAnsiTheme="minorHAnsi" w:cstheme="minorHAnsi"/>
                <w:sz w:val="18"/>
                <w:szCs w:val="18"/>
              </w:rPr>
              <w:t>Rebate</w:t>
            </w:r>
          </w:p>
        </w:tc>
        <w:tc>
          <w:tcPr>
            <w:tcW w:w="0" w:type="dxa"/>
            <w:vAlign w:val="center"/>
          </w:tcPr>
          <w:p w14:paraId="0F580737" w14:textId="3F00812B" w:rsidR="00770D32" w:rsidRPr="000F11F2" w:rsidRDefault="00770D32" w:rsidP="00770D32">
            <w:pPr>
              <w:jc w:val="center"/>
              <w:rPr>
                <w:rFonts w:asciiTheme="minorHAnsi" w:hAnsiTheme="minorHAnsi" w:cstheme="minorHAnsi"/>
                <w:sz w:val="20"/>
                <w:szCs w:val="20"/>
              </w:rPr>
            </w:pPr>
            <w:r>
              <w:rPr>
                <w:rFonts w:asciiTheme="minorHAnsi" w:hAnsiTheme="minorHAnsi" w:cstheme="minorHAnsi"/>
                <w:sz w:val="20"/>
                <w:szCs w:val="20"/>
              </w:rPr>
              <w:t>-</w:t>
            </w:r>
          </w:p>
        </w:tc>
        <w:tc>
          <w:tcPr>
            <w:tcW w:w="0" w:type="dxa"/>
            <w:vAlign w:val="center"/>
          </w:tcPr>
          <w:p w14:paraId="3F1977A9" w14:textId="0B7F4E02" w:rsidR="00770D32" w:rsidRPr="00C102BC" w:rsidRDefault="00770D32" w:rsidP="00770D32">
            <w:pPr>
              <w:jc w:val="center"/>
              <w:rPr>
                <w:rFonts w:asciiTheme="minorHAnsi" w:hAnsiTheme="minorHAnsi" w:cstheme="minorHAnsi"/>
                <w:sz w:val="18"/>
                <w:szCs w:val="18"/>
              </w:rPr>
            </w:pPr>
            <w:r w:rsidRPr="00C102BC">
              <w:rPr>
                <w:rFonts w:asciiTheme="minorHAnsi" w:hAnsiTheme="minorHAnsi" w:cstheme="minorHAnsi"/>
                <w:sz w:val="18"/>
                <w:szCs w:val="18"/>
              </w:rPr>
              <w:t>-</w:t>
            </w:r>
          </w:p>
        </w:tc>
        <w:tc>
          <w:tcPr>
            <w:tcW w:w="0" w:type="dxa"/>
            <w:vAlign w:val="center"/>
          </w:tcPr>
          <w:p w14:paraId="4F106E74" w14:textId="4743361F" w:rsidR="00770D32" w:rsidRPr="00C102BC" w:rsidRDefault="00770D32" w:rsidP="00770D32">
            <w:pPr>
              <w:jc w:val="center"/>
              <w:rPr>
                <w:rFonts w:asciiTheme="minorHAnsi" w:hAnsiTheme="minorHAnsi" w:cstheme="minorHAnsi"/>
                <w:sz w:val="18"/>
                <w:szCs w:val="18"/>
              </w:rPr>
            </w:pPr>
            <w:r w:rsidRPr="00C102BC">
              <w:rPr>
                <w:rFonts w:asciiTheme="minorHAnsi" w:hAnsiTheme="minorHAnsi" w:cstheme="minorHAnsi"/>
                <w:color w:val="000000"/>
                <w:sz w:val="18"/>
                <w:szCs w:val="18"/>
              </w:rPr>
              <w:t>$ 231,972</w:t>
            </w:r>
          </w:p>
        </w:tc>
        <w:tc>
          <w:tcPr>
            <w:tcW w:w="0" w:type="dxa"/>
            <w:vAlign w:val="center"/>
          </w:tcPr>
          <w:p w14:paraId="446A2CBC" w14:textId="09AD4E18" w:rsidR="00770D32" w:rsidRPr="00C102BC" w:rsidRDefault="00770D32" w:rsidP="00770D32">
            <w:pPr>
              <w:jc w:val="center"/>
              <w:rPr>
                <w:rFonts w:asciiTheme="minorHAnsi" w:hAnsiTheme="minorHAnsi" w:cstheme="minorHAnsi"/>
                <w:sz w:val="18"/>
                <w:szCs w:val="18"/>
              </w:rPr>
            </w:pPr>
            <w:r w:rsidRPr="00C102BC">
              <w:rPr>
                <w:rFonts w:asciiTheme="minorHAnsi" w:hAnsiTheme="minorHAnsi" w:cstheme="minorHAnsi"/>
                <w:color w:val="000000"/>
                <w:sz w:val="18"/>
                <w:szCs w:val="18"/>
              </w:rPr>
              <w:t>$ 314,386</w:t>
            </w:r>
          </w:p>
        </w:tc>
        <w:tc>
          <w:tcPr>
            <w:tcW w:w="0" w:type="dxa"/>
            <w:vAlign w:val="center"/>
          </w:tcPr>
          <w:p w14:paraId="384304E9" w14:textId="69972906" w:rsidR="00770D32" w:rsidRPr="00C102BC" w:rsidRDefault="00770D32" w:rsidP="00770D32">
            <w:pPr>
              <w:jc w:val="center"/>
              <w:rPr>
                <w:rFonts w:asciiTheme="minorHAnsi" w:hAnsiTheme="minorHAnsi" w:cstheme="minorHAnsi"/>
                <w:sz w:val="18"/>
                <w:szCs w:val="18"/>
              </w:rPr>
            </w:pPr>
            <w:r w:rsidRPr="00C102BC">
              <w:rPr>
                <w:rFonts w:asciiTheme="minorHAnsi" w:hAnsiTheme="minorHAnsi" w:cstheme="minorHAnsi"/>
                <w:color w:val="000000"/>
                <w:sz w:val="18"/>
                <w:szCs w:val="18"/>
              </w:rPr>
              <w:t>$</w:t>
            </w:r>
            <w:r>
              <w:rPr>
                <w:rFonts w:asciiTheme="minorHAnsi" w:hAnsiTheme="minorHAnsi" w:cstheme="minorHAnsi"/>
                <w:color w:val="000000"/>
                <w:sz w:val="18"/>
                <w:szCs w:val="18"/>
              </w:rPr>
              <w:t xml:space="preserve"> </w:t>
            </w:r>
            <w:r w:rsidRPr="00C102BC">
              <w:rPr>
                <w:rFonts w:asciiTheme="minorHAnsi" w:hAnsiTheme="minorHAnsi" w:cstheme="minorHAnsi"/>
                <w:color w:val="000000"/>
                <w:sz w:val="18"/>
                <w:szCs w:val="18"/>
              </w:rPr>
              <w:t>567,565</w:t>
            </w:r>
          </w:p>
        </w:tc>
        <w:tc>
          <w:tcPr>
            <w:tcW w:w="1170" w:type="dxa"/>
            <w:vAlign w:val="center"/>
          </w:tcPr>
          <w:p w14:paraId="7E202599" w14:textId="1F000BAE" w:rsidR="00770D32" w:rsidRPr="00C102BC" w:rsidRDefault="00770D32" w:rsidP="00770D32">
            <w:pPr>
              <w:jc w:val="center"/>
              <w:rPr>
                <w:rFonts w:asciiTheme="minorHAnsi" w:hAnsiTheme="minorHAnsi" w:cstheme="minorHAnsi"/>
                <w:sz w:val="18"/>
                <w:szCs w:val="18"/>
              </w:rPr>
            </w:pPr>
            <w:r w:rsidRPr="00C102BC">
              <w:rPr>
                <w:rFonts w:asciiTheme="minorHAnsi" w:hAnsiTheme="minorHAnsi" w:cstheme="minorHAnsi"/>
                <w:color w:val="000000"/>
                <w:sz w:val="18"/>
                <w:szCs w:val="18"/>
              </w:rPr>
              <w:t>$ 831,388</w:t>
            </w:r>
          </w:p>
        </w:tc>
        <w:tc>
          <w:tcPr>
            <w:tcW w:w="1260" w:type="dxa"/>
            <w:vAlign w:val="center"/>
          </w:tcPr>
          <w:p w14:paraId="0D58198A" w14:textId="5D519F37" w:rsidR="00770D32" w:rsidRPr="000F11F2" w:rsidRDefault="00770D32" w:rsidP="00770D32">
            <w:pPr>
              <w:jc w:val="center"/>
              <w:rPr>
                <w:rFonts w:asciiTheme="minorHAnsi" w:hAnsiTheme="minorHAnsi" w:cstheme="minorHAnsi"/>
                <w:color w:val="000000"/>
                <w:sz w:val="20"/>
                <w:szCs w:val="20"/>
              </w:rPr>
            </w:pPr>
            <w:r>
              <w:rPr>
                <w:rFonts w:ascii="Calibri" w:hAnsi="Calibri" w:cs="Calibri"/>
                <w:color w:val="000000"/>
                <w:sz w:val="20"/>
                <w:szCs w:val="20"/>
              </w:rPr>
              <w:t xml:space="preserve">$1,945,311 </w:t>
            </w:r>
          </w:p>
        </w:tc>
      </w:tr>
      <w:tr w:rsidR="00770D32" w14:paraId="03C0054F" w14:textId="144ECB6A" w:rsidTr="007C6A6D">
        <w:trPr>
          <w:cnfStyle w:val="000000010000" w:firstRow="0" w:lastRow="0" w:firstColumn="0" w:lastColumn="0" w:oddVBand="0" w:evenVBand="0" w:oddHBand="0" w:evenHBand="1" w:firstRowFirstColumn="0" w:firstRowLastColumn="0" w:lastRowFirstColumn="0" w:lastRowLastColumn="0"/>
        </w:trPr>
        <w:tc>
          <w:tcPr>
            <w:tcW w:w="0" w:type="dxa"/>
          </w:tcPr>
          <w:p w14:paraId="2A0835F0" w14:textId="77777777" w:rsidR="00770D32" w:rsidRPr="000F11F2" w:rsidRDefault="00770D32" w:rsidP="00770D32">
            <w:pPr>
              <w:rPr>
                <w:rFonts w:asciiTheme="minorHAnsi" w:hAnsiTheme="minorHAnsi" w:cstheme="minorHAnsi"/>
                <w:sz w:val="18"/>
                <w:szCs w:val="18"/>
              </w:rPr>
            </w:pPr>
            <w:r w:rsidRPr="000F11F2">
              <w:rPr>
                <w:rFonts w:asciiTheme="minorHAnsi" w:hAnsiTheme="minorHAnsi" w:cstheme="minorHAnsi"/>
                <w:sz w:val="18"/>
                <w:szCs w:val="18"/>
              </w:rPr>
              <w:t>Direct Implementation</w:t>
            </w:r>
          </w:p>
        </w:tc>
        <w:tc>
          <w:tcPr>
            <w:tcW w:w="0" w:type="dxa"/>
            <w:vAlign w:val="center"/>
          </w:tcPr>
          <w:p w14:paraId="180A02AB" w14:textId="116817FB" w:rsidR="00770D32" w:rsidRPr="000F11F2" w:rsidRDefault="00770D32" w:rsidP="00770D32">
            <w:pPr>
              <w:jc w:val="center"/>
              <w:rPr>
                <w:rFonts w:asciiTheme="minorHAnsi" w:hAnsiTheme="minorHAnsi" w:cstheme="minorHAnsi"/>
                <w:sz w:val="20"/>
                <w:szCs w:val="20"/>
              </w:rPr>
            </w:pPr>
            <w:r>
              <w:rPr>
                <w:rFonts w:asciiTheme="minorHAnsi" w:hAnsiTheme="minorHAnsi" w:cstheme="minorHAnsi"/>
                <w:sz w:val="20"/>
                <w:szCs w:val="20"/>
              </w:rPr>
              <w:t>-</w:t>
            </w:r>
          </w:p>
        </w:tc>
        <w:tc>
          <w:tcPr>
            <w:tcW w:w="0" w:type="dxa"/>
            <w:vAlign w:val="center"/>
          </w:tcPr>
          <w:p w14:paraId="531522BA" w14:textId="41F1B6DC" w:rsidR="00770D32" w:rsidRPr="00C102BC" w:rsidRDefault="00770D32" w:rsidP="00770D32">
            <w:pPr>
              <w:jc w:val="center"/>
              <w:rPr>
                <w:rFonts w:asciiTheme="minorHAnsi" w:hAnsiTheme="minorHAnsi" w:cstheme="minorHAnsi"/>
                <w:sz w:val="18"/>
                <w:szCs w:val="18"/>
              </w:rPr>
            </w:pPr>
            <w:r w:rsidRPr="00C102BC">
              <w:rPr>
                <w:rFonts w:asciiTheme="minorHAnsi" w:hAnsiTheme="minorHAnsi" w:cstheme="minorHAnsi"/>
                <w:color w:val="000000"/>
                <w:sz w:val="18"/>
                <w:szCs w:val="18"/>
              </w:rPr>
              <w:t>$ 494,000</w:t>
            </w:r>
          </w:p>
        </w:tc>
        <w:tc>
          <w:tcPr>
            <w:tcW w:w="0" w:type="dxa"/>
            <w:vAlign w:val="center"/>
          </w:tcPr>
          <w:p w14:paraId="6CE213C8" w14:textId="7A026D56" w:rsidR="00770D32" w:rsidRPr="00C102BC" w:rsidRDefault="00770D32" w:rsidP="00770D32">
            <w:pPr>
              <w:jc w:val="center"/>
              <w:rPr>
                <w:rFonts w:asciiTheme="minorHAnsi" w:hAnsiTheme="minorHAnsi" w:cstheme="minorHAnsi"/>
                <w:sz w:val="18"/>
                <w:szCs w:val="18"/>
              </w:rPr>
            </w:pPr>
            <w:r w:rsidRPr="00C102BC">
              <w:rPr>
                <w:rFonts w:asciiTheme="minorHAnsi" w:hAnsiTheme="minorHAnsi" w:cstheme="minorHAnsi"/>
                <w:color w:val="000000"/>
                <w:sz w:val="18"/>
                <w:szCs w:val="18"/>
              </w:rPr>
              <w:t>$ 2,111,939</w:t>
            </w:r>
          </w:p>
        </w:tc>
        <w:tc>
          <w:tcPr>
            <w:tcW w:w="0" w:type="dxa"/>
            <w:vAlign w:val="center"/>
          </w:tcPr>
          <w:p w14:paraId="381DD42C" w14:textId="49077917" w:rsidR="00770D32" w:rsidRPr="00C102BC" w:rsidRDefault="00770D32" w:rsidP="00770D32">
            <w:pPr>
              <w:jc w:val="center"/>
              <w:rPr>
                <w:rFonts w:asciiTheme="minorHAnsi" w:hAnsiTheme="minorHAnsi" w:cstheme="minorHAnsi"/>
                <w:sz w:val="18"/>
                <w:szCs w:val="18"/>
              </w:rPr>
            </w:pPr>
            <w:r w:rsidRPr="00C102BC">
              <w:rPr>
                <w:rFonts w:asciiTheme="minorHAnsi" w:hAnsiTheme="minorHAnsi" w:cstheme="minorHAnsi"/>
                <w:color w:val="000000"/>
                <w:sz w:val="18"/>
                <w:szCs w:val="18"/>
              </w:rPr>
              <w:t>$ 1,677,126</w:t>
            </w:r>
          </w:p>
        </w:tc>
        <w:tc>
          <w:tcPr>
            <w:tcW w:w="0" w:type="dxa"/>
            <w:vAlign w:val="center"/>
          </w:tcPr>
          <w:p w14:paraId="6B6160D7" w14:textId="4BBB7AD8" w:rsidR="00770D32" w:rsidRPr="00C102BC" w:rsidRDefault="00770D32" w:rsidP="00770D32">
            <w:pPr>
              <w:jc w:val="center"/>
              <w:rPr>
                <w:rFonts w:asciiTheme="minorHAnsi" w:hAnsiTheme="minorHAnsi" w:cstheme="minorHAnsi"/>
                <w:sz w:val="18"/>
                <w:szCs w:val="18"/>
              </w:rPr>
            </w:pPr>
            <w:r w:rsidRPr="00C102BC">
              <w:rPr>
                <w:rFonts w:asciiTheme="minorHAnsi" w:hAnsiTheme="minorHAnsi" w:cstheme="minorHAnsi"/>
                <w:color w:val="000000"/>
                <w:sz w:val="18"/>
                <w:szCs w:val="18"/>
              </w:rPr>
              <w:t>$ 1,691,182</w:t>
            </w:r>
          </w:p>
        </w:tc>
        <w:tc>
          <w:tcPr>
            <w:tcW w:w="1170" w:type="dxa"/>
            <w:vAlign w:val="center"/>
          </w:tcPr>
          <w:p w14:paraId="11CD158A" w14:textId="433029F6" w:rsidR="00770D32" w:rsidRPr="00C102BC" w:rsidRDefault="00770D32" w:rsidP="00770D32">
            <w:pPr>
              <w:jc w:val="center"/>
              <w:rPr>
                <w:rFonts w:asciiTheme="minorHAnsi" w:hAnsiTheme="minorHAnsi" w:cstheme="minorHAnsi"/>
                <w:sz w:val="18"/>
                <w:szCs w:val="18"/>
              </w:rPr>
            </w:pPr>
            <w:r w:rsidRPr="00C102BC">
              <w:rPr>
                <w:rFonts w:asciiTheme="minorHAnsi" w:hAnsiTheme="minorHAnsi" w:cstheme="minorHAnsi"/>
                <w:color w:val="000000"/>
                <w:sz w:val="18"/>
                <w:szCs w:val="18"/>
              </w:rPr>
              <w:t>$ 1,325,788</w:t>
            </w:r>
          </w:p>
        </w:tc>
        <w:tc>
          <w:tcPr>
            <w:tcW w:w="1260" w:type="dxa"/>
            <w:vAlign w:val="center"/>
          </w:tcPr>
          <w:p w14:paraId="6AF5FA6F" w14:textId="1F55DFD8" w:rsidR="00770D32" w:rsidRPr="000F11F2" w:rsidRDefault="00770D32" w:rsidP="00770D32">
            <w:pPr>
              <w:jc w:val="center"/>
              <w:rPr>
                <w:rFonts w:asciiTheme="minorHAnsi" w:hAnsiTheme="minorHAnsi" w:cstheme="minorHAnsi"/>
                <w:color w:val="000000"/>
                <w:sz w:val="20"/>
                <w:szCs w:val="20"/>
              </w:rPr>
            </w:pPr>
            <w:r>
              <w:rPr>
                <w:rFonts w:ascii="Calibri" w:hAnsi="Calibri" w:cs="Calibri"/>
                <w:color w:val="000000"/>
                <w:sz w:val="20"/>
                <w:szCs w:val="20"/>
              </w:rPr>
              <w:t xml:space="preserve">$7,300,035 </w:t>
            </w:r>
          </w:p>
        </w:tc>
      </w:tr>
      <w:tr w:rsidR="00770D32" w14:paraId="4DB29C29" w14:textId="527171AF" w:rsidTr="007C6A6D">
        <w:tc>
          <w:tcPr>
            <w:tcW w:w="0" w:type="dxa"/>
          </w:tcPr>
          <w:p w14:paraId="789867AF" w14:textId="77777777" w:rsidR="00770D32" w:rsidRPr="000F11F2" w:rsidRDefault="00770D32" w:rsidP="00770D32">
            <w:pPr>
              <w:rPr>
                <w:rFonts w:asciiTheme="minorHAnsi" w:hAnsiTheme="minorHAnsi" w:cstheme="minorHAnsi"/>
                <w:sz w:val="18"/>
                <w:szCs w:val="18"/>
                <w:lang w:val="es-US"/>
              </w:rPr>
            </w:pPr>
            <w:r w:rsidRPr="000F11F2">
              <w:rPr>
                <w:rFonts w:asciiTheme="minorHAnsi" w:hAnsiTheme="minorHAnsi" w:cstheme="minorHAnsi"/>
                <w:sz w:val="18"/>
                <w:szCs w:val="18"/>
                <w:lang w:val="es-US"/>
              </w:rPr>
              <w:t>Total</w:t>
            </w:r>
          </w:p>
        </w:tc>
        <w:tc>
          <w:tcPr>
            <w:tcW w:w="0" w:type="dxa"/>
            <w:vAlign w:val="center"/>
          </w:tcPr>
          <w:p w14:paraId="09CEA96D" w14:textId="616CA4FD" w:rsidR="00770D32" w:rsidRPr="000F11F2" w:rsidRDefault="00770D32" w:rsidP="00770D32">
            <w:pPr>
              <w:jc w:val="center"/>
              <w:rPr>
                <w:rFonts w:asciiTheme="minorHAnsi" w:hAnsiTheme="minorHAnsi" w:cstheme="minorHAnsi"/>
                <w:sz w:val="20"/>
                <w:szCs w:val="20"/>
              </w:rPr>
            </w:pPr>
            <w:r>
              <w:rPr>
                <w:rFonts w:asciiTheme="minorHAnsi" w:hAnsiTheme="minorHAnsi" w:cstheme="minorHAnsi"/>
                <w:sz w:val="20"/>
                <w:szCs w:val="20"/>
              </w:rPr>
              <w:t>-</w:t>
            </w:r>
          </w:p>
        </w:tc>
        <w:tc>
          <w:tcPr>
            <w:tcW w:w="0" w:type="dxa"/>
            <w:vAlign w:val="center"/>
          </w:tcPr>
          <w:p w14:paraId="58467005" w14:textId="383226B4" w:rsidR="00770D32" w:rsidRPr="00C102BC" w:rsidRDefault="00770D32" w:rsidP="00770D32">
            <w:pPr>
              <w:jc w:val="center"/>
              <w:rPr>
                <w:rFonts w:asciiTheme="minorHAnsi" w:hAnsiTheme="minorHAnsi" w:cstheme="minorHAnsi"/>
                <w:sz w:val="18"/>
                <w:szCs w:val="18"/>
              </w:rPr>
            </w:pPr>
            <w:r w:rsidRPr="00C102BC">
              <w:rPr>
                <w:rFonts w:asciiTheme="minorHAnsi" w:hAnsiTheme="minorHAnsi" w:cstheme="minorHAnsi"/>
                <w:color w:val="000000"/>
                <w:sz w:val="18"/>
                <w:szCs w:val="18"/>
              </w:rPr>
              <w:t>$ 494,000</w:t>
            </w:r>
          </w:p>
        </w:tc>
        <w:tc>
          <w:tcPr>
            <w:tcW w:w="0" w:type="dxa"/>
            <w:vAlign w:val="center"/>
          </w:tcPr>
          <w:p w14:paraId="21445D37" w14:textId="5024344F" w:rsidR="00770D32" w:rsidRPr="00C102BC" w:rsidRDefault="00770D32" w:rsidP="00770D32">
            <w:pPr>
              <w:jc w:val="center"/>
              <w:rPr>
                <w:rFonts w:asciiTheme="minorHAnsi" w:hAnsiTheme="minorHAnsi" w:cstheme="minorHAnsi"/>
                <w:sz w:val="18"/>
                <w:szCs w:val="18"/>
              </w:rPr>
            </w:pPr>
            <w:r w:rsidRPr="00C102BC">
              <w:rPr>
                <w:rFonts w:asciiTheme="minorHAnsi" w:hAnsiTheme="minorHAnsi" w:cstheme="minorHAnsi"/>
                <w:color w:val="000000"/>
                <w:sz w:val="18"/>
                <w:szCs w:val="18"/>
              </w:rPr>
              <w:t>$ 2,716,606</w:t>
            </w:r>
          </w:p>
        </w:tc>
        <w:tc>
          <w:tcPr>
            <w:tcW w:w="0" w:type="dxa"/>
            <w:vAlign w:val="center"/>
          </w:tcPr>
          <w:p w14:paraId="56B8C1F3" w14:textId="388F32D5" w:rsidR="00770D32" w:rsidRPr="00C102BC" w:rsidRDefault="00770D32" w:rsidP="00770D32">
            <w:pPr>
              <w:jc w:val="center"/>
              <w:rPr>
                <w:rFonts w:asciiTheme="minorHAnsi" w:hAnsiTheme="minorHAnsi" w:cstheme="minorHAnsi"/>
                <w:sz w:val="18"/>
                <w:szCs w:val="18"/>
              </w:rPr>
            </w:pPr>
            <w:r w:rsidRPr="00C102BC">
              <w:rPr>
                <w:rFonts w:asciiTheme="minorHAnsi" w:hAnsiTheme="minorHAnsi" w:cstheme="minorHAnsi"/>
                <w:color w:val="000000"/>
                <w:sz w:val="18"/>
                <w:szCs w:val="18"/>
              </w:rPr>
              <w:t>$ 2,287,475</w:t>
            </w:r>
          </w:p>
        </w:tc>
        <w:tc>
          <w:tcPr>
            <w:tcW w:w="0" w:type="dxa"/>
            <w:vAlign w:val="center"/>
          </w:tcPr>
          <w:p w14:paraId="08F55F3F" w14:textId="025BA9F8" w:rsidR="00770D32" w:rsidRPr="00C102BC" w:rsidRDefault="00770D32" w:rsidP="00770D32">
            <w:pPr>
              <w:jc w:val="center"/>
              <w:rPr>
                <w:rFonts w:asciiTheme="minorHAnsi" w:hAnsiTheme="minorHAnsi" w:cstheme="minorHAnsi"/>
                <w:sz w:val="18"/>
                <w:szCs w:val="18"/>
              </w:rPr>
            </w:pPr>
            <w:r w:rsidRPr="00C102BC">
              <w:rPr>
                <w:rFonts w:asciiTheme="minorHAnsi" w:hAnsiTheme="minorHAnsi" w:cstheme="minorHAnsi"/>
                <w:color w:val="000000"/>
                <w:sz w:val="18"/>
                <w:szCs w:val="18"/>
              </w:rPr>
              <w:t>$ 2,557,191</w:t>
            </w:r>
          </w:p>
        </w:tc>
        <w:tc>
          <w:tcPr>
            <w:tcW w:w="1170" w:type="dxa"/>
            <w:vAlign w:val="center"/>
          </w:tcPr>
          <w:p w14:paraId="4853B0CE" w14:textId="293E47C5" w:rsidR="00770D32" w:rsidRPr="00C102BC" w:rsidRDefault="00770D32" w:rsidP="00770D32">
            <w:pPr>
              <w:jc w:val="center"/>
              <w:rPr>
                <w:rFonts w:asciiTheme="minorHAnsi" w:hAnsiTheme="minorHAnsi" w:cstheme="minorHAnsi"/>
                <w:sz w:val="18"/>
                <w:szCs w:val="18"/>
              </w:rPr>
            </w:pPr>
            <w:r w:rsidRPr="00C102BC">
              <w:rPr>
                <w:rFonts w:asciiTheme="minorHAnsi" w:hAnsiTheme="minorHAnsi" w:cstheme="minorHAnsi"/>
                <w:color w:val="000000"/>
                <w:sz w:val="18"/>
                <w:szCs w:val="18"/>
              </w:rPr>
              <w:t>$ 2,391,139</w:t>
            </w:r>
          </w:p>
        </w:tc>
        <w:tc>
          <w:tcPr>
            <w:tcW w:w="1260" w:type="dxa"/>
            <w:vAlign w:val="center"/>
          </w:tcPr>
          <w:p w14:paraId="34413D35" w14:textId="3C79134C" w:rsidR="00770D32" w:rsidRPr="000F11F2" w:rsidRDefault="00770D32" w:rsidP="00770D32">
            <w:pPr>
              <w:jc w:val="center"/>
              <w:rPr>
                <w:rFonts w:asciiTheme="minorHAnsi" w:hAnsiTheme="minorHAnsi" w:cstheme="minorHAnsi"/>
                <w:color w:val="000000"/>
                <w:sz w:val="20"/>
                <w:szCs w:val="20"/>
              </w:rPr>
            </w:pPr>
            <w:r>
              <w:rPr>
                <w:rFonts w:ascii="Calibri" w:hAnsi="Calibri" w:cs="Calibri"/>
                <w:color w:val="000000"/>
                <w:sz w:val="20"/>
                <w:szCs w:val="20"/>
              </w:rPr>
              <w:t xml:space="preserve">$10,446,411 </w:t>
            </w:r>
          </w:p>
        </w:tc>
      </w:tr>
    </w:tbl>
    <w:p w14:paraId="097D3A97" w14:textId="77777777" w:rsidR="00E21B39" w:rsidRPr="00C06495" w:rsidRDefault="00E21B39" w:rsidP="00923D3E">
      <w:pPr>
        <w:pStyle w:val="Heading2"/>
        <w:spacing w:before="200"/>
      </w:pPr>
      <w:bookmarkStart w:id="9" w:name="_Toc168663907"/>
      <w:r w:rsidRPr="00C06495">
        <w:t>Program and/or Sub-Program Gross Impacts Table</w:t>
      </w:r>
      <w:bookmarkEnd w:id="9"/>
    </w:p>
    <w:p w14:paraId="09D2FE44" w14:textId="257F43B5" w:rsidR="00DC7661" w:rsidRDefault="00DC7661" w:rsidP="00DC7661">
      <w:pPr>
        <w:pStyle w:val="Caption"/>
        <w:ind w:left="360"/>
        <w:jc w:val="left"/>
        <w:rPr>
          <w:b/>
          <w:bCs/>
          <w:i w:val="0"/>
          <w:iCs/>
        </w:rPr>
      </w:pPr>
      <w:bookmarkStart w:id="10" w:name="_Ref116908044"/>
      <w:bookmarkStart w:id="11" w:name="_Ref116908031"/>
      <w:r>
        <w:rPr>
          <w:i w:val="0"/>
          <w:iCs/>
        </w:rPr>
        <w:t>Total System Benefits (TSB) is the primary metric. Savings will be estimated using the methodology outlined in the</w:t>
      </w:r>
      <w:hyperlink r:id="rId13" w:history="1">
        <w:r w:rsidRPr="008523AC">
          <w:rPr>
            <w:color w:val="2F5496" w:themeColor="accent1" w:themeShade="BF"/>
          </w:rPr>
          <w:t xml:space="preserve"> </w:t>
        </w:r>
        <w:r w:rsidRPr="008523AC">
          <w:rPr>
            <w:i w:val="0"/>
            <w:iCs/>
            <w:color w:val="2F5496" w:themeColor="accent1" w:themeShade="BF"/>
          </w:rPr>
          <w:t>California SEM M&amp;V Guide</w:t>
        </w:r>
        <w:r w:rsidRPr="008523AC">
          <w:rPr>
            <w:rStyle w:val="Hyperlink"/>
            <w:i w:val="0"/>
            <w:iCs/>
            <w:color w:val="2F5496" w:themeColor="accent1" w:themeShade="BF"/>
          </w:rPr>
          <w:t>.</w:t>
        </w:r>
      </w:hyperlink>
    </w:p>
    <w:p w14:paraId="3DCAB522" w14:textId="559B21FF" w:rsidR="001C6336" w:rsidRDefault="001C6336" w:rsidP="001C6336">
      <w:pPr>
        <w:pStyle w:val="Caption"/>
        <w:ind w:firstLine="360"/>
        <w:jc w:val="left"/>
      </w:pPr>
      <w:r>
        <w:t xml:space="preserve">Table </w:t>
      </w:r>
      <w:r w:rsidR="00B70853">
        <w:fldChar w:fldCharType="begin"/>
      </w:r>
      <w:r w:rsidR="00B70853">
        <w:instrText xml:space="preserve"> SEQ Table \* ARABIC </w:instrText>
      </w:r>
      <w:r w:rsidR="00B70853">
        <w:fldChar w:fldCharType="separate"/>
      </w:r>
      <w:r w:rsidR="00A6197B">
        <w:rPr>
          <w:noProof/>
        </w:rPr>
        <w:t>2</w:t>
      </w:r>
      <w:r w:rsidR="00B70853">
        <w:rPr>
          <w:noProof/>
        </w:rPr>
        <w:fldChar w:fldCharType="end"/>
      </w:r>
      <w:r>
        <w:t xml:space="preserve"> Total System Benefits Targets</w:t>
      </w:r>
    </w:p>
    <w:tbl>
      <w:tblPr>
        <w:tblStyle w:val="TableGrid"/>
        <w:tblW w:w="0" w:type="auto"/>
        <w:tblInd w:w="355" w:type="dxa"/>
        <w:tblLook w:val="04A0" w:firstRow="1" w:lastRow="0" w:firstColumn="1" w:lastColumn="0" w:noHBand="0" w:noVBand="1"/>
      </w:tblPr>
      <w:tblGrid>
        <w:gridCol w:w="2761"/>
        <w:gridCol w:w="3117"/>
        <w:gridCol w:w="3117"/>
      </w:tblGrid>
      <w:tr w:rsidR="001117B9" w14:paraId="59F4F215" w14:textId="77777777" w:rsidTr="001C6336">
        <w:tc>
          <w:tcPr>
            <w:tcW w:w="2761" w:type="dxa"/>
            <w:shd w:val="clear" w:color="auto" w:fill="2F5496" w:themeFill="accent1" w:themeFillShade="BF"/>
          </w:tcPr>
          <w:p w14:paraId="4972AC8D" w14:textId="77777777" w:rsidR="001117B9" w:rsidRPr="006A0EA4" w:rsidRDefault="001117B9" w:rsidP="00FC0501">
            <w:pPr>
              <w:jc w:val="center"/>
              <w:rPr>
                <w:rFonts w:asciiTheme="minorHAnsi" w:hAnsiTheme="minorHAnsi" w:cstheme="minorHAnsi"/>
                <w:iCs/>
                <w:color w:val="FFFFFF" w:themeColor="background1"/>
              </w:rPr>
            </w:pPr>
            <w:r w:rsidRPr="006A0EA4">
              <w:rPr>
                <w:rFonts w:asciiTheme="minorHAnsi" w:hAnsiTheme="minorHAnsi" w:cstheme="minorHAnsi"/>
                <w:iCs/>
                <w:color w:val="FFFFFF" w:themeColor="background1"/>
              </w:rPr>
              <w:t>Delivery Period Month of each Delivery Period Year</w:t>
            </w:r>
          </w:p>
        </w:tc>
        <w:tc>
          <w:tcPr>
            <w:tcW w:w="3117" w:type="dxa"/>
            <w:shd w:val="clear" w:color="auto" w:fill="2F5496" w:themeFill="accent1" w:themeFillShade="BF"/>
          </w:tcPr>
          <w:p w14:paraId="4F52683A" w14:textId="77777777" w:rsidR="001117B9" w:rsidRPr="006A0EA4" w:rsidRDefault="001117B9" w:rsidP="00FC0501">
            <w:pPr>
              <w:jc w:val="center"/>
              <w:rPr>
                <w:rFonts w:asciiTheme="minorHAnsi" w:hAnsiTheme="minorHAnsi" w:cstheme="minorHAnsi"/>
                <w:iCs/>
                <w:color w:val="FFFFFF" w:themeColor="background1"/>
              </w:rPr>
            </w:pPr>
            <w:r w:rsidRPr="006A0EA4">
              <w:rPr>
                <w:rFonts w:asciiTheme="minorHAnsi" w:hAnsiTheme="minorHAnsi" w:cstheme="minorHAnsi"/>
                <w:iCs/>
                <w:color w:val="FFFFFF" w:themeColor="background1"/>
              </w:rPr>
              <w:t>Expected Total System Benefit (TSB)</w:t>
            </w:r>
          </w:p>
        </w:tc>
        <w:tc>
          <w:tcPr>
            <w:tcW w:w="3117" w:type="dxa"/>
            <w:shd w:val="clear" w:color="auto" w:fill="2F5496" w:themeFill="accent1" w:themeFillShade="BF"/>
          </w:tcPr>
          <w:p w14:paraId="27754C18" w14:textId="77777777" w:rsidR="001117B9" w:rsidRPr="006A0EA4" w:rsidRDefault="001117B9" w:rsidP="00FC0501">
            <w:pPr>
              <w:jc w:val="center"/>
              <w:rPr>
                <w:rFonts w:asciiTheme="minorHAnsi" w:hAnsiTheme="minorHAnsi" w:cstheme="minorHAnsi"/>
                <w:iCs/>
                <w:color w:val="FFFFFF" w:themeColor="background1"/>
              </w:rPr>
            </w:pPr>
            <w:r w:rsidRPr="006A0EA4">
              <w:rPr>
                <w:rFonts w:asciiTheme="minorHAnsi" w:hAnsiTheme="minorHAnsi" w:cstheme="minorHAnsi"/>
                <w:iCs/>
                <w:color w:val="FFFFFF" w:themeColor="background1"/>
              </w:rPr>
              <w:t>Savings Price (in $/TSB)</w:t>
            </w:r>
          </w:p>
        </w:tc>
      </w:tr>
      <w:tr w:rsidR="001117B9" w14:paraId="54E10A39" w14:textId="77777777" w:rsidTr="001C6336">
        <w:tc>
          <w:tcPr>
            <w:tcW w:w="2761" w:type="dxa"/>
          </w:tcPr>
          <w:p w14:paraId="24F806C4" w14:textId="77777777" w:rsidR="001117B9" w:rsidRPr="006A0EA4" w:rsidRDefault="001117B9" w:rsidP="00FC0501">
            <w:pPr>
              <w:rPr>
                <w:rFonts w:asciiTheme="minorHAnsi" w:hAnsiTheme="minorHAnsi" w:cstheme="minorHAnsi"/>
                <w:iCs/>
                <w:sz w:val="18"/>
                <w:szCs w:val="18"/>
              </w:rPr>
            </w:pPr>
            <w:r w:rsidRPr="006A0EA4">
              <w:rPr>
                <w:rFonts w:asciiTheme="minorHAnsi" w:hAnsiTheme="minorHAnsi" w:cstheme="minorHAnsi"/>
                <w:iCs/>
                <w:sz w:val="18"/>
                <w:szCs w:val="18"/>
              </w:rPr>
              <w:t>Sep, 2026</w:t>
            </w:r>
          </w:p>
        </w:tc>
        <w:tc>
          <w:tcPr>
            <w:tcW w:w="3117" w:type="dxa"/>
          </w:tcPr>
          <w:p w14:paraId="5A285FB3" w14:textId="77777777" w:rsidR="001117B9" w:rsidRPr="006A0EA4" w:rsidRDefault="001117B9" w:rsidP="00C46B51">
            <w:pPr>
              <w:jc w:val="center"/>
              <w:rPr>
                <w:rFonts w:asciiTheme="minorHAnsi" w:hAnsiTheme="minorHAnsi" w:cstheme="minorHAnsi"/>
                <w:iCs/>
                <w:sz w:val="18"/>
                <w:szCs w:val="18"/>
              </w:rPr>
            </w:pPr>
            <w:r w:rsidRPr="006A0EA4">
              <w:rPr>
                <w:rFonts w:asciiTheme="minorHAnsi" w:hAnsiTheme="minorHAnsi" w:cstheme="minorHAnsi"/>
                <w:iCs/>
                <w:sz w:val="18"/>
                <w:szCs w:val="18"/>
              </w:rPr>
              <w:t>2,205,184</w:t>
            </w:r>
          </w:p>
        </w:tc>
        <w:tc>
          <w:tcPr>
            <w:tcW w:w="3117" w:type="dxa"/>
          </w:tcPr>
          <w:p w14:paraId="59EC2F57" w14:textId="77777777" w:rsidR="001117B9" w:rsidRPr="006A0EA4" w:rsidRDefault="001117B9" w:rsidP="00C46B51">
            <w:pPr>
              <w:jc w:val="center"/>
              <w:rPr>
                <w:rFonts w:asciiTheme="minorHAnsi" w:hAnsiTheme="minorHAnsi" w:cstheme="minorHAnsi"/>
                <w:iCs/>
                <w:sz w:val="18"/>
                <w:szCs w:val="18"/>
              </w:rPr>
            </w:pPr>
            <w:r w:rsidRPr="006A0EA4">
              <w:rPr>
                <w:rFonts w:asciiTheme="minorHAnsi" w:hAnsiTheme="minorHAnsi" w:cstheme="minorHAnsi"/>
                <w:iCs/>
                <w:sz w:val="18"/>
                <w:szCs w:val="18"/>
              </w:rPr>
              <w:t>$ 1.005</w:t>
            </w:r>
          </w:p>
        </w:tc>
      </w:tr>
      <w:tr w:rsidR="001117B9" w14:paraId="7C43792E" w14:textId="77777777" w:rsidTr="001C6336">
        <w:tc>
          <w:tcPr>
            <w:tcW w:w="2761" w:type="dxa"/>
          </w:tcPr>
          <w:p w14:paraId="585222F1" w14:textId="77777777" w:rsidR="001117B9" w:rsidRPr="006A0EA4" w:rsidRDefault="001117B9" w:rsidP="00FC0501">
            <w:pPr>
              <w:rPr>
                <w:rFonts w:asciiTheme="minorHAnsi" w:hAnsiTheme="minorHAnsi" w:cstheme="minorHAnsi"/>
                <w:iCs/>
                <w:sz w:val="18"/>
                <w:szCs w:val="18"/>
              </w:rPr>
            </w:pPr>
            <w:r w:rsidRPr="006A0EA4">
              <w:rPr>
                <w:rFonts w:asciiTheme="minorHAnsi" w:hAnsiTheme="minorHAnsi" w:cstheme="minorHAnsi"/>
                <w:iCs/>
                <w:sz w:val="18"/>
                <w:szCs w:val="18"/>
              </w:rPr>
              <w:t>Sep, 2027</w:t>
            </w:r>
          </w:p>
        </w:tc>
        <w:tc>
          <w:tcPr>
            <w:tcW w:w="3117" w:type="dxa"/>
          </w:tcPr>
          <w:p w14:paraId="62136984" w14:textId="77777777" w:rsidR="001117B9" w:rsidRPr="006A0EA4" w:rsidRDefault="001117B9" w:rsidP="00C46B51">
            <w:pPr>
              <w:jc w:val="center"/>
              <w:rPr>
                <w:rFonts w:asciiTheme="minorHAnsi" w:hAnsiTheme="minorHAnsi" w:cstheme="minorHAnsi"/>
                <w:iCs/>
                <w:sz w:val="18"/>
                <w:szCs w:val="18"/>
              </w:rPr>
            </w:pPr>
            <w:r w:rsidRPr="006A0EA4">
              <w:rPr>
                <w:rFonts w:asciiTheme="minorHAnsi" w:hAnsiTheme="minorHAnsi" w:cstheme="minorHAnsi"/>
                <w:iCs/>
                <w:sz w:val="18"/>
                <w:szCs w:val="18"/>
              </w:rPr>
              <w:t>3,107,673</w:t>
            </w:r>
          </w:p>
        </w:tc>
        <w:tc>
          <w:tcPr>
            <w:tcW w:w="3117" w:type="dxa"/>
          </w:tcPr>
          <w:p w14:paraId="1DC3D15C" w14:textId="77777777" w:rsidR="001117B9" w:rsidRPr="006A0EA4" w:rsidRDefault="001117B9" w:rsidP="00C46B51">
            <w:pPr>
              <w:jc w:val="center"/>
              <w:rPr>
                <w:rFonts w:asciiTheme="minorHAnsi" w:hAnsiTheme="minorHAnsi" w:cstheme="minorHAnsi"/>
                <w:iCs/>
                <w:sz w:val="18"/>
                <w:szCs w:val="18"/>
              </w:rPr>
            </w:pPr>
            <w:r w:rsidRPr="006A0EA4">
              <w:rPr>
                <w:rFonts w:asciiTheme="minorHAnsi" w:hAnsiTheme="minorHAnsi" w:cstheme="minorHAnsi"/>
                <w:iCs/>
                <w:sz w:val="18"/>
                <w:szCs w:val="18"/>
              </w:rPr>
              <w:t>$ 0.656</w:t>
            </w:r>
          </w:p>
        </w:tc>
      </w:tr>
      <w:tr w:rsidR="001117B9" w14:paraId="1771C088" w14:textId="77777777" w:rsidTr="001C6336">
        <w:tc>
          <w:tcPr>
            <w:tcW w:w="2761" w:type="dxa"/>
          </w:tcPr>
          <w:p w14:paraId="438CD3D8" w14:textId="77777777" w:rsidR="001117B9" w:rsidRPr="006A0EA4" w:rsidRDefault="001117B9" w:rsidP="00FC0501">
            <w:pPr>
              <w:rPr>
                <w:rFonts w:asciiTheme="minorHAnsi" w:hAnsiTheme="minorHAnsi" w:cstheme="minorHAnsi"/>
                <w:iCs/>
                <w:sz w:val="18"/>
                <w:szCs w:val="18"/>
              </w:rPr>
            </w:pPr>
            <w:r w:rsidRPr="006A0EA4">
              <w:rPr>
                <w:rFonts w:asciiTheme="minorHAnsi" w:hAnsiTheme="minorHAnsi" w:cstheme="minorHAnsi"/>
                <w:iCs/>
                <w:sz w:val="18"/>
                <w:szCs w:val="18"/>
              </w:rPr>
              <w:lastRenderedPageBreak/>
              <w:t>Mar, 2028</w:t>
            </w:r>
          </w:p>
        </w:tc>
        <w:tc>
          <w:tcPr>
            <w:tcW w:w="3117" w:type="dxa"/>
          </w:tcPr>
          <w:p w14:paraId="0CA7E24F" w14:textId="77777777" w:rsidR="001117B9" w:rsidRPr="006A0EA4" w:rsidRDefault="001117B9" w:rsidP="00C46B51">
            <w:pPr>
              <w:jc w:val="center"/>
              <w:rPr>
                <w:rFonts w:asciiTheme="minorHAnsi" w:hAnsiTheme="minorHAnsi" w:cstheme="minorHAnsi"/>
                <w:iCs/>
                <w:sz w:val="18"/>
                <w:szCs w:val="18"/>
              </w:rPr>
            </w:pPr>
            <w:r w:rsidRPr="006A0EA4">
              <w:rPr>
                <w:rFonts w:asciiTheme="minorHAnsi" w:hAnsiTheme="minorHAnsi" w:cstheme="minorHAnsi"/>
                <w:iCs/>
                <w:sz w:val="18"/>
                <w:szCs w:val="18"/>
              </w:rPr>
              <w:t>1,194,759</w:t>
            </w:r>
          </w:p>
        </w:tc>
        <w:tc>
          <w:tcPr>
            <w:tcW w:w="3117" w:type="dxa"/>
          </w:tcPr>
          <w:p w14:paraId="1FA1A633" w14:textId="77777777" w:rsidR="001117B9" w:rsidRPr="006A0EA4" w:rsidRDefault="001117B9" w:rsidP="00C46B51">
            <w:pPr>
              <w:jc w:val="center"/>
              <w:rPr>
                <w:rFonts w:asciiTheme="minorHAnsi" w:hAnsiTheme="minorHAnsi" w:cstheme="minorHAnsi"/>
                <w:iCs/>
                <w:sz w:val="18"/>
                <w:szCs w:val="18"/>
              </w:rPr>
            </w:pPr>
            <w:r w:rsidRPr="006A0EA4">
              <w:rPr>
                <w:rFonts w:asciiTheme="minorHAnsi" w:hAnsiTheme="minorHAnsi" w:cstheme="minorHAnsi"/>
                <w:iCs/>
                <w:sz w:val="18"/>
                <w:szCs w:val="18"/>
              </w:rPr>
              <w:t>$ 0.613</w:t>
            </w:r>
          </w:p>
        </w:tc>
      </w:tr>
      <w:tr w:rsidR="001117B9" w14:paraId="00F12424" w14:textId="77777777" w:rsidTr="001C6336">
        <w:tc>
          <w:tcPr>
            <w:tcW w:w="2761" w:type="dxa"/>
          </w:tcPr>
          <w:p w14:paraId="01F3D842" w14:textId="77777777" w:rsidR="001117B9" w:rsidRPr="006A0EA4" w:rsidRDefault="001117B9" w:rsidP="00FC0501">
            <w:pPr>
              <w:rPr>
                <w:rFonts w:asciiTheme="minorHAnsi" w:hAnsiTheme="minorHAnsi" w:cstheme="minorHAnsi"/>
                <w:iCs/>
                <w:sz w:val="18"/>
                <w:szCs w:val="18"/>
              </w:rPr>
            </w:pPr>
            <w:r w:rsidRPr="006A0EA4">
              <w:rPr>
                <w:rFonts w:asciiTheme="minorHAnsi" w:hAnsiTheme="minorHAnsi" w:cstheme="minorHAnsi"/>
                <w:iCs/>
                <w:sz w:val="18"/>
                <w:szCs w:val="18"/>
              </w:rPr>
              <w:t>Sep, 2028</w:t>
            </w:r>
          </w:p>
        </w:tc>
        <w:tc>
          <w:tcPr>
            <w:tcW w:w="3117" w:type="dxa"/>
          </w:tcPr>
          <w:p w14:paraId="02BC0DF5" w14:textId="77777777" w:rsidR="001117B9" w:rsidRPr="006A0EA4" w:rsidRDefault="001117B9" w:rsidP="00C46B51">
            <w:pPr>
              <w:jc w:val="center"/>
              <w:rPr>
                <w:rFonts w:asciiTheme="minorHAnsi" w:hAnsiTheme="minorHAnsi" w:cstheme="minorHAnsi"/>
                <w:iCs/>
                <w:sz w:val="18"/>
                <w:szCs w:val="18"/>
              </w:rPr>
            </w:pPr>
            <w:r w:rsidRPr="006A0EA4">
              <w:rPr>
                <w:rFonts w:asciiTheme="minorHAnsi" w:hAnsiTheme="minorHAnsi" w:cstheme="minorHAnsi"/>
                <w:iCs/>
                <w:sz w:val="18"/>
                <w:szCs w:val="18"/>
              </w:rPr>
              <w:t>2,975,208</w:t>
            </w:r>
          </w:p>
        </w:tc>
        <w:tc>
          <w:tcPr>
            <w:tcW w:w="3117" w:type="dxa"/>
          </w:tcPr>
          <w:p w14:paraId="03702968" w14:textId="77777777" w:rsidR="001117B9" w:rsidRPr="006A0EA4" w:rsidRDefault="001117B9" w:rsidP="00C46B51">
            <w:pPr>
              <w:jc w:val="center"/>
              <w:rPr>
                <w:rFonts w:asciiTheme="minorHAnsi" w:hAnsiTheme="minorHAnsi" w:cstheme="minorHAnsi"/>
                <w:iCs/>
                <w:sz w:val="18"/>
                <w:szCs w:val="18"/>
              </w:rPr>
            </w:pPr>
            <w:r w:rsidRPr="006A0EA4">
              <w:rPr>
                <w:rFonts w:asciiTheme="minorHAnsi" w:hAnsiTheme="minorHAnsi" w:cstheme="minorHAnsi"/>
                <w:iCs/>
                <w:sz w:val="18"/>
                <w:szCs w:val="18"/>
              </w:rPr>
              <w:t>$ 0.613</w:t>
            </w:r>
          </w:p>
        </w:tc>
      </w:tr>
      <w:tr w:rsidR="001117B9" w14:paraId="5A94B27A" w14:textId="77777777" w:rsidTr="001C6336">
        <w:tc>
          <w:tcPr>
            <w:tcW w:w="2761" w:type="dxa"/>
          </w:tcPr>
          <w:p w14:paraId="3E042F1E" w14:textId="77777777" w:rsidR="001117B9" w:rsidRPr="006A0EA4" w:rsidRDefault="001117B9" w:rsidP="00FC0501">
            <w:pPr>
              <w:rPr>
                <w:rFonts w:asciiTheme="minorHAnsi" w:hAnsiTheme="minorHAnsi" w:cstheme="minorHAnsi"/>
                <w:iCs/>
                <w:sz w:val="18"/>
                <w:szCs w:val="18"/>
              </w:rPr>
            </w:pPr>
            <w:r w:rsidRPr="006A0EA4">
              <w:rPr>
                <w:rFonts w:asciiTheme="minorHAnsi" w:hAnsiTheme="minorHAnsi" w:cstheme="minorHAnsi"/>
                <w:iCs/>
                <w:sz w:val="18"/>
                <w:szCs w:val="18"/>
              </w:rPr>
              <w:t>Mar, 2029</w:t>
            </w:r>
          </w:p>
        </w:tc>
        <w:tc>
          <w:tcPr>
            <w:tcW w:w="3117" w:type="dxa"/>
          </w:tcPr>
          <w:p w14:paraId="41905AD6" w14:textId="77777777" w:rsidR="001117B9" w:rsidRPr="006A0EA4" w:rsidRDefault="001117B9" w:rsidP="00C46B51">
            <w:pPr>
              <w:jc w:val="center"/>
              <w:rPr>
                <w:rFonts w:asciiTheme="minorHAnsi" w:hAnsiTheme="minorHAnsi" w:cstheme="minorHAnsi"/>
                <w:iCs/>
                <w:sz w:val="18"/>
                <w:szCs w:val="18"/>
              </w:rPr>
            </w:pPr>
            <w:r w:rsidRPr="006A0EA4">
              <w:rPr>
                <w:rFonts w:asciiTheme="minorHAnsi" w:hAnsiTheme="minorHAnsi" w:cstheme="minorHAnsi"/>
                <w:iCs/>
                <w:sz w:val="18"/>
                <w:szCs w:val="18"/>
              </w:rPr>
              <w:t>2,441,947</w:t>
            </w:r>
          </w:p>
        </w:tc>
        <w:tc>
          <w:tcPr>
            <w:tcW w:w="3117" w:type="dxa"/>
          </w:tcPr>
          <w:p w14:paraId="59F9ADFD" w14:textId="77777777" w:rsidR="001117B9" w:rsidRPr="006A0EA4" w:rsidRDefault="001117B9" w:rsidP="00C46B51">
            <w:pPr>
              <w:jc w:val="center"/>
              <w:rPr>
                <w:rFonts w:asciiTheme="minorHAnsi" w:hAnsiTheme="minorHAnsi" w:cstheme="minorHAnsi"/>
                <w:iCs/>
                <w:sz w:val="18"/>
                <w:szCs w:val="18"/>
              </w:rPr>
            </w:pPr>
            <w:r w:rsidRPr="006A0EA4">
              <w:rPr>
                <w:rFonts w:asciiTheme="minorHAnsi" w:hAnsiTheme="minorHAnsi" w:cstheme="minorHAnsi"/>
                <w:iCs/>
                <w:sz w:val="18"/>
                <w:szCs w:val="18"/>
              </w:rPr>
              <w:t>$ 0.458</w:t>
            </w:r>
          </w:p>
        </w:tc>
      </w:tr>
      <w:tr w:rsidR="001117B9" w14:paraId="58ED8075" w14:textId="77777777" w:rsidTr="001C6336">
        <w:tc>
          <w:tcPr>
            <w:tcW w:w="2761" w:type="dxa"/>
          </w:tcPr>
          <w:p w14:paraId="158FDDEC" w14:textId="77777777" w:rsidR="001117B9" w:rsidRPr="006A0EA4" w:rsidRDefault="001117B9" w:rsidP="00FC0501">
            <w:pPr>
              <w:rPr>
                <w:rFonts w:asciiTheme="minorHAnsi" w:hAnsiTheme="minorHAnsi" w:cstheme="minorHAnsi"/>
                <w:iCs/>
                <w:sz w:val="18"/>
                <w:szCs w:val="18"/>
              </w:rPr>
            </w:pPr>
            <w:r w:rsidRPr="006A0EA4">
              <w:rPr>
                <w:rFonts w:asciiTheme="minorHAnsi" w:hAnsiTheme="minorHAnsi" w:cstheme="minorHAnsi"/>
                <w:iCs/>
                <w:sz w:val="18"/>
                <w:szCs w:val="18"/>
              </w:rPr>
              <w:t>Sep, 2029</w:t>
            </w:r>
          </w:p>
        </w:tc>
        <w:tc>
          <w:tcPr>
            <w:tcW w:w="3117" w:type="dxa"/>
          </w:tcPr>
          <w:p w14:paraId="4B4153EA" w14:textId="77777777" w:rsidR="001117B9" w:rsidRPr="006A0EA4" w:rsidRDefault="001117B9" w:rsidP="00C46B51">
            <w:pPr>
              <w:jc w:val="center"/>
              <w:rPr>
                <w:rFonts w:asciiTheme="minorHAnsi" w:hAnsiTheme="minorHAnsi" w:cstheme="minorHAnsi"/>
                <w:iCs/>
                <w:sz w:val="18"/>
                <w:szCs w:val="18"/>
              </w:rPr>
            </w:pPr>
            <w:r w:rsidRPr="006A0EA4">
              <w:rPr>
                <w:rFonts w:asciiTheme="minorHAnsi" w:hAnsiTheme="minorHAnsi" w:cstheme="minorHAnsi"/>
                <w:iCs/>
                <w:sz w:val="18"/>
                <w:szCs w:val="18"/>
              </w:rPr>
              <w:t>2,782,542</w:t>
            </w:r>
          </w:p>
        </w:tc>
        <w:tc>
          <w:tcPr>
            <w:tcW w:w="3117" w:type="dxa"/>
          </w:tcPr>
          <w:p w14:paraId="243D2628" w14:textId="77777777" w:rsidR="001117B9" w:rsidRPr="006A0EA4" w:rsidRDefault="001117B9" w:rsidP="00C46B51">
            <w:pPr>
              <w:jc w:val="center"/>
              <w:rPr>
                <w:rFonts w:asciiTheme="minorHAnsi" w:hAnsiTheme="minorHAnsi" w:cstheme="minorHAnsi"/>
                <w:iCs/>
                <w:sz w:val="18"/>
                <w:szCs w:val="18"/>
              </w:rPr>
            </w:pPr>
            <w:r w:rsidRPr="006A0EA4">
              <w:rPr>
                <w:rFonts w:asciiTheme="minorHAnsi" w:hAnsiTheme="minorHAnsi" w:cstheme="minorHAnsi"/>
                <w:iCs/>
                <w:sz w:val="18"/>
                <w:szCs w:val="18"/>
              </w:rPr>
              <w:t>$ 0.458</w:t>
            </w:r>
          </w:p>
        </w:tc>
      </w:tr>
      <w:tr w:rsidR="001263C9" w14:paraId="5A83373F" w14:textId="77777777" w:rsidTr="00706E49">
        <w:tc>
          <w:tcPr>
            <w:tcW w:w="2761" w:type="dxa"/>
            <w:shd w:val="clear" w:color="auto" w:fill="D9D9D9" w:themeFill="background1" w:themeFillShade="D9"/>
          </w:tcPr>
          <w:p w14:paraId="40175098" w14:textId="4F41C1B9" w:rsidR="001263C9" w:rsidRPr="006A0EA4" w:rsidRDefault="001263C9" w:rsidP="001263C9">
            <w:pPr>
              <w:rPr>
                <w:rFonts w:asciiTheme="minorHAnsi" w:hAnsiTheme="minorHAnsi" w:cstheme="minorHAnsi"/>
                <w:iCs/>
              </w:rPr>
            </w:pPr>
            <w:r w:rsidRPr="006A0EA4">
              <w:rPr>
                <w:rFonts w:asciiTheme="minorHAnsi" w:hAnsiTheme="minorHAnsi" w:cstheme="minorHAnsi"/>
                <w:iCs/>
              </w:rPr>
              <w:t>Total TSB &amp; Average Savings</w:t>
            </w:r>
          </w:p>
        </w:tc>
        <w:tc>
          <w:tcPr>
            <w:tcW w:w="3117" w:type="dxa"/>
            <w:shd w:val="clear" w:color="auto" w:fill="D9D9D9" w:themeFill="background1" w:themeFillShade="D9"/>
            <w:vAlign w:val="center"/>
          </w:tcPr>
          <w:p w14:paraId="597BB780" w14:textId="1874A5DB" w:rsidR="001263C9" w:rsidRPr="006A0EA4" w:rsidRDefault="001263C9" w:rsidP="00C46B51">
            <w:pPr>
              <w:jc w:val="center"/>
              <w:rPr>
                <w:rFonts w:asciiTheme="minorHAnsi" w:hAnsiTheme="minorHAnsi" w:cstheme="minorHAnsi"/>
                <w:iCs/>
              </w:rPr>
            </w:pPr>
            <w:r>
              <w:rPr>
                <w:rFonts w:ascii="Calibri" w:hAnsi="Calibri" w:cs="Calibri"/>
                <w:color w:val="000000"/>
              </w:rPr>
              <w:t>14,707,313</w:t>
            </w:r>
          </w:p>
        </w:tc>
        <w:tc>
          <w:tcPr>
            <w:tcW w:w="3117" w:type="dxa"/>
            <w:shd w:val="clear" w:color="auto" w:fill="D9D9D9" w:themeFill="background1" w:themeFillShade="D9"/>
            <w:vAlign w:val="center"/>
          </w:tcPr>
          <w:p w14:paraId="7A3B92FF" w14:textId="7AABBB62" w:rsidR="001263C9" w:rsidRPr="006A0EA4" w:rsidRDefault="001263C9" w:rsidP="00C46B51">
            <w:pPr>
              <w:jc w:val="center"/>
              <w:rPr>
                <w:rFonts w:asciiTheme="minorHAnsi" w:hAnsiTheme="minorHAnsi" w:cstheme="minorHAnsi"/>
                <w:iCs/>
              </w:rPr>
            </w:pPr>
            <w:r>
              <w:rPr>
                <w:rFonts w:ascii="Calibri" w:hAnsi="Calibri" w:cs="Calibri"/>
                <w:color w:val="000000"/>
              </w:rPr>
              <w:t>$0.63</w:t>
            </w:r>
            <w:r w:rsidR="00C46B51">
              <w:rPr>
                <w:rFonts w:ascii="Calibri" w:hAnsi="Calibri" w:cs="Calibri"/>
                <w:color w:val="000000"/>
              </w:rPr>
              <w:t>4</w:t>
            </w:r>
          </w:p>
        </w:tc>
      </w:tr>
    </w:tbl>
    <w:p w14:paraId="4CD3CD48" w14:textId="77777777" w:rsidR="001117B9" w:rsidRDefault="001117B9" w:rsidP="000F11F2">
      <w:pPr>
        <w:pStyle w:val="Caption"/>
        <w:ind w:firstLine="360"/>
        <w:jc w:val="left"/>
      </w:pPr>
    </w:p>
    <w:p w14:paraId="3D9F9593" w14:textId="4890B045" w:rsidR="00162CF7" w:rsidRPr="008A0B00" w:rsidRDefault="00162CF7" w:rsidP="000F11F2">
      <w:pPr>
        <w:pStyle w:val="Caption"/>
        <w:ind w:firstLine="360"/>
        <w:jc w:val="left"/>
      </w:pPr>
      <w:r w:rsidRPr="008A0B00">
        <w:t xml:space="preserve">Table </w:t>
      </w:r>
      <w:r w:rsidRPr="008A0B00">
        <w:fldChar w:fldCharType="begin"/>
      </w:r>
      <w:r w:rsidRPr="008A0B00">
        <w:instrText>SEQ Table \* ARABIC</w:instrText>
      </w:r>
      <w:r w:rsidRPr="008A0B00">
        <w:fldChar w:fldCharType="separate"/>
      </w:r>
      <w:r w:rsidR="00A6197B">
        <w:rPr>
          <w:noProof/>
        </w:rPr>
        <w:t>3</w:t>
      </w:r>
      <w:r w:rsidRPr="008A0B00">
        <w:fldChar w:fldCharType="end"/>
      </w:r>
      <w:bookmarkEnd w:id="10"/>
      <w:r w:rsidRPr="008A0B00">
        <w:t xml:space="preserve"> Energy Savings Goals</w:t>
      </w:r>
      <w:bookmarkEnd w:id="11"/>
    </w:p>
    <w:tbl>
      <w:tblPr>
        <w:tblStyle w:val="BandedBlueTable"/>
        <w:tblW w:w="0" w:type="auto"/>
        <w:tblInd w:w="355" w:type="dxa"/>
        <w:tblLook w:val="04A0" w:firstRow="1" w:lastRow="0" w:firstColumn="1" w:lastColumn="0" w:noHBand="0" w:noVBand="1"/>
      </w:tblPr>
      <w:tblGrid>
        <w:gridCol w:w="1529"/>
        <w:gridCol w:w="1417"/>
        <w:gridCol w:w="1121"/>
        <w:gridCol w:w="1232"/>
        <w:gridCol w:w="1232"/>
        <w:gridCol w:w="1232"/>
        <w:gridCol w:w="1232"/>
      </w:tblGrid>
      <w:tr w:rsidR="00162CF7" w14:paraId="7AD12735" w14:textId="77777777" w:rsidTr="008C05A7">
        <w:trPr>
          <w:cnfStyle w:val="100000000000" w:firstRow="1" w:lastRow="0" w:firstColumn="0" w:lastColumn="0" w:oddVBand="0" w:evenVBand="0" w:oddHBand="0" w:evenHBand="0" w:firstRowFirstColumn="0" w:firstRowLastColumn="0" w:lastRowFirstColumn="0" w:lastRowLastColumn="0"/>
        </w:trPr>
        <w:tc>
          <w:tcPr>
            <w:tcW w:w="1529" w:type="dxa"/>
          </w:tcPr>
          <w:p w14:paraId="2E39F3C8" w14:textId="77777777" w:rsidR="00162CF7" w:rsidRPr="008C05A7" w:rsidRDefault="00162CF7">
            <w:pPr>
              <w:rPr>
                <w:rFonts w:asciiTheme="minorHAnsi" w:hAnsiTheme="minorHAnsi" w:cstheme="minorHAnsi"/>
                <w:szCs w:val="20"/>
              </w:rPr>
            </w:pPr>
            <w:r w:rsidRPr="008C05A7">
              <w:rPr>
                <w:rFonts w:asciiTheme="minorHAnsi" w:hAnsiTheme="minorHAnsi" w:cstheme="minorHAnsi"/>
                <w:szCs w:val="20"/>
              </w:rPr>
              <w:t>Savings</w:t>
            </w:r>
          </w:p>
        </w:tc>
        <w:tc>
          <w:tcPr>
            <w:tcW w:w="1417" w:type="dxa"/>
          </w:tcPr>
          <w:p w14:paraId="004A0F29" w14:textId="77777777" w:rsidR="00162CF7" w:rsidRPr="008C05A7" w:rsidRDefault="00162CF7">
            <w:pPr>
              <w:jc w:val="center"/>
              <w:rPr>
                <w:rFonts w:asciiTheme="minorHAnsi" w:hAnsiTheme="minorHAnsi" w:cstheme="minorHAnsi"/>
                <w:szCs w:val="20"/>
              </w:rPr>
            </w:pPr>
            <w:r w:rsidRPr="008C05A7">
              <w:rPr>
                <w:rFonts w:asciiTheme="minorHAnsi" w:hAnsiTheme="minorHAnsi" w:cstheme="minorHAnsi"/>
                <w:szCs w:val="20"/>
              </w:rPr>
              <w:t>2024</w:t>
            </w:r>
          </w:p>
        </w:tc>
        <w:tc>
          <w:tcPr>
            <w:tcW w:w="1121" w:type="dxa"/>
          </w:tcPr>
          <w:p w14:paraId="343440A8" w14:textId="77777777" w:rsidR="00162CF7" w:rsidRPr="008C05A7" w:rsidRDefault="00162CF7">
            <w:pPr>
              <w:jc w:val="center"/>
              <w:rPr>
                <w:rFonts w:asciiTheme="minorHAnsi" w:hAnsiTheme="minorHAnsi" w:cstheme="minorHAnsi"/>
                <w:szCs w:val="20"/>
              </w:rPr>
            </w:pPr>
            <w:r w:rsidRPr="008C05A7">
              <w:rPr>
                <w:rFonts w:asciiTheme="minorHAnsi" w:hAnsiTheme="minorHAnsi" w:cstheme="minorHAnsi"/>
                <w:szCs w:val="20"/>
              </w:rPr>
              <w:t>2025</w:t>
            </w:r>
          </w:p>
        </w:tc>
        <w:tc>
          <w:tcPr>
            <w:tcW w:w="1232" w:type="dxa"/>
          </w:tcPr>
          <w:p w14:paraId="53A13FAE" w14:textId="77777777" w:rsidR="00162CF7" w:rsidRPr="008C05A7" w:rsidRDefault="00162CF7">
            <w:pPr>
              <w:jc w:val="center"/>
              <w:rPr>
                <w:rFonts w:asciiTheme="minorHAnsi" w:hAnsiTheme="minorHAnsi" w:cstheme="minorHAnsi"/>
                <w:szCs w:val="20"/>
              </w:rPr>
            </w:pPr>
            <w:r w:rsidRPr="008C05A7">
              <w:rPr>
                <w:rFonts w:asciiTheme="minorHAnsi" w:hAnsiTheme="minorHAnsi" w:cstheme="minorHAnsi"/>
                <w:szCs w:val="20"/>
              </w:rPr>
              <w:t>2026</w:t>
            </w:r>
          </w:p>
        </w:tc>
        <w:tc>
          <w:tcPr>
            <w:tcW w:w="1232" w:type="dxa"/>
          </w:tcPr>
          <w:p w14:paraId="6C14C57C" w14:textId="77777777" w:rsidR="00162CF7" w:rsidRPr="008C05A7" w:rsidRDefault="00162CF7">
            <w:pPr>
              <w:jc w:val="center"/>
              <w:rPr>
                <w:rFonts w:asciiTheme="minorHAnsi" w:hAnsiTheme="minorHAnsi" w:cstheme="minorHAnsi"/>
                <w:szCs w:val="20"/>
              </w:rPr>
            </w:pPr>
            <w:r w:rsidRPr="008C05A7">
              <w:rPr>
                <w:rFonts w:asciiTheme="minorHAnsi" w:hAnsiTheme="minorHAnsi" w:cstheme="minorHAnsi"/>
                <w:szCs w:val="20"/>
              </w:rPr>
              <w:t>2027</w:t>
            </w:r>
          </w:p>
        </w:tc>
        <w:tc>
          <w:tcPr>
            <w:tcW w:w="1232" w:type="dxa"/>
          </w:tcPr>
          <w:p w14:paraId="73E906A0" w14:textId="77777777" w:rsidR="00162CF7" w:rsidRPr="008C05A7" w:rsidRDefault="00162CF7">
            <w:pPr>
              <w:jc w:val="center"/>
              <w:rPr>
                <w:rFonts w:asciiTheme="minorHAnsi" w:hAnsiTheme="minorHAnsi" w:cstheme="minorHAnsi"/>
                <w:szCs w:val="20"/>
              </w:rPr>
            </w:pPr>
            <w:r w:rsidRPr="008C05A7">
              <w:rPr>
                <w:rFonts w:asciiTheme="minorHAnsi" w:hAnsiTheme="minorHAnsi" w:cstheme="minorHAnsi"/>
                <w:szCs w:val="20"/>
              </w:rPr>
              <w:t>2028</w:t>
            </w:r>
          </w:p>
        </w:tc>
        <w:tc>
          <w:tcPr>
            <w:tcW w:w="1232" w:type="dxa"/>
          </w:tcPr>
          <w:p w14:paraId="4DB02D92" w14:textId="77777777" w:rsidR="00162CF7" w:rsidRPr="008C05A7" w:rsidRDefault="00162CF7">
            <w:pPr>
              <w:jc w:val="center"/>
              <w:rPr>
                <w:rFonts w:asciiTheme="minorHAnsi" w:hAnsiTheme="minorHAnsi" w:cstheme="minorHAnsi"/>
                <w:szCs w:val="20"/>
              </w:rPr>
            </w:pPr>
            <w:r w:rsidRPr="008C05A7">
              <w:rPr>
                <w:rFonts w:asciiTheme="minorHAnsi" w:hAnsiTheme="minorHAnsi" w:cstheme="minorHAnsi"/>
                <w:szCs w:val="20"/>
              </w:rPr>
              <w:t>2029</w:t>
            </w:r>
          </w:p>
        </w:tc>
      </w:tr>
      <w:tr w:rsidR="00F46AF7" w14:paraId="57686381" w14:textId="77777777" w:rsidTr="008C05A7">
        <w:tc>
          <w:tcPr>
            <w:tcW w:w="1529" w:type="dxa"/>
          </w:tcPr>
          <w:p w14:paraId="44DA0F0B" w14:textId="77777777" w:rsidR="00F46AF7" w:rsidRPr="008C05A7" w:rsidRDefault="00F46AF7" w:rsidP="00F46AF7">
            <w:pPr>
              <w:rPr>
                <w:rFonts w:asciiTheme="minorHAnsi" w:hAnsiTheme="minorHAnsi" w:cstheme="minorHAnsi"/>
                <w:sz w:val="20"/>
                <w:szCs w:val="20"/>
              </w:rPr>
            </w:pPr>
            <w:r w:rsidRPr="008C05A7">
              <w:rPr>
                <w:rFonts w:asciiTheme="minorHAnsi" w:hAnsiTheme="minorHAnsi" w:cstheme="minorHAnsi"/>
                <w:sz w:val="20"/>
                <w:szCs w:val="20"/>
              </w:rPr>
              <w:t>Gross Demand Reduction (kW)</w:t>
            </w:r>
          </w:p>
        </w:tc>
        <w:tc>
          <w:tcPr>
            <w:tcW w:w="1417" w:type="dxa"/>
            <w:vAlign w:val="center"/>
          </w:tcPr>
          <w:p w14:paraId="7C7FFD52" w14:textId="77777777" w:rsidR="00F46AF7" w:rsidRPr="008C05A7" w:rsidRDefault="00F46AF7" w:rsidP="00F46AF7">
            <w:pPr>
              <w:jc w:val="center"/>
              <w:rPr>
                <w:rFonts w:asciiTheme="minorHAnsi" w:hAnsiTheme="minorHAnsi" w:cstheme="minorHAnsi"/>
                <w:sz w:val="20"/>
                <w:szCs w:val="20"/>
              </w:rPr>
            </w:pPr>
            <w:r w:rsidRPr="008C05A7">
              <w:rPr>
                <w:rFonts w:asciiTheme="minorHAnsi" w:hAnsiTheme="minorHAnsi" w:cstheme="minorHAnsi"/>
                <w:sz w:val="20"/>
                <w:szCs w:val="20"/>
              </w:rPr>
              <w:t>-</w:t>
            </w:r>
          </w:p>
        </w:tc>
        <w:tc>
          <w:tcPr>
            <w:tcW w:w="1121" w:type="dxa"/>
            <w:vAlign w:val="center"/>
          </w:tcPr>
          <w:p w14:paraId="55263B4F" w14:textId="7037BEA5" w:rsidR="00F46AF7" w:rsidRPr="008C05A7" w:rsidRDefault="00F46AF7" w:rsidP="00F46AF7">
            <w:pPr>
              <w:jc w:val="center"/>
              <w:rPr>
                <w:rFonts w:asciiTheme="minorHAnsi" w:hAnsiTheme="minorHAnsi" w:cstheme="minorHAnsi"/>
                <w:sz w:val="20"/>
                <w:szCs w:val="20"/>
              </w:rPr>
            </w:pPr>
            <w:r w:rsidRPr="008C05A7">
              <w:rPr>
                <w:rFonts w:asciiTheme="minorHAnsi" w:hAnsiTheme="minorHAnsi" w:cstheme="minorHAnsi"/>
                <w:sz w:val="20"/>
                <w:szCs w:val="20"/>
              </w:rPr>
              <w:t>-</w:t>
            </w:r>
          </w:p>
        </w:tc>
        <w:tc>
          <w:tcPr>
            <w:tcW w:w="1232" w:type="dxa"/>
            <w:vAlign w:val="center"/>
          </w:tcPr>
          <w:p w14:paraId="36BE1DBE" w14:textId="175DA584" w:rsidR="00F46AF7" w:rsidRPr="008C05A7" w:rsidRDefault="00F46AF7" w:rsidP="00F46AF7">
            <w:pPr>
              <w:jc w:val="center"/>
              <w:rPr>
                <w:rFonts w:asciiTheme="minorHAnsi" w:hAnsiTheme="minorHAnsi" w:cstheme="minorHAnsi"/>
                <w:sz w:val="20"/>
                <w:szCs w:val="20"/>
              </w:rPr>
            </w:pPr>
            <w:r>
              <w:rPr>
                <w:rFonts w:asciiTheme="minorHAnsi" w:hAnsiTheme="minorHAnsi" w:cstheme="minorHAnsi"/>
                <w:color w:val="000000"/>
                <w:sz w:val="20"/>
                <w:szCs w:val="20"/>
              </w:rPr>
              <w:t>564</w:t>
            </w:r>
          </w:p>
        </w:tc>
        <w:tc>
          <w:tcPr>
            <w:tcW w:w="1232" w:type="dxa"/>
            <w:vAlign w:val="center"/>
          </w:tcPr>
          <w:p w14:paraId="3687C5E9" w14:textId="6DB9B875" w:rsidR="00F46AF7" w:rsidRPr="008C05A7" w:rsidRDefault="00F46AF7" w:rsidP="00F46AF7">
            <w:pPr>
              <w:jc w:val="center"/>
              <w:rPr>
                <w:rFonts w:asciiTheme="minorHAnsi" w:hAnsiTheme="minorHAnsi" w:cstheme="minorHAnsi"/>
                <w:sz w:val="20"/>
                <w:szCs w:val="20"/>
              </w:rPr>
            </w:pPr>
            <w:r>
              <w:rPr>
                <w:rFonts w:asciiTheme="minorHAnsi" w:hAnsiTheme="minorHAnsi" w:cstheme="minorHAnsi"/>
                <w:color w:val="000000"/>
                <w:sz w:val="20"/>
                <w:szCs w:val="20"/>
              </w:rPr>
              <w:t>763</w:t>
            </w:r>
          </w:p>
        </w:tc>
        <w:tc>
          <w:tcPr>
            <w:tcW w:w="1232" w:type="dxa"/>
            <w:vAlign w:val="center"/>
          </w:tcPr>
          <w:p w14:paraId="11C044DA" w14:textId="5EBC3697" w:rsidR="00F46AF7" w:rsidRPr="008C05A7" w:rsidRDefault="00F46AF7" w:rsidP="00F46AF7">
            <w:pPr>
              <w:jc w:val="center"/>
              <w:rPr>
                <w:rFonts w:asciiTheme="minorHAnsi" w:hAnsiTheme="minorHAnsi" w:cstheme="minorHAnsi"/>
                <w:sz w:val="20"/>
                <w:szCs w:val="20"/>
              </w:rPr>
            </w:pPr>
            <w:r>
              <w:rPr>
                <w:rFonts w:asciiTheme="minorHAnsi" w:hAnsiTheme="minorHAnsi" w:cstheme="minorHAnsi"/>
                <w:color w:val="000000"/>
                <w:sz w:val="20"/>
                <w:szCs w:val="20"/>
              </w:rPr>
              <w:t>948</w:t>
            </w:r>
          </w:p>
        </w:tc>
        <w:tc>
          <w:tcPr>
            <w:tcW w:w="1232" w:type="dxa"/>
            <w:vAlign w:val="center"/>
          </w:tcPr>
          <w:p w14:paraId="181E246F" w14:textId="3B0151E0" w:rsidR="00F46AF7" w:rsidRPr="008C05A7" w:rsidRDefault="00F46AF7" w:rsidP="00F46AF7">
            <w:pPr>
              <w:jc w:val="center"/>
              <w:rPr>
                <w:rFonts w:asciiTheme="minorHAnsi" w:hAnsiTheme="minorHAnsi" w:cstheme="minorHAnsi"/>
                <w:sz w:val="20"/>
                <w:szCs w:val="20"/>
              </w:rPr>
            </w:pPr>
            <w:r>
              <w:rPr>
                <w:rFonts w:asciiTheme="minorHAnsi" w:hAnsiTheme="minorHAnsi" w:cstheme="minorHAnsi"/>
                <w:color w:val="000000"/>
                <w:sz w:val="20"/>
                <w:szCs w:val="20"/>
              </w:rPr>
              <w:t>1,147</w:t>
            </w:r>
          </w:p>
        </w:tc>
      </w:tr>
      <w:tr w:rsidR="00F46AF7" w14:paraId="1CC3DF56" w14:textId="77777777" w:rsidTr="008C05A7">
        <w:trPr>
          <w:cnfStyle w:val="000000010000" w:firstRow="0" w:lastRow="0" w:firstColumn="0" w:lastColumn="0" w:oddVBand="0" w:evenVBand="0" w:oddHBand="0" w:evenHBand="1" w:firstRowFirstColumn="0" w:firstRowLastColumn="0" w:lastRowFirstColumn="0" w:lastRowLastColumn="0"/>
        </w:trPr>
        <w:tc>
          <w:tcPr>
            <w:tcW w:w="1529" w:type="dxa"/>
          </w:tcPr>
          <w:p w14:paraId="5ABE3A02" w14:textId="77777777" w:rsidR="00F46AF7" w:rsidRPr="008C05A7" w:rsidRDefault="00F46AF7" w:rsidP="00F46AF7">
            <w:pPr>
              <w:rPr>
                <w:rFonts w:asciiTheme="minorHAnsi" w:hAnsiTheme="minorHAnsi" w:cstheme="minorHAnsi"/>
                <w:sz w:val="20"/>
                <w:szCs w:val="20"/>
              </w:rPr>
            </w:pPr>
            <w:r w:rsidRPr="008C05A7">
              <w:rPr>
                <w:rFonts w:asciiTheme="minorHAnsi" w:hAnsiTheme="minorHAnsi" w:cstheme="minorHAnsi"/>
                <w:sz w:val="20"/>
                <w:szCs w:val="20"/>
              </w:rPr>
              <w:t>Gross Energy Savings (kWh)</w:t>
            </w:r>
          </w:p>
        </w:tc>
        <w:tc>
          <w:tcPr>
            <w:tcW w:w="1417" w:type="dxa"/>
            <w:vAlign w:val="center"/>
          </w:tcPr>
          <w:p w14:paraId="4EC43904" w14:textId="77777777" w:rsidR="00F46AF7" w:rsidRPr="008C05A7" w:rsidRDefault="00F46AF7" w:rsidP="00F46AF7">
            <w:pPr>
              <w:jc w:val="center"/>
              <w:rPr>
                <w:rFonts w:asciiTheme="minorHAnsi" w:hAnsiTheme="minorHAnsi" w:cstheme="minorHAnsi"/>
                <w:sz w:val="20"/>
                <w:szCs w:val="20"/>
              </w:rPr>
            </w:pPr>
            <w:r w:rsidRPr="008C05A7">
              <w:rPr>
                <w:rFonts w:asciiTheme="minorHAnsi" w:hAnsiTheme="minorHAnsi" w:cstheme="minorHAnsi"/>
                <w:sz w:val="20"/>
                <w:szCs w:val="20"/>
              </w:rPr>
              <w:t>-</w:t>
            </w:r>
          </w:p>
        </w:tc>
        <w:tc>
          <w:tcPr>
            <w:tcW w:w="1121" w:type="dxa"/>
            <w:vAlign w:val="center"/>
          </w:tcPr>
          <w:p w14:paraId="58CC2392" w14:textId="14BDF097" w:rsidR="00F46AF7" w:rsidRPr="008C05A7" w:rsidRDefault="00F46AF7" w:rsidP="00F46AF7">
            <w:pPr>
              <w:jc w:val="center"/>
              <w:rPr>
                <w:rFonts w:asciiTheme="minorHAnsi" w:hAnsiTheme="minorHAnsi" w:cstheme="minorHAnsi"/>
                <w:sz w:val="20"/>
                <w:szCs w:val="20"/>
              </w:rPr>
            </w:pPr>
            <w:r w:rsidRPr="008C05A7">
              <w:rPr>
                <w:rFonts w:asciiTheme="minorHAnsi" w:hAnsiTheme="minorHAnsi" w:cstheme="minorHAnsi"/>
                <w:sz w:val="20"/>
                <w:szCs w:val="20"/>
              </w:rPr>
              <w:t>-</w:t>
            </w:r>
          </w:p>
        </w:tc>
        <w:tc>
          <w:tcPr>
            <w:tcW w:w="1232" w:type="dxa"/>
            <w:vAlign w:val="center"/>
          </w:tcPr>
          <w:p w14:paraId="2A7D7F11" w14:textId="337DEDAA" w:rsidR="00F46AF7" w:rsidRPr="008C05A7" w:rsidRDefault="00F46AF7" w:rsidP="00F46AF7">
            <w:pPr>
              <w:jc w:val="center"/>
              <w:rPr>
                <w:rFonts w:asciiTheme="minorHAnsi" w:hAnsiTheme="minorHAnsi" w:cstheme="minorHAnsi"/>
                <w:sz w:val="20"/>
                <w:szCs w:val="20"/>
              </w:rPr>
            </w:pPr>
            <w:r>
              <w:rPr>
                <w:rFonts w:asciiTheme="minorHAnsi" w:hAnsiTheme="minorHAnsi" w:cstheme="minorHAnsi"/>
                <w:color w:val="000000"/>
                <w:sz w:val="20"/>
                <w:szCs w:val="20"/>
              </w:rPr>
              <w:t>4,261,911</w:t>
            </w:r>
          </w:p>
        </w:tc>
        <w:tc>
          <w:tcPr>
            <w:tcW w:w="1232" w:type="dxa"/>
            <w:vAlign w:val="center"/>
          </w:tcPr>
          <w:p w14:paraId="2B807FA6" w14:textId="5CC238C9" w:rsidR="00F46AF7" w:rsidRPr="008C05A7" w:rsidRDefault="00F46AF7" w:rsidP="00F46AF7">
            <w:pPr>
              <w:jc w:val="center"/>
              <w:rPr>
                <w:rFonts w:asciiTheme="minorHAnsi" w:hAnsiTheme="minorHAnsi" w:cstheme="minorHAnsi"/>
                <w:sz w:val="20"/>
                <w:szCs w:val="20"/>
              </w:rPr>
            </w:pPr>
            <w:r>
              <w:rPr>
                <w:rFonts w:asciiTheme="minorHAnsi" w:hAnsiTheme="minorHAnsi" w:cstheme="minorHAnsi"/>
                <w:color w:val="000000"/>
                <w:sz w:val="20"/>
                <w:szCs w:val="20"/>
              </w:rPr>
              <w:t>5,746,374</w:t>
            </w:r>
          </w:p>
        </w:tc>
        <w:tc>
          <w:tcPr>
            <w:tcW w:w="1232" w:type="dxa"/>
            <w:vAlign w:val="center"/>
          </w:tcPr>
          <w:p w14:paraId="7BADE04A" w14:textId="436CB5E0" w:rsidR="00F46AF7" w:rsidRPr="008C05A7" w:rsidRDefault="00D04580" w:rsidP="00F46AF7">
            <w:pPr>
              <w:jc w:val="center"/>
              <w:rPr>
                <w:rFonts w:asciiTheme="minorHAnsi" w:hAnsiTheme="minorHAnsi" w:cstheme="minorHAnsi"/>
                <w:sz w:val="20"/>
                <w:szCs w:val="20"/>
              </w:rPr>
            </w:pPr>
            <w:r>
              <w:rPr>
                <w:rFonts w:asciiTheme="minorHAnsi" w:hAnsiTheme="minorHAnsi" w:cstheme="minorHAnsi"/>
                <w:color w:val="000000"/>
                <w:sz w:val="20"/>
                <w:szCs w:val="20"/>
              </w:rPr>
              <w:t>7,139,312</w:t>
            </w:r>
          </w:p>
        </w:tc>
        <w:tc>
          <w:tcPr>
            <w:tcW w:w="1232" w:type="dxa"/>
            <w:vAlign w:val="center"/>
          </w:tcPr>
          <w:p w14:paraId="588260AE" w14:textId="15945229" w:rsidR="00F46AF7" w:rsidRPr="008C05A7" w:rsidRDefault="00D04580" w:rsidP="00F46AF7">
            <w:pPr>
              <w:jc w:val="center"/>
              <w:rPr>
                <w:rFonts w:asciiTheme="minorHAnsi" w:hAnsiTheme="minorHAnsi" w:cstheme="minorHAnsi"/>
                <w:sz w:val="20"/>
                <w:szCs w:val="20"/>
              </w:rPr>
            </w:pPr>
            <w:r>
              <w:rPr>
                <w:rFonts w:asciiTheme="minorHAnsi" w:hAnsiTheme="minorHAnsi" w:cstheme="minorHAnsi"/>
                <w:color w:val="000000"/>
                <w:sz w:val="20"/>
                <w:szCs w:val="20"/>
              </w:rPr>
              <w:t>8,639,837</w:t>
            </w:r>
          </w:p>
        </w:tc>
      </w:tr>
      <w:tr w:rsidR="00F46AF7" w14:paraId="4F449824" w14:textId="77777777" w:rsidTr="008C05A7">
        <w:tc>
          <w:tcPr>
            <w:tcW w:w="1529" w:type="dxa"/>
          </w:tcPr>
          <w:p w14:paraId="215B9DD7" w14:textId="77777777" w:rsidR="00F46AF7" w:rsidRPr="008C05A7" w:rsidRDefault="00F46AF7" w:rsidP="00F46AF7">
            <w:pPr>
              <w:rPr>
                <w:rFonts w:asciiTheme="minorHAnsi" w:hAnsiTheme="minorHAnsi" w:cstheme="minorHAnsi"/>
                <w:sz w:val="20"/>
                <w:szCs w:val="20"/>
              </w:rPr>
            </w:pPr>
            <w:r w:rsidRPr="008C05A7">
              <w:rPr>
                <w:rFonts w:asciiTheme="minorHAnsi" w:hAnsiTheme="minorHAnsi" w:cstheme="minorHAnsi"/>
                <w:sz w:val="20"/>
                <w:szCs w:val="20"/>
              </w:rPr>
              <w:t>Gross Gas Savings (Therms)</w:t>
            </w:r>
          </w:p>
        </w:tc>
        <w:tc>
          <w:tcPr>
            <w:tcW w:w="1417" w:type="dxa"/>
            <w:vAlign w:val="center"/>
          </w:tcPr>
          <w:p w14:paraId="52C31267" w14:textId="77777777" w:rsidR="00F46AF7" w:rsidRPr="008C05A7" w:rsidRDefault="00F46AF7" w:rsidP="00F46AF7">
            <w:pPr>
              <w:jc w:val="center"/>
              <w:rPr>
                <w:rFonts w:asciiTheme="minorHAnsi" w:hAnsiTheme="minorHAnsi" w:cstheme="minorHAnsi"/>
                <w:sz w:val="20"/>
                <w:szCs w:val="20"/>
              </w:rPr>
            </w:pPr>
            <w:r w:rsidRPr="008C05A7">
              <w:rPr>
                <w:rFonts w:asciiTheme="minorHAnsi" w:hAnsiTheme="minorHAnsi" w:cstheme="minorHAnsi"/>
                <w:sz w:val="20"/>
                <w:szCs w:val="20"/>
              </w:rPr>
              <w:t>-</w:t>
            </w:r>
          </w:p>
        </w:tc>
        <w:tc>
          <w:tcPr>
            <w:tcW w:w="1121" w:type="dxa"/>
            <w:vAlign w:val="center"/>
          </w:tcPr>
          <w:p w14:paraId="20A5D655" w14:textId="4A594FCC" w:rsidR="00F46AF7" w:rsidRPr="008C05A7" w:rsidRDefault="00F46AF7" w:rsidP="00F46AF7">
            <w:pPr>
              <w:jc w:val="center"/>
              <w:rPr>
                <w:rFonts w:asciiTheme="minorHAnsi" w:hAnsiTheme="minorHAnsi" w:cstheme="minorHAnsi"/>
                <w:sz w:val="20"/>
                <w:szCs w:val="20"/>
              </w:rPr>
            </w:pPr>
            <w:r w:rsidRPr="008C05A7">
              <w:rPr>
                <w:rFonts w:asciiTheme="minorHAnsi" w:hAnsiTheme="minorHAnsi" w:cstheme="minorHAnsi"/>
                <w:sz w:val="20"/>
                <w:szCs w:val="20"/>
              </w:rPr>
              <w:t>-</w:t>
            </w:r>
          </w:p>
        </w:tc>
        <w:tc>
          <w:tcPr>
            <w:tcW w:w="1232" w:type="dxa"/>
            <w:vAlign w:val="center"/>
          </w:tcPr>
          <w:p w14:paraId="151C3759" w14:textId="368AB3B2" w:rsidR="00F46AF7" w:rsidRPr="008C05A7" w:rsidRDefault="00D04580" w:rsidP="00F46AF7">
            <w:pPr>
              <w:jc w:val="center"/>
              <w:rPr>
                <w:rFonts w:asciiTheme="minorHAnsi" w:hAnsiTheme="minorHAnsi" w:cstheme="minorHAnsi"/>
                <w:sz w:val="20"/>
                <w:szCs w:val="20"/>
              </w:rPr>
            </w:pPr>
            <w:r>
              <w:rPr>
                <w:rFonts w:asciiTheme="minorHAnsi" w:hAnsiTheme="minorHAnsi" w:cstheme="minorHAnsi"/>
                <w:color w:val="000000"/>
                <w:sz w:val="20"/>
                <w:szCs w:val="20"/>
              </w:rPr>
              <w:t>13,263</w:t>
            </w:r>
          </w:p>
        </w:tc>
        <w:tc>
          <w:tcPr>
            <w:tcW w:w="1232" w:type="dxa"/>
            <w:vAlign w:val="center"/>
          </w:tcPr>
          <w:p w14:paraId="76841B35" w14:textId="1C68D891" w:rsidR="00F46AF7" w:rsidRPr="008C05A7" w:rsidRDefault="00D04580" w:rsidP="00F46AF7">
            <w:pPr>
              <w:jc w:val="center"/>
              <w:rPr>
                <w:rFonts w:asciiTheme="minorHAnsi" w:hAnsiTheme="minorHAnsi" w:cstheme="minorHAnsi"/>
                <w:sz w:val="20"/>
                <w:szCs w:val="20"/>
              </w:rPr>
            </w:pPr>
            <w:r>
              <w:rPr>
                <w:rFonts w:asciiTheme="minorHAnsi" w:hAnsiTheme="minorHAnsi" w:cstheme="minorHAnsi"/>
                <w:color w:val="000000"/>
                <w:sz w:val="20"/>
                <w:szCs w:val="20"/>
              </w:rPr>
              <w:t>17,821</w:t>
            </w:r>
          </w:p>
        </w:tc>
        <w:tc>
          <w:tcPr>
            <w:tcW w:w="1232" w:type="dxa"/>
            <w:vAlign w:val="center"/>
          </w:tcPr>
          <w:p w14:paraId="4514C434" w14:textId="6E825889" w:rsidR="00F46AF7" w:rsidRPr="008C05A7" w:rsidRDefault="00D04580" w:rsidP="00F46AF7">
            <w:pPr>
              <w:jc w:val="center"/>
              <w:rPr>
                <w:rFonts w:asciiTheme="minorHAnsi" w:hAnsiTheme="minorHAnsi" w:cstheme="minorHAnsi"/>
                <w:sz w:val="20"/>
                <w:szCs w:val="20"/>
              </w:rPr>
            </w:pPr>
            <w:r>
              <w:rPr>
                <w:rFonts w:asciiTheme="minorHAnsi" w:hAnsiTheme="minorHAnsi" w:cstheme="minorHAnsi"/>
                <w:color w:val="000000"/>
                <w:sz w:val="20"/>
                <w:szCs w:val="20"/>
              </w:rPr>
              <w:t>46,158</w:t>
            </w:r>
          </w:p>
        </w:tc>
        <w:tc>
          <w:tcPr>
            <w:tcW w:w="1232" w:type="dxa"/>
            <w:vAlign w:val="center"/>
          </w:tcPr>
          <w:p w14:paraId="48B7D3C9" w14:textId="1DCADAD6" w:rsidR="00F46AF7" w:rsidRPr="008C05A7" w:rsidRDefault="00D04580" w:rsidP="00F46AF7">
            <w:pPr>
              <w:jc w:val="center"/>
              <w:rPr>
                <w:rFonts w:asciiTheme="minorHAnsi" w:hAnsiTheme="minorHAnsi" w:cstheme="minorHAnsi"/>
                <w:sz w:val="20"/>
                <w:szCs w:val="20"/>
              </w:rPr>
            </w:pPr>
            <w:r>
              <w:rPr>
                <w:rFonts w:asciiTheme="minorHAnsi" w:hAnsiTheme="minorHAnsi" w:cstheme="minorHAnsi"/>
                <w:color w:val="000000"/>
                <w:sz w:val="20"/>
                <w:szCs w:val="20"/>
              </w:rPr>
              <w:t>72,758</w:t>
            </w:r>
          </w:p>
        </w:tc>
      </w:tr>
    </w:tbl>
    <w:p w14:paraId="621E6177" w14:textId="77777777" w:rsidR="00E21B39" w:rsidRPr="00C06495" w:rsidRDefault="00E21B39" w:rsidP="00923D3E">
      <w:pPr>
        <w:pStyle w:val="Heading2"/>
        <w:spacing w:before="200"/>
      </w:pPr>
      <w:bookmarkStart w:id="12" w:name="_Toc168663908"/>
      <w:r w:rsidRPr="00C06495">
        <w:t>Program and/or Sub-Program Cost-Effectiveness (TRC)</w:t>
      </w:r>
      <w:bookmarkEnd w:id="12"/>
    </w:p>
    <w:p w14:paraId="7833CBA7" w14:textId="5C975A55" w:rsidR="00891937" w:rsidRPr="008A0B00" w:rsidRDefault="00636449" w:rsidP="00A553B9">
      <w:pPr>
        <w:pStyle w:val="Caption"/>
        <w:ind w:firstLine="360"/>
        <w:jc w:val="left"/>
      </w:pPr>
      <w:r w:rsidRPr="008A0B00">
        <w:t xml:space="preserve">Table </w:t>
      </w:r>
      <w:r w:rsidR="00B70853">
        <w:fldChar w:fldCharType="begin"/>
      </w:r>
      <w:r w:rsidR="00B70853">
        <w:instrText xml:space="preserve"> SEQ Table \* ARABIC </w:instrText>
      </w:r>
      <w:r w:rsidR="00B70853">
        <w:fldChar w:fldCharType="separate"/>
      </w:r>
      <w:r w:rsidR="00A6197B">
        <w:rPr>
          <w:noProof/>
        </w:rPr>
        <w:t>4</w:t>
      </w:r>
      <w:r w:rsidR="00B70853">
        <w:rPr>
          <w:noProof/>
        </w:rPr>
        <w:fldChar w:fldCharType="end"/>
      </w:r>
      <w:r w:rsidR="00891937" w:rsidRPr="008A0B00">
        <w:t xml:space="preserve"> SPARKe </w:t>
      </w:r>
      <w:r w:rsidR="002379FA">
        <w:t>Commercial</w:t>
      </w:r>
      <w:r w:rsidR="001D4328" w:rsidRPr="008A0B00">
        <w:t xml:space="preserve"> SEM</w:t>
      </w:r>
      <w:r w:rsidR="00891937" w:rsidRPr="008A0B00">
        <w:t xml:space="preserve"> cost-effectiveness goals 2024 - 2029</w:t>
      </w:r>
    </w:p>
    <w:tbl>
      <w:tblPr>
        <w:tblStyle w:val="BandedBlueTable"/>
        <w:tblW w:w="0" w:type="auto"/>
        <w:tblInd w:w="355" w:type="dxa"/>
        <w:tblLook w:val="04A0" w:firstRow="1" w:lastRow="0" w:firstColumn="1" w:lastColumn="0" w:noHBand="0" w:noVBand="1"/>
      </w:tblPr>
      <w:tblGrid>
        <w:gridCol w:w="2637"/>
        <w:gridCol w:w="909"/>
        <w:gridCol w:w="908"/>
        <w:gridCol w:w="908"/>
        <w:gridCol w:w="908"/>
        <w:gridCol w:w="908"/>
        <w:gridCol w:w="905"/>
        <w:gridCol w:w="912"/>
      </w:tblGrid>
      <w:tr w:rsidR="00B010B6" w14:paraId="26B4AE73" w14:textId="07BDEFEC" w:rsidTr="0054736C">
        <w:trPr>
          <w:cnfStyle w:val="100000000000" w:firstRow="1" w:lastRow="0" w:firstColumn="0" w:lastColumn="0" w:oddVBand="0" w:evenVBand="0" w:oddHBand="0" w:evenHBand="0" w:firstRowFirstColumn="0" w:firstRowLastColumn="0" w:lastRowFirstColumn="0" w:lastRowLastColumn="0"/>
        </w:trPr>
        <w:tc>
          <w:tcPr>
            <w:tcW w:w="2675" w:type="dxa"/>
            <w:vAlign w:val="center"/>
          </w:tcPr>
          <w:p w14:paraId="7618B95B" w14:textId="027A4420" w:rsidR="00B010B6" w:rsidRPr="008C05A7" w:rsidRDefault="00B010B6" w:rsidP="0054736C">
            <w:pPr>
              <w:jc w:val="center"/>
              <w:rPr>
                <w:rFonts w:asciiTheme="minorHAnsi" w:hAnsiTheme="minorHAnsi" w:cstheme="minorHAnsi"/>
                <w:szCs w:val="20"/>
              </w:rPr>
            </w:pPr>
            <w:r w:rsidRPr="008C05A7">
              <w:rPr>
                <w:rFonts w:asciiTheme="minorHAnsi" w:hAnsiTheme="minorHAnsi" w:cstheme="minorHAnsi"/>
                <w:szCs w:val="20"/>
              </w:rPr>
              <w:t xml:space="preserve">SPARKe </w:t>
            </w:r>
            <w:r>
              <w:rPr>
                <w:rFonts w:asciiTheme="minorHAnsi" w:hAnsiTheme="minorHAnsi" w:cstheme="minorHAnsi"/>
                <w:szCs w:val="20"/>
              </w:rPr>
              <w:t xml:space="preserve">Commercial SEM </w:t>
            </w:r>
            <w:r w:rsidRPr="008C05A7">
              <w:rPr>
                <w:rFonts w:asciiTheme="minorHAnsi" w:hAnsiTheme="minorHAnsi" w:cstheme="minorHAnsi"/>
                <w:szCs w:val="20"/>
              </w:rPr>
              <w:t>Goals</w:t>
            </w:r>
          </w:p>
        </w:tc>
        <w:tc>
          <w:tcPr>
            <w:tcW w:w="916" w:type="dxa"/>
            <w:vAlign w:val="center"/>
          </w:tcPr>
          <w:p w14:paraId="2D8BC348" w14:textId="77777777" w:rsidR="00B010B6" w:rsidRPr="008C05A7" w:rsidRDefault="00B010B6" w:rsidP="0054736C">
            <w:pPr>
              <w:jc w:val="center"/>
              <w:rPr>
                <w:rFonts w:asciiTheme="minorHAnsi" w:hAnsiTheme="minorHAnsi" w:cstheme="minorHAnsi"/>
                <w:szCs w:val="20"/>
              </w:rPr>
            </w:pPr>
            <w:r w:rsidRPr="008C05A7">
              <w:rPr>
                <w:rFonts w:asciiTheme="minorHAnsi" w:hAnsiTheme="minorHAnsi" w:cstheme="minorHAnsi"/>
                <w:szCs w:val="20"/>
              </w:rPr>
              <w:t>2024</w:t>
            </w:r>
          </w:p>
        </w:tc>
        <w:tc>
          <w:tcPr>
            <w:tcW w:w="916" w:type="dxa"/>
            <w:vAlign w:val="center"/>
          </w:tcPr>
          <w:p w14:paraId="65CF784C" w14:textId="77777777" w:rsidR="00B010B6" w:rsidRPr="008C05A7" w:rsidRDefault="00B010B6" w:rsidP="0054736C">
            <w:pPr>
              <w:jc w:val="center"/>
              <w:rPr>
                <w:rFonts w:asciiTheme="minorHAnsi" w:hAnsiTheme="minorHAnsi" w:cstheme="minorHAnsi"/>
                <w:szCs w:val="20"/>
              </w:rPr>
            </w:pPr>
            <w:r w:rsidRPr="008C05A7">
              <w:rPr>
                <w:rFonts w:asciiTheme="minorHAnsi" w:hAnsiTheme="minorHAnsi" w:cstheme="minorHAnsi"/>
                <w:szCs w:val="20"/>
              </w:rPr>
              <w:t>2025</w:t>
            </w:r>
          </w:p>
        </w:tc>
        <w:tc>
          <w:tcPr>
            <w:tcW w:w="916" w:type="dxa"/>
            <w:vAlign w:val="center"/>
          </w:tcPr>
          <w:p w14:paraId="6346DEF6" w14:textId="77777777" w:rsidR="00B010B6" w:rsidRPr="008C05A7" w:rsidRDefault="00B010B6" w:rsidP="0054736C">
            <w:pPr>
              <w:jc w:val="center"/>
              <w:rPr>
                <w:rFonts w:asciiTheme="minorHAnsi" w:hAnsiTheme="minorHAnsi" w:cstheme="minorHAnsi"/>
                <w:szCs w:val="20"/>
              </w:rPr>
            </w:pPr>
            <w:r w:rsidRPr="008C05A7">
              <w:rPr>
                <w:rFonts w:asciiTheme="minorHAnsi" w:hAnsiTheme="minorHAnsi" w:cstheme="minorHAnsi"/>
                <w:szCs w:val="20"/>
              </w:rPr>
              <w:t>2026</w:t>
            </w:r>
          </w:p>
        </w:tc>
        <w:tc>
          <w:tcPr>
            <w:tcW w:w="916" w:type="dxa"/>
            <w:vAlign w:val="center"/>
          </w:tcPr>
          <w:p w14:paraId="30E47E07" w14:textId="77777777" w:rsidR="00B010B6" w:rsidRPr="008C05A7" w:rsidRDefault="00B010B6" w:rsidP="0054736C">
            <w:pPr>
              <w:jc w:val="center"/>
              <w:rPr>
                <w:rFonts w:asciiTheme="minorHAnsi" w:hAnsiTheme="minorHAnsi" w:cstheme="minorHAnsi"/>
                <w:szCs w:val="20"/>
              </w:rPr>
            </w:pPr>
            <w:r w:rsidRPr="008C05A7">
              <w:rPr>
                <w:rFonts w:asciiTheme="minorHAnsi" w:hAnsiTheme="minorHAnsi" w:cstheme="minorHAnsi"/>
                <w:szCs w:val="20"/>
              </w:rPr>
              <w:t>2027</w:t>
            </w:r>
          </w:p>
        </w:tc>
        <w:tc>
          <w:tcPr>
            <w:tcW w:w="916" w:type="dxa"/>
            <w:vAlign w:val="center"/>
          </w:tcPr>
          <w:p w14:paraId="48C39348" w14:textId="77777777" w:rsidR="00B010B6" w:rsidRPr="008C05A7" w:rsidRDefault="00B010B6" w:rsidP="0054736C">
            <w:pPr>
              <w:jc w:val="center"/>
              <w:rPr>
                <w:rFonts w:asciiTheme="minorHAnsi" w:hAnsiTheme="minorHAnsi" w:cstheme="minorHAnsi"/>
                <w:szCs w:val="20"/>
              </w:rPr>
            </w:pPr>
            <w:r w:rsidRPr="008C05A7">
              <w:rPr>
                <w:rFonts w:asciiTheme="minorHAnsi" w:hAnsiTheme="minorHAnsi" w:cstheme="minorHAnsi"/>
                <w:szCs w:val="20"/>
              </w:rPr>
              <w:t>2028</w:t>
            </w:r>
          </w:p>
        </w:tc>
        <w:tc>
          <w:tcPr>
            <w:tcW w:w="912" w:type="dxa"/>
            <w:vAlign w:val="center"/>
          </w:tcPr>
          <w:p w14:paraId="11F6089A" w14:textId="77777777" w:rsidR="00B010B6" w:rsidRPr="008C05A7" w:rsidRDefault="00B010B6" w:rsidP="0054736C">
            <w:pPr>
              <w:jc w:val="center"/>
              <w:rPr>
                <w:rFonts w:asciiTheme="minorHAnsi" w:hAnsiTheme="minorHAnsi" w:cstheme="minorHAnsi"/>
                <w:szCs w:val="20"/>
              </w:rPr>
            </w:pPr>
            <w:r w:rsidRPr="008C05A7">
              <w:rPr>
                <w:rFonts w:asciiTheme="minorHAnsi" w:hAnsiTheme="minorHAnsi" w:cstheme="minorHAnsi"/>
                <w:szCs w:val="20"/>
              </w:rPr>
              <w:t>2029</w:t>
            </w:r>
          </w:p>
        </w:tc>
        <w:tc>
          <w:tcPr>
            <w:tcW w:w="828" w:type="dxa"/>
            <w:vAlign w:val="center"/>
          </w:tcPr>
          <w:p w14:paraId="1CA9DCDF" w14:textId="6FF03525" w:rsidR="00B010B6" w:rsidRPr="008C05A7" w:rsidRDefault="00B010B6" w:rsidP="0054736C">
            <w:pPr>
              <w:jc w:val="center"/>
              <w:rPr>
                <w:rFonts w:asciiTheme="minorHAnsi" w:hAnsiTheme="minorHAnsi" w:cstheme="minorHAnsi"/>
                <w:szCs w:val="20"/>
              </w:rPr>
            </w:pPr>
            <w:r>
              <w:rPr>
                <w:rFonts w:asciiTheme="minorHAnsi" w:hAnsiTheme="minorHAnsi" w:cstheme="minorHAnsi"/>
                <w:szCs w:val="20"/>
              </w:rPr>
              <w:t>Average</w:t>
            </w:r>
            <w:r w:rsidR="004A6CFD">
              <w:rPr>
                <w:rFonts w:asciiTheme="minorHAnsi" w:hAnsiTheme="minorHAnsi" w:cstheme="minorHAnsi"/>
                <w:szCs w:val="20"/>
              </w:rPr>
              <w:t xml:space="preserve"> 2026 - 2029</w:t>
            </w:r>
          </w:p>
        </w:tc>
      </w:tr>
      <w:tr w:rsidR="00B010B6" w14:paraId="0208BA3A" w14:textId="7D142CC8" w:rsidTr="0054736C">
        <w:tc>
          <w:tcPr>
            <w:tcW w:w="2675" w:type="dxa"/>
            <w:vAlign w:val="center"/>
          </w:tcPr>
          <w:p w14:paraId="7C953596" w14:textId="77777777" w:rsidR="00B010B6" w:rsidRPr="008C05A7" w:rsidRDefault="00B010B6" w:rsidP="0054736C">
            <w:pPr>
              <w:jc w:val="center"/>
              <w:rPr>
                <w:rFonts w:asciiTheme="minorHAnsi" w:hAnsiTheme="minorHAnsi" w:cstheme="minorHAnsi"/>
                <w:sz w:val="20"/>
                <w:szCs w:val="20"/>
              </w:rPr>
            </w:pPr>
            <w:r w:rsidRPr="008C05A7">
              <w:rPr>
                <w:rFonts w:asciiTheme="minorHAnsi" w:hAnsiTheme="minorHAnsi" w:cstheme="minorHAnsi"/>
                <w:sz w:val="20"/>
                <w:szCs w:val="20"/>
              </w:rPr>
              <w:t>Expected TRC Ratio</w:t>
            </w:r>
          </w:p>
        </w:tc>
        <w:tc>
          <w:tcPr>
            <w:tcW w:w="916" w:type="dxa"/>
            <w:vAlign w:val="center"/>
          </w:tcPr>
          <w:p w14:paraId="0335A419" w14:textId="77777777" w:rsidR="00B010B6" w:rsidRPr="008C05A7" w:rsidRDefault="00B010B6" w:rsidP="0054736C">
            <w:pPr>
              <w:jc w:val="center"/>
              <w:rPr>
                <w:rFonts w:asciiTheme="minorHAnsi" w:hAnsiTheme="minorHAnsi" w:cstheme="minorHAnsi"/>
                <w:sz w:val="20"/>
                <w:szCs w:val="20"/>
              </w:rPr>
            </w:pPr>
            <w:r w:rsidRPr="008C05A7">
              <w:rPr>
                <w:rFonts w:asciiTheme="minorHAnsi" w:hAnsiTheme="minorHAnsi" w:cstheme="minorHAnsi"/>
                <w:sz w:val="20"/>
                <w:szCs w:val="20"/>
              </w:rPr>
              <w:t>-</w:t>
            </w:r>
          </w:p>
        </w:tc>
        <w:tc>
          <w:tcPr>
            <w:tcW w:w="916" w:type="dxa"/>
            <w:vAlign w:val="center"/>
          </w:tcPr>
          <w:p w14:paraId="3BE4F613" w14:textId="3CE0786D" w:rsidR="00B010B6" w:rsidRPr="008C05A7" w:rsidRDefault="00B010B6" w:rsidP="0054736C">
            <w:pPr>
              <w:jc w:val="center"/>
              <w:rPr>
                <w:rFonts w:asciiTheme="minorHAnsi" w:hAnsiTheme="minorHAnsi" w:cstheme="minorHAnsi"/>
                <w:sz w:val="20"/>
                <w:szCs w:val="20"/>
              </w:rPr>
            </w:pPr>
            <w:r>
              <w:rPr>
                <w:rFonts w:asciiTheme="minorHAnsi" w:hAnsiTheme="minorHAnsi" w:cstheme="minorHAnsi"/>
                <w:sz w:val="20"/>
                <w:szCs w:val="20"/>
              </w:rPr>
              <w:t>-</w:t>
            </w:r>
          </w:p>
        </w:tc>
        <w:tc>
          <w:tcPr>
            <w:tcW w:w="916" w:type="dxa"/>
            <w:vAlign w:val="center"/>
          </w:tcPr>
          <w:p w14:paraId="59C10A13" w14:textId="58E9E39D" w:rsidR="00B010B6" w:rsidRPr="008C05A7" w:rsidRDefault="00B010B6" w:rsidP="0054736C">
            <w:pPr>
              <w:jc w:val="center"/>
              <w:rPr>
                <w:rFonts w:asciiTheme="minorHAnsi" w:hAnsiTheme="minorHAnsi" w:cstheme="minorHAnsi"/>
                <w:sz w:val="20"/>
                <w:szCs w:val="20"/>
              </w:rPr>
            </w:pPr>
            <w:r>
              <w:rPr>
                <w:rFonts w:asciiTheme="minorHAnsi" w:hAnsiTheme="minorHAnsi" w:cstheme="minorHAnsi"/>
                <w:sz w:val="20"/>
                <w:szCs w:val="20"/>
              </w:rPr>
              <w:t>0.81</w:t>
            </w:r>
          </w:p>
        </w:tc>
        <w:tc>
          <w:tcPr>
            <w:tcW w:w="916" w:type="dxa"/>
            <w:vAlign w:val="center"/>
          </w:tcPr>
          <w:p w14:paraId="5DAC5D35" w14:textId="694327B3" w:rsidR="00B010B6" w:rsidRPr="008C05A7" w:rsidRDefault="00B010B6" w:rsidP="0054736C">
            <w:pPr>
              <w:jc w:val="center"/>
              <w:rPr>
                <w:rFonts w:asciiTheme="minorHAnsi" w:hAnsiTheme="minorHAnsi" w:cstheme="minorHAnsi"/>
                <w:sz w:val="20"/>
                <w:szCs w:val="20"/>
              </w:rPr>
            </w:pPr>
            <w:r>
              <w:rPr>
                <w:rFonts w:asciiTheme="minorHAnsi" w:hAnsiTheme="minorHAnsi" w:cstheme="minorHAnsi"/>
                <w:sz w:val="20"/>
                <w:szCs w:val="20"/>
              </w:rPr>
              <w:t>1.36</w:t>
            </w:r>
          </w:p>
        </w:tc>
        <w:tc>
          <w:tcPr>
            <w:tcW w:w="916" w:type="dxa"/>
            <w:vAlign w:val="center"/>
          </w:tcPr>
          <w:p w14:paraId="3880A015" w14:textId="304EF161" w:rsidR="00B010B6" w:rsidRPr="008C05A7" w:rsidRDefault="00B010B6" w:rsidP="0054736C">
            <w:pPr>
              <w:jc w:val="center"/>
              <w:rPr>
                <w:rFonts w:asciiTheme="minorHAnsi" w:hAnsiTheme="minorHAnsi" w:cstheme="minorHAnsi"/>
                <w:sz w:val="20"/>
                <w:szCs w:val="20"/>
              </w:rPr>
            </w:pPr>
            <w:r>
              <w:rPr>
                <w:rFonts w:asciiTheme="minorHAnsi" w:hAnsiTheme="minorHAnsi" w:cstheme="minorHAnsi"/>
                <w:sz w:val="20"/>
                <w:szCs w:val="20"/>
              </w:rPr>
              <w:t>1.67</w:t>
            </w:r>
          </w:p>
        </w:tc>
        <w:tc>
          <w:tcPr>
            <w:tcW w:w="912" w:type="dxa"/>
            <w:vAlign w:val="center"/>
          </w:tcPr>
          <w:p w14:paraId="398A19B3" w14:textId="4F50C0D5" w:rsidR="00B010B6" w:rsidRPr="008C05A7" w:rsidRDefault="00B010B6" w:rsidP="0054736C">
            <w:pPr>
              <w:jc w:val="center"/>
              <w:rPr>
                <w:rFonts w:asciiTheme="minorHAnsi" w:hAnsiTheme="minorHAnsi" w:cstheme="minorHAnsi"/>
                <w:sz w:val="20"/>
                <w:szCs w:val="20"/>
              </w:rPr>
            </w:pPr>
            <w:r>
              <w:rPr>
                <w:rFonts w:asciiTheme="minorHAnsi" w:hAnsiTheme="minorHAnsi" w:cstheme="minorHAnsi"/>
                <w:sz w:val="20"/>
                <w:szCs w:val="20"/>
              </w:rPr>
              <w:t>2.33</w:t>
            </w:r>
          </w:p>
        </w:tc>
        <w:tc>
          <w:tcPr>
            <w:tcW w:w="828" w:type="dxa"/>
            <w:vAlign w:val="center"/>
          </w:tcPr>
          <w:p w14:paraId="0A06E6A0" w14:textId="2D9EE401" w:rsidR="00B010B6" w:rsidRPr="0026002F" w:rsidRDefault="00F45484" w:rsidP="0054736C">
            <w:pPr>
              <w:jc w:val="center"/>
              <w:rPr>
                <w:rFonts w:asciiTheme="minorHAnsi" w:hAnsiTheme="minorHAnsi" w:cstheme="minorHAnsi"/>
                <w:sz w:val="20"/>
                <w:szCs w:val="20"/>
              </w:rPr>
            </w:pPr>
            <w:r w:rsidRPr="0026002F">
              <w:rPr>
                <w:rFonts w:asciiTheme="minorHAnsi" w:hAnsiTheme="minorHAnsi" w:cstheme="minorHAnsi"/>
                <w:sz w:val="20"/>
                <w:szCs w:val="20"/>
              </w:rPr>
              <w:t>1.54</w:t>
            </w:r>
          </w:p>
        </w:tc>
      </w:tr>
    </w:tbl>
    <w:p w14:paraId="5A0DBB8E" w14:textId="77777777" w:rsidR="00E21B39" w:rsidRPr="00C06495" w:rsidRDefault="00E21B39" w:rsidP="00923D3E">
      <w:pPr>
        <w:pStyle w:val="Heading2"/>
        <w:spacing w:before="200"/>
      </w:pPr>
      <w:bookmarkStart w:id="13" w:name="_Toc168663909"/>
      <w:r w:rsidRPr="00C06495">
        <w:t>Program and/or Sub-Program Cost-Effectiveness (PAC)</w:t>
      </w:r>
      <w:bookmarkEnd w:id="13"/>
    </w:p>
    <w:p w14:paraId="273351A4" w14:textId="7F5078D6" w:rsidR="004204FA" w:rsidRPr="008A0B00" w:rsidRDefault="004204FA" w:rsidP="009E2C3C">
      <w:pPr>
        <w:pStyle w:val="Caption"/>
        <w:ind w:firstLine="360"/>
        <w:jc w:val="left"/>
      </w:pPr>
      <w:r w:rsidRPr="008A0B00">
        <w:t xml:space="preserve">Table </w:t>
      </w:r>
      <w:r w:rsidRPr="008A0B00">
        <w:fldChar w:fldCharType="begin"/>
      </w:r>
      <w:r w:rsidRPr="008A0B00">
        <w:instrText>SEQ Table \* ARABIC</w:instrText>
      </w:r>
      <w:r w:rsidRPr="008A0B00">
        <w:fldChar w:fldCharType="separate"/>
      </w:r>
      <w:r w:rsidR="00A6197B">
        <w:rPr>
          <w:noProof/>
        </w:rPr>
        <w:t>5</w:t>
      </w:r>
      <w:r w:rsidRPr="008A0B00">
        <w:fldChar w:fldCharType="end"/>
      </w:r>
      <w:r w:rsidRPr="008A0B00">
        <w:t xml:space="preserve"> SPARKe </w:t>
      </w:r>
      <w:r w:rsidR="00967822">
        <w:t>Commercial</w:t>
      </w:r>
      <w:r w:rsidRPr="008A0B00">
        <w:t xml:space="preserve"> program cost-effectiveness goals, 2024-2029</w:t>
      </w:r>
    </w:p>
    <w:tbl>
      <w:tblPr>
        <w:tblStyle w:val="BandedBlueTable"/>
        <w:tblW w:w="0" w:type="auto"/>
        <w:tblInd w:w="355" w:type="dxa"/>
        <w:tblLook w:val="04A0" w:firstRow="1" w:lastRow="0" w:firstColumn="1" w:lastColumn="0" w:noHBand="0" w:noVBand="1"/>
      </w:tblPr>
      <w:tblGrid>
        <w:gridCol w:w="3021"/>
        <w:gridCol w:w="849"/>
        <w:gridCol w:w="673"/>
        <w:gridCol w:w="885"/>
        <w:gridCol w:w="885"/>
        <w:gridCol w:w="885"/>
        <w:gridCol w:w="885"/>
        <w:gridCol w:w="912"/>
      </w:tblGrid>
      <w:tr w:rsidR="00B010B6" w14:paraId="40280F4B" w14:textId="77FFEA68" w:rsidTr="0054736C">
        <w:trPr>
          <w:cnfStyle w:val="100000000000" w:firstRow="1" w:lastRow="0" w:firstColumn="0" w:lastColumn="0" w:oddVBand="0" w:evenVBand="0" w:oddHBand="0" w:evenHBand="0" w:firstRowFirstColumn="0" w:firstRowLastColumn="0" w:lastRowFirstColumn="0" w:lastRowLastColumn="0"/>
        </w:trPr>
        <w:tc>
          <w:tcPr>
            <w:tcW w:w="3021" w:type="dxa"/>
            <w:vAlign w:val="center"/>
          </w:tcPr>
          <w:p w14:paraId="76CFBED7" w14:textId="44526983" w:rsidR="00B010B6" w:rsidRPr="009E2C3C" w:rsidRDefault="00B010B6" w:rsidP="0054736C">
            <w:pPr>
              <w:jc w:val="center"/>
              <w:rPr>
                <w:rFonts w:asciiTheme="minorHAnsi" w:hAnsiTheme="minorHAnsi" w:cstheme="minorHAnsi"/>
                <w:szCs w:val="20"/>
              </w:rPr>
            </w:pPr>
            <w:r w:rsidRPr="009E2C3C">
              <w:rPr>
                <w:rFonts w:asciiTheme="minorHAnsi" w:hAnsiTheme="minorHAnsi" w:cstheme="minorHAnsi"/>
                <w:szCs w:val="20"/>
              </w:rPr>
              <w:t xml:space="preserve">SPARKe </w:t>
            </w:r>
            <w:r>
              <w:rPr>
                <w:rFonts w:asciiTheme="minorHAnsi" w:hAnsiTheme="minorHAnsi" w:cstheme="minorHAnsi"/>
                <w:szCs w:val="20"/>
              </w:rPr>
              <w:t xml:space="preserve">Commercial SEM </w:t>
            </w:r>
            <w:r w:rsidRPr="009E2C3C">
              <w:rPr>
                <w:rFonts w:asciiTheme="minorHAnsi" w:hAnsiTheme="minorHAnsi" w:cstheme="minorHAnsi"/>
                <w:szCs w:val="20"/>
              </w:rPr>
              <w:t>Goals</w:t>
            </w:r>
          </w:p>
        </w:tc>
        <w:tc>
          <w:tcPr>
            <w:tcW w:w="849" w:type="dxa"/>
            <w:vAlign w:val="center"/>
          </w:tcPr>
          <w:p w14:paraId="1AD93C23" w14:textId="77777777" w:rsidR="00B010B6" w:rsidRPr="009E2C3C" w:rsidRDefault="00B010B6" w:rsidP="0054736C">
            <w:pPr>
              <w:jc w:val="center"/>
              <w:rPr>
                <w:rFonts w:asciiTheme="minorHAnsi" w:hAnsiTheme="minorHAnsi" w:cstheme="minorHAnsi"/>
                <w:szCs w:val="20"/>
              </w:rPr>
            </w:pPr>
            <w:r w:rsidRPr="009E2C3C">
              <w:rPr>
                <w:rFonts w:asciiTheme="minorHAnsi" w:hAnsiTheme="minorHAnsi" w:cstheme="minorHAnsi"/>
                <w:szCs w:val="20"/>
              </w:rPr>
              <w:t>2024</w:t>
            </w:r>
          </w:p>
        </w:tc>
        <w:tc>
          <w:tcPr>
            <w:tcW w:w="673" w:type="dxa"/>
            <w:vAlign w:val="center"/>
          </w:tcPr>
          <w:p w14:paraId="1AE4D246" w14:textId="77777777" w:rsidR="00B010B6" w:rsidRPr="009E2C3C" w:rsidRDefault="00B010B6" w:rsidP="0054736C">
            <w:pPr>
              <w:jc w:val="center"/>
              <w:rPr>
                <w:rFonts w:asciiTheme="minorHAnsi" w:hAnsiTheme="minorHAnsi" w:cstheme="minorHAnsi"/>
                <w:szCs w:val="20"/>
              </w:rPr>
            </w:pPr>
            <w:r w:rsidRPr="009E2C3C">
              <w:rPr>
                <w:rFonts w:asciiTheme="minorHAnsi" w:hAnsiTheme="minorHAnsi" w:cstheme="minorHAnsi"/>
                <w:szCs w:val="20"/>
              </w:rPr>
              <w:t>2025</w:t>
            </w:r>
          </w:p>
        </w:tc>
        <w:tc>
          <w:tcPr>
            <w:tcW w:w="885" w:type="dxa"/>
            <w:vAlign w:val="center"/>
          </w:tcPr>
          <w:p w14:paraId="57638CD0" w14:textId="77777777" w:rsidR="00B010B6" w:rsidRPr="009E2C3C" w:rsidRDefault="00B010B6" w:rsidP="0054736C">
            <w:pPr>
              <w:jc w:val="center"/>
              <w:rPr>
                <w:rFonts w:asciiTheme="minorHAnsi" w:hAnsiTheme="minorHAnsi" w:cstheme="minorHAnsi"/>
                <w:szCs w:val="20"/>
              </w:rPr>
            </w:pPr>
            <w:r w:rsidRPr="009E2C3C">
              <w:rPr>
                <w:rFonts w:asciiTheme="minorHAnsi" w:hAnsiTheme="minorHAnsi" w:cstheme="minorHAnsi"/>
                <w:szCs w:val="20"/>
              </w:rPr>
              <w:t>2026</w:t>
            </w:r>
          </w:p>
        </w:tc>
        <w:tc>
          <w:tcPr>
            <w:tcW w:w="885" w:type="dxa"/>
            <w:vAlign w:val="center"/>
          </w:tcPr>
          <w:p w14:paraId="211DE90C" w14:textId="77777777" w:rsidR="00B010B6" w:rsidRPr="009E2C3C" w:rsidRDefault="00B010B6" w:rsidP="0054736C">
            <w:pPr>
              <w:jc w:val="center"/>
              <w:rPr>
                <w:rFonts w:asciiTheme="minorHAnsi" w:hAnsiTheme="minorHAnsi" w:cstheme="minorHAnsi"/>
                <w:szCs w:val="20"/>
              </w:rPr>
            </w:pPr>
            <w:r w:rsidRPr="009E2C3C">
              <w:rPr>
                <w:rFonts w:asciiTheme="minorHAnsi" w:hAnsiTheme="minorHAnsi" w:cstheme="minorHAnsi"/>
                <w:szCs w:val="20"/>
              </w:rPr>
              <w:t>2027</w:t>
            </w:r>
          </w:p>
        </w:tc>
        <w:tc>
          <w:tcPr>
            <w:tcW w:w="885" w:type="dxa"/>
            <w:vAlign w:val="center"/>
          </w:tcPr>
          <w:p w14:paraId="138230E7" w14:textId="77777777" w:rsidR="00B010B6" w:rsidRPr="009E2C3C" w:rsidRDefault="00B010B6" w:rsidP="0054736C">
            <w:pPr>
              <w:jc w:val="center"/>
              <w:rPr>
                <w:rFonts w:asciiTheme="minorHAnsi" w:hAnsiTheme="minorHAnsi" w:cstheme="minorHAnsi"/>
                <w:szCs w:val="20"/>
              </w:rPr>
            </w:pPr>
            <w:r w:rsidRPr="009E2C3C">
              <w:rPr>
                <w:rFonts w:asciiTheme="minorHAnsi" w:hAnsiTheme="minorHAnsi" w:cstheme="minorHAnsi"/>
                <w:szCs w:val="20"/>
              </w:rPr>
              <w:t>2028</w:t>
            </w:r>
          </w:p>
        </w:tc>
        <w:tc>
          <w:tcPr>
            <w:tcW w:w="885" w:type="dxa"/>
            <w:vAlign w:val="center"/>
          </w:tcPr>
          <w:p w14:paraId="049AC299" w14:textId="77777777" w:rsidR="00B010B6" w:rsidRPr="009E2C3C" w:rsidRDefault="00B010B6" w:rsidP="0054736C">
            <w:pPr>
              <w:jc w:val="center"/>
              <w:rPr>
                <w:rFonts w:asciiTheme="minorHAnsi" w:hAnsiTheme="minorHAnsi" w:cstheme="minorHAnsi"/>
                <w:szCs w:val="20"/>
              </w:rPr>
            </w:pPr>
            <w:r w:rsidRPr="009E2C3C">
              <w:rPr>
                <w:rFonts w:asciiTheme="minorHAnsi" w:hAnsiTheme="minorHAnsi" w:cstheme="minorHAnsi"/>
                <w:szCs w:val="20"/>
              </w:rPr>
              <w:t>2029</w:t>
            </w:r>
          </w:p>
        </w:tc>
        <w:tc>
          <w:tcPr>
            <w:tcW w:w="912" w:type="dxa"/>
            <w:vAlign w:val="center"/>
          </w:tcPr>
          <w:p w14:paraId="2FD08F38" w14:textId="2849A28B" w:rsidR="00B010B6" w:rsidRPr="009E2C3C" w:rsidRDefault="004A6CFD" w:rsidP="0054736C">
            <w:pPr>
              <w:jc w:val="center"/>
              <w:rPr>
                <w:rFonts w:asciiTheme="minorHAnsi" w:hAnsiTheme="minorHAnsi" w:cstheme="minorHAnsi"/>
                <w:szCs w:val="20"/>
              </w:rPr>
            </w:pPr>
            <w:r>
              <w:rPr>
                <w:rFonts w:asciiTheme="minorHAnsi" w:hAnsiTheme="minorHAnsi" w:cstheme="minorHAnsi"/>
                <w:szCs w:val="20"/>
              </w:rPr>
              <w:t>Average 2026 - 2029</w:t>
            </w:r>
          </w:p>
        </w:tc>
      </w:tr>
      <w:tr w:rsidR="00B010B6" w14:paraId="66569997" w14:textId="2B5D3FBB" w:rsidTr="0054736C">
        <w:tc>
          <w:tcPr>
            <w:tcW w:w="3021" w:type="dxa"/>
            <w:vAlign w:val="center"/>
          </w:tcPr>
          <w:p w14:paraId="5BDF946D" w14:textId="77777777" w:rsidR="00B010B6" w:rsidRPr="009E2C3C" w:rsidRDefault="00B010B6" w:rsidP="0054736C">
            <w:pPr>
              <w:jc w:val="center"/>
              <w:rPr>
                <w:rFonts w:asciiTheme="minorHAnsi" w:hAnsiTheme="minorHAnsi" w:cstheme="minorHAnsi"/>
                <w:sz w:val="20"/>
                <w:szCs w:val="20"/>
              </w:rPr>
            </w:pPr>
            <w:r w:rsidRPr="009E2C3C">
              <w:rPr>
                <w:rFonts w:asciiTheme="minorHAnsi" w:hAnsiTheme="minorHAnsi" w:cstheme="minorHAnsi"/>
                <w:sz w:val="20"/>
                <w:szCs w:val="20"/>
              </w:rPr>
              <w:t>Program Administrator Cost (PAC)</w:t>
            </w:r>
          </w:p>
        </w:tc>
        <w:tc>
          <w:tcPr>
            <w:tcW w:w="849" w:type="dxa"/>
            <w:vAlign w:val="center"/>
          </w:tcPr>
          <w:p w14:paraId="2B4DEDD2" w14:textId="77777777" w:rsidR="00B010B6" w:rsidRPr="009E2C3C" w:rsidRDefault="00B010B6" w:rsidP="0054736C">
            <w:pPr>
              <w:jc w:val="center"/>
              <w:rPr>
                <w:rFonts w:asciiTheme="minorHAnsi" w:hAnsiTheme="minorHAnsi" w:cstheme="minorHAnsi"/>
                <w:sz w:val="20"/>
                <w:szCs w:val="20"/>
              </w:rPr>
            </w:pPr>
            <w:r w:rsidRPr="009E2C3C">
              <w:rPr>
                <w:rFonts w:asciiTheme="minorHAnsi" w:hAnsiTheme="minorHAnsi" w:cstheme="minorHAnsi"/>
                <w:sz w:val="20"/>
                <w:szCs w:val="20"/>
              </w:rPr>
              <w:t>-</w:t>
            </w:r>
          </w:p>
        </w:tc>
        <w:tc>
          <w:tcPr>
            <w:tcW w:w="673" w:type="dxa"/>
            <w:vAlign w:val="center"/>
          </w:tcPr>
          <w:p w14:paraId="67A94B0F" w14:textId="4359E211" w:rsidR="00B010B6" w:rsidRPr="009E2C3C" w:rsidRDefault="00B010B6" w:rsidP="0054736C">
            <w:pPr>
              <w:jc w:val="center"/>
              <w:rPr>
                <w:rFonts w:asciiTheme="minorHAnsi" w:hAnsiTheme="minorHAnsi" w:cstheme="minorHAnsi"/>
                <w:sz w:val="20"/>
                <w:szCs w:val="20"/>
              </w:rPr>
            </w:pPr>
            <w:r>
              <w:rPr>
                <w:rFonts w:asciiTheme="minorHAnsi" w:hAnsiTheme="minorHAnsi" w:cstheme="minorHAnsi"/>
                <w:sz w:val="20"/>
                <w:szCs w:val="20"/>
              </w:rPr>
              <w:t>-</w:t>
            </w:r>
          </w:p>
        </w:tc>
        <w:tc>
          <w:tcPr>
            <w:tcW w:w="885" w:type="dxa"/>
            <w:vAlign w:val="center"/>
          </w:tcPr>
          <w:p w14:paraId="64B15A02" w14:textId="40B8CBB0" w:rsidR="00B010B6" w:rsidRPr="009E2C3C" w:rsidRDefault="00B010B6" w:rsidP="0054736C">
            <w:pPr>
              <w:jc w:val="center"/>
              <w:rPr>
                <w:rFonts w:asciiTheme="minorHAnsi" w:hAnsiTheme="minorHAnsi" w:cstheme="minorHAnsi"/>
                <w:sz w:val="20"/>
                <w:szCs w:val="20"/>
              </w:rPr>
            </w:pPr>
            <w:r>
              <w:rPr>
                <w:rFonts w:asciiTheme="minorHAnsi" w:hAnsiTheme="minorHAnsi" w:cstheme="minorHAnsi"/>
                <w:sz w:val="20"/>
                <w:szCs w:val="20"/>
              </w:rPr>
              <w:t>0.80</w:t>
            </w:r>
          </w:p>
        </w:tc>
        <w:tc>
          <w:tcPr>
            <w:tcW w:w="885" w:type="dxa"/>
            <w:vAlign w:val="center"/>
          </w:tcPr>
          <w:p w14:paraId="02D6FD96" w14:textId="63904917" w:rsidR="00B010B6" w:rsidRPr="009E2C3C" w:rsidRDefault="00B010B6" w:rsidP="0054736C">
            <w:pPr>
              <w:jc w:val="center"/>
              <w:rPr>
                <w:rFonts w:asciiTheme="minorHAnsi" w:hAnsiTheme="minorHAnsi" w:cstheme="minorHAnsi"/>
                <w:sz w:val="20"/>
                <w:szCs w:val="20"/>
              </w:rPr>
            </w:pPr>
            <w:r>
              <w:rPr>
                <w:rFonts w:asciiTheme="minorHAnsi" w:hAnsiTheme="minorHAnsi" w:cstheme="minorHAnsi"/>
                <w:sz w:val="20"/>
                <w:szCs w:val="20"/>
              </w:rPr>
              <w:t>1.32</w:t>
            </w:r>
          </w:p>
        </w:tc>
        <w:tc>
          <w:tcPr>
            <w:tcW w:w="885" w:type="dxa"/>
            <w:vAlign w:val="center"/>
          </w:tcPr>
          <w:p w14:paraId="0CCB0477" w14:textId="2AD52254" w:rsidR="00B010B6" w:rsidRPr="009E2C3C" w:rsidRDefault="00B010B6" w:rsidP="0054736C">
            <w:pPr>
              <w:jc w:val="center"/>
              <w:rPr>
                <w:rFonts w:asciiTheme="minorHAnsi" w:hAnsiTheme="minorHAnsi" w:cstheme="minorHAnsi"/>
                <w:sz w:val="20"/>
                <w:szCs w:val="20"/>
              </w:rPr>
            </w:pPr>
            <w:r>
              <w:rPr>
                <w:rFonts w:asciiTheme="minorHAnsi" w:hAnsiTheme="minorHAnsi" w:cstheme="minorHAnsi"/>
                <w:sz w:val="20"/>
                <w:szCs w:val="20"/>
              </w:rPr>
              <w:t>1.54</w:t>
            </w:r>
          </w:p>
        </w:tc>
        <w:tc>
          <w:tcPr>
            <w:tcW w:w="885" w:type="dxa"/>
            <w:vAlign w:val="center"/>
          </w:tcPr>
          <w:p w14:paraId="6376F9B6" w14:textId="3EE9B94E" w:rsidR="00B010B6" w:rsidRPr="009E2C3C" w:rsidRDefault="00B010B6" w:rsidP="0054736C">
            <w:pPr>
              <w:jc w:val="center"/>
              <w:rPr>
                <w:rFonts w:asciiTheme="minorHAnsi" w:hAnsiTheme="minorHAnsi" w:cstheme="minorHAnsi"/>
                <w:sz w:val="20"/>
                <w:szCs w:val="20"/>
              </w:rPr>
            </w:pPr>
            <w:r>
              <w:rPr>
                <w:rFonts w:asciiTheme="minorHAnsi" w:hAnsiTheme="minorHAnsi" w:cstheme="minorHAnsi"/>
                <w:sz w:val="20"/>
                <w:szCs w:val="20"/>
              </w:rPr>
              <w:t>1.99</w:t>
            </w:r>
          </w:p>
        </w:tc>
        <w:tc>
          <w:tcPr>
            <w:tcW w:w="912" w:type="dxa"/>
            <w:vAlign w:val="center"/>
          </w:tcPr>
          <w:p w14:paraId="3362B968" w14:textId="07DB83F1" w:rsidR="00B010B6" w:rsidRPr="0026002F" w:rsidRDefault="0026002F" w:rsidP="0054736C">
            <w:pPr>
              <w:jc w:val="center"/>
              <w:rPr>
                <w:rFonts w:ascii="Aptos Narrow" w:hAnsi="Aptos Narrow"/>
                <w:color w:val="000000"/>
              </w:rPr>
            </w:pPr>
            <w:r w:rsidRPr="0026002F">
              <w:rPr>
                <w:rFonts w:asciiTheme="minorHAnsi" w:hAnsiTheme="minorHAnsi" w:cstheme="minorHAnsi"/>
                <w:sz w:val="20"/>
                <w:szCs w:val="20"/>
              </w:rPr>
              <w:t>1.41</w:t>
            </w:r>
          </w:p>
        </w:tc>
      </w:tr>
    </w:tbl>
    <w:p w14:paraId="64F22F40" w14:textId="77777777" w:rsidR="00B27991" w:rsidRDefault="00E21B39" w:rsidP="00923D3E">
      <w:pPr>
        <w:pStyle w:val="Heading2"/>
        <w:spacing w:before="200"/>
      </w:pPr>
      <w:bookmarkStart w:id="14" w:name="_Toc168663910"/>
      <w:r w:rsidRPr="00C06495">
        <w:lastRenderedPageBreak/>
        <w:t xml:space="preserve">Type of Program and/or Sub-Program </w:t>
      </w:r>
      <w:r w:rsidR="00B27991" w:rsidRPr="00C06495">
        <w:t>Implementer</w:t>
      </w:r>
      <w:bookmarkEnd w:id="5"/>
      <w:bookmarkEnd w:id="6"/>
      <w:bookmarkEnd w:id="7"/>
      <w:bookmarkEnd w:id="8"/>
      <w:bookmarkEnd w:id="14"/>
      <w:r w:rsidR="00B27991" w:rsidRPr="00C06495">
        <w:t xml:space="preserve"> </w:t>
      </w:r>
    </w:p>
    <w:p w14:paraId="2B253F7A" w14:textId="4D19751F" w:rsidR="008A0B00" w:rsidRDefault="008A0B00" w:rsidP="008A0B00">
      <w:pPr>
        <w:pStyle w:val="Caption"/>
        <w:ind w:firstLine="360"/>
        <w:jc w:val="left"/>
      </w:pPr>
      <w:r>
        <w:t xml:space="preserve">Table </w:t>
      </w:r>
      <w:r w:rsidR="00B70853">
        <w:fldChar w:fldCharType="begin"/>
      </w:r>
      <w:r w:rsidR="00B70853">
        <w:instrText xml:space="preserve"> SEQ Table \* ARABIC </w:instrText>
      </w:r>
      <w:r w:rsidR="00B70853">
        <w:fldChar w:fldCharType="separate"/>
      </w:r>
      <w:r w:rsidR="00A6197B">
        <w:rPr>
          <w:noProof/>
        </w:rPr>
        <w:t>6</w:t>
      </w:r>
      <w:r w:rsidR="00B70853">
        <w:rPr>
          <w:noProof/>
        </w:rPr>
        <w:fldChar w:fldCharType="end"/>
      </w:r>
      <w:r>
        <w:t xml:space="preserve">: </w:t>
      </w:r>
      <w:r w:rsidR="00526690">
        <w:t>Implementer Type</w:t>
      </w:r>
    </w:p>
    <w:tbl>
      <w:tblPr>
        <w:tblStyle w:val="TableGrid2"/>
        <w:tblW w:w="5325" w:type="dxa"/>
        <w:tblInd w:w="4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9" w:type="dxa"/>
          <w:left w:w="72" w:type="dxa"/>
          <w:bottom w:w="29" w:type="dxa"/>
          <w:right w:w="72" w:type="dxa"/>
        </w:tblCellMar>
        <w:tblLook w:val="04A0" w:firstRow="1" w:lastRow="0" w:firstColumn="1" w:lastColumn="0" w:noHBand="0" w:noVBand="1"/>
      </w:tblPr>
      <w:tblGrid>
        <w:gridCol w:w="4140"/>
        <w:gridCol w:w="1185"/>
      </w:tblGrid>
      <w:tr w:rsidR="00B27991" w:rsidRPr="00925249" w14:paraId="47C2BB90" w14:textId="77777777" w:rsidTr="009E2C3C">
        <w:trPr>
          <w:tblHeader/>
        </w:trPr>
        <w:tc>
          <w:tcPr>
            <w:tcW w:w="4140" w:type="dxa"/>
            <w:shd w:val="clear" w:color="auto" w:fill="2F5496" w:themeFill="accent1" w:themeFillShade="BF"/>
          </w:tcPr>
          <w:p w14:paraId="3A0B90AD" w14:textId="77777777" w:rsidR="00B27991" w:rsidRPr="00FA5DB4" w:rsidRDefault="00B27991" w:rsidP="00925249">
            <w:pPr>
              <w:rPr>
                <w:color w:val="FFFFFF" w:themeColor="background1"/>
              </w:rPr>
            </w:pPr>
            <w:r w:rsidRPr="00FA5DB4">
              <w:rPr>
                <w:b/>
                <w:color w:val="FFFFFF" w:themeColor="background1"/>
              </w:rPr>
              <w:t>Program Implement</w:t>
            </w:r>
            <w:r w:rsidR="00DC30AB" w:rsidRPr="00FA5DB4">
              <w:rPr>
                <w:b/>
                <w:color w:val="FFFFFF" w:themeColor="background1"/>
              </w:rPr>
              <w:t>e</w:t>
            </w:r>
            <w:r w:rsidRPr="00FA5DB4">
              <w:rPr>
                <w:b/>
                <w:color w:val="FFFFFF" w:themeColor="background1"/>
              </w:rPr>
              <w:t>r</w:t>
            </w:r>
          </w:p>
        </w:tc>
        <w:tc>
          <w:tcPr>
            <w:tcW w:w="1185" w:type="dxa"/>
            <w:shd w:val="clear" w:color="auto" w:fill="2F5496" w:themeFill="accent1" w:themeFillShade="BF"/>
            <w:vAlign w:val="center"/>
          </w:tcPr>
          <w:p w14:paraId="68BA224C" w14:textId="77777777" w:rsidR="00B27991" w:rsidRPr="00FA5DB4" w:rsidRDefault="00B27991" w:rsidP="00925249">
            <w:pPr>
              <w:rPr>
                <w:color w:val="FFFFFF" w:themeColor="background1"/>
              </w:rPr>
            </w:pPr>
          </w:p>
        </w:tc>
      </w:tr>
      <w:tr w:rsidR="00B27991" w:rsidRPr="00B27991" w14:paraId="30C40A95" w14:textId="77777777" w:rsidTr="009E2C3C">
        <w:tc>
          <w:tcPr>
            <w:tcW w:w="4140" w:type="dxa"/>
          </w:tcPr>
          <w:p w14:paraId="14A26A1E" w14:textId="77777777" w:rsidR="00B27991" w:rsidRPr="00B27991" w:rsidRDefault="00E21B39" w:rsidP="006E563B">
            <w:pPr>
              <w:spacing w:before="40" w:after="40"/>
            </w:pPr>
            <w:r>
              <w:t>PA-delivered</w:t>
            </w:r>
          </w:p>
        </w:tc>
        <w:sdt>
          <w:sdtPr>
            <w:id w:val="-1955089280"/>
            <w14:checkbox>
              <w14:checked w14:val="0"/>
              <w14:checkedState w14:val="2612" w14:font="MS Gothic"/>
              <w14:uncheckedState w14:val="2610" w14:font="MS Gothic"/>
            </w14:checkbox>
          </w:sdtPr>
          <w:sdtEndPr/>
          <w:sdtContent>
            <w:tc>
              <w:tcPr>
                <w:tcW w:w="1185" w:type="dxa"/>
                <w:vAlign w:val="center"/>
              </w:tcPr>
              <w:p w14:paraId="35CDBC78" w14:textId="77777777" w:rsidR="00B27991" w:rsidRPr="00B27991" w:rsidRDefault="00E21B39" w:rsidP="006E563B">
                <w:pPr>
                  <w:spacing w:before="40" w:after="40"/>
                  <w:jc w:val="center"/>
                </w:pPr>
                <w:r>
                  <w:rPr>
                    <w:rFonts w:ascii="MS Gothic" w:eastAsia="MS Gothic" w:hAnsi="MS Gothic" w:hint="eastAsia"/>
                  </w:rPr>
                  <w:t>☐</w:t>
                </w:r>
              </w:p>
            </w:tc>
          </w:sdtContent>
        </w:sdt>
      </w:tr>
      <w:tr w:rsidR="00B27991" w:rsidRPr="00B27991" w14:paraId="58B20CEC" w14:textId="77777777" w:rsidTr="009E2C3C">
        <w:tc>
          <w:tcPr>
            <w:tcW w:w="4140" w:type="dxa"/>
          </w:tcPr>
          <w:p w14:paraId="6BD6B870" w14:textId="77777777" w:rsidR="00B27991" w:rsidRPr="00DD6B13" w:rsidRDefault="00B27991" w:rsidP="006E563B">
            <w:pPr>
              <w:spacing w:before="40" w:after="40"/>
            </w:pPr>
            <w:r w:rsidRPr="00DD6B13">
              <w:t>Third Party</w:t>
            </w:r>
            <w:r w:rsidR="00E21B39">
              <w:t>-Delivered</w:t>
            </w:r>
          </w:p>
        </w:tc>
        <w:tc>
          <w:tcPr>
            <w:tcW w:w="1185" w:type="dxa"/>
            <w:vAlign w:val="center"/>
          </w:tcPr>
          <w:p w14:paraId="276E9760" w14:textId="7E64B95C" w:rsidR="00B27991" w:rsidRPr="00B27991" w:rsidRDefault="00B70853" w:rsidP="006E563B">
            <w:pPr>
              <w:spacing w:before="40" w:after="40"/>
              <w:jc w:val="center"/>
            </w:pPr>
            <w:sdt>
              <w:sdtPr>
                <w:id w:val="-1926724177"/>
                <w14:checkbox>
                  <w14:checked w14:val="1"/>
                  <w14:checkedState w14:val="2612" w14:font="MS Gothic"/>
                  <w14:uncheckedState w14:val="2610" w14:font="MS Gothic"/>
                </w14:checkbox>
              </w:sdtPr>
              <w:sdtEndPr/>
              <w:sdtContent>
                <w:r w:rsidR="004204FA">
                  <w:rPr>
                    <w:rFonts w:ascii="MS Gothic" w:eastAsia="MS Gothic" w:hAnsi="MS Gothic" w:hint="eastAsia"/>
                  </w:rPr>
                  <w:t>☒</w:t>
                </w:r>
              </w:sdtContent>
            </w:sdt>
          </w:p>
        </w:tc>
      </w:tr>
      <w:tr w:rsidR="00B27991" w:rsidRPr="00B27991" w14:paraId="79168CF9" w14:textId="77777777" w:rsidTr="009E2C3C">
        <w:tc>
          <w:tcPr>
            <w:tcW w:w="4140" w:type="dxa"/>
          </w:tcPr>
          <w:p w14:paraId="41A6ABC7" w14:textId="77777777" w:rsidR="00B27991" w:rsidRPr="00B27991" w:rsidRDefault="00E21B39" w:rsidP="006E563B">
            <w:pPr>
              <w:spacing w:before="40" w:after="40"/>
            </w:pPr>
            <w:r>
              <w:t>Partnership</w:t>
            </w:r>
          </w:p>
        </w:tc>
        <w:sdt>
          <w:sdtPr>
            <w:id w:val="-84773533"/>
            <w14:checkbox>
              <w14:checked w14:val="0"/>
              <w14:checkedState w14:val="2612" w14:font="MS Gothic"/>
              <w14:uncheckedState w14:val="2610" w14:font="MS Gothic"/>
            </w14:checkbox>
          </w:sdtPr>
          <w:sdtEndPr/>
          <w:sdtContent>
            <w:tc>
              <w:tcPr>
                <w:tcW w:w="1185" w:type="dxa"/>
                <w:vAlign w:val="center"/>
              </w:tcPr>
              <w:p w14:paraId="3218B64E" w14:textId="77777777" w:rsidR="00B27991" w:rsidRPr="00B27991" w:rsidRDefault="00E21B39" w:rsidP="006E563B">
                <w:pPr>
                  <w:spacing w:before="40" w:after="40"/>
                  <w:jc w:val="center"/>
                </w:pPr>
                <w:r>
                  <w:rPr>
                    <w:rFonts w:ascii="MS Gothic" w:eastAsia="MS Gothic" w:hAnsi="MS Gothic" w:hint="eastAsia"/>
                  </w:rPr>
                  <w:t>☐</w:t>
                </w:r>
              </w:p>
            </w:tc>
          </w:sdtContent>
        </w:sdt>
      </w:tr>
    </w:tbl>
    <w:p w14:paraId="712B26F6" w14:textId="1B1ACCB1" w:rsidR="00B27991" w:rsidRDefault="005F45E1" w:rsidP="00C06495">
      <w:pPr>
        <w:pStyle w:val="Heading2"/>
      </w:pPr>
      <w:bookmarkStart w:id="15" w:name="_Toc30758730"/>
      <w:bookmarkStart w:id="16" w:name="_Toc30774086"/>
      <w:bookmarkStart w:id="17" w:name="_Toc30774132"/>
      <w:bookmarkStart w:id="18" w:name="_Toc30774199"/>
      <w:bookmarkStart w:id="19" w:name="_Toc30774248"/>
      <w:bookmarkStart w:id="20" w:name="_Toc31115317"/>
      <w:bookmarkStart w:id="21" w:name="_Toc523841328"/>
      <w:bookmarkStart w:id="22" w:name="_Toc523843039"/>
      <w:bookmarkStart w:id="23" w:name="_Toc523843891"/>
      <w:bookmarkStart w:id="24" w:name="_Toc523844630"/>
      <w:bookmarkStart w:id="25" w:name="_Toc168663911"/>
      <w:bookmarkEnd w:id="15"/>
      <w:bookmarkEnd w:id="16"/>
      <w:bookmarkEnd w:id="17"/>
      <w:bookmarkEnd w:id="18"/>
      <w:bookmarkEnd w:id="19"/>
      <w:bookmarkEnd w:id="20"/>
      <w:r>
        <w:t>M</w:t>
      </w:r>
      <w:r w:rsidR="00E21B39" w:rsidRPr="00C06495">
        <w:t>arket</w:t>
      </w:r>
      <w:r w:rsidR="00B27991" w:rsidRPr="00C06495">
        <w:t xml:space="preserve"> Sector</w:t>
      </w:r>
      <w:bookmarkEnd w:id="21"/>
      <w:bookmarkEnd w:id="22"/>
      <w:bookmarkEnd w:id="23"/>
      <w:bookmarkEnd w:id="24"/>
      <w:bookmarkEnd w:id="25"/>
      <w:r w:rsidR="00B27991" w:rsidRPr="00C06495">
        <w:t xml:space="preserve"> </w:t>
      </w:r>
    </w:p>
    <w:p w14:paraId="1F0E069B" w14:textId="7166EBE3" w:rsidR="00526690" w:rsidRDefault="00526690" w:rsidP="00CF6C76">
      <w:pPr>
        <w:pStyle w:val="Caption"/>
        <w:ind w:firstLine="360"/>
        <w:jc w:val="left"/>
      </w:pPr>
      <w:r>
        <w:t xml:space="preserve">Table </w:t>
      </w:r>
      <w:r w:rsidR="00B70853">
        <w:fldChar w:fldCharType="begin"/>
      </w:r>
      <w:r w:rsidR="00B70853">
        <w:instrText xml:space="preserve"> SEQ Table \* ARABIC </w:instrText>
      </w:r>
      <w:r w:rsidR="00B70853">
        <w:fldChar w:fldCharType="separate"/>
      </w:r>
      <w:r w:rsidR="00A6197B">
        <w:rPr>
          <w:noProof/>
        </w:rPr>
        <w:t>7</w:t>
      </w:r>
      <w:r w:rsidR="00B70853">
        <w:rPr>
          <w:noProof/>
        </w:rPr>
        <w:fldChar w:fldCharType="end"/>
      </w:r>
      <w:r>
        <w:t xml:space="preserve">: </w:t>
      </w:r>
      <w:r w:rsidR="00BA3AD2">
        <w:t>SPARKe Market Sectors</w:t>
      </w:r>
    </w:p>
    <w:tbl>
      <w:tblPr>
        <w:tblStyle w:val="TableGrid2"/>
        <w:tblW w:w="5325" w:type="dxa"/>
        <w:tblInd w:w="4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9" w:type="dxa"/>
          <w:left w:w="72" w:type="dxa"/>
          <w:bottom w:w="29" w:type="dxa"/>
          <w:right w:w="72" w:type="dxa"/>
        </w:tblCellMar>
        <w:tblLook w:val="04A0" w:firstRow="1" w:lastRow="0" w:firstColumn="1" w:lastColumn="0" w:noHBand="0" w:noVBand="1"/>
      </w:tblPr>
      <w:tblGrid>
        <w:gridCol w:w="4500"/>
        <w:gridCol w:w="825"/>
      </w:tblGrid>
      <w:tr w:rsidR="00B27991" w:rsidRPr="00B27991" w14:paraId="75D59D40" w14:textId="77777777" w:rsidTr="009E2C3C">
        <w:trPr>
          <w:tblHeader/>
        </w:trPr>
        <w:tc>
          <w:tcPr>
            <w:tcW w:w="4500" w:type="dxa"/>
            <w:shd w:val="clear" w:color="auto" w:fill="2F5496" w:themeFill="accent1" w:themeFillShade="BF"/>
          </w:tcPr>
          <w:p w14:paraId="1F82AAF9" w14:textId="77777777" w:rsidR="00B27991" w:rsidRPr="00FA5DB4" w:rsidRDefault="00B27991" w:rsidP="00CF6C76">
            <w:pPr>
              <w:rPr>
                <w:b/>
                <w:color w:val="FFFFFF" w:themeColor="background1"/>
              </w:rPr>
            </w:pPr>
            <w:r w:rsidRPr="00FA5DB4">
              <w:rPr>
                <w:b/>
                <w:color w:val="FFFFFF" w:themeColor="background1"/>
              </w:rPr>
              <w:t>SCE Business Plan Sector</w:t>
            </w:r>
          </w:p>
        </w:tc>
        <w:tc>
          <w:tcPr>
            <w:tcW w:w="825" w:type="dxa"/>
            <w:shd w:val="clear" w:color="auto" w:fill="2F5496" w:themeFill="accent1" w:themeFillShade="BF"/>
            <w:vAlign w:val="center"/>
          </w:tcPr>
          <w:p w14:paraId="72E5D2D1" w14:textId="77777777" w:rsidR="00B27991" w:rsidRPr="00FA5DB4" w:rsidRDefault="00B27991" w:rsidP="00CF6C76">
            <w:pPr>
              <w:rPr>
                <w:b/>
                <w:color w:val="FFFFFF" w:themeColor="background1"/>
              </w:rPr>
            </w:pPr>
            <w:r w:rsidRPr="00FA5DB4">
              <w:rPr>
                <w:b/>
                <w:color w:val="FFFFFF" w:themeColor="background1"/>
              </w:rPr>
              <w:t>Yes</w:t>
            </w:r>
          </w:p>
        </w:tc>
      </w:tr>
      <w:tr w:rsidR="00B27991" w:rsidRPr="00B27991" w14:paraId="4E8E76F0" w14:textId="77777777" w:rsidTr="009E2C3C">
        <w:tc>
          <w:tcPr>
            <w:tcW w:w="4500" w:type="dxa"/>
          </w:tcPr>
          <w:p w14:paraId="1EFE8DDF" w14:textId="77777777" w:rsidR="00B27991" w:rsidRPr="00B27991" w:rsidRDefault="00B27991" w:rsidP="006E563B">
            <w:pPr>
              <w:spacing w:before="40" w:after="40"/>
            </w:pPr>
            <w:r w:rsidRPr="00B27991">
              <w:t>Residential</w:t>
            </w:r>
          </w:p>
        </w:tc>
        <w:sdt>
          <w:sdtPr>
            <w:id w:val="-1980676244"/>
            <w14:checkbox>
              <w14:checked w14:val="0"/>
              <w14:checkedState w14:val="2612" w14:font="MS Gothic"/>
              <w14:uncheckedState w14:val="2610" w14:font="MS Gothic"/>
            </w14:checkbox>
          </w:sdtPr>
          <w:sdtEndPr/>
          <w:sdtContent>
            <w:tc>
              <w:tcPr>
                <w:tcW w:w="825" w:type="dxa"/>
                <w:vAlign w:val="center"/>
              </w:tcPr>
              <w:p w14:paraId="269573F6" w14:textId="77777777" w:rsidR="00B27991" w:rsidRPr="00B27991" w:rsidRDefault="00D43662" w:rsidP="006E563B">
                <w:pPr>
                  <w:spacing w:before="40" w:after="40"/>
                  <w:jc w:val="center"/>
                </w:pPr>
                <w:r>
                  <w:rPr>
                    <w:rFonts w:ascii="MS Gothic" w:eastAsia="MS Gothic" w:hAnsi="MS Gothic" w:hint="eastAsia"/>
                  </w:rPr>
                  <w:t>☐</w:t>
                </w:r>
              </w:p>
            </w:tc>
          </w:sdtContent>
        </w:sdt>
      </w:tr>
      <w:tr w:rsidR="00B27991" w:rsidRPr="00B27991" w14:paraId="7353B6F7" w14:textId="77777777" w:rsidTr="009E2C3C">
        <w:tc>
          <w:tcPr>
            <w:tcW w:w="4500" w:type="dxa"/>
          </w:tcPr>
          <w:p w14:paraId="4A75B578" w14:textId="77777777" w:rsidR="00B27991" w:rsidRPr="00DD6B13" w:rsidRDefault="00B27991" w:rsidP="006E563B">
            <w:pPr>
              <w:spacing w:before="40" w:after="40"/>
            </w:pPr>
            <w:r w:rsidRPr="00DD6B13">
              <w:t>Commercial</w:t>
            </w:r>
          </w:p>
        </w:tc>
        <w:tc>
          <w:tcPr>
            <w:tcW w:w="825" w:type="dxa"/>
            <w:vAlign w:val="center"/>
          </w:tcPr>
          <w:p w14:paraId="20BFA618" w14:textId="40647E40" w:rsidR="00B27991" w:rsidRPr="00DD6B13" w:rsidRDefault="00B70853" w:rsidP="006E563B">
            <w:pPr>
              <w:spacing w:before="40" w:after="40"/>
              <w:jc w:val="center"/>
            </w:pPr>
            <w:sdt>
              <w:sdtPr>
                <w:id w:val="-1975206605"/>
                <w14:checkbox>
                  <w14:checked w14:val="1"/>
                  <w14:checkedState w14:val="2612" w14:font="MS Gothic"/>
                  <w14:uncheckedState w14:val="2610" w14:font="MS Gothic"/>
                </w14:checkbox>
              </w:sdtPr>
              <w:sdtEndPr/>
              <w:sdtContent>
                <w:r w:rsidR="00396FB2">
                  <w:rPr>
                    <w:rFonts w:ascii="MS Gothic" w:eastAsia="MS Gothic" w:hAnsi="MS Gothic" w:hint="eastAsia"/>
                  </w:rPr>
                  <w:t>☒</w:t>
                </w:r>
              </w:sdtContent>
            </w:sdt>
          </w:p>
        </w:tc>
      </w:tr>
      <w:tr w:rsidR="00B27991" w:rsidRPr="00B27991" w14:paraId="48FA5C41" w14:textId="77777777" w:rsidTr="009E2C3C">
        <w:tc>
          <w:tcPr>
            <w:tcW w:w="4500" w:type="dxa"/>
          </w:tcPr>
          <w:p w14:paraId="6D9F102C" w14:textId="77777777" w:rsidR="00B27991" w:rsidRPr="00B27991" w:rsidRDefault="00B27991" w:rsidP="006E563B">
            <w:pPr>
              <w:spacing w:before="40" w:after="40"/>
            </w:pPr>
            <w:r w:rsidRPr="00B27991">
              <w:t>Industrial</w:t>
            </w:r>
          </w:p>
        </w:tc>
        <w:sdt>
          <w:sdtPr>
            <w:id w:val="-307396511"/>
            <w14:checkbox>
              <w14:checked w14:val="0"/>
              <w14:checkedState w14:val="2612" w14:font="MS Gothic"/>
              <w14:uncheckedState w14:val="2610" w14:font="MS Gothic"/>
            </w14:checkbox>
          </w:sdtPr>
          <w:sdtEndPr/>
          <w:sdtContent>
            <w:tc>
              <w:tcPr>
                <w:tcW w:w="825" w:type="dxa"/>
                <w:vAlign w:val="center"/>
              </w:tcPr>
              <w:p w14:paraId="0A3C5E4D" w14:textId="0F188F79" w:rsidR="00B27991" w:rsidRPr="00B27991" w:rsidRDefault="00396FB2" w:rsidP="006E563B">
                <w:pPr>
                  <w:spacing w:before="40" w:after="40"/>
                  <w:jc w:val="center"/>
                </w:pPr>
                <w:r>
                  <w:rPr>
                    <w:rFonts w:ascii="MS Gothic" w:eastAsia="MS Gothic" w:hAnsi="MS Gothic" w:hint="eastAsia"/>
                  </w:rPr>
                  <w:t>☐</w:t>
                </w:r>
              </w:p>
            </w:tc>
          </w:sdtContent>
        </w:sdt>
      </w:tr>
      <w:tr w:rsidR="00B27991" w:rsidRPr="00B27991" w14:paraId="7FEDF161" w14:textId="77777777" w:rsidTr="009E2C3C">
        <w:tc>
          <w:tcPr>
            <w:tcW w:w="4500" w:type="dxa"/>
          </w:tcPr>
          <w:p w14:paraId="47B210DD" w14:textId="77777777" w:rsidR="00B27991" w:rsidRPr="00B27991" w:rsidRDefault="00B27991" w:rsidP="006E563B">
            <w:pPr>
              <w:spacing w:before="40" w:after="40"/>
            </w:pPr>
            <w:r w:rsidRPr="00B27991">
              <w:t>Agricultural</w:t>
            </w:r>
          </w:p>
        </w:tc>
        <w:sdt>
          <w:sdtPr>
            <w:id w:val="-475144999"/>
            <w14:checkbox>
              <w14:checked w14:val="0"/>
              <w14:checkedState w14:val="2612" w14:font="MS Gothic"/>
              <w14:uncheckedState w14:val="2610" w14:font="MS Gothic"/>
            </w14:checkbox>
          </w:sdtPr>
          <w:sdtEndPr/>
          <w:sdtContent>
            <w:tc>
              <w:tcPr>
                <w:tcW w:w="825" w:type="dxa"/>
                <w:vAlign w:val="center"/>
              </w:tcPr>
              <w:p w14:paraId="153DD3AB" w14:textId="395C32DF" w:rsidR="00B27991" w:rsidRPr="00B27991" w:rsidRDefault="00396FB2" w:rsidP="006E563B">
                <w:pPr>
                  <w:spacing w:before="40" w:after="40"/>
                  <w:jc w:val="center"/>
                </w:pPr>
                <w:r>
                  <w:rPr>
                    <w:rFonts w:ascii="MS Gothic" w:eastAsia="MS Gothic" w:hAnsi="MS Gothic" w:hint="eastAsia"/>
                  </w:rPr>
                  <w:t>☐</w:t>
                </w:r>
              </w:p>
            </w:tc>
          </w:sdtContent>
        </w:sdt>
      </w:tr>
      <w:tr w:rsidR="00B27991" w:rsidRPr="00B27991" w14:paraId="640DFF84" w14:textId="77777777" w:rsidTr="009E2C3C">
        <w:tc>
          <w:tcPr>
            <w:tcW w:w="4500" w:type="dxa"/>
          </w:tcPr>
          <w:p w14:paraId="66520129" w14:textId="77777777" w:rsidR="00B27991" w:rsidRPr="00B27991" w:rsidRDefault="00B27991" w:rsidP="006E563B">
            <w:pPr>
              <w:spacing w:before="40" w:after="40"/>
            </w:pPr>
            <w:r w:rsidRPr="00B27991">
              <w:t>Public</w:t>
            </w:r>
          </w:p>
        </w:tc>
        <w:sdt>
          <w:sdtPr>
            <w:id w:val="1646159691"/>
            <w14:checkbox>
              <w14:checked w14:val="0"/>
              <w14:checkedState w14:val="2612" w14:font="MS Gothic"/>
              <w14:uncheckedState w14:val="2610" w14:font="MS Gothic"/>
            </w14:checkbox>
          </w:sdtPr>
          <w:sdtEndPr/>
          <w:sdtContent>
            <w:tc>
              <w:tcPr>
                <w:tcW w:w="825" w:type="dxa"/>
                <w:vAlign w:val="center"/>
              </w:tcPr>
              <w:p w14:paraId="73036386" w14:textId="77777777" w:rsidR="00B27991" w:rsidRPr="00B27991" w:rsidRDefault="00D43662" w:rsidP="006E563B">
                <w:pPr>
                  <w:spacing w:before="40" w:after="40"/>
                  <w:jc w:val="center"/>
                </w:pPr>
                <w:r>
                  <w:rPr>
                    <w:rFonts w:ascii="MS Gothic" w:eastAsia="MS Gothic" w:hAnsi="MS Gothic" w:hint="eastAsia"/>
                  </w:rPr>
                  <w:t>☐</w:t>
                </w:r>
              </w:p>
            </w:tc>
          </w:sdtContent>
        </w:sdt>
      </w:tr>
      <w:tr w:rsidR="00923D3E" w:rsidRPr="00B27991" w14:paraId="635F2956" w14:textId="77777777" w:rsidTr="009E2C3C">
        <w:tc>
          <w:tcPr>
            <w:tcW w:w="4500" w:type="dxa"/>
          </w:tcPr>
          <w:p w14:paraId="08106444" w14:textId="77777777" w:rsidR="00923D3E" w:rsidRPr="00B27991" w:rsidRDefault="00923D3E" w:rsidP="006E563B">
            <w:pPr>
              <w:spacing w:before="40" w:after="40"/>
            </w:pPr>
            <w:r>
              <w:t>Cross-Cutting</w:t>
            </w:r>
          </w:p>
        </w:tc>
        <w:sdt>
          <w:sdtPr>
            <w:id w:val="1281381973"/>
            <w14:checkbox>
              <w14:checked w14:val="0"/>
              <w14:checkedState w14:val="2612" w14:font="MS Gothic"/>
              <w14:uncheckedState w14:val="2610" w14:font="MS Gothic"/>
            </w14:checkbox>
          </w:sdtPr>
          <w:sdtEndPr/>
          <w:sdtContent>
            <w:tc>
              <w:tcPr>
                <w:tcW w:w="825" w:type="dxa"/>
                <w:vAlign w:val="center"/>
              </w:tcPr>
              <w:p w14:paraId="77E33B19" w14:textId="77777777" w:rsidR="00923D3E" w:rsidRDefault="00923D3E" w:rsidP="006E563B">
                <w:pPr>
                  <w:spacing w:before="40" w:after="40"/>
                  <w:jc w:val="center"/>
                </w:pPr>
                <w:r>
                  <w:rPr>
                    <w:rFonts w:ascii="MS Gothic" w:eastAsia="MS Gothic" w:hAnsi="MS Gothic" w:hint="eastAsia"/>
                  </w:rPr>
                  <w:t>☐</w:t>
                </w:r>
              </w:p>
            </w:tc>
          </w:sdtContent>
        </w:sdt>
      </w:tr>
    </w:tbl>
    <w:p w14:paraId="280E5C47" w14:textId="77777777" w:rsidR="00B27991" w:rsidRPr="00E21B39" w:rsidRDefault="00E21B39" w:rsidP="00E21B39">
      <w:pPr>
        <w:pStyle w:val="Heading2"/>
        <w:rPr>
          <w:bCs/>
        </w:rPr>
      </w:pPr>
      <w:bookmarkStart w:id="26" w:name="_Toc523841329"/>
      <w:bookmarkStart w:id="27" w:name="_Toc523843040"/>
      <w:bookmarkStart w:id="28" w:name="_Toc523843892"/>
      <w:bookmarkStart w:id="29" w:name="_Toc523844631"/>
      <w:bookmarkStart w:id="30" w:name="_Toc168663912"/>
      <w:r w:rsidRPr="00E21B39">
        <w:rPr>
          <w:bCs/>
        </w:rPr>
        <w:t xml:space="preserve">Program and/or Sub-Program </w:t>
      </w:r>
      <w:bookmarkEnd w:id="26"/>
      <w:r w:rsidR="00B27991" w:rsidRPr="00E21B39">
        <w:rPr>
          <w:bCs/>
        </w:rPr>
        <w:t>Type</w:t>
      </w:r>
      <w:bookmarkEnd w:id="27"/>
      <w:bookmarkEnd w:id="28"/>
      <w:bookmarkEnd w:id="29"/>
      <w:bookmarkEnd w:id="30"/>
    </w:p>
    <w:p w14:paraId="70E275C9" w14:textId="72A3E26C" w:rsidR="00BA3AD2" w:rsidRDefault="00BA3AD2" w:rsidP="00175FE7">
      <w:pPr>
        <w:pStyle w:val="Caption"/>
        <w:ind w:firstLine="360"/>
        <w:jc w:val="left"/>
      </w:pPr>
      <w:r>
        <w:t xml:space="preserve">Table </w:t>
      </w:r>
      <w:r w:rsidR="00B70853">
        <w:fldChar w:fldCharType="begin"/>
      </w:r>
      <w:r w:rsidR="00B70853">
        <w:instrText xml:space="preserve"> SEQ Table \* ARABIC </w:instrText>
      </w:r>
      <w:r w:rsidR="00B70853">
        <w:fldChar w:fldCharType="separate"/>
      </w:r>
      <w:r w:rsidR="00A6197B">
        <w:rPr>
          <w:noProof/>
        </w:rPr>
        <w:t>8</w:t>
      </w:r>
      <w:r w:rsidR="00B70853">
        <w:rPr>
          <w:noProof/>
        </w:rPr>
        <w:fldChar w:fldCharType="end"/>
      </w:r>
      <w:r>
        <w:t xml:space="preserve">: </w:t>
      </w:r>
      <w:r w:rsidR="00175FE7">
        <w:t>Program Type</w:t>
      </w:r>
    </w:p>
    <w:tbl>
      <w:tblPr>
        <w:tblStyle w:val="TableGrid2"/>
        <w:tblW w:w="4806" w:type="dxa"/>
        <w:tblInd w:w="4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9" w:type="dxa"/>
          <w:left w:w="72" w:type="dxa"/>
          <w:bottom w:w="29" w:type="dxa"/>
          <w:right w:w="72" w:type="dxa"/>
        </w:tblCellMar>
        <w:tblLook w:val="04A0" w:firstRow="1" w:lastRow="0" w:firstColumn="1" w:lastColumn="0" w:noHBand="0" w:noVBand="1"/>
      </w:tblPr>
      <w:tblGrid>
        <w:gridCol w:w="4247"/>
        <w:gridCol w:w="559"/>
      </w:tblGrid>
      <w:tr w:rsidR="00B341F1" w:rsidRPr="00B27991" w14:paraId="1D590222" w14:textId="77777777" w:rsidTr="009E2C3C">
        <w:trPr>
          <w:tblHeader/>
        </w:trPr>
        <w:tc>
          <w:tcPr>
            <w:tcW w:w="4247" w:type="dxa"/>
            <w:shd w:val="clear" w:color="auto" w:fill="2F5496" w:themeFill="accent1" w:themeFillShade="BF"/>
          </w:tcPr>
          <w:p w14:paraId="49F6E789" w14:textId="77777777" w:rsidR="00B341F1" w:rsidRPr="007F2395" w:rsidRDefault="00B341F1" w:rsidP="006E563B">
            <w:pPr>
              <w:spacing w:before="40" w:after="40"/>
              <w:jc w:val="center"/>
              <w:rPr>
                <w:color w:val="FFFFFF" w:themeColor="background1"/>
              </w:rPr>
            </w:pPr>
            <w:r w:rsidRPr="007F2395">
              <w:rPr>
                <w:b/>
                <w:color w:val="FFFFFF" w:themeColor="background1"/>
              </w:rPr>
              <w:t>Program Type</w:t>
            </w:r>
          </w:p>
        </w:tc>
        <w:tc>
          <w:tcPr>
            <w:tcW w:w="559" w:type="dxa"/>
            <w:shd w:val="clear" w:color="auto" w:fill="2F5496" w:themeFill="accent1" w:themeFillShade="BF"/>
            <w:vAlign w:val="center"/>
          </w:tcPr>
          <w:p w14:paraId="201D4126" w14:textId="77777777" w:rsidR="00B341F1" w:rsidRPr="007F2395" w:rsidRDefault="00B341F1" w:rsidP="006E563B">
            <w:pPr>
              <w:spacing w:before="40" w:after="40"/>
              <w:jc w:val="center"/>
              <w:rPr>
                <w:b/>
                <w:color w:val="FFFFFF" w:themeColor="background1"/>
              </w:rPr>
            </w:pPr>
          </w:p>
        </w:tc>
      </w:tr>
      <w:tr w:rsidR="00B341F1" w:rsidRPr="00B27991" w14:paraId="2D71E6AD" w14:textId="77777777" w:rsidTr="009E2C3C">
        <w:tc>
          <w:tcPr>
            <w:tcW w:w="4247" w:type="dxa"/>
          </w:tcPr>
          <w:p w14:paraId="7AB39615" w14:textId="77777777" w:rsidR="00B341F1" w:rsidRPr="00B27991" w:rsidRDefault="00B341F1" w:rsidP="006E563B">
            <w:pPr>
              <w:spacing w:before="40" w:after="40"/>
            </w:pPr>
            <w:r w:rsidRPr="00B27991">
              <w:t xml:space="preserve">Resource </w:t>
            </w:r>
          </w:p>
        </w:tc>
        <w:tc>
          <w:tcPr>
            <w:tcW w:w="559" w:type="dxa"/>
            <w:vAlign w:val="center"/>
          </w:tcPr>
          <w:p w14:paraId="5691AB9F" w14:textId="2D51385E" w:rsidR="00B341F1" w:rsidRPr="00B27991" w:rsidRDefault="00B70853" w:rsidP="006E563B">
            <w:pPr>
              <w:spacing w:before="40" w:after="40"/>
              <w:jc w:val="center"/>
            </w:pPr>
            <w:sdt>
              <w:sdtPr>
                <w:id w:val="326868481"/>
                <w14:checkbox>
                  <w14:checked w14:val="1"/>
                  <w14:checkedState w14:val="2612" w14:font="MS Gothic"/>
                  <w14:uncheckedState w14:val="2610" w14:font="MS Gothic"/>
                </w14:checkbox>
              </w:sdtPr>
              <w:sdtEndPr/>
              <w:sdtContent>
                <w:r w:rsidR="00144342">
                  <w:rPr>
                    <w:rFonts w:ascii="MS Gothic" w:eastAsia="MS Gothic" w:hAnsi="MS Gothic" w:hint="eastAsia"/>
                  </w:rPr>
                  <w:t>☒</w:t>
                </w:r>
              </w:sdtContent>
            </w:sdt>
          </w:p>
        </w:tc>
      </w:tr>
      <w:tr w:rsidR="00B341F1" w:rsidRPr="00B27991" w14:paraId="77E9912B" w14:textId="77777777" w:rsidTr="009E2C3C">
        <w:tc>
          <w:tcPr>
            <w:tcW w:w="4247" w:type="dxa"/>
          </w:tcPr>
          <w:p w14:paraId="05AB549E" w14:textId="77777777" w:rsidR="00B341F1" w:rsidRPr="00B27991" w:rsidRDefault="00B341F1" w:rsidP="006E563B">
            <w:pPr>
              <w:spacing w:before="40" w:after="40"/>
            </w:pPr>
            <w:r w:rsidRPr="00B27991">
              <w:t xml:space="preserve">Non-Resource </w:t>
            </w:r>
          </w:p>
        </w:tc>
        <w:sdt>
          <w:sdtPr>
            <w:id w:val="-189524862"/>
            <w14:checkbox>
              <w14:checked w14:val="0"/>
              <w14:checkedState w14:val="2612" w14:font="MS Gothic"/>
              <w14:uncheckedState w14:val="2610" w14:font="MS Gothic"/>
            </w14:checkbox>
          </w:sdtPr>
          <w:sdtEndPr/>
          <w:sdtContent>
            <w:tc>
              <w:tcPr>
                <w:tcW w:w="559" w:type="dxa"/>
                <w:vAlign w:val="center"/>
              </w:tcPr>
              <w:p w14:paraId="18D9D5BE" w14:textId="77777777" w:rsidR="00B341F1" w:rsidRPr="00B27991" w:rsidRDefault="00B341F1" w:rsidP="006E563B">
                <w:pPr>
                  <w:spacing w:before="40" w:after="40"/>
                  <w:jc w:val="center"/>
                </w:pPr>
                <w:r>
                  <w:rPr>
                    <w:rFonts w:ascii="MS Gothic" w:eastAsia="MS Gothic" w:hAnsi="MS Gothic" w:hint="eastAsia"/>
                  </w:rPr>
                  <w:t>☐</w:t>
                </w:r>
              </w:p>
            </w:tc>
          </w:sdtContent>
        </w:sdt>
      </w:tr>
    </w:tbl>
    <w:p w14:paraId="17A66B18" w14:textId="77777777" w:rsidR="00B27991" w:rsidRPr="00B27991" w:rsidRDefault="00B341F1" w:rsidP="00E21B39">
      <w:pPr>
        <w:pStyle w:val="Heading2"/>
      </w:pPr>
      <w:bookmarkStart w:id="31" w:name="_Toc523841330"/>
      <w:bookmarkStart w:id="32" w:name="_Toc523843041"/>
      <w:bookmarkStart w:id="33" w:name="_Toc523843893"/>
      <w:bookmarkStart w:id="34" w:name="_Toc523844632"/>
      <w:bookmarkStart w:id="35" w:name="_Toc168663913"/>
      <w:r>
        <w:t xml:space="preserve">Market Channels and </w:t>
      </w:r>
      <w:r w:rsidR="00B27991" w:rsidRPr="00B27991">
        <w:t>Intervention Strategies</w:t>
      </w:r>
      <w:bookmarkEnd w:id="31"/>
      <w:bookmarkEnd w:id="32"/>
      <w:bookmarkEnd w:id="33"/>
      <w:bookmarkEnd w:id="34"/>
      <w:r w:rsidR="00E21938">
        <w:t>:</w:t>
      </w:r>
      <w:bookmarkEnd w:id="35"/>
    </w:p>
    <w:p w14:paraId="602D9201" w14:textId="58B5B0E2" w:rsidR="00CF6C76" w:rsidRDefault="00CF6C76" w:rsidP="00CF6C76">
      <w:pPr>
        <w:pStyle w:val="Caption"/>
        <w:ind w:firstLine="360"/>
        <w:jc w:val="left"/>
      </w:pPr>
      <w:r>
        <w:t xml:space="preserve">Table </w:t>
      </w:r>
      <w:r w:rsidR="00B70853">
        <w:fldChar w:fldCharType="begin"/>
      </w:r>
      <w:r w:rsidR="00B70853">
        <w:instrText xml:space="preserve"> SEQ Table \* ARABIC </w:instrText>
      </w:r>
      <w:r w:rsidR="00B70853">
        <w:fldChar w:fldCharType="separate"/>
      </w:r>
      <w:r w:rsidR="00A6197B">
        <w:rPr>
          <w:noProof/>
        </w:rPr>
        <w:t>9</w:t>
      </w:r>
      <w:r w:rsidR="00B70853">
        <w:rPr>
          <w:noProof/>
        </w:rPr>
        <w:fldChar w:fldCharType="end"/>
      </w:r>
      <w:r>
        <w:t>: SPARKe Market Channels and Intervention Strategies</w:t>
      </w:r>
    </w:p>
    <w:tbl>
      <w:tblPr>
        <w:tblStyle w:val="TableGrid2"/>
        <w:tblW w:w="4806" w:type="dxa"/>
        <w:tblInd w:w="4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9" w:type="dxa"/>
          <w:left w:w="72" w:type="dxa"/>
          <w:bottom w:w="29" w:type="dxa"/>
          <w:right w:w="72" w:type="dxa"/>
        </w:tblCellMar>
        <w:tblLook w:val="04A0" w:firstRow="1" w:lastRow="0" w:firstColumn="1" w:lastColumn="0" w:noHBand="0" w:noVBand="1"/>
      </w:tblPr>
      <w:tblGrid>
        <w:gridCol w:w="4247"/>
        <w:gridCol w:w="559"/>
      </w:tblGrid>
      <w:tr w:rsidR="00B341F1" w:rsidRPr="00B27991" w14:paraId="705D131F" w14:textId="77777777" w:rsidTr="009E2C3C">
        <w:trPr>
          <w:tblHeader/>
        </w:trPr>
        <w:tc>
          <w:tcPr>
            <w:tcW w:w="4247" w:type="dxa"/>
            <w:shd w:val="clear" w:color="auto" w:fill="2F5496" w:themeFill="accent1" w:themeFillShade="BF"/>
          </w:tcPr>
          <w:p w14:paraId="666738E8" w14:textId="77777777" w:rsidR="00B341F1" w:rsidRPr="007F2395" w:rsidDel="00B341F1" w:rsidRDefault="006E563B" w:rsidP="006E563B">
            <w:pPr>
              <w:spacing w:before="40" w:after="40"/>
              <w:jc w:val="center"/>
              <w:rPr>
                <w:b/>
                <w:color w:val="FFFFFF" w:themeColor="background1"/>
              </w:rPr>
            </w:pPr>
            <w:r w:rsidRPr="007F2395">
              <w:rPr>
                <w:b/>
                <w:color w:val="FFFFFF" w:themeColor="background1"/>
              </w:rPr>
              <w:t>Market Channels</w:t>
            </w:r>
          </w:p>
        </w:tc>
        <w:tc>
          <w:tcPr>
            <w:tcW w:w="559" w:type="dxa"/>
            <w:shd w:val="clear" w:color="auto" w:fill="2F5496" w:themeFill="accent1" w:themeFillShade="BF"/>
          </w:tcPr>
          <w:p w14:paraId="20FEF72C" w14:textId="77777777" w:rsidR="00B341F1" w:rsidRPr="007F2395" w:rsidDel="00B341F1" w:rsidRDefault="00B341F1" w:rsidP="006E563B">
            <w:pPr>
              <w:spacing w:before="40" w:after="40"/>
              <w:jc w:val="center"/>
              <w:rPr>
                <w:b/>
                <w:color w:val="FFFFFF" w:themeColor="background1"/>
              </w:rPr>
            </w:pPr>
          </w:p>
        </w:tc>
      </w:tr>
      <w:tr w:rsidR="00B341F1" w:rsidRPr="00B27991" w14:paraId="3DB05E0B" w14:textId="77777777" w:rsidTr="009E2C3C">
        <w:tc>
          <w:tcPr>
            <w:tcW w:w="4247" w:type="dxa"/>
          </w:tcPr>
          <w:p w14:paraId="3DB378AF" w14:textId="77777777" w:rsidR="00B341F1" w:rsidRPr="00B27991" w:rsidRDefault="00B341F1" w:rsidP="006E563B">
            <w:pPr>
              <w:spacing w:before="40" w:after="40"/>
            </w:pPr>
            <w:r w:rsidRPr="00B27991">
              <w:t>Upstream</w:t>
            </w:r>
          </w:p>
        </w:tc>
        <w:sdt>
          <w:sdtPr>
            <w:id w:val="-1047830952"/>
            <w14:checkbox>
              <w14:checked w14:val="0"/>
              <w14:checkedState w14:val="2612" w14:font="MS Gothic"/>
              <w14:uncheckedState w14:val="2610" w14:font="MS Gothic"/>
            </w14:checkbox>
          </w:sdtPr>
          <w:sdtEndPr/>
          <w:sdtContent>
            <w:tc>
              <w:tcPr>
                <w:tcW w:w="559" w:type="dxa"/>
                <w:vAlign w:val="center"/>
              </w:tcPr>
              <w:p w14:paraId="2929A51F" w14:textId="77777777" w:rsidR="00B341F1" w:rsidRPr="00B27991" w:rsidRDefault="00B341F1" w:rsidP="006E563B">
                <w:pPr>
                  <w:spacing w:before="40" w:after="40"/>
                  <w:jc w:val="center"/>
                </w:pPr>
                <w:r>
                  <w:rPr>
                    <w:rFonts w:ascii="MS Gothic" w:eastAsia="MS Gothic" w:hAnsi="MS Gothic" w:hint="eastAsia"/>
                  </w:rPr>
                  <w:t>☐</w:t>
                </w:r>
              </w:p>
            </w:tc>
          </w:sdtContent>
        </w:sdt>
      </w:tr>
      <w:tr w:rsidR="00B341F1" w:rsidRPr="00B27991" w14:paraId="64CA3B3D" w14:textId="77777777" w:rsidTr="009E2C3C">
        <w:tc>
          <w:tcPr>
            <w:tcW w:w="4247" w:type="dxa"/>
          </w:tcPr>
          <w:p w14:paraId="3214A649" w14:textId="77777777" w:rsidR="00B341F1" w:rsidRPr="00B27991" w:rsidRDefault="00B341F1" w:rsidP="006E563B">
            <w:pPr>
              <w:spacing w:before="40" w:after="40"/>
            </w:pPr>
            <w:r w:rsidRPr="00B27991">
              <w:t>Midstream</w:t>
            </w:r>
          </w:p>
        </w:tc>
        <w:sdt>
          <w:sdtPr>
            <w:id w:val="-883473879"/>
            <w14:checkbox>
              <w14:checked w14:val="0"/>
              <w14:checkedState w14:val="2612" w14:font="MS Gothic"/>
              <w14:uncheckedState w14:val="2610" w14:font="MS Gothic"/>
            </w14:checkbox>
          </w:sdtPr>
          <w:sdtEndPr/>
          <w:sdtContent>
            <w:tc>
              <w:tcPr>
                <w:tcW w:w="559" w:type="dxa"/>
                <w:vAlign w:val="center"/>
              </w:tcPr>
              <w:p w14:paraId="5D3C13A3" w14:textId="77777777" w:rsidR="00B341F1" w:rsidRPr="00B27991" w:rsidRDefault="00B341F1" w:rsidP="006E563B">
                <w:pPr>
                  <w:spacing w:before="40" w:after="40"/>
                  <w:jc w:val="center"/>
                </w:pPr>
                <w:r>
                  <w:rPr>
                    <w:rFonts w:ascii="MS Gothic" w:eastAsia="MS Gothic" w:hAnsi="MS Gothic" w:hint="eastAsia"/>
                  </w:rPr>
                  <w:t>☐</w:t>
                </w:r>
              </w:p>
            </w:tc>
          </w:sdtContent>
        </w:sdt>
      </w:tr>
      <w:tr w:rsidR="00B341F1" w:rsidRPr="00B27991" w14:paraId="241C3590" w14:textId="77777777" w:rsidTr="009E2C3C">
        <w:tc>
          <w:tcPr>
            <w:tcW w:w="4247" w:type="dxa"/>
          </w:tcPr>
          <w:p w14:paraId="3D4F89FF" w14:textId="77777777" w:rsidR="00B341F1" w:rsidRPr="00B27991" w:rsidRDefault="00B341F1" w:rsidP="006E563B">
            <w:pPr>
              <w:spacing w:before="40" w:after="40"/>
            </w:pPr>
            <w:r w:rsidRPr="00B27991">
              <w:t>Downstream</w:t>
            </w:r>
          </w:p>
        </w:tc>
        <w:sdt>
          <w:sdtPr>
            <w:id w:val="1617406718"/>
            <w14:checkbox>
              <w14:checked w14:val="1"/>
              <w14:checkedState w14:val="2612" w14:font="MS Gothic"/>
              <w14:uncheckedState w14:val="2610" w14:font="MS Gothic"/>
            </w14:checkbox>
          </w:sdtPr>
          <w:sdtEndPr/>
          <w:sdtContent>
            <w:tc>
              <w:tcPr>
                <w:tcW w:w="559" w:type="dxa"/>
                <w:vAlign w:val="center"/>
              </w:tcPr>
              <w:p w14:paraId="2F6DD8A0" w14:textId="44CC5B04" w:rsidR="00B341F1" w:rsidRPr="00B27991" w:rsidRDefault="00144342" w:rsidP="006E563B">
                <w:pPr>
                  <w:spacing w:before="40" w:after="40"/>
                  <w:jc w:val="center"/>
                </w:pPr>
                <w:r>
                  <w:rPr>
                    <w:rFonts w:ascii="MS Gothic" w:eastAsia="MS Gothic" w:hAnsi="MS Gothic" w:hint="eastAsia"/>
                  </w:rPr>
                  <w:t>☒</w:t>
                </w:r>
              </w:p>
            </w:tc>
          </w:sdtContent>
        </w:sdt>
      </w:tr>
      <w:tr w:rsidR="00B341F1" w:rsidRPr="00B27991" w14:paraId="7C8702CB" w14:textId="77777777" w:rsidTr="00CC7717">
        <w:trPr>
          <w:tblHeader/>
        </w:trPr>
        <w:tc>
          <w:tcPr>
            <w:tcW w:w="4247" w:type="dxa"/>
            <w:shd w:val="clear" w:color="auto" w:fill="2F5496" w:themeFill="accent1" w:themeFillShade="BF"/>
          </w:tcPr>
          <w:p w14:paraId="693F9B12" w14:textId="77777777" w:rsidR="00B341F1" w:rsidRPr="00CC7717" w:rsidRDefault="00B341F1" w:rsidP="006E563B">
            <w:pPr>
              <w:spacing w:before="40" w:after="40"/>
              <w:jc w:val="center"/>
              <w:rPr>
                <w:color w:val="FFFFFF" w:themeColor="background1"/>
              </w:rPr>
            </w:pPr>
            <w:r w:rsidRPr="00CC7717">
              <w:rPr>
                <w:b/>
                <w:color w:val="FFFFFF" w:themeColor="background1"/>
              </w:rPr>
              <w:lastRenderedPageBreak/>
              <w:t>Intervention Strategies</w:t>
            </w:r>
            <w:r w:rsidRPr="00CC7717">
              <w:rPr>
                <w:color w:val="FFFFFF" w:themeColor="background1"/>
              </w:rPr>
              <w:t xml:space="preserve"> </w:t>
            </w:r>
          </w:p>
        </w:tc>
        <w:tc>
          <w:tcPr>
            <w:tcW w:w="559" w:type="dxa"/>
            <w:shd w:val="clear" w:color="auto" w:fill="2F5496" w:themeFill="accent1" w:themeFillShade="BF"/>
          </w:tcPr>
          <w:p w14:paraId="482CDF80" w14:textId="77777777" w:rsidR="00B341F1" w:rsidRPr="00CC7717" w:rsidRDefault="00B341F1" w:rsidP="006E563B">
            <w:pPr>
              <w:spacing w:before="40" w:after="40"/>
              <w:jc w:val="center"/>
              <w:rPr>
                <w:b/>
                <w:color w:val="FFFFFF" w:themeColor="background1"/>
              </w:rPr>
            </w:pPr>
          </w:p>
        </w:tc>
      </w:tr>
      <w:tr w:rsidR="00B341F1" w:rsidRPr="00B27991" w14:paraId="3A65B52F" w14:textId="77777777" w:rsidTr="009E2C3C">
        <w:trPr>
          <w:tblHeader/>
        </w:trPr>
        <w:tc>
          <w:tcPr>
            <w:tcW w:w="4247" w:type="dxa"/>
            <w:shd w:val="clear" w:color="auto" w:fill="auto"/>
          </w:tcPr>
          <w:p w14:paraId="62832905" w14:textId="77777777" w:rsidR="00B341F1" w:rsidRPr="00B27991" w:rsidDel="00B341F1" w:rsidRDefault="00B341F1" w:rsidP="006E563B">
            <w:pPr>
              <w:spacing w:before="40" w:after="40"/>
              <w:rPr>
                <w:b/>
              </w:rPr>
            </w:pPr>
            <w:r w:rsidRPr="00B27991">
              <w:t>Direct Install</w:t>
            </w:r>
          </w:p>
        </w:tc>
        <w:sdt>
          <w:sdtPr>
            <w:rPr>
              <w:bCs/>
            </w:rPr>
            <w:id w:val="1606229558"/>
            <w14:checkbox>
              <w14:checked w14:val="0"/>
              <w14:checkedState w14:val="2612" w14:font="MS Gothic"/>
              <w14:uncheckedState w14:val="2610" w14:font="MS Gothic"/>
            </w14:checkbox>
          </w:sdtPr>
          <w:sdtEndPr/>
          <w:sdtContent>
            <w:tc>
              <w:tcPr>
                <w:tcW w:w="559" w:type="dxa"/>
                <w:shd w:val="clear" w:color="auto" w:fill="auto"/>
              </w:tcPr>
              <w:p w14:paraId="5CC987A5" w14:textId="77777777" w:rsidR="00B341F1" w:rsidRPr="00B27991" w:rsidDel="00B341F1" w:rsidRDefault="00C06495" w:rsidP="006E563B">
                <w:pPr>
                  <w:spacing w:before="40" w:after="40"/>
                  <w:jc w:val="center"/>
                  <w:rPr>
                    <w:b/>
                  </w:rPr>
                </w:pPr>
                <w:r w:rsidRPr="00C06495">
                  <w:rPr>
                    <w:rFonts w:ascii="MS Gothic" w:eastAsia="MS Gothic" w:hAnsi="MS Gothic" w:hint="eastAsia"/>
                    <w:bCs/>
                  </w:rPr>
                  <w:t>☐</w:t>
                </w:r>
              </w:p>
            </w:tc>
          </w:sdtContent>
        </w:sdt>
      </w:tr>
      <w:tr w:rsidR="00B341F1" w:rsidRPr="00B27991" w14:paraId="772F4221" w14:textId="77777777" w:rsidTr="009E2C3C">
        <w:tc>
          <w:tcPr>
            <w:tcW w:w="4247" w:type="dxa"/>
          </w:tcPr>
          <w:p w14:paraId="6AE4A9A8" w14:textId="77777777" w:rsidR="00B341F1" w:rsidRPr="00B27991" w:rsidRDefault="00B341F1" w:rsidP="006E563B">
            <w:pPr>
              <w:spacing w:before="40" w:after="40"/>
            </w:pPr>
            <w:r>
              <w:t>Incentive</w:t>
            </w:r>
          </w:p>
        </w:tc>
        <w:sdt>
          <w:sdtPr>
            <w:id w:val="1688564913"/>
            <w14:checkbox>
              <w14:checked w14:val="1"/>
              <w14:checkedState w14:val="2612" w14:font="MS Gothic"/>
              <w14:uncheckedState w14:val="2610" w14:font="MS Gothic"/>
            </w14:checkbox>
          </w:sdtPr>
          <w:sdtEndPr/>
          <w:sdtContent>
            <w:tc>
              <w:tcPr>
                <w:tcW w:w="559" w:type="dxa"/>
                <w:vAlign w:val="center"/>
              </w:tcPr>
              <w:p w14:paraId="614D8D36" w14:textId="3675CB81" w:rsidR="00B341F1" w:rsidRPr="00B27991" w:rsidRDefault="00144342" w:rsidP="006E563B">
                <w:pPr>
                  <w:spacing w:before="40" w:after="40"/>
                  <w:jc w:val="center"/>
                </w:pPr>
                <w:r>
                  <w:rPr>
                    <w:rFonts w:ascii="MS Gothic" w:eastAsia="MS Gothic" w:hAnsi="MS Gothic" w:hint="eastAsia"/>
                  </w:rPr>
                  <w:t>☒</w:t>
                </w:r>
              </w:p>
            </w:tc>
          </w:sdtContent>
        </w:sdt>
      </w:tr>
      <w:tr w:rsidR="00C06495" w:rsidRPr="00B27991" w14:paraId="0FEC37C7" w14:textId="77777777" w:rsidTr="009E2C3C">
        <w:tc>
          <w:tcPr>
            <w:tcW w:w="4247" w:type="dxa"/>
          </w:tcPr>
          <w:p w14:paraId="6B08F34E" w14:textId="77777777" w:rsidR="00C06495" w:rsidRDefault="00C06495" w:rsidP="006E563B">
            <w:pPr>
              <w:spacing w:before="40" w:after="40"/>
            </w:pPr>
            <w:r>
              <w:t>Finance</w:t>
            </w:r>
          </w:p>
        </w:tc>
        <w:sdt>
          <w:sdtPr>
            <w:id w:val="-444000737"/>
            <w14:checkbox>
              <w14:checked w14:val="1"/>
              <w14:checkedState w14:val="2612" w14:font="MS Gothic"/>
              <w14:uncheckedState w14:val="2610" w14:font="MS Gothic"/>
            </w14:checkbox>
          </w:sdtPr>
          <w:sdtEndPr/>
          <w:sdtContent>
            <w:tc>
              <w:tcPr>
                <w:tcW w:w="559" w:type="dxa"/>
                <w:vAlign w:val="center"/>
              </w:tcPr>
              <w:p w14:paraId="516AF956" w14:textId="6BD6DAC0" w:rsidR="00C06495" w:rsidRDefault="00144342" w:rsidP="006E563B">
                <w:pPr>
                  <w:spacing w:before="40" w:after="40"/>
                  <w:jc w:val="center"/>
                </w:pPr>
                <w:r>
                  <w:rPr>
                    <w:rFonts w:ascii="MS Gothic" w:eastAsia="MS Gothic" w:hAnsi="MS Gothic" w:hint="eastAsia"/>
                  </w:rPr>
                  <w:t>☒</w:t>
                </w:r>
              </w:p>
            </w:tc>
          </w:sdtContent>
        </w:sdt>
      </w:tr>
      <w:tr w:rsidR="00C06495" w:rsidRPr="00B27991" w14:paraId="6AE16D7E" w14:textId="77777777" w:rsidTr="009E2C3C">
        <w:tc>
          <w:tcPr>
            <w:tcW w:w="4247" w:type="dxa"/>
          </w:tcPr>
          <w:p w14:paraId="74249778" w14:textId="77777777" w:rsidR="00C06495" w:rsidRDefault="00C06495" w:rsidP="006E563B">
            <w:pPr>
              <w:spacing w:before="40" w:after="40"/>
            </w:pPr>
            <w:r>
              <w:t>Audit</w:t>
            </w:r>
          </w:p>
        </w:tc>
        <w:sdt>
          <w:sdtPr>
            <w:id w:val="-862204814"/>
            <w14:checkbox>
              <w14:checked w14:val="1"/>
              <w14:checkedState w14:val="2612" w14:font="MS Gothic"/>
              <w14:uncheckedState w14:val="2610" w14:font="MS Gothic"/>
            </w14:checkbox>
          </w:sdtPr>
          <w:sdtEndPr/>
          <w:sdtContent>
            <w:tc>
              <w:tcPr>
                <w:tcW w:w="559" w:type="dxa"/>
                <w:vAlign w:val="center"/>
              </w:tcPr>
              <w:p w14:paraId="3AD3D00E" w14:textId="18F50ECB" w:rsidR="00C06495" w:rsidRDefault="00144342" w:rsidP="006E563B">
                <w:pPr>
                  <w:spacing w:before="40" w:after="40"/>
                  <w:jc w:val="center"/>
                </w:pPr>
                <w:r>
                  <w:rPr>
                    <w:rFonts w:ascii="MS Gothic" w:eastAsia="MS Gothic" w:hAnsi="MS Gothic" w:hint="eastAsia"/>
                  </w:rPr>
                  <w:t>☒</w:t>
                </w:r>
              </w:p>
            </w:tc>
          </w:sdtContent>
        </w:sdt>
      </w:tr>
      <w:tr w:rsidR="00C06495" w:rsidRPr="00B27991" w14:paraId="70F3583C" w14:textId="77777777" w:rsidTr="009E2C3C">
        <w:tc>
          <w:tcPr>
            <w:tcW w:w="4247" w:type="dxa"/>
          </w:tcPr>
          <w:p w14:paraId="653274C1" w14:textId="77777777" w:rsidR="00C06495" w:rsidRDefault="00C06495" w:rsidP="006E563B">
            <w:pPr>
              <w:spacing w:before="40" w:after="40"/>
            </w:pPr>
            <w:r>
              <w:t>Technical Assistance</w:t>
            </w:r>
          </w:p>
        </w:tc>
        <w:sdt>
          <w:sdtPr>
            <w:id w:val="-1490396411"/>
            <w14:checkbox>
              <w14:checked w14:val="1"/>
              <w14:checkedState w14:val="2612" w14:font="MS Gothic"/>
              <w14:uncheckedState w14:val="2610" w14:font="MS Gothic"/>
            </w14:checkbox>
          </w:sdtPr>
          <w:sdtEndPr/>
          <w:sdtContent>
            <w:tc>
              <w:tcPr>
                <w:tcW w:w="559" w:type="dxa"/>
                <w:vAlign w:val="center"/>
              </w:tcPr>
              <w:p w14:paraId="5BB6053A" w14:textId="57456FCC" w:rsidR="00C06495" w:rsidRDefault="00144342" w:rsidP="006E563B">
                <w:pPr>
                  <w:spacing w:before="40" w:after="40"/>
                  <w:jc w:val="center"/>
                </w:pPr>
                <w:r>
                  <w:rPr>
                    <w:rFonts w:ascii="MS Gothic" w:eastAsia="MS Gothic" w:hAnsi="MS Gothic" w:hint="eastAsia"/>
                  </w:rPr>
                  <w:t>☒</w:t>
                </w:r>
              </w:p>
            </w:tc>
          </w:sdtContent>
        </w:sdt>
      </w:tr>
    </w:tbl>
    <w:p w14:paraId="341A47BB" w14:textId="77777777" w:rsidR="00B27991" w:rsidRDefault="00B27991" w:rsidP="00B341F1">
      <w:pPr>
        <w:pStyle w:val="BodyText"/>
      </w:pPr>
    </w:p>
    <w:p w14:paraId="6F3EA97F" w14:textId="3481EF94" w:rsidR="00C06495" w:rsidRPr="00C06495" w:rsidRDefault="00C06495" w:rsidP="00B341F1">
      <w:pPr>
        <w:pStyle w:val="BodyText"/>
        <w:rPr>
          <w:b/>
          <w:bCs/>
          <w:sz w:val="24"/>
          <w:szCs w:val="24"/>
          <w:u w:val="single"/>
        </w:rPr>
      </w:pPr>
      <w:r>
        <w:rPr>
          <w:b/>
          <w:bCs/>
          <w:sz w:val="24"/>
          <w:szCs w:val="24"/>
          <w:u w:val="single"/>
        </w:rPr>
        <w:t>Campaign Goals and Timeline</w:t>
      </w:r>
      <w:r w:rsidR="00E21938">
        <w:rPr>
          <w:b/>
          <w:bCs/>
          <w:sz w:val="24"/>
          <w:szCs w:val="24"/>
          <w:u w:val="single"/>
        </w:rPr>
        <w:t>:</w:t>
      </w:r>
    </w:p>
    <w:p w14:paraId="51F961CD" w14:textId="1DE7CB5D" w:rsidR="00C06495" w:rsidRDefault="00FA6BEC" w:rsidP="00FA6BEC">
      <w:pPr>
        <w:pStyle w:val="BodyText"/>
        <w:ind w:left="0"/>
      </w:pPr>
      <w:r>
        <w:t xml:space="preserve">SPARKe </w:t>
      </w:r>
      <w:r w:rsidR="007D6B0E">
        <w:t>Commercial</w:t>
      </w:r>
      <w:r>
        <w:t xml:space="preserve"> SEM is designed to occur over a 6-year timeline</w:t>
      </w:r>
      <w:r w:rsidR="00373875">
        <w:t xml:space="preserve">. Objectives are </w:t>
      </w:r>
      <w:r w:rsidR="000E292F">
        <w:t>outlined in Section 2</w:t>
      </w:r>
      <w:r w:rsidR="00554EC3">
        <w:t>.1 (below)</w:t>
      </w:r>
      <w:r w:rsidR="000E292F">
        <w:t xml:space="preserve"> and </w:t>
      </w:r>
      <w:r w:rsidR="00554EC3">
        <w:t xml:space="preserve">Goals are outlined in </w:t>
      </w:r>
      <w:r w:rsidR="000E292F">
        <w:t xml:space="preserve">Section 1, </w:t>
      </w:r>
      <w:r w:rsidR="000C231F">
        <w:t>Tables 2 – 5,</w:t>
      </w:r>
      <w:r w:rsidR="000E292F">
        <w:t xml:space="preserve"> respectively.</w:t>
      </w:r>
    </w:p>
    <w:tbl>
      <w:tblPr>
        <w:tblStyle w:val="BandedBlueTable"/>
        <w:tblW w:w="9265" w:type="dxa"/>
        <w:tblLook w:val="0020" w:firstRow="1" w:lastRow="0" w:firstColumn="0" w:lastColumn="0" w:noHBand="0" w:noVBand="0"/>
      </w:tblPr>
      <w:tblGrid>
        <w:gridCol w:w="2070"/>
        <w:gridCol w:w="7195"/>
      </w:tblGrid>
      <w:tr w:rsidR="00D14D49" w14:paraId="45A0117A" w14:textId="77777777" w:rsidTr="00FC0501">
        <w:trPr>
          <w:cnfStyle w:val="100000000000" w:firstRow="1" w:lastRow="0" w:firstColumn="0" w:lastColumn="0" w:oddVBand="0" w:evenVBand="0" w:oddHBand="0" w:evenHBand="0" w:firstRowFirstColumn="0" w:firstRowLastColumn="0" w:lastRowFirstColumn="0" w:lastRowLastColumn="0"/>
          <w:trHeight w:val="288"/>
        </w:trPr>
        <w:tc>
          <w:tcPr>
            <w:tcW w:w="2070" w:type="dxa"/>
            <w:vAlign w:val="center"/>
          </w:tcPr>
          <w:p w14:paraId="2F5AB8DF" w14:textId="77777777" w:rsidR="00D14D49" w:rsidRPr="0029439B" w:rsidRDefault="00D14D49" w:rsidP="00FC0501">
            <w:pPr>
              <w:ind w:left="36"/>
              <w:jc w:val="center"/>
              <w:rPr>
                <w:w w:val="0"/>
              </w:rPr>
            </w:pPr>
            <w:r w:rsidRPr="0029439B">
              <w:rPr>
                <w:w w:val="0"/>
              </w:rPr>
              <w:t>Projected Completion Date</w:t>
            </w:r>
          </w:p>
        </w:tc>
        <w:tc>
          <w:tcPr>
            <w:tcW w:w="7195" w:type="dxa"/>
            <w:vAlign w:val="center"/>
          </w:tcPr>
          <w:p w14:paraId="46730553" w14:textId="77777777" w:rsidR="00D14D49" w:rsidRPr="0029439B" w:rsidRDefault="00D14D49" w:rsidP="00FC0501">
            <w:pPr>
              <w:ind w:left="36"/>
              <w:jc w:val="center"/>
              <w:rPr>
                <w:w w:val="0"/>
              </w:rPr>
            </w:pPr>
            <w:r w:rsidRPr="0029439B">
              <w:rPr>
                <w:w w:val="0"/>
              </w:rPr>
              <w:t>Activity</w:t>
            </w:r>
          </w:p>
        </w:tc>
      </w:tr>
      <w:tr w:rsidR="00D14D49" w14:paraId="4BE268CF" w14:textId="77777777" w:rsidTr="00FC0501">
        <w:trPr>
          <w:trHeight w:val="288"/>
        </w:trPr>
        <w:tc>
          <w:tcPr>
            <w:tcW w:w="2070" w:type="dxa"/>
          </w:tcPr>
          <w:p w14:paraId="28CB445F" w14:textId="77777777" w:rsidR="00D14D49" w:rsidRDefault="00D14D49" w:rsidP="00FC0501">
            <w:pPr>
              <w:ind w:left="-80"/>
              <w:jc w:val="center"/>
              <w:rPr>
                <w:color w:val="000000"/>
                <w:w w:val="0"/>
              </w:rPr>
            </w:pPr>
            <w:r>
              <w:rPr>
                <w:color w:val="000000"/>
                <w:w w:val="0"/>
              </w:rPr>
              <w:t>7/9/2024</w:t>
            </w:r>
          </w:p>
        </w:tc>
        <w:tc>
          <w:tcPr>
            <w:tcW w:w="7195" w:type="dxa"/>
          </w:tcPr>
          <w:p w14:paraId="190ABC31" w14:textId="77777777" w:rsidR="00D14D49" w:rsidRDefault="00D14D49" w:rsidP="00FC0501">
            <w:pPr>
              <w:ind w:left="331"/>
              <w:rPr>
                <w:color w:val="000000"/>
                <w:w w:val="0"/>
              </w:rPr>
            </w:pPr>
            <w:r w:rsidRPr="00FC0501">
              <w:rPr>
                <w:b/>
                <w:bCs/>
                <w:color w:val="000000"/>
                <w:w w:val="0"/>
              </w:rPr>
              <w:t>Finalized Implementation Plan</w:t>
            </w:r>
            <w:r>
              <w:rPr>
                <w:color w:val="000000"/>
                <w:w w:val="0"/>
              </w:rPr>
              <w:t>: Cascade and SCE have agreed on the final Implementation Plan, and it has been posted to CEDARS.</w:t>
            </w:r>
          </w:p>
        </w:tc>
      </w:tr>
      <w:tr w:rsidR="00D14D49" w14:paraId="6D0EB76F" w14:textId="77777777" w:rsidTr="00FC0501">
        <w:trPr>
          <w:cnfStyle w:val="000000010000" w:firstRow="0" w:lastRow="0" w:firstColumn="0" w:lastColumn="0" w:oddVBand="0" w:evenVBand="0" w:oddHBand="0" w:evenHBand="1" w:firstRowFirstColumn="0" w:firstRowLastColumn="0" w:lastRowFirstColumn="0" w:lastRowLastColumn="0"/>
          <w:trHeight w:val="288"/>
        </w:trPr>
        <w:tc>
          <w:tcPr>
            <w:tcW w:w="2070" w:type="dxa"/>
          </w:tcPr>
          <w:p w14:paraId="47DBB234" w14:textId="05FFD776" w:rsidR="00D14D49" w:rsidRDefault="0014657F" w:rsidP="00FC0501">
            <w:pPr>
              <w:ind w:left="-80"/>
              <w:jc w:val="center"/>
              <w:rPr>
                <w:color w:val="000000"/>
                <w:w w:val="0"/>
              </w:rPr>
            </w:pPr>
            <w:r>
              <w:rPr>
                <w:color w:val="000000"/>
                <w:w w:val="0"/>
              </w:rPr>
              <w:t>10/1</w:t>
            </w:r>
            <w:r w:rsidR="00D14D49">
              <w:rPr>
                <w:color w:val="000000"/>
                <w:w w:val="0"/>
              </w:rPr>
              <w:t>/2024</w:t>
            </w:r>
          </w:p>
        </w:tc>
        <w:tc>
          <w:tcPr>
            <w:tcW w:w="7195" w:type="dxa"/>
          </w:tcPr>
          <w:p w14:paraId="52504909" w14:textId="35319D06" w:rsidR="00D14D49" w:rsidRPr="00413239" w:rsidRDefault="00D14D49" w:rsidP="00FC0501">
            <w:pPr>
              <w:ind w:left="331"/>
              <w:rPr>
                <w:color w:val="000000"/>
                <w:w w:val="0"/>
              </w:rPr>
            </w:pPr>
            <w:r>
              <w:rPr>
                <w:b/>
                <w:bCs/>
                <w:color w:val="000000"/>
                <w:w w:val="0"/>
              </w:rPr>
              <w:t xml:space="preserve">Ramp Up: </w:t>
            </w:r>
            <w:r w:rsidR="00263228">
              <w:rPr>
                <w:color w:val="000000"/>
                <w:w w:val="0"/>
              </w:rPr>
              <w:t>Participant recruiting and continued staffing</w:t>
            </w:r>
          </w:p>
        </w:tc>
      </w:tr>
      <w:tr w:rsidR="00D14D49" w14:paraId="68B4C231" w14:textId="77777777" w:rsidTr="00FC0501">
        <w:trPr>
          <w:trHeight w:val="288"/>
        </w:trPr>
        <w:tc>
          <w:tcPr>
            <w:tcW w:w="2070" w:type="dxa"/>
          </w:tcPr>
          <w:p w14:paraId="689FFD01" w14:textId="2BED7EF3" w:rsidR="00D14D49" w:rsidRDefault="00211AFF" w:rsidP="00FC0501">
            <w:pPr>
              <w:ind w:left="-80"/>
              <w:jc w:val="center"/>
              <w:rPr>
                <w:color w:val="000000"/>
                <w:w w:val="0"/>
              </w:rPr>
            </w:pPr>
            <w:r>
              <w:rPr>
                <w:color w:val="000000"/>
                <w:w w:val="0"/>
              </w:rPr>
              <w:t>12</w:t>
            </w:r>
            <w:r w:rsidR="00263228">
              <w:rPr>
                <w:color w:val="000000"/>
                <w:w w:val="0"/>
              </w:rPr>
              <w:t>/1</w:t>
            </w:r>
            <w:r>
              <w:rPr>
                <w:color w:val="000000"/>
                <w:w w:val="0"/>
              </w:rPr>
              <w:t>0</w:t>
            </w:r>
            <w:r w:rsidR="00263228">
              <w:rPr>
                <w:color w:val="000000"/>
                <w:w w:val="0"/>
              </w:rPr>
              <w:t>/2024</w:t>
            </w:r>
          </w:p>
        </w:tc>
        <w:tc>
          <w:tcPr>
            <w:tcW w:w="7195" w:type="dxa"/>
          </w:tcPr>
          <w:p w14:paraId="5CBA0DEA" w14:textId="77777777" w:rsidR="00D14D49" w:rsidRDefault="00D14D49" w:rsidP="00FC0501">
            <w:pPr>
              <w:ind w:left="331"/>
              <w:rPr>
                <w:color w:val="000000"/>
                <w:w w:val="0"/>
              </w:rPr>
            </w:pPr>
            <w:r w:rsidRPr="00FC0501">
              <w:rPr>
                <w:b/>
                <w:bCs/>
                <w:color w:val="000000"/>
                <w:w w:val="0"/>
              </w:rPr>
              <w:t xml:space="preserve">Marketing and Advertising: </w:t>
            </w:r>
            <w:r w:rsidRPr="00133AD8">
              <w:rPr>
                <w:color w:val="000000"/>
                <w:w w:val="0"/>
              </w:rPr>
              <w:t>Lau</w:t>
            </w:r>
            <w:r>
              <w:rPr>
                <w:color w:val="000000"/>
                <w:w w:val="0"/>
              </w:rPr>
              <w:t>nch of marketing and advertising campaign.</w:t>
            </w:r>
          </w:p>
        </w:tc>
      </w:tr>
      <w:tr w:rsidR="00D14D49" w14:paraId="714BD91B" w14:textId="77777777" w:rsidTr="00FC0501">
        <w:trPr>
          <w:cnfStyle w:val="000000010000" w:firstRow="0" w:lastRow="0" w:firstColumn="0" w:lastColumn="0" w:oddVBand="0" w:evenVBand="0" w:oddHBand="0" w:evenHBand="1" w:firstRowFirstColumn="0" w:firstRowLastColumn="0" w:lastRowFirstColumn="0" w:lastRowLastColumn="0"/>
          <w:trHeight w:val="288"/>
        </w:trPr>
        <w:tc>
          <w:tcPr>
            <w:tcW w:w="2070" w:type="dxa"/>
          </w:tcPr>
          <w:p w14:paraId="798AB920" w14:textId="097DA048" w:rsidR="00D14D49" w:rsidRDefault="00133AD8" w:rsidP="00FC0501">
            <w:pPr>
              <w:ind w:left="-80"/>
              <w:jc w:val="center"/>
              <w:rPr>
                <w:color w:val="000000"/>
                <w:w w:val="0"/>
              </w:rPr>
            </w:pPr>
            <w:r>
              <w:rPr>
                <w:color w:val="000000"/>
                <w:w w:val="0"/>
              </w:rPr>
              <w:t>4/1/2025</w:t>
            </w:r>
          </w:p>
        </w:tc>
        <w:tc>
          <w:tcPr>
            <w:tcW w:w="7195" w:type="dxa"/>
          </w:tcPr>
          <w:p w14:paraId="59ECECF8" w14:textId="77777777" w:rsidR="00D14D49" w:rsidRDefault="00D14D49" w:rsidP="00FC0501">
            <w:pPr>
              <w:ind w:left="331"/>
              <w:rPr>
                <w:color w:val="000000"/>
                <w:w w:val="0"/>
              </w:rPr>
            </w:pPr>
            <w:r w:rsidRPr="00FC0501">
              <w:rPr>
                <w:b/>
                <w:bCs/>
                <w:color w:val="000000"/>
                <w:w w:val="0"/>
              </w:rPr>
              <w:t>Program Delivery</w:t>
            </w:r>
            <w:r>
              <w:rPr>
                <w:color w:val="000000"/>
                <w:w w:val="0"/>
              </w:rPr>
              <w:t>: SPARKe program delivery commences.</w:t>
            </w:r>
          </w:p>
        </w:tc>
      </w:tr>
      <w:tr w:rsidR="00D14D49" w14:paraId="74C6B723" w14:textId="77777777" w:rsidTr="00FC0501">
        <w:trPr>
          <w:trHeight w:val="288"/>
        </w:trPr>
        <w:tc>
          <w:tcPr>
            <w:tcW w:w="2070" w:type="dxa"/>
          </w:tcPr>
          <w:p w14:paraId="05D4DA0C" w14:textId="4D20AFA7" w:rsidR="00D14D49" w:rsidRDefault="00133AD8" w:rsidP="00FC0501">
            <w:pPr>
              <w:ind w:left="-80"/>
              <w:jc w:val="center"/>
              <w:rPr>
                <w:color w:val="000000"/>
                <w:w w:val="0"/>
              </w:rPr>
            </w:pPr>
            <w:r>
              <w:rPr>
                <w:color w:val="000000"/>
                <w:w w:val="0"/>
              </w:rPr>
              <w:t>1/1/2027</w:t>
            </w:r>
          </w:p>
        </w:tc>
        <w:tc>
          <w:tcPr>
            <w:tcW w:w="7195" w:type="dxa"/>
          </w:tcPr>
          <w:p w14:paraId="51BDADF0" w14:textId="34D7D71B" w:rsidR="00D14D49" w:rsidRPr="00FC0501" w:rsidRDefault="00D14D49" w:rsidP="00FC0501">
            <w:pPr>
              <w:ind w:left="331"/>
              <w:rPr>
                <w:b/>
                <w:bCs/>
                <w:color w:val="000000"/>
                <w:w w:val="0"/>
              </w:rPr>
            </w:pPr>
            <w:r>
              <w:rPr>
                <w:b/>
                <w:bCs/>
                <w:color w:val="000000"/>
                <w:w w:val="0"/>
              </w:rPr>
              <w:t>Ramp Down:</w:t>
            </w:r>
            <w:r w:rsidR="00A16595">
              <w:rPr>
                <w:b/>
                <w:bCs/>
                <w:color w:val="000000"/>
                <w:w w:val="0"/>
              </w:rPr>
              <w:t xml:space="preserve"> </w:t>
            </w:r>
            <w:r w:rsidR="00A16595">
              <w:rPr>
                <w:color w:val="000000"/>
                <w:w w:val="0"/>
              </w:rPr>
              <w:t>Active participants continue to the end of their current cycle. No new cycles will launch.</w:t>
            </w:r>
          </w:p>
        </w:tc>
      </w:tr>
      <w:tr w:rsidR="00D14D49" w14:paraId="0BD6B918" w14:textId="77777777" w:rsidTr="00FC0501">
        <w:trPr>
          <w:cnfStyle w:val="000000010000" w:firstRow="0" w:lastRow="0" w:firstColumn="0" w:lastColumn="0" w:oddVBand="0" w:evenVBand="0" w:oddHBand="0" w:evenHBand="1" w:firstRowFirstColumn="0" w:firstRowLastColumn="0" w:lastRowFirstColumn="0" w:lastRowLastColumn="0"/>
          <w:trHeight w:val="288"/>
        </w:trPr>
        <w:tc>
          <w:tcPr>
            <w:tcW w:w="2070" w:type="dxa"/>
          </w:tcPr>
          <w:p w14:paraId="066CA996" w14:textId="5DA98A1D" w:rsidR="00D14D49" w:rsidRDefault="00133AD8" w:rsidP="00FC0501">
            <w:pPr>
              <w:ind w:left="-80"/>
              <w:jc w:val="center"/>
              <w:rPr>
                <w:color w:val="000000"/>
                <w:w w:val="0"/>
              </w:rPr>
            </w:pPr>
            <w:r>
              <w:rPr>
                <w:color w:val="000000"/>
                <w:w w:val="0"/>
              </w:rPr>
              <w:t>12/31/2029</w:t>
            </w:r>
          </w:p>
        </w:tc>
        <w:tc>
          <w:tcPr>
            <w:tcW w:w="7195" w:type="dxa"/>
          </w:tcPr>
          <w:p w14:paraId="11B29A50" w14:textId="619DC59D" w:rsidR="00D14D49" w:rsidRDefault="00D14D49" w:rsidP="00FC0501">
            <w:pPr>
              <w:ind w:left="331"/>
              <w:rPr>
                <w:b/>
                <w:bCs/>
                <w:color w:val="000000"/>
                <w:w w:val="0"/>
              </w:rPr>
            </w:pPr>
            <w:r>
              <w:rPr>
                <w:b/>
                <w:bCs/>
                <w:color w:val="000000"/>
                <w:w w:val="0"/>
              </w:rPr>
              <w:t>Close Out</w:t>
            </w:r>
            <w:r w:rsidR="00440966">
              <w:rPr>
                <w:b/>
                <w:bCs/>
                <w:color w:val="000000"/>
                <w:w w:val="0"/>
              </w:rPr>
              <w:t xml:space="preserve">: </w:t>
            </w:r>
            <w:r w:rsidR="00440966">
              <w:rPr>
                <w:color w:val="000000"/>
                <w:w w:val="0"/>
              </w:rPr>
              <w:t>All cohort cycles will be complete.</w:t>
            </w:r>
          </w:p>
        </w:tc>
      </w:tr>
    </w:tbl>
    <w:p w14:paraId="6729C844" w14:textId="77777777" w:rsidR="00C06495" w:rsidRPr="0086341F" w:rsidRDefault="00C06495" w:rsidP="00B341F1">
      <w:pPr>
        <w:pStyle w:val="BodyText"/>
      </w:pPr>
    </w:p>
    <w:p w14:paraId="367DE8FE" w14:textId="77777777" w:rsidR="00FF5B9D" w:rsidRDefault="00FF5B9D">
      <w:pPr>
        <w:spacing w:after="160"/>
        <w:rPr>
          <w:rFonts w:eastAsiaTheme="majorEastAsia" w:cstheme="majorBidi"/>
          <w:b/>
          <w:bCs/>
          <w:sz w:val="28"/>
          <w:szCs w:val="28"/>
        </w:rPr>
      </w:pPr>
      <w:bookmarkStart w:id="36" w:name="_Toc523840846"/>
      <w:bookmarkStart w:id="37" w:name="_Toc523840881"/>
      <w:bookmarkStart w:id="38" w:name="_Toc523841332"/>
      <w:bookmarkStart w:id="39" w:name="_Toc523840847"/>
      <w:bookmarkStart w:id="40" w:name="_Toc523840882"/>
      <w:bookmarkStart w:id="41" w:name="_Toc523841333"/>
      <w:bookmarkStart w:id="42" w:name="_Toc30758741"/>
      <w:bookmarkStart w:id="43" w:name="_Toc30758742"/>
      <w:bookmarkStart w:id="44" w:name="_Toc30758743"/>
      <w:bookmarkStart w:id="45" w:name="_Toc30758744"/>
      <w:bookmarkStart w:id="46" w:name="_Toc30758752"/>
      <w:bookmarkStart w:id="47" w:name="_Toc30758753"/>
      <w:bookmarkStart w:id="48" w:name="_Toc30758754"/>
      <w:bookmarkStart w:id="49" w:name="_Toc30758755"/>
      <w:bookmarkStart w:id="50" w:name="_Toc30758763"/>
      <w:bookmarkStart w:id="51" w:name="_Toc30774090"/>
      <w:bookmarkStart w:id="52" w:name="_Toc30774203"/>
      <w:bookmarkStart w:id="53" w:name="_Toc30774252"/>
      <w:bookmarkStart w:id="54" w:name="_Toc30758764"/>
      <w:bookmarkStart w:id="55" w:name="_Toc30774091"/>
      <w:bookmarkStart w:id="56" w:name="_Toc30774204"/>
      <w:bookmarkStart w:id="57" w:name="_Toc30774253"/>
      <w:bookmarkStart w:id="58" w:name="_Toc30758765"/>
      <w:bookmarkStart w:id="59" w:name="_Toc30774092"/>
      <w:bookmarkStart w:id="60" w:name="_Toc30774205"/>
      <w:bookmarkStart w:id="61" w:name="_Toc30774254"/>
      <w:bookmarkStart w:id="62" w:name="_Toc30758766"/>
      <w:bookmarkStart w:id="63" w:name="_Toc30774093"/>
      <w:bookmarkStart w:id="64" w:name="_Toc30774206"/>
      <w:bookmarkStart w:id="65" w:name="_Toc30774255"/>
      <w:bookmarkStart w:id="66" w:name="_Toc30758767"/>
      <w:bookmarkStart w:id="67" w:name="_Toc30774094"/>
      <w:bookmarkStart w:id="68" w:name="_Toc30774207"/>
      <w:bookmarkStart w:id="69" w:name="_Toc30774256"/>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br w:type="page"/>
      </w:r>
    </w:p>
    <w:p w14:paraId="3628D0AE" w14:textId="23BD76A9" w:rsidR="00AB491A" w:rsidRDefault="00AB491A" w:rsidP="00AB491A">
      <w:pPr>
        <w:pStyle w:val="Heading1"/>
      </w:pPr>
      <w:bookmarkStart w:id="70" w:name="_Toc168663914"/>
      <w:r>
        <w:lastRenderedPageBreak/>
        <w:t>Implementation Plan Narrative</w:t>
      </w:r>
      <w:bookmarkEnd w:id="70"/>
    </w:p>
    <w:p w14:paraId="56DA6C31" w14:textId="77777777" w:rsidR="00474CAE" w:rsidRPr="00BF455F" w:rsidRDefault="00474CAE" w:rsidP="00836023">
      <w:pPr>
        <w:pStyle w:val="Heading2"/>
        <w:numPr>
          <w:ilvl w:val="0"/>
          <w:numId w:val="13"/>
        </w:numPr>
        <w:spacing w:before="0"/>
      </w:pPr>
      <w:bookmarkStart w:id="71" w:name="_Toc168663915"/>
      <w:r w:rsidRPr="00BF455F">
        <w:t>Program Description</w:t>
      </w:r>
      <w:bookmarkEnd w:id="71"/>
    </w:p>
    <w:p w14:paraId="1ABD6B78" w14:textId="31D6FD8E" w:rsidR="006D646D" w:rsidRDefault="006D646D" w:rsidP="000E43A3">
      <w:r>
        <w:t>Non-</w:t>
      </w:r>
      <w:r w:rsidR="00554E63">
        <w:t xml:space="preserve">residential customers – especially larger customers – are under numerous pressures to reduce their energy use. </w:t>
      </w:r>
      <w:r w:rsidR="00CC5884">
        <w:t>These pressures include a need to reduce operational costs and to meet energy efficiency and decarbonization</w:t>
      </w:r>
      <w:r w:rsidR="001D7F45">
        <w:t xml:space="preserve"> goals (either internally or externally imposed). SPARKe</w:t>
      </w:r>
      <w:r w:rsidR="004B2A17">
        <w:t xml:space="preserve"> addresses persistent barriers to the uptake of energy efficiency for many large customers.</w:t>
      </w:r>
      <w:r w:rsidR="009F2144">
        <w:t xml:space="preserve"> It provides technical, coaching and incentive support</w:t>
      </w:r>
      <w:r w:rsidR="002B2113">
        <w:t xml:space="preserve"> to spur follow through on energy-saving opportunities.</w:t>
      </w:r>
    </w:p>
    <w:p w14:paraId="75668B63" w14:textId="4849E4B9" w:rsidR="000E43A3" w:rsidRDefault="000E43A3" w:rsidP="000E43A3">
      <w:r>
        <w:t xml:space="preserve">The SPARKe </w:t>
      </w:r>
      <w:r w:rsidR="00684355">
        <w:t>Commercial</w:t>
      </w:r>
      <w:r>
        <w:t xml:space="preserve"> SEM Program will deliver the program framework detailed in the most recently published </w:t>
      </w:r>
      <w:hyperlink r:id="rId14" w:history="1">
        <w:r w:rsidRPr="00417FAC">
          <w:rPr>
            <w:rStyle w:val="Hyperlink"/>
            <w:b w:val="0"/>
            <w:bCs/>
          </w:rPr>
          <w:t>California SEM Design Guide</w:t>
        </w:r>
      </w:hyperlink>
      <w:r w:rsidRPr="00417FAC">
        <w:rPr>
          <w:b/>
          <w:bCs/>
        </w:rPr>
        <w:t xml:space="preserve"> </w:t>
      </w:r>
      <w:r w:rsidRPr="00417FAC">
        <w:t>and</w:t>
      </w:r>
      <w:r w:rsidRPr="00417FAC">
        <w:rPr>
          <w:b/>
          <w:bCs/>
        </w:rPr>
        <w:t xml:space="preserve"> </w:t>
      </w:r>
      <w:hyperlink r:id="rId15" w:history="1">
        <w:r w:rsidRPr="00417FAC">
          <w:rPr>
            <w:rStyle w:val="Hyperlink"/>
            <w:b w:val="0"/>
            <w:bCs/>
          </w:rPr>
          <w:t xml:space="preserve">California SEM M&amp;V Guide </w:t>
        </w:r>
      </w:hyperlink>
      <w:r>
        <w:t xml:space="preserve"> to </w:t>
      </w:r>
      <w:r w:rsidR="00BB4E41">
        <w:t xml:space="preserve">Commercial </w:t>
      </w:r>
      <w:r>
        <w:t xml:space="preserve">Customers with annual energy usage greater than 2M kWh in Southern California Edison’s </w:t>
      </w:r>
      <w:r w:rsidR="00A07863">
        <w:t xml:space="preserve">(SCE) </w:t>
      </w:r>
      <w:r>
        <w:t>service territory.</w:t>
      </w:r>
    </w:p>
    <w:p w14:paraId="0A43738E" w14:textId="7D1E2889" w:rsidR="003159D4" w:rsidRDefault="00C60D90" w:rsidP="000E43A3">
      <w:r>
        <w:t>Strategic Energy Management (</w:t>
      </w:r>
      <w:r w:rsidR="000E43A3">
        <w:t>SEM</w:t>
      </w:r>
      <w:r>
        <w:t>)</w:t>
      </w:r>
      <w:r w:rsidR="000E43A3">
        <w:t xml:space="preserve"> as prescribed by the California SEM Design Guide takes customers through a progression of educational modules and site-specific activities over a series of three, two-year cycles. The progression of educational modules builds so that by the end of the sixth year of participation, the customer has a much-improved capacity to manage energy at their site as compared to the first year.</w:t>
      </w:r>
    </w:p>
    <w:p w14:paraId="2DE30999" w14:textId="755CE081" w:rsidR="000E43A3" w:rsidRDefault="000E43A3" w:rsidP="000E43A3">
      <w:r>
        <w:t>SPARKe includes innovative delivery approaches beyond the California SEM Design Guide and California SEM M&amp;V Guide. These include new customer targeting approaches, tailored delivery to cost-effectively serve a larger number of customer</w:t>
      </w:r>
      <w:r w:rsidR="00264655">
        <w:t>s</w:t>
      </w:r>
      <w:r>
        <w:t>, resources to help customers make the business case for and implement more projects, and supplemental techni</w:t>
      </w:r>
      <w:r w:rsidR="000F0485">
        <w:t>cal</w:t>
      </w:r>
      <w:r w:rsidR="005066D9">
        <w:t>, coaching and financial support for decarbonization and electrification projects.</w:t>
      </w:r>
    </w:p>
    <w:p w14:paraId="2231610C" w14:textId="58AC9F7B" w:rsidR="000E43A3" w:rsidRDefault="000E43A3" w:rsidP="000E43A3">
      <w:r>
        <w:t xml:space="preserve">The objectives of the SPARKe </w:t>
      </w:r>
      <w:r w:rsidR="00AD053E">
        <w:t>Commercial</w:t>
      </w:r>
      <w:r>
        <w:t xml:space="preserve"> SEM program include:</w:t>
      </w:r>
    </w:p>
    <w:p w14:paraId="5B64CD51" w14:textId="77777777" w:rsidR="000E43A3" w:rsidRDefault="000E43A3" w:rsidP="000E43A3">
      <w:pPr>
        <w:pStyle w:val="ListParagraph"/>
        <w:numPr>
          <w:ilvl w:val="0"/>
          <w:numId w:val="19"/>
        </w:numPr>
        <w:spacing w:after="0" w:line="276" w:lineRule="auto"/>
      </w:pPr>
      <w:r w:rsidRPr="00900946">
        <w:rPr>
          <w:b/>
          <w:bCs/>
        </w:rPr>
        <w:t>Maximize energy savings and TSB</w:t>
      </w:r>
      <w:r>
        <w:t xml:space="preserve"> by (1) using data to target customer with highest savings potential, (2) including capital projects within SEM for more net savings, faster claims, and higher customer satisfaction, and (3) encouraging electrification projects with significant gas savings and high TSB</w:t>
      </w:r>
    </w:p>
    <w:p w14:paraId="452592F6" w14:textId="1279D33B" w:rsidR="000E43A3" w:rsidRDefault="000E43A3" w:rsidP="000E43A3">
      <w:pPr>
        <w:pStyle w:val="ListParagraph"/>
        <w:numPr>
          <w:ilvl w:val="0"/>
          <w:numId w:val="19"/>
        </w:numPr>
        <w:spacing w:after="0" w:line="276" w:lineRule="auto"/>
      </w:pPr>
      <w:r>
        <w:rPr>
          <w:b/>
          <w:bCs/>
        </w:rPr>
        <w:t xml:space="preserve">Leverage Energy Sensei ® </w:t>
      </w:r>
      <w:r>
        <w:t xml:space="preserve">to streamline reporting and standardize savings claims for both modeled and bottom-up </w:t>
      </w:r>
      <w:r w:rsidR="00F87700">
        <w:t>calculations</w:t>
      </w:r>
    </w:p>
    <w:p w14:paraId="4D83CED8" w14:textId="77777777" w:rsidR="000E43A3" w:rsidRDefault="000E43A3" w:rsidP="000E43A3">
      <w:pPr>
        <w:pStyle w:val="ListParagraph"/>
        <w:numPr>
          <w:ilvl w:val="0"/>
          <w:numId w:val="19"/>
        </w:numPr>
        <w:spacing w:after="0" w:line="276" w:lineRule="auto"/>
      </w:pPr>
      <w:r>
        <w:rPr>
          <w:b/>
          <w:bCs/>
        </w:rPr>
        <w:t>Increase customer engagement and satisfaction</w:t>
      </w:r>
      <w:r>
        <w:t xml:space="preserve"> by tailoring the delivery approach to include the smaller side of the large customer segment, provide a shared energy manager to help resource constrained customers complete projects, allow customer to pursue all project types through a single program and contact</w:t>
      </w:r>
    </w:p>
    <w:p w14:paraId="54A30863" w14:textId="77777777" w:rsidR="000E43A3" w:rsidRDefault="000E43A3" w:rsidP="000E43A3">
      <w:pPr>
        <w:pStyle w:val="ListParagraph"/>
        <w:numPr>
          <w:ilvl w:val="0"/>
          <w:numId w:val="19"/>
        </w:numPr>
        <w:spacing w:after="0" w:line="276" w:lineRule="auto"/>
      </w:pPr>
      <w:r>
        <w:rPr>
          <w:b/>
          <w:bCs/>
        </w:rPr>
        <w:t xml:space="preserve">Promote electrification and decarbonization </w:t>
      </w:r>
      <w:r>
        <w:t>through electrification incentives and decarbonization subject-matter expert consultation</w:t>
      </w:r>
    </w:p>
    <w:p w14:paraId="0D85A897" w14:textId="77777777" w:rsidR="000E43A3" w:rsidRDefault="000E43A3" w:rsidP="000E43A3">
      <w:pPr>
        <w:pStyle w:val="ListParagraph"/>
        <w:numPr>
          <w:ilvl w:val="0"/>
          <w:numId w:val="19"/>
        </w:numPr>
        <w:spacing w:after="0" w:line="276" w:lineRule="auto"/>
      </w:pPr>
      <w:r>
        <w:rPr>
          <w:b/>
          <w:bCs/>
        </w:rPr>
        <w:t xml:space="preserve">Provide an equitable program </w:t>
      </w:r>
      <w:r>
        <w:t>through on-bill and third-party financing options, Disadvantaged Community (DAC) recruiting, and Diverse Business Enterprise (DBE) subcontracting</w:t>
      </w:r>
    </w:p>
    <w:p w14:paraId="778343AE" w14:textId="77777777" w:rsidR="002A2A7C" w:rsidRDefault="002A2A7C" w:rsidP="00284CC0">
      <w:pPr>
        <w:pStyle w:val="BodyText"/>
      </w:pPr>
    </w:p>
    <w:p w14:paraId="01C8573C" w14:textId="77777777" w:rsidR="00C45FAB" w:rsidRDefault="00C45FAB" w:rsidP="00284CC0">
      <w:pPr>
        <w:pStyle w:val="BodyText"/>
      </w:pPr>
    </w:p>
    <w:p w14:paraId="7DC7575C" w14:textId="77777777" w:rsidR="00474CAE" w:rsidRPr="00BF455F" w:rsidRDefault="00474CAE" w:rsidP="00BF455F">
      <w:pPr>
        <w:pStyle w:val="Heading2"/>
      </w:pPr>
      <w:bookmarkStart w:id="72" w:name="_Toc168663916"/>
      <w:r w:rsidRPr="00BF455F">
        <w:lastRenderedPageBreak/>
        <w:t>Program Delivery and Customer Services</w:t>
      </w:r>
      <w:bookmarkEnd w:id="72"/>
      <w:r w:rsidR="00264AA9" w:rsidRPr="00BF455F">
        <w:t xml:space="preserve"> </w:t>
      </w:r>
    </w:p>
    <w:p w14:paraId="4C54362A" w14:textId="56907ED9" w:rsidR="005E517C" w:rsidRPr="0001758A" w:rsidRDefault="005E517C" w:rsidP="005E517C">
      <w:r>
        <w:t xml:space="preserve">SPARKe </w:t>
      </w:r>
      <w:r w:rsidR="00A90F42">
        <w:t>Commercial</w:t>
      </w:r>
      <w:r>
        <w:t xml:space="preserve"> </w:t>
      </w:r>
      <w:r w:rsidR="00FB4F2E">
        <w:t xml:space="preserve">SEM </w:t>
      </w:r>
      <w:r>
        <w:t>is designed to occur over a 6-year timeline. The program will be delivered via the following phases:</w:t>
      </w:r>
    </w:p>
    <w:p w14:paraId="55AEB7B5" w14:textId="77777777" w:rsidR="005E517C" w:rsidRDefault="005E517C" w:rsidP="005E517C">
      <w:pPr>
        <w:pStyle w:val="Heading3"/>
      </w:pPr>
      <w:bookmarkStart w:id="73" w:name="_Toc128397007"/>
      <w:r>
        <w:t>Recruiting/Outreach</w:t>
      </w:r>
      <w:bookmarkEnd w:id="73"/>
    </w:p>
    <w:p w14:paraId="2ACA7B6A" w14:textId="0C5E991D" w:rsidR="005E517C" w:rsidRDefault="005E517C" w:rsidP="0031579B">
      <w:pPr>
        <w:pStyle w:val="HText3Bullets"/>
      </w:pPr>
      <w:r w:rsidRPr="0028602A">
        <w:rPr>
          <w:b/>
          <w:bCs/>
        </w:rPr>
        <w:t>Customer Identification</w:t>
      </w:r>
      <w:r>
        <w:t xml:space="preserve"> – Cascade will use historic energy data to identify customers with significant energy savings potential both in general and peak periods. The customers will be divided into two segments: Large (&gt;10 GWh annual energy use) and Mid-Large (2GWh – 10 GWh annual energy use)</w:t>
      </w:r>
    </w:p>
    <w:p w14:paraId="34ED511F" w14:textId="7218F0C1" w:rsidR="005E517C" w:rsidRDefault="005E517C" w:rsidP="0031579B">
      <w:pPr>
        <w:pStyle w:val="HText3Bullets"/>
      </w:pPr>
      <w:r w:rsidRPr="002E5176">
        <w:rPr>
          <w:b/>
          <w:bCs/>
        </w:rPr>
        <w:t>Outreach/Enrollment</w:t>
      </w:r>
      <w:r>
        <w:t xml:space="preserve"> – Cascade will directly contact Large Customers in conjunction with Account Managers. Customer interactions will be tracked to support a positive </w:t>
      </w:r>
      <w:r w:rsidR="00686D8A">
        <w:t>c</w:t>
      </w:r>
      <w:r>
        <w:t xml:space="preserve">ustomer experience both during and post-recruitment.  </w:t>
      </w:r>
    </w:p>
    <w:p w14:paraId="3CA0C505" w14:textId="49985505" w:rsidR="005E517C" w:rsidRPr="0031579B" w:rsidRDefault="005E517C" w:rsidP="008165E3">
      <w:pPr>
        <w:pStyle w:val="BulletList-1"/>
        <w:numPr>
          <w:ilvl w:val="0"/>
          <w:numId w:val="0"/>
        </w:numPr>
        <w:rPr>
          <w:rFonts w:ascii="Times New Roman" w:hAnsi="Times New Roman" w:cstheme="minorBidi"/>
          <w:color w:val="auto"/>
        </w:rPr>
      </w:pPr>
      <w:r w:rsidRPr="0031579B">
        <w:rPr>
          <w:rFonts w:ascii="Times New Roman" w:hAnsi="Times New Roman" w:cstheme="minorBidi"/>
          <w:color w:val="auto"/>
        </w:rPr>
        <w:t xml:space="preserve">Outreach to Mid-Large Customers will utilize broader communications appropriate for the higher volume of </w:t>
      </w:r>
      <w:r w:rsidR="003221AE">
        <w:rPr>
          <w:rFonts w:ascii="Times New Roman" w:hAnsi="Times New Roman" w:cstheme="minorBidi"/>
          <w:color w:val="auto"/>
        </w:rPr>
        <w:t>c</w:t>
      </w:r>
      <w:r w:rsidRPr="0031579B">
        <w:rPr>
          <w:rFonts w:ascii="Times New Roman" w:hAnsi="Times New Roman" w:cstheme="minorBidi"/>
          <w:color w:val="auto"/>
        </w:rPr>
        <w:t xml:space="preserve">ustomers in this segment, including email, social media, advertising, and collateral. </w:t>
      </w:r>
      <w:r w:rsidR="005155D1">
        <w:rPr>
          <w:rFonts w:ascii="Times New Roman" w:hAnsi="Times New Roman" w:cstheme="minorBidi"/>
          <w:color w:val="auto"/>
        </w:rPr>
        <w:t>Cascade</w:t>
      </w:r>
      <w:r w:rsidRPr="0031579B">
        <w:rPr>
          <w:rFonts w:ascii="Times New Roman" w:hAnsi="Times New Roman" w:cstheme="minorBidi"/>
          <w:color w:val="auto"/>
        </w:rPr>
        <w:t xml:space="preserve"> will leverage the latest developments in artificial intelligence (large language models) to improve both outreach and delivery efficiency.  </w:t>
      </w:r>
    </w:p>
    <w:p w14:paraId="3C134E36" w14:textId="77777777" w:rsidR="005E517C" w:rsidRDefault="005E517C" w:rsidP="005E517C">
      <w:pPr>
        <w:pStyle w:val="Heading3"/>
      </w:pPr>
      <w:r>
        <w:t>SEM Delivery</w:t>
      </w:r>
    </w:p>
    <w:p w14:paraId="4BAC3938" w14:textId="547C518C" w:rsidR="005E517C" w:rsidRDefault="005E517C" w:rsidP="005E517C">
      <w:r>
        <w:t xml:space="preserve">SEM delivery for both Large and Mid-Large </w:t>
      </w:r>
      <w:r w:rsidR="003221AE">
        <w:t>C</w:t>
      </w:r>
      <w:r>
        <w:t xml:space="preserve">ustomers will follow the cycles and provide all education modules and site-specific activities prescribed in the California SEM Design Guide. Cascade will tailor time spent on delivery of these tasks to match the customer savings potential identified at the Treasure Hunt. </w:t>
      </w:r>
    </w:p>
    <w:p w14:paraId="291BFDC0" w14:textId="2A521B78" w:rsidR="005E517C" w:rsidRPr="00215A3A" w:rsidRDefault="005E517C" w:rsidP="008165E3">
      <w:pPr>
        <w:pStyle w:val="HText3Bullets"/>
      </w:pPr>
      <w:r w:rsidRPr="003553BB">
        <w:rPr>
          <w:b/>
          <w:bCs/>
        </w:rPr>
        <w:t xml:space="preserve">Large </w:t>
      </w:r>
      <w:r w:rsidR="003553BB" w:rsidRPr="003553BB">
        <w:rPr>
          <w:b/>
          <w:bCs/>
        </w:rPr>
        <w:t>C</w:t>
      </w:r>
      <w:r w:rsidRPr="003553BB">
        <w:rPr>
          <w:b/>
          <w:bCs/>
        </w:rPr>
        <w:t xml:space="preserve">ustomer </w:t>
      </w:r>
      <w:r w:rsidR="003553BB" w:rsidRPr="003553BB">
        <w:rPr>
          <w:b/>
          <w:bCs/>
        </w:rPr>
        <w:t>T</w:t>
      </w:r>
      <w:r w:rsidRPr="003553BB">
        <w:rPr>
          <w:b/>
          <w:bCs/>
        </w:rPr>
        <w:t>rack</w:t>
      </w:r>
      <w:r w:rsidRPr="00215A3A">
        <w:t xml:space="preserve">: Delivery closely resembles the Industrial SEM program that Cascade is currently delivering for </w:t>
      </w:r>
      <w:r w:rsidR="00EF1957">
        <w:t>SCE</w:t>
      </w:r>
      <w:r w:rsidRPr="00215A3A">
        <w:t>. Each co</w:t>
      </w:r>
      <w:r w:rsidR="00EF1957">
        <w:t>h</w:t>
      </w:r>
      <w:r w:rsidRPr="00215A3A">
        <w:t>ort includes 10 to 12 customers.</w:t>
      </w:r>
    </w:p>
    <w:p w14:paraId="31E27183" w14:textId="02361776" w:rsidR="005E517C" w:rsidRDefault="005E517C" w:rsidP="008165E3">
      <w:pPr>
        <w:pStyle w:val="HText3Bullets"/>
      </w:pPr>
      <w:r w:rsidRPr="003553BB">
        <w:rPr>
          <w:b/>
          <w:bCs/>
        </w:rPr>
        <w:t xml:space="preserve">Mid-Large </w:t>
      </w:r>
      <w:r w:rsidR="003553BB" w:rsidRPr="003553BB">
        <w:rPr>
          <w:b/>
          <w:bCs/>
        </w:rPr>
        <w:t>C</w:t>
      </w:r>
      <w:r w:rsidRPr="003553BB">
        <w:rPr>
          <w:b/>
          <w:bCs/>
        </w:rPr>
        <w:t xml:space="preserve">ustomer </w:t>
      </w:r>
      <w:r w:rsidR="003553BB" w:rsidRPr="003553BB">
        <w:rPr>
          <w:b/>
          <w:bCs/>
        </w:rPr>
        <w:t>T</w:t>
      </w:r>
      <w:r w:rsidRPr="003553BB">
        <w:rPr>
          <w:b/>
          <w:bCs/>
        </w:rPr>
        <w:t>rack</w:t>
      </w:r>
      <w:r w:rsidRPr="00215A3A">
        <w:t xml:space="preserve">: SEM tasks will be customized to cost effectively reach more of the smaller </w:t>
      </w:r>
      <w:r w:rsidR="00EF1957" w:rsidRPr="00215A3A">
        <w:t>customers</w:t>
      </w:r>
      <w:r w:rsidRPr="00215A3A">
        <w:t xml:space="preserve">. Cohorts are larger, with approximately 20 customers. </w:t>
      </w:r>
    </w:p>
    <w:p w14:paraId="5729825C" w14:textId="77777777" w:rsidR="005E517C" w:rsidRPr="008165E3" w:rsidRDefault="005E517C" w:rsidP="005E517C">
      <w:pPr>
        <w:pStyle w:val="BulletList-1"/>
        <w:numPr>
          <w:ilvl w:val="0"/>
          <w:numId w:val="0"/>
        </w:numPr>
        <w:rPr>
          <w:rFonts w:ascii="Times New Roman" w:hAnsi="Times New Roman" w:cstheme="minorBidi"/>
          <w:color w:val="auto"/>
        </w:rPr>
      </w:pPr>
      <w:r w:rsidRPr="008165E3">
        <w:rPr>
          <w:rFonts w:ascii="Times New Roman" w:hAnsi="Times New Roman" w:cstheme="minorBidi"/>
          <w:color w:val="auto"/>
        </w:rPr>
        <w:t>Each customer will be assigned an SEM coach who provides single-point-of-contact support, motivation, and customer service throughout the program.</w:t>
      </w:r>
    </w:p>
    <w:p w14:paraId="6E7AE01B" w14:textId="77777777" w:rsidR="005E517C" w:rsidRPr="008165E3" w:rsidRDefault="005E517C" w:rsidP="005E517C">
      <w:pPr>
        <w:pStyle w:val="BulletList-1"/>
        <w:numPr>
          <w:ilvl w:val="0"/>
          <w:numId w:val="0"/>
        </w:numPr>
        <w:rPr>
          <w:rFonts w:ascii="Times New Roman" w:hAnsi="Times New Roman" w:cstheme="minorBidi"/>
          <w:color w:val="auto"/>
        </w:rPr>
      </w:pPr>
    </w:p>
    <w:p w14:paraId="7AF46018" w14:textId="2F62FE21" w:rsidR="005E517C" w:rsidRDefault="005E517C" w:rsidP="005E517C">
      <w:pPr>
        <w:pStyle w:val="BulletList-1"/>
        <w:numPr>
          <w:ilvl w:val="0"/>
          <w:numId w:val="0"/>
        </w:numPr>
        <w:rPr>
          <w:rFonts w:ascii="Times New Roman" w:hAnsi="Times New Roman" w:cstheme="minorBidi"/>
          <w:color w:val="auto"/>
        </w:rPr>
      </w:pPr>
      <w:r w:rsidRPr="008165E3">
        <w:rPr>
          <w:rFonts w:ascii="Times New Roman" w:hAnsi="Times New Roman" w:cstheme="minorBidi"/>
          <w:color w:val="auto"/>
        </w:rPr>
        <w:t>Energy Sensei®</w:t>
      </w:r>
      <w:r w:rsidR="00CA2BD0">
        <w:rPr>
          <w:rFonts w:ascii="Times New Roman" w:hAnsi="Times New Roman" w:cstheme="minorBidi"/>
          <w:color w:val="auto"/>
        </w:rPr>
        <w:t>, an energy performance platform,</w:t>
      </w:r>
      <w:r w:rsidRPr="008165E3">
        <w:rPr>
          <w:rFonts w:ascii="Times New Roman" w:hAnsi="Times New Roman" w:cstheme="minorBidi"/>
          <w:color w:val="auto"/>
        </w:rPr>
        <w:t xml:space="preserve"> will be provided to all customers to track projects and Greenhouse Gas.</w:t>
      </w:r>
      <w:r w:rsidR="003A380B">
        <w:rPr>
          <w:rFonts w:ascii="Times New Roman" w:hAnsi="Times New Roman" w:cstheme="minorBidi"/>
          <w:color w:val="auto"/>
        </w:rPr>
        <w:t xml:space="preserve"> Energy Sensei® is described in greater detail in Section 3.</w:t>
      </w:r>
    </w:p>
    <w:p w14:paraId="2EE5E1BB" w14:textId="77777777" w:rsidR="00A478D7" w:rsidRDefault="00A478D7" w:rsidP="006C2F96"/>
    <w:p w14:paraId="0E2B1874" w14:textId="7C008A85" w:rsidR="006C2F96" w:rsidRDefault="006C2F96" w:rsidP="006C2F96">
      <w:r>
        <w:t>The following three figures illustrate the program sequence</w:t>
      </w:r>
      <w:r w:rsidR="00961BAA">
        <w:t>s</w:t>
      </w:r>
      <w:r>
        <w:t xml:space="preserve"> for Cycles 1, 2, and 3, respectively.</w:t>
      </w:r>
    </w:p>
    <w:p w14:paraId="187E5251" w14:textId="77777777" w:rsidR="0003020A" w:rsidRDefault="00E54AA9" w:rsidP="0003020A">
      <w:pPr>
        <w:keepNext/>
      </w:pPr>
      <w:bookmarkStart w:id="74" w:name="_Toc128397032"/>
      <w:r w:rsidRPr="001A38C2">
        <w:rPr>
          <w:rFonts w:ascii="Arial Narrow" w:hAnsi="Arial Narrow" w:cs="Arial Narrow"/>
          <w:noProof/>
          <w:sz w:val="26"/>
          <w:szCs w:val="26"/>
        </w:rPr>
        <w:lastRenderedPageBreak/>
        <w:drawing>
          <wp:inline distT="0" distB="0" distL="0" distR="0" wp14:anchorId="1DA5D608" wp14:editId="2ABA3E2D">
            <wp:extent cx="5943600" cy="3432175"/>
            <wp:effectExtent l="19050" t="19050" r="19050" b="15875"/>
            <wp:docPr id="8" name="Picture 8" descr="Timeline&#10;&#10;Description automatically generated">
              <a:extLst xmlns:a="http://schemas.openxmlformats.org/drawingml/2006/main">
                <a:ext uri="{FF2B5EF4-FFF2-40B4-BE49-F238E27FC236}">
                  <a16:creationId xmlns:a16="http://schemas.microsoft.com/office/drawing/2014/main" id="{29D7C9FE-F85F-F747-B8DE-C7B900BCCB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imeline&#10;&#10;Description automatically generated">
                      <a:extLst>
                        <a:ext uri="{FF2B5EF4-FFF2-40B4-BE49-F238E27FC236}">
                          <a16:creationId xmlns:a16="http://schemas.microsoft.com/office/drawing/2014/main" id="{29D7C9FE-F85F-F747-B8DE-C7B900BCCB9E}"/>
                        </a:ext>
                      </a:extLst>
                    </pic:cNvPr>
                    <pic:cNvPicPr>
                      <a:picLocks noChangeAspect="1"/>
                    </pic:cNvPicPr>
                  </pic:nvPicPr>
                  <pic:blipFill>
                    <a:blip r:embed="rId16"/>
                    <a:stretch>
                      <a:fillRect/>
                    </a:stretch>
                  </pic:blipFill>
                  <pic:spPr>
                    <a:xfrm>
                      <a:off x="0" y="0"/>
                      <a:ext cx="5943600" cy="3432175"/>
                    </a:xfrm>
                    <a:prstGeom prst="rect">
                      <a:avLst/>
                    </a:prstGeom>
                    <a:ln>
                      <a:solidFill>
                        <a:schemeClr val="bg1">
                          <a:lumMod val="75000"/>
                        </a:schemeClr>
                      </a:solidFill>
                    </a:ln>
                  </pic:spPr>
                </pic:pic>
              </a:graphicData>
            </a:graphic>
          </wp:inline>
        </w:drawing>
      </w:r>
      <w:bookmarkEnd w:id="74"/>
    </w:p>
    <w:p w14:paraId="2FECB17F" w14:textId="095CAD8D" w:rsidR="00E54AA9" w:rsidRDefault="0003020A" w:rsidP="00961BAA">
      <w:pPr>
        <w:pStyle w:val="Caption"/>
        <w:jc w:val="left"/>
      </w:pPr>
      <w:r>
        <w:t xml:space="preserve">Figure </w:t>
      </w:r>
      <w:r w:rsidR="00B70853">
        <w:fldChar w:fldCharType="begin"/>
      </w:r>
      <w:r w:rsidR="00B70853">
        <w:instrText xml:space="preserve"> SEQ Figure \* ARABIC </w:instrText>
      </w:r>
      <w:r w:rsidR="00B70853">
        <w:fldChar w:fldCharType="separate"/>
      </w:r>
      <w:r w:rsidR="00A6197B">
        <w:rPr>
          <w:noProof/>
        </w:rPr>
        <w:t>1</w:t>
      </w:r>
      <w:r w:rsidR="00B70853">
        <w:rPr>
          <w:noProof/>
        </w:rPr>
        <w:fldChar w:fldCharType="end"/>
      </w:r>
      <w:r>
        <w:t xml:space="preserve">: </w:t>
      </w:r>
      <w:r>
        <w:rPr>
          <w:noProof/>
        </w:rPr>
        <w:t xml:space="preserve">Program </w:t>
      </w:r>
      <w:r w:rsidRPr="003E7A5F">
        <w:t>Sequence</w:t>
      </w:r>
      <w:r>
        <w:rPr>
          <w:noProof/>
        </w:rPr>
        <w:t xml:space="preserve"> for SEM Cycle 1</w:t>
      </w:r>
    </w:p>
    <w:p w14:paraId="3EBD6883" w14:textId="77777777" w:rsidR="00E44C39" w:rsidRDefault="00A17B15" w:rsidP="00E44C39">
      <w:pPr>
        <w:keepNext/>
      </w:pPr>
      <w:r w:rsidRPr="00B966AA">
        <w:rPr>
          <w:noProof/>
        </w:rPr>
        <w:drawing>
          <wp:inline distT="0" distB="0" distL="0" distR="0" wp14:anchorId="18E44A52" wp14:editId="0C1BE96F">
            <wp:extent cx="5943600" cy="2958533"/>
            <wp:effectExtent l="19050" t="19050" r="19050" b="133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2958533"/>
                    </a:xfrm>
                    <a:prstGeom prst="rect">
                      <a:avLst/>
                    </a:prstGeom>
                    <a:noFill/>
                    <a:ln>
                      <a:solidFill>
                        <a:schemeClr val="bg1">
                          <a:lumMod val="75000"/>
                        </a:schemeClr>
                      </a:solidFill>
                    </a:ln>
                  </pic:spPr>
                </pic:pic>
              </a:graphicData>
            </a:graphic>
          </wp:inline>
        </w:drawing>
      </w:r>
    </w:p>
    <w:p w14:paraId="2F1B6D09" w14:textId="15338913" w:rsidR="00A17B15" w:rsidRDefault="00E44C39" w:rsidP="00E44C39">
      <w:pPr>
        <w:pStyle w:val="Caption"/>
        <w:jc w:val="left"/>
      </w:pPr>
      <w:r>
        <w:t xml:space="preserve">Figure </w:t>
      </w:r>
      <w:r w:rsidR="00B70853">
        <w:fldChar w:fldCharType="begin"/>
      </w:r>
      <w:r w:rsidR="00B70853">
        <w:instrText xml:space="preserve"> SEQ Figure \*</w:instrText>
      </w:r>
      <w:r w:rsidR="00B70853">
        <w:instrText xml:space="preserve"> ARABIC </w:instrText>
      </w:r>
      <w:r w:rsidR="00B70853">
        <w:fldChar w:fldCharType="separate"/>
      </w:r>
      <w:r w:rsidR="00A6197B">
        <w:rPr>
          <w:noProof/>
        </w:rPr>
        <w:t>2</w:t>
      </w:r>
      <w:r w:rsidR="00B70853">
        <w:rPr>
          <w:noProof/>
        </w:rPr>
        <w:fldChar w:fldCharType="end"/>
      </w:r>
      <w:r>
        <w:t>: Program Sequence for SEM Cycle 2</w:t>
      </w:r>
    </w:p>
    <w:p w14:paraId="32D3F0C4" w14:textId="77777777" w:rsidR="002C161F" w:rsidRDefault="00630857" w:rsidP="002C161F">
      <w:pPr>
        <w:keepNext/>
      </w:pPr>
      <w:r>
        <w:rPr>
          <w:noProof/>
        </w:rPr>
        <w:lastRenderedPageBreak/>
        <w:drawing>
          <wp:inline distT="0" distB="0" distL="0" distR="0" wp14:anchorId="176C9B82" wp14:editId="10975580">
            <wp:extent cx="5943600" cy="3026245"/>
            <wp:effectExtent l="0" t="0" r="0" b="3175"/>
            <wp:docPr id="20" name="Picture 20"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Timeline&#10;&#10;Description automatically generated"/>
                    <pic:cNvPicPr/>
                  </pic:nvPicPr>
                  <pic:blipFill>
                    <a:blip r:embed="rId18"/>
                    <a:stretch>
                      <a:fillRect/>
                    </a:stretch>
                  </pic:blipFill>
                  <pic:spPr>
                    <a:xfrm>
                      <a:off x="0" y="0"/>
                      <a:ext cx="5943600" cy="3026245"/>
                    </a:xfrm>
                    <a:prstGeom prst="rect">
                      <a:avLst/>
                    </a:prstGeom>
                  </pic:spPr>
                </pic:pic>
              </a:graphicData>
            </a:graphic>
          </wp:inline>
        </w:drawing>
      </w:r>
    </w:p>
    <w:p w14:paraId="6D97943D" w14:textId="66BF30B9" w:rsidR="00630857" w:rsidRDefault="002C161F" w:rsidP="002C161F">
      <w:pPr>
        <w:pStyle w:val="Caption"/>
        <w:jc w:val="left"/>
      </w:pPr>
      <w:r>
        <w:t xml:space="preserve">Figure </w:t>
      </w:r>
      <w:r w:rsidR="00B70853">
        <w:fldChar w:fldCharType="begin"/>
      </w:r>
      <w:r w:rsidR="00B70853">
        <w:instrText xml:space="preserve"> SEQ Figure \* ARABIC </w:instrText>
      </w:r>
      <w:r w:rsidR="00B70853">
        <w:fldChar w:fldCharType="separate"/>
      </w:r>
      <w:r w:rsidR="00A6197B">
        <w:rPr>
          <w:noProof/>
        </w:rPr>
        <w:t>3</w:t>
      </w:r>
      <w:r w:rsidR="00B70853">
        <w:rPr>
          <w:noProof/>
        </w:rPr>
        <w:fldChar w:fldCharType="end"/>
      </w:r>
      <w:r>
        <w:t>: Program Sequence for SEM Cycle 3</w:t>
      </w:r>
    </w:p>
    <w:p w14:paraId="0C177554" w14:textId="77777777" w:rsidR="005E517C" w:rsidRDefault="005E517C" w:rsidP="005E517C">
      <w:pPr>
        <w:pStyle w:val="Heading3"/>
      </w:pPr>
      <w:r>
        <w:t>Measurement and Verification</w:t>
      </w:r>
    </w:p>
    <w:p w14:paraId="7AFCCDAF" w14:textId="2507888C" w:rsidR="005E517C" w:rsidRDefault="005E517C" w:rsidP="005E517C">
      <w:r>
        <w:t xml:space="preserve">Cascade </w:t>
      </w:r>
      <w:r w:rsidR="00A35F31">
        <w:t xml:space="preserve">will report annual savings in alignment with the </w:t>
      </w:r>
      <w:r w:rsidR="00A03185" w:rsidRPr="009425A4">
        <w:t>latest</w:t>
      </w:r>
      <w:r w:rsidR="00A03185" w:rsidRPr="009425A4">
        <w:rPr>
          <w:b/>
          <w:bCs/>
        </w:rPr>
        <w:t xml:space="preserve"> </w:t>
      </w:r>
      <w:hyperlink r:id="rId19" w:history="1">
        <w:r w:rsidR="00A03185" w:rsidRPr="009425A4">
          <w:rPr>
            <w:rStyle w:val="Hyperlink"/>
            <w:b w:val="0"/>
            <w:bCs/>
          </w:rPr>
          <w:t>California SEM M&amp;V Guide</w:t>
        </w:r>
      </w:hyperlink>
      <w:r w:rsidR="00A03185" w:rsidRPr="009425A4">
        <w:rPr>
          <w:b/>
          <w:bCs/>
        </w:rPr>
        <w:t>.</w:t>
      </w:r>
      <w:r w:rsidR="00A03185">
        <w:t xml:space="preserve"> </w:t>
      </w:r>
      <w:r w:rsidR="006B0DCA">
        <w:t xml:space="preserve">Energy Sensei ® will be </w:t>
      </w:r>
      <w:r w:rsidR="00176325">
        <w:t>leveraged to standardize and expedite the M&amp;V process for both modeled and bottom-up customers.</w:t>
      </w:r>
    </w:p>
    <w:p w14:paraId="12AB3ED9" w14:textId="6A3F9986" w:rsidR="00397C3F" w:rsidRDefault="00CF2671" w:rsidP="00CF2671">
      <w:pPr>
        <w:pStyle w:val="Heading3"/>
      </w:pPr>
      <w:r>
        <w:t>Market Channel</w:t>
      </w:r>
    </w:p>
    <w:p w14:paraId="36A489C9" w14:textId="6BCE8E64" w:rsidR="00400B75" w:rsidRDefault="00400B75" w:rsidP="00400B75">
      <w:pPr>
        <w:rPr>
          <w:w w:val="0"/>
        </w:rPr>
      </w:pPr>
      <w:r>
        <w:rPr>
          <w:w w:val="0"/>
        </w:rPr>
        <w:t xml:space="preserve">SPARKe is a </w:t>
      </w:r>
      <w:r w:rsidR="00BB655A">
        <w:rPr>
          <w:w w:val="0"/>
        </w:rPr>
        <w:t>c</w:t>
      </w:r>
      <w:r>
        <w:rPr>
          <w:w w:val="0"/>
        </w:rPr>
        <w:t xml:space="preserve">ustomer-facing downstream program that relies primarily on face-to-face, relationship-based outreach to </w:t>
      </w:r>
      <w:r w:rsidR="00C735A6">
        <w:rPr>
          <w:w w:val="0"/>
        </w:rPr>
        <w:t xml:space="preserve">commercial </w:t>
      </w:r>
      <w:r w:rsidR="00856631">
        <w:rPr>
          <w:w w:val="0"/>
        </w:rPr>
        <w:t>c</w:t>
      </w:r>
      <w:r>
        <w:rPr>
          <w:w w:val="0"/>
        </w:rPr>
        <w:t xml:space="preserve">ustomers and other stakeholders. </w:t>
      </w:r>
      <w:r w:rsidR="00856631">
        <w:rPr>
          <w:w w:val="0"/>
        </w:rPr>
        <w:t>Cascade</w:t>
      </w:r>
      <w:r>
        <w:rPr>
          <w:w w:val="0"/>
        </w:rPr>
        <w:t xml:space="preserve">’s experience has shown that trusted relationships are what drive </w:t>
      </w:r>
      <w:r w:rsidR="00906DB6">
        <w:rPr>
          <w:w w:val="0"/>
        </w:rPr>
        <w:t>c</w:t>
      </w:r>
      <w:r>
        <w:rPr>
          <w:w w:val="0"/>
        </w:rPr>
        <w:t xml:space="preserve">ustomer action. Market channels to build awareness about </w:t>
      </w:r>
      <w:r w:rsidR="00043906">
        <w:rPr>
          <w:w w:val="0"/>
        </w:rPr>
        <w:t>SPARK</w:t>
      </w:r>
      <w:r w:rsidR="00906DB6">
        <w:rPr>
          <w:w w:val="0"/>
        </w:rPr>
        <w:t>e</w:t>
      </w:r>
      <w:r w:rsidR="00043906">
        <w:rPr>
          <w:w w:val="0"/>
        </w:rPr>
        <w:t xml:space="preserve"> i</w:t>
      </w:r>
      <w:r>
        <w:rPr>
          <w:w w:val="0"/>
        </w:rPr>
        <w:t>nclude:</w:t>
      </w:r>
    </w:p>
    <w:p w14:paraId="30759DD3" w14:textId="3BDEA291" w:rsidR="00400B75" w:rsidRPr="00877C68" w:rsidRDefault="00400B75" w:rsidP="00877C68">
      <w:pPr>
        <w:pStyle w:val="HText3Bullets"/>
      </w:pPr>
      <w:r w:rsidRPr="00140267">
        <w:rPr>
          <w:b/>
          <w:bCs/>
        </w:rPr>
        <w:t>Company Account Managers</w:t>
      </w:r>
      <w:r w:rsidRPr="00877C68">
        <w:t xml:space="preserve">: </w:t>
      </w:r>
      <w:r w:rsidR="00567E22" w:rsidRPr="00877C68">
        <w:t>Cascade</w:t>
      </w:r>
      <w:r w:rsidRPr="00877C68">
        <w:t xml:space="preserve"> has requested support from </w:t>
      </w:r>
      <w:r w:rsidR="00906DB6">
        <w:t>SCE’s</w:t>
      </w:r>
      <w:r w:rsidRPr="00877C68">
        <w:t xml:space="preserve"> Customer Engagement Division (CED) team in identifying and introducing </w:t>
      </w:r>
      <w:r w:rsidR="00422B71">
        <w:t>c</w:t>
      </w:r>
      <w:r w:rsidRPr="00877C68">
        <w:t xml:space="preserve">ustomers that will be good candidates for </w:t>
      </w:r>
      <w:r w:rsidR="00C61BB0" w:rsidRPr="00877C68">
        <w:t>SPARKe</w:t>
      </w:r>
      <w:r w:rsidRPr="00877C68">
        <w:t xml:space="preserve">. These </w:t>
      </w:r>
      <w:r w:rsidR="00712663">
        <w:t>c</w:t>
      </w:r>
      <w:r w:rsidRPr="00877C68">
        <w:t xml:space="preserve">ustomers should meet </w:t>
      </w:r>
      <w:r w:rsidR="003B228E" w:rsidRPr="00877C68">
        <w:t>p</w:t>
      </w:r>
      <w:r w:rsidRPr="00877C68">
        <w:t xml:space="preserve">rogram eligibility requirements, be highly motivated to perform energy efficiency actions, and have management supportive of providing appropriate resources for the </w:t>
      </w:r>
      <w:r w:rsidR="00422B71">
        <w:t>p</w:t>
      </w:r>
      <w:r w:rsidRPr="00877C68">
        <w:t xml:space="preserve">rogram. </w:t>
      </w:r>
    </w:p>
    <w:p w14:paraId="2B347B20" w14:textId="55BA0079" w:rsidR="00400B75" w:rsidRPr="00877C68" w:rsidRDefault="00400B75" w:rsidP="00877C68">
      <w:pPr>
        <w:pStyle w:val="HText3Bullets"/>
      </w:pPr>
      <w:r w:rsidRPr="00140267">
        <w:rPr>
          <w:b/>
          <w:bCs/>
        </w:rPr>
        <w:t>Existing Relationships:</w:t>
      </w:r>
      <w:r w:rsidRPr="00877C68">
        <w:t xml:space="preserve"> </w:t>
      </w:r>
      <w:r w:rsidR="00A054CE">
        <w:t xml:space="preserve">The </w:t>
      </w:r>
      <w:r w:rsidR="00FF77D9" w:rsidRPr="00877C68">
        <w:t>Cascade</w:t>
      </w:r>
      <w:r w:rsidRPr="00877C68">
        <w:t xml:space="preserve"> </w:t>
      </w:r>
      <w:r w:rsidR="00A054CE">
        <w:t xml:space="preserve">team </w:t>
      </w:r>
      <w:r w:rsidRPr="00877C68">
        <w:t xml:space="preserve">has long-standing connections to </w:t>
      </w:r>
      <w:r w:rsidR="00A054CE">
        <w:t>Large Commercial</w:t>
      </w:r>
      <w:r w:rsidRPr="00877C68">
        <w:t xml:space="preserve"> </w:t>
      </w:r>
      <w:r w:rsidR="00712663">
        <w:t>c</w:t>
      </w:r>
      <w:r w:rsidRPr="00877C68">
        <w:t xml:space="preserve">ustomers and relevant groups. </w:t>
      </w:r>
      <w:r w:rsidR="00FF77D9" w:rsidRPr="00877C68">
        <w:t>We</w:t>
      </w:r>
      <w:r w:rsidRPr="00877C68">
        <w:t xml:space="preserve"> will leverage these connections to identify prospects for recruitment, screen them for SEM eligibility and fit, and meet with prospects to provide a </w:t>
      </w:r>
      <w:r w:rsidR="00C04CD1" w:rsidRPr="00877C68">
        <w:t>p</w:t>
      </w:r>
      <w:r w:rsidRPr="00877C68">
        <w:t>rogram overview and recruit them for participation.</w:t>
      </w:r>
    </w:p>
    <w:p w14:paraId="653D3E36" w14:textId="0ABD98FD" w:rsidR="00CF2671" w:rsidRPr="00CF2671" w:rsidRDefault="00400B75" w:rsidP="00877C68">
      <w:pPr>
        <w:pStyle w:val="HText3Bullets"/>
      </w:pPr>
      <w:r w:rsidRPr="00140267">
        <w:rPr>
          <w:b/>
          <w:bCs/>
        </w:rPr>
        <w:t>Marketing/Advertising</w:t>
      </w:r>
      <w:r w:rsidRPr="00877C68">
        <w:t xml:space="preserve">: </w:t>
      </w:r>
      <w:r w:rsidR="00C04CD1" w:rsidRPr="00877C68">
        <w:t>Cascade</w:t>
      </w:r>
      <w:r w:rsidRPr="00877C68">
        <w:t xml:space="preserve"> will pursue marketing approaches including hyper-targeted geofencing (programmatic advertising based on precise geographic location) and targeted LinkedIn advertising to deliver personalized content to specific </w:t>
      </w:r>
      <w:r w:rsidR="008F6AFF" w:rsidRPr="00877C68">
        <w:t>c</w:t>
      </w:r>
      <w:r w:rsidRPr="00877C68">
        <w:t xml:space="preserve">ustomer segments based on a range of criteria. </w:t>
      </w:r>
    </w:p>
    <w:p w14:paraId="43B5DA2C" w14:textId="77777777" w:rsidR="00D307D6" w:rsidRDefault="00D307D6" w:rsidP="005E517C">
      <w:pPr>
        <w:pStyle w:val="Heading3"/>
      </w:pPr>
      <w:bookmarkStart w:id="75" w:name="_Toc128397012"/>
      <w:r>
        <w:lastRenderedPageBreak/>
        <w:t>Targeted Market/Customer Group</w:t>
      </w:r>
    </w:p>
    <w:p w14:paraId="4643A11E" w14:textId="77777777" w:rsidR="008D7B6C" w:rsidRDefault="00B60764" w:rsidP="00D307D6">
      <w:r>
        <w:t>Commercial c</w:t>
      </w:r>
      <w:r w:rsidR="00D307D6" w:rsidRPr="007C77A4">
        <w:t xml:space="preserve">ustomers that use 2M kWh or more annually (at the </w:t>
      </w:r>
      <w:r w:rsidR="00D307D6">
        <w:t>S</w:t>
      </w:r>
      <w:r w:rsidR="00D307D6" w:rsidRPr="007C77A4">
        <w:t xml:space="preserve">ite level) across </w:t>
      </w:r>
      <w:r w:rsidR="007D0D99">
        <w:t>SCE’s</w:t>
      </w:r>
      <w:r w:rsidR="00B93BF2">
        <w:t xml:space="preserve"> </w:t>
      </w:r>
      <w:r w:rsidR="00D307D6" w:rsidRPr="007C77A4">
        <w:t xml:space="preserve">service territory </w:t>
      </w:r>
      <w:r w:rsidR="008D7B6C">
        <w:t xml:space="preserve">and fall into the following NAICS Codes </w:t>
      </w:r>
      <w:r w:rsidR="00D307D6" w:rsidRPr="007C77A4">
        <w:t xml:space="preserve">are eligible for </w:t>
      </w:r>
      <w:r w:rsidR="00B93BF2">
        <w:t>SPARKe</w:t>
      </w:r>
      <w:r w:rsidR="00D307D6" w:rsidRPr="007C77A4">
        <w:t xml:space="preserve"> participation.</w:t>
      </w:r>
    </w:p>
    <w:p w14:paraId="50FDF733" w14:textId="55693E59" w:rsidR="00590077" w:rsidRDefault="00590077" w:rsidP="00D307D6">
      <w:r>
        <w:t xml:space="preserve">In addition to being large energy users with complex mechanical systems, </w:t>
      </w:r>
      <w:r w:rsidR="00DC2061">
        <w:t xml:space="preserve">customers should be highly </w:t>
      </w:r>
      <w:r w:rsidR="000536E4">
        <w:t>motivated</w:t>
      </w:r>
      <w:r w:rsidR="00DC2061">
        <w:t xml:space="preserve"> to save energy and have well aligned leadership. Commercial customers such </w:t>
      </w:r>
      <w:r w:rsidR="00047848">
        <w:t>high tech, biotech, dry and cold storage warehouses, datacenters, telecom, hospitals, and property management are expected to have higher energy intensity and offer the most savings potential.</w:t>
      </w:r>
    </w:p>
    <w:p w14:paraId="4E23BC36" w14:textId="77777777" w:rsidR="00E84280" w:rsidRPr="007C77A4" w:rsidRDefault="00E84280" w:rsidP="00E84280">
      <w:r>
        <w:t>Cascade</w:t>
      </w:r>
      <w:r w:rsidRPr="007C77A4">
        <w:t xml:space="preserve"> will target and prioritize high-potential </w:t>
      </w:r>
      <w:r>
        <w:t>Commercial</w:t>
      </w:r>
      <w:r w:rsidRPr="007C77A4">
        <w:t xml:space="preserve"> </w:t>
      </w:r>
      <w:r>
        <w:t>C</w:t>
      </w:r>
      <w:r w:rsidRPr="007C77A4">
        <w:t xml:space="preserve">ustomers located in </w:t>
      </w:r>
      <w:r>
        <w:t>D</w:t>
      </w:r>
      <w:r w:rsidRPr="007C77A4">
        <w:t xml:space="preserve">isadvantaged </w:t>
      </w:r>
      <w:r>
        <w:t>C</w:t>
      </w:r>
      <w:r w:rsidRPr="007C77A4">
        <w:t xml:space="preserve">ommunities (DACs) for participation. </w:t>
      </w:r>
    </w:p>
    <w:p w14:paraId="302AC595" w14:textId="40E0EAB1" w:rsidR="004D3EED" w:rsidRDefault="004D3EED" w:rsidP="004D3EED">
      <w:pPr>
        <w:pStyle w:val="Caption"/>
        <w:jc w:val="left"/>
      </w:pPr>
      <w:r>
        <w:t xml:space="preserve">Table </w:t>
      </w:r>
      <w:r w:rsidR="00B70853">
        <w:fldChar w:fldCharType="begin"/>
      </w:r>
      <w:r w:rsidR="00B70853">
        <w:instrText xml:space="preserve"> SEQ Table \* ARABIC </w:instrText>
      </w:r>
      <w:r w:rsidR="00B70853">
        <w:fldChar w:fldCharType="separate"/>
      </w:r>
      <w:r w:rsidR="00A6197B">
        <w:rPr>
          <w:noProof/>
        </w:rPr>
        <w:t>10</w:t>
      </w:r>
      <w:r w:rsidR="00B70853">
        <w:rPr>
          <w:noProof/>
        </w:rPr>
        <w:fldChar w:fldCharType="end"/>
      </w:r>
      <w:r>
        <w:t xml:space="preserve">: </w:t>
      </w:r>
      <w:r w:rsidR="000C345D">
        <w:t>Market Segments Eligible for SPARKe Commercial Participation</w:t>
      </w:r>
    </w:p>
    <w:tbl>
      <w:tblPr>
        <w:tblStyle w:val="TableGrid"/>
        <w:tblW w:w="0" w:type="auto"/>
        <w:tblLook w:val="04A0" w:firstRow="1" w:lastRow="0" w:firstColumn="1" w:lastColumn="0" w:noHBand="0" w:noVBand="1"/>
      </w:tblPr>
      <w:tblGrid>
        <w:gridCol w:w="1521"/>
        <w:gridCol w:w="1683"/>
        <w:gridCol w:w="1431"/>
        <w:gridCol w:w="4715"/>
      </w:tblGrid>
      <w:tr w:rsidR="00C344AF" w14:paraId="5BADAB17" w14:textId="77777777" w:rsidTr="004D3EED">
        <w:tc>
          <w:tcPr>
            <w:tcW w:w="1521" w:type="dxa"/>
            <w:shd w:val="clear" w:color="auto" w:fill="2F5496" w:themeFill="accent1" w:themeFillShade="BF"/>
          </w:tcPr>
          <w:p w14:paraId="06E69B8B" w14:textId="0E7582BC" w:rsidR="00DF680B" w:rsidRPr="004D3EED" w:rsidRDefault="00DB42D3" w:rsidP="004D3EED">
            <w:pPr>
              <w:jc w:val="center"/>
              <w:rPr>
                <w:color w:val="FFFFFF" w:themeColor="background1"/>
                <w:sz w:val="24"/>
                <w:szCs w:val="24"/>
              </w:rPr>
            </w:pPr>
            <w:r w:rsidRPr="004D3EED">
              <w:rPr>
                <w:color w:val="FFFFFF" w:themeColor="background1"/>
                <w:sz w:val="24"/>
                <w:szCs w:val="24"/>
              </w:rPr>
              <w:t>Sector</w:t>
            </w:r>
          </w:p>
        </w:tc>
        <w:tc>
          <w:tcPr>
            <w:tcW w:w="1683" w:type="dxa"/>
            <w:shd w:val="clear" w:color="auto" w:fill="2F5496" w:themeFill="accent1" w:themeFillShade="BF"/>
          </w:tcPr>
          <w:p w14:paraId="57E9CCDB" w14:textId="6AC6F617" w:rsidR="00DF680B" w:rsidRPr="004D3EED" w:rsidRDefault="00DB42D3" w:rsidP="004D3EED">
            <w:pPr>
              <w:jc w:val="center"/>
              <w:rPr>
                <w:color w:val="FFFFFF" w:themeColor="background1"/>
                <w:sz w:val="24"/>
                <w:szCs w:val="24"/>
              </w:rPr>
            </w:pPr>
            <w:r w:rsidRPr="004D3EED">
              <w:rPr>
                <w:color w:val="FFFFFF" w:themeColor="background1"/>
                <w:sz w:val="24"/>
                <w:szCs w:val="24"/>
              </w:rPr>
              <w:t>Segment</w:t>
            </w:r>
          </w:p>
        </w:tc>
        <w:tc>
          <w:tcPr>
            <w:tcW w:w="1431" w:type="dxa"/>
            <w:shd w:val="clear" w:color="auto" w:fill="2F5496" w:themeFill="accent1" w:themeFillShade="BF"/>
          </w:tcPr>
          <w:p w14:paraId="3F64D197" w14:textId="0779DEEC" w:rsidR="00DF680B" w:rsidRPr="004D3EED" w:rsidRDefault="00DB42D3" w:rsidP="004D3EED">
            <w:pPr>
              <w:jc w:val="center"/>
              <w:rPr>
                <w:color w:val="FFFFFF" w:themeColor="background1"/>
                <w:sz w:val="24"/>
                <w:szCs w:val="24"/>
              </w:rPr>
            </w:pPr>
            <w:r w:rsidRPr="004D3EED">
              <w:rPr>
                <w:color w:val="FFFFFF" w:themeColor="background1"/>
                <w:sz w:val="24"/>
                <w:szCs w:val="24"/>
              </w:rPr>
              <w:t>NAICS Code</w:t>
            </w:r>
          </w:p>
        </w:tc>
        <w:tc>
          <w:tcPr>
            <w:tcW w:w="4715" w:type="dxa"/>
            <w:shd w:val="clear" w:color="auto" w:fill="2F5496" w:themeFill="accent1" w:themeFillShade="BF"/>
          </w:tcPr>
          <w:p w14:paraId="19C95424" w14:textId="549D787A" w:rsidR="00DF680B" w:rsidRPr="004D3EED" w:rsidRDefault="00DB42D3" w:rsidP="004D3EED">
            <w:pPr>
              <w:jc w:val="center"/>
              <w:rPr>
                <w:color w:val="FFFFFF" w:themeColor="background1"/>
                <w:sz w:val="24"/>
                <w:szCs w:val="24"/>
              </w:rPr>
            </w:pPr>
            <w:r w:rsidRPr="004D3EED">
              <w:rPr>
                <w:color w:val="FFFFFF" w:themeColor="background1"/>
                <w:sz w:val="24"/>
                <w:szCs w:val="24"/>
              </w:rPr>
              <w:t>Description of Segment</w:t>
            </w:r>
          </w:p>
        </w:tc>
      </w:tr>
      <w:tr w:rsidR="00C344AF" w14:paraId="1010E065" w14:textId="77777777" w:rsidTr="004D3EED">
        <w:tc>
          <w:tcPr>
            <w:tcW w:w="1521" w:type="dxa"/>
            <w:vAlign w:val="center"/>
          </w:tcPr>
          <w:p w14:paraId="30896C2B" w14:textId="4660A197" w:rsidR="00403B6D" w:rsidRDefault="00403B6D" w:rsidP="00D72538">
            <w:r w:rsidRPr="00A84A9A">
              <w:t>Commercial</w:t>
            </w:r>
          </w:p>
        </w:tc>
        <w:tc>
          <w:tcPr>
            <w:tcW w:w="1683" w:type="dxa"/>
            <w:vAlign w:val="center"/>
          </w:tcPr>
          <w:p w14:paraId="23078D28" w14:textId="25F34156" w:rsidR="00403B6D" w:rsidRDefault="00403B6D" w:rsidP="00D72538">
            <w:r>
              <w:t>Wholesale Trade</w:t>
            </w:r>
          </w:p>
        </w:tc>
        <w:tc>
          <w:tcPr>
            <w:tcW w:w="1431" w:type="dxa"/>
            <w:vAlign w:val="center"/>
          </w:tcPr>
          <w:p w14:paraId="73BF01B5" w14:textId="63F8504B" w:rsidR="00403B6D" w:rsidRDefault="00C171F8" w:rsidP="00D72538">
            <w:r>
              <w:t>42</w:t>
            </w:r>
          </w:p>
        </w:tc>
        <w:tc>
          <w:tcPr>
            <w:tcW w:w="4715" w:type="dxa"/>
            <w:vAlign w:val="center"/>
          </w:tcPr>
          <w:p w14:paraId="01B17638" w14:textId="31EA228C" w:rsidR="00403B6D" w:rsidRDefault="007432E3" w:rsidP="00D72538">
            <w:r>
              <w:t>Establishments engaged in wholesaling</w:t>
            </w:r>
            <w:r w:rsidR="00C171F8">
              <w:t xml:space="preserve"> </w:t>
            </w:r>
            <w:r>
              <w:t>merchandise,</w:t>
            </w:r>
            <w:r w:rsidR="00C171F8">
              <w:t xml:space="preserve"> </w:t>
            </w:r>
            <w:r>
              <w:t>generally</w:t>
            </w:r>
            <w:r w:rsidR="00C171F8">
              <w:t xml:space="preserve"> </w:t>
            </w:r>
            <w:r>
              <w:t>without</w:t>
            </w:r>
            <w:r w:rsidR="00C171F8">
              <w:t xml:space="preserve"> </w:t>
            </w:r>
            <w:r>
              <w:t>transformation,</w:t>
            </w:r>
            <w:r w:rsidR="00C171F8">
              <w:t xml:space="preserve"> </w:t>
            </w:r>
            <w:r>
              <w:t>and rendering</w:t>
            </w:r>
            <w:r w:rsidR="00C171F8">
              <w:t xml:space="preserve"> </w:t>
            </w:r>
            <w:r>
              <w:t>services</w:t>
            </w:r>
            <w:r w:rsidR="00C171F8">
              <w:t xml:space="preserve"> </w:t>
            </w:r>
            <w:r>
              <w:t>incidental to the</w:t>
            </w:r>
            <w:r w:rsidR="00C171F8">
              <w:t xml:space="preserve"> </w:t>
            </w:r>
            <w:r>
              <w:t>sale of</w:t>
            </w:r>
            <w:r w:rsidR="00C171F8">
              <w:t xml:space="preserve"> </w:t>
            </w:r>
            <w:r>
              <w:t>merchandise.</w:t>
            </w:r>
          </w:p>
        </w:tc>
      </w:tr>
      <w:tr w:rsidR="00C344AF" w14:paraId="07240336" w14:textId="77777777" w:rsidTr="004D3EED">
        <w:tc>
          <w:tcPr>
            <w:tcW w:w="1521" w:type="dxa"/>
            <w:vAlign w:val="center"/>
          </w:tcPr>
          <w:p w14:paraId="727D2FF3" w14:textId="0423E5DE" w:rsidR="00403B6D" w:rsidRDefault="00403B6D" w:rsidP="00D72538">
            <w:r w:rsidRPr="00A84A9A">
              <w:t>Commercial</w:t>
            </w:r>
          </w:p>
        </w:tc>
        <w:tc>
          <w:tcPr>
            <w:tcW w:w="1683" w:type="dxa"/>
            <w:vAlign w:val="center"/>
          </w:tcPr>
          <w:p w14:paraId="47A56308" w14:textId="1BA4D89D" w:rsidR="00403B6D" w:rsidRDefault="00C171F8" w:rsidP="00D72538">
            <w:r>
              <w:t>Retail Trade</w:t>
            </w:r>
          </w:p>
        </w:tc>
        <w:tc>
          <w:tcPr>
            <w:tcW w:w="1431" w:type="dxa"/>
            <w:vAlign w:val="center"/>
          </w:tcPr>
          <w:p w14:paraId="2ED4F729" w14:textId="1C2E5206" w:rsidR="00403B6D" w:rsidRDefault="00C171F8" w:rsidP="00D72538">
            <w:r>
              <w:t>44 – 45</w:t>
            </w:r>
          </w:p>
        </w:tc>
        <w:tc>
          <w:tcPr>
            <w:tcW w:w="4715" w:type="dxa"/>
            <w:vAlign w:val="center"/>
          </w:tcPr>
          <w:p w14:paraId="3B1A9DC9" w14:textId="56308C13" w:rsidR="00403B6D" w:rsidRDefault="00C171F8" w:rsidP="00D72538">
            <w:r>
              <w:t>Establishments engaged in retailing merchandise, generally without transformation, and rendering services incidental to the sale of merchandise.</w:t>
            </w:r>
          </w:p>
        </w:tc>
      </w:tr>
      <w:tr w:rsidR="00C344AF" w14:paraId="21CDB1BC" w14:textId="77777777" w:rsidTr="004D3EED">
        <w:tc>
          <w:tcPr>
            <w:tcW w:w="1521" w:type="dxa"/>
            <w:vAlign w:val="center"/>
          </w:tcPr>
          <w:p w14:paraId="0B9BE445" w14:textId="7036181D" w:rsidR="00403B6D" w:rsidRDefault="00403B6D" w:rsidP="00D72538">
            <w:r w:rsidRPr="00A84A9A">
              <w:t>Commercial</w:t>
            </w:r>
          </w:p>
        </w:tc>
        <w:tc>
          <w:tcPr>
            <w:tcW w:w="1683" w:type="dxa"/>
            <w:vAlign w:val="center"/>
          </w:tcPr>
          <w:p w14:paraId="7690E0A3" w14:textId="3FFDE88F" w:rsidR="00403B6D" w:rsidRDefault="004B612F" w:rsidP="00D72538">
            <w:r>
              <w:t>Transportation and Warehousing</w:t>
            </w:r>
          </w:p>
        </w:tc>
        <w:tc>
          <w:tcPr>
            <w:tcW w:w="1431" w:type="dxa"/>
            <w:vAlign w:val="center"/>
          </w:tcPr>
          <w:p w14:paraId="2F06C88C" w14:textId="086104CF" w:rsidR="00403B6D" w:rsidRDefault="004B612F" w:rsidP="00D72538">
            <w:r>
              <w:t>48 – 49</w:t>
            </w:r>
          </w:p>
        </w:tc>
        <w:tc>
          <w:tcPr>
            <w:tcW w:w="4715" w:type="dxa"/>
            <w:vAlign w:val="center"/>
          </w:tcPr>
          <w:p w14:paraId="32487C1A" w14:textId="3B4A8635" w:rsidR="00403B6D" w:rsidRDefault="004B612F" w:rsidP="00D72538">
            <w:r>
              <w:t>Industries providing transportation of passengers and cargo, warehousing and storage for goods, scenic and sightseeing transportation, and support activities related to modes of transportation.</w:t>
            </w:r>
          </w:p>
        </w:tc>
      </w:tr>
      <w:tr w:rsidR="00C344AF" w14:paraId="0E91A47E" w14:textId="77777777" w:rsidTr="004D3EED">
        <w:tc>
          <w:tcPr>
            <w:tcW w:w="1521" w:type="dxa"/>
            <w:vAlign w:val="center"/>
          </w:tcPr>
          <w:p w14:paraId="6B284D4A" w14:textId="6647FFA7" w:rsidR="00403B6D" w:rsidRDefault="00403B6D" w:rsidP="00D72538">
            <w:r w:rsidRPr="00A84A9A">
              <w:t>Commercial</w:t>
            </w:r>
          </w:p>
        </w:tc>
        <w:tc>
          <w:tcPr>
            <w:tcW w:w="1683" w:type="dxa"/>
            <w:vAlign w:val="center"/>
          </w:tcPr>
          <w:p w14:paraId="042A017A" w14:textId="41463C28" w:rsidR="00403B6D" w:rsidRDefault="004B612F" w:rsidP="00D72538">
            <w:r>
              <w:t>Information</w:t>
            </w:r>
          </w:p>
        </w:tc>
        <w:tc>
          <w:tcPr>
            <w:tcW w:w="1431" w:type="dxa"/>
            <w:vAlign w:val="center"/>
          </w:tcPr>
          <w:p w14:paraId="5A8766E2" w14:textId="6A1843CF" w:rsidR="00403B6D" w:rsidRDefault="004B612F" w:rsidP="00D72538">
            <w:r>
              <w:t>51</w:t>
            </w:r>
          </w:p>
        </w:tc>
        <w:tc>
          <w:tcPr>
            <w:tcW w:w="4715" w:type="dxa"/>
            <w:vAlign w:val="center"/>
          </w:tcPr>
          <w:p w14:paraId="1782C379" w14:textId="34EC7C5A" w:rsidR="00403B6D" w:rsidRDefault="004B612F" w:rsidP="00D72538">
            <w:r>
              <w:t xml:space="preserve">Establishments engaged in the following processes: (a) producing and </w:t>
            </w:r>
            <w:r w:rsidR="00A15416">
              <w:t>distributing</w:t>
            </w:r>
            <w:r>
              <w:t xml:space="preserve"> </w:t>
            </w:r>
            <w:r w:rsidR="00A15416">
              <w:t>information and cultural products, (b) providing the means to transmit or distribute these products as well as data or communications, and (c) processing data.</w:t>
            </w:r>
          </w:p>
        </w:tc>
      </w:tr>
      <w:tr w:rsidR="00C344AF" w14:paraId="3CFA276D" w14:textId="77777777" w:rsidTr="004D3EED">
        <w:tc>
          <w:tcPr>
            <w:tcW w:w="1521" w:type="dxa"/>
            <w:vAlign w:val="center"/>
          </w:tcPr>
          <w:p w14:paraId="04603DB5" w14:textId="3FEE5476" w:rsidR="00403B6D" w:rsidRDefault="00403B6D" w:rsidP="00D72538">
            <w:r w:rsidRPr="00A84A9A">
              <w:t>Commercial</w:t>
            </w:r>
          </w:p>
        </w:tc>
        <w:tc>
          <w:tcPr>
            <w:tcW w:w="1683" w:type="dxa"/>
            <w:vAlign w:val="center"/>
          </w:tcPr>
          <w:p w14:paraId="7B2C0A9D" w14:textId="7AEE7BA3" w:rsidR="00403B6D" w:rsidRDefault="00A15416" w:rsidP="00D72538">
            <w:r>
              <w:t>Finance and Insurance</w:t>
            </w:r>
          </w:p>
        </w:tc>
        <w:tc>
          <w:tcPr>
            <w:tcW w:w="1431" w:type="dxa"/>
            <w:vAlign w:val="center"/>
          </w:tcPr>
          <w:p w14:paraId="63A01C46" w14:textId="5F83F6F7" w:rsidR="00403B6D" w:rsidRDefault="00A15416" w:rsidP="00D72538">
            <w:r>
              <w:t>52</w:t>
            </w:r>
          </w:p>
        </w:tc>
        <w:tc>
          <w:tcPr>
            <w:tcW w:w="4715" w:type="dxa"/>
            <w:vAlign w:val="center"/>
          </w:tcPr>
          <w:p w14:paraId="1069915C" w14:textId="53932B4A" w:rsidR="00403B6D" w:rsidRDefault="00A15416" w:rsidP="00D72538">
            <w:r>
              <w:t>Establishments primarily engaged in financial transactions (</w:t>
            </w:r>
            <w:r w:rsidR="008A76F9">
              <w:t>transactions involving the creation, liquidation, or change in ownership of financial assets) and/or in facilitating financial transactions.</w:t>
            </w:r>
          </w:p>
        </w:tc>
      </w:tr>
      <w:tr w:rsidR="00C344AF" w14:paraId="12E1E6E5" w14:textId="77777777" w:rsidTr="004D3EED">
        <w:tc>
          <w:tcPr>
            <w:tcW w:w="1521" w:type="dxa"/>
            <w:vAlign w:val="center"/>
          </w:tcPr>
          <w:p w14:paraId="63C7527E" w14:textId="62E202AC" w:rsidR="00403B6D" w:rsidRDefault="00403B6D" w:rsidP="00D72538">
            <w:r w:rsidRPr="00A84A9A">
              <w:t>Commercial</w:t>
            </w:r>
          </w:p>
        </w:tc>
        <w:tc>
          <w:tcPr>
            <w:tcW w:w="1683" w:type="dxa"/>
            <w:vAlign w:val="center"/>
          </w:tcPr>
          <w:p w14:paraId="70B49A11" w14:textId="468DF2D6" w:rsidR="00403B6D" w:rsidRDefault="008A76F9" w:rsidP="00D72538">
            <w:r>
              <w:t>Real Estate Rental and Leasing</w:t>
            </w:r>
          </w:p>
        </w:tc>
        <w:tc>
          <w:tcPr>
            <w:tcW w:w="1431" w:type="dxa"/>
            <w:vAlign w:val="center"/>
          </w:tcPr>
          <w:p w14:paraId="5B876666" w14:textId="663823DD" w:rsidR="00403B6D" w:rsidRDefault="008A76F9" w:rsidP="00D72538">
            <w:r>
              <w:t>53</w:t>
            </w:r>
          </w:p>
        </w:tc>
        <w:tc>
          <w:tcPr>
            <w:tcW w:w="4715" w:type="dxa"/>
            <w:vAlign w:val="center"/>
          </w:tcPr>
          <w:p w14:paraId="74704A5E" w14:textId="2B430BD0" w:rsidR="00403B6D" w:rsidRDefault="008A76F9" w:rsidP="00D72538">
            <w:r>
              <w:t>Establishments primarily engaged in renting, leasing, or otherwise allowing the use of tangible or intangible assets, and establishments providing related services.</w:t>
            </w:r>
          </w:p>
        </w:tc>
      </w:tr>
      <w:tr w:rsidR="00C344AF" w14:paraId="76D895A4" w14:textId="77777777" w:rsidTr="004D3EED">
        <w:tc>
          <w:tcPr>
            <w:tcW w:w="1521" w:type="dxa"/>
            <w:vAlign w:val="center"/>
          </w:tcPr>
          <w:p w14:paraId="7F63A4A5" w14:textId="4EA9C7F2" w:rsidR="00403B6D" w:rsidRDefault="00403B6D" w:rsidP="00D72538">
            <w:r w:rsidRPr="00A84A9A">
              <w:lastRenderedPageBreak/>
              <w:t>Commercial</w:t>
            </w:r>
          </w:p>
        </w:tc>
        <w:tc>
          <w:tcPr>
            <w:tcW w:w="1683" w:type="dxa"/>
            <w:vAlign w:val="center"/>
          </w:tcPr>
          <w:p w14:paraId="2CB05CC2" w14:textId="6CB1832F" w:rsidR="00403B6D" w:rsidRDefault="001A027C" w:rsidP="00D72538">
            <w:r>
              <w:t>Professional, Scientific, and Technical Services</w:t>
            </w:r>
          </w:p>
        </w:tc>
        <w:tc>
          <w:tcPr>
            <w:tcW w:w="1431" w:type="dxa"/>
            <w:vAlign w:val="center"/>
          </w:tcPr>
          <w:p w14:paraId="04E33A0C" w14:textId="3180AD9B" w:rsidR="00403B6D" w:rsidRDefault="001A027C" w:rsidP="00D72538">
            <w:r>
              <w:t>54</w:t>
            </w:r>
          </w:p>
        </w:tc>
        <w:tc>
          <w:tcPr>
            <w:tcW w:w="4715" w:type="dxa"/>
            <w:vAlign w:val="center"/>
          </w:tcPr>
          <w:p w14:paraId="1C36A159" w14:textId="17BD96B1" w:rsidR="00403B6D" w:rsidRDefault="009458FA" w:rsidP="00D72538">
            <w:r>
              <w:t>Establishments that specialize in performing professional, scientific, and technical activities for others.</w:t>
            </w:r>
          </w:p>
        </w:tc>
      </w:tr>
      <w:tr w:rsidR="004D3EED" w14:paraId="6A009238" w14:textId="77777777" w:rsidTr="004D3EED">
        <w:tc>
          <w:tcPr>
            <w:tcW w:w="1521" w:type="dxa"/>
            <w:vAlign w:val="center"/>
          </w:tcPr>
          <w:p w14:paraId="16272802" w14:textId="71028AF9" w:rsidR="00691A0E" w:rsidRPr="00A84A9A" w:rsidRDefault="00691A0E" w:rsidP="00D72538">
            <w:r w:rsidRPr="00A84A9A">
              <w:t>Commercial</w:t>
            </w:r>
          </w:p>
        </w:tc>
        <w:tc>
          <w:tcPr>
            <w:tcW w:w="1683" w:type="dxa"/>
            <w:vAlign w:val="center"/>
          </w:tcPr>
          <w:p w14:paraId="7736A4F9" w14:textId="2257CA5C" w:rsidR="00691A0E" w:rsidRDefault="00E76369" w:rsidP="00D72538">
            <w:r>
              <w:t>Management of Companies and Enterprises</w:t>
            </w:r>
          </w:p>
        </w:tc>
        <w:tc>
          <w:tcPr>
            <w:tcW w:w="1431" w:type="dxa"/>
            <w:vAlign w:val="center"/>
          </w:tcPr>
          <w:p w14:paraId="0663D2E8" w14:textId="630867AE" w:rsidR="00691A0E" w:rsidRDefault="00691A0E" w:rsidP="00D72538">
            <w:r>
              <w:t>55</w:t>
            </w:r>
          </w:p>
        </w:tc>
        <w:tc>
          <w:tcPr>
            <w:tcW w:w="4715" w:type="dxa"/>
            <w:vAlign w:val="center"/>
          </w:tcPr>
          <w:p w14:paraId="607CAD56" w14:textId="5FB4E00E" w:rsidR="00546D2C" w:rsidRDefault="004B3111" w:rsidP="00D72538">
            <w:pPr>
              <w:pStyle w:val="ListParagraph"/>
              <w:numPr>
                <w:ilvl w:val="0"/>
                <w:numId w:val="30"/>
              </w:numPr>
            </w:pPr>
            <w:r>
              <w:t xml:space="preserve">Establishments that hold the securities of (or other equity interests in) companies and enterprises for the purpose of owning a </w:t>
            </w:r>
            <w:r w:rsidR="00546D2C">
              <w:t xml:space="preserve">controlling </w:t>
            </w:r>
            <w:r>
              <w:t>interest or</w:t>
            </w:r>
            <w:r w:rsidR="00546D2C">
              <w:t xml:space="preserve"> </w:t>
            </w:r>
            <w:r>
              <w:t>influencing</w:t>
            </w:r>
            <w:r w:rsidR="00546D2C">
              <w:t xml:space="preserve"> management</w:t>
            </w:r>
            <w:r w:rsidR="00A943EA">
              <w:t xml:space="preserve"> </w:t>
            </w:r>
            <w:r w:rsidR="00546D2C">
              <w:t>decisions or (2)</w:t>
            </w:r>
            <w:r w:rsidR="00A943EA">
              <w:t xml:space="preserve"> </w:t>
            </w:r>
            <w:r w:rsidR="00546D2C">
              <w:t>establishments</w:t>
            </w:r>
            <w:r w:rsidR="00A943EA">
              <w:t xml:space="preserve"> </w:t>
            </w:r>
            <w:r w:rsidR="00546D2C">
              <w:t>(except</w:t>
            </w:r>
            <w:r w:rsidR="00A943EA">
              <w:t xml:space="preserve"> </w:t>
            </w:r>
            <w:r w:rsidR="00546D2C">
              <w:t>government</w:t>
            </w:r>
            <w:r w:rsidR="00A943EA">
              <w:t xml:space="preserve">  </w:t>
            </w:r>
            <w:r w:rsidR="00B30F2F">
              <w:t>establishments</w:t>
            </w:r>
            <w:r w:rsidR="00546D2C">
              <w:t>)</w:t>
            </w:r>
            <w:r w:rsidR="002E252E">
              <w:t xml:space="preserve"> </w:t>
            </w:r>
            <w:r w:rsidR="00546D2C">
              <w:t>that administer,</w:t>
            </w:r>
            <w:r w:rsidR="002E252E">
              <w:t xml:space="preserve"> </w:t>
            </w:r>
            <w:r w:rsidR="00546D2C">
              <w:t>oversee, and</w:t>
            </w:r>
            <w:r w:rsidR="002E252E">
              <w:t xml:space="preserve"> </w:t>
            </w:r>
            <w:r w:rsidR="00546D2C">
              <w:t>manage</w:t>
            </w:r>
            <w:r w:rsidR="002E252E">
              <w:t xml:space="preserve"> </w:t>
            </w:r>
            <w:r w:rsidR="00546D2C">
              <w:t>establishments</w:t>
            </w:r>
            <w:r w:rsidR="002E252E">
              <w:t xml:space="preserve"> </w:t>
            </w:r>
            <w:r w:rsidR="00546D2C">
              <w:t xml:space="preserve">of the </w:t>
            </w:r>
            <w:r w:rsidR="002E252E">
              <w:t xml:space="preserve"> c</w:t>
            </w:r>
            <w:r w:rsidR="00546D2C">
              <w:t>ompany</w:t>
            </w:r>
            <w:r w:rsidR="002E252E">
              <w:t xml:space="preserve"> </w:t>
            </w:r>
            <w:r w:rsidR="00546D2C">
              <w:t>or enterprise and</w:t>
            </w:r>
            <w:r w:rsidR="002E252E">
              <w:t xml:space="preserve"> </w:t>
            </w:r>
            <w:r w:rsidR="00546D2C">
              <w:t>that normally</w:t>
            </w:r>
          </w:p>
          <w:p w14:paraId="3E9EB7DE" w14:textId="1C0BC609" w:rsidR="00691A0E" w:rsidRDefault="00546D2C" w:rsidP="00D72538">
            <w:pPr>
              <w:pStyle w:val="ListParagraph"/>
              <w:numPr>
                <w:ilvl w:val="0"/>
                <w:numId w:val="30"/>
              </w:numPr>
            </w:pPr>
            <w:r>
              <w:t>undertake the</w:t>
            </w:r>
            <w:r w:rsidR="002E252E">
              <w:t xml:space="preserve"> </w:t>
            </w:r>
            <w:r>
              <w:t>strategic or</w:t>
            </w:r>
            <w:r w:rsidR="002E252E">
              <w:t xml:space="preserve"> </w:t>
            </w:r>
            <w:r>
              <w:t>organizational</w:t>
            </w:r>
            <w:r w:rsidR="002E252E">
              <w:t xml:space="preserve"> </w:t>
            </w:r>
            <w:r>
              <w:t>planning and</w:t>
            </w:r>
            <w:r w:rsidR="002E252E">
              <w:t xml:space="preserve"> </w:t>
            </w:r>
            <w:r>
              <w:t>decision-</w:t>
            </w:r>
            <w:r w:rsidR="00B30F2F">
              <w:t>making role</w:t>
            </w:r>
            <w:r>
              <w:t xml:space="preserve"> of the</w:t>
            </w:r>
            <w:r w:rsidR="002E252E">
              <w:t xml:space="preserve"> </w:t>
            </w:r>
            <w:r>
              <w:t>company or</w:t>
            </w:r>
            <w:r w:rsidR="002E252E">
              <w:t xml:space="preserve"> </w:t>
            </w:r>
            <w:r>
              <w:t>enterprise.</w:t>
            </w:r>
          </w:p>
        </w:tc>
      </w:tr>
      <w:tr w:rsidR="004D3EED" w14:paraId="3FBC36B5" w14:textId="77777777" w:rsidTr="004D3EED">
        <w:tc>
          <w:tcPr>
            <w:tcW w:w="1521" w:type="dxa"/>
            <w:vAlign w:val="center"/>
          </w:tcPr>
          <w:p w14:paraId="7C2BBDC9" w14:textId="099A57B0" w:rsidR="00691A0E" w:rsidRPr="00A84A9A" w:rsidRDefault="00691A0E" w:rsidP="00D72538">
            <w:r w:rsidRPr="00A84A9A">
              <w:t>Commercial</w:t>
            </w:r>
          </w:p>
        </w:tc>
        <w:tc>
          <w:tcPr>
            <w:tcW w:w="1683" w:type="dxa"/>
            <w:vAlign w:val="center"/>
          </w:tcPr>
          <w:p w14:paraId="351CB2DE" w14:textId="2AA05E45" w:rsidR="00691A0E" w:rsidRDefault="00DE5D55" w:rsidP="00D72538">
            <w:r>
              <w:t>Administrative</w:t>
            </w:r>
            <w:r w:rsidR="004D1963">
              <w:t xml:space="preserve"> </w:t>
            </w:r>
            <w:r>
              <w:t>and Support and</w:t>
            </w:r>
            <w:r w:rsidR="004D1963">
              <w:t xml:space="preserve"> </w:t>
            </w:r>
            <w:r>
              <w:t>Waste Services</w:t>
            </w:r>
          </w:p>
        </w:tc>
        <w:tc>
          <w:tcPr>
            <w:tcW w:w="1431" w:type="dxa"/>
            <w:vAlign w:val="center"/>
          </w:tcPr>
          <w:p w14:paraId="2906C963" w14:textId="0EF351AA" w:rsidR="00691A0E" w:rsidRDefault="00691A0E" w:rsidP="00D72538">
            <w:r>
              <w:t>56</w:t>
            </w:r>
          </w:p>
        </w:tc>
        <w:tc>
          <w:tcPr>
            <w:tcW w:w="4715" w:type="dxa"/>
            <w:vAlign w:val="center"/>
          </w:tcPr>
          <w:p w14:paraId="0468B389" w14:textId="5D886A3C" w:rsidR="00691A0E" w:rsidRDefault="00316F46" w:rsidP="00D72538">
            <w:r>
              <w:t>Establishments</w:t>
            </w:r>
            <w:r w:rsidR="004D1963">
              <w:t xml:space="preserve"> </w:t>
            </w:r>
            <w:r>
              <w:t>performing</w:t>
            </w:r>
            <w:r w:rsidR="004D1963">
              <w:t xml:space="preserve"> </w:t>
            </w:r>
            <w:r>
              <w:t>routine support</w:t>
            </w:r>
            <w:r w:rsidR="004D1963">
              <w:t xml:space="preserve"> </w:t>
            </w:r>
            <w:r>
              <w:t>activities for the</w:t>
            </w:r>
            <w:r w:rsidR="004D1963">
              <w:t xml:space="preserve"> </w:t>
            </w:r>
            <w:r>
              <w:t>day-to-day</w:t>
            </w:r>
            <w:r w:rsidR="004D1963">
              <w:t xml:space="preserve"> </w:t>
            </w:r>
            <w:r>
              <w:t>operations of</w:t>
            </w:r>
            <w:r w:rsidR="004D1963">
              <w:t xml:space="preserve"> </w:t>
            </w:r>
            <w:r>
              <w:t>other</w:t>
            </w:r>
            <w:r w:rsidR="004D1963">
              <w:t xml:space="preserve"> </w:t>
            </w:r>
            <w:r>
              <w:t>organizations.</w:t>
            </w:r>
          </w:p>
        </w:tc>
      </w:tr>
      <w:tr w:rsidR="004D3EED" w14:paraId="1121D3F8" w14:textId="77777777" w:rsidTr="004D3EED">
        <w:tc>
          <w:tcPr>
            <w:tcW w:w="1521" w:type="dxa"/>
            <w:vAlign w:val="center"/>
          </w:tcPr>
          <w:p w14:paraId="17994DBD" w14:textId="4E4B6889" w:rsidR="00691A0E" w:rsidRPr="00A84A9A" w:rsidRDefault="00691A0E" w:rsidP="00D72538">
            <w:r w:rsidRPr="00A84A9A">
              <w:t>Commercial</w:t>
            </w:r>
          </w:p>
        </w:tc>
        <w:tc>
          <w:tcPr>
            <w:tcW w:w="1683" w:type="dxa"/>
            <w:vAlign w:val="center"/>
          </w:tcPr>
          <w:p w14:paraId="6F48189C" w14:textId="6E072495" w:rsidR="00691A0E" w:rsidRDefault="00DE5D55" w:rsidP="00D72538">
            <w:r>
              <w:t>Health Care and</w:t>
            </w:r>
            <w:r w:rsidR="00C344AF">
              <w:t xml:space="preserve"> </w:t>
            </w:r>
            <w:r>
              <w:t>Social</w:t>
            </w:r>
            <w:r w:rsidR="00C344AF">
              <w:t xml:space="preserve"> </w:t>
            </w:r>
            <w:r>
              <w:t>Assistance</w:t>
            </w:r>
          </w:p>
        </w:tc>
        <w:tc>
          <w:tcPr>
            <w:tcW w:w="1431" w:type="dxa"/>
            <w:vAlign w:val="center"/>
          </w:tcPr>
          <w:p w14:paraId="3BE5076B" w14:textId="71E41CAE" w:rsidR="00691A0E" w:rsidRDefault="00691A0E" w:rsidP="00D72538">
            <w:r>
              <w:t>62</w:t>
            </w:r>
          </w:p>
        </w:tc>
        <w:tc>
          <w:tcPr>
            <w:tcW w:w="4715" w:type="dxa"/>
            <w:vAlign w:val="center"/>
          </w:tcPr>
          <w:p w14:paraId="5C5A5954" w14:textId="1E2442FD" w:rsidR="00691A0E" w:rsidRDefault="00316F46" w:rsidP="00D72538">
            <w:r>
              <w:t>Establishments</w:t>
            </w:r>
            <w:r w:rsidR="004D1963">
              <w:t xml:space="preserve"> </w:t>
            </w:r>
            <w:r>
              <w:t>providing health</w:t>
            </w:r>
            <w:r w:rsidR="004D1963">
              <w:t xml:space="preserve"> </w:t>
            </w:r>
            <w:r>
              <w:t>care and socia</w:t>
            </w:r>
            <w:r w:rsidR="004D1963">
              <w:t xml:space="preserve">l </w:t>
            </w:r>
            <w:r>
              <w:t>assistance for</w:t>
            </w:r>
            <w:r w:rsidR="004D1963">
              <w:t xml:space="preserve"> </w:t>
            </w:r>
            <w:r>
              <w:t>individuals.</w:t>
            </w:r>
          </w:p>
        </w:tc>
      </w:tr>
      <w:tr w:rsidR="004D3EED" w14:paraId="152DFD7D" w14:textId="77777777" w:rsidTr="004D3EED">
        <w:tc>
          <w:tcPr>
            <w:tcW w:w="1521" w:type="dxa"/>
            <w:vAlign w:val="center"/>
          </w:tcPr>
          <w:p w14:paraId="6B4D7527" w14:textId="3DF634A0" w:rsidR="00691A0E" w:rsidRPr="00A84A9A" w:rsidRDefault="00691A0E" w:rsidP="00D72538">
            <w:r w:rsidRPr="00A84A9A">
              <w:t>Commercial</w:t>
            </w:r>
          </w:p>
        </w:tc>
        <w:tc>
          <w:tcPr>
            <w:tcW w:w="1683" w:type="dxa"/>
            <w:vAlign w:val="center"/>
          </w:tcPr>
          <w:p w14:paraId="15945BFF" w14:textId="5AA28A16" w:rsidR="00691A0E" w:rsidRDefault="00DE5D55" w:rsidP="00D72538">
            <w:r>
              <w:t>Arts,</w:t>
            </w:r>
            <w:r w:rsidR="00C344AF">
              <w:t xml:space="preserve"> </w:t>
            </w:r>
            <w:r>
              <w:t>Entertainment,</w:t>
            </w:r>
            <w:r w:rsidR="00C344AF">
              <w:t xml:space="preserve"> </w:t>
            </w:r>
            <w:r>
              <w:t>and Recreation</w:t>
            </w:r>
          </w:p>
        </w:tc>
        <w:tc>
          <w:tcPr>
            <w:tcW w:w="1431" w:type="dxa"/>
            <w:vAlign w:val="center"/>
          </w:tcPr>
          <w:p w14:paraId="7799FECE" w14:textId="7DFAB66C" w:rsidR="00691A0E" w:rsidRDefault="00691A0E" w:rsidP="00D72538">
            <w:r>
              <w:t>71</w:t>
            </w:r>
          </w:p>
        </w:tc>
        <w:tc>
          <w:tcPr>
            <w:tcW w:w="4715" w:type="dxa"/>
            <w:vAlign w:val="center"/>
          </w:tcPr>
          <w:p w14:paraId="69D11560" w14:textId="7052300A" w:rsidR="00691A0E" w:rsidRDefault="00316F46" w:rsidP="00D72538">
            <w:r>
              <w:t>Establishments</w:t>
            </w:r>
            <w:r w:rsidR="004D1963">
              <w:t xml:space="preserve"> </w:t>
            </w:r>
            <w:r>
              <w:t>that operate</w:t>
            </w:r>
            <w:r w:rsidR="004D1963">
              <w:t xml:space="preserve"> </w:t>
            </w:r>
            <w:r>
              <w:t>facilities or</w:t>
            </w:r>
            <w:r w:rsidR="004D1963">
              <w:t xml:space="preserve"> </w:t>
            </w:r>
            <w:r>
              <w:t>provide service</w:t>
            </w:r>
            <w:r w:rsidR="00C073AB">
              <w:t xml:space="preserve"> </w:t>
            </w:r>
            <w:r>
              <w:t>to meet varied</w:t>
            </w:r>
            <w:r w:rsidR="00C344AF">
              <w:t xml:space="preserve"> </w:t>
            </w:r>
            <w:r>
              <w:t>cultural,</w:t>
            </w:r>
            <w:r w:rsidR="00C073AB">
              <w:t xml:space="preserve"> entertainment,</w:t>
            </w:r>
            <w:r w:rsidR="00C344AF">
              <w:t xml:space="preserve"> </w:t>
            </w:r>
            <w:r w:rsidR="00C073AB">
              <w:t>and recreational interests of the patrons.</w:t>
            </w:r>
          </w:p>
        </w:tc>
      </w:tr>
      <w:tr w:rsidR="004D3EED" w14:paraId="56AF46D4" w14:textId="77777777" w:rsidTr="004D3EED">
        <w:tc>
          <w:tcPr>
            <w:tcW w:w="1521" w:type="dxa"/>
            <w:vAlign w:val="center"/>
          </w:tcPr>
          <w:p w14:paraId="759D891F" w14:textId="294DA456" w:rsidR="00C073AB" w:rsidRPr="00A84A9A" w:rsidRDefault="00C073AB" w:rsidP="00D72538">
            <w:r w:rsidRPr="00A84A9A">
              <w:t>Commercial</w:t>
            </w:r>
          </w:p>
        </w:tc>
        <w:tc>
          <w:tcPr>
            <w:tcW w:w="1683" w:type="dxa"/>
            <w:vAlign w:val="center"/>
          </w:tcPr>
          <w:p w14:paraId="37A25A94" w14:textId="451D8948" w:rsidR="00C073AB" w:rsidRDefault="0095621A" w:rsidP="00D72538">
            <w:r>
              <w:t>Accommodation</w:t>
            </w:r>
            <w:r w:rsidR="00C344AF">
              <w:t xml:space="preserve"> </w:t>
            </w:r>
            <w:r>
              <w:t>and Food</w:t>
            </w:r>
            <w:r w:rsidR="00C344AF">
              <w:t xml:space="preserve"> </w:t>
            </w:r>
            <w:r>
              <w:t>Service</w:t>
            </w:r>
          </w:p>
        </w:tc>
        <w:tc>
          <w:tcPr>
            <w:tcW w:w="1431" w:type="dxa"/>
            <w:vAlign w:val="center"/>
          </w:tcPr>
          <w:p w14:paraId="6A79C464" w14:textId="1AFB3746" w:rsidR="00C073AB" w:rsidRDefault="00C073AB" w:rsidP="00D72538">
            <w:r>
              <w:t>72</w:t>
            </w:r>
          </w:p>
        </w:tc>
        <w:tc>
          <w:tcPr>
            <w:tcW w:w="4715" w:type="dxa"/>
            <w:vAlign w:val="center"/>
          </w:tcPr>
          <w:p w14:paraId="5C702E5B" w14:textId="15470025" w:rsidR="00C073AB" w:rsidRDefault="0095621A" w:rsidP="00D72538">
            <w:r>
              <w:t>Establishments</w:t>
            </w:r>
            <w:r w:rsidR="00C344AF">
              <w:t xml:space="preserve"> </w:t>
            </w:r>
            <w:r>
              <w:t>providing</w:t>
            </w:r>
            <w:r w:rsidR="00C344AF">
              <w:t xml:space="preserve"> </w:t>
            </w:r>
            <w:r>
              <w:t>customers with</w:t>
            </w:r>
            <w:r w:rsidR="00C344AF">
              <w:t xml:space="preserve"> </w:t>
            </w:r>
            <w:r>
              <w:t xml:space="preserve">lodging </w:t>
            </w:r>
            <w:r w:rsidR="00C344AF">
              <w:t>a</w:t>
            </w:r>
            <w:r>
              <w:t>nd/or</w:t>
            </w:r>
            <w:r w:rsidR="00C344AF">
              <w:t xml:space="preserve"> </w:t>
            </w:r>
            <w:r>
              <w:t>preparing meals,</w:t>
            </w:r>
            <w:r w:rsidR="00C344AF">
              <w:t xml:space="preserve"> </w:t>
            </w:r>
            <w:r>
              <w:t>snacks, and</w:t>
            </w:r>
            <w:r w:rsidR="00C344AF">
              <w:t xml:space="preserve"> </w:t>
            </w:r>
            <w:r>
              <w:t>beverages for</w:t>
            </w:r>
            <w:r w:rsidR="00C344AF">
              <w:t xml:space="preserve"> </w:t>
            </w:r>
            <w:r>
              <w:t>immediate</w:t>
            </w:r>
            <w:r w:rsidR="00C344AF">
              <w:t xml:space="preserve"> </w:t>
            </w:r>
            <w:r>
              <w:t>consumption.</w:t>
            </w:r>
          </w:p>
        </w:tc>
      </w:tr>
      <w:tr w:rsidR="004D3EED" w14:paraId="4AED9F54" w14:textId="77777777" w:rsidTr="004D3EED">
        <w:tc>
          <w:tcPr>
            <w:tcW w:w="1521" w:type="dxa"/>
            <w:vAlign w:val="center"/>
          </w:tcPr>
          <w:p w14:paraId="7F84810B" w14:textId="22A6324A" w:rsidR="00C073AB" w:rsidRPr="00A84A9A" w:rsidRDefault="00C073AB" w:rsidP="00D72538">
            <w:r w:rsidRPr="00A84A9A">
              <w:t>Commercial</w:t>
            </w:r>
          </w:p>
        </w:tc>
        <w:tc>
          <w:tcPr>
            <w:tcW w:w="1683" w:type="dxa"/>
            <w:vAlign w:val="center"/>
          </w:tcPr>
          <w:p w14:paraId="195789CB" w14:textId="33B95BEF" w:rsidR="00C073AB" w:rsidRDefault="0095621A" w:rsidP="00D72538">
            <w:r>
              <w:t>Other Services</w:t>
            </w:r>
            <w:r w:rsidR="00C344AF">
              <w:t xml:space="preserve"> </w:t>
            </w:r>
            <w:r>
              <w:t>(except Public</w:t>
            </w:r>
            <w:r w:rsidR="00C344AF">
              <w:t xml:space="preserve"> </w:t>
            </w:r>
            <w:r>
              <w:t>Administration)</w:t>
            </w:r>
          </w:p>
        </w:tc>
        <w:tc>
          <w:tcPr>
            <w:tcW w:w="1431" w:type="dxa"/>
            <w:vAlign w:val="center"/>
          </w:tcPr>
          <w:p w14:paraId="4E4E01E5" w14:textId="162A5736" w:rsidR="00C073AB" w:rsidRDefault="00C073AB" w:rsidP="00D72538">
            <w:r>
              <w:t>81</w:t>
            </w:r>
          </w:p>
        </w:tc>
        <w:tc>
          <w:tcPr>
            <w:tcW w:w="4715" w:type="dxa"/>
            <w:vAlign w:val="center"/>
          </w:tcPr>
          <w:p w14:paraId="21AB7D2B" w14:textId="04BC30B2" w:rsidR="00C073AB" w:rsidRDefault="0095621A" w:rsidP="00D72538">
            <w:r>
              <w:t>Establishments</w:t>
            </w:r>
            <w:r w:rsidR="00C344AF">
              <w:t xml:space="preserve"> </w:t>
            </w:r>
            <w:r>
              <w:t>engaged in</w:t>
            </w:r>
            <w:r w:rsidR="00C344AF">
              <w:t xml:space="preserve"> </w:t>
            </w:r>
            <w:r>
              <w:t>providing</w:t>
            </w:r>
            <w:r w:rsidR="00C344AF">
              <w:t xml:space="preserve"> </w:t>
            </w:r>
            <w:r>
              <w:t>se</w:t>
            </w:r>
            <w:r w:rsidR="00C344AF">
              <w:t>r</w:t>
            </w:r>
            <w:r>
              <w:t>vices not</w:t>
            </w:r>
            <w:r w:rsidR="00C344AF">
              <w:t xml:space="preserve"> </w:t>
            </w:r>
            <w:r>
              <w:t>specifically</w:t>
            </w:r>
            <w:r w:rsidR="00C344AF">
              <w:t xml:space="preserve"> </w:t>
            </w:r>
            <w:r>
              <w:t>provided for</w:t>
            </w:r>
            <w:r w:rsidR="00C344AF">
              <w:t xml:space="preserve"> </w:t>
            </w:r>
            <w:r>
              <w:t>elsewhere in the</w:t>
            </w:r>
            <w:r w:rsidR="00C344AF">
              <w:t xml:space="preserve"> </w:t>
            </w:r>
            <w:r>
              <w:t>classification</w:t>
            </w:r>
            <w:r w:rsidR="00C344AF">
              <w:t xml:space="preserve"> </w:t>
            </w:r>
            <w:r>
              <w:t>system.</w:t>
            </w:r>
          </w:p>
        </w:tc>
      </w:tr>
    </w:tbl>
    <w:p w14:paraId="3A6891BF" w14:textId="77777777" w:rsidR="008D7B6C" w:rsidRDefault="008D7B6C" w:rsidP="00D307D6"/>
    <w:p w14:paraId="3D2DA6C8" w14:textId="77777777" w:rsidR="00474CAE" w:rsidRDefault="00474CAE" w:rsidP="009814B5">
      <w:pPr>
        <w:pStyle w:val="Heading2"/>
      </w:pPr>
      <w:bookmarkStart w:id="76" w:name="_Toc168663917"/>
      <w:bookmarkStart w:id="77" w:name="_Toc168663918"/>
      <w:bookmarkStart w:id="78" w:name="_Toc168663919"/>
      <w:bookmarkEnd w:id="75"/>
      <w:bookmarkEnd w:id="76"/>
      <w:bookmarkEnd w:id="77"/>
      <w:r>
        <w:t>Program Design and Best Practices</w:t>
      </w:r>
      <w:bookmarkEnd w:id="78"/>
      <w:r>
        <w:t xml:space="preserve"> </w:t>
      </w:r>
    </w:p>
    <w:p w14:paraId="3855D95C" w14:textId="39E84830" w:rsidR="00E663C5" w:rsidRDefault="00E663C5" w:rsidP="00E663C5">
      <w:pPr>
        <w:spacing w:before="240"/>
        <w:rPr>
          <w:w w:val="0"/>
        </w:rPr>
      </w:pPr>
      <w:r>
        <w:rPr>
          <w:w w:val="0"/>
        </w:rPr>
        <w:t xml:space="preserve">SEM program design addresses persistent barriers to the uptake of energy efficiency for many large </w:t>
      </w:r>
      <w:r w:rsidR="009C1D8D">
        <w:rPr>
          <w:w w:val="0"/>
        </w:rPr>
        <w:t>cu</w:t>
      </w:r>
      <w:r>
        <w:rPr>
          <w:w w:val="0"/>
        </w:rPr>
        <w:t xml:space="preserve">stomers. It provides the technical, coaching, and incentive support they need to follow through on energy-saving opportunities. </w:t>
      </w:r>
    </w:p>
    <w:p w14:paraId="508071E4" w14:textId="143AF88F" w:rsidR="00E663C5" w:rsidRDefault="00E663C5" w:rsidP="00E663C5">
      <w:pPr>
        <w:spacing w:before="240"/>
        <w:rPr>
          <w:w w:val="0"/>
        </w:rPr>
      </w:pPr>
      <w:r>
        <w:rPr>
          <w:w w:val="0"/>
        </w:rPr>
        <w:t xml:space="preserve">The main barrier to SEM success is that </w:t>
      </w:r>
      <w:r w:rsidR="008403F8">
        <w:rPr>
          <w:w w:val="0"/>
        </w:rPr>
        <w:t>c</w:t>
      </w:r>
      <w:r>
        <w:rPr>
          <w:w w:val="0"/>
        </w:rPr>
        <w:t xml:space="preserve">ustomers often fail to execute viable energy efficiency opportunities due to either staffing or funding-related issues. </w:t>
      </w:r>
      <w:r w:rsidR="002F572C">
        <w:rPr>
          <w:w w:val="0"/>
        </w:rPr>
        <w:t>Cascade’s</w:t>
      </w:r>
      <w:r>
        <w:rPr>
          <w:w w:val="0"/>
        </w:rPr>
        <w:t xml:space="preserve"> goal in addressing these market barriers is to provide </w:t>
      </w:r>
      <w:r w:rsidR="008403F8">
        <w:rPr>
          <w:w w:val="0"/>
        </w:rPr>
        <w:t>c</w:t>
      </w:r>
      <w:r>
        <w:rPr>
          <w:w w:val="0"/>
        </w:rPr>
        <w:t xml:space="preserve">ustomers with the wraparound support needed to get capital projects evaluated, approved, funded, and completed. Acknowledging that capital projects take time to complete, </w:t>
      </w:r>
      <w:r w:rsidR="008403F8">
        <w:rPr>
          <w:w w:val="0"/>
        </w:rPr>
        <w:t>we</w:t>
      </w:r>
      <w:r>
        <w:rPr>
          <w:w w:val="0"/>
        </w:rPr>
        <w:t xml:space="preserve"> will ensure </w:t>
      </w:r>
      <w:r w:rsidR="008403F8">
        <w:rPr>
          <w:w w:val="0"/>
        </w:rPr>
        <w:t>c</w:t>
      </w:r>
      <w:r>
        <w:rPr>
          <w:w w:val="0"/>
        </w:rPr>
        <w:t xml:space="preserve">ustomers have a mix of behavioral, retro-commissioning, and operational (BRO) and capital </w:t>
      </w:r>
      <w:r w:rsidR="00122366">
        <w:rPr>
          <w:w w:val="0"/>
        </w:rPr>
        <w:t>m</w:t>
      </w:r>
      <w:r>
        <w:rPr>
          <w:w w:val="0"/>
        </w:rPr>
        <w:t>easures on their opportunity registers at the start of SEM.</w:t>
      </w:r>
    </w:p>
    <w:p w14:paraId="6A9E1F01" w14:textId="42FCA3F1" w:rsidR="00E663C5" w:rsidRDefault="002F572C" w:rsidP="00E663C5">
      <w:pPr>
        <w:spacing w:before="240"/>
        <w:rPr>
          <w:w w:val="0"/>
        </w:rPr>
      </w:pPr>
      <w:r>
        <w:rPr>
          <w:w w:val="0"/>
        </w:rPr>
        <w:lastRenderedPageBreak/>
        <w:t>The</w:t>
      </w:r>
      <w:r w:rsidR="00E663C5">
        <w:rPr>
          <w:w w:val="0"/>
        </w:rPr>
        <w:t xml:space="preserve"> following strategies and tactics to mitigate these barriers</w:t>
      </w:r>
      <w:r w:rsidR="004A5D02">
        <w:rPr>
          <w:w w:val="0"/>
        </w:rPr>
        <w:t xml:space="preserve"> are listed below</w:t>
      </w:r>
      <w:r w:rsidR="00E663C5">
        <w:rPr>
          <w:w w:val="0"/>
        </w:rPr>
        <w:t xml:space="preserve">: </w:t>
      </w:r>
    </w:p>
    <w:p w14:paraId="4F1847C6" w14:textId="75BC1642" w:rsidR="00E663C5" w:rsidRDefault="00E663C5" w:rsidP="00140267">
      <w:pPr>
        <w:pStyle w:val="Heading3"/>
        <w:rPr>
          <w:w w:val="0"/>
        </w:rPr>
      </w:pPr>
      <w:r>
        <w:rPr>
          <w:w w:val="0"/>
        </w:rPr>
        <w:t>Help Completing Projects</w:t>
      </w:r>
    </w:p>
    <w:p w14:paraId="71864BAC" w14:textId="3DFD3516" w:rsidR="00E663C5" w:rsidRDefault="00C75D32" w:rsidP="00E663C5">
      <w:pPr>
        <w:spacing w:before="240"/>
        <w:rPr>
          <w:w w:val="0"/>
        </w:rPr>
      </w:pPr>
      <w:r>
        <w:rPr>
          <w:w w:val="0"/>
        </w:rPr>
        <w:t>One</w:t>
      </w:r>
      <w:r w:rsidR="00E663C5">
        <w:rPr>
          <w:w w:val="0"/>
        </w:rPr>
        <w:t xml:space="preserve"> or more </w:t>
      </w:r>
      <w:r w:rsidR="00E663C5" w:rsidRPr="00122366">
        <w:rPr>
          <w:bCs/>
          <w:w w:val="0"/>
        </w:rPr>
        <w:t>shared energy project managers</w:t>
      </w:r>
      <w:r w:rsidR="00E663C5">
        <w:rPr>
          <w:w w:val="0"/>
        </w:rPr>
        <w:t xml:space="preserve"> (shared EPMs) </w:t>
      </w:r>
      <w:r>
        <w:rPr>
          <w:w w:val="0"/>
        </w:rPr>
        <w:t>will be assigned to the</w:t>
      </w:r>
      <w:r w:rsidR="00E663C5">
        <w:rPr>
          <w:w w:val="0"/>
        </w:rPr>
        <w:t xml:space="preserve"> SEM delivery team. This role increases the personnel resources dedicated to energy efficiency project implementation at </w:t>
      </w:r>
      <w:r w:rsidR="00D41C13">
        <w:rPr>
          <w:w w:val="0"/>
        </w:rPr>
        <w:t>c</w:t>
      </w:r>
      <w:r w:rsidR="00E663C5">
        <w:rPr>
          <w:w w:val="0"/>
        </w:rPr>
        <w:t xml:space="preserve">ustomer </w:t>
      </w:r>
      <w:r w:rsidR="00D41C13">
        <w:rPr>
          <w:w w:val="0"/>
        </w:rPr>
        <w:t>s</w:t>
      </w:r>
      <w:r w:rsidR="00E663C5">
        <w:rPr>
          <w:w w:val="0"/>
        </w:rPr>
        <w:t xml:space="preserve">ites, leading to more completed projects and higher </w:t>
      </w:r>
      <w:r w:rsidR="00D41C13">
        <w:rPr>
          <w:w w:val="0"/>
        </w:rPr>
        <w:t>c</w:t>
      </w:r>
      <w:r w:rsidR="00E663C5">
        <w:rPr>
          <w:w w:val="0"/>
        </w:rPr>
        <w:t xml:space="preserve">ustomer satisfaction (as this project management burden is lessened for them). </w:t>
      </w:r>
    </w:p>
    <w:p w14:paraId="4811F008" w14:textId="2DAA0FBA" w:rsidR="00E663C5" w:rsidRDefault="00E663C5" w:rsidP="00E663C5">
      <w:pPr>
        <w:spacing w:before="240"/>
        <w:rPr>
          <w:w w:val="0"/>
        </w:rPr>
      </w:pPr>
      <w:r>
        <w:rPr>
          <w:w w:val="0"/>
        </w:rPr>
        <w:t xml:space="preserve">The shared EPM will be assigned to shepherd large individual projects identified through SEM through to completion. They will support several </w:t>
      </w:r>
      <w:r w:rsidR="00B1104D">
        <w:rPr>
          <w:w w:val="0"/>
        </w:rPr>
        <w:t>c</w:t>
      </w:r>
      <w:r>
        <w:rPr>
          <w:w w:val="0"/>
        </w:rPr>
        <w:t xml:space="preserve">ustomers simultaneously and focus on specific geographies within </w:t>
      </w:r>
      <w:r w:rsidR="007D0D99">
        <w:rPr>
          <w:w w:val="0"/>
        </w:rPr>
        <w:t>SCE’s</w:t>
      </w:r>
      <w:r>
        <w:rPr>
          <w:w w:val="0"/>
        </w:rPr>
        <w:t xml:space="preserve"> large service territory. The shared EPM will not be tasked with identifying new projects—that is led by the </w:t>
      </w:r>
      <w:r w:rsidR="00B1104D">
        <w:rPr>
          <w:w w:val="0"/>
        </w:rPr>
        <w:t>c</w:t>
      </w:r>
      <w:r>
        <w:rPr>
          <w:w w:val="0"/>
        </w:rPr>
        <w:t>ustomers’ energy team in coordination with their SEM coach and technical lead. This role will be responsible for managing approved projects to completion, including coordinating with vendors, tracking and reporting on progress, and collecting required data and documentation.</w:t>
      </w:r>
    </w:p>
    <w:p w14:paraId="73324822" w14:textId="30237ADD" w:rsidR="00E663C5" w:rsidRDefault="00E663C5" w:rsidP="00E663C5">
      <w:pPr>
        <w:spacing w:before="240"/>
        <w:rPr>
          <w:w w:val="0"/>
        </w:rPr>
      </w:pPr>
      <w:r>
        <w:rPr>
          <w:w w:val="0"/>
        </w:rPr>
        <w:t>Customer</w:t>
      </w:r>
      <w:r w:rsidR="006B45EC">
        <w:rPr>
          <w:w w:val="0"/>
        </w:rPr>
        <w:t>s’</w:t>
      </w:r>
      <w:r>
        <w:rPr>
          <w:w w:val="0"/>
        </w:rPr>
        <w:t xml:space="preserve"> eligibility criteria for shared EPM support</w:t>
      </w:r>
      <w:r w:rsidR="006B45EC">
        <w:rPr>
          <w:w w:val="0"/>
        </w:rPr>
        <w:t xml:space="preserve"> will be determined</w:t>
      </w:r>
      <w:r>
        <w:rPr>
          <w:w w:val="0"/>
        </w:rPr>
        <w:t xml:space="preserve">, which could include energy savings potential, location, and/or project timelines. </w:t>
      </w:r>
      <w:r w:rsidR="00F83972">
        <w:rPr>
          <w:w w:val="0"/>
        </w:rPr>
        <w:t>Strong</w:t>
      </w:r>
      <w:r>
        <w:rPr>
          <w:w w:val="0"/>
        </w:rPr>
        <w:t xml:space="preserve"> controls </w:t>
      </w:r>
      <w:r w:rsidR="00F83972">
        <w:rPr>
          <w:w w:val="0"/>
        </w:rPr>
        <w:t>acc</w:t>
      </w:r>
      <w:r w:rsidR="00FB46F3">
        <w:rPr>
          <w:w w:val="0"/>
        </w:rPr>
        <w:t>ompany this</w:t>
      </w:r>
      <w:r>
        <w:rPr>
          <w:w w:val="0"/>
        </w:rPr>
        <w:t xml:space="preserve"> offering—enrollment agreements, implementation plans, and funding based on milestone achievements—to assure progress. </w:t>
      </w:r>
    </w:p>
    <w:p w14:paraId="6B062966" w14:textId="31474F93" w:rsidR="00E663C5" w:rsidRDefault="00E663C5" w:rsidP="00140267">
      <w:pPr>
        <w:pStyle w:val="Heading3"/>
        <w:rPr>
          <w:w w:val="0"/>
        </w:rPr>
      </w:pPr>
      <w:r>
        <w:rPr>
          <w:w w:val="0"/>
        </w:rPr>
        <w:t>Help Funding Projects</w:t>
      </w:r>
    </w:p>
    <w:p w14:paraId="666F215E" w14:textId="44353C93" w:rsidR="00E663C5" w:rsidRDefault="00E663C5" w:rsidP="00E663C5">
      <w:pPr>
        <w:spacing w:before="240"/>
        <w:rPr>
          <w:w w:val="0"/>
        </w:rPr>
      </w:pPr>
      <w:r>
        <w:rPr>
          <w:w w:val="0"/>
        </w:rPr>
        <w:t xml:space="preserve">Since SEM primarily focuses on low-/no-cost savings opportunities, access to capital and financing is not a typical market barrier. However, </w:t>
      </w:r>
      <w:r w:rsidR="004B7874">
        <w:rPr>
          <w:w w:val="0"/>
        </w:rPr>
        <w:t xml:space="preserve">the SPARKe </w:t>
      </w:r>
      <w:r>
        <w:rPr>
          <w:w w:val="0"/>
        </w:rPr>
        <w:t xml:space="preserve">design includes more project types under SEM: capital and electrification, in addition to the BRO projects more commonly addressed through SEM. </w:t>
      </w:r>
      <w:r w:rsidR="004A1D16">
        <w:rPr>
          <w:w w:val="0"/>
        </w:rPr>
        <w:t>The a</w:t>
      </w:r>
      <w:r w:rsidR="00A44FC8">
        <w:rPr>
          <w:w w:val="0"/>
        </w:rPr>
        <w:t>dditional</w:t>
      </w:r>
      <w:r>
        <w:rPr>
          <w:w w:val="0"/>
        </w:rPr>
        <w:t xml:space="preserve"> project types </w:t>
      </w:r>
      <w:r w:rsidR="004A1D16">
        <w:rPr>
          <w:w w:val="0"/>
        </w:rPr>
        <w:t>will</w:t>
      </w:r>
      <w:r>
        <w:rPr>
          <w:w w:val="0"/>
        </w:rPr>
        <w:t xml:space="preserve"> boost the savings the </w:t>
      </w:r>
      <w:r w:rsidR="004A1D16">
        <w:rPr>
          <w:w w:val="0"/>
        </w:rPr>
        <w:t>p</w:t>
      </w:r>
      <w:r>
        <w:rPr>
          <w:w w:val="0"/>
        </w:rPr>
        <w:t xml:space="preserve">rogram can deliver while enhancing </w:t>
      </w:r>
      <w:r w:rsidR="00D50C40">
        <w:rPr>
          <w:w w:val="0"/>
        </w:rPr>
        <w:t>c</w:t>
      </w:r>
      <w:r>
        <w:rPr>
          <w:w w:val="0"/>
        </w:rPr>
        <w:t xml:space="preserve">ustomer satisfaction (since </w:t>
      </w:r>
      <w:r w:rsidR="00D50C40">
        <w:rPr>
          <w:w w:val="0"/>
        </w:rPr>
        <w:t>c</w:t>
      </w:r>
      <w:r>
        <w:rPr>
          <w:w w:val="0"/>
        </w:rPr>
        <w:t xml:space="preserve">ustomers can easily complete all identified project types through a single program and contact). </w:t>
      </w:r>
    </w:p>
    <w:p w14:paraId="506001F7" w14:textId="45C3D83A" w:rsidR="00E663C5" w:rsidRDefault="00E663C5" w:rsidP="00E663C5">
      <w:pPr>
        <w:spacing w:before="240"/>
        <w:rPr>
          <w:w w:val="0"/>
        </w:rPr>
      </w:pPr>
      <w:r>
        <w:rPr>
          <w:w w:val="0"/>
        </w:rPr>
        <w:t xml:space="preserve">With capital projects included in SEM, some </w:t>
      </w:r>
      <w:r w:rsidR="00D50C40">
        <w:rPr>
          <w:w w:val="0"/>
        </w:rPr>
        <w:t>c</w:t>
      </w:r>
      <w:r>
        <w:rPr>
          <w:w w:val="0"/>
        </w:rPr>
        <w:t xml:space="preserve">ustomers may experience funding-related barriers. </w:t>
      </w:r>
      <w:r w:rsidR="00922A90">
        <w:rPr>
          <w:w w:val="0"/>
        </w:rPr>
        <w:t>This</w:t>
      </w:r>
      <w:r>
        <w:rPr>
          <w:w w:val="0"/>
        </w:rPr>
        <w:t xml:space="preserve"> barrier</w:t>
      </w:r>
      <w:r w:rsidR="00922A90">
        <w:rPr>
          <w:w w:val="0"/>
        </w:rPr>
        <w:t xml:space="preserve"> is addressed</w:t>
      </w:r>
      <w:r>
        <w:rPr>
          <w:w w:val="0"/>
        </w:rPr>
        <w:t xml:space="preserve"> through three pathways:</w:t>
      </w:r>
    </w:p>
    <w:p w14:paraId="0E385360" w14:textId="2C329F1F" w:rsidR="00E663C5" w:rsidRPr="00877C68" w:rsidRDefault="00E663C5" w:rsidP="00877C68">
      <w:pPr>
        <w:pStyle w:val="HText3Bullets"/>
      </w:pPr>
      <w:r w:rsidRPr="00140267">
        <w:rPr>
          <w:b/>
          <w:bCs/>
        </w:rPr>
        <w:t>Incentives</w:t>
      </w:r>
      <w:r w:rsidRPr="00877C68">
        <w:t xml:space="preserve">: </w:t>
      </w:r>
      <w:r w:rsidR="00815122" w:rsidRPr="00877C68">
        <w:t>H</w:t>
      </w:r>
      <w:r w:rsidRPr="00877C68">
        <w:t xml:space="preserve">igher than standard SEM Customer incentives for capital and electrification (fuel substitution) projects </w:t>
      </w:r>
    </w:p>
    <w:p w14:paraId="21E339E8" w14:textId="52A517A6" w:rsidR="00E663C5" w:rsidRPr="00877C68" w:rsidRDefault="00E663C5" w:rsidP="00877C68">
      <w:pPr>
        <w:pStyle w:val="HText3Bullets"/>
      </w:pPr>
      <w:r w:rsidRPr="00140267">
        <w:rPr>
          <w:b/>
          <w:bCs/>
        </w:rPr>
        <w:t>Financing</w:t>
      </w:r>
      <w:r w:rsidRPr="00877C68">
        <w:t xml:space="preserve">: </w:t>
      </w:r>
      <w:r w:rsidR="0045224A" w:rsidRPr="00877C68">
        <w:t>O</w:t>
      </w:r>
      <w:r w:rsidRPr="00877C68">
        <w:t xml:space="preserve">n-bill and third-party financing to </w:t>
      </w:r>
      <w:r w:rsidR="0045224A" w:rsidRPr="00877C68">
        <w:t>c</w:t>
      </w:r>
      <w:r w:rsidRPr="00877C68">
        <w:t>ustomers</w:t>
      </w:r>
      <w:r w:rsidR="001875E7">
        <w:t>.</w:t>
      </w:r>
      <w:r w:rsidRPr="00877C68">
        <w:t xml:space="preserve"> </w:t>
      </w:r>
      <w:r w:rsidR="0045224A" w:rsidRPr="00877C68">
        <w:t>F</w:t>
      </w:r>
      <w:r w:rsidRPr="00877C68">
        <w:t xml:space="preserve">inancing </w:t>
      </w:r>
      <w:r w:rsidR="00791F6A" w:rsidRPr="00877C68">
        <w:t xml:space="preserve">can be provided </w:t>
      </w:r>
      <w:r w:rsidRPr="00877C68">
        <w:t xml:space="preserve">to </w:t>
      </w:r>
      <w:r w:rsidR="001875E7">
        <w:t>c</w:t>
      </w:r>
      <w:r w:rsidRPr="00877C68">
        <w:t xml:space="preserve">ustomers or directly to vendors and contractors. </w:t>
      </w:r>
      <w:r w:rsidR="00791F6A" w:rsidRPr="00877C68">
        <w:t xml:space="preserve">Projects can be financed </w:t>
      </w:r>
      <w:r w:rsidRPr="00877C68">
        <w:t xml:space="preserve">at the beginning of the process, minimizing financial uncertainty for the </w:t>
      </w:r>
      <w:r w:rsidR="00553E8B">
        <w:t>c</w:t>
      </w:r>
      <w:r w:rsidRPr="00877C68">
        <w:t xml:space="preserve">ustomer. </w:t>
      </w:r>
    </w:p>
    <w:p w14:paraId="25313D51" w14:textId="5465751A" w:rsidR="00E663C5" w:rsidRPr="00877C68" w:rsidRDefault="00E663C5" w:rsidP="00877C68">
      <w:pPr>
        <w:pStyle w:val="HText3Bullets"/>
      </w:pPr>
      <w:r w:rsidRPr="00140267">
        <w:rPr>
          <w:b/>
          <w:bCs/>
        </w:rPr>
        <w:t>Finance Coordinator Support</w:t>
      </w:r>
      <w:r w:rsidRPr="00877C68">
        <w:t xml:space="preserve">: Recent </w:t>
      </w:r>
      <w:r w:rsidR="00553E8B">
        <w:t>f</w:t>
      </w:r>
      <w:r w:rsidRPr="00877C68">
        <w:t xml:space="preserve">ederal legislation such as the Inflation Reduction Act has introduced new grant funding and tax credit opportunities for certain energy-saving project types, especially electrification projects. This new funding landscape presents significant opportunities for </w:t>
      </w:r>
      <w:r w:rsidR="00553E8B">
        <w:t>c</w:t>
      </w:r>
      <w:r w:rsidRPr="00877C68">
        <w:t xml:space="preserve">ustomers participating in SEM. However, it is also evolving, challenging to navigate, and impacted by state and local policies. </w:t>
      </w:r>
    </w:p>
    <w:p w14:paraId="6D0A2391" w14:textId="6EE836DC" w:rsidR="00E663C5" w:rsidRDefault="00E663C5" w:rsidP="00553E8B">
      <w:pPr>
        <w:ind w:left="720"/>
        <w:rPr>
          <w:w w:val="0"/>
        </w:rPr>
      </w:pPr>
      <w:r>
        <w:rPr>
          <w:w w:val="0"/>
        </w:rPr>
        <w:t xml:space="preserve">To address this barrier, a finance coordinator </w:t>
      </w:r>
      <w:r w:rsidR="00C25523">
        <w:rPr>
          <w:w w:val="0"/>
        </w:rPr>
        <w:t>will</w:t>
      </w:r>
      <w:r>
        <w:rPr>
          <w:w w:val="0"/>
        </w:rPr>
        <w:t xml:space="preserve"> support the </w:t>
      </w:r>
      <w:r w:rsidR="00645277">
        <w:rPr>
          <w:w w:val="0"/>
        </w:rPr>
        <w:t>SPARKe p</w:t>
      </w:r>
      <w:r>
        <w:rPr>
          <w:w w:val="0"/>
        </w:rPr>
        <w:t xml:space="preserve">rogram. This individual will be the expert on funding availability and eligibility (from grants and elsewhere) and will align this knowledge with project opportunities identified within </w:t>
      </w:r>
      <w:r w:rsidR="00C25523">
        <w:rPr>
          <w:w w:val="0"/>
        </w:rPr>
        <w:t>SPARKe</w:t>
      </w:r>
      <w:r>
        <w:rPr>
          <w:w w:val="0"/>
        </w:rPr>
        <w:t>. The finance coordinator will:</w:t>
      </w:r>
    </w:p>
    <w:p w14:paraId="39035508" w14:textId="68AF0AF6" w:rsidR="00E663C5" w:rsidRDefault="00E663C5" w:rsidP="00553E8B">
      <w:pPr>
        <w:pStyle w:val="HText4Bullets"/>
        <w:numPr>
          <w:ilvl w:val="0"/>
          <w:numId w:val="26"/>
        </w:numPr>
        <w:ind w:left="1440"/>
        <w:rPr>
          <w:w w:val="0"/>
        </w:rPr>
      </w:pPr>
      <w:r>
        <w:rPr>
          <w:w w:val="0"/>
        </w:rPr>
        <w:t xml:space="preserve">Review opportunity registers in Energy Sensei </w:t>
      </w:r>
      <w:r w:rsidR="00645277">
        <w:rPr>
          <w:w w:val="0"/>
        </w:rPr>
        <w:t xml:space="preserve">® </w:t>
      </w:r>
      <w:r>
        <w:rPr>
          <w:w w:val="0"/>
        </w:rPr>
        <w:t xml:space="preserve">and highlight projects eligible for </w:t>
      </w:r>
      <w:r>
        <w:rPr>
          <w:w w:val="0"/>
        </w:rPr>
        <w:lastRenderedPageBreak/>
        <w:t xml:space="preserve">funding. </w:t>
      </w:r>
    </w:p>
    <w:p w14:paraId="4FE1E85A" w14:textId="43F60030" w:rsidR="00E663C5" w:rsidRDefault="00E663C5" w:rsidP="00553E8B">
      <w:pPr>
        <w:pStyle w:val="HText4Bullets"/>
        <w:numPr>
          <w:ilvl w:val="0"/>
          <w:numId w:val="26"/>
        </w:numPr>
        <w:ind w:left="1440"/>
        <w:rPr>
          <w:w w:val="0"/>
        </w:rPr>
      </w:pPr>
      <w:r>
        <w:rPr>
          <w:w w:val="0"/>
        </w:rPr>
        <w:t xml:space="preserve">Hold quarterly webinars for </w:t>
      </w:r>
      <w:r w:rsidR="00645277">
        <w:rPr>
          <w:w w:val="0"/>
        </w:rPr>
        <w:t>c</w:t>
      </w:r>
      <w:r>
        <w:rPr>
          <w:w w:val="0"/>
        </w:rPr>
        <w:t xml:space="preserve">ustomers to review relevant grants and how to apply. </w:t>
      </w:r>
    </w:p>
    <w:p w14:paraId="289B935F" w14:textId="77777777" w:rsidR="00E663C5" w:rsidRDefault="00E663C5" w:rsidP="00553E8B">
      <w:pPr>
        <w:pStyle w:val="HText4Bullets"/>
        <w:numPr>
          <w:ilvl w:val="0"/>
          <w:numId w:val="26"/>
        </w:numPr>
        <w:ind w:left="1440"/>
        <w:rPr>
          <w:w w:val="0"/>
        </w:rPr>
      </w:pPr>
      <w:r>
        <w:rPr>
          <w:w w:val="0"/>
        </w:rPr>
        <w:t xml:space="preserve">Research tax credits associated with investing in these opportunities so that SEM coaches can weave tax benefits into project value propositions. </w:t>
      </w:r>
    </w:p>
    <w:p w14:paraId="737172B5" w14:textId="75CF424D" w:rsidR="00E663C5" w:rsidRDefault="00E663C5" w:rsidP="00E663C5">
      <w:pPr>
        <w:spacing w:before="240"/>
        <w:rPr>
          <w:w w:val="0"/>
        </w:rPr>
      </w:pPr>
      <w:r>
        <w:rPr>
          <w:w w:val="0"/>
        </w:rPr>
        <w:t xml:space="preserve">Financing-related communications with </w:t>
      </w:r>
      <w:r w:rsidR="00B86763">
        <w:rPr>
          <w:w w:val="0"/>
        </w:rPr>
        <w:t>c</w:t>
      </w:r>
      <w:r>
        <w:rPr>
          <w:w w:val="0"/>
        </w:rPr>
        <w:t xml:space="preserve">ustomers will focus on </w:t>
      </w:r>
      <w:r w:rsidR="00B86763">
        <w:rPr>
          <w:w w:val="0"/>
        </w:rPr>
        <w:t>c</w:t>
      </w:r>
      <w:r>
        <w:rPr>
          <w:w w:val="0"/>
        </w:rPr>
        <w:t xml:space="preserve">ustomer cash flows and how leveraging financing will make their utility payments “bill neutral.” </w:t>
      </w:r>
      <w:r w:rsidR="00654123">
        <w:rPr>
          <w:w w:val="0"/>
        </w:rPr>
        <w:t>We</w:t>
      </w:r>
      <w:r>
        <w:rPr>
          <w:w w:val="0"/>
        </w:rPr>
        <w:t xml:space="preserve"> will also coach decision-makers to avoid using the typical payback metric and instead focus on net present value or the project’s internal rate of return. These metrics help to ensure lifetime benefits and costs are appropriately accounted for. </w:t>
      </w:r>
      <w:r w:rsidR="00673C7C">
        <w:rPr>
          <w:w w:val="0"/>
        </w:rPr>
        <w:t xml:space="preserve">Cascade will also coach </w:t>
      </w:r>
      <w:r w:rsidR="00B86763">
        <w:rPr>
          <w:w w:val="0"/>
        </w:rPr>
        <w:t>c</w:t>
      </w:r>
      <w:r>
        <w:rPr>
          <w:w w:val="0"/>
        </w:rPr>
        <w:t xml:space="preserve">ustomers how the additional cash flows and tax benefits they can generate through energy efficiency can be used for a variety of needs: hiring, expansion, paying down debt, and improving profitability. </w:t>
      </w:r>
    </w:p>
    <w:p w14:paraId="6092AE10" w14:textId="0092AE94" w:rsidR="00E663C5" w:rsidRDefault="00E663C5" w:rsidP="00140267">
      <w:pPr>
        <w:pStyle w:val="Heading3"/>
        <w:rPr>
          <w:w w:val="0"/>
        </w:rPr>
      </w:pPr>
      <w:r>
        <w:rPr>
          <w:w w:val="0"/>
        </w:rPr>
        <w:t>Energy Sensei®</w:t>
      </w:r>
    </w:p>
    <w:p w14:paraId="762C8190" w14:textId="7D66B572" w:rsidR="00E663C5" w:rsidRDefault="00E663C5" w:rsidP="00E663C5">
      <w:pPr>
        <w:spacing w:before="240"/>
        <w:rPr>
          <w:w w:val="0"/>
        </w:rPr>
      </w:pPr>
      <w:r>
        <w:rPr>
          <w:w w:val="0"/>
        </w:rPr>
        <w:t>Energy Sensei—</w:t>
      </w:r>
      <w:r w:rsidR="00B86763">
        <w:rPr>
          <w:w w:val="0"/>
        </w:rPr>
        <w:t>Cascade’s</w:t>
      </w:r>
      <w:r>
        <w:rPr>
          <w:w w:val="0"/>
        </w:rPr>
        <w:t xml:space="preserve"> proprietary energy performance platform—is essential to </w:t>
      </w:r>
      <w:r w:rsidR="003C79D9">
        <w:rPr>
          <w:w w:val="0"/>
        </w:rPr>
        <w:t>p</w:t>
      </w:r>
      <w:r>
        <w:rPr>
          <w:w w:val="0"/>
        </w:rPr>
        <w:t xml:space="preserve">rogram delivery. </w:t>
      </w:r>
      <w:r w:rsidR="009B0E75">
        <w:rPr>
          <w:w w:val="0"/>
        </w:rPr>
        <w:t>We expect to</w:t>
      </w:r>
      <w:r>
        <w:rPr>
          <w:w w:val="0"/>
        </w:rPr>
        <w:t xml:space="preserve"> provide Energy Sensei (or Sensei) to all </w:t>
      </w:r>
      <w:r w:rsidR="003C79D9">
        <w:rPr>
          <w:w w:val="0"/>
        </w:rPr>
        <w:t>c</w:t>
      </w:r>
      <w:r>
        <w:rPr>
          <w:w w:val="0"/>
        </w:rPr>
        <w:t xml:space="preserve">ustomers, </w:t>
      </w:r>
      <w:r w:rsidR="003C79D9">
        <w:rPr>
          <w:w w:val="0"/>
        </w:rPr>
        <w:t>c</w:t>
      </w:r>
      <w:r>
        <w:rPr>
          <w:w w:val="0"/>
        </w:rPr>
        <w:t xml:space="preserve">ompany </w:t>
      </w:r>
      <w:r w:rsidR="003C79D9">
        <w:rPr>
          <w:w w:val="0"/>
        </w:rPr>
        <w:t>p</w:t>
      </w:r>
      <w:r>
        <w:rPr>
          <w:w w:val="0"/>
        </w:rPr>
        <w:t xml:space="preserve">rogram </w:t>
      </w:r>
      <w:r w:rsidR="003C79D9">
        <w:rPr>
          <w:w w:val="0"/>
        </w:rPr>
        <w:t>m</w:t>
      </w:r>
      <w:r>
        <w:rPr>
          <w:w w:val="0"/>
        </w:rPr>
        <w:t>anagers, third-party evaluators, and other approved stakeholders. All Sensei users will need to create an account and accept the user licensing agreement, available to users upon signing up for the service.</w:t>
      </w:r>
    </w:p>
    <w:p w14:paraId="247364C7" w14:textId="2E8C883C" w:rsidR="00E663C5" w:rsidRDefault="00E663C5" w:rsidP="00E663C5">
      <w:pPr>
        <w:spacing w:before="240"/>
        <w:rPr>
          <w:w w:val="0"/>
        </w:rPr>
      </w:pPr>
      <w:r>
        <w:rPr>
          <w:w w:val="0"/>
        </w:rPr>
        <w:t xml:space="preserve">While Sensei provides significant benefits and motivation to </w:t>
      </w:r>
      <w:r w:rsidR="001E235B">
        <w:rPr>
          <w:w w:val="0"/>
        </w:rPr>
        <w:t>c</w:t>
      </w:r>
      <w:r>
        <w:rPr>
          <w:w w:val="0"/>
        </w:rPr>
        <w:t xml:space="preserve">ustomers participating in SEM by helping them visualize and report on their energy and Greenhouse Gas reduction progress, its value is also at the </w:t>
      </w:r>
      <w:r w:rsidR="001E235B">
        <w:rPr>
          <w:w w:val="0"/>
        </w:rPr>
        <w:t>p</w:t>
      </w:r>
      <w:r>
        <w:rPr>
          <w:w w:val="0"/>
        </w:rPr>
        <w:t xml:space="preserve">rogram level. Sensei offers the </w:t>
      </w:r>
      <w:r w:rsidR="001E235B">
        <w:rPr>
          <w:w w:val="0"/>
        </w:rPr>
        <w:t>p</w:t>
      </w:r>
      <w:r>
        <w:rPr>
          <w:w w:val="0"/>
        </w:rPr>
        <w:t>rogram the following benefits:</w:t>
      </w:r>
    </w:p>
    <w:p w14:paraId="79EDFCAF" w14:textId="750ABE64" w:rsidR="00E663C5" w:rsidRPr="008D4B80" w:rsidRDefault="00E663C5" w:rsidP="00BB51CA">
      <w:pPr>
        <w:pStyle w:val="HText3Bullets"/>
      </w:pPr>
      <w:r w:rsidRPr="008D4B80">
        <w:t xml:space="preserve">Provides a detailed opportunity register to capture relevant information and tie actions to results, helping build the case for </w:t>
      </w:r>
      <w:r w:rsidR="001E235B">
        <w:t>p</w:t>
      </w:r>
      <w:r w:rsidRPr="008D4B80">
        <w:t>rogram influence.</w:t>
      </w:r>
    </w:p>
    <w:p w14:paraId="3A03AFF9" w14:textId="31EA4742" w:rsidR="00E663C5" w:rsidRPr="008D4B80" w:rsidRDefault="00E663C5" w:rsidP="00BB51CA">
      <w:pPr>
        <w:pStyle w:val="HText3Bullets"/>
      </w:pPr>
      <w:r w:rsidRPr="008D4B80">
        <w:t xml:space="preserve">Details the inputs, calculations, and claim years to provide optimal transparency and defensibility of </w:t>
      </w:r>
      <w:r w:rsidR="001E235B">
        <w:t>p</w:t>
      </w:r>
      <w:r w:rsidRPr="008D4B80">
        <w:t>rogram savings claims.</w:t>
      </w:r>
    </w:p>
    <w:p w14:paraId="3A82BA99" w14:textId="77777777" w:rsidR="00E663C5" w:rsidRPr="008D4B80" w:rsidRDefault="00E663C5" w:rsidP="00BB51CA">
      <w:pPr>
        <w:pStyle w:val="HText3Bullets"/>
      </w:pPr>
      <w:r w:rsidRPr="008D4B80">
        <w:t>Centralizes forecasting, standardizes savings calculations, and aggregates multi-year portfolios to improve efficiency among all parties.</w:t>
      </w:r>
    </w:p>
    <w:p w14:paraId="443D62F0" w14:textId="77777777" w:rsidR="00E663C5" w:rsidRPr="008D4B80" w:rsidRDefault="00E663C5" w:rsidP="00BB51CA">
      <w:pPr>
        <w:pStyle w:val="HText3Bullets"/>
      </w:pPr>
      <w:r w:rsidRPr="008D4B80">
        <w:t>Streamlines the energy modeling process by aggregating data, testing candidate variables for statistical significance, and comparing and documenting performance of models.</w:t>
      </w:r>
    </w:p>
    <w:p w14:paraId="0209657C" w14:textId="77777777" w:rsidR="00E663C5" w:rsidRPr="008D4B80" w:rsidRDefault="00E663C5" w:rsidP="00BB51CA">
      <w:pPr>
        <w:pStyle w:val="HText3Bullets"/>
      </w:pPr>
      <w:r w:rsidRPr="008D4B80">
        <w:t xml:space="preserve">Reduces errors and provides a traceable pathway to verify both top-down and bottom-up savings. </w:t>
      </w:r>
    </w:p>
    <w:p w14:paraId="3D8706C9" w14:textId="77777777" w:rsidR="00E663C5" w:rsidRPr="008D4B80" w:rsidRDefault="00E663C5" w:rsidP="00BB51CA">
      <w:pPr>
        <w:pStyle w:val="HText3Bullets"/>
      </w:pPr>
      <w:r w:rsidRPr="008D4B80">
        <w:t>Helps visualize time-of-use energy savings opportunities to present to Customers.</w:t>
      </w:r>
    </w:p>
    <w:p w14:paraId="6C228F97" w14:textId="77777777" w:rsidR="002A2A7C" w:rsidRDefault="002A2A7C" w:rsidP="00437F71">
      <w:pPr>
        <w:pStyle w:val="BodyText"/>
      </w:pPr>
    </w:p>
    <w:p w14:paraId="59BED619" w14:textId="77777777" w:rsidR="006E563B" w:rsidRDefault="006E563B" w:rsidP="009814B5">
      <w:pPr>
        <w:pStyle w:val="Heading2"/>
      </w:pPr>
      <w:bookmarkStart w:id="79" w:name="_Toc168663920"/>
      <w:r>
        <w:t>Innovation</w:t>
      </w:r>
      <w:bookmarkEnd w:id="79"/>
    </w:p>
    <w:p w14:paraId="16E91CBB" w14:textId="6DBF3094" w:rsidR="00C522BE" w:rsidRPr="00C522BE" w:rsidRDefault="00C522BE" w:rsidP="00C522BE">
      <w:pPr>
        <w:pStyle w:val="BodyText"/>
        <w:ind w:left="0"/>
      </w:pPr>
      <w:r>
        <w:t>All SPARKe innovations are essential to achieving the program objectives described in Section 2.</w:t>
      </w:r>
    </w:p>
    <w:p w14:paraId="06DC468B" w14:textId="0B9286CD" w:rsidR="007F61AB" w:rsidRDefault="001F102F" w:rsidP="00EF5AF0">
      <w:pPr>
        <w:pStyle w:val="Heading3"/>
        <w:rPr>
          <w:w w:val="0"/>
        </w:rPr>
      </w:pPr>
      <w:r>
        <w:rPr>
          <w:w w:val="0"/>
        </w:rPr>
        <w:lastRenderedPageBreak/>
        <w:t>Technology Innovations</w:t>
      </w:r>
    </w:p>
    <w:p w14:paraId="454B405A" w14:textId="217950D9" w:rsidR="00FF5B9D" w:rsidRDefault="00FF5B9D" w:rsidP="00FF5B9D">
      <w:pPr>
        <w:pStyle w:val="Caption"/>
        <w:jc w:val="left"/>
      </w:pPr>
      <w:r>
        <w:t xml:space="preserve">Table </w:t>
      </w:r>
      <w:r w:rsidR="00B70853">
        <w:fldChar w:fldCharType="begin"/>
      </w:r>
      <w:r w:rsidR="00B70853">
        <w:instrText xml:space="preserve"> SEQ Table \* ARABIC </w:instrText>
      </w:r>
      <w:r w:rsidR="00B70853">
        <w:fldChar w:fldCharType="separate"/>
      </w:r>
      <w:r w:rsidR="00A6197B">
        <w:rPr>
          <w:noProof/>
        </w:rPr>
        <w:t>11</w:t>
      </w:r>
      <w:r w:rsidR="00B70853">
        <w:rPr>
          <w:noProof/>
        </w:rPr>
        <w:fldChar w:fldCharType="end"/>
      </w:r>
      <w:r>
        <w:t xml:space="preserve">: </w:t>
      </w:r>
      <w:r w:rsidR="00B4051A">
        <w:t>Technology Innovations</w:t>
      </w:r>
    </w:p>
    <w:tbl>
      <w:tblPr>
        <w:tblW w:w="9355" w:type="dxa"/>
        <w:tblInd w:w="-116"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000" w:firstRow="0" w:lastRow="0" w:firstColumn="0" w:lastColumn="0" w:noHBand="0" w:noVBand="0"/>
      </w:tblPr>
      <w:tblGrid>
        <w:gridCol w:w="4677"/>
        <w:gridCol w:w="4678"/>
      </w:tblGrid>
      <w:tr w:rsidR="00CF53FB" w14:paraId="2B163215" w14:textId="77777777" w:rsidTr="003775E7">
        <w:tc>
          <w:tcPr>
            <w:tcW w:w="4677" w:type="dxa"/>
            <w:tcBorders>
              <w:top w:val="single" w:sz="4" w:space="0" w:color="4F81BD"/>
              <w:left w:val="single" w:sz="4" w:space="0" w:color="4F81BD"/>
              <w:bottom w:val="single" w:sz="4" w:space="0" w:color="4F81BD"/>
              <w:right w:val="nil"/>
            </w:tcBorders>
            <w:shd w:val="clear" w:color="auto" w:fill="2F5496" w:themeFill="accent1" w:themeFillShade="BF"/>
            <w:tcMar>
              <w:top w:w="0" w:type="dxa"/>
              <w:left w:w="108" w:type="dxa"/>
              <w:bottom w:w="0" w:type="dxa"/>
              <w:right w:w="108" w:type="dxa"/>
            </w:tcMar>
          </w:tcPr>
          <w:p w14:paraId="4B8AF78C" w14:textId="77777777" w:rsidR="007F61AB" w:rsidRDefault="007F61AB">
            <w:pPr>
              <w:spacing w:before="120"/>
              <w:rPr>
                <w:b/>
                <w:color w:val="FFFFFF"/>
                <w:w w:val="0"/>
              </w:rPr>
            </w:pPr>
            <w:r>
              <w:rPr>
                <w:b/>
                <w:color w:val="FFFFFF"/>
                <w:w w:val="0"/>
              </w:rPr>
              <w:t>Description</w:t>
            </w:r>
          </w:p>
        </w:tc>
        <w:tc>
          <w:tcPr>
            <w:tcW w:w="4678" w:type="dxa"/>
            <w:tcBorders>
              <w:top w:val="single" w:sz="4" w:space="0" w:color="4F81BD"/>
              <w:left w:val="nil"/>
              <w:bottom w:val="single" w:sz="4" w:space="0" w:color="4F81BD"/>
              <w:right w:val="single" w:sz="4" w:space="0" w:color="4F81BD"/>
            </w:tcBorders>
            <w:shd w:val="clear" w:color="auto" w:fill="2F5496" w:themeFill="accent1" w:themeFillShade="BF"/>
            <w:tcMar>
              <w:top w:w="0" w:type="dxa"/>
              <w:left w:w="108" w:type="dxa"/>
              <w:bottom w:w="0" w:type="dxa"/>
              <w:right w:w="108" w:type="dxa"/>
            </w:tcMar>
          </w:tcPr>
          <w:p w14:paraId="2D47806A" w14:textId="77777777" w:rsidR="007F61AB" w:rsidRDefault="007F61AB">
            <w:pPr>
              <w:spacing w:before="120"/>
              <w:rPr>
                <w:b/>
                <w:color w:val="FFFFFF"/>
                <w:w w:val="0"/>
              </w:rPr>
            </w:pPr>
            <w:r>
              <w:rPr>
                <w:b/>
                <w:color w:val="FFFFFF"/>
                <w:w w:val="0"/>
              </w:rPr>
              <w:t>Expected Impact on Savings and/or Participation</w:t>
            </w:r>
          </w:p>
        </w:tc>
      </w:tr>
      <w:tr w:rsidR="00F6295E" w14:paraId="32460590" w14:textId="77777777">
        <w:tc>
          <w:tcPr>
            <w:tcW w:w="4677" w:type="dxa"/>
            <w:shd w:val="clear" w:color="auto" w:fill="DBE5F1"/>
            <w:tcMar>
              <w:top w:w="0" w:type="dxa"/>
              <w:left w:w="108" w:type="dxa"/>
              <w:bottom w:w="0" w:type="dxa"/>
              <w:right w:w="108" w:type="dxa"/>
            </w:tcMar>
          </w:tcPr>
          <w:p w14:paraId="0D8C25BA" w14:textId="77777777" w:rsidR="007F61AB" w:rsidRDefault="007F61AB">
            <w:pPr>
              <w:spacing w:before="120"/>
              <w:rPr>
                <w:w w:val="0"/>
              </w:rPr>
            </w:pPr>
            <w:r>
              <w:rPr>
                <w:b/>
                <w:w w:val="0"/>
              </w:rPr>
              <w:t xml:space="preserve">Energy Sensei’s Claims </w:t>
            </w:r>
            <w:r>
              <w:rPr>
                <w:w w:val="0"/>
              </w:rPr>
              <w:t xml:space="preserve">feature helps standardize savings calculations and aggregate multi-year portfolios to improve efficiency among all parties. It reduces errors and provides a traceable pathway to verify both top-down and bottom-up savings. Claims aligns with standard SEM M&amp;V protocols. </w:t>
            </w:r>
          </w:p>
        </w:tc>
        <w:tc>
          <w:tcPr>
            <w:tcW w:w="4678" w:type="dxa"/>
            <w:shd w:val="clear" w:color="auto" w:fill="DBE5F1"/>
            <w:tcMar>
              <w:top w:w="0" w:type="dxa"/>
              <w:left w:w="108" w:type="dxa"/>
              <w:bottom w:w="0" w:type="dxa"/>
              <w:right w:w="108" w:type="dxa"/>
            </w:tcMar>
          </w:tcPr>
          <w:p w14:paraId="548FF8BB" w14:textId="692A149B" w:rsidR="007F61AB" w:rsidRDefault="007F61AB">
            <w:pPr>
              <w:spacing w:before="120"/>
              <w:rPr>
                <w:w w:val="0"/>
              </w:rPr>
            </w:pPr>
            <w:r>
              <w:rPr>
                <w:w w:val="0"/>
              </w:rPr>
              <w:t xml:space="preserve">Claims has the capacity to reduce SEM delivery team reporting time significantly. </w:t>
            </w:r>
            <w:r w:rsidR="00F9440F">
              <w:rPr>
                <w:w w:val="0"/>
              </w:rPr>
              <w:t>Cascade</w:t>
            </w:r>
            <w:r>
              <w:rPr>
                <w:w w:val="0"/>
              </w:rPr>
              <w:t xml:space="preserve"> will seek opportunities for efficiency between Sensei’s Claims feature and </w:t>
            </w:r>
            <w:r w:rsidR="007D0D99">
              <w:rPr>
                <w:w w:val="0"/>
              </w:rPr>
              <w:t>SCE</w:t>
            </w:r>
            <w:r w:rsidR="00F9440F">
              <w:rPr>
                <w:w w:val="0"/>
              </w:rPr>
              <w:t>’s system of record.</w:t>
            </w:r>
          </w:p>
        </w:tc>
      </w:tr>
      <w:tr w:rsidR="007F61AB" w14:paraId="5A2967C6" w14:textId="77777777">
        <w:tc>
          <w:tcPr>
            <w:tcW w:w="4677" w:type="dxa"/>
            <w:tcMar>
              <w:top w:w="0" w:type="dxa"/>
              <w:left w:w="108" w:type="dxa"/>
              <w:bottom w:w="0" w:type="dxa"/>
              <w:right w:w="108" w:type="dxa"/>
            </w:tcMar>
          </w:tcPr>
          <w:p w14:paraId="435020CE" w14:textId="3EB75421" w:rsidR="007F61AB" w:rsidRDefault="007F61AB">
            <w:pPr>
              <w:spacing w:before="120"/>
              <w:rPr>
                <w:w w:val="0"/>
              </w:rPr>
            </w:pPr>
            <w:r>
              <w:rPr>
                <w:b/>
                <w:w w:val="0"/>
              </w:rPr>
              <w:t xml:space="preserve">Recruitment Insights </w:t>
            </w:r>
            <w:r>
              <w:rPr>
                <w:w w:val="0"/>
              </w:rPr>
              <w:t xml:space="preserve">is a tool that provides additional insight into Customer energy use patterns, facilitating Customer targeting and customized recommendations. </w:t>
            </w:r>
            <w:r w:rsidR="004C100A">
              <w:rPr>
                <w:w w:val="0"/>
              </w:rPr>
              <w:t>Datasets will be connected</w:t>
            </w:r>
            <w:r>
              <w:rPr>
                <w:w w:val="0"/>
              </w:rPr>
              <w:t xml:space="preserve"> in an interactive dashboard, improving targeting from the start and ensuring the first Customer contact includes insight specific to their savings opportunities.</w:t>
            </w:r>
          </w:p>
        </w:tc>
        <w:tc>
          <w:tcPr>
            <w:tcW w:w="4678" w:type="dxa"/>
            <w:tcMar>
              <w:top w:w="0" w:type="dxa"/>
              <w:left w:w="108" w:type="dxa"/>
              <w:bottom w:w="0" w:type="dxa"/>
              <w:right w:w="108" w:type="dxa"/>
            </w:tcMar>
          </w:tcPr>
          <w:p w14:paraId="74076137" w14:textId="6689285A" w:rsidR="007F61AB" w:rsidRDefault="007F61AB">
            <w:pPr>
              <w:spacing w:before="120"/>
              <w:rPr>
                <w:w w:val="0"/>
              </w:rPr>
            </w:pPr>
            <w:r>
              <w:rPr>
                <w:w w:val="0"/>
              </w:rPr>
              <w:t xml:space="preserve">Recruitment Insights will enable better </w:t>
            </w:r>
            <w:r w:rsidR="00C314DB">
              <w:rPr>
                <w:w w:val="0"/>
              </w:rPr>
              <w:t>c</w:t>
            </w:r>
            <w:r>
              <w:rPr>
                <w:w w:val="0"/>
              </w:rPr>
              <w:t xml:space="preserve">ustomer targeting and engagement. Through energy use analysis, it will also help identify potential project opportunities and be a persuasive recruitment tool for Customers who believe there are no remaining cost-effective energy savings opportunities at their Sites. </w:t>
            </w:r>
          </w:p>
        </w:tc>
      </w:tr>
    </w:tbl>
    <w:p w14:paraId="017F0D3F" w14:textId="00903563" w:rsidR="007F61AB" w:rsidRDefault="001F102F" w:rsidP="00EF5AF0">
      <w:pPr>
        <w:pStyle w:val="Heading3"/>
        <w:rPr>
          <w:w w:val="0"/>
        </w:rPr>
      </w:pPr>
      <w:r>
        <w:rPr>
          <w:w w:val="0"/>
        </w:rPr>
        <w:t>Marketing Strategy Innovations</w:t>
      </w:r>
    </w:p>
    <w:p w14:paraId="7BBAFEAE" w14:textId="08847481" w:rsidR="007147C3" w:rsidRDefault="007147C3" w:rsidP="007147C3">
      <w:pPr>
        <w:pStyle w:val="Caption"/>
        <w:jc w:val="left"/>
      </w:pPr>
      <w:r>
        <w:t xml:space="preserve">Table </w:t>
      </w:r>
      <w:r w:rsidR="00B70853">
        <w:fldChar w:fldCharType="begin"/>
      </w:r>
      <w:r w:rsidR="00B70853">
        <w:instrText xml:space="preserve"> SEQ Table \* ARABIC </w:instrText>
      </w:r>
      <w:r w:rsidR="00B70853">
        <w:fldChar w:fldCharType="separate"/>
      </w:r>
      <w:r w:rsidR="00A6197B">
        <w:rPr>
          <w:noProof/>
        </w:rPr>
        <w:t>12</w:t>
      </w:r>
      <w:r w:rsidR="00B70853">
        <w:rPr>
          <w:noProof/>
        </w:rPr>
        <w:fldChar w:fldCharType="end"/>
      </w:r>
      <w:r>
        <w:t>: Marketing Innovations</w:t>
      </w:r>
    </w:p>
    <w:tbl>
      <w:tblPr>
        <w:tblW w:w="9355" w:type="dxa"/>
        <w:tblInd w:w="-116"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000" w:firstRow="0" w:lastRow="0" w:firstColumn="0" w:lastColumn="0" w:noHBand="0" w:noVBand="0"/>
      </w:tblPr>
      <w:tblGrid>
        <w:gridCol w:w="4677"/>
        <w:gridCol w:w="4678"/>
      </w:tblGrid>
      <w:tr w:rsidR="00CF53FB" w14:paraId="1D67F000" w14:textId="77777777" w:rsidTr="7C4626B4">
        <w:tc>
          <w:tcPr>
            <w:tcW w:w="4677" w:type="dxa"/>
            <w:tcBorders>
              <w:top w:val="single" w:sz="4" w:space="0" w:color="4F81BD"/>
              <w:left w:val="single" w:sz="4" w:space="0" w:color="4F81BD"/>
              <w:bottom w:val="single" w:sz="4" w:space="0" w:color="4F81BD"/>
              <w:right w:val="nil"/>
            </w:tcBorders>
            <w:shd w:val="clear" w:color="auto" w:fill="2F5496" w:themeFill="accent1" w:themeFillShade="BF"/>
            <w:tcMar>
              <w:top w:w="0" w:type="dxa"/>
              <w:left w:w="108" w:type="dxa"/>
              <w:bottom w:w="0" w:type="dxa"/>
              <w:right w:w="108" w:type="dxa"/>
            </w:tcMar>
          </w:tcPr>
          <w:p w14:paraId="022BD619" w14:textId="77777777" w:rsidR="007F61AB" w:rsidRDefault="007F61AB">
            <w:pPr>
              <w:spacing w:before="120"/>
              <w:rPr>
                <w:b/>
                <w:color w:val="FFFFFF"/>
                <w:w w:val="0"/>
              </w:rPr>
            </w:pPr>
            <w:r>
              <w:rPr>
                <w:b/>
                <w:color w:val="FFFFFF"/>
                <w:w w:val="0"/>
              </w:rPr>
              <w:t>Description</w:t>
            </w:r>
          </w:p>
        </w:tc>
        <w:tc>
          <w:tcPr>
            <w:tcW w:w="4678" w:type="dxa"/>
            <w:tcBorders>
              <w:top w:val="single" w:sz="4" w:space="0" w:color="4F81BD"/>
              <w:left w:val="nil"/>
              <w:bottom w:val="single" w:sz="4" w:space="0" w:color="4F81BD"/>
              <w:right w:val="single" w:sz="4" w:space="0" w:color="4F81BD"/>
            </w:tcBorders>
            <w:shd w:val="clear" w:color="auto" w:fill="2F5496" w:themeFill="accent1" w:themeFillShade="BF"/>
            <w:tcMar>
              <w:top w:w="0" w:type="dxa"/>
              <w:left w:w="108" w:type="dxa"/>
              <w:bottom w:w="0" w:type="dxa"/>
              <w:right w:w="108" w:type="dxa"/>
            </w:tcMar>
          </w:tcPr>
          <w:p w14:paraId="66C13700" w14:textId="77777777" w:rsidR="007F61AB" w:rsidRDefault="007F61AB">
            <w:pPr>
              <w:spacing w:before="120"/>
              <w:rPr>
                <w:b/>
                <w:color w:val="FFFFFF"/>
                <w:w w:val="0"/>
              </w:rPr>
            </w:pPr>
            <w:r>
              <w:rPr>
                <w:b/>
                <w:color w:val="FFFFFF"/>
                <w:w w:val="0"/>
              </w:rPr>
              <w:t>Expected Impact on Savings and/or Participation</w:t>
            </w:r>
          </w:p>
        </w:tc>
      </w:tr>
      <w:tr w:rsidR="00F6295E" w14:paraId="6CF325D0" w14:textId="77777777" w:rsidTr="7C4626B4">
        <w:tc>
          <w:tcPr>
            <w:tcW w:w="4677" w:type="dxa"/>
            <w:shd w:val="clear" w:color="auto" w:fill="DBE5F1"/>
            <w:tcMar>
              <w:top w:w="0" w:type="dxa"/>
              <w:left w:w="108" w:type="dxa"/>
              <w:bottom w:w="0" w:type="dxa"/>
              <w:right w:w="108" w:type="dxa"/>
            </w:tcMar>
          </w:tcPr>
          <w:p w14:paraId="376EF7EF" w14:textId="282FA0A2" w:rsidR="007F61AB" w:rsidRDefault="007F61AB">
            <w:pPr>
              <w:spacing w:before="120"/>
            </w:pPr>
            <w:r>
              <w:rPr>
                <w:b/>
                <w:w w:val="0"/>
              </w:rPr>
              <w:t>Target Customers</w:t>
            </w:r>
            <w:r>
              <w:rPr>
                <w:w w:val="0"/>
              </w:rPr>
              <w:t xml:space="preserve"> with the best potential to save energy during on-peak times (</w:t>
            </w:r>
            <w:r w:rsidRPr="007C77A4">
              <w:t xml:space="preserve">e.g., </w:t>
            </w:r>
            <w:r w:rsidR="00CD1CBE">
              <w:t>hotels and hospitals that are open fr</w:t>
            </w:r>
            <w:r w:rsidR="772311FA">
              <w:t>o</w:t>
            </w:r>
            <w:r w:rsidR="00CD1CBE">
              <w:t>m 4pm to 9pm</w:t>
            </w:r>
            <w:r>
              <w:rPr>
                <w:w w:val="0"/>
              </w:rPr>
              <w:t>).</w:t>
            </w:r>
          </w:p>
        </w:tc>
        <w:tc>
          <w:tcPr>
            <w:tcW w:w="4678" w:type="dxa"/>
            <w:shd w:val="clear" w:color="auto" w:fill="DBE5F1"/>
            <w:tcMar>
              <w:top w:w="0" w:type="dxa"/>
              <w:left w:w="108" w:type="dxa"/>
              <w:bottom w:w="0" w:type="dxa"/>
              <w:right w:w="108" w:type="dxa"/>
            </w:tcMar>
          </w:tcPr>
          <w:p w14:paraId="372A4DB0" w14:textId="77777777" w:rsidR="007F61AB" w:rsidRDefault="007F61AB">
            <w:pPr>
              <w:spacing w:before="120"/>
              <w:rPr>
                <w:w w:val="0"/>
              </w:rPr>
            </w:pPr>
            <w:r>
              <w:rPr>
                <w:w w:val="0"/>
              </w:rPr>
              <w:t>High-potential Customers will achieve more savings during peak periods, resulting in higher TSB savings.</w:t>
            </w:r>
          </w:p>
        </w:tc>
      </w:tr>
      <w:tr w:rsidR="007F61AB" w14:paraId="6A0E5E47" w14:textId="77777777" w:rsidTr="7C4626B4">
        <w:tc>
          <w:tcPr>
            <w:tcW w:w="4677" w:type="dxa"/>
            <w:tcMar>
              <w:top w:w="0" w:type="dxa"/>
              <w:left w:w="108" w:type="dxa"/>
              <w:bottom w:w="0" w:type="dxa"/>
              <w:right w:w="108" w:type="dxa"/>
            </w:tcMar>
          </w:tcPr>
          <w:p w14:paraId="46FE8457" w14:textId="0F1A1F26" w:rsidR="007F61AB" w:rsidRDefault="007F61AB">
            <w:pPr>
              <w:spacing w:before="120"/>
              <w:rPr>
                <w:w w:val="0"/>
              </w:rPr>
            </w:pPr>
            <w:r>
              <w:rPr>
                <w:b/>
                <w:w w:val="0"/>
              </w:rPr>
              <w:t xml:space="preserve">Target Customers </w:t>
            </w:r>
            <w:r>
              <w:rPr>
                <w:w w:val="0"/>
              </w:rPr>
              <w:t xml:space="preserve">with the highest propensity to deliver savings quickly (for example, </w:t>
            </w:r>
            <w:r w:rsidR="008135BA">
              <w:rPr>
                <w:w w:val="0"/>
              </w:rPr>
              <w:t>c</w:t>
            </w:r>
            <w:r>
              <w:rPr>
                <w:w w:val="0"/>
              </w:rPr>
              <w:t>ustomers with public sustainability commitments).</w:t>
            </w:r>
          </w:p>
        </w:tc>
        <w:tc>
          <w:tcPr>
            <w:tcW w:w="4678" w:type="dxa"/>
            <w:tcMar>
              <w:top w:w="0" w:type="dxa"/>
              <w:left w:w="108" w:type="dxa"/>
              <w:bottom w:w="0" w:type="dxa"/>
              <w:right w:w="108" w:type="dxa"/>
            </w:tcMar>
          </w:tcPr>
          <w:p w14:paraId="2D27C71D" w14:textId="77777777" w:rsidR="007F61AB" w:rsidRDefault="007F61AB">
            <w:pPr>
              <w:spacing w:before="120"/>
              <w:rPr>
                <w:w w:val="0"/>
              </w:rPr>
            </w:pPr>
            <w:r>
              <w:rPr>
                <w:w w:val="0"/>
              </w:rPr>
              <w:t>These Customers can typically act quickly and deliver more savings earlier in the cohort cycle.</w:t>
            </w:r>
          </w:p>
        </w:tc>
      </w:tr>
    </w:tbl>
    <w:p w14:paraId="4443B338" w14:textId="27EB5B3E" w:rsidR="007F61AB" w:rsidRDefault="001F102F" w:rsidP="00EF5AF0">
      <w:pPr>
        <w:pStyle w:val="Heading3"/>
        <w:rPr>
          <w:w w:val="0"/>
        </w:rPr>
      </w:pPr>
      <w:r>
        <w:rPr>
          <w:w w:val="0"/>
        </w:rPr>
        <w:lastRenderedPageBreak/>
        <w:t>Delivery Approach Innovations</w:t>
      </w:r>
    </w:p>
    <w:p w14:paraId="129C54AC" w14:textId="2691E0CD" w:rsidR="007147C3" w:rsidRDefault="007147C3" w:rsidP="007147C3">
      <w:pPr>
        <w:pStyle w:val="Caption"/>
        <w:jc w:val="left"/>
      </w:pPr>
      <w:r>
        <w:t xml:space="preserve">Table </w:t>
      </w:r>
      <w:r w:rsidR="00B70853">
        <w:fldChar w:fldCharType="begin"/>
      </w:r>
      <w:r w:rsidR="00B70853">
        <w:instrText xml:space="preserve"> SEQ Table \* ARABIC </w:instrText>
      </w:r>
      <w:r w:rsidR="00B70853">
        <w:fldChar w:fldCharType="separate"/>
      </w:r>
      <w:r w:rsidR="00A6197B">
        <w:rPr>
          <w:noProof/>
        </w:rPr>
        <w:t>13</w:t>
      </w:r>
      <w:r w:rsidR="00B70853">
        <w:rPr>
          <w:noProof/>
        </w:rPr>
        <w:fldChar w:fldCharType="end"/>
      </w:r>
      <w:r>
        <w:t>: Delivery Approach Innovations</w:t>
      </w:r>
    </w:p>
    <w:tbl>
      <w:tblPr>
        <w:tblW w:w="9355" w:type="dxa"/>
        <w:tblInd w:w="-116"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000" w:firstRow="0" w:lastRow="0" w:firstColumn="0" w:lastColumn="0" w:noHBand="0" w:noVBand="0"/>
      </w:tblPr>
      <w:tblGrid>
        <w:gridCol w:w="4675"/>
        <w:gridCol w:w="4680"/>
      </w:tblGrid>
      <w:tr w:rsidR="00CF53FB" w14:paraId="27DD2804" w14:textId="77777777" w:rsidTr="004A14DF">
        <w:tc>
          <w:tcPr>
            <w:tcW w:w="4675" w:type="dxa"/>
            <w:tcBorders>
              <w:top w:val="single" w:sz="4" w:space="0" w:color="4F81BD"/>
              <w:left w:val="single" w:sz="4" w:space="0" w:color="4F81BD"/>
              <w:bottom w:val="single" w:sz="4" w:space="0" w:color="4F81BD"/>
              <w:right w:val="nil"/>
            </w:tcBorders>
            <w:shd w:val="clear" w:color="auto" w:fill="2F5496" w:themeFill="accent1" w:themeFillShade="BF"/>
            <w:tcMar>
              <w:top w:w="0" w:type="dxa"/>
              <w:left w:w="108" w:type="dxa"/>
              <w:bottom w:w="0" w:type="dxa"/>
              <w:right w:w="108" w:type="dxa"/>
            </w:tcMar>
          </w:tcPr>
          <w:p w14:paraId="743F349F" w14:textId="77777777" w:rsidR="007F61AB" w:rsidRDefault="007F61AB">
            <w:pPr>
              <w:spacing w:before="120"/>
              <w:rPr>
                <w:b/>
                <w:color w:val="FFFFFF"/>
                <w:w w:val="0"/>
              </w:rPr>
            </w:pPr>
            <w:r>
              <w:rPr>
                <w:b/>
                <w:color w:val="FFFFFF"/>
                <w:w w:val="0"/>
              </w:rPr>
              <w:t>Description</w:t>
            </w:r>
          </w:p>
        </w:tc>
        <w:tc>
          <w:tcPr>
            <w:tcW w:w="4680" w:type="dxa"/>
            <w:tcBorders>
              <w:top w:val="single" w:sz="4" w:space="0" w:color="4F81BD"/>
              <w:left w:val="nil"/>
              <w:bottom w:val="single" w:sz="4" w:space="0" w:color="4F81BD"/>
              <w:right w:val="single" w:sz="4" w:space="0" w:color="4F81BD"/>
            </w:tcBorders>
            <w:shd w:val="clear" w:color="auto" w:fill="2F5496" w:themeFill="accent1" w:themeFillShade="BF"/>
            <w:tcMar>
              <w:top w:w="0" w:type="dxa"/>
              <w:left w:w="108" w:type="dxa"/>
              <w:bottom w:w="0" w:type="dxa"/>
              <w:right w:w="108" w:type="dxa"/>
            </w:tcMar>
          </w:tcPr>
          <w:p w14:paraId="37D2AA54" w14:textId="77777777" w:rsidR="007F61AB" w:rsidRDefault="007F61AB">
            <w:pPr>
              <w:spacing w:before="120"/>
              <w:rPr>
                <w:b/>
                <w:color w:val="FFFFFF"/>
                <w:w w:val="0"/>
              </w:rPr>
            </w:pPr>
            <w:r>
              <w:rPr>
                <w:b/>
                <w:color w:val="FFFFFF"/>
                <w:w w:val="0"/>
              </w:rPr>
              <w:t>Expected Impact on Savings and/or Participation</w:t>
            </w:r>
          </w:p>
        </w:tc>
      </w:tr>
      <w:tr w:rsidR="00F6295E" w14:paraId="6AB41365" w14:textId="77777777">
        <w:tc>
          <w:tcPr>
            <w:tcW w:w="4675" w:type="dxa"/>
            <w:shd w:val="clear" w:color="auto" w:fill="DBE5F1"/>
            <w:tcMar>
              <w:top w:w="0" w:type="dxa"/>
              <w:left w:w="108" w:type="dxa"/>
              <w:bottom w:w="0" w:type="dxa"/>
              <w:right w:w="108" w:type="dxa"/>
            </w:tcMar>
          </w:tcPr>
          <w:p w14:paraId="6A54F093" w14:textId="77777777" w:rsidR="007F61AB" w:rsidRDefault="007F61AB">
            <w:pPr>
              <w:spacing w:before="120"/>
              <w:rPr>
                <w:w w:val="0"/>
              </w:rPr>
            </w:pPr>
            <w:r>
              <w:rPr>
                <w:b/>
                <w:w w:val="0"/>
              </w:rPr>
              <w:t>Include capital projects</w:t>
            </w:r>
            <w:r>
              <w:rPr>
                <w:w w:val="0"/>
              </w:rPr>
              <w:t xml:space="preserve"> in SEM and offer higher incentives and support to encourage their implementation.</w:t>
            </w:r>
          </w:p>
        </w:tc>
        <w:tc>
          <w:tcPr>
            <w:tcW w:w="4680" w:type="dxa"/>
            <w:shd w:val="clear" w:color="auto" w:fill="DBE5F1"/>
            <w:tcMar>
              <w:top w:w="0" w:type="dxa"/>
              <w:left w:w="108" w:type="dxa"/>
              <w:bottom w:w="0" w:type="dxa"/>
              <w:right w:w="108" w:type="dxa"/>
            </w:tcMar>
          </w:tcPr>
          <w:p w14:paraId="579E3069" w14:textId="06342612" w:rsidR="007F61AB" w:rsidRDefault="007F61AB">
            <w:pPr>
              <w:spacing w:before="120"/>
              <w:rPr>
                <w:w w:val="0"/>
              </w:rPr>
            </w:pPr>
            <w:r>
              <w:rPr>
                <w:w w:val="0"/>
              </w:rPr>
              <w:t xml:space="preserve">Applying </w:t>
            </w:r>
            <w:r w:rsidR="00F87700">
              <w:rPr>
                <w:w w:val="0"/>
              </w:rPr>
              <w:t>a</w:t>
            </w:r>
            <w:r>
              <w:rPr>
                <w:w w:val="0"/>
              </w:rPr>
              <w:t xml:space="preserve"> </w:t>
            </w:r>
            <w:r w:rsidR="00434F22">
              <w:rPr>
                <w:w w:val="0"/>
              </w:rPr>
              <w:t>net-to-gross (</w:t>
            </w:r>
            <w:r>
              <w:rPr>
                <w:w w:val="0"/>
              </w:rPr>
              <w:t>NTG</w:t>
            </w:r>
            <w:r w:rsidR="00434F22">
              <w:rPr>
                <w:w w:val="0"/>
              </w:rPr>
              <w:t>)</w:t>
            </w:r>
            <w:r>
              <w:rPr>
                <w:w w:val="0"/>
              </w:rPr>
              <w:t xml:space="preserve"> of 1 and better existing conditions to capital projects implemented within SEM will deliver more net savings for </w:t>
            </w:r>
            <w:r w:rsidR="007D0D99">
              <w:rPr>
                <w:w w:val="0"/>
              </w:rPr>
              <w:t>SCE</w:t>
            </w:r>
            <w:r>
              <w:rPr>
                <w:w w:val="0"/>
              </w:rPr>
              <w:t xml:space="preserve">. A faster approval timeline and higher incentives will also increase </w:t>
            </w:r>
            <w:r w:rsidR="002434FB">
              <w:rPr>
                <w:w w:val="0"/>
              </w:rPr>
              <w:t>c</w:t>
            </w:r>
            <w:r>
              <w:rPr>
                <w:w w:val="0"/>
              </w:rPr>
              <w:t>ustomer motivation and satisfaction.</w:t>
            </w:r>
          </w:p>
        </w:tc>
      </w:tr>
      <w:tr w:rsidR="007F61AB" w14:paraId="1D6E4DD2" w14:textId="77777777">
        <w:tc>
          <w:tcPr>
            <w:tcW w:w="4675" w:type="dxa"/>
            <w:tcMar>
              <w:top w:w="0" w:type="dxa"/>
              <w:left w:w="108" w:type="dxa"/>
              <w:bottom w:w="0" w:type="dxa"/>
              <w:right w:w="108" w:type="dxa"/>
            </w:tcMar>
          </w:tcPr>
          <w:p w14:paraId="1958EF12" w14:textId="77777777" w:rsidR="007F61AB" w:rsidRDefault="007F61AB">
            <w:pPr>
              <w:spacing w:before="120"/>
              <w:rPr>
                <w:w w:val="0"/>
              </w:rPr>
            </w:pPr>
            <w:r>
              <w:rPr>
                <w:w w:val="0"/>
              </w:rPr>
              <w:t xml:space="preserve">Offer a cost-effective SEM path to </w:t>
            </w:r>
            <w:r>
              <w:rPr>
                <w:b/>
                <w:w w:val="0"/>
              </w:rPr>
              <w:t>serve Mid-Large sized Customers</w:t>
            </w:r>
            <w:r>
              <w:rPr>
                <w:w w:val="0"/>
              </w:rPr>
              <w:t>.</w:t>
            </w:r>
          </w:p>
        </w:tc>
        <w:tc>
          <w:tcPr>
            <w:tcW w:w="4680" w:type="dxa"/>
            <w:tcMar>
              <w:top w:w="0" w:type="dxa"/>
              <w:left w:w="108" w:type="dxa"/>
              <w:bottom w:w="0" w:type="dxa"/>
              <w:right w:w="108" w:type="dxa"/>
            </w:tcMar>
          </w:tcPr>
          <w:p w14:paraId="03D8562A" w14:textId="2FBC0903" w:rsidR="007F61AB" w:rsidRDefault="007F61AB">
            <w:pPr>
              <w:spacing w:before="120"/>
              <w:rPr>
                <w:w w:val="0"/>
              </w:rPr>
            </w:pPr>
            <w:r>
              <w:rPr>
                <w:w w:val="0"/>
              </w:rPr>
              <w:t xml:space="preserve">Tailoring the California SEM Design Guide and California SEM M&amp;V Guide requirements to match the available savings at slightly smaller Customer Sites will allow </w:t>
            </w:r>
            <w:r w:rsidR="008C50E2">
              <w:rPr>
                <w:w w:val="0"/>
              </w:rPr>
              <w:t>SPARKe</w:t>
            </w:r>
            <w:r>
              <w:rPr>
                <w:w w:val="0"/>
              </w:rPr>
              <w:t xml:space="preserve"> to cost-effectively deliver more savings while increasing participation within an underserved Customer segment.</w:t>
            </w:r>
          </w:p>
        </w:tc>
      </w:tr>
      <w:tr w:rsidR="00F6295E" w14:paraId="57B2B980" w14:textId="77777777">
        <w:tc>
          <w:tcPr>
            <w:tcW w:w="4675" w:type="dxa"/>
            <w:shd w:val="clear" w:color="auto" w:fill="DBE5F1"/>
            <w:tcMar>
              <w:top w:w="0" w:type="dxa"/>
              <w:left w:w="108" w:type="dxa"/>
              <w:bottom w:w="0" w:type="dxa"/>
              <w:right w:w="108" w:type="dxa"/>
            </w:tcMar>
          </w:tcPr>
          <w:p w14:paraId="2BAC2C7C" w14:textId="77777777" w:rsidR="007F61AB" w:rsidRDefault="007F61AB">
            <w:pPr>
              <w:spacing w:before="120"/>
              <w:rPr>
                <w:w w:val="0"/>
              </w:rPr>
            </w:pPr>
            <w:r>
              <w:rPr>
                <w:b/>
                <w:w w:val="0"/>
              </w:rPr>
              <w:t>Provide a shared EPM</w:t>
            </w:r>
            <w:r>
              <w:rPr>
                <w:w w:val="0"/>
              </w:rPr>
              <w:t xml:space="preserve"> to help Customers complete more projects identified through SEM.</w:t>
            </w:r>
          </w:p>
        </w:tc>
        <w:tc>
          <w:tcPr>
            <w:tcW w:w="4680" w:type="dxa"/>
            <w:shd w:val="clear" w:color="auto" w:fill="DBE5F1"/>
            <w:tcMar>
              <w:top w:w="0" w:type="dxa"/>
              <w:left w:w="108" w:type="dxa"/>
              <w:bottom w:w="0" w:type="dxa"/>
              <w:right w:w="108" w:type="dxa"/>
            </w:tcMar>
          </w:tcPr>
          <w:p w14:paraId="0733578F" w14:textId="77777777" w:rsidR="007F61AB" w:rsidRDefault="007F61AB">
            <w:pPr>
              <w:spacing w:before="120"/>
              <w:rPr>
                <w:w w:val="0"/>
              </w:rPr>
            </w:pPr>
            <w:r>
              <w:rPr>
                <w:w w:val="0"/>
              </w:rPr>
              <w:t>Providing a resource to help Customers implement projects will result in more completed projects and more equitable SEM delivery.</w:t>
            </w:r>
          </w:p>
        </w:tc>
      </w:tr>
      <w:tr w:rsidR="007F61AB" w14:paraId="1916D9F9" w14:textId="77777777">
        <w:tc>
          <w:tcPr>
            <w:tcW w:w="4675" w:type="dxa"/>
            <w:tcMar>
              <w:top w:w="0" w:type="dxa"/>
              <w:left w:w="108" w:type="dxa"/>
              <w:bottom w:w="0" w:type="dxa"/>
              <w:right w:w="108" w:type="dxa"/>
            </w:tcMar>
          </w:tcPr>
          <w:p w14:paraId="7E83584F" w14:textId="77777777" w:rsidR="007F61AB" w:rsidRDefault="007F61AB">
            <w:pPr>
              <w:spacing w:before="120"/>
              <w:rPr>
                <w:w w:val="0"/>
              </w:rPr>
            </w:pPr>
            <w:r>
              <w:rPr>
                <w:b/>
                <w:w w:val="0"/>
              </w:rPr>
              <w:t xml:space="preserve">Provide a finance coordinator </w:t>
            </w:r>
            <w:r>
              <w:rPr>
                <w:w w:val="0"/>
              </w:rPr>
              <w:t>to help make the business case for capital and electrification projects.</w:t>
            </w:r>
          </w:p>
        </w:tc>
        <w:tc>
          <w:tcPr>
            <w:tcW w:w="4680" w:type="dxa"/>
            <w:tcMar>
              <w:top w:w="0" w:type="dxa"/>
              <w:left w:w="108" w:type="dxa"/>
              <w:bottom w:w="0" w:type="dxa"/>
              <w:right w:w="108" w:type="dxa"/>
            </w:tcMar>
          </w:tcPr>
          <w:p w14:paraId="0FDFD5B9" w14:textId="77777777" w:rsidR="007F61AB" w:rsidRDefault="007F61AB">
            <w:pPr>
              <w:spacing w:before="120"/>
              <w:rPr>
                <w:w w:val="0"/>
              </w:rPr>
            </w:pPr>
            <w:r>
              <w:rPr>
                <w:w w:val="0"/>
              </w:rPr>
              <w:t>This supplemental support should lead to faster project approvals and more projects funded and implemented.</w:t>
            </w:r>
          </w:p>
        </w:tc>
      </w:tr>
      <w:tr w:rsidR="00F6295E" w14:paraId="7C705945" w14:textId="77777777">
        <w:tc>
          <w:tcPr>
            <w:tcW w:w="4675" w:type="dxa"/>
            <w:shd w:val="clear" w:color="auto" w:fill="DBE5F1"/>
            <w:tcMar>
              <w:top w:w="0" w:type="dxa"/>
              <w:left w:w="108" w:type="dxa"/>
              <w:bottom w:w="0" w:type="dxa"/>
              <w:right w:w="108" w:type="dxa"/>
            </w:tcMar>
          </w:tcPr>
          <w:p w14:paraId="1CB4EF0A" w14:textId="77777777" w:rsidR="007F61AB" w:rsidRDefault="007F61AB">
            <w:pPr>
              <w:spacing w:before="120"/>
              <w:rPr>
                <w:w w:val="0"/>
              </w:rPr>
            </w:pPr>
            <w:r>
              <w:rPr>
                <w:b/>
                <w:w w:val="0"/>
              </w:rPr>
              <w:t xml:space="preserve">Offer third-party financing </w:t>
            </w:r>
            <w:r>
              <w:rPr>
                <w:w w:val="0"/>
              </w:rPr>
              <w:t>to Customers.</w:t>
            </w:r>
          </w:p>
        </w:tc>
        <w:tc>
          <w:tcPr>
            <w:tcW w:w="4680" w:type="dxa"/>
            <w:shd w:val="clear" w:color="auto" w:fill="DBE5F1"/>
            <w:tcMar>
              <w:top w:w="0" w:type="dxa"/>
              <w:left w:w="108" w:type="dxa"/>
              <w:bottom w:w="0" w:type="dxa"/>
              <w:right w:w="108" w:type="dxa"/>
            </w:tcMar>
          </w:tcPr>
          <w:p w14:paraId="64431458" w14:textId="77777777" w:rsidR="007F61AB" w:rsidRDefault="007F61AB">
            <w:pPr>
              <w:spacing w:before="120"/>
              <w:rPr>
                <w:w w:val="0"/>
              </w:rPr>
            </w:pPr>
            <w:r>
              <w:rPr>
                <w:w w:val="0"/>
              </w:rPr>
              <w:t>Multiple financing options will help Customers move capital projects forward, resulting in more projects implemented.</w:t>
            </w:r>
          </w:p>
        </w:tc>
      </w:tr>
      <w:tr w:rsidR="007F61AB" w14:paraId="4F64479D" w14:textId="77777777">
        <w:tc>
          <w:tcPr>
            <w:tcW w:w="4675" w:type="dxa"/>
            <w:tcMar>
              <w:top w:w="0" w:type="dxa"/>
              <w:left w:w="108" w:type="dxa"/>
              <w:bottom w:w="0" w:type="dxa"/>
              <w:right w:w="108" w:type="dxa"/>
            </w:tcMar>
          </w:tcPr>
          <w:p w14:paraId="7D1D9C15" w14:textId="77777777" w:rsidR="007F61AB" w:rsidRDefault="007F61AB">
            <w:pPr>
              <w:spacing w:before="120"/>
              <w:rPr>
                <w:w w:val="0"/>
              </w:rPr>
            </w:pPr>
            <w:r>
              <w:rPr>
                <w:b/>
                <w:w w:val="0"/>
              </w:rPr>
              <w:t xml:space="preserve">Encourage electrification (fuel substitution) projects </w:t>
            </w:r>
            <w:r>
              <w:rPr>
                <w:w w:val="0"/>
              </w:rPr>
              <w:t>through attractive incentives and a role dedicated to identifying and implementing them.</w:t>
            </w:r>
          </w:p>
        </w:tc>
        <w:tc>
          <w:tcPr>
            <w:tcW w:w="4680" w:type="dxa"/>
            <w:tcMar>
              <w:top w:w="0" w:type="dxa"/>
              <w:left w:w="108" w:type="dxa"/>
              <w:bottom w:w="0" w:type="dxa"/>
              <w:right w:w="108" w:type="dxa"/>
            </w:tcMar>
          </w:tcPr>
          <w:p w14:paraId="73F9C0BF" w14:textId="4A53F047" w:rsidR="007F61AB" w:rsidRDefault="007F61AB">
            <w:pPr>
              <w:spacing w:before="120"/>
              <w:rPr>
                <w:w w:val="0"/>
              </w:rPr>
            </w:pPr>
            <w:r>
              <w:rPr>
                <w:w w:val="0"/>
              </w:rPr>
              <w:t xml:space="preserve">Including supplemental support for electrification projects will help both </w:t>
            </w:r>
            <w:r w:rsidR="00E503F0">
              <w:rPr>
                <w:w w:val="0"/>
              </w:rPr>
              <w:t xml:space="preserve">SCE </w:t>
            </w:r>
            <w:r>
              <w:rPr>
                <w:w w:val="0"/>
              </w:rPr>
              <w:t xml:space="preserve">and Customers meet their carbon reduction targets and lead to higher TSB savings for </w:t>
            </w:r>
            <w:r w:rsidR="00B97F80">
              <w:rPr>
                <w:w w:val="0"/>
              </w:rPr>
              <w:t>SPARKe</w:t>
            </w:r>
            <w:r>
              <w:rPr>
                <w:w w:val="0"/>
              </w:rPr>
              <w:t xml:space="preserve">. </w:t>
            </w:r>
          </w:p>
        </w:tc>
      </w:tr>
      <w:tr w:rsidR="00F6295E" w14:paraId="7A283A8D" w14:textId="77777777">
        <w:tc>
          <w:tcPr>
            <w:tcW w:w="4675" w:type="dxa"/>
            <w:shd w:val="clear" w:color="auto" w:fill="DBE5F1"/>
            <w:tcMar>
              <w:top w:w="0" w:type="dxa"/>
              <w:left w:w="108" w:type="dxa"/>
              <w:bottom w:w="0" w:type="dxa"/>
              <w:right w:w="108" w:type="dxa"/>
            </w:tcMar>
          </w:tcPr>
          <w:p w14:paraId="551C1EFC" w14:textId="7CB09C79" w:rsidR="007F61AB" w:rsidRDefault="007F61AB">
            <w:pPr>
              <w:spacing w:before="120"/>
              <w:rPr>
                <w:w w:val="0"/>
              </w:rPr>
            </w:pPr>
            <w:r>
              <w:rPr>
                <w:b/>
                <w:w w:val="0"/>
              </w:rPr>
              <w:t xml:space="preserve">Aggregate SEM Cycle 2 </w:t>
            </w:r>
            <w:r w:rsidR="00E503F0">
              <w:rPr>
                <w:b/>
                <w:w w:val="0"/>
              </w:rPr>
              <w:t xml:space="preserve">cohorts </w:t>
            </w:r>
            <w:r>
              <w:rPr>
                <w:w w:val="0"/>
              </w:rPr>
              <w:t>to optimize delivery costs and ensure a cost-effective Program.</w:t>
            </w:r>
          </w:p>
        </w:tc>
        <w:tc>
          <w:tcPr>
            <w:tcW w:w="4680" w:type="dxa"/>
            <w:shd w:val="clear" w:color="auto" w:fill="DBE5F1"/>
            <w:tcMar>
              <w:top w:w="0" w:type="dxa"/>
              <w:left w:w="108" w:type="dxa"/>
              <w:bottom w:w="0" w:type="dxa"/>
              <w:right w:w="108" w:type="dxa"/>
            </w:tcMar>
          </w:tcPr>
          <w:p w14:paraId="32DD984B" w14:textId="33ECB7BE" w:rsidR="007F61AB" w:rsidRDefault="007F61AB">
            <w:pPr>
              <w:spacing w:before="120"/>
              <w:rPr>
                <w:w w:val="0"/>
              </w:rPr>
            </w:pPr>
            <w:r>
              <w:rPr>
                <w:w w:val="0"/>
              </w:rPr>
              <w:t xml:space="preserve">It will be more cost-effective to deliver a full Cycle 2 cohort versus a partially full cohort. Since </w:t>
            </w:r>
            <w:r w:rsidR="005155D1">
              <w:rPr>
                <w:w w:val="0"/>
              </w:rPr>
              <w:t>Cascade</w:t>
            </w:r>
            <w:r>
              <w:rPr>
                <w:w w:val="0"/>
              </w:rPr>
              <w:t xml:space="preserve"> expects to launch new SEM cohorts regularly, long delays between Cycles 1 and 2 are not anticipated. </w:t>
            </w:r>
          </w:p>
        </w:tc>
      </w:tr>
    </w:tbl>
    <w:p w14:paraId="2BF8E7AB" w14:textId="77777777" w:rsidR="007F61AB" w:rsidRPr="007F61AB" w:rsidRDefault="007F61AB" w:rsidP="006E563B"/>
    <w:p w14:paraId="3F8465C0" w14:textId="77777777" w:rsidR="00125B3F" w:rsidRDefault="00F029A4" w:rsidP="009814B5">
      <w:pPr>
        <w:pStyle w:val="Heading2"/>
      </w:pPr>
      <w:bookmarkStart w:id="80" w:name="_Toc168663921"/>
      <w:bookmarkStart w:id="81" w:name="_Toc168663922"/>
      <w:bookmarkStart w:id="82" w:name="_Toc168663923"/>
      <w:bookmarkEnd w:id="80"/>
      <w:bookmarkEnd w:id="81"/>
      <w:r>
        <w:lastRenderedPageBreak/>
        <w:t>Metrics</w:t>
      </w:r>
      <w:bookmarkEnd w:id="82"/>
      <w:r w:rsidR="00125B3F" w:rsidRPr="00F029A4">
        <w:t xml:space="preserve"> </w:t>
      </w:r>
    </w:p>
    <w:p w14:paraId="1DD6B43F" w14:textId="092A6BA9" w:rsidR="00C45FAB" w:rsidRDefault="006B52C9" w:rsidP="006B52C9">
      <w:pPr>
        <w:pStyle w:val="BodyText"/>
        <w:ind w:left="0"/>
      </w:pPr>
      <w:r>
        <w:t xml:space="preserve">The </w:t>
      </w:r>
      <w:hyperlink r:id="rId20" w:history="1">
        <w:r w:rsidR="00D9095A" w:rsidRPr="008218FF">
          <w:rPr>
            <w:rStyle w:val="Hyperlink"/>
            <w:b w:val="0"/>
            <w:bCs/>
          </w:rPr>
          <w:t>California SEM Design Guide</w:t>
        </w:r>
      </w:hyperlink>
      <w:r w:rsidR="00D9095A">
        <w:t xml:space="preserve"> and </w:t>
      </w:r>
      <w:hyperlink r:id="rId21" w:history="1">
        <w:r w:rsidR="007F5C28" w:rsidRPr="00390E4A">
          <w:rPr>
            <w:rStyle w:val="Hyperlink"/>
            <w:b w:val="0"/>
            <w:bCs/>
          </w:rPr>
          <w:t>SEM M&amp;V Guide</w:t>
        </w:r>
      </w:hyperlink>
      <w:r w:rsidR="007F5C28">
        <w:t xml:space="preserve"> provides guidance on metrics to </w:t>
      </w:r>
      <w:r w:rsidR="001B4602">
        <w:t xml:space="preserve">demonstrate participant progress. </w:t>
      </w:r>
      <w:r w:rsidR="005C57FC">
        <w:t>In keeping with those guidelines, Cascade</w:t>
      </w:r>
      <w:r w:rsidR="00010260">
        <w:t xml:space="preserve"> will track and evaluate </w:t>
      </w:r>
      <w:r w:rsidR="000A2BF8">
        <w:t xml:space="preserve">program progress using </w:t>
      </w:r>
      <w:r w:rsidR="00010260">
        <w:t>the metrics</w:t>
      </w:r>
      <w:r w:rsidR="00B33BAC">
        <w:t xml:space="preserve"> in </w:t>
      </w:r>
      <w:r w:rsidR="009A0177">
        <w:fldChar w:fldCharType="begin"/>
      </w:r>
      <w:r w:rsidR="009A0177">
        <w:instrText xml:space="preserve"> REF _Ref167449061 \h </w:instrText>
      </w:r>
      <w:r w:rsidR="009A0177">
        <w:fldChar w:fldCharType="separate"/>
      </w:r>
      <w:r w:rsidR="00A6197B">
        <w:t xml:space="preserve">Table </w:t>
      </w:r>
      <w:r w:rsidR="00A6197B">
        <w:rPr>
          <w:noProof/>
        </w:rPr>
        <w:t>14</w:t>
      </w:r>
      <w:r w:rsidR="009A0177">
        <w:fldChar w:fldCharType="end"/>
      </w:r>
      <w:r w:rsidR="009A0177">
        <w:t>.</w:t>
      </w:r>
    </w:p>
    <w:p w14:paraId="43BB9053" w14:textId="7E041EDA" w:rsidR="001941C1" w:rsidRDefault="001941C1" w:rsidP="009A0177">
      <w:pPr>
        <w:pStyle w:val="Caption"/>
        <w:jc w:val="left"/>
      </w:pPr>
      <w:bookmarkStart w:id="83" w:name="_Ref167449061"/>
      <w:r>
        <w:t xml:space="preserve">Table </w:t>
      </w:r>
      <w:r w:rsidR="00B70853">
        <w:fldChar w:fldCharType="begin"/>
      </w:r>
      <w:r w:rsidR="00B70853">
        <w:instrText xml:space="preserve"> SEQ Table \* ARABIC </w:instrText>
      </w:r>
      <w:r w:rsidR="00B70853">
        <w:fldChar w:fldCharType="separate"/>
      </w:r>
      <w:r w:rsidR="00A6197B">
        <w:rPr>
          <w:noProof/>
        </w:rPr>
        <w:t>14</w:t>
      </w:r>
      <w:r w:rsidR="00B70853">
        <w:rPr>
          <w:noProof/>
        </w:rPr>
        <w:fldChar w:fldCharType="end"/>
      </w:r>
      <w:bookmarkEnd w:id="83"/>
      <w:r>
        <w:rPr>
          <w:noProof/>
        </w:rPr>
        <w:t>: Metrics</w:t>
      </w:r>
    </w:p>
    <w:tbl>
      <w:tblPr>
        <w:tblStyle w:val="TableGrid"/>
        <w:tblW w:w="0" w:type="auto"/>
        <w:tblLook w:val="04A0" w:firstRow="1" w:lastRow="0" w:firstColumn="1" w:lastColumn="0" w:noHBand="0" w:noVBand="1"/>
      </w:tblPr>
      <w:tblGrid>
        <w:gridCol w:w="3235"/>
        <w:gridCol w:w="6115"/>
      </w:tblGrid>
      <w:tr w:rsidR="001A48FB" w14:paraId="62BC442E" w14:textId="77777777" w:rsidTr="003A4F5E">
        <w:tc>
          <w:tcPr>
            <w:tcW w:w="9350" w:type="dxa"/>
            <w:gridSpan w:val="2"/>
            <w:shd w:val="clear" w:color="auto" w:fill="2F5496" w:themeFill="accent1" w:themeFillShade="BF"/>
            <w:vAlign w:val="center"/>
          </w:tcPr>
          <w:p w14:paraId="11862814" w14:textId="341A1384" w:rsidR="001A48FB" w:rsidRPr="003A4F5E" w:rsidRDefault="001A48FB" w:rsidP="001A48FB">
            <w:pPr>
              <w:pStyle w:val="BodyText"/>
              <w:ind w:left="0"/>
              <w:jc w:val="center"/>
              <w:rPr>
                <w:color w:val="FFFFFF" w:themeColor="background1"/>
                <w:sz w:val="24"/>
                <w:szCs w:val="24"/>
              </w:rPr>
            </w:pPr>
            <w:r w:rsidRPr="003A4F5E">
              <w:rPr>
                <w:color w:val="FFFFFF" w:themeColor="background1"/>
                <w:sz w:val="24"/>
                <w:szCs w:val="24"/>
              </w:rPr>
              <w:t>Overall Portfolio Level</w:t>
            </w:r>
          </w:p>
        </w:tc>
      </w:tr>
      <w:tr w:rsidR="00BC40C4" w14:paraId="43E84AEF" w14:textId="77777777" w:rsidTr="006E38CE">
        <w:tc>
          <w:tcPr>
            <w:tcW w:w="3235" w:type="dxa"/>
          </w:tcPr>
          <w:p w14:paraId="6B908C66" w14:textId="48F8CE0F" w:rsidR="00BC40C4" w:rsidRDefault="00BC40C4" w:rsidP="00BC40C4">
            <w:pPr>
              <w:pStyle w:val="BodyText"/>
              <w:ind w:left="0"/>
            </w:pPr>
            <w:r>
              <w:t>Capturing energy Savings</w:t>
            </w:r>
          </w:p>
        </w:tc>
        <w:tc>
          <w:tcPr>
            <w:tcW w:w="6115" w:type="dxa"/>
          </w:tcPr>
          <w:p w14:paraId="591BCE2D" w14:textId="77777777" w:rsidR="00BC40C4" w:rsidRDefault="00BC40C4" w:rsidP="00BC40C4">
            <w:pPr>
              <w:spacing w:after="0"/>
            </w:pPr>
            <w:r>
              <w:t>First year annual and lifecycle ex-ante</w:t>
            </w:r>
          </w:p>
          <w:p w14:paraId="1AC17FB9" w14:textId="5E25F173" w:rsidR="00BC40C4" w:rsidRDefault="00BC40C4" w:rsidP="00BC40C4">
            <w:pPr>
              <w:spacing w:after="0"/>
            </w:pPr>
            <w:r>
              <w:t>(pre-evaluation) gas, electric, and demand savings (gross and net)</w:t>
            </w:r>
            <w:r w:rsidR="00B84236">
              <w:t xml:space="preserve"> and associated TSB</w:t>
            </w:r>
          </w:p>
          <w:p w14:paraId="23671047" w14:textId="0C05E481" w:rsidR="00BC40C4" w:rsidRDefault="00BC40C4" w:rsidP="00BC40C4">
            <w:pPr>
              <w:pStyle w:val="BodyText"/>
              <w:ind w:left="0"/>
            </w:pPr>
          </w:p>
        </w:tc>
      </w:tr>
      <w:tr w:rsidR="00BC40C4" w14:paraId="44280877" w14:textId="77777777" w:rsidTr="006E38CE">
        <w:tc>
          <w:tcPr>
            <w:tcW w:w="3235" w:type="dxa"/>
          </w:tcPr>
          <w:p w14:paraId="418F962E" w14:textId="183A4AFB" w:rsidR="00BC40C4" w:rsidRDefault="00BC40C4" w:rsidP="00BC40C4">
            <w:pPr>
              <w:pStyle w:val="BodyText"/>
              <w:ind w:left="0"/>
            </w:pPr>
            <w:r>
              <w:t>Disadvantaged Communities</w:t>
            </w:r>
          </w:p>
        </w:tc>
        <w:tc>
          <w:tcPr>
            <w:tcW w:w="6115" w:type="dxa"/>
          </w:tcPr>
          <w:p w14:paraId="3C813701" w14:textId="3899703B" w:rsidR="00BC40C4" w:rsidRDefault="00BC40C4" w:rsidP="00BC40C4">
            <w:pPr>
              <w:pStyle w:val="BodyText"/>
              <w:ind w:left="0"/>
            </w:pPr>
            <w:r>
              <w:t>First year annual and lifecycle ex-ante (pre-evaluation) gas, electric, and demand savings (gross and net) in disadvantaged communities</w:t>
            </w:r>
          </w:p>
        </w:tc>
      </w:tr>
      <w:tr w:rsidR="00BC40C4" w14:paraId="2AD53782" w14:textId="77777777" w:rsidTr="006E38CE">
        <w:tc>
          <w:tcPr>
            <w:tcW w:w="3235" w:type="dxa"/>
          </w:tcPr>
          <w:p w14:paraId="4ED994AC" w14:textId="71735F8C" w:rsidR="00BC40C4" w:rsidRDefault="00BC40C4" w:rsidP="00BC40C4">
            <w:pPr>
              <w:pStyle w:val="BodyText"/>
              <w:ind w:left="0"/>
            </w:pPr>
            <w:r>
              <w:t>Hard-to-Reach Markets</w:t>
            </w:r>
          </w:p>
        </w:tc>
        <w:tc>
          <w:tcPr>
            <w:tcW w:w="6115" w:type="dxa"/>
          </w:tcPr>
          <w:p w14:paraId="0C29635A" w14:textId="72256F13" w:rsidR="00BC40C4" w:rsidRDefault="00BC40C4" w:rsidP="00BC40C4">
            <w:pPr>
              <w:pStyle w:val="BodyText"/>
              <w:ind w:left="0"/>
            </w:pPr>
            <w:r>
              <w:t>First year annual and lifecycle ex-ante (pre-evaluation) gas, electric, and demand savings (gross and net) in hard-to-reach markets</w:t>
            </w:r>
          </w:p>
        </w:tc>
      </w:tr>
      <w:tr w:rsidR="00BC40C4" w14:paraId="5B31ABA9" w14:textId="77777777" w:rsidTr="006E38CE">
        <w:tc>
          <w:tcPr>
            <w:tcW w:w="3235" w:type="dxa"/>
          </w:tcPr>
          <w:p w14:paraId="50BF3876" w14:textId="2123176D" w:rsidR="00BC40C4" w:rsidRDefault="00BC40C4" w:rsidP="00BC40C4">
            <w:pPr>
              <w:pStyle w:val="BodyText"/>
              <w:ind w:left="0"/>
            </w:pPr>
            <w:r>
              <w:t>Cost per unit Saved</w:t>
            </w:r>
          </w:p>
        </w:tc>
        <w:tc>
          <w:tcPr>
            <w:tcW w:w="6115" w:type="dxa"/>
          </w:tcPr>
          <w:p w14:paraId="52E5F696" w14:textId="5A467D3F" w:rsidR="00BC40C4" w:rsidRDefault="00BC40C4" w:rsidP="00BC40C4">
            <w:pPr>
              <w:pStyle w:val="BodyText"/>
              <w:ind w:left="0"/>
            </w:pPr>
            <w:r>
              <w:t>Levelized cost of energy efficiency per kWh, therm and kW (use both TRC and PAC)</w:t>
            </w:r>
          </w:p>
        </w:tc>
      </w:tr>
      <w:tr w:rsidR="00BC40C4" w14:paraId="43FF3D37" w14:textId="77777777" w:rsidTr="003A4F5E">
        <w:tc>
          <w:tcPr>
            <w:tcW w:w="9350" w:type="dxa"/>
            <w:gridSpan w:val="2"/>
            <w:shd w:val="clear" w:color="auto" w:fill="2F5496" w:themeFill="accent1" w:themeFillShade="BF"/>
            <w:vAlign w:val="center"/>
          </w:tcPr>
          <w:p w14:paraId="00728259" w14:textId="39DE86BD" w:rsidR="00BC40C4" w:rsidRPr="003A4F5E" w:rsidRDefault="002C7CF2" w:rsidP="0004249C">
            <w:pPr>
              <w:pStyle w:val="BodyText"/>
              <w:ind w:left="0"/>
              <w:jc w:val="center"/>
              <w:rPr>
                <w:color w:val="FFFFFF" w:themeColor="background1"/>
                <w:sz w:val="24"/>
                <w:szCs w:val="24"/>
              </w:rPr>
            </w:pPr>
            <w:r>
              <w:rPr>
                <w:color w:val="FFFFFF" w:themeColor="background1"/>
                <w:sz w:val="24"/>
                <w:szCs w:val="24"/>
              </w:rPr>
              <w:t>Commercial Sector</w:t>
            </w:r>
          </w:p>
        </w:tc>
      </w:tr>
      <w:tr w:rsidR="00B86483" w14:paraId="312F3D62" w14:textId="77777777" w:rsidTr="00BC40C4">
        <w:tc>
          <w:tcPr>
            <w:tcW w:w="3235" w:type="dxa"/>
          </w:tcPr>
          <w:p w14:paraId="49EC8CC0" w14:textId="799616CF" w:rsidR="00B86483" w:rsidRDefault="00B86483" w:rsidP="00B86483">
            <w:pPr>
              <w:pStyle w:val="BodyText"/>
              <w:ind w:left="0"/>
            </w:pPr>
            <w:r>
              <w:t>Capturing energy Savings</w:t>
            </w:r>
          </w:p>
        </w:tc>
        <w:tc>
          <w:tcPr>
            <w:tcW w:w="6115" w:type="dxa"/>
          </w:tcPr>
          <w:p w14:paraId="1E09506E" w14:textId="77777777" w:rsidR="00EF353F" w:rsidRDefault="00B86483" w:rsidP="00EF353F">
            <w:pPr>
              <w:pStyle w:val="BodyText"/>
              <w:ind w:left="0"/>
            </w:pPr>
            <w:r>
              <w:t>First year annualized and lifecycle ex-ante (pre-evaluation) gas, electric, and demand savings (gross and net</w:t>
            </w:r>
          </w:p>
          <w:p w14:paraId="7CBE722E" w14:textId="07ECAF2F" w:rsidR="00EF353F" w:rsidRDefault="00EF353F" w:rsidP="00EF353F">
            <w:pPr>
              <w:pStyle w:val="BodyText"/>
              <w:ind w:left="0"/>
            </w:pPr>
            <w:r>
              <w:t>First year annualized and lifecycle ex-ante (pre-evaluation) gas, electric, and demand savings (gross and net) as a percentage of overall sectoral usage</w:t>
            </w:r>
          </w:p>
        </w:tc>
      </w:tr>
      <w:tr w:rsidR="00B86483" w14:paraId="11704068" w14:textId="77777777" w:rsidTr="00BC40C4">
        <w:tc>
          <w:tcPr>
            <w:tcW w:w="3235" w:type="dxa"/>
          </w:tcPr>
          <w:p w14:paraId="22B0C3B3" w14:textId="30216CDC" w:rsidR="00B86483" w:rsidRDefault="00B86483" w:rsidP="00B86483">
            <w:pPr>
              <w:pStyle w:val="BodyText"/>
              <w:ind w:left="0"/>
            </w:pPr>
            <w:r>
              <w:t>Greenhouse Gas Emissions</w:t>
            </w:r>
          </w:p>
        </w:tc>
        <w:tc>
          <w:tcPr>
            <w:tcW w:w="6115" w:type="dxa"/>
          </w:tcPr>
          <w:p w14:paraId="72506644" w14:textId="0D59F51D" w:rsidR="00B86483" w:rsidRDefault="00B86483" w:rsidP="00B86483">
            <w:pPr>
              <w:pStyle w:val="BodyText"/>
              <w:ind w:left="0"/>
            </w:pPr>
            <w:r>
              <w:t>Greenhouse gasses (MT CO2eq) based on net kWh savings, reported on an annual basis</w:t>
            </w:r>
          </w:p>
        </w:tc>
      </w:tr>
      <w:tr w:rsidR="00B86483" w14:paraId="48C98327" w14:textId="77777777" w:rsidTr="00BC40C4">
        <w:tc>
          <w:tcPr>
            <w:tcW w:w="3235" w:type="dxa"/>
          </w:tcPr>
          <w:p w14:paraId="47F86414" w14:textId="4F1D0E0F" w:rsidR="00B86483" w:rsidRDefault="00B86483" w:rsidP="00B86483">
            <w:pPr>
              <w:pStyle w:val="BodyText"/>
              <w:ind w:left="0"/>
            </w:pPr>
            <w:r>
              <w:t>Penetration of energy efficiency programs and diversity of participants</w:t>
            </w:r>
          </w:p>
        </w:tc>
        <w:tc>
          <w:tcPr>
            <w:tcW w:w="6115" w:type="dxa"/>
          </w:tcPr>
          <w:p w14:paraId="77323AEE" w14:textId="77777777" w:rsidR="00B86483" w:rsidRDefault="00B86483" w:rsidP="00B86483">
            <w:pPr>
              <w:pStyle w:val="BodyText"/>
              <w:ind w:left="0"/>
            </w:pPr>
            <w:r>
              <w:t>Percent of participation relative to eligible population for small, medium and large customers</w:t>
            </w:r>
          </w:p>
          <w:p w14:paraId="03595F53" w14:textId="77777777" w:rsidR="008F28B4" w:rsidRDefault="008F28B4" w:rsidP="00B86483">
            <w:pPr>
              <w:pStyle w:val="BodyText"/>
              <w:ind w:left="0"/>
            </w:pPr>
            <w:r>
              <w:t>Percent of square feet of eligible population</w:t>
            </w:r>
          </w:p>
          <w:p w14:paraId="1F2425C4" w14:textId="28860B7E" w:rsidR="008F28B4" w:rsidRDefault="008F28B4" w:rsidP="00B86483">
            <w:pPr>
              <w:pStyle w:val="BodyText"/>
              <w:ind w:left="0"/>
            </w:pPr>
            <w:r>
              <w:t>Percent of participation by customers defined as “hard-to-reach”</w:t>
            </w:r>
          </w:p>
        </w:tc>
      </w:tr>
      <w:tr w:rsidR="00B86483" w14:paraId="4CA3A487" w14:textId="77777777" w:rsidTr="00BC40C4">
        <w:tc>
          <w:tcPr>
            <w:tcW w:w="3235" w:type="dxa"/>
          </w:tcPr>
          <w:p w14:paraId="4A508CBB" w14:textId="48907479" w:rsidR="00B86483" w:rsidRDefault="00B8280F" w:rsidP="005F7006">
            <w:pPr>
              <w:pStyle w:val="BodyText"/>
              <w:ind w:left="0"/>
            </w:pPr>
            <w:r>
              <w:t xml:space="preserve">Penetration of </w:t>
            </w:r>
            <w:r w:rsidR="005F7006">
              <w:t>b</w:t>
            </w:r>
            <w:r>
              <w:t>enchmarking</w:t>
            </w:r>
            <w:r w:rsidR="005F7006">
              <w:t xml:space="preserve"> </w:t>
            </w:r>
            <w:r>
              <w:t>in the eligible market</w:t>
            </w:r>
          </w:p>
        </w:tc>
        <w:tc>
          <w:tcPr>
            <w:tcW w:w="6115" w:type="dxa"/>
          </w:tcPr>
          <w:p w14:paraId="0E0D4A3D" w14:textId="76F3202C" w:rsidR="003B7564" w:rsidRDefault="003B7564" w:rsidP="003B7564">
            <w:pPr>
              <w:pStyle w:val="BodyText"/>
              <w:ind w:left="0"/>
            </w:pPr>
            <w:r>
              <w:t xml:space="preserve">Percent of benchmarked customers relative to eligible population for small, medium, and large customers  </w:t>
            </w:r>
          </w:p>
          <w:p w14:paraId="3D232DE1" w14:textId="77777777" w:rsidR="005F7006" w:rsidRDefault="003B7564" w:rsidP="005F7006">
            <w:pPr>
              <w:pStyle w:val="BodyText"/>
              <w:ind w:left="0"/>
            </w:pPr>
            <w:r>
              <w:t>Percent of benchmarked square feet of</w:t>
            </w:r>
            <w:r w:rsidR="005F7006">
              <w:t xml:space="preserve"> </w:t>
            </w:r>
            <w:r>
              <w:t xml:space="preserve">eligible population </w:t>
            </w:r>
          </w:p>
          <w:p w14:paraId="0F33ADEA" w14:textId="7ADA4325" w:rsidR="00B86483" w:rsidRDefault="003B7564" w:rsidP="005F7006">
            <w:pPr>
              <w:pStyle w:val="BodyText"/>
              <w:ind w:left="0"/>
            </w:pPr>
            <w:r>
              <w:t>Percent of benchmarking by customers</w:t>
            </w:r>
            <w:r w:rsidR="005F7006">
              <w:t xml:space="preserve"> </w:t>
            </w:r>
            <w:r>
              <w:t>defined as “hard-to-reach”</w:t>
            </w:r>
          </w:p>
        </w:tc>
      </w:tr>
      <w:tr w:rsidR="00B86483" w14:paraId="14506216" w14:textId="77777777" w:rsidTr="00BC40C4">
        <w:tc>
          <w:tcPr>
            <w:tcW w:w="3235" w:type="dxa"/>
          </w:tcPr>
          <w:p w14:paraId="7BA1A214" w14:textId="1814BFA8" w:rsidR="00B86483" w:rsidRDefault="00E536D1" w:rsidP="00A43DF8">
            <w:pPr>
              <w:pStyle w:val="BodyText"/>
              <w:ind w:left="0"/>
            </w:pPr>
            <w:r>
              <w:lastRenderedPageBreak/>
              <w:t>Use of whole building</w:t>
            </w:r>
            <w:r w:rsidR="00A43DF8">
              <w:t xml:space="preserve"> </w:t>
            </w:r>
            <w:r>
              <w:t>metered data to estimate</w:t>
            </w:r>
            <w:r w:rsidR="00A43DF8">
              <w:t xml:space="preserve"> </w:t>
            </w:r>
            <w:r>
              <w:t>savings</w:t>
            </w:r>
          </w:p>
        </w:tc>
        <w:tc>
          <w:tcPr>
            <w:tcW w:w="6115" w:type="dxa"/>
          </w:tcPr>
          <w:p w14:paraId="0AC75430" w14:textId="77777777" w:rsidR="00FB0C8D" w:rsidRDefault="00030677" w:rsidP="00FB0C8D">
            <w:pPr>
              <w:pStyle w:val="BodyText"/>
              <w:ind w:left="0"/>
            </w:pPr>
            <w:r>
              <w:t>Fraction of total project utilizing</w:t>
            </w:r>
            <w:r w:rsidR="00FB0C8D">
              <w:t xml:space="preserve"> </w:t>
            </w:r>
            <w:r>
              <w:t>Normalized Metered Energy</w:t>
            </w:r>
            <w:r w:rsidR="00FB0C8D">
              <w:t xml:space="preserve"> </w:t>
            </w:r>
            <w:r>
              <w:t>Consumption (NMEC) to estimate</w:t>
            </w:r>
            <w:r w:rsidR="00FB0C8D">
              <w:t xml:space="preserve"> </w:t>
            </w:r>
            <w:r>
              <w:t xml:space="preserve">savings  </w:t>
            </w:r>
          </w:p>
          <w:p w14:paraId="02D3D99F" w14:textId="42C88550" w:rsidR="00B86483" w:rsidRDefault="00030677" w:rsidP="00FB0C8D">
            <w:pPr>
              <w:pStyle w:val="BodyText"/>
              <w:ind w:left="0"/>
            </w:pPr>
            <w:r>
              <w:t>Fraction of total savings (gross kWh a</w:t>
            </w:r>
            <w:r w:rsidR="002B50D5">
              <w:t xml:space="preserve">nd </w:t>
            </w:r>
            <w:r>
              <w:t xml:space="preserve">therm) derived from NMEC </w:t>
            </w:r>
            <w:r w:rsidR="00FB0C8D">
              <w:t xml:space="preserve"> </w:t>
            </w:r>
            <w:r>
              <w:t>analysis</w:t>
            </w:r>
          </w:p>
        </w:tc>
      </w:tr>
      <w:tr w:rsidR="00730C96" w14:paraId="169E02D2" w14:textId="77777777" w:rsidTr="00BC40C4">
        <w:tc>
          <w:tcPr>
            <w:tcW w:w="3235" w:type="dxa"/>
          </w:tcPr>
          <w:p w14:paraId="1432D8BC" w14:textId="6F09435B" w:rsidR="00730C96" w:rsidRDefault="00A43DF8" w:rsidP="00730C96">
            <w:pPr>
              <w:pStyle w:val="BodyText"/>
              <w:ind w:left="0"/>
            </w:pPr>
            <w:r>
              <w:t>P</w:t>
            </w:r>
            <w:r w:rsidR="00030677" w:rsidRPr="00030677">
              <w:t>rogram Satisfaction</w:t>
            </w:r>
          </w:p>
        </w:tc>
        <w:tc>
          <w:tcPr>
            <w:tcW w:w="6115" w:type="dxa"/>
          </w:tcPr>
          <w:p w14:paraId="69B3CAFE" w14:textId="77777777" w:rsidR="00FB0C8D" w:rsidRDefault="00030677" w:rsidP="00FB0C8D">
            <w:pPr>
              <w:pStyle w:val="BodyText"/>
              <w:ind w:left="0"/>
            </w:pPr>
            <w:r>
              <w:t xml:space="preserve">Improvement in customer satisfaction </w:t>
            </w:r>
          </w:p>
          <w:p w14:paraId="7DB151DA" w14:textId="1C50FAD7" w:rsidR="00730C96" w:rsidRDefault="00030677" w:rsidP="00FB0C8D">
            <w:pPr>
              <w:pStyle w:val="BodyText"/>
              <w:ind w:left="0"/>
            </w:pPr>
            <w:r>
              <w:t>Improvement in trade ally satisfaction</w:t>
            </w:r>
          </w:p>
        </w:tc>
      </w:tr>
      <w:tr w:rsidR="00730C96" w14:paraId="768FE59E" w14:textId="77777777" w:rsidTr="00BC40C4">
        <w:tc>
          <w:tcPr>
            <w:tcW w:w="3235" w:type="dxa"/>
          </w:tcPr>
          <w:p w14:paraId="66D19516" w14:textId="6662B429" w:rsidR="00730C96" w:rsidRDefault="00030677" w:rsidP="00730C96">
            <w:pPr>
              <w:pStyle w:val="BodyText"/>
              <w:ind w:left="0"/>
            </w:pPr>
            <w:r w:rsidRPr="00030677">
              <w:t>Investment in energ</w:t>
            </w:r>
            <w:r w:rsidR="00A43DF8">
              <w:t xml:space="preserve">y </w:t>
            </w:r>
            <w:r w:rsidRPr="00030677">
              <w:t>efficiency</w:t>
            </w:r>
          </w:p>
        </w:tc>
        <w:tc>
          <w:tcPr>
            <w:tcW w:w="6115" w:type="dxa"/>
          </w:tcPr>
          <w:p w14:paraId="115149FB" w14:textId="36B5806C" w:rsidR="00730C96" w:rsidRDefault="00030677" w:rsidP="002B50D5">
            <w:pPr>
              <w:pStyle w:val="BodyText"/>
              <w:ind w:left="0"/>
            </w:pPr>
            <w:r>
              <w:t>Fraction of total investments made by</w:t>
            </w:r>
            <w:r w:rsidR="002B50D5">
              <w:t xml:space="preserve"> </w:t>
            </w:r>
            <w:r>
              <w:t>ratepayers and private capital</w:t>
            </w:r>
          </w:p>
        </w:tc>
      </w:tr>
    </w:tbl>
    <w:p w14:paraId="7B40526F" w14:textId="77777777" w:rsidR="00B33BAC" w:rsidRDefault="00B33BAC" w:rsidP="006B52C9">
      <w:pPr>
        <w:pStyle w:val="BodyText"/>
        <w:ind w:left="0"/>
      </w:pPr>
    </w:p>
    <w:p w14:paraId="50CDA369" w14:textId="77777777" w:rsidR="00C45FAB" w:rsidRPr="007831EB" w:rsidRDefault="00C45FAB" w:rsidP="00C45FAB">
      <w:pPr>
        <w:pStyle w:val="BodyText"/>
      </w:pPr>
    </w:p>
    <w:p w14:paraId="7C02DAC4" w14:textId="77777777" w:rsidR="007831EB" w:rsidRPr="007831EB" w:rsidRDefault="007831EB" w:rsidP="009814B5">
      <w:pPr>
        <w:pStyle w:val="Heading2"/>
      </w:pPr>
      <w:bookmarkStart w:id="84" w:name="_Toc168663924"/>
      <w:r w:rsidRPr="007831EB">
        <w:t xml:space="preserve">For Programs </w:t>
      </w:r>
      <w:r w:rsidR="00182BC7" w:rsidRPr="007831EB">
        <w:t>Claiming To‐Code Savings</w:t>
      </w:r>
      <w:bookmarkEnd w:id="84"/>
    </w:p>
    <w:p w14:paraId="1F6C11F2" w14:textId="0236A8F2" w:rsidR="004911A0" w:rsidRDefault="004911A0" w:rsidP="004911A0">
      <w:pPr>
        <w:rPr>
          <w:w w:val="0"/>
        </w:rPr>
      </w:pPr>
      <w:r>
        <w:rPr>
          <w:w w:val="0"/>
        </w:rPr>
        <w:t xml:space="preserve">SPARKe is not planning to target to-code savings through the Custom Capital Savings Path. Savings estimates will not separately quantify or differentiate to-code and above-code portions of savings. </w:t>
      </w:r>
    </w:p>
    <w:p w14:paraId="0FF933AE" w14:textId="458E7F79" w:rsidR="004911A0" w:rsidRDefault="00766D91" w:rsidP="004911A0">
      <w:pPr>
        <w:rPr>
          <w:w w:val="0"/>
        </w:rPr>
      </w:pPr>
      <w:r>
        <w:rPr>
          <w:w w:val="0"/>
        </w:rPr>
        <w:fldChar w:fldCharType="begin"/>
      </w:r>
      <w:r>
        <w:rPr>
          <w:w w:val="0"/>
        </w:rPr>
        <w:instrText xml:space="preserve"> REF _Ref167450498 \h </w:instrText>
      </w:r>
      <w:r>
        <w:rPr>
          <w:w w:val="0"/>
        </w:rPr>
      </w:r>
      <w:r>
        <w:rPr>
          <w:w w:val="0"/>
        </w:rPr>
        <w:fldChar w:fldCharType="separate"/>
      </w:r>
      <w:r w:rsidR="00A6197B">
        <w:t xml:space="preserve">Table </w:t>
      </w:r>
      <w:r w:rsidR="00A6197B">
        <w:rPr>
          <w:noProof/>
        </w:rPr>
        <w:t>15</w:t>
      </w:r>
      <w:r>
        <w:rPr>
          <w:w w:val="0"/>
        </w:rPr>
        <w:fldChar w:fldCharType="end"/>
      </w:r>
      <w:r>
        <w:rPr>
          <w:w w:val="0"/>
        </w:rPr>
        <w:t xml:space="preserve"> </w:t>
      </w:r>
      <w:r w:rsidR="004911A0">
        <w:rPr>
          <w:w w:val="0"/>
        </w:rPr>
        <w:t xml:space="preserve">outlines the </w:t>
      </w:r>
      <w:r w:rsidR="005155D1">
        <w:rPr>
          <w:w w:val="0"/>
        </w:rPr>
        <w:t>Cascade</w:t>
      </w:r>
      <w:r w:rsidR="004911A0">
        <w:rPr>
          <w:w w:val="0"/>
        </w:rPr>
        <w:t xml:space="preserve">’s plan for claiming </w:t>
      </w:r>
      <w:r w:rsidR="005155D1">
        <w:rPr>
          <w:w w:val="0"/>
        </w:rPr>
        <w:t>p</w:t>
      </w:r>
      <w:r w:rsidR="004911A0">
        <w:rPr>
          <w:w w:val="0"/>
        </w:rPr>
        <w:t>rogram savings and the basis.</w:t>
      </w:r>
    </w:p>
    <w:p w14:paraId="15C0DC30" w14:textId="75455AEE" w:rsidR="00B34C8E" w:rsidRDefault="00B34C8E" w:rsidP="00B34C8E">
      <w:pPr>
        <w:pStyle w:val="Caption"/>
        <w:jc w:val="left"/>
      </w:pPr>
      <w:bookmarkStart w:id="85" w:name="_Ref167450498"/>
      <w:r>
        <w:t xml:space="preserve">Table </w:t>
      </w:r>
      <w:r w:rsidR="00B70853">
        <w:fldChar w:fldCharType="begin"/>
      </w:r>
      <w:r w:rsidR="00B70853">
        <w:instrText xml:space="preserve"> SEQ Table \* ARABIC </w:instrText>
      </w:r>
      <w:r w:rsidR="00B70853">
        <w:fldChar w:fldCharType="separate"/>
      </w:r>
      <w:r w:rsidR="00A6197B">
        <w:rPr>
          <w:noProof/>
        </w:rPr>
        <w:t>15</w:t>
      </w:r>
      <w:r w:rsidR="00B70853">
        <w:rPr>
          <w:noProof/>
        </w:rPr>
        <w:fldChar w:fldCharType="end"/>
      </w:r>
      <w:bookmarkEnd w:id="85"/>
      <w:r>
        <w:t xml:space="preserve">: </w:t>
      </w:r>
      <w:r w:rsidR="00766D91">
        <w:t>Paths for Claiming Program Savings</w:t>
      </w:r>
    </w:p>
    <w:tbl>
      <w:tblPr>
        <w:tblStyle w:val="TableGrid"/>
        <w:tblW w:w="0" w:type="auto"/>
        <w:tblInd w:w="-5" w:type="dxa"/>
        <w:tblLook w:val="04A0" w:firstRow="1" w:lastRow="0" w:firstColumn="1" w:lastColumn="0" w:noHBand="0" w:noVBand="1"/>
      </w:tblPr>
      <w:tblGrid>
        <w:gridCol w:w="1800"/>
        <w:gridCol w:w="2395"/>
        <w:gridCol w:w="2105"/>
        <w:gridCol w:w="3055"/>
      </w:tblGrid>
      <w:tr w:rsidR="00137F62" w14:paraId="6F31667E" w14:textId="77777777" w:rsidTr="00766D91">
        <w:tc>
          <w:tcPr>
            <w:tcW w:w="1800" w:type="dxa"/>
            <w:shd w:val="clear" w:color="auto" w:fill="2F5496" w:themeFill="accent1" w:themeFillShade="BF"/>
          </w:tcPr>
          <w:p w14:paraId="6640479E" w14:textId="77777777" w:rsidR="004911A0" w:rsidRPr="005A74C1" w:rsidRDefault="004911A0">
            <w:pPr>
              <w:rPr>
                <w:color w:val="FFFFFF" w:themeColor="background1"/>
                <w:w w:val="0"/>
              </w:rPr>
            </w:pPr>
            <w:r w:rsidRPr="005A74C1">
              <w:rPr>
                <w:color w:val="FFFFFF" w:themeColor="background1"/>
                <w:w w:val="0"/>
              </w:rPr>
              <w:t>Savings Path</w:t>
            </w:r>
          </w:p>
        </w:tc>
        <w:tc>
          <w:tcPr>
            <w:tcW w:w="2395" w:type="dxa"/>
            <w:shd w:val="clear" w:color="auto" w:fill="2F5496" w:themeFill="accent1" w:themeFillShade="BF"/>
          </w:tcPr>
          <w:p w14:paraId="4B085516" w14:textId="77777777" w:rsidR="004911A0" w:rsidRPr="005A74C1" w:rsidRDefault="004911A0">
            <w:pPr>
              <w:rPr>
                <w:color w:val="FFFFFF" w:themeColor="background1"/>
                <w:w w:val="0"/>
              </w:rPr>
            </w:pPr>
            <w:r w:rsidRPr="005A74C1">
              <w:rPr>
                <w:color w:val="FFFFFF" w:themeColor="background1"/>
                <w:w w:val="0"/>
              </w:rPr>
              <w:t>Savings Quantification</w:t>
            </w:r>
          </w:p>
        </w:tc>
        <w:tc>
          <w:tcPr>
            <w:tcW w:w="2105" w:type="dxa"/>
            <w:shd w:val="clear" w:color="auto" w:fill="2F5496" w:themeFill="accent1" w:themeFillShade="BF"/>
          </w:tcPr>
          <w:p w14:paraId="19B4FAEC" w14:textId="77777777" w:rsidR="004911A0" w:rsidRPr="005A74C1" w:rsidRDefault="004911A0">
            <w:pPr>
              <w:rPr>
                <w:color w:val="FFFFFF" w:themeColor="background1"/>
                <w:w w:val="0"/>
              </w:rPr>
            </w:pPr>
            <w:r w:rsidRPr="005A74C1">
              <w:rPr>
                <w:color w:val="FFFFFF" w:themeColor="background1"/>
                <w:w w:val="0"/>
              </w:rPr>
              <w:t>Basis</w:t>
            </w:r>
          </w:p>
        </w:tc>
        <w:tc>
          <w:tcPr>
            <w:tcW w:w="3055" w:type="dxa"/>
            <w:shd w:val="clear" w:color="auto" w:fill="2F5496" w:themeFill="accent1" w:themeFillShade="BF"/>
          </w:tcPr>
          <w:p w14:paraId="4F0ADF9D" w14:textId="77777777" w:rsidR="004911A0" w:rsidRPr="005A74C1" w:rsidRDefault="004911A0">
            <w:pPr>
              <w:rPr>
                <w:color w:val="FFFFFF" w:themeColor="background1"/>
                <w:w w:val="0"/>
              </w:rPr>
            </w:pPr>
            <w:r w:rsidRPr="005A74C1">
              <w:rPr>
                <w:color w:val="FFFFFF" w:themeColor="background1"/>
                <w:w w:val="0"/>
              </w:rPr>
              <w:t>To Code Considerations</w:t>
            </w:r>
          </w:p>
        </w:tc>
      </w:tr>
      <w:tr w:rsidR="004911A0" w14:paraId="3EF5614F" w14:textId="77777777" w:rsidTr="00766D91">
        <w:tc>
          <w:tcPr>
            <w:tcW w:w="1800" w:type="dxa"/>
          </w:tcPr>
          <w:p w14:paraId="5535F585" w14:textId="77777777" w:rsidR="004911A0" w:rsidRDefault="004911A0">
            <w:pPr>
              <w:rPr>
                <w:w w:val="0"/>
              </w:rPr>
            </w:pPr>
            <w:r>
              <w:rPr>
                <w:w w:val="0"/>
              </w:rPr>
              <w:t>SEM (BRO or Capital)</w:t>
            </w:r>
          </w:p>
        </w:tc>
        <w:tc>
          <w:tcPr>
            <w:tcW w:w="2395" w:type="dxa"/>
          </w:tcPr>
          <w:p w14:paraId="1218D200" w14:textId="77777777" w:rsidR="004911A0" w:rsidRDefault="004911A0">
            <w:pPr>
              <w:rPr>
                <w:w w:val="0"/>
              </w:rPr>
            </w:pPr>
            <w:r>
              <w:rPr>
                <w:w w:val="0"/>
              </w:rPr>
              <w:t xml:space="preserve">Energy model or bottom-up calculations </w:t>
            </w:r>
          </w:p>
        </w:tc>
        <w:tc>
          <w:tcPr>
            <w:tcW w:w="2105" w:type="dxa"/>
          </w:tcPr>
          <w:p w14:paraId="5D3D05F1" w14:textId="77777777" w:rsidR="004911A0" w:rsidRDefault="004911A0">
            <w:pPr>
              <w:rPr>
                <w:w w:val="0"/>
              </w:rPr>
            </w:pPr>
            <w:r>
              <w:rPr>
                <w:w w:val="0"/>
              </w:rPr>
              <w:t>Per California SEM M&amp;V Guide</w:t>
            </w:r>
          </w:p>
        </w:tc>
        <w:tc>
          <w:tcPr>
            <w:tcW w:w="3055" w:type="dxa"/>
          </w:tcPr>
          <w:p w14:paraId="0919D462" w14:textId="77777777" w:rsidR="004911A0" w:rsidRDefault="004911A0">
            <w:pPr>
              <w:rPr>
                <w:w w:val="0"/>
              </w:rPr>
            </w:pPr>
            <w:r>
              <w:rPr>
                <w:w w:val="0"/>
              </w:rPr>
              <w:t>CPUC D.16-08-019 and the California SEM Design Guide and the California SEM M&amp;V Guide allow SEM to claim existing conditions baseline for all savings including capital projects.</w:t>
            </w:r>
          </w:p>
        </w:tc>
      </w:tr>
      <w:tr w:rsidR="004911A0" w14:paraId="3B14F2BA" w14:textId="77777777" w:rsidTr="00766D91">
        <w:tc>
          <w:tcPr>
            <w:tcW w:w="1800" w:type="dxa"/>
          </w:tcPr>
          <w:p w14:paraId="66A2E5E5" w14:textId="77777777" w:rsidR="004911A0" w:rsidRDefault="004911A0">
            <w:pPr>
              <w:rPr>
                <w:w w:val="0"/>
              </w:rPr>
            </w:pPr>
            <w:r>
              <w:rPr>
                <w:w w:val="0"/>
              </w:rPr>
              <w:t>Custom Capital</w:t>
            </w:r>
          </w:p>
        </w:tc>
        <w:tc>
          <w:tcPr>
            <w:tcW w:w="2395" w:type="dxa"/>
          </w:tcPr>
          <w:p w14:paraId="125A6600" w14:textId="77777777" w:rsidR="004911A0" w:rsidRDefault="004911A0">
            <w:pPr>
              <w:rPr>
                <w:w w:val="0"/>
              </w:rPr>
            </w:pPr>
            <w:r>
              <w:rPr>
                <w:w w:val="0"/>
              </w:rPr>
              <w:t>Engineering analysis</w:t>
            </w:r>
          </w:p>
        </w:tc>
        <w:tc>
          <w:tcPr>
            <w:tcW w:w="2105" w:type="dxa"/>
          </w:tcPr>
          <w:p w14:paraId="3107BF61" w14:textId="77777777" w:rsidR="004911A0" w:rsidRDefault="004911A0">
            <w:pPr>
              <w:rPr>
                <w:w w:val="0"/>
              </w:rPr>
            </w:pPr>
            <w:r>
              <w:rPr>
                <w:w w:val="0"/>
              </w:rPr>
              <w:t>Per Statewide Custom Processes</w:t>
            </w:r>
          </w:p>
        </w:tc>
        <w:tc>
          <w:tcPr>
            <w:tcW w:w="3055" w:type="dxa"/>
          </w:tcPr>
          <w:p w14:paraId="1145BA9E" w14:textId="5235F902" w:rsidR="004911A0" w:rsidRDefault="00405293">
            <w:pPr>
              <w:rPr>
                <w:w w:val="0"/>
              </w:rPr>
            </w:pPr>
            <w:r>
              <w:rPr>
                <w:w w:val="0"/>
              </w:rPr>
              <w:t>Cascade</w:t>
            </w:r>
            <w:r w:rsidR="004911A0">
              <w:rPr>
                <w:w w:val="0"/>
              </w:rPr>
              <w:t xml:space="preserve"> is not planning to pursue to-code opportunities.</w:t>
            </w:r>
          </w:p>
        </w:tc>
      </w:tr>
      <w:tr w:rsidR="004911A0" w14:paraId="5590C891" w14:textId="77777777" w:rsidTr="00766D91">
        <w:tc>
          <w:tcPr>
            <w:tcW w:w="1800" w:type="dxa"/>
          </w:tcPr>
          <w:p w14:paraId="2DB08D4F" w14:textId="77777777" w:rsidR="004911A0" w:rsidRDefault="004911A0">
            <w:pPr>
              <w:rPr>
                <w:w w:val="0"/>
              </w:rPr>
            </w:pPr>
            <w:r>
              <w:rPr>
                <w:w w:val="0"/>
              </w:rPr>
              <w:t xml:space="preserve">Deemed </w:t>
            </w:r>
          </w:p>
        </w:tc>
        <w:tc>
          <w:tcPr>
            <w:tcW w:w="2395" w:type="dxa"/>
          </w:tcPr>
          <w:p w14:paraId="6929CAF7" w14:textId="77777777" w:rsidR="004911A0" w:rsidRDefault="004911A0">
            <w:pPr>
              <w:rPr>
                <w:w w:val="0"/>
              </w:rPr>
            </w:pPr>
            <w:r>
              <w:rPr>
                <w:w w:val="0"/>
              </w:rPr>
              <w:t>Prescriptive savings</w:t>
            </w:r>
          </w:p>
        </w:tc>
        <w:tc>
          <w:tcPr>
            <w:tcW w:w="2105" w:type="dxa"/>
          </w:tcPr>
          <w:p w14:paraId="035C5993" w14:textId="77777777" w:rsidR="004911A0" w:rsidRDefault="004911A0">
            <w:pPr>
              <w:rPr>
                <w:w w:val="0"/>
              </w:rPr>
            </w:pPr>
            <w:r>
              <w:rPr>
                <w:w w:val="0"/>
              </w:rPr>
              <w:t>Per Deemed Measure Catalog</w:t>
            </w:r>
          </w:p>
        </w:tc>
        <w:tc>
          <w:tcPr>
            <w:tcW w:w="3055" w:type="dxa"/>
          </w:tcPr>
          <w:p w14:paraId="08E508D7" w14:textId="77777777" w:rsidR="004911A0" w:rsidRDefault="004911A0">
            <w:pPr>
              <w:rPr>
                <w:w w:val="0"/>
              </w:rPr>
            </w:pPr>
            <w:r>
              <w:rPr>
                <w:w w:val="0"/>
              </w:rPr>
              <w:t>Code-related requirements are already accounted for in workpapers.</w:t>
            </w:r>
          </w:p>
        </w:tc>
      </w:tr>
    </w:tbl>
    <w:p w14:paraId="094CFA06" w14:textId="77777777" w:rsidR="00C45FAB" w:rsidRPr="007831EB" w:rsidRDefault="00C45FAB" w:rsidP="007831EB">
      <w:pPr>
        <w:pStyle w:val="BodyText"/>
      </w:pPr>
    </w:p>
    <w:p w14:paraId="69205D0B" w14:textId="77777777" w:rsidR="00474CAE" w:rsidRDefault="00474CAE" w:rsidP="009814B5">
      <w:pPr>
        <w:pStyle w:val="Heading2"/>
      </w:pPr>
      <w:bookmarkStart w:id="86" w:name="_Toc168663925"/>
      <w:r>
        <w:t>Pilots</w:t>
      </w:r>
      <w:bookmarkEnd w:id="86"/>
      <w:r>
        <w:t xml:space="preserve"> </w:t>
      </w:r>
    </w:p>
    <w:p w14:paraId="22459FD7" w14:textId="6A2E288D" w:rsidR="0021351F" w:rsidRDefault="0021351F" w:rsidP="0021351F">
      <w:pPr>
        <w:rPr>
          <w:w w:val="0"/>
        </w:rPr>
      </w:pPr>
      <w:r>
        <w:rPr>
          <w:w w:val="0"/>
        </w:rPr>
        <w:t xml:space="preserve">To support Integrated Demand-Side Management (IDSM) efforts, SPARKe may seek out opportunities to partner with pilot programs offered by </w:t>
      </w:r>
      <w:r w:rsidR="00E503F0">
        <w:rPr>
          <w:w w:val="0"/>
        </w:rPr>
        <w:t>SCE</w:t>
      </w:r>
      <w:r>
        <w:rPr>
          <w:w w:val="0"/>
        </w:rPr>
        <w:t xml:space="preserve">, the California Energy Commission, and other entities and cross-enroll Customers in appropriate demonstration projects or programs. </w:t>
      </w:r>
      <w:r w:rsidR="00405293">
        <w:rPr>
          <w:w w:val="0"/>
        </w:rPr>
        <w:t>Cascade</w:t>
      </w:r>
      <w:r>
        <w:rPr>
          <w:w w:val="0"/>
        </w:rPr>
        <w:t xml:space="preserve"> is not planning pilot projects within the SPARKe Program.</w:t>
      </w:r>
    </w:p>
    <w:p w14:paraId="2DBA08C8" w14:textId="77777777" w:rsidR="001F02AC" w:rsidRPr="00DD6B13" w:rsidRDefault="001F02AC" w:rsidP="001F02AC">
      <w:pPr>
        <w:pStyle w:val="Heading2"/>
      </w:pPr>
      <w:bookmarkStart w:id="87" w:name="_Toc168663926"/>
      <w:r w:rsidRPr="00DD6B13">
        <w:lastRenderedPageBreak/>
        <w:t xml:space="preserve">Workforce </w:t>
      </w:r>
      <w:r w:rsidRPr="001F02AC">
        <w:t>Education</w:t>
      </w:r>
      <w:r w:rsidRPr="00DD6B13">
        <w:t xml:space="preserve"> &amp; Training (WE&amp;T)</w:t>
      </w:r>
      <w:r w:rsidRPr="00DD6B13">
        <w:rPr>
          <w:rStyle w:val="FootnoteReference"/>
        </w:rPr>
        <w:t xml:space="preserve"> </w:t>
      </w:r>
      <w:r w:rsidRPr="00DD6B13">
        <w:rPr>
          <w:rStyle w:val="FootnoteReference"/>
        </w:rPr>
        <w:footnoteReference w:id="2"/>
      </w:r>
      <w:bookmarkEnd w:id="87"/>
    </w:p>
    <w:p w14:paraId="2F3D5336" w14:textId="645EABB7" w:rsidR="00EF6E63" w:rsidRDefault="00934A7E" w:rsidP="00EF6E63">
      <w:pPr>
        <w:rPr>
          <w:w w:val="0"/>
        </w:rPr>
      </w:pPr>
      <w:r>
        <w:rPr>
          <w:w w:val="0"/>
        </w:rPr>
        <w:t xml:space="preserve">Not applicable to the </w:t>
      </w:r>
      <w:r w:rsidR="00BE344B">
        <w:rPr>
          <w:w w:val="0"/>
        </w:rPr>
        <w:t>SPARKe program.</w:t>
      </w:r>
    </w:p>
    <w:p w14:paraId="74253BCA" w14:textId="3BAECEAA" w:rsidR="001F02AC" w:rsidRPr="00DD6B13" w:rsidRDefault="001F02AC" w:rsidP="001F02AC">
      <w:pPr>
        <w:pStyle w:val="Heading2"/>
      </w:pPr>
      <w:bookmarkStart w:id="88" w:name="_Toc168663927"/>
      <w:r w:rsidRPr="00DD6B13">
        <w:t>Workforce Standards</w:t>
      </w:r>
      <w:r w:rsidRPr="00DD6B13">
        <w:rPr>
          <w:rStyle w:val="FootnoteReference"/>
        </w:rPr>
        <w:footnoteReference w:id="3"/>
      </w:r>
      <w:bookmarkEnd w:id="88"/>
    </w:p>
    <w:p w14:paraId="0371E824" w14:textId="18E59DA2" w:rsidR="004A2F96" w:rsidRDefault="004A2F96" w:rsidP="004A2F96">
      <w:pPr>
        <w:rPr>
          <w:w w:val="0"/>
        </w:rPr>
      </w:pPr>
      <w:r>
        <w:rPr>
          <w:w w:val="0"/>
        </w:rPr>
        <w:t xml:space="preserve">Workforce Standards are likely applicable for the subset of energy-saving projects that involve installation, modification, and maintenance of HVAC or Lighting systems as discrete standalone projects. Customers must contract with qualified service providers for this work in order to be eligible to receive a rebate or incentive for the project. In cases where Customers elect to receive rebates or incentives for these project types, </w:t>
      </w:r>
      <w:r w:rsidR="00AB6206">
        <w:rPr>
          <w:w w:val="0"/>
        </w:rPr>
        <w:t>Cascade</w:t>
      </w:r>
      <w:r>
        <w:rPr>
          <w:w w:val="0"/>
        </w:rPr>
        <w:t xml:space="preserve"> will: </w:t>
      </w:r>
    </w:p>
    <w:p w14:paraId="43E369C5" w14:textId="77777777" w:rsidR="004A2F96" w:rsidRPr="004A2F96" w:rsidRDefault="004A2F96" w:rsidP="004A2F96">
      <w:pPr>
        <w:pStyle w:val="HText3Bullets"/>
      </w:pPr>
      <w:r w:rsidRPr="004A2F96">
        <w:t>Provide a notice to the Customer about the certification requirement being a condition of receiving the rebate or incentive.</w:t>
      </w:r>
    </w:p>
    <w:p w14:paraId="065D895B" w14:textId="77777777" w:rsidR="004A2F96" w:rsidRPr="004A2F96" w:rsidRDefault="004A2F96" w:rsidP="004A2F96">
      <w:pPr>
        <w:pStyle w:val="HText3Bullets"/>
      </w:pPr>
      <w:r w:rsidRPr="004A2F96">
        <w:t>Make a minimum of two good-faith attempts to obtain compliance documentation and Customer signature.</w:t>
      </w:r>
    </w:p>
    <w:p w14:paraId="4D6B12EB" w14:textId="77777777" w:rsidR="004A2F96" w:rsidRDefault="004A2F96" w:rsidP="004A2F96">
      <w:pPr>
        <w:rPr>
          <w:w w:val="0"/>
        </w:rPr>
      </w:pPr>
      <w:r w:rsidRPr="00D00FD9">
        <w:rPr>
          <w:w w:val="0"/>
        </w:rPr>
        <w:t>In cases where Customers or Contractors fail to show compliance for Lighting or HVAC measures where Workforce Standards apply, they will forfeit any incentive or rebate associated with the measure.</w:t>
      </w:r>
    </w:p>
    <w:p w14:paraId="1FC19751" w14:textId="00F59311" w:rsidR="004A2F96" w:rsidRDefault="004A2F96" w:rsidP="004A2F96">
      <w:r>
        <w:rPr>
          <w:w w:val="0"/>
        </w:rPr>
        <w:t xml:space="preserve">Workforce Standards are </w:t>
      </w:r>
      <w:r w:rsidR="00FA08C9">
        <w:rPr>
          <w:w w:val="0"/>
        </w:rPr>
        <w:t xml:space="preserve">not </w:t>
      </w:r>
      <w:r>
        <w:rPr>
          <w:w w:val="0"/>
        </w:rPr>
        <w:t xml:space="preserve">applicable to BRO Measures </w:t>
      </w:r>
      <w:r w:rsidR="007E2126">
        <w:rPr>
          <w:w w:val="0"/>
        </w:rPr>
        <w:t>which we anticipate being the majority of projects completed in the SPARKe program.</w:t>
      </w:r>
      <w:r>
        <w:rPr>
          <w:w w:val="0"/>
        </w:rPr>
        <w:t xml:space="preserve"> </w:t>
      </w:r>
    </w:p>
    <w:p w14:paraId="60D6BF03" w14:textId="6B2EB769" w:rsidR="004A2F96" w:rsidRDefault="006F02A7" w:rsidP="004A2F96">
      <w:pPr>
        <w:rPr>
          <w:w w:val="0"/>
        </w:rPr>
      </w:pPr>
      <w:r>
        <w:rPr>
          <w:w w:val="0"/>
        </w:rPr>
        <w:t xml:space="preserve">Cascade’s </w:t>
      </w:r>
      <w:r w:rsidR="004A2F96">
        <w:rPr>
          <w:w w:val="0"/>
        </w:rPr>
        <w:t xml:space="preserve">SEM delivery will follow the </w:t>
      </w:r>
      <w:hyperlink r:id="rId22" w:history="1">
        <w:r w:rsidR="004A2F96" w:rsidRPr="008218FF">
          <w:rPr>
            <w:rStyle w:val="Hyperlink"/>
            <w:b w:val="0"/>
            <w:bCs/>
            <w:w w:val="0"/>
          </w:rPr>
          <w:t>California SEM Design Guide</w:t>
        </w:r>
      </w:hyperlink>
      <w:r w:rsidR="004A2F96">
        <w:rPr>
          <w:w w:val="0"/>
        </w:rPr>
        <w:t xml:space="preserve">. The California SEM Design Guide includes site-specific activities and learning modules designed to ensure savings achieved through SEM are sustained. </w:t>
      </w:r>
      <w:r w:rsidR="00EC5292">
        <w:rPr>
          <w:w w:val="0"/>
        </w:rPr>
        <w:t>Cascade</w:t>
      </w:r>
      <w:r w:rsidR="004A2F96">
        <w:rPr>
          <w:w w:val="0"/>
        </w:rPr>
        <w:t>’s SEM approach teaches Customers how to ensure savings persistence for energy projects. It also includes one-on-one coaching and software designed to monitor performance so that the Program can intervene if energy savings backslide.</w:t>
      </w:r>
      <w:r w:rsidR="00AB6206">
        <w:rPr>
          <w:w w:val="0"/>
        </w:rPr>
        <w:t xml:space="preserve"> SPARKe</w:t>
      </w:r>
      <w:r w:rsidR="004A2F96">
        <w:rPr>
          <w:w w:val="0"/>
        </w:rPr>
        <w:t xml:space="preserve"> does not include specific skills certification or formal occupational training.  </w:t>
      </w:r>
    </w:p>
    <w:p w14:paraId="36E1B607" w14:textId="77777777" w:rsidR="00F009D9" w:rsidRDefault="00F009D9" w:rsidP="009814B5">
      <w:pPr>
        <w:pStyle w:val="Heading2"/>
      </w:pPr>
      <w:bookmarkStart w:id="89" w:name="_Toc168663928"/>
      <w:r w:rsidRPr="00F009D9">
        <w:t>Disadvantaged Worker Plan:</w:t>
      </w:r>
      <w:r>
        <w:rPr>
          <w:rStyle w:val="FootnoteReference"/>
        </w:rPr>
        <w:footnoteReference w:id="4"/>
      </w:r>
      <w:bookmarkEnd w:id="89"/>
    </w:p>
    <w:p w14:paraId="2FB5B481" w14:textId="77777777" w:rsidR="006A1881" w:rsidRDefault="006A1881" w:rsidP="006A1881">
      <w:pPr>
        <w:rPr>
          <w:w w:val="0"/>
        </w:rPr>
      </w:pPr>
      <w:r>
        <w:rPr>
          <w:w w:val="0"/>
        </w:rPr>
        <w:t>The Disadvantaged Worker plan does not apply to the SPARKe program. SPARKe is not a Direct Install program, and Cascade’s staff will not be directly involved in the installation, modification, repair, or maintenance of energy efficiency equipment. These services will be provided by the customer’s staff or outside vendors hired by the customer, with guidance and recommendations offered by SPARKe staff.</w:t>
      </w:r>
    </w:p>
    <w:p w14:paraId="57827687" w14:textId="77777777" w:rsidR="000E4AB3" w:rsidRDefault="000E4AB3" w:rsidP="009814B5">
      <w:pPr>
        <w:pStyle w:val="Heading2"/>
      </w:pPr>
      <w:bookmarkStart w:id="90" w:name="_Toc168663929"/>
      <w:bookmarkStart w:id="91" w:name="_Toc168663930"/>
      <w:bookmarkStart w:id="92" w:name="_Toc168663931"/>
      <w:bookmarkStart w:id="93" w:name="_Toc168663932"/>
      <w:bookmarkEnd w:id="90"/>
      <w:bookmarkEnd w:id="91"/>
      <w:bookmarkEnd w:id="92"/>
      <w:r>
        <w:t xml:space="preserve">Additional </w:t>
      </w:r>
      <w:r w:rsidR="00182BC7">
        <w:t>Information</w:t>
      </w:r>
      <w:bookmarkEnd w:id="93"/>
      <w:r w:rsidR="00182BC7">
        <w:t xml:space="preserve"> </w:t>
      </w:r>
    </w:p>
    <w:p w14:paraId="45D21F24" w14:textId="022E7560" w:rsidR="00713E89" w:rsidRDefault="00713E89" w:rsidP="00713E89">
      <w:pPr>
        <w:rPr>
          <w:w w:val="0"/>
        </w:rPr>
      </w:pPr>
      <w:r>
        <w:rPr>
          <w:w w:val="0"/>
        </w:rPr>
        <w:t xml:space="preserve">CPUC Decision 23-02-002 approves the expansion of SEM beyond the Industrial sector, allowing this Program design to serve </w:t>
      </w:r>
      <w:r w:rsidR="006020C8">
        <w:rPr>
          <w:w w:val="0"/>
        </w:rPr>
        <w:t>Commercial</w:t>
      </w:r>
      <w:r>
        <w:rPr>
          <w:w w:val="0"/>
        </w:rPr>
        <w:t xml:space="preserve"> Customers (p. 41). </w:t>
      </w:r>
    </w:p>
    <w:p w14:paraId="4A5082EB" w14:textId="77777777" w:rsidR="001D1298" w:rsidRDefault="001D1298">
      <w:pPr>
        <w:spacing w:after="160"/>
        <w:rPr>
          <w:rFonts w:eastAsiaTheme="majorEastAsia" w:cstheme="majorBidi"/>
          <w:b/>
          <w:bCs/>
          <w:sz w:val="28"/>
          <w:szCs w:val="28"/>
        </w:rPr>
      </w:pPr>
      <w:r>
        <w:br w:type="page"/>
      </w:r>
    </w:p>
    <w:p w14:paraId="0DBB601E" w14:textId="77777777" w:rsidR="005058B3" w:rsidRDefault="00AB491A" w:rsidP="00C45FAB">
      <w:pPr>
        <w:pStyle w:val="Heading1"/>
      </w:pPr>
      <w:bookmarkStart w:id="94" w:name="_Toc168663933"/>
      <w:r w:rsidRPr="00C45FAB">
        <w:lastRenderedPageBreak/>
        <w:t>Supporting Documents</w:t>
      </w:r>
      <w:bookmarkEnd w:id="94"/>
    </w:p>
    <w:p w14:paraId="3E70DFC5" w14:textId="2F815B9B" w:rsidR="00F07039" w:rsidRPr="007C56DA" w:rsidRDefault="00F07039" w:rsidP="0010375C">
      <w:pPr>
        <w:pStyle w:val="Heading2"/>
        <w:numPr>
          <w:ilvl w:val="0"/>
          <w:numId w:val="11"/>
        </w:numPr>
      </w:pPr>
      <w:bookmarkStart w:id="95" w:name="_Toc168663934"/>
      <w:r w:rsidRPr="007C56DA">
        <w:t xml:space="preserve">Program Manual and Program Rules </w:t>
      </w:r>
      <w:bookmarkEnd w:id="95"/>
    </w:p>
    <w:p w14:paraId="41E15F72" w14:textId="77777777" w:rsidR="003B00AE" w:rsidRDefault="003B00AE" w:rsidP="003B00AE">
      <w:pPr>
        <w:pStyle w:val="Heading3"/>
      </w:pPr>
      <w:bookmarkStart w:id="96" w:name="_Toc127428901"/>
      <w:bookmarkStart w:id="97" w:name="_Toc128397211"/>
      <w:bookmarkStart w:id="98" w:name="_Toc168555579"/>
      <w:bookmarkStart w:id="99" w:name="Policy_and_Procedures"/>
      <w:r>
        <w:t>Program Overview</w:t>
      </w:r>
      <w:bookmarkEnd w:id="96"/>
      <w:bookmarkEnd w:id="97"/>
      <w:bookmarkEnd w:id="98"/>
    </w:p>
    <w:p w14:paraId="7E176596" w14:textId="77777777" w:rsidR="003B00AE" w:rsidRDefault="003B00AE" w:rsidP="003B00AE">
      <w:r>
        <w:t xml:space="preserve">The SPARKe Industrial &amp; Agricultural SEM Program will deliver the program framework detailed in the most recently published </w:t>
      </w:r>
      <w:hyperlink r:id="rId23">
        <w:r w:rsidRPr="00084426">
          <w:rPr>
            <w:rStyle w:val="Hyperlink"/>
            <w:b w:val="0"/>
            <w:bCs/>
          </w:rPr>
          <w:t>California SEM Design Guide</w:t>
        </w:r>
      </w:hyperlink>
      <w:r w:rsidRPr="00417FAC">
        <w:rPr>
          <w:b/>
          <w:bCs/>
        </w:rPr>
        <w:t xml:space="preserve"> </w:t>
      </w:r>
      <w:r w:rsidRPr="00417FAC">
        <w:t>and</w:t>
      </w:r>
      <w:r w:rsidRPr="00417FAC">
        <w:rPr>
          <w:b/>
          <w:bCs/>
        </w:rPr>
        <w:t xml:space="preserve"> </w:t>
      </w:r>
      <w:hyperlink r:id="rId24">
        <w:r w:rsidRPr="00084426">
          <w:rPr>
            <w:rStyle w:val="Hyperlink"/>
            <w:b w:val="0"/>
            <w:bCs/>
          </w:rPr>
          <w:t xml:space="preserve">California SEM M&amp;V Guide </w:t>
        </w:r>
      </w:hyperlink>
      <w:r>
        <w:t>to Industrial and Agricultural Customers with annual energy usage greater than 2M kWh in Southern California Edison’s (SCE) service territory.</w:t>
      </w:r>
    </w:p>
    <w:p w14:paraId="62A12F24" w14:textId="77777777" w:rsidR="003B00AE" w:rsidRDefault="003B00AE" w:rsidP="003B00AE">
      <w:r>
        <w:t>Strategic Energy Management (SEM), as prescribed by the California SEM Design Guide, takes customers through a progression of educational modules and site-specific activities over a series of up to three, two-year cycles. The progression of educational modules builds so that by the end of the sixth year of participation, the customer has a much-improved capacity to manage energy at their site as compared to the first year.</w:t>
      </w:r>
    </w:p>
    <w:p w14:paraId="5C9A5776" w14:textId="63A4F34B" w:rsidR="003B00AE" w:rsidRDefault="003B00AE" w:rsidP="003B00AE">
      <w:r>
        <w:t xml:space="preserve">SPARKe Industrial &amp; Agricultural SEM is implemented by Cascade Energy Inc. (“Cascade”) under contract to Southern California Edison (SCE). </w:t>
      </w:r>
      <w:r>
        <w:fldChar w:fldCharType="begin"/>
      </w:r>
      <w:r>
        <w:instrText xml:space="preserve"> REF _Ref114819365 \h </w:instrText>
      </w:r>
      <w:r>
        <w:fldChar w:fldCharType="separate"/>
      </w:r>
      <w:r w:rsidR="00A6197B">
        <w:t xml:space="preserve">Table </w:t>
      </w:r>
      <w:r w:rsidR="00A6197B">
        <w:rPr>
          <w:noProof/>
        </w:rPr>
        <w:t>16</w:t>
      </w:r>
      <w:r>
        <w:fldChar w:fldCharType="end"/>
      </w:r>
      <w:r>
        <w:t xml:space="preserve"> shows key dates for the program. </w:t>
      </w:r>
    </w:p>
    <w:p w14:paraId="281A2C79" w14:textId="078F45B7" w:rsidR="003B00AE" w:rsidRDefault="003B00AE" w:rsidP="003B00AE">
      <w:pPr>
        <w:pStyle w:val="Caption"/>
        <w:jc w:val="left"/>
      </w:pPr>
      <w:bookmarkStart w:id="100" w:name="_Ref114819365"/>
      <w:r>
        <w:t xml:space="preserve">Table </w:t>
      </w:r>
      <w:r w:rsidR="00B70853">
        <w:fldChar w:fldCharType="begin"/>
      </w:r>
      <w:r w:rsidR="00B70853">
        <w:instrText xml:space="preserve"> SEQ Table \* ARABIC </w:instrText>
      </w:r>
      <w:r w:rsidR="00B70853">
        <w:fldChar w:fldCharType="separate"/>
      </w:r>
      <w:r w:rsidR="00A6197B">
        <w:rPr>
          <w:noProof/>
        </w:rPr>
        <w:t>16</w:t>
      </w:r>
      <w:r w:rsidR="00B70853">
        <w:rPr>
          <w:noProof/>
        </w:rPr>
        <w:fldChar w:fldCharType="end"/>
      </w:r>
      <w:bookmarkEnd w:id="100"/>
      <w:r>
        <w:t xml:space="preserve"> Key Program Dates</w:t>
      </w:r>
    </w:p>
    <w:tbl>
      <w:tblPr>
        <w:tblStyle w:val="GridTable4-Accent3"/>
        <w:tblW w:w="0" w:type="auto"/>
        <w:tblLook w:val="04A0" w:firstRow="1" w:lastRow="0" w:firstColumn="1" w:lastColumn="0" w:noHBand="0" w:noVBand="1"/>
      </w:tblPr>
      <w:tblGrid>
        <w:gridCol w:w="4675"/>
        <w:gridCol w:w="2160"/>
      </w:tblGrid>
      <w:tr w:rsidR="003B00AE" w14:paraId="76A4FDDB" w14:textId="77777777" w:rsidTr="00D625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2F5496" w:themeFill="accent1" w:themeFillShade="BF"/>
          </w:tcPr>
          <w:p w14:paraId="0F28F94C" w14:textId="77777777" w:rsidR="003B00AE" w:rsidRPr="001207AB" w:rsidRDefault="003B00AE" w:rsidP="00D6251E">
            <w:r w:rsidRPr="001207AB">
              <w:t>Milestone</w:t>
            </w:r>
          </w:p>
        </w:tc>
        <w:tc>
          <w:tcPr>
            <w:tcW w:w="2160" w:type="dxa"/>
            <w:shd w:val="clear" w:color="auto" w:fill="2F5496" w:themeFill="accent1" w:themeFillShade="BF"/>
          </w:tcPr>
          <w:p w14:paraId="31F09C32" w14:textId="77777777" w:rsidR="003B00AE" w:rsidRPr="001207AB" w:rsidRDefault="003B00AE" w:rsidP="00D6251E">
            <w:pPr>
              <w:cnfStyle w:val="100000000000" w:firstRow="1" w:lastRow="0" w:firstColumn="0" w:lastColumn="0" w:oddVBand="0" w:evenVBand="0" w:oddHBand="0" w:evenHBand="0" w:firstRowFirstColumn="0" w:firstRowLastColumn="0" w:lastRowFirstColumn="0" w:lastRowLastColumn="0"/>
            </w:pPr>
            <w:r w:rsidRPr="001207AB">
              <w:t>Date</w:t>
            </w:r>
          </w:p>
        </w:tc>
      </w:tr>
      <w:tr w:rsidR="003B00AE" w14:paraId="5CE866FE" w14:textId="77777777" w:rsidTr="00D625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2ABB6A4" w14:textId="77777777" w:rsidR="003B00AE" w:rsidRDefault="003B00AE" w:rsidP="00D6251E">
            <w:r>
              <w:t>Advice Letter Approval</w:t>
            </w:r>
          </w:p>
        </w:tc>
        <w:tc>
          <w:tcPr>
            <w:tcW w:w="2160" w:type="dxa"/>
          </w:tcPr>
          <w:p w14:paraId="008A83A1" w14:textId="77777777" w:rsidR="003B00AE" w:rsidRDefault="003B00AE" w:rsidP="00D6251E">
            <w:pPr>
              <w:cnfStyle w:val="000000100000" w:firstRow="0" w:lastRow="0" w:firstColumn="0" w:lastColumn="0" w:oddVBand="0" w:evenVBand="0" w:oddHBand="1" w:evenHBand="0" w:firstRowFirstColumn="0" w:firstRowLastColumn="0" w:lastRowFirstColumn="0" w:lastRowLastColumn="0"/>
            </w:pPr>
            <w:r>
              <w:t>5/10/2024</w:t>
            </w:r>
          </w:p>
        </w:tc>
      </w:tr>
      <w:tr w:rsidR="003B00AE" w14:paraId="4AC87BE4" w14:textId="77777777" w:rsidTr="00D6251E">
        <w:tc>
          <w:tcPr>
            <w:cnfStyle w:val="001000000000" w:firstRow="0" w:lastRow="0" w:firstColumn="1" w:lastColumn="0" w:oddVBand="0" w:evenVBand="0" w:oddHBand="0" w:evenHBand="0" w:firstRowFirstColumn="0" w:firstRowLastColumn="0" w:lastRowFirstColumn="0" w:lastRowLastColumn="0"/>
            <w:tcW w:w="4675" w:type="dxa"/>
          </w:tcPr>
          <w:p w14:paraId="5AC3FE42" w14:textId="77777777" w:rsidR="003B00AE" w:rsidRDefault="003B00AE" w:rsidP="00D6251E">
            <w:r>
              <w:t>Begin program implementation activities</w:t>
            </w:r>
          </w:p>
        </w:tc>
        <w:tc>
          <w:tcPr>
            <w:tcW w:w="2160" w:type="dxa"/>
          </w:tcPr>
          <w:p w14:paraId="2BFE0311" w14:textId="5A60E731" w:rsidR="003B00AE" w:rsidRDefault="005C4353" w:rsidP="00D6251E">
            <w:pPr>
              <w:cnfStyle w:val="000000000000" w:firstRow="0" w:lastRow="0" w:firstColumn="0" w:lastColumn="0" w:oddVBand="0" w:evenVBand="0" w:oddHBand="0" w:evenHBand="0" w:firstRowFirstColumn="0" w:firstRowLastColumn="0" w:lastRowFirstColumn="0" w:lastRowLastColumn="0"/>
            </w:pPr>
            <w:r>
              <w:t>4/1/2025</w:t>
            </w:r>
          </w:p>
        </w:tc>
      </w:tr>
      <w:tr w:rsidR="003B00AE" w14:paraId="769619A2" w14:textId="77777777" w:rsidTr="00D625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845B612" w14:textId="77777777" w:rsidR="003B00AE" w:rsidRDefault="003B00AE" w:rsidP="00D6251E">
            <w:r>
              <w:t>End program implementation activities</w:t>
            </w:r>
          </w:p>
        </w:tc>
        <w:tc>
          <w:tcPr>
            <w:tcW w:w="2160" w:type="dxa"/>
          </w:tcPr>
          <w:p w14:paraId="756674A7" w14:textId="77777777" w:rsidR="003B00AE" w:rsidRDefault="003B00AE" w:rsidP="00D6251E">
            <w:pPr>
              <w:cnfStyle w:val="000000100000" w:firstRow="0" w:lastRow="0" w:firstColumn="0" w:lastColumn="0" w:oddVBand="0" w:evenVBand="0" w:oddHBand="1" w:evenHBand="0" w:firstRowFirstColumn="0" w:firstRowLastColumn="0" w:lastRowFirstColumn="0" w:lastRowLastColumn="0"/>
            </w:pPr>
            <w:r>
              <w:t>12/31/2029</w:t>
            </w:r>
          </w:p>
        </w:tc>
      </w:tr>
    </w:tbl>
    <w:p w14:paraId="77625C80" w14:textId="77777777" w:rsidR="003B00AE" w:rsidRDefault="003B00AE" w:rsidP="003B00AE"/>
    <w:p w14:paraId="1383960F" w14:textId="77777777" w:rsidR="003B00AE" w:rsidRDefault="003B00AE" w:rsidP="003B00AE">
      <w:r>
        <w:t>SPARKe Industrial and Agricultural SEM involves three key parties:</w:t>
      </w:r>
    </w:p>
    <w:p w14:paraId="3A208528" w14:textId="77777777" w:rsidR="003B00AE" w:rsidRDefault="003B00AE" w:rsidP="00F0210D">
      <w:pPr>
        <w:pStyle w:val="HText3Bullets"/>
        <w:ind w:left="634"/>
        <w:contextualSpacing/>
      </w:pPr>
      <w:r>
        <w:rPr>
          <w:b/>
          <w:bCs/>
        </w:rPr>
        <w:t xml:space="preserve">Participant (Applicant): </w:t>
      </w:r>
      <w:r>
        <w:t>An eligible industrial or agricultural ratepayer who is participating in the SPARKe SEM program.</w:t>
      </w:r>
    </w:p>
    <w:p w14:paraId="0CA122DB" w14:textId="77777777" w:rsidR="003B00AE" w:rsidRDefault="003B00AE" w:rsidP="00F0210D">
      <w:pPr>
        <w:pStyle w:val="HText3Bullets"/>
        <w:ind w:left="634"/>
        <w:contextualSpacing/>
      </w:pPr>
      <w:r>
        <w:rPr>
          <w:b/>
          <w:bCs/>
        </w:rPr>
        <w:t xml:space="preserve">Implementer (Cascade Energy): </w:t>
      </w:r>
      <w:r>
        <w:t xml:space="preserve">SPARKe Industrial and Agricultural SEM is implemented by Cascade Energy under contract to SCE. </w:t>
      </w:r>
    </w:p>
    <w:p w14:paraId="1CC2DE70" w14:textId="77777777" w:rsidR="003B00AE" w:rsidRDefault="003B00AE" w:rsidP="00F0210D">
      <w:pPr>
        <w:pStyle w:val="HText3Bullets"/>
        <w:ind w:left="634"/>
        <w:contextualSpacing/>
      </w:pPr>
      <w:r>
        <w:rPr>
          <w:b/>
          <w:bCs/>
        </w:rPr>
        <w:t xml:space="preserve">Program Administrator (SCE) </w:t>
      </w:r>
      <w:r>
        <w:t>At the direction of the California Public Utilities Commission (CPUC), SCE serves its customers with a portfolio of energy efficiency and demand response programs, including third-party programs such as SPARKe Industrial and Agricultural SEM.</w:t>
      </w:r>
    </w:p>
    <w:p w14:paraId="7ADC2EF9" w14:textId="77777777" w:rsidR="003B00AE" w:rsidRDefault="003B00AE" w:rsidP="003B00AE">
      <w:pPr>
        <w:pStyle w:val="Heading3"/>
      </w:pPr>
      <w:bookmarkStart w:id="101" w:name="_Toc127428902"/>
      <w:bookmarkStart w:id="102" w:name="_Toc128397212"/>
      <w:bookmarkStart w:id="103" w:name="_Toc168555580"/>
      <w:r>
        <w:t>Program Eligibility</w:t>
      </w:r>
      <w:bookmarkEnd w:id="101"/>
      <w:bookmarkEnd w:id="102"/>
      <w:bookmarkEnd w:id="103"/>
    </w:p>
    <w:p w14:paraId="6C0300D0" w14:textId="77777777" w:rsidR="003B00AE" w:rsidRPr="00132364" w:rsidRDefault="003B00AE" w:rsidP="003B00AE">
      <w:pPr>
        <w:pStyle w:val="BodyText"/>
        <w:ind w:left="0"/>
        <w:rPr>
          <w:b/>
          <w:bCs/>
          <w:color w:val="2F5496" w:themeColor="accent1" w:themeShade="BF"/>
        </w:rPr>
      </w:pPr>
      <w:bookmarkStart w:id="104" w:name="_Toc127428903"/>
      <w:bookmarkStart w:id="105" w:name="_Toc128397213"/>
      <w:bookmarkStart w:id="106" w:name="_Toc168555581"/>
      <w:r w:rsidRPr="00132364">
        <w:rPr>
          <w:b/>
          <w:bCs/>
          <w:color w:val="2F5496" w:themeColor="accent1" w:themeShade="BF"/>
        </w:rPr>
        <w:t>Participants</w:t>
      </w:r>
      <w:bookmarkEnd w:id="104"/>
      <w:bookmarkEnd w:id="105"/>
      <w:bookmarkEnd w:id="106"/>
    </w:p>
    <w:p w14:paraId="4A431D3A" w14:textId="77777777" w:rsidR="003B00AE" w:rsidRDefault="003B00AE" w:rsidP="003B00AE">
      <w:r>
        <w:t>SPARKe Industrial and Agricultural SEM is available to industrial and agricultural customers who meet the following eligibility requirements:</w:t>
      </w:r>
    </w:p>
    <w:p w14:paraId="0BC5290B" w14:textId="77777777" w:rsidR="003B00AE" w:rsidRDefault="003B00AE" w:rsidP="003B00AE">
      <w:pPr>
        <w:pStyle w:val="ListParagraph"/>
        <w:numPr>
          <w:ilvl w:val="0"/>
          <w:numId w:val="32"/>
        </w:numPr>
        <w:spacing w:after="0" w:line="276" w:lineRule="auto"/>
      </w:pPr>
      <w:r>
        <w:t>Receive electricity services from within SCE’s service territory.</w:t>
      </w:r>
    </w:p>
    <w:p w14:paraId="25C43ED9" w14:textId="77777777" w:rsidR="003B00AE" w:rsidRDefault="003B00AE" w:rsidP="003B00AE">
      <w:pPr>
        <w:pStyle w:val="ListParagraph"/>
        <w:numPr>
          <w:ilvl w:val="0"/>
          <w:numId w:val="32"/>
        </w:numPr>
        <w:spacing w:after="0" w:line="276" w:lineRule="auto"/>
      </w:pPr>
      <w:r>
        <w:lastRenderedPageBreak/>
        <w:t>Designated as an industrial or agricultural sector customer by SCE.</w:t>
      </w:r>
    </w:p>
    <w:p w14:paraId="74ABD8FB" w14:textId="77777777" w:rsidR="003B00AE" w:rsidRDefault="003B00AE" w:rsidP="003B00AE">
      <w:pPr>
        <w:pStyle w:val="ListParagraph"/>
        <w:numPr>
          <w:ilvl w:val="0"/>
          <w:numId w:val="32"/>
        </w:numPr>
        <w:spacing w:after="0" w:line="276" w:lineRule="auto"/>
      </w:pPr>
      <w:r>
        <w:t>Have a minimum of 2M kWh annual usage at the site level.</w:t>
      </w:r>
    </w:p>
    <w:p w14:paraId="7FB00054" w14:textId="77777777" w:rsidR="003B00AE" w:rsidRDefault="003B00AE" w:rsidP="003B00AE">
      <w:pPr>
        <w:pStyle w:val="ListParagraph"/>
        <w:numPr>
          <w:ilvl w:val="0"/>
          <w:numId w:val="32"/>
        </w:numPr>
        <w:spacing w:after="0" w:line="276" w:lineRule="auto"/>
      </w:pPr>
      <w:r>
        <w:t>Must be paying the public purpose program surcharge.</w:t>
      </w:r>
    </w:p>
    <w:p w14:paraId="1E098D21" w14:textId="77777777" w:rsidR="003B00AE" w:rsidRDefault="003B00AE" w:rsidP="003B00AE">
      <w:pPr>
        <w:pStyle w:val="BulletList-1"/>
        <w:numPr>
          <w:ilvl w:val="0"/>
          <w:numId w:val="0"/>
        </w:numPr>
        <w:ind w:left="720" w:hanging="360"/>
      </w:pPr>
    </w:p>
    <w:p w14:paraId="6F77F324" w14:textId="77777777" w:rsidR="003B00AE" w:rsidRDefault="003B00AE" w:rsidP="003B00AE">
      <w:r>
        <w:t>Additional eligibility for SEM will be evaluated based on the following factors:</w:t>
      </w:r>
    </w:p>
    <w:p w14:paraId="67B7A935" w14:textId="77777777" w:rsidR="003B00AE" w:rsidRDefault="003B00AE" w:rsidP="003B00AE">
      <w:pPr>
        <w:pStyle w:val="ListParagraph"/>
        <w:numPr>
          <w:ilvl w:val="0"/>
          <w:numId w:val="32"/>
        </w:numPr>
        <w:spacing w:after="0" w:line="276" w:lineRule="auto"/>
      </w:pPr>
      <w:r>
        <w:t>Interest in SEM and commitment to at least one cycle (two-year commitment)</w:t>
      </w:r>
    </w:p>
    <w:p w14:paraId="0BE33D49" w14:textId="77777777" w:rsidR="003B00AE" w:rsidRDefault="003B00AE" w:rsidP="003B00AE">
      <w:pPr>
        <w:pStyle w:val="ListParagraph"/>
        <w:numPr>
          <w:ilvl w:val="0"/>
          <w:numId w:val="32"/>
        </w:numPr>
        <w:spacing w:after="0" w:line="276" w:lineRule="auto"/>
      </w:pPr>
      <w:r>
        <w:t>Ability to staff the energy team required for SEM</w:t>
      </w:r>
    </w:p>
    <w:p w14:paraId="27B2C3A2" w14:textId="77777777" w:rsidR="003B00AE" w:rsidRDefault="003B00AE" w:rsidP="003B00AE">
      <w:pPr>
        <w:pStyle w:val="ListParagraph"/>
        <w:numPr>
          <w:ilvl w:val="0"/>
          <w:numId w:val="32"/>
        </w:numPr>
        <w:spacing w:after="0" w:line="276" w:lineRule="auto"/>
      </w:pPr>
      <w:r>
        <w:t>Number of subsystems and annual energy use, kWh and therms</w:t>
      </w:r>
    </w:p>
    <w:p w14:paraId="1007D47A" w14:textId="77777777" w:rsidR="003B00AE" w:rsidRDefault="003B00AE" w:rsidP="003B00AE"/>
    <w:p w14:paraId="176F0FC2" w14:textId="77777777" w:rsidR="003B00AE" w:rsidRDefault="003B00AE" w:rsidP="003B00AE">
      <w:r>
        <w:t>As noted in CPUC Decision 23-02-002, “t</w:t>
      </w:r>
      <w:r w:rsidRPr="00413871">
        <w:t>he key customer characteristics relevant to SEM participation seem to be dedicated resources for implementing long-term measures at the customer site and higher potential for onsite behavioral, retro-commissioning, and operational savings.</w:t>
      </w:r>
      <w:r>
        <w:t>”</w:t>
      </w:r>
      <w:r>
        <w:rPr>
          <w:rStyle w:val="FootnoteReference"/>
        </w:rPr>
        <w:footnoteReference w:id="5"/>
      </w:r>
      <w:r>
        <w:t xml:space="preserve"> These characteristics will apply to both small and large customers and justify the NTG assumption of 1.0. </w:t>
      </w:r>
    </w:p>
    <w:p w14:paraId="1ABC4B3D" w14:textId="77777777" w:rsidR="003B00AE" w:rsidRPr="00132364" w:rsidRDefault="003B00AE" w:rsidP="003B00AE">
      <w:pPr>
        <w:pStyle w:val="BodyText"/>
        <w:ind w:left="0"/>
        <w:rPr>
          <w:b/>
          <w:bCs/>
          <w:color w:val="2F5496" w:themeColor="accent1" w:themeShade="BF"/>
        </w:rPr>
      </w:pPr>
      <w:bookmarkStart w:id="107" w:name="_Toc127428904"/>
      <w:bookmarkStart w:id="108" w:name="_Toc128397214"/>
      <w:bookmarkStart w:id="109" w:name="_Toc168555582"/>
      <w:r w:rsidRPr="00132364">
        <w:rPr>
          <w:b/>
          <w:bCs/>
          <w:color w:val="2F5496" w:themeColor="accent1" w:themeShade="BF"/>
        </w:rPr>
        <w:t>Measures</w:t>
      </w:r>
      <w:bookmarkEnd w:id="107"/>
      <w:bookmarkEnd w:id="108"/>
      <w:bookmarkEnd w:id="109"/>
    </w:p>
    <w:p w14:paraId="449F1AC2" w14:textId="77777777" w:rsidR="003B00AE" w:rsidRPr="00946266" w:rsidRDefault="003B00AE" w:rsidP="003B00AE">
      <w:r>
        <w:t>In addition to the BRO (Behavioral, Retro-commissioning, Operational) projects more commonly addressed through SEM, SPARKe also includes capital, electrification and deemed projects.</w:t>
      </w:r>
    </w:p>
    <w:p w14:paraId="26D255C7" w14:textId="77777777" w:rsidR="003B00AE" w:rsidRDefault="003B00AE" w:rsidP="003B00AE">
      <w:pPr>
        <w:pStyle w:val="Heading3"/>
      </w:pPr>
      <w:r>
        <w:t>BRO (Behavioral, Retro-commissioning, Operational)</w:t>
      </w:r>
    </w:p>
    <w:p w14:paraId="6E3169D7" w14:textId="77777777" w:rsidR="003B00AE" w:rsidRDefault="003B00AE" w:rsidP="003B00AE">
      <w:r>
        <w:t xml:space="preserve">SEM BRO measures as described in the </w:t>
      </w:r>
      <w:hyperlink r:id="rId25" w:history="1">
        <w:r w:rsidRPr="00D61EAC">
          <w:rPr>
            <w:rStyle w:val="Hyperlink"/>
            <w:b w:val="0"/>
            <w:bCs/>
          </w:rPr>
          <w:t>California SEM M&amp;V Guide</w:t>
        </w:r>
      </w:hyperlink>
      <w:r w:rsidRPr="00D61EAC">
        <w:rPr>
          <w:b/>
          <w:bCs/>
        </w:rPr>
        <w:t xml:space="preserve"> </w:t>
      </w:r>
      <w:r>
        <w:t>will be the primary measures utilized in the SPARKe Industrial and Agricultural SEM program. Additionally, participants will benefit from educational modules, peer-to-peer learning and accountability groups with similar industrial facilities, and employee engagement resources to drive additional energy savings across the facility.</w:t>
      </w:r>
    </w:p>
    <w:p w14:paraId="78B63FEF" w14:textId="77777777" w:rsidR="003B00AE" w:rsidRDefault="003B00AE" w:rsidP="003B00AE">
      <w:pPr>
        <w:pStyle w:val="Heading3"/>
      </w:pPr>
      <w:r>
        <w:t>Deemed</w:t>
      </w:r>
    </w:p>
    <w:p w14:paraId="02BFA425" w14:textId="77777777" w:rsidR="003B00AE" w:rsidRDefault="003B00AE" w:rsidP="003B00AE">
      <w:r>
        <w:t>Deemed measures are prescriptive measures supported by CPUC-approved statewide measure packages that define energy savings values by building type, climate zone, etc. Deemed measures must be listed in the current electronic Technical Resource Manual (eTRM).</w:t>
      </w:r>
    </w:p>
    <w:p w14:paraId="0D08DDB6" w14:textId="77777777" w:rsidR="003B00AE" w:rsidRDefault="003B00AE" w:rsidP="003B00AE">
      <w:pPr>
        <w:pStyle w:val="Heading3"/>
      </w:pPr>
      <w:r>
        <w:t>Custom</w:t>
      </w:r>
    </w:p>
    <w:p w14:paraId="282E406D" w14:textId="77777777" w:rsidR="003B00AE" w:rsidRPr="002943E4" w:rsidRDefault="003B00AE" w:rsidP="003B00AE">
      <w:pPr>
        <w:pStyle w:val="pf0"/>
        <w:rPr>
          <w:rFonts w:eastAsiaTheme="minorHAnsi" w:cstheme="minorBidi"/>
          <w:sz w:val="22"/>
          <w:szCs w:val="22"/>
        </w:rPr>
      </w:pPr>
      <w:r w:rsidRPr="002943E4">
        <w:rPr>
          <w:rFonts w:eastAsiaTheme="minorHAnsi" w:cstheme="minorBidi"/>
          <w:sz w:val="22"/>
          <w:szCs w:val="22"/>
        </w:rPr>
        <w:t>Custom measures completed within the SEM program will adhere to the California SEM M&amp;V Guide requirements. We anticipate the vast majority of capital projects will be captured in the SEM program; however, customers have the option to select to opt into following the custom capital process. </w:t>
      </w:r>
    </w:p>
    <w:p w14:paraId="116A4DA3" w14:textId="77777777" w:rsidR="003B00AE" w:rsidDel="003F38E6" w:rsidRDefault="003B00AE" w:rsidP="003B00AE">
      <w:r w:rsidDel="00D86B1B">
        <w:t xml:space="preserve">Non-deemed (“custom calculated”) measures (developed for a specific project) shall be submitted to SCE and require SCE Engineering review and written approval before installation. For such measures, Cascade shall follow the Statewide Custom Project Guidelines and all statewide documentation and workbooks outlined. Cascade shall work with SCE to ensure that the Statewide Custom Guidelines are being followed and adhered to. Any non-workpaper customized measures shall be submitted in the Statewide Custom Projects Review Guidance documents format as posted on the public CPUC website. </w:t>
      </w:r>
    </w:p>
    <w:p w14:paraId="36312BB6" w14:textId="77777777" w:rsidR="003B00AE" w:rsidRPr="002943E4" w:rsidRDefault="003B00AE" w:rsidP="003B00AE">
      <w:pPr>
        <w:pStyle w:val="BodyText"/>
        <w:ind w:left="0"/>
        <w:rPr>
          <w:b/>
          <w:bCs/>
          <w:color w:val="2F5496" w:themeColor="accent1" w:themeShade="BF"/>
        </w:rPr>
      </w:pPr>
      <w:bookmarkStart w:id="110" w:name="_Toc127428905"/>
      <w:bookmarkStart w:id="111" w:name="_Toc128397215"/>
      <w:bookmarkStart w:id="112" w:name="_Toc168555583"/>
      <w:r w:rsidRPr="002943E4">
        <w:rPr>
          <w:b/>
          <w:bCs/>
          <w:color w:val="2F5496" w:themeColor="accent1" w:themeShade="BF"/>
        </w:rPr>
        <w:lastRenderedPageBreak/>
        <w:t>Contractors</w:t>
      </w:r>
      <w:bookmarkEnd w:id="110"/>
      <w:bookmarkEnd w:id="111"/>
      <w:bookmarkEnd w:id="112"/>
    </w:p>
    <w:p w14:paraId="1766BDDF" w14:textId="3D526C11" w:rsidR="003B00AE" w:rsidRDefault="003B00AE" w:rsidP="003B00AE">
      <w:r>
        <w:t xml:space="preserve">SCE authorizes Cascade to utilize the Subcontractors in </w:t>
      </w:r>
      <w:r>
        <w:fldChar w:fldCharType="begin"/>
      </w:r>
      <w:r>
        <w:instrText xml:space="preserve"> REF _Ref114825524 \h </w:instrText>
      </w:r>
      <w:r>
        <w:fldChar w:fldCharType="separate"/>
      </w:r>
      <w:r w:rsidR="00A6197B">
        <w:t xml:space="preserve">Table </w:t>
      </w:r>
      <w:r w:rsidR="00A6197B">
        <w:rPr>
          <w:noProof/>
        </w:rPr>
        <w:t>17</w:t>
      </w:r>
      <w:r>
        <w:fldChar w:fldCharType="end"/>
      </w:r>
      <w:r>
        <w:t xml:space="preserve"> in performing and providing the Services.  This is not a direct install program, and participants are able to select any qualified installer of their choice.</w:t>
      </w:r>
    </w:p>
    <w:p w14:paraId="5B8EE096" w14:textId="7438DA6F" w:rsidR="003B00AE" w:rsidRDefault="003B00AE" w:rsidP="003B00AE">
      <w:pPr>
        <w:pStyle w:val="Caption"/>
        <w:jc w:val="left"/>
      </w:pPr>
      <w:bookmarkStart w:id="113" w:name="_Ref114825524"/>
      <w:r>
        <w:t xml:space="preserve">Table </w:t>
      </w:r>
      <w:r w:rsidR="00B70853">
        <w:fldChar w:fldCharType="begin"/>
      </w:r>
      <w:r w:rsidR="00B70853">
        <w:instrText xml:space="preserve"> SEQ Table \* ARABIC </w:instrText>
      </w:r>
      <w:r w:rsidR="00B70853">
        <w:fldChar w:fldCharType="separate"/>
      </w:r>
      <w:r w:rsidR="00A6197B">
        <w:rPr>
          <w:noProof/>
        </w:rPr>
        <w:t>17</w:t>
      </w:r>
      <w:r w:rsidR="00B70853">
        <w:rPr>
          <w:noProof/>
        </w:rPr>
        <w:fldChar w:fldCharType="end"/>
      </w:r>
      <w:bookmarkEnd w:id="113"/>
      <w:r>
        <w:t xml:space="preserve"> SCE Approved Subcontractors for SPARKe</w:t>
      </w:r>
    </w:p>
    <w:tbl>
      <w:tblPr>
        <w:tblStyle w:val="BandedBlueTable"/>
        <w:tblW w:w="0" w:type="auto"/>
        <w:tblLook w:val="04A0" w:firstRow="1" w:lastRow="0" w:firstColumn="1" w:lastColumn="0" w:noHBand="0" w:noVBand="1"/>
      </w:tblPr>
      <w:tblGrid>
        <w:gridCol w:w="4675"/>
        <w:gridCol w:w="4675"/>
      </w:tblGrid>
      <w:tr w:rsidR="003B00AE" w14:paraId="44B4BCF8" w14:textId="77777777" w:rsidTr="00D6251E">
        <w:trPr>
          <w:cnfStyle w:val="100000000000" w:firstRow="1" w:lastRow="0" w:firstColumn="0" w:lastColumn="0" w:oddVBand="0" w:evenVBand="0" w:oddHBand="0" w:evenHBand="0" w:firstRowFirstColumn="0" w:firstRowLastColumn="0" w:lastRowFirstColumn="0" w:lastRowLastColumn="0"/>
        </w:trPr>
        <w:tc>
          <w:tcPr>
            <w:tcW w:w="4675" w:type="dxa"/>
          </w:tcPr>
          <w:p w14:paraId="134ACCC3" w14:textId="77777777" w:rsidR="003B00AE" w:rsidRPr="00A27625" w:rsidRDefault="003B00AE" w:rsidP="00D6251E">
            <w:pPr>
              <w:rPr>
                <w:sz w:val="22"/>
              </w:rPr>
            </w:pPr>
            <w:r w:rsidRPr="00A27625">
              <w:rPr>
                <w:sz w:val="22"/>
              </w:rPr>
              <w:t>Subcontractor Business Name</w:t>
            </w:r>
          </w:p>
        </w:tc>
        <w:tc>
          <w:tcPr>
            <w:tcW w:w="4675" w:type="dxa"/>
          </w:tcPr>
          <w:p w14:paraId="379E0864" w14:textId="77777777" w:rsidR="003B00AE" w:rsidRPr="00A27625" w:rsidRDefault="003B00AE" w:rsidP="00D6251E">
            <w:pPr>
              <w:rPr>
                <w:sz w:val="22"/>
              </w:rPr>
            </w:pPr>
            <w:r w:rsidRPr="00A27625">
              <w:rPr>
                <w:sz w:val="22"/>
              </w:rPr>
              <w:t>Work Description</w:t>
            </w:r>
          </w:p>
        </w:tc>
      </w:tr>
      <w:tr w:rsidR="003B00AE" w14:paraId="6EF28731" w14:textId="77777777" w:rsidTr="00D6251E">
        <w:tc>
          <w:tcPr>
            <w:tcW w:w="4675" w:type="dxa"/>
          </w:tcPr>
          <w:p w14:paraId="64C24B5C" w14:textId="77777777" w:rsidR="003B00AE" w:rsidRPr="00A27625" w:rsidRDefault="003B00AE" w:rsidP="00D6251E">
            <w:r w:rsidRPr="00A27625">
              <w:t>BASE</w:t>
            </w:r>
          </w:p>
        </w:tc>
        <w:tc>
          <w:tcPr>
            <w:tcW w:w="4675" w:type="dxa"/>
          </w:tcPr>
          <w:p w14:paraId="0CD1FD63" w14:textId="77777777" w:rsidR="003B00AE" w:rsidRPr="00A27625" w:rsidRDefault="003B00AE" w:rsidP="00D6251E">
            <w:r w:rsidRPr="00A27625">
              <w:t>Technical Engineering Services</w:t>
            </w:r>
          </w:p>
        </w:tc>
      </w:tr>
      <w:tr w:rsidR="003B00AE" w14:paraId="1B0A67D9" w14:textId="77777777" w:rsidTr="00D6251E">
        <w:trPr>
          <w:cnfStyle w:val="000000010000" w:firstRow="0" w:lastRow="0" w:firstColumn="0" w:lastColumn="0" w:oddVBand="0" w:evenVBand="0" w:oddHBand="0" w:evenHBand="1" w:firstRowFirstColumn="0" w:firstRowLastColumn="0" w:lastRowFirstColumn="0" w:lastRowLastColumn="0"/>
        </w:trPr>
        <w:tc>
          <w:tcPr>
            <w:tcW w:w="4675" w:type="dxa"/>
          </w:tcPr>
          <w:p w14:paraId="693966E6" w14:textId="77777777" w:rsidR="003B00AE" w:rsidRPr="00A27625" w:rsidRDefault="003B00AE" w:rsidP="00D6251E">
            <w:r w:rsidRPr="00A27625">
              <w:t>Energy Solutions</w:t>
            </w:r>
          </w:p>
        </w:tc>
        <w:tc>
          <w:tcPr>
            <w:tcW w:w="4675" w:type="dxa"/>
          </w:tcPr>
          <w:p w14:paraId="5A2D6862" w14:textId="77777777" w:rsidR="003B00AE" w:rsidRPr="00A27625" w:rsidRDefault="003B00AE" w:rsidP="00D6251E">
            <w:r w:rsidRPr="00A27625">
              <w:t>Technical Engineering Services</w:t>
            </w:r>
          </w:p>
        </w:tc>
      </w:tr>
    </w:tbl>
    <w:p w14:paraId="793EA70D" w14:textId="77777777" w:rsidR="003B00AE" w:rsidRDefault="003B00AE" w:rsidP="003B00AE">
      <w:pPr>
        <w:pStyle w:val="Heading3"/>
      </w:pPr>
      <w:bookmarkStart w:id="114" w:name="_Toc127428906"/>
      <w:bookmarkStart w:id="115" w:name="_Toc128397216"/>
      <w:bookmarkStart w:id="116" w:name="_Toc168555584"/>
      <w:r>
        <w:t>Participating Contractors, Manufacturers, Retailers, Distributors, and Partners</w:t>
      </w:r>
      <w:bookmarkEnd w:id="114"/>
      <w:bookmarkEnd w:id="115"/>
      <w:bookmarkEnd w:id="116"/>
    </w:p>
    <w:p w14:paraId="739B98E7" w14:textId="77777777" w:rsidR="003B00AE" w:rsidRPr="00F91EA8" w:rsidRDefault="003B00AE" w:rsidP="003B00AE">
      <w:r>
        <w:t>Upstream and midstream incentives are not applicable for SPARKe.</w:t>
      </w:r>
    </w:p>
    <w:p w14:paraId="3345C76F" w14:textId="77777777" w:rsidR="003B00AE" w:rsidRDefault="003B00AE" w:rsidP="003B00AE">
      <w:pPr>
        <w:pStyle w:val="Heading3"/>
      </w:pPr>
      <w:bookmarkStart w:id="117" w:name="_Toc127428907"/>
      <w:bookmarkStart w:id="118" w:name="_Toc128397217"/>
      <w:bookmarkStart w:id="119" w:name="_Toc168555585"/>
      <w:r>
        <w:t>Additional Services</w:t>
      </w:r>
      <w:bookmarkEnd w:id="117"/>
      <w:bookmarkEnd w:id="118"/>
      <w:bookmarkEnd w:id="119"/>
    </w:p>
    <w:p w14:paraId="1700CE5C" w14:textId="77777777" w:rsidR="003B00AE" w:rsidRDefault="003B00AE" w:rsidP="003B00AE">
      <w:r>
        <w:t>In addition to facilitating incentives, rebates, and financing for industrial and agricultural sector customers, SPARKe program design includes several innovative features, including:</w:t>
      </w:r>
    </w:p>
    <w:p w14:paraId="14F95B84" w14:textId="77777777" w:rsidR="003B00AE" w:rsidRDefault="003B00AE" w:rsidP="003B00AE">
      <w:pPr>
        <w:pStyle w:val="ListParagraph"/>
        <w:numPr>
          <w:ilvl w:val="0"/>
          <w:numId w:val="33"/>
        </w:numPr>
        <w:spacing w:after="0" w:line="276" w:lineRule="auto"/>
      </w:pPr>
      <w:r w:rsidRPr="00F14713">
        <w:rPr>
          <w:b/>
          <w:bCs/>
        </w:rPr>
        <w:t>Utilize Energy Sensei’s claims feature</w:t>
      </w:r>
      <w:r>
        <w:t xml:space="preserve"> to help standardize savings calculations and aggregate multi-year portfolios.</w:t>
      </w:r>
    </w:p>
    <w:p w14:paraId="3D38A45B" w14:textId="77777777" w:rsidR="003B00AE" w:rsidRPr="00F14713" w:rsidRDefault="003B00AE" w:rsidP="003B00AE">
      <w:pPr>
        <w:pStyle w:val="ListParagraph"/>
        <w:numPr>
          <w:ilvl w:val="0"/>
          <w:numId w:val="33"/>
        </w:numPr>
        <w:spacing w:after="0" w:line="276" w:lineRule="auto"/>
      </w:pPr>
      <w:r>
        <w:rPr>
          <w:w w:val="0"/>
        </w:rPr>
        <w:t xml:space="preserve">Offer a cost-effective SEM path to </w:t>
      </w:r>
      <w:r>
        <w:rPr>
          <w:b/>
          <w:w w:val="0"/>
        </w:rPr>
        <w:t>serve Mid-Large sized Customers</w:t>
      </w:r>
      <w:r>
        <w:rPr>
          <w:w w:val="0"/>
        </w:rPr>
        <w:t xml:space="preserve"> (customers with usage between 2M kWh and 10M kWh).</w:t>
      </w:r>
    </w:p>
    <w:p w14:paraId="410602E3" w14:textId="77777777" w:rsidR="003B00AE" w:rsidRPr="00F14713" w:rsidRDefault="003B00AE" w:rsidP="003B00AE">
      <w:pPr>
        <w:pStyle w:val="ListParagraph"/>
        <w:numPr>
          <w:ilvl w:val="0"/>
          <w:numId w:val="33"/>
        </w:numPr>
        <w:spacing w:after="0" w:line="276" w:lineRule="auto"/>
      </w:pPr>
      <w:r>
        <w:rPr>
          <w:b/>
          <w:w w:val="0"/>
        </w:rPr>
        <w:t>Provide a shared EPM</w:t>
      </w:r>
      <w:r>
        <w:rPr>
          <w:w w:val="0"/>
        </w:rPr>
        <w:t xml:space="preserve"> to help Customers complete more projects identified through SEM.</w:t>
      </w:r>
    </w:p>
    <w:p w14:paraId="1EA9916A" w14:textId="77777777" w:rsidR="003B00AE" w:rsidRPr="00F14713" w:rsidRDefault="003B00AE" w:rsidP="003B00AE">
      <w:pPr>
        <w:pStyle w:val="ListParagraph"/>
        <w:numPr>
          <w:ilvl w:val="0"/>
          <w:numId w:val="33"/>
        </w:numPr>
        <w:spacing w:after="0" w:line="276" w:lineRule="auto"/>
      </w:pPr>
      <w:r>
        <w:rPr>
          <w:b/>
          <w:w w:val="0"/>
        </w:rPr>
        <w:t xml:space="preserve">Provide a finance coordinator </w:t>
      </w:r>
      <w:r>
        <w:rPr>
          <w:w w:val="0"/>
        </w:rPr>
        <w:t>to help make the business case for capital and electrification projects.</w:t>
      </w:r>
    </w:p>
    <w:p w14:paraId="6A3C45E7" w14:textId="77777777" w:rsidR="003B00AE" w:rsidRPr="00F14713" w:rsidRDefault="003B00AE" w:rsidP="003B00AE">
      <w:pPr>
        <w:pStyle w:val="ListParagraph"/>
        <w:numPr>
          <w:ilvl w:val="0"/>
          <w:numId w:val="33"/>
        </w:numPr>
        <w:spacing w:after="0" w:line="276" w:lineRule="auto"/>
      </w:pPr>
      <w:r>
        <w:rPr>
          <w:b/>
          <w:w w:val="0"/>
        </w:rPr>
        <w:t xml:space="preserve">Encourage electrification (fuel substitution) projects </w:t>
      </w:r>
      <w:r>
        <w:rPr>
          <w:w w:val="0"/>
        </w:rPr>
        <w:t>through attractive incentives and a role dedicated to identifying and implementing them.</w:t>
      </w:r>
    </w:p>
    <w:p w14:paraId="2552AA2D" w14:textId="77777777" w:rsidR="003B00AE" w:rsidRDefault="003B00AE" w:rsidP="003B00AE">
      <w:pPr>
        <w:pStyle w:val="ListParagraph"/>
        <w:numPr>
          <w:ilvl w:val="0"/>
          <w:numId w:val="33"/>
        </w:numPr>
        <w:spacing w:after="0" w:line="276" w:lineRule="auto"/>
      </w:pPr>
      <w:r>
        <w:rPr>
          <w:b/>
          <w:w w:val="0"/>
        </w:rPr>
        <w:t xml:space="preserve">Aggregate SEM Cycle 2 cohorts </w:t>
      </w:r>
      <w:r>
        <w:rPr>
          <w:w w:val="0"/>
        </w:rPr>
        <w:t>to optimize delivery costs and ensure a cost-effectiveness.</w:t>
      </w:r>
    </w:p>
    <w:p w14:paraId="6F575277" w14:textId="77777777" w:rsidR="003B00AE" w:rsidRDefault="003B00AE" w:rsidP="003B00AE">
      <w:pPr>
        <w:pStyle w:val="Heading3"/>
      </w:pPr>
      <w:bookmarkStart w:id="120" w:name="_Toc127428908"/>
      <w:bookmarkStart w:id="121" w:name="_Toc128397218"/>
      <w:bookmarkStart w:id="122" w:name="_Toc168555586"/>
      <w:r>
        <w:t>Audits</w:t>
      </w:r>
      <w:bookmarkEnd w:id="120"/>
      <w:bookmarkEnd w:id="121"/>
      <w:bookmarkEnd w:id="122"/>
    </w:p>
    <w:p w14:paraId="0403A26F" w14:textId="77777777" w:rsidR="003B00AE" w:rsidRPr="009A78BB" w:rsidRDefault="003B00AE" w:rsidP="003B00AE">
      <w:r>
        <w:t>Outside of the M&amp;V processes outlined in Section 3.7 – Evaluation, Measurement, and Verification, no additional audits are required.</w:t>
      </w:r>
    </w:p>
    <w:p w14:paraId="1A7B31E7" w14:textId="77777777" w:rsidR="003B00AE" w:rsidRDefault="003B00AE" w:rsidP="003B00AE">
      <w:pPr>
        <w:pStyle w:val="Heading3"/>
      </w:pPr>
      <w:bookmarkStart w:id="123" w:name="_Toc127428909"/>
      <w:bookmarkStart w:id="124" w:name="_Toc128397219"/>
      <w:bookmarkStart w:id="125" w:name="_Toc168555587"/>
      <w:r>
        <w:t>Quality Assurance Provisions</w:t>
      </w:r>
      <w:bookmarkEnd w:id="123"/>
      <w:bookmarkEnd w:id="124"/>
      <w:bookmarkEnd w:id="125"/>
    </w:p>
    <w:p w14:paraId="03361987" w14:textId="77777777" w:rsidR="003B00AE" w:rsidRDefault="003B00AE" w:rsidP="003B00AE">
      <w:r>
        <w:t xml:space="preserve">Cascade is committed to providing quality services that meet the performance, cost, and schedule requirements of our clients and participants. Our processes are established on practices, tools, and software that generate consistently reliable results. Our workflow management tools integrate fundamental management and communication techniques, technical processes, and tools into an approach focused on the quality of deliverables. Cascade’s team concentrates on continuous improvement of </w:t>
      </w:r>
      <w:r>
        <w:lastRenderedPageBreak/>
        <w:t>business processes, participant satisfaction, and continuous quality measurement of delivered services, while identifying opportunities for process improvements.</w:t>
      </w:r>
    </w:p>
    <w:p w14:paraId="4D7E02C5" w14:textId="77777777" w:rsidR="003B00AE" w:rsidRDefault="003B00AE" w:rsidP="003B00AE">
      <w:r>
        <w:t>The success of Cascade’s programs and projects are made possible by adherence to proven quality standards and established QA methods that enable us to offer our clients:</w:t>
      </w:r>
    </w:p>
    <w:p w14:paraId="763D1848" w14:textId="77777777" w:rsidR="003B00AE" w:rsidRDefault="003B00AE" w:rsidP="002E42F2">
      <w:pPr>
        <w:pStyle w:val="HText3Bullets"/>
        <w:ind w:left="634"/>
        <w:contextualSpacing/>
      </w:pPr>
      <w:r>
        <w:t xml:space="preserve">Energy efficiency and sustainability programs that use mature, well-defined, and repeatable processes. </w:t>
      </w:r>
    </w:p>
    <w:p w14:paraId="20D97566" w14:textId="77777777" w:rsidR="003B00AE" w:rsidRDefault="003B00AE" w:rsidP="002E42F2">
      <w:pPr>
        <w:pStyle w:val="HText3Bullets"/>
        <w:ind w:left="634"/>
        <w:contextualSpacing/>
      </w:pPr>
      <w:r>
        <w:t xml:space="preserve">Use of proven measurement and verification (M&amp;V) techniques. </w:t>
      </w:r>
    </w:p>
    <w:p w14:paraId="51798B9E" w14:textId="77777777" w:rsidR="003B00AE" w:rsidRDefault="003B00AE" w:rsidP="002E42F2">
      <w:pPr>
        <w:pStyle w:val="HText3Bullets"/>
        <w:ind w:left="634"/>
        <w:contextualSpacing/>
      </w:pPr>
      <w:r>
        <w:t xml:space="preserve">Use of beneficial, cost-effective, IT, data communications, and marketing tools and methodologies. </w:t>
      </w:r>
    </w:p>
    <w:p w14:paraId="3EEE03C4" w14:textId="77777777" w:rsidR="003B00AE" w:rsidRPr="00B30052" w:rsidRDefault="003B00AE" w:rsidP="003B00AE">
      <w:pPr>
        <w:pStyle w:val="BodyText"/>
        <w:ind w:left="0"/>
        <w:rPr>
          <w:b/>
          <w:bCs/>
          <w:color w:val="2F5496" w:themeColor="accent1" w:themeShade="BF"/>
        </w:rPr>
      </w:pPr>
      <w:bookmarkStart w:id="126" w:name="_Toc127428910"/>
      <w:bookmarkStart w:id="127" w:name="_Toc128397220"/>
      <w:bookmarkStart w:id="128" w:name="_Toc168555588"/>
      <w:r w:rsidRPr="00B30052">
        <w:rPr>
          <w:b/>
          <w:bCs/>
          <w:color w:val="2F5496" w:themeColor="accent1" w:themeShade="BF"/>
        </w:rPr>
        <w:t>Quality Assurance Plan Purpose</w:t>
      </w:r>
      <w:bookmarkEnd w:id="126"/>
      <w:bookmarkEnd w:id="127"/>
      <w:bookmarkEnd w:id="128"/>
    </w:p>
    <w:p w14:paraId="4C134819" w14:textId="77777777" w:rsidR="003B00AE" w:rsidRDefault="003B00AE" w:rsidP="003B00AE">
      <w:r>
        <w:t>Cascade has developed the following quality assurance (QA) plan to demonstrate how our team will monitor, assess, and ensure adherence to processes, procedures, and standards to determine the quality and on-time delivery of all deliverables and services for the program. This plan will serve as the blueprint for maintaining consistent quality through all components of the project and in each task.</w:t>
      </w:r>
    </w:p>
    <w:p w14:paraId="1AC1D561" w14:textId="77777777" w:rsidR="003B00AE" w:rsidRDefault="003B00AE" w:rsidP="003B00AE">
      <w:r>
        <w:t>The QA plan documents the procedures by which the team assesses performance for all aspects of the program against contractual requirements. The plan describes the approach for activities, including program tracking and reporting, process reviews, program audits, project engineering analyses and reports, procedures, and techniques for implementing and sustaining overall quality for the program.</w:t>
      </w:r>
    </w:p>
    <w:p w14:paraId="1923AC1A" w14:textId="77777777" w:rsidR="003B00AE" w:rsidRPr="00B30052" w:rsidRDefault="003B00AE" w:rsidP="003B00AE">
      <w:pPr>
        <w:pStyle w:val="BodyText"/>
        <w:ind w:left="0"/>
        <w:rPr>
          <w:b/>
          <w:bCs/>
          <w:color w:val="2F5496" w:themeColor="accent1" w:themeShade="BF"/>
        </w:rPr>
      </w:pPr>
      <w:bookmarkStart w:id="129" w:name="_Toc127428911"/>
      <w:bookmarkStart w:id="130" w:name="_Toc128397221"/>
      <w:bookmarkStart w:id="131" w:name="_Toc168555589"/>
      <w:r w:rsidRPr="00B30052">
        <w:rPr>
          <w:b/>
          <w:bCs/>
          <w:color w:val="2F5496" w:themeColor="accent1" w:themeShade="BF"/>
        </w:rPr>
        <w:t>Quality Assurance Plan Scope</w:t>
      </w:r>
      <w:bookmarkEnd w:id="129"/>
      <w:bookmarkEnd w:id="130"/>
      <w:bookmarkEnd w:id="131"/>
    </w:p>
    <w:p w14:paraId="088E2E53" w14:textId="77777777" w:rsidR="003B00AE" w:rsidRDefault="003B00AE" w:rsidP="003B00AE">
      <w:r>
        <w:t>Cascade has created a QA framework to form the basis of the complete quality management approach and strategy. The processes defined in the plan will be leveraged to implement quality in all aspects of performance.</w:t>
      </w:r>
    </w:p>
    <w:p w14:paraId="5193E790" w14:textId="77777777" w:rsidR="003B00AE" w:rsidRDefault="003B00AE" w:rsidP="003B00AE">
      <w:r>
        <w:t>The objective of the QA plan is to describe the roles and responsibilities and the policies and procedures that ensure consistency and quality throughout the projects. The objective enables the QA team to achieve critical measurable results for the program such as:</w:t>
      </w:r>
    </w:p>
    <w:p w14:paraId="32276F1B" w14:textId="77777777" w:rsidR="003B00AE" w:rsidRDefault="003B00AE" w:rsidP="002E42F2">
      <w:pPr>
        <w:pStyle w:val="HText3Bullets"/>
        <w:ind w:left="634"/>
        <w:contextualSpacing/>
      </w:pPr>
      <w:r w:rsidRPr="00C02E62">
        <w:rPr>
          <w:b/>
          <w:bCs/>
        </w:rPr>
        <w:t>Predictable Results:</w:t>
      </w:r>
      <w:r>
        <w:t xml:space="preserve"> The QA plan is to ensure that deliverables and services are produced in an efficient, effective, reliable, and predictable manner that will consistently produce results compliant with the contractual requirements of the program. </w:t>
      </w:r>
    </w:p>
    <w:p w14:paraId="2DDE38F3" w14:textId="77777777" w:rsidR="003B00AE" w:rsidRDefault="003B00AE" w:rsidP="002E42F2">
      <w:pPr>
        <w:pStyle w:val="HText3Bullets"/>
        <w:ind w:left="634"/>
        <w:contextualSpacing/>
      </w:pPr>
      <w:r w:rsidRPr="00C02E62">
        <w:rPr>
          <w:b/>
          <w:bCs/>
        </w:rPr>
        <w:t>Error Prevention:</w:t>
      </w:r>
      <w:r>
        <w:t xml:space="preserve"> The QA plan prevents the introduction of errors into deliverables and services. Any errors that are found undergo analysis and subsequent action to preclude reintroduction of the error. This aspect of the QA plan includes the structured approach to pursuing continuous improvement in all aspects of the program. </w:t>
      </w:r>
    </w:p>
    <w:p w14:paraId="413B8976" w14:textId="77777777" w:rsidR="003B00AE" w:rsidRDefault="003B00AE" w:rsidP="002E42F2">
      <w:pPr>
        <w:pStyle w:val="HText3Bullets"/>
        <w:ind w:left="634"/>
        <w:contextualSpacing/>
      </w:pPr>
      <w:r w:rsidRPr="00C02E62">
        <w:rPr>
          <w:b/>
          <w:bCs/>
        </w:rPr>
        <w:t>M&amp;V Documentation:</w:t>
      </w:r>
      <w:r>
        <w:t xml:space="preserve"> The QA plan ensures a structured approach to the defining, recording, and storing of documentation related to requirements, approvals, reviews, tests, decisions, actions, events, and problems and improvement measures to support verification, validation, and traceability. </w:t>
      </w:r>
    </w:p>
    <w:p w14:paraId="24153CC6" w14:textId="77777777" w:rsidR="003B00AE" w:rsidRDefault="003B00AE" w:rsidP="002E42F2">
      <w:pPr>
        <w:pStyle w:val="HText3Bullets"/>
        <w:ind w:left="634"/>
        <w:contextualSpacing/>
      </w:pPr>
      <w:r>
        <w:rPr>
          <w:b/>
          <w:bCs/>
        </w:rPr>
        <w:t>Participant</w:t>
      </w:r>
      <w:r w:rsidRPr="00C02E62">
        <w:rPr>
          <w:b/>
          <w:bCs/>
        </w:rPr>
        <w:t xml:space="preserve"> Satisfaction:</w:t>
      </w:r>
      <w:r>
        <w:t xml:space="preserve"> The QA plan ensures the participant receives the best possible deliverables and services. Participant satisfaction surveys will be conducted so that participants may comment on the program and Cascade. Surveys will be conducted either by mail, email or by telephone. The results of the survey will be entered into the database management tool.  </w:t>
      </w:r>
    </w:p>
    <w:p w14:paraId="5DC947A7" w14:textId="77777777" w:rsidR="003B00AE" w:rsidRDefault="003B00AE" w:rsidP="002E42F2">
      <w:pPr>
        <w:pStyle w:val="HText3Bullets"/>
        <w:ind w:left="634"/>
        <w:contextualSpacing/>
      </w:pPr>
      <w:r w:rsidRPr="00C02E62">
        <w:rPr>
          <w:b/>
          <w:bCs/>
        </w:rPr>
        <w:lastRenderedPageBreak/>
        <w:t>Continuous Improvement:</w:t>
      </w:r>
      <w:r>
        <w:t xml:space="preserve"> Feedback from all the above is used in an ongoing effort to improve the program’s processes. Results from the survey will be quantified and shared with the program sponsor.</w:t>
      </w:r>
    </w:p>
    <w:p w14:paraId="0DCEB5B3" w14:textId="77777777" w:rsidR="003B00AE" w:rsidRPr="00B30052" w:rsidRDefault="003B00AE" w:rsidP="003B00AE">
      <w:pPr>
        <w:pStyle w:val="BodyText"/>
        <w:ind w:left="0"/>
        <w:rPr>
          <w:b/>
          <w:bCs/>
          <w:color w:val="2F5496" w:themeColor="accent1" w:themeShade="BF"/>
        </w:rPr>
      </w:pPr>
      <w:bookmarkStart w:id="132" w:name="_Toc127428912"/>
      <w:bookmarkStart w:id="133" w:name="_Toc128397222"/>
      <w:bookmarkStart w:id="134" w:name="_Toc168555590"/>
      <w:r w:rsidRPr="00B30052">
        <w:rPr>
          <w:b/>
          <w:bCs/>
          <w:color w:val="2F5496" w:themeColor="accent1" w:themeShade="BF"/>
        </w:rPr>
        <w:t>Quality Assurance Methodology</w:t>
      </w:r>
      <w:bookmarkEnd w:id="132"/>
      <w:bookmarkEnd w:id="133"/>
      <w:bookmarkEnd w:id="134"/>
    </w:p>
    <w:p w14:paraId="4E1D5A4F" w14:textId="77777777" w:rsidR="003B00AE" w:rsidRDefault="003B00AE" w:rsidP="003B00AE">
      <w:r>
        <w:t xml:space="preserve">For each program or project, the QA team will be consulted on the approach to baseline operations and how measure implementation will be confirmed. Primarily, for measures needing custom calculations, energy savings will be based on the baseline performance data collected by field measurements by the Cascade team. </w:t>
      </w:r>
    </w:p>
    <w:p w14:paraId="571E7113" w14:textId="77777777" w:rsidR="003B00AE" w:rsidRDefault="003B00AE" w:rsidP="003B00AE">
      <w:r>
        <w:t>The QA team will be apprised of the analysis approach. When energy savings analysis is completed for each project, the analysis will be independently reviewed by the QA team to confirm agreement with the savings estimates and approach to the savings estimates for the measures. The review methodology will be established to examine processes against quality factors using Cascade’s workflow management tools, such that the QA checks and results must be recorded for the project to move to the next stage. Examples of quality factors include:</w:t>
      </w:r>
    </w:p>
    <w:p w14:paraId="45E4C0B7" w14:textId="77777777" w:rsidR="003B00AE" w:rsidRDefault="003B00AE" w:rsidP="002E42F2">
      <w:pPr>
        <w:pStyle w:val="HText3Bullets"/>
        <w:ind w:left="634"/>
        <w:contextualSpacing/>
      </w:pPr>
      <w:r>
        <w:rPr>
          <w:b/>
          <w:bCs/>
        </w:rPr>
        <w:t>Correctness:</w:t>
      </w:r>
      <w:r>
        <w:t xml:space="preserve"> The extent to which a deliverable satisfies the requirements and the stated objectives. </w:t>
      </w:r>
    </w:p>
    <w:p w14:paraId="73C20C03" w14:textId="77777777" w:rsidR="003B00AE" w:rsidRDefault="003B00AE" w:rsidP="002E42F2">
      <w:pPr>
        <w:pStyle w:val="HText3Bullets"/>
        <w:ind w:left="634"/>
        <w:contextualSpacing/>
      </w:pPr>
      <w:r>
        <w:rPr>
          <w:b/>
          <w:bCs/>
        </w:rPr>
        <w:t xml:space="preserve">Timeliness: </w:t>
      </w:r>
      <w:r>
        <w:t xml:space="preserve">The deliverable is provided when required. </w:t>
      </w:r>
    </w:p>
    <w:p w14:paraId="7653BFA1" w14:textId="77777777" w:rsidR="003B00AE" w:rsidRDefault="003B00AE" w:rsidP="002E42F2">
      <w:pPr>
        <w:pStyle w:val="HText3Bullets"/>
        <w:ind w:left="634"/>
        <w:contextualSpacing/>
      </w:pPr>
      <w:r>
        <w:rPr>
          <w:b/>
          <w:bCs/>
        </w:rPr>
        <w:t xml:space="preserve">Reliability: </w:t>
      </w:r>
      <w:r>
        <w:t xml:space="preserve">The extent to which a deliverable is provided on a consistent basis. </w:t>
      </w:r>
    </w:p>
    <w:p w14:paraId="05EB7D1A" w14:textId="77777777" w:rsidR="003B00AE" w:rsidRDefault="003B00AE" w:rsidP="002E42F2">
      <w:pPr>
        <w:pStyle w:val="HText3Bullets"/>
        <w:ind w:left="634"/>
        <w:contextualSpacing/>
      </w:pPr>
      <w:r>
        <w:rPr>
          <w:b/>
          <w:bCs/>
        </w:rPr>
        <w:t>Productivity:</w:t>
      </w:r>
      <w:r>
        <w:t xml:space="preserve"> The number of resources to correctly produce the deliverable, including the relationship between the amounts of time needed to accomplish work and the effort expended. </w:t>
      </w:r>
    </w:p>
    <w:p w14:paraId="362AFA6E" w14:textId="77777777" w:rsidR="003B00AE" w:rsidRDefault="003B00AE" w:rsidP="003B00AE">
      <w:r>
        <w:t>Cascade will maintain a clear record of all project findings, including on-site notes, building and equipment data, and operating characteristics. Secondary review of randomly selected projects will periodically check the QA process to ensure that:</w:t>
      </w:r>
    </w:p>
    <w:p w14:paraId="29D61957" w14:textId="77777777" w:rsidR="003B00AE" w:rsidRDefault="003B00AE" w:rsidP="002E42F2">
      <w:pPr>
        <w:pStyle w:val="HText3Bullets"/>
        <w:ind w:left="634"/>
        <w:contextualSpacing/>
      </w:pPr>
      <w:r>
        <w:t xml:space="preserve">The QA process has been followed, verified by checking that all data and required checks are recorded. </w:t>
      </w:r>
    </w:p>
    <w:p w14:paraId="1596EE1B" w14:textId="77777777" w:rsidR="003B00AE" w:rsidRDefault="003B00AE" w:rsidP="002E42F2">
      <w:pPr>
        <w:pStyle w:val="HText3Bullets"/>
        <w:ind w:left="634"/>
        <w:contextualSpacing/>
      </w:pPr>
      <w:r>
        <w:t xml:space="preserve">The project results are reasonable, verified by recalculating results using a secondary methodology such as engineering calculations. </w:t>
      </w:r>
    </w:p>
    <w:p w14:paraId="5A3950EE" w14:textId="77777777" w:rsidR="003B00AE" w:rsidRDefault="003B00AE" w:rsidP="002E42F2">
      <w:pPr>
        <w:pStyle w:val="HText3Bullets"/>
        <w:ind w:left="634"/>
        <w:contextualSpacing/>
      </w:pPr>
      <w:r>
        <w:t xml:space="preserve">Project documentation is complete. </w:t>
      </w:r>
    </w:p>
    <w:bookmarkEnd w:id="99"/>
    <w:p w14:paraId="63E2B378" w14:textId="77777777" w:rsidR="003B00AE" w:rsidRPr="00B30052" w:rsidRDefault="003B00AE" w:rsidP="003B00AE">
      <w:pPr>
        <w:pStyle w:val="BodyText"/>
        <w:ind w:left="0"/>
        <w:rPr>
          <w:b/>
          <w:bCs/>
          <w:color w:val="2F5496" w:themeColor="accent1" w:themeShade="BF"/>
        </w:rPr>
      </w:pPr>
      <w:r w:rsidRPr="00B30052">
        <w:rPr>
          <w:b/>
          <w:bCs/>
          <w:color w:val="2F5496" w:themeColor="accent1" w:themeShade="BF"/>
        </w:rPr>
        <w:t>Other Program Metrics</w:t>
      </w:r>
    </w:p>
    <w:p w14:paraId="0B0BE9D9" w14:textId="77777777" w:rsidR="003B00AE" w:rsidRPr="005A6309" w:rsidRDefault="003B00AE" w:rsidP="003B00AE">
      <w:r>
        <w:t>Program metrics are listed in Sections 1.4 – Program Gross Impact,  2.5 – Metrics, and 3.5 – Quantitative Program Targets.</w:t>
      </w:r>
    </w:p>
    <w:p w14:paraId="16D0F7D8" w14:textId="77777777" w:rsidR="003B00AE" w:rsidRDefault="003B00AE" w:rsidP="004C4F49">
      <w:pPr>
        <w:pStyle w:val="BodyText"/>
        <w:sectPr w:rsidR="003B00AE" w:rsidSect="005F45E1">
          <w:footerReference w:type="default" r:id="rId26"/>
          <w:pgSz w:w="12240" w:h="15840"/>
          <w:pgMar w:top="1080" w:right="1440" w:bottom="1350" w:left="1440" w:header="720" w:footer="720" w:gutter="0"/>
          <w:cols w:space="720"/>
          <w:docGrid w:linePitch="360"/>
        </w:sectPr>
      </w:pPr>
    </w:p>
    <w:p w14:paraId="7A01BFCB" w14:textId="77777777" w:rsidR="001F02AC" w:rsidRDefault="001F02AC" w:rsidP="007C56DA">
      <w:pPr>
        <w:pStyle w:val="Heading2"/>
        <w:rPr>
          <w:vertAlign w:val="superscript"/>
        </w:rPr>
      </w:pPr>
      <w:bookmarkStart w:id="135" w:name="_Toc523991425"/>
      <w:bookmarkStart w:id="136" w:name="_Toc168663935"/>
      <w:bookmarkEnd w:id="135"/>
      <w:r>
        <w:lastRenderedPageBreak/>
        <w:t xml:space="preserve">Program </w:t>
      </w:r>
      <w:r w:rsidR="001D1298">
        <w:t>Theory</w:t>
      </w:r>
      <w:r w:rsidR="001D1298" w:rsidRPr="007C56DA">
        <w:rPr>
          <w:vertAlign w:val="superscript"/>
        </w:rPr>
        <w:t xml:space="preserve"> </w:t>
      </w:r>
      <w:r w:rsidR="001D1298">
        <w:rPr>
          <w:rStyle w:val="FootnoteReference"/>
        </w:rPr>
        <w:footnoteReference w:id="6"/>
      </w:r>
      <w:r w:rsidR="001D1298">
        <w:t xml:space="preserve"> and Program </w:t>
      </w:r>
      <w:r>
        <w:t>Logic Model</w:t>
      </w:r>
      <w:r w:rsidR="001D1298" w:rsidRPr="007C56DA">
        <w:rPr>
          <w:vertAlign w:val="superscript"/>
        </w:rPr>
        <w:t xml:space="preserve"> </w:t>
      </w:r>
      <w:r w:rsidR="001D1298">
        <w:rPr>
          <w:rStyle w:val="FootnoteReference"/>
        </w:rPr>
        <w:footnoteReference w:id="7"/>
      </w:r>
      <w:bookmarkEnd w:id="136"/>
    </w:p>
    <w:p w14:paraId="140F6985" w14:textId="4B2B7843" w:rsidR="004F3B18" w:rsidRDefault="00E3062C" w:rsidP="00E31623">
      <w:pPr>
        <w:pStyle w:val="BodyText"/>
        <w:rPr>
          <w:i/>
        </w:rPr>
      </w:pPr>
      <w:r>
        <w:rPr>
          <w:noProof/>
        </w:rPr>
        <w:drawing>
          <wp:inline distT="0" distB="0" distL="0" distR="0" wp14:anchorId="4F9143FF" wp14:editId="6F518AD4">
            <wp:extent cx="7667625" cy="4743450"/>
            <wp:effectExtent l="0" t="0" r="9525" b="0"/>
            <wp:docPr id="1400485031" name="Picture 1400485031" descr="A diagram of a pro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485031" name="Picture 1" descr="A diagram of a project&#10;&#10;Description automatically generated"/>
                    <pic:cNvPicPr/>
                  </pic:nvPicPr>
                  <pic:blipFill>
                    <a:blip r:embed="rId27"/>
                    <a:stretch>
                      <a:fillRect/>
                    </a:stretch>
                  </pic:blipFill>
                  <pic:spPr>
                    <a:xfrm>
                      <a:off x="0" y="0"/>
                      <a:ext cx="7667625" cy="4743450"/>
                    </a:xfrm>
                    <a:prstGeom prst="rect">
                      <a:avLst/>
                    </a:prstGeom>
                  </pic:spPr>
                </pic:pic>
              </a:graphicData>
            </a:graphic>
          </wp:inline>
        </w:drawing>
      </w:r>
    </w:p>
    <w:p w14:paraId="23047BAA" w14:textId="77777777" w:rsidR="003D1635" w:rsidRDefault="003D1635" w:rsidP="001F02AC">
      <w:pPr>
        <w:rPr>
          <w:i/>
        </w:rPr>
        <w:sectPr w:rsidR="003D1635" w:rsidSect="006C2504">
          <w:pgSz w:w="15840" w:h="12240" w:orient="landscape"/>
          <w:pgMar w:top="900" w:right="1440" w:bottom="1440" w:left="1440" w:header="720" w:footer="720" w:gutter="0"/>
          <w:cols w:space="720"/>
          <w:docGrid w:linePitch="360"/>
        </w:sectPr>
      </w:pPr>
    </w:p>
    <w:p w14:paraId="02B3CC99" w14:textId="77777777" w:rsidR="001F02AC" w:rsidRDefault="001F02AC" w:rsidP="001F02AC">
      <w:pPr>
        <w:pStyle w:val="Heading2"/>
      </w:pPr>
      <w:bookmarkStart w:id="137" w:name="_Toc51170736"/>
      <w:bookmarkStart w:id="138" w:name="_Toc51170737"/>
      <w:bookmarkStart w:id="139" w:name="_Toc168663936"/>
      <w:bookmarkEnd w:id="137"/>
      <w:bookmarkEnd w:id="138"/>
      <w:r>
        <w:lastRenderedPageBreak/>
        <w:t>Process Flow Chart</w:t>
      </w:r>
      <w:bookmarkEnd w:id="139"/>
    </w:p>
    <w:p w14:paraId="79BF94BE" w14:textId="792EA743" w:rsidR="009F1961" w:rsidRPr="00CD7EAF" w:rsidRDefault="009F1961" w:rsidP="000638B2">
      <w:pPr>
        <w:pStyle w:val="ListParagraph"/>
        <w:ind w:left="180"/>
        <w:contextualSpacing w:val="0"/>
        <w:rPr>
          <w:i/>
          <w:highlight w:val="yellow"/>
        </w:rPr>
      </w:pPr>
      <w:r>
        <w:rPr>
          <w:rFonts w:hint="eastAsia"/>
          <w:noProof/>
          <w:color w:val="0000FF"/>
          <w:w w:val="0"/>
          <w:szCs w:val="24"/>
        </w:rPr>
        <w:drawing>
          <wp:inline distT="0" distB="0" distL="0" distR="0" wp14:anchorId="0DD3ABA8" wp14:editId="0C6CF851">
            <wp:extent cx="5838824" cy="7933641"/>
            <wp:effectExtent l="0" t="0" r="0" b="0"/>
            <wp:docPr id="2" name="Picture 2"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company&#10;&#10;Description automatically generated"/>
                    <pic:cNvPicPr>
                      <a:picLocks noChangeAspect="1" noChangeArrowheads="1"/>
                    </pic:cNvPicPr>
                  </pic:nvPicPr>
                  <pic:blipFill>
                    <a:blip r:embed="rId28"/>
                    <a:stretch>
                      <a:fillRect/>
                    </a:stretch>
                  </pic:blipFill>
                  <pic:spPr bwMode="auto">
                    <a:xfrm>
                      <a:off x="0" y="0"/>
                      <a:ext cx="5838824" cy="7933641"/>
                    </a:xfrm>
                    <a:prstGeom prst="rect">
                      <a:avLst/>
                    </a:prstGeom>
                    <a:noFill/>
                    <a:ln>
                      <a:noFill/>
                    </a:ln>
                  </pic:spPr>
                </pic:pic>
              </a:graphicData>
            </a:graphic>
          </wp:inline>
        </w:drawing>
      </w:r>
    </w:p>
    <w:p w14:paraId="4574C143" w14:textId="35D6A12B" w:rsidR="00F07039" w:rsidRPr="00BA234C" w:rsidRDefault="00F07039" w:rsidP="009814B5">
      <w:pPr>
        <w:pStyle w:val="Heading2"/>
      </w:pPr>
      <w:bookmarkStart w:id="140" w:name="_Toc51170739"/>
      <w:bookmarkStart w:id="141" w:name="_Toc168663937"/>
      <w:bookmarkEnd w:id="140"/>
      <w:r w:rsidRPr="00BA234C">
        <w:lastRenderedPageBreak/>
        <w:t>Incentive Tables, Workpapers, Software Tools</w:t>
      </w:r>
      <w:bookmarkEnd w:id="141"/>
    </w:p>
    <w:p w14:paraId="0BC2C906" w14:textId="59AC567F" w:rsidR="00DE4426" w:rsidRPr="00DE4426" w:rsidRDefault="00FE5899" w:rsidP="00283741">
      <w:pPr>
        <w:pStyle w:val="BodyText"/>
        <w:ind w:left="0"/>
      </w:pPr>
      <w:r>
        <w:t xml:space="preserve">Incentives for SEM BRO, </w:t>
      </w:r>
      <w:r w:rsidR="00747750">
        <w:t>c</w:t>
      </w:r>
      <w:r>
        <w:t xml:space="preserve">apital, </w:t>
      </w:r>
      <w:r w:rsidR="00747750">
        <w:t>electrification</w:t>
      </w:r>
      <w:r w:rsidR="004D6843">
        <w:t xml:space="preserve">, and deemed measures are listed in </w:t>
      </w:r>
      <w:r w:rsidR="004D6843">
        <w:fldChar w:fldCharType="begin"/>
      </w:r>
      <w:r w:rsidR="004D6843">
        <w:instrText xml:space="preserve"> REF _Ref168662226 \h </w:instrText>
      </w:r>
      <w:r w:rsidR="004D6843">
        <w:fldChar w:fldCharType="separate"/>
      </w:r>
      <w:r w:rsidR="00A6197B">
        <w:t xml:space="preserve">Table </w:t>
      </w:r>
      <w:r w:rsidR="00A6197B">
        <w:rPr>
          <w:noProof/>
        </w:rPr>
        <w:t>18</w:t>
      </w:r>
      <w:r w:rsidR="004D6843">
        <w:fldChar w:fldCharType="end"/>
      </w:r>
      <w:r w:rsidR="004D6843">
        <w:t xml:space="preserve">. Please notes that </w:t>
      </w:r>
      <w:r w:rsidR="00DD10F7">
        <w:t xml:space="preserve">incentive for </w:t>
      </w:r>
      <w:r w:rsidR="00747750">
        <w:t>both capital and electrification projects will not exceed the costs of implementation.</w:t>
      </w:r>
    </w:p>
    <w:p w14:paraId="2A6EBB9B" w14:textId="2B5A54D1" w:rsidR="00766D91" w:rsidRDefault="00766D91" w:rsidP="00766D91">
      <w:pPr>
        <w:pStyle w:val="Caption"/>
        <w:jc w:val="left"/>
      </w:pPr>
      <w:bookmarkStart w:id="142" w:name="_Ref168662226"/>
      <w:r>
        <w:t xml:space="preserve">Table </w:t>
      </w:r>
      <w:r w:rsidR="00B70853">
        <w:fldChar w:fldCharType="begin"/>
      </w:r>
      <w:r w:rsidR="00B70853">
        <w:instrText xml:space="preserve"> SEQ Table \* ARABIC </w:instrText>
      </w:r>
      <w:r w:rsidR="00B70853">
        <w:fldChar w:fldCharType="separate"/>
      </w:r>
      <w:r w:rsidR="00A6197B">
        <w:rPr>
          <w:noProof/>
        </w:rPr>
        <w:t>18</w:t>
      </w:r>
      <w:r w:rsidR="00B70853">
        <w:rPr>
          <w:noProof/>
        </w:rPr>
        <w:fldChar w:fldCharType="end"/>
      </w:r>
      <w:bookmarkEnd w:id="142"/>
      <w:r>
        <w:t xml:space="preserve">: </w:t>
      </w:r>
      <w:r w:rsidR="00FA06F3">
        <w:t>Measure Types and Associated Incentives</w:t>
      </w:r>
    </w:p>
    <w:tbl>
      <w:tblPr>
        <w:tblW w:w="943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72" w:type="dxa"/>
          <w:bottom w:w="29" w:type="dxa"/>
          <w:right w:w="72" w:type="dxa"/>
        </w:tblCellMar>
        <w:tblLook w:val="0000" w:firstRow="0" w:lastRow="0" w:firstColumn="0" w:lastColumn="0" w:noHBand="0" w:noVBand="0"/>
      </w:tblPr>
      <w:tblGrid>
        <w:gridCol w:w="447"/>
        <w:gridCol w:w="4668"/>
        <w:gridCol w:w="4320"/>
      </w:tblGrid>
      <w:tr w:rsidR="00324AED" w14:paraId="59815448" w14:textId="77777777" w:rsidTr="001B46FD">
        <w:tc>
          <w:tcPr>
            <w:tcW w:w="447" w:type="dxa"/>
            <w:shd w:val="clear" w:color="auto" w:fill="2F5496" w:themeFill="accent1" w:themeFillShade="BF"/>
            <w:tcMar>
              <w:top w:w="29" w:type="dxa"/>
              <w:left w:w="72" w:type="dxa"/>
              <w:bottom w:w="29" w:type="dxa"/>
              <w:right w:w="72" w:type="dxa"/>
            </w:tcMar>
            <w:vAlign w:val="center"/>
          </w:tcPr>
          <w:p w14:paraId="0E5930F1" w14:textId="77777777" w:rsidR="00324AED" w:rsidRPr="001B46FD" w:rsidRDefault="00324AED">
            <w:pPr>
              <w:jc w:val="center"/>
              <w:rPr>
                <w:b/>
                <w:color w:val="FFFFFF" w:themeColor="background1"/>
                <w:w w:val="0"/>
              </w:rPr>
            </w:pPr>
            <w:r w:rsidRPr="001B46FD">
              <w:rPr>
                <w:b/>
                <w:color w:val="FFFFFF" w:themeColor="background1"/>
                <w:w w:val="0"/>
              </w:rPr>
              <w:t>#</w:t>
            </w:r>
          </w:p>
        </w:tc>
        <w:tc>
          <w:tcPr>
            <w:tcW w:w="4668" w:type="dxa"/>
            <w:shd w:val="clear" w:color="auto" w:fill="2F5496" w:themeFill="accent1" w:themeFillShade="BF"/>
            <w:tcMar>
              <w:top w:w="29" w:type="dxa"/>
              <w:left w:w="72" w:type="dxa"/>
              <w:bottom w:w="29" w:type="dxa"/>
              <w:right w:w="72" w:type="dxa"/>
            </w:tcMar>
          </w:tcPr>
          <w:p w14:paraId="0EB7502A" w14:textId="77777777" w:rsidR="00324AED" w:rsidRPr="001B46FD" w:rsidRDefault="00324AED">
            <w:pPr>
              <w:jc w:val="center"/>
              <w:rPr>
                <w:b/>
                <w:color w:val="FFFFFF" w:themeColor="background1"/>
                <w:w w:val="0"/>
              </w:rPr>
            </w:pPr>
            <w:r w:rsidRPr="001B46FD">
              <w:rPr>
                <w:b/>
                <w:color w:val="FFFFFF" w:themeColor="background1"/>
                <w:w w:val="0"/>
              </w:rPr>
              <w:t>Measure</w:t>
            </w:r>
          </w:p>
        </w:tc>
        <w:tc>
          <w:tcPr>
            <w:tcW w:w="4320" w:type="dxa"/>
            <w:shd w:val="clear" w:color="auto" w:fill="2F5496" w:themeFill="accent1" w:themeFillShade="BF"/>
            <w:tcMar>
              <w:top w:w="29" w:type="dxa"/>
              <w:left w:w="72" w:type="dxa"/>
              <w:bottom w:w="29" w:type="dxa"/>
              <w:right w:w="72" w:type="dxa"/>
            </w:tcMar>
          </w:tcPr>
          <w:p w14:paraId="298B2118" w14:textId="77777777" w:rsidR="00324AED" w:rsidRPr="001B46FD" w:rsidRDefault="00324AED">
            <w:pPr>
              <w:jc w:val="center"/>
              <w:rPr>
                <w:b/>
                <w:color w:val="FFFFFF" w:themeColor="background1"/>
                <w:w w:val="0"/>
              </w:rPr>
            </w:pPr>
            <w:r w:rsidRPr="001B46FD">
              <w:rPr>
                <w:b/>
                <w:color w:val="FFFFFF" w:themeColor="background1"/>
                <w:w w:val="0"/>
              </w:rPr>
              <w:t>Incentive Level</w:t>
            </w:r>
          </w:p>
        </w:tc>
      </w:tr>
      <w:tr w:rsidR="00324AED" w14:paraId="7B90B120" w14:textId="77777777">
        <w:tc>
          <w:tcPr>
            <w:tcW w:w="447" w:type="dxa"/>
            <w:tcMar>
              <w:top w:w="29" w:type="dxa"/>
              <w:left w:w="72" w:type="dxa"/>
              <w:bottom w:w="29" w:type="dxa"/>
              <w:right w:w="72" w:type="dxa"/>
            </w:tcMar>
            <w:vAlign w:val="center"/>
          </w:tcPr>
          <w:p w14:paraId="518B41B2" w14:textId="77777777" w:rsidR="00324AED" w:rsidRDefault="00324AED">
            <w:pPr>
              <w:jc w:val="center"/>
              <w:rPr>
                <w:b/>
                <w:w w:val="0"/>
              </w:rPr>
            </w:pPr>
            <w:r>
              <w:rPr>
                <w:b/>
                <w:w w:val="0"/>
              </w:rPr>
              <w:t>1</w:t>
            </w:r>
          </w:p>
        </w:tc>
        <w:tc>
          <w:tcPr>
            <w:tcW w:w="4668" w:type="dxa"/>
            <w:tcMar>
              <w:top w:w="29" w:type="dxa"/>
              <w:left w:w="72" w:type="dxa"/>
              <w:bottom w:w="29" w:type="dxa"/>
              <w:right w:w="72" w:type="dxa"/>
            </w:tcMar>
          </w:tcPr>
          <w:p w14:paraId="666426F3" w14:textId="77777777" w:rsidR="00324AED" w:rsidRDefault="00324AED">
            <w:pPr>
              <w:rPr>
                <w:w w:val="0"/>
              </w:rPr>
            </w:pPr>
            <w:r>
              <w:rPr>
                <w:w w:val="0"/>
              </w:rPr>
              <w:t>SEM BRO (Behavioral, Retro-commissioning, Operational)</w:t>
            </w:r>
          </w:p>
        </w:tc>
        <w:tc>
          <w:tcPr>
            <w:tcW w:w="4320" w:type="dxa"/>
            <w:tcMar>
              <w:top w:w="29" w:type="dxa"/>
              <w:left w:w="72" w:type="dxa"/>
              <w:bottom w:w="29" w:type="dxa"/>
              <w:right w:w="72" w:type="dxa"/>
            </w:tcMar>
          </w:tcPr>
          <w:p w14:paraId="2B371796" w14:textId="77777777" w:rsidR="00324AED" w:rsidRDefault="00324AED">
            <w:pPr>
              <w:rPr>
                <w:w w:val="0"/>
              </w:rPr>
            </w:pPr>
            <w:r>
              <w:rPr>
                <w:w w:val="0"/>
              </w:rPr>
              <w:t>$0.02 / kWh</w:t>
            </w:r>
          </w:p>
        </w:tc>
      </w:tr>
      <w:tr w:rsidR="00324AED" w14:paraId="40C28AAD" w14:textId="77777777">
        <w:tc>
          <w:tcPr>
            <w:tcW w:w="447" w:type="dxa"/>
            <w:tcMar>
              <w:top w:w="29" w:type="dxa"/>
              <w:left w:w="72" w:type="dxa"/>
              <w:bottom w:w="29" w:type="dxa"/>
              <w:right w:w="72" w:type="dxa"/>
            </w:tcMar>
            <w:vAlign w:val="center"/>
          </w:tcPr>
          <w:p w14:paraId="78E81E72" w14:textId="77777777" w:rsidR="00324AED" w:rsidRDefault="00324AED">
            <w:pPr>
              <w:jc w:val="center"/>
              <w:rPr>
                <w:b/>
                <w:w w:val="0"/>
              </w:rPr>
            </w:pPr>
            <w:r>
              <w:rPr>
                <w:b/>
                <w:w w:val="0"/>
              </w:rPr>
              <w:t>2</w:t>
            </w:r>
          </w:p>
        </w:tc>
        <w:tc>
          <w:tcPr>
            <w:tcW w:w="4668" w:type="dxa"/>
            <w:tcMar>
              <w:top w:w="29" w:type="dxa"/>
              <w:left w:w="72" w:type="dxa"/>
              <w:bottom w:w="29" w:type="dxa"/>
              <w:right w:w="72" w:type="dxa"/>
            </w:tcMar>
          </w:tcPr>
          <w:p w14:paraId="7BE4E522" w14:textId="77777777" w:rsidR="00324AED" w:rsidRDefault="00324AED">
            <w:pPr>
              <w:rPr>
                <w:w w:val="0"/>
              </w:rPr>
            </w:pPr>
            <w:r>
              <w:rPr>
                <w:w w:val="0"/>
              </w:rPr>
              <w:t>SEM Capital</w:t>
            </w:r>
          </w:p>
        </w:tc>
        <w:tc>
          <w:tcPr>
            <w:tcW w:w="4320" w:type="dxa"/>
            <w:tcMar>
              <w:top w:w="29" w:type="dxa"/>
              <w:left w:w="72" w:type="dxa"/>
              <w:bottom w:w="29" w:type="dxa"/>
              <w:right w:w="72" w:type="dxa"/>
            </w:tcMar>
          </w:tcPr>
          <w:p w14:paraId="173754F2" w14:textId="77777777" w:rsidR="00324AED" w:rsidRDefault="00324AED">
            <w:pPr>
              <w:rPr>
                <w:w w:val="0"/>
              </w:rPr>
            </w:pPr>
            <w:r>
              <w:rPr>
                <w:w w:val="0"/>
              </w:rPr>
              <w:t>Up to $0.21 / kWh</w:t>
            </w:r>
          </w:p>
        </w:tc>
      </w:tr>
      <w:tr w:rsidR="00324AED" w14:paraId="056BFD9F" w14:textId="77777777">
        <w:tc>
          <w:tcPr>
            <w:tcW w:w="447" w:type="dxa"/>
            <w:tcMar>
              <w:top w:w="29" w:type="dxa"/>
              <w:left w:w="72" w:type="dxa"/>
              <w:bottom w:w="29" w:type="dxa"/>
              <w:right w:w="72" w:type="dxa"/>
            </w:tcMar>
            <w:vAlign w:val="center"/>
          </w:tcPr>
          <w:p w14:paraId="024EE29F" w14:textId="77777777" w:rsidR="00324AED" w:rsidRDefault="00324AED">
            <w:pPr>
              <w:jc w:val="center"/>
              <w:rPr>
                <w:b/>
                <w:w w:val="0"/>
              </w:rPr>
            </w:pPr>
            <w:r>
              <w:rPr>
                <w:b/>
                <w:w w:val="0"/>
              </w:rPr>
              <w:t>3</w:t>
            </w:r>
          </w:p>
        </w:tc>
        <w:tc>
          <w:tcPr>
            <w:tcW w:w="4668" w:type="dxa"/>
            <w:tcMar>
              <w:top w:w="29" w:type="dxa"/>
              <w:left w:w="72" w:type="dxa"/>
              <w:bottom w:w="29" w:type="dxa"/>
              <w:right w:w="72" w:type="dxa"/>
            </w:tcMar>
          </w:tcPr>
          <w:p w14:paraId="2758A416" w14:textId="77777777" w:rsidR="00324AED" w:rsidRDefault="00324AED">
            <w:pPr>
              <w:rPr>
                <w:w w:val="0"/>
              </w:rPr>
            </w:pPr>
            <w:r>
              <w:rPr>
                <w:w w:val="0"/>
              </w:rPr>
              <w:t>SEM Electrification</w:t>
            </w:r>
          </w:p>
        </w:tc>
        <w:tc>
          <w:tcPr>
            <w:tcW w:w="4320" w:type="dxa"/>
            <w:tcMar>
              <w:top w:w="29" w:type="dxa"/>
              <w:left w:w="72" w:type="dxa"/>
              <w:bottom w:w="29" w:type="dxa"/>
              <w:right w:w="72" w:type="dxa"/>
            </w:tcMar>
          </w:tcPr>
          <w:p w14:paraId="0E9BADEC" w14:textId="77777777" w:rsidR="00324AED" w:rsidRDefault="00324AED">
            <w:pPr>
              <w:rPr>
                <w:w w:val="0"/>
              </w:rPr>
            </w:pPr>
            <w:r>
              <w:rPr>
                <w:w w:val="0"/>
              </w:rPr>
              <w:t>Up to $7.00 / therm</w:t>
            </w:r>
          </w:p>
        </w:tc>
      </w:tr>
      <w:tr w:rsidR="00324AED" w14:paraId="1F24235B" w14:textId="77777777">
        <w:tc>
          <w:tcPr>
            <w:tcW w:w="447" w:type="dxa"/>
            <w:tcMar>
              <w:top w:w="29" w:type="dxa"/>
              <w:left w:w="72" w:type="dxa"/>
              <w:bottom w:w="29" w:type="dxa"/>
              <w:right w:w="72" w:type="dxa"/>
            </w:tcMar>
            <w:vAlign w:val="center"/>
          </w:tcPr>
          <w:p w14:paraId="1AED69CC" w14:textId="77777777" w:rsidR="00324AED" w:rsidRDefault="00324AED">
            <w:pPr>
              <w:jc w:val="center"/>
              <w:rPr>
                <w:b/>
                <w:w w:val="0"/>
              </w:rPr>
            </w:pPr>
            <w:r>
              <w:rPr>
                <w:b/>
                <w:w w:val="0"/>
              </w:rPr>
              <w:t>4</w:t>
            </w:r>
          </w:p>
        </w:tc>
        <w:tc>
          <w:tcPr>
            <w:tcW w:w="4668" w:type="dxa"/>
            <w:tcMar>
              <w:top w:w="29" w:type="dxa"/>
              <w:left w:w="72" w:type="dxa"/>
              <w:bottom w:w="29" w:type="dxa"/>
              <w:right w:w="72" w:type="dxa"/>
            </w:tcMar>
          </w:tcPr>
          <w:p w14:paraId="210070F5" w14:textId="77777777" w:rsidR="00324AED" w:rsidRDefault="00324AED">
            <w:pPr>
              <w:rPr>
                <w:w w:val="0"/>
              </w:rPr>
            </w:pPr>
            <w:r>
              <w:rPr>
                <w:w w:val="0"/>
              </w:rPr>
              <w:t>Custom Capital</w:t>
            </w:r>
          </w:p>
        </w:tc>
        <w:tc>
          <w:tcPr>
            <w:tcW w:w="4320" w:type="dxa"/>
            <w:tcMar>
              <w:top w:w="29" w:type="dxa"/>
              <w:left w:w="72" w:type="dxa"/>
              <w:bottom w:w="29" w:type="dxa"/>
              <w:right w:w="72" w:type="dxa"/>
            </w:tcMar>
          </w:tcPr>
          <w:p w14:paraId="28FA232C" w14:textId="77777777" w:rsidR="00324AED" w:rsidRDefault="00324AED">
            <w:pPr>
              <w:rPr>
                <w:w w:val="0"/>
              </w:rPr>
            </w:pPr>
            <w:r>
              <w:rPr>
                <w:w w:val="0"/>
              </w:rPr>
              <w:t>Up to $0.21 / kWh</w:t>
            </w:r>
          </w:p>
        </w:tc>
      </w:tr>
      <w:tr w:rsidR="00324AED" w14:paraId="01491E07" w14:textId="77777777">
        <w:tc>
          <w:tcPr>
            <w:tcW w:w="447" w:type="dxa"/>
            <w:tcMar>
              <w:top w:w="29" w:type="dxa"/>
              <w:left w:w="72" w:type="dxa"/>
              <w:bottom w:w="29" w:type="dxa"/>
              <w:right w:w="72" w:type="dxa"/>
            </w:tcMar>
            <w:vAlign w:val="center"/>
          </w:tcPr>
          <w:p w14:paraId="486D21C4" w14:textId="77777777" w:rsidR="00324AED" w:rsidRDefault="00324AED">
            <w:pPr>
              <w:jc w:val="center"/>
              <w:rPr>
                <w:b/>
                <w:w w:val="0"/>
              </w:rPr>
            </w:pPr>
            <w:r>
              <w:rPr>
                <w:b/>
                <w:w w:val="0"/>
              </w:rPr>
              <w:t>5</w:t>
            </w:r>
          </w:p>
        </w:tc>
        <w:tc>
          <w:tcPr>
            <w:tcW w:w="4668" w:type="dxa"/>
            <w:tcMar>
              <w:top w:w="29" w:type="dxa"/>
              <w:left w:w="72" w:type="dxa"/>
              <w:bottom w:w="29" w:type="dxa"/>
              <w:right w:w="72" w:type="dxa"/>
            </w:tcMar>
          </w:tcPr>
          <w:p w14:paraId="1DB52F87" w14:textId="77777777" w:rsidR="00324AED" w:rsidRDefault="00324AED">
            <w:pPr>
              <w:rPr>
                <w:w w:val="0"/>
              </w:rPr>
            </w:pPr>
            <w:r>
              <w:rPr>
                <w:w w:val="0"/>
              </w:rPr>
              <w:t>Deemed Measures*</w:t>
            </w:r>
          </w:p>
        </w:tc>
        <w:tc>
          <w:tcPr>
            <w:tcW w:w="4320" w:type="dxa"/>
            <w:tcMar>
              <w:top w:w="29" w:type="dxa"/>
              <w:left w:w="72" w:type="dxa"/>
              <w:bottom w:w="29" w:type="dxa"/>
              <w:right w:w="72" w:type="dxa"/>
            </w:tcMar>
          </w:tcPr>
          <w:p w14:paraId="4AED00EB" w14:textId="77777777" w:rsidR="00324AED" w:rsidRDefault="00324AED">
            <w:pPr>
              <w:rPr>
                <w:w w:val="0"/>
              </w:rPr>
            </w:pPr>
            <w:r>
              <w:rPr>
                <w:w w:val="0"/>
              </w:rPr>
              <w:t>Variable</w:t>
            </w:r>
          </w:p>
        </w:tc>
      </w:tr>
    </w:tbl>
    <w:p w14:paraId="6D11A02C" w14:textId="77777777" w:rsidR="00324AED" w:rsidRDefault="00324AED" w:rsidP="00324AED">
      <w:pPr>
        <w:pStyle w:val="BodyText"/>
        <w:spacing w:line="276" w:lineRule="auto"/>
        <w:rPr>
          <w:rFonts w:eastAsia="Times New Roman"/>
          <w:w w:val="0"/>
          <w:sz w:val="24"/>
        </w:rPr>
      </w:pPr>
      <w:r>
        <w:rPr>
          <w:rFonts w:eastAsia="Times New Roman"/>
          <w:w w:val="0"/>
          <w:sz w:val="24"/>
        </w:rPr>
        <w:t>*</w:t>
      </w:r>
      <w:r>
        <w:rPr>
          <w:rFonts w:eastAsia="Times New Roman"/>
          <w:w w:val="0"/>
          <w:sz w:val="20"/>
        </w:rPr>
        <w:t xml:space="preserve">Deemed Measures expected to be less than 1% of both Program savings and incentive budget.  </w:t>
      </w:r>
    </w:p>
    <w:p w14:paraId="3F078ECA" w14:textId="4A6A2574" w:rsidR="00FA06F3" w:rsidRDefault="00FA06F3" w:rsidP="00FA06F3">
      <w:pPr>
        <w:pStyle w:val="Caption"/>
        <w:jc w:val="left"/>
      </w:pPr>
      <w:r>
        <w:t xml:space="preserve">Table </w:t>
      </w:r>
      <w:r w:rsidR="00B70853">
        <w:fldChar w:fldCharType="begin"/>
      </w:r>
      <w:r w:rsidR="00B70853">
        <w:instrText xml:space="preserve"> SEQ Table \* ARABIC </w:instrText>
      </w:r>
      <w:r w:rsidR="00B70853">
        <w:fldChar w:fldCharType="separate"/>
      </w:r>
      <w:r w:rsidR="00A6197B">
        <w:rPr>
          <w:noProof/>
        </w:rPr>
        <w:t>19</w:t>
      </w:r>
      <w:r w:rsidR="00B70853">
        <w:rPr>
          <w:noProof/>
        </w:rPr>
        <w:fldChar w:fldCharType="end"/>
      </w:r>
      <w:r>
        <w:t xml:space="preserve">: </w:t>
      </w:r>
      <w:r w:rsidR="00753388">
        <w:t>Deemed Measure</w:t>
      </w:r>
      <w:r w:rsidR="00AA70CC">
        <w: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72" w:type="dxa"/>
          <w:bottom w:w="29" w:type="dxa"/>
          <w:right w:w="72" w:type="dxa"/>
        </w:tblCellMar>
        <w:tblLook w:val="0000" w:firstRow="0" w:lastRow="0" w:firstColumn="0" w:lastColumn="0" w:noHBand="0" w:noVBand="0"/>
      </w:tblPr>
      <w:tblGrid>
        <w:gridCol w:w="435"/>
        <w:gridCol w:w="2975"/>
        <w:gridCol w:w="2975"/>
        <w:gridCol w:w="2975"/>
      </w:tblGrid>
      <w:tr w:rsidR="00324AED" w14:paraId="62785182" w14:textId="77777777" w:rsidTr="0004249C">
        <w:tc>
          <w:tcPr>
            <w:tcW w:w="435" w:type="dxa"/>
            <w:shd w:val="clear" w:color="auto" w:fill="2F5496" w:themeFill="accent1" w:themeFillShade="BF"/>
            <w:tcMar>
              <w:top w:w="29" w:type="dxa"/>
              <w:left w:w="72" w:type="dxa"/>
              <w:bottom w:w="29" w:type="dxa"/>
              <w:right w:w="72" w:type="dxa"/>
            </w:tcMar>
            <w:vAlign w:val="center"/>
          </w:tcPr>
          <w:p w14:paraId="5D885FDE" w14:textId="77777777" w:rsidR="00324AED" w:rsidRPr="001B46FD" w:rsidRDefault="00324AED" w:rsidP="0004249C">
            <w:pPr>
              <w:jc w:val="center"/>
              <w:rPr>
                <w:b/>
                <w:color w:val="FFFFFF" w:themeColor="background1"/>
                <w:w w:val="0"/>
              </w:rPr>
            </w:pPr>
            <w:r w:rsidRPr="001B46FD">
              <w:rPr>
                <w:b/>
                <w:color w:val="FFFFFF" w:themeColor="background1"/>
                <w:w w:val="0"/>
              </w:rPr>
              <w:t>#</w:t>
            </w:r>
          </w:p>
        </w:tc>
        <w:tc>
          <w:tcPr>
            <w:tcW w:w="2975" w:type="dxa"/>
            <w:shd w:val="clear" w:color="auto" w:fill="2F5496" w:themeFill="accent1" w:themeFillShade="BF"/>
            <w:tcMar>
              <w:top w:w="29" w:type="dxa"/>
              <w:left w:w="72" w:type="dxa"/>
              <w:bottom w:w="29" w:type="dxa"/>
              <w:right w:w="72" w:type="dxa"/>
            </w:tcMar>
          </w:tcPr>
          <w:p w14:paraId="53D29DF7" w14:textId="77777777" w:rsidR="00324AED" w:rsidRPr="001B46FD" w:rsidRDefault="00324AED">
            <w:pPr>
              <w:jc w:val="center"/>
              <w:rPr>
                <w:b/>
                <w:color w:val="FFFFFF" w:themeColor="background1"/>
                <w:w w:val="0"/>
              </w:rPr>
            </w:pPr>
            <w:r w:rsidRPr="001B46FD">
              <w:rPr>
                <w:b/>
                <w:color w:val="FFFFFF" w:themeColor="background1"/>
                <w:w w:val="0"/>
              </w:rPr>
              <w:t>Measure Package Name</w:t>
            </w:r>
          </w:p>
        </w:tc>
        <w:tc>
          <w:tcPr>
            <w:tcW w:w="2975" w:type="dxa"/>
            <w:shd w:val="clear" w:color="auto" w:fill="2F5496" w:themeFill="accent1" w:themeFillShade="BF"/>
            <w:tcMar>
              <w:top w:w="29" w:type="dxa"/>
              <w:left w:w="72" w:type="dxa"/>
              <w:bottom w:w="29" w:type="dxa"/>
              <w:right w:w="72" w:type="dxa"/>
            </w:tcMar>
          </w:tcPr>
          <w:p w14:paraId="5202F029" w14:textId="77777777" w:rsidR="00324AED" w:rsidRPr="001B46FD" w:rsidRDefault="00324AED">
            <w:pPr>
              <w:jc w:val="center"/>
              <w:rPr>
                <w:b/>
                <w:color w:val="FFFFFF" w:themeColor="background1"/>
                <w:w w:val="0"/>
              </w:rPr>
            </w:pPr>
            <w:r w:rsidRPr="001B46FD">
              <w:rPr>
                <w:b/>
                <w:color w:val="FFFFFF" w:themeColor="background1"/>
                <w:w w:val="0"/>
              </w:rPr>
              <w:t>Short Description</w:t>
            </w:r>
          </w:p>
        </w:tc>
        <w:tc>
          <w:tcPr>
            <w:tcW w:w="2975" w:type="dxa"/>
            <w:shd w:val="clear" w:color="auto" w:fill="2F5496" w:themeFill="accent1" w:themeFillShade="BF"/>
            <w:tcMar>
              <w:top w:w="29" w:type="dxa"/>
              <w:left w:w="72" w:type="dxa"/>
              <w:bottom w:w="29" w:type="dxa"/>
              <w:right w:w="72" w:type="dxa"/>
            </w:tcMar>
          </w:tcPr>
          <w:p w14:paraId="55C43028" w14:textId="77777777" w:rsidR="00324AED" w:rsidRPr="001B46FD" w:rsidRDefault="00324AED">
            <w:pPr>
              <w:jc w:val="center"/>
              <w:rPr>
                <w:b/>
                <w:color w:val="FFFFFF" w:themeColor="background1"/>
                <w:w w:val="0"/>
              </w:rPr>
            </w:pPr>
            <w:r w:rsidRPr="001B46FD">
              <w:rPr>
                <w:b/>
                <w:color w:val="FFFFFF" w:themeColor="background1"/>
                <w:w w:val="0"/>
              </w:rPr>
              <w:t>URL link or location name</w:t>
            </w:r>
          </w:p>
        </w:tc>
      </w:tr>
      <w:tr w:rsidR="00324AED" w14:paraId="2C2A9B8B" w14:textId="77777777">
        <w:tc>
          <w:tcPr>
            <w:tcW w:w="435" w:type="dxa"/>
            <w:tcMar>
              <w:top w:w="29" w:type="dxa"/>
              <w:left w:w="72" w:type="dxa"/>
              <w:bottom w:w="29" w:type="dxa"/>
              <w:right w:w="72" w:type="dxa"/>
            </w:tcMar>
          </w:tcPr>
          <w:p w14:paraId="3CDBE668" w14:textId="77777777" w:rsidR="00324AED" w:rsidRDefault="00324AED">
            <w:pPr>
              <w:jc w:val="center"/>
              <w:rPr>
                <w:b/>
                <w:w w:val="0"/>
              </w:rPr>
            </w:pPr>
            <w:r>
              <w:rPr>
                <w:b/>
                <w:w w:val="0"/>
              </w:rPr>
              <w:t>1</w:t>
            </w:r>
          </w:p>
        </w:tc>
        <w:tc>
          <w:tcPr>
            <w:tcW w:w="2975" w:type="dxa"/>
            <w:tcMar>
              <w:top w:w="29" w:type="dxa"/>
              <w:left w:w="72" w:type="dxa"/>
              <w:bottom w:w="29" w:type="dxa"/>
              <w:right w:w="72" w:type="dxa"/>
            </w:tcMar>
          </w:tcPr>
          <w:p w14:paraId="2EC6E416" w14:textId="77777777" w:rsidR="00D915EC" w:rsidRPr="00D915EC" w:rsidRDefault="00D915EC" w:rsidP="00D915EC">
            <w:pPr>
              <w:spacing w:after="0" w:line="240" w:lineRule="auto"/>
              <w:rPr>
                <w:color w:val="000000"/>
              </w:rPr>
            </w:pPr>
            <w:r w:rsidRPr="00D915EC">
              <w:rPr>
                <w:color w:val="000000"/>
              </w:rPr>
              <w:t>Heat Pump Water Heater,</w:t>
            </w:r>
          </w:p>
          <w:p w14:paraId="1F28ED65" w14:textId="77777777" w:rsidR="00D915EC" w:rsidRPr="00D915EC" w:rsidRDefault="00D915EC" w:rsidP="00D915EC">
            <w:pPr>
              <w:spacing w:after="0" w:line="240" w:lineRule="auto"/>
              <w:rPr>
                <w:color w:val="000000"/>
              </w:rPr>
            </w:pPr>
            <w:r w:rsidRPr="00D915EC">
              <w:rPr>
                <w:color w:val="000000"/>
              </w:rPr>
              <w:t>Commercial, Fuel</w:t>
            </w:r>
          </w:p>
          <w:p w14:paraId="5B22F920" w14:textId="6ED44F69" w:rsidR="00324AED" w:rsidRPr="00B9686C" w:rsidRDefault="00D915EC" w:rsidP="00D915EC">
            <w:pPr>
              <w:spacing w:after="0" w:line="240" w:lineRule="auto"/>
              <w:rPr>
                <w:color w:val="000000"/>
              </w:rPr>
            </w:pPr>
            <w:r w:rsidRPr="00D915EC">
              <w:rPr>
                <w:color w:val="000000"/>
              </w:rPr>
              <w:t>Substitution: SWWH027-0</w:t>
            </w:r>
            <w:r>
              <w:rPr>
                <w:color w:val="000000"/>
              </w:rPr>
              <w:t>3</w:t>
            </w:r>
          </w:p>
        </w:tc>
        <w:tc>
          <w:tcPr>
            <w:tcW w:w="2975" w:type="dxa"/>
            <w:tcMar>
              <w:top w:w="29" w:type="dxa"/>
              <w:left w:w="72" w:type="dxa"/>
              <w:bottom w:w="29" w:type="dxa"/>
              <w:right w:w="72" w:type="dxa"/>
            </w:tcMar>
          </w:tcPr>
          <w:p w14:paraId="68BAE0F3" w14:textId="77777777" w:rsidR="00384784" w:rsidRPr="00384784" w:rsidRDefault="00384784" w:rsidP="00384784">
            <w:pPr>
              <w:spacing w:after="0" w:line="240" w:lineRule="auto"/>
              <w:rPr>
                <w:color w:val="000000"/>
              </w:rPr>
            </w:pPr>
            <w:r w:rsidRPr="00384784">
              <w:rPr>
                <w:color w:val="000000"/>
              </w:rPr>
              <w:t>Heat Pump Water Heater -</w:t>
            </w:r>
          </w:p>
          <w:p w14:paraId="67BC1631" w14:textId="6454B14D" w:rsidR="00324AED" w:rsidRPr="00B9686C" w:rsidRDefault="00384784" w:rsidP="00384784">
            <w:pPr>
              <w:spacing w:after="0" w:line="240" w:lineRule="auto"/>
              <w:rPr>
                <w:color w:val="000000"/>
              </w:rPr>
            </w:pPr>
            <w:r w:rsidRPr="00384784">
              <w:rPr>
                <w:color w:val="000000"/>
              </w:rPr>
              <w:t>Gas to Electric</w:t>
            </w:r>
          </w:p>
        </w:tc>
        <w:tc>
          <w:tcPr>
            <w:tcW w:w="2975" w:type="dxa"/>
            <w:tcMar>
              <w:top w:w="29" w:type="dxa"/>
              <w:left w:w="72" w:type="dxa"/>
              <w:bottom w:w="29" w:type="dxa"/>
              <w:right w:w="72" w:type="dxa"/>
            </w:tcMar>
          </w:tcPr>
          <w:p w14:paraId="35AC4046" w14:textId="6EBA41CE" w:rsidR="00324AED" w:rsidRDefault="00B70853">
            <w:pPr>
              <w:rPr>
                <w:w w:val="0"/>
              </w:rPr>
            </w:pPr>
            <w:hyperlink r:id="rId29" w:history="1">
              <w:r w:rsidR="00324AED" w:rsidRPr="00B9686C">
                <w:rPr>
                  <w:rStyle w:val="Hyperlink"/>
                  <w:w w:val="0"/>
                </w:rPr>
                <w:t>eTRM</w:t>
              </w:r>
            </w:hyperlink>
          </w:p>
        </w:tc>
      </w:tr>
      <w:tr w:rsidR="00324AED" w14:paraId="59186555" w14:textId="77777777">
        <w:tc>
          <w:tcPr>
            <w:tcW w:w="435" w:type="dxa"/>
            <w:tcMar>
              <w:top w:w="29" w:type="dxa"/>
              <w:left w:w="72" w:type="dxa"/>
              <w:bottom w:w="29" w:type="dxa"/>
              <w:right w:w="72" w:type="dxa"/>
            </w:tcMar>
          </w:tcPr>
          <w:p w14:paraId="799DDC5D" w14:textId="77777777" w:rsidR="00324AED" w:rsidRDefault="00324AED">
            <w:pPr>
              <w:jc w:val="center"/>
              <w:rPr>
                <w:b/>
                <w:w w:val="0"/>
              </w:rPr>
            </w:pPr>
            <w:r>
              <w:rPr>
                <w:b/>
                <w:w w:val="0"/>
              </w:rPr>
              <w:t>2</w:t>
            </w:r>
          </w:p>
        </w:tc>
        <w:tc>
          <w:tcPr>
            <w:tcW w:w="2975" w:type="dxa"/>
            <w:tcMar>
              <w:top w:w="29" w:type="dxa"/>
              <w:left w:w="72" w:type="dxa"/>
              <w:bottom w:w="29" w:type="dxa"/>
              <w:right w:w="72" w:type="dxa"/>
            </w:tcMar>
          </w:tcPr>
          <w:p w14:paraId="2A2244DB" w14:textId="77777777" w:rsidR="00D915EC" w:rsidRPr="00D915EC" w:rsidRDefault="00D915EC" w:rsidP="00D915EC">
            <w:pPr>
              <w:rPr>
                <w:w w:val="0"/>
              </w:rPr>
            </w:pPr>
            <w:r w:rsidRPr="00D915EC">
              <w:rPr>
                <w:w w:val="0"/>
              </w:rPr>
              <w:t>Economizer Controls:</w:t>
            </w:r>
          </w:p>
          <w:p w14:paraId="381BD6D1" w14:textId="7FB83D60" w:rsidR="00324AED" w:rsidRDefault="00D915EC" w:rsidP="00D915EC">
            <w:pPr>
              <w:rPr>
                <w:w w:val="0"/>
              </w:rPr>
            </w:pPr>
            <w:r w:rsidRPr="00D915EC">
              <w:rPr>
                <w:w w:val="0"/>
              </w:rPr>
              <w:t>SWSV010-02</w:t>
            </w:r>
          </w:p>
        </w:tc>
        <w:tc>
          <w:tcPr>
            <w:tcW w:w="2975" w:type="dxa"/>
            <w:tcMar>
              <w:top w:w="29" w:type="dxa"/>
              <w:left w:w="72" w:type="dxa"/>
              <w:bottom w:w="29" w:type="dxa"/>
              <w:right w:w="72" w:type="dxa"/>
            </w:tcMar>
          </w:tcPr>
          <w:p w14:paraId="1F0CF3A8" w14:textId="58EFEC4F" w:rsidR="00324AED" w:rsidRDefault="00384784">
            <w:pPr>
              <w:rPr>
                <w:w w:val="0"/>
              </w:rPr>
            </w:pPr>
            <w:r w:rsidRPr="00384784">
              <w:rPr>
                <w:w w:val="0"/>
              </w:rPr>
              <w:t>Economizer Controls</w:t>
            </w:r>
          </w:p>
        </w:tc>
        <w:tc>
          <w:tcPr>
            <w:tcW w:w="2975" w:type="dxa"/>
            <w:tcMar>
              <w:top w:w="29" w:type="dxa"/>
              <w:left w:w="72" w:type="dxa"/>
              <w:bottom w:w="29" w:type="dxa"/>
              <w:right w:w="72" w:type="dxa"/>
            </w:tcMar>
          </w:tcPr>
          <w:p w14:paraId="4EEC44CE" w14:textId="6D58488E" w:rsidR="00324AED" w:rsidRDefault="00B70853">
            <w:pPr>
              <w:rPr>
                <w:w w:val="0"/>
              </w:rPr>
            </w:pPr>
            <w:hyperlink r:id="rId30" w:history="1">
              <w:r w:rsidR="00324AED" w:rsidRPr="00B9686C">
                <w:rPr>
                  <w:rStyle w:val="Hyperlink"/>
                  <w:w w:val="0"/>
                </w:rPr>
                <w:t>eTRM</w:t>
              </w:r>
            </w:hyperlink>
          </w:p>
        </w:tc>
      </w:tr>
      <w:tr w:rsidR="00324AED" w14:paraId="5C380055" w14:textId="77777777">
        <w:tc>
          <w:tcPr>
            <w:tcW w:w="435" w:type="dxa"/>
            <w:tcMar>
              <w:top w:w="29" w:type="dxa"/>
              <w:left w:w="72" w:type="dxa"/>
              <w:bottom w:w="29" w:type="dxa"/>
              <w:right w:w="72" w:type="dxa"/>
            </w:tcMar>
          </w:tcPr>
          <w:p w14:paraId="17F44732" w14:textId="77777777" w:rsidR="00324AED" w:rsidRDefault="00324AED">
            <w:pPr>
              <w:jc w:val="center"/>
              <w:rPr>
                <w:b/>
                <w:w w:val="0"/>
              </w:rPr>
            </w:pPr>
            <w:r>
              <w:rPr>
                <w:b/>
                <w:w w:val="0"/>
              </w:rPr>
              <w:t>3</w:t>
            </w:r>
          </w:p>
        </w:tc>
        <w:tc>
          <w:tcPr>
            <w:tcW w:w="2975" w:type="dxa"/>
            <w:tcMar>
              <w:top w:w="29" w:type="dxa"/>
              <w:left w:w="72" w:type="dxa"/>
              <w:bottom w:w="29" w:type="dxa"/>
              <w:right w:w="72" w:type="dxa"/>
            </w:tcMar>
          </w:tcPr>
          <w:p w14:paraId="12FA5095" w14:textId="77777777" w:rsidR="00D915EC" w:rsidRPr="00D915EC" w:rsidRDefault="00D915EC" w:rsidP="00D915EC">
            <w:pPr>
              <w:rPr>
                <w:w w:val="0"/>
              </w:rPr>
            </w:pPr>
            <w:r w:rsidRPr="00D915EC">
              <w:rPr>
                <w:w w:val="0"/>
              </w:rPr>
              <w:t>Ultra-Low Temperature</w:t>
            </w:r>
          </w:p>
          <w:p w14:paraId="115C106D" w14:textId="27F213DC" w:rsidR="00324AED" w:rsidRDefault="00D915EC" w:rsidP="00D915EC">
            <w:pPr>
              <w:rPr>
                <w:w w:val="0"/>
              </w:rPr>
            </w:pPr>
            <w:r w:rsidRPr="00D915EC">
              <w:rPr>
                <w:w w:val="0"/>
              </w:rPr>
              <w:t>Freezer: SWCR017-04</w:t>
            </w:r>
          </w:p>
        </w:tc>
        <w:tc>
          <w:tcPr>
            <w:tcW w:w="2975" w:type="dxa"/>
            <w:tcMar>
              <w:top w:w="29" w:type="dxa"/>
              <w:left w:w="72" w:type="dxa"/>
              <w:bottom w:w="29" w:type="dxa"/>
              <w:right w:w="72" w:type="dxa"/>
            </w:tcMar>
          </w:tcPr>
          <w:p w14:paraId="32404639" w14:textId="77777777" w:rsidR="00384784" w:rsidRPr="00384784" w:rsidRDefault="00384784" w:rsidP="00384784">
            <w:pPr>
              <w:rPr>
                <w:w w:val="0"/>
              </w:rPr>
            </w:pPr>
            <w:r w:rsidRPr="00384784">
              <w:rPr>
                <w:w w:val="0"/>
              </w:rPr>
              <w:t>Refrig-freezer, high</w:t>
            </w:r>
          </w:p>
          <w:p w14:paraId="66D2CD86" w14:textId="77777777" w:rsidR="00384784" w:rsidRPr="00384784" w:rsidRDefault="00384784" w:rsidP="00384784">
            <w:pPr>
              <w:rPr>
                <w:w w:val="0"/>
              </w:rPr>
            </w:pPr>
            <w:r w:rsidRPr="00384784">
              <w:rPr>
                <w:w w:val="0"/>
              </w:rPr>
              <w:t>efficiency ultra-low</w:t>
            </w:r>
          </w:p>
          <w:p w14:paraId="13EECF1C" w14:textId="40237F32" w:rsidR="00324AED" w:rsidRDefault="00384784" w:rsidP="00384784">
            <w:pPr>
              <w:rPr>
                <w:w w:val="0"/>
              </w:rPr>
            </w:pPr>
            <w:r w:rsidRPr="00384784">
              <w:rPr>
                <w:w w:val="0"/>
              </w:rPr>
              <w:t>temperature</w:t>
            </w:r>
          </w:p>
        </w:tc>
        <w:tc>
          <w:tcPr>
            <w:tcW w:w="2975" w:type="dxa"/>
            <w:tcMar>
              <w:top w:w="29" w:type="dxa"/>
              <w:left w:w="72" w:type="dxa"/>
              <w:bottom w:w="29" w:type="dxa"/>
              <w:right w:w="72" w:type="dxa"/>
            </w:tcMar>
          </w:tcPr>
          <w:p w14:paraId="4B8C30C6" w14:textId="48D0161A" w:rsidR="00324AED" w:rsidRDefault="00B70853">
            <w:pPr>
              <w:rPr>
                <w:w w:val="0"/>
              </w:rPr>
            </w:pPr>
            <w:hyperlink r:id="rId31" w:history="1">
              <w:r w:rsidR="00324AED" w:rsidRPr="00B9686C">
                <w:rPr>
                  <w:rStyle w:val="Hyperlink"/>
                  <w:w w:val="0"/>
                </w:rPr>
                <w:t>eTRM</w:t>
              </w:r>
            </w:hyperlink>
          </w:p>
        </w:tc>
      </w:tr>
      <w:tr w:rsidR="00324AED" w:rsidRPr="00B9686C" w14:paraId="236CED0E" w14:textId="77777777">
        <w:tc>
          <w:tcPr>
            <w:tcW w:w="435" w:type="dxa"/>
            <w:tcMar>
              <w:top w:w="29" w:type="dxa"/>
              <w:left w:w="72" w:type="dxa"/>
              <w:bottom w:w="29" w:type="dxa"/>
              <w:right w:w="72" w:type="dxa"/>
            </w:tcMar>
          </w:tcPr>
          <w:p w14:paraId="6B71A600" w14:textId="77777777" w:rsidR="00324AED" w:rsidRPr="00B9686C" w:rsidRDefault="00324AED">
            <w:pPr>
              <w:jc w:val="center"/>
              <w:rPr>
                <w:b/>
                <w:w w:val="0"/>
              </w:rPr>
            </w:pPr>
            <w:r>
              <w:rPr>
                <w:b/>
                <w:w w:val="0"/>
              </w:rPr>
              <w:t>4</w:t>
            </w:r>
          </w:p>
        </w:tc>
        <w:tc>
          <w:tcPr>
            <w:tcW w:w="2975" w:type="dxa"/>
            <w:tcMar>
              <w:top w:w="29" w:type="dxa"/>
              <w:left w:w="72" w:type="dxa"/>
              <w:bottom w:w="29" w:type="dxa"/>
              <w:right w:w="72" w:type="dxa"/>
            </w:tcMar>
          </w:tcPr>
          <w:p w14:paraId="4D852BF7" w14:textId="77777777" w:rsidR="00D915EC" w:rsidRPr="00D915EC" w:rsidRDefault="00D915EC" w:rsidP="00D915EC">
            <w:pPr>
              <w:rPr>
                <w:color w:val="000000"/>
              </w:rPr>
            </w:pPr>
            <w:r w:rsidRPr="00D915EC">
              <w:rPr>
                <w:color w:val="000000"/>
              </w:rPr>
              <w:t>VSD for HVAC Fan</w:t>
            </w:r>
          </w:p>
          <w:p w14:paraId="01FA4823" w14:textId="08F48305" w:rsidR="00324AED" w:rsidRPr="00B9686C" w:rsidRDefault="00D915EC" w:rsidP="00D915EC">
            <w:pPr>
              <w:rPr>
                <w:color w:val="000000"/>
              </w:rPr>
            </w:pPr>
            <w:r w:rsidRPr="00D915EC">
              <w:rPr>
                <w:color w:val="000000"/>
              </w:rPr>
              <w:t>Controls: SWHC018-03</w:t>
            </w:r>
          </w:p>
        </w:tc>
        <w:tc>
          <w:tcPr>
            <w:tcW w:w="2975" w:type="dxa"/>
            <w:tcMar>
              <w:top w:w="29" w:type="dxa"/>
              <w:left w:w="72" w:type="dxa"/>
              <w:bottom w:w="29" w:type="dxa"/>
              <w:right w:w="72" w:type="dxa"/>
            </w:tcMar>
          </w:tcPr>
          <w:p w14:paraId="79AE1D2F" w14:textId="40A32A04" w:rsidR="00324AED" w:rsidRPr="00B9686C" w:rsidRDefault="00384784">
            <w:pPr>
              <w:rPr>
                <w:color w:val="000000"/>
              </w:rPr>
            </w:pPr>
            <w:r w:rsidRPr="00384784">
              <w:rPr>
                <w:color w:val="000000"/>
              </w:rPr>
              <w:t>VSD on HVAC Fan Control</w:t>
            </w:r>
          </w:p>
        </w:tc>
        <w:tc>
          <w:tcPr>
            <w:tcW w:w="2975" w:type="dxa"/>
            <w:tcMar>
              <w:top w:w="29" w:type="dxa"/>
              <w:left w:w="72" w:type="dxa"/>
              <w:bottom w:w="29" w:type="dxa"/>
              <w:right w:w="72" w:type="dxa"/>
            </w:tcMar>
          </w:tcPr>
          <w:p w14:paraId="27A2964E" w14:textId="2065FF5E" w:rsidR="00324AED" w:rsidRPr="00B9686C" w:rsidRDefault="00B70853">
            <w:pPr>
              <w:rPr>
                <w:w w:val="0"/>
              </w:rPr>
            </w:pPr>
            <w:hyperlink r:id="rId32" w:history="1">
              <w:r w:rsidR="00324AED" w:rsidRPr="00B9686C">
                <w:rPr>
                  <w:rStyle w:val="Hyperlink"/>
                  <w:w w:val="0"/>
                </w:rPr>
                <w:t>eTRM</w:t>
              </w:r>
            </w:hyperlink>
          </w:p>
        </w:tc>
      </w:tr>
    </w:tbl>
    <w:p w14:paraId="55D8EF7B" w14:textId="77777777" w:rsidR="00122673" w:rsidRDefault="00122673" w:rsidP="004C4F49">
      <w:pPr>
        <w:pStyle w:val="BodyText"/>
      </w:pPr>
    </w:p>
    <w:p w14:paraId="6CD37D94" w14:textId="77777777" w:rsidR="006E51B0" w:rsidRDefault="006E51B0" w:rsidP="004C4F49">
      <w:pPr>
        <w:pStyle w:val="BodyText"/>
      </w:pPr>
    </w:p>
    <w:p w14:paraId="08859865" w14:textId="77777777" w:rsidR="007831EB" w:rsidRDefault="007831EB" w:rsidP="007831EB">
      <w:pPr>
        <w:pStyle w:val="Heading2"/>
      </w:pPr>
      <w:bookmarkStart w:id="143" w:name="_Toc168663938"/>
      <w:r>
        <w:lastRenderedPageBreak/>
        <w:t>Quantitative Program Targets</w:t>
      </w:r>
      <w:bookmarkEnd w:id="143"/>
    </w:p>
    <w:p w14:paraId="08341776" w14:textId="37A052E2" w:rsidR="007831EB" w:rsidRDefault="00DA2018" w:rsidP="007831EB">
      <w:pPr>
        <w:rPr>
          <w:iCs/>
        </w:rPr>
      </w:pPr>
      <w:r>
        <w:rPr>
          <w:iCs/>
        </w:rPr>
        <w:t>Our expected Total System Bene</w:t>
      </w:r>
      <w:r w:rsidR="00101DC9">
        <w:rPr>
          <w:iCs/>
        </w:rPr>
        <w:t>fit</w:t>
      </w:r>
      <w:r w:rsidR="004C6F9C">
        <w:rPr>
          <w:iCs/>
        </w:rPr>
        <w:t xml:space="preserve"> targets </w:t>
      </w:r>
      <w:r w:rsidR="00683C2D">
        <w:rPr>
          <w:iCs/>
        </w:rPr>
        <w:t>are defined in the following table:</w:t>
      </w:r>
    </w:p>
    <w:p w14:paraId="0371EC27" w14:textId="2493244F" w:rsidR="00AA70CC" w:rsidRDefault="00AA70CC" w:rsidP="00AA70CC">
      <w:pPr>
        <w:pStyle w:val="Caption"/>
        <w:jc w:val="left"/>
      </w:pPr>
      <w:r>
        <w:t xml:space="preserve">Table </w:t>
      </w:r>
      <w:r w:rsidR="00B70853">
        <w:fldChar w:fldCharType="begin"/>
      </w:r>
      <w:r w:rsidR="00B70853">
        <w:instrText xml:space="preserve"> SEQ Table \* ARABIC </w:instrText>
      </w:r>
      <w:r w:rsidR="00B70853">
        <w:fldChar w:fldCharType="separate"/>
      </w:r>
      <w:r w:rsidR="00A6197B">
        <w:rPr>
          <w:noProof/>
        </w:rPr>
        <w:t>20</w:t>
      </w:r>
      <w:r w:rsidR="00B70853">
        <w:rPr>
          <w:noProof/>
        </w:rPr>
        <w:fldChar w:fldCharType="end"/>
      </w:r>
      <w:r>
        <w:t>: TSB</w:t>
      </w:r>
      <w:r w:rsidR="00EC2374">
        <w:t xml:space="preserve"> Targets</w:t>
      </w:r>
    </w:p>
    <w:tbl>
      <w:tblPr>
        <w:tblStyle w:val="TableGrid"/>
        <w:tblW w:w="0" w:type="auto"/>
        <w:tblLook w:val="04A0" w:firstRow="1" w:lastRow="0" w:firstColumn="1" w:lastColumn="0" w:noHBand="0" w:noVBand="1"/>
      </w:tblPr>
      <w:tblGrid>
        <w:gridCol w:w="3116"/>
        <w:gridCol w:w="3117"/>
        <w:gridCol w:w="3117"/>
      </w:tblGrid>
      <w:tr w:rsidR="00410CE0" w14:paraId="07ED359E" w14:textId="77777777" w:rsidTr="00410CE0">
        <w:tc>
          <w:tcPr>
            <w:tcW w:w="3116" w:type="dxa"/>
            <w:shd w:val="clear" w:color="auto" w:fill="2F5496" w:themeFill="accent1" w:themeFillShade="BF"/>
          </w:tcPr>
          <w:p w14:paraId="3CBC93EE" w14:textId="29521096" w:rsidR="00410CE0" w:rsidRPr="00410CE0" w:rsidRDefault="00410CE0" w:rsidP="00410CE0">
            <w:pPr>
              <w:jc w:val="center"/>
              <w:rPr>
                <w:iCs/>
                <w:color w:val="FFFFFF" w:themeColor="background1"/>
              </w:rPr>
            </w:pPr>
            <w:r>
              <w:rPr>
                <w:iCs/>
                <w:color w:val="FFFFFF" w:themeColor="background1"/>
              </w:rPr>
              <w:t>Delivery Period Month of each Delivery Period Year</w:t>
            </w:r>
          </w:p>
        </w:tc>
        <w:tc>
          <w:tcPr>
            <w:tcW w:w="3117" w:type="dxa"/>
            <w:shd w:val="clear" w:color="auto" w:fill="2F5496" w:themeFill="accent1" w:themeFillShade="BF"/>
          </w:tcPr>
          <w:p w14:paraId="2983EDD9" w14:textId="6A58FC36" w:rsidR="00410CE0" w:rsidRPr="00410CE0" w:rsidRDefault="00FE3ADF" w:rsidP="00410CE0">
            <w:pPr>
              <w:jc w:val="center"/>
              <w:rPr>
                <w:iCs/>
                <w:color w:val="FFFFFF" w:themeColor="background1"/>
              </w:rPr>
            </w:pPr>
            <w:r>
              <w:rPr>
                <w:iCs/>
                <w:color w:val="FFFFFF" w:themeColor="background1"/>
              </w:rPr>
              <w:t>Expected Total System Benefit (TSB)</w:t>
            </w:r>
          </w:p>
        </w:tc>
        <w:tc>
          <w:tcPr>
            <w:tcW w:w="3117" w:type="dxa"/>
            <w:shd w:val="clear" w:color="auto" w:fill="2F5496" w:themeFill="accent1" w:themeFillShade="BF"/>
          </w:tcPr>
          <w:p w14:paraId="4548763F" w14:textId="32A97FE0" w:rsidR="00410CE0" w:rsidRPr="00410CE0" w:rsidRDefault="00FE3ADF" w:rsidP="00410CE0">
            <w:pPr>
              <w:jc w:val="center"/>
              <w:rPr>
                <w:iCs/>
                <w:color w:val="FFFFFF" w:themeColor="background1"/>
              </w:rPr>
            </w:pPr>
            <w:r>
              <w:rPr>
                <w:iCs/>
                <w:color w:val="FFFFFF" w:themeColor="background1"/>
              </w:rPr>
              <w:t>Savings Price (in $/TSB)</w:t>
            </w:r>
          </w:p>
        </w:tc>
      </w:tr>
      <w:tr w:rsidR="00410CE0" w14:paraId="5CA61804" w14:textId="77777777" w:rsidTr="00410CE0">
        <w:tc>
          <w:tcPr>
            <w:tcW w:w="3116" w:type="dxa"/>
          </w:tcPr>
          <w:p w14:paraId="322EA300" w14:textId="06A4FD41" w:rsidR="00410CE0" w:rsidRDefault="002602F8" w:rsidP="007831EB">
            <w:pPr>
              <w:rPr>
                <w:iCs/>
              </w:rPr>
            </w:pPr>
            <w:r>
              <w:rPr>
                <w:iCs/>
              </w:rPr>
              <w:t>Sep, 2026</w:t>
            </w:r>
          </w:p>
        </w:tc>
        <w:tc>
          <w:tcPr>
            <w:tcW w:w="3117" w:type="dxa"/>
          </w:tcPr>
          <w:p w14:paraId="422FFE1B" w14:textId="111BB73B" w:rsidR="00410CE0" w:rsidRDefault="002602F8" w:rsidP="007831EB">
            <w:pPr>
              <w:rPr>
                <w:iCs/>
              </w:rPr>
            </w:pPr>
            <w:r>
              <w:rPr>
                <w:iCs/>
              </w:rPr>
              <w:t>2,205,184</w:t>
            </w:r>
          </w:p>
        </w:tc>
        <w:tc>
          <w:tcPr>
            <w:tcW w:w="3117" w:type="dxa"/>
          </w:tcPr>
          <w:p w14:paraId="46343A1C" w14:textId="3615B3E2" w:rsidR="00410CE0" w:rsidRDefault="000967E7" w:rsidP="007831EB">
            <w:pPr>
              <w:rPr>
                <w:iCs/>
              </w:rPr>
            </w:pPr>
            <w:r>
              <w:rPr>
                <w:iCs/>
              </w:rPr>
              <w:t xml:space="preserve">$ </w:t>
            </w:r>
            <w:r w:rsidR="00620457">
              <w:rPr>
                <w:iCs/>
              </w:rPr>
              <w:t>1.005</w:t>
            </w:r>
          </w:p>
        </w:tc>
      </w:tr>
      <w:tr w:rsidR="00410CE0" w14:paraId="516E3B77" w14:textId="77777777" w:rsidTr="00410CE0">
        <w:tc>
          <w:tcPr>
            <w:tcW w:w="3116" w:type="dxa"/>
          </w:tcPr>
          <w:p w14:paraId="777CDCE4" w14:textId="51B850FE" w:rsidR="00410CE0" w:rsidRDefault="00B272C2" w:rsidP="007831EB">
            <w:pPr>
              <w:rPr>
                <w:iCs/>
              </w:rPr>
            </w:pPr>
            <w:r>
              <w:rPr>
                <w:iCs/>
              </w:rPr>
              <w:t>Sep, 2027</w:t>
            </w:r>
          </w:p>
        </w:tc>
        <w:tc>
          <w:tcPr>
            <w:tcW w:w="3117" w:type="dxa"/>
          </w:tcPr>
          <w:p w14:paraId="0C331B88" w14:textId="52E20F47" w:rsidR="00410CE0" w:rsidRDefault="00620457" w:rsidP="007831EB">
            <w:pPr>
              <w:rPr>
                <w:iCs/>
              </w:rPr>
            </w:pPr>
            <w:r>
              <w:rPr>
                <w:iCs/>
              </w:rPr>
              <w:t>3,107,673</w:t>
            </w:r>
          </w:p>
        </w:tc>
        <w:tc>
          <w:tcPr>
            <w:tcW w:w="3117" w:type="dxa"/>
          </w:tcPr>
          <w:p w14:paraId="1FB3D7E5" w14:textId="55631583" w:rsidR="00410CE0" w:rsidRDefault="00B272C2" w:rsidP="007831EB">
            <w:pPr>
              <w:rPr>
                <w:iCs/>
              </w:rPr>
            </w:pPr>
            <w:r>
              <w:rPr>
                <w:iCs/>
              </w:rPr>
              <w:t>$ 0.</w:t>
            </w:r>
            <w:r w:rsidR="00620457">
              <w:rPr>
                <w:iCs/>
              </w:rPr>
              <w:t>656</w:t>
            </w:r>
          </w:p>
        </w:tc>
      </w:tr>
      <w:tr w:rsidR="00B272C2" w14:paraId="7343E7C0" w14:textId="77777777" w:rsidTr="00410CE0">
        <w:tc>
          <w:tcPr>
            <w:tcW w:w="3116" w:type="dxa"/>
          </w:tcPr>
          <w:p w14:paraId="092C61F0" w14:textId="49760CEC" w:rsidR="00B272C2" w:rsidRDefault="003518A0" w:rsidP="007831EB">
            <w:pPr>
              <w:rPr>
                <w:iCs/>
              </w:rPr>
            </w:pPr>
            <w:r>
              <w:rPr>
                <w:iCs/>
              </w:rPr>
              <w:t>Mar, 2028</w:t>
            </w:r>
          </w:p>
        </w:tc>
        <w:tc>
          <w:tcPr>
            <w:tcW w:w="3117" w:type="dxa"/>
          </w:tcPr>
          <w:p w14:paraId="06B5DC6E" w14:textId="5C5F0D77" w:rsidR="00B272C2" w:rsidRDefault="003518A0" w:rsidP="007831EB">
            <w:pPr>
              <w:rPr>
                <w:iCs/>
              </w:rPr>
            </w:pPr>
            <w:r>
              <w:rPr>
                <w:iCs/>
              </w:rPr>
              <w:t>1,194,759</w:t>
            </w:r>
          </w:p>
        </w:tc>
        <w:tc>
          <w:tcPr>
            <w:tcW w:w="3117" w:type="dxa"/>
          </w:tcPr>
          <w:p w14:paraId="09D609D5" w14:textId="1DFCD421" w:rsidR="00B272C2" w:rsidRDefault="003518A0" w:rsidP="007831EB">
            <w:pPr>
              <w:rPr>
                <w:iCs/>
              </w:rPr>
            </w:pPr>
            <w:r>
              <w:rPr>
                <w:iCs/>
              </w:rPr>
              <w:t>$ 0.</w:t>
            </w:r>
            <w:r w:rsidR="00AA0D6F">
              <w:rPr>
                <w:iCs/>
              </w:rPr>
              <w:t>613</w:t>
            </w:r>
          </w:p>
        </w:tc>
      </w:tr>
      <w:tr w:rsidR="00A177CA" w14:paraId="7F25004F" w14:textId="77777777" w:rsidTr="00410CE0">
        <w:tc>
          <w:tcPr>
            <w:tcW w:w="3116" w:type="dxa"/>
          </w:tcPr>
          <w:p w14:paraId="767C1B71" w14:textId="65D7C849" w:rsidR="00A177CA" w:rsidRDefault="00AA0D6F" w:rsidP="007831EB">
            <w:pPr>
              <w:rPr>
                <w:iCs/>
              </w:rPr>
            </w:pPr>
            <w:r>
              <w:rPr>
                <w:iCs/>
              </w:rPr>
              <w:t>Sep, 2028</w:t>
            </w:r>
          </w:p>
        </w:tc>
        <w:tc>
          <w:tcPr>
            <w:tcW w:w="3117" w:type="dxa"/>
          </w:tcPr>
          <w:p w14:paraId="1235BD35" w14:textId="0B8191C8" w:rsidR="00A177CA" w:rsidRDefault="00AA0D6F" w:rsidP="007831EB">
            <w:pPr>
              <w:rPr>
                <w:iCs/>
              </w:rPr>
            </w:pPr>
            <w:r>
              <w:rPr>
                <w:iCs/>
              </w:rPr>
              <w:t>2,975,208</w:t>
            </w:r>
          </w:p>
        </w:tc>
        <w:tc>
          <w:tcPr>
            <w:tcW w:w="3117" w:type="dxa"/>
          </w:tcPr>
          <w:p w14:paraId="32A8572C" w14:textId="6605C0EE" w:rsidR="00A177CA" w:rsidRDefault="00AA0D6F" w:rsidP="007831EB">
            <w:pPr>
              <w:rPr>
                <w:iCs/>
              </w:rPr>
            </w:pPr>
            <w:r>
              <w:rPr>
                <w:iCs/>
              </w:rPr>
              <w:t>$ 0.</w:t>
            </w:r>
            <w:r w:rsidR="005F1E32">
              <w:rPr>
                <w:iCs/>
              </w:rPr>
              <w:t>613</w:t>
            </w:r>
          </w:p>
        </w:tc>
      </w:tr>
      <w:tr w:rsidR="00A177CA" w14:paraId="4B130B9B" w14:textId="77777777" w:rsidTr="00410CE0">
        <w:tc>
          <w:tcPr>
            <w:tcW w:w="3116" w:type="dxa"/>
          </w:tcPr>
          <w:p w14:paraId="3D120056" w14:textId="7296BD4A" w:rsidR="00A177CA" w:rsidRDefault="005F1E32" w:rsidP="007831EB">
            <w:pPr>
              <w:rPr>
                <w:iCs/>
              </w:rPr>
            </w:pPr>
            <w:r>
              <w:rPr>
                <w:iCs/>
              </w:rPr>
              <w:t>Mar, 2029</w:t>
            </w:r>
          </w:p>
        </w:tc>
        <w:tc>
          <w:tcPr>
            <w:tcW w:w="3117" w:type="dxa"/>
          </w:tcPr>
          <w:p w14:paraId="76A3B61C" w14:textId="7E62AE64" w:rsidR="00A177CA" w:rsidRDefault="005F1E32" w:rsidP="007831EB">
            <w:pPr>
              <w:rPr>
                <w:iCs/>
              </w:rPr>
            </w:pPr>
            <w:r>
              <w:rPr>
                <w:iCs/>
              </w:rPr>
              <w:t>2,441,947</w:t>
            </w:r>
          </w:p>
        </w:tc>
        <w:tc>
          <w:tcPr>
            <w:tcW w:w="3117" w:type="dxa"/>
          </w:tcPr>
          <w:p w14:paraId="018E4C55" w14:textId="6D4FCD0A" w:rsidR="00A177CA" w:rsidRDefault="005F1E32" w:rsidP="007831EB">
            <w:pPr>
              <w:rPr>
                <w:iCs/>
              </w:rPr>
            </w:pPr>
            <w:r>
              <w:rPr>
                <w:iCs/>
              </w:rPr>
              <w:t>$ 0.458</w:t>
            </w:r>
          </w:p>
        </w:tc>
      </w:tr>
      <w:tr w:rsidR="00722DD4" w14:paraId="54B14C37" w14:textId="77777777" w:rsidTr="00410CE0">
        <w:tc>
          <w:tcPr>
            <w:tcW w:w="3116" w:type="dxa"/>
          </w:tcPr>
          <w:p w14:paraId="6E3C745D" w14:textId="1AC47572" w:rsidR="00722DD4" w:rsidRDefault="005F1E32" w:rsidP="007831EB">
            <w:pPr>
              <w:rPr>
                <w:iCs/>
              </w:rPr>
            </w:pPr>
            <w:r>
              <w:rPr>
                <w:iCs/>
              </w:rPr>
              <w:t>Sep, 2029</w:t>
            </w:r>
          </w:p>
        </w:tc>
        <w:tc>
          <w:tcPr>
            <w:tcW w:w="3117" w:type="dxa"/>
          </w:tcPr>
          <w:p w14:paraId="2049072D" w14:textId="7F5A3711" w:rsidR="00722DD4" w:rsidRDefault="005F1E32" w:rsidP="007831EB">
            <w:pPr>
              <w:rPr>
                <w:iCs/>
              </w:rPr>
            </w:pPr>
            <w:r>
              <w:rPr>
                <w:iCs/>
              </w:rPr>
              <w:t>2,782,542</w:t>
            </w:r>
          </w:p>
        </w:tc>
        <w:tc>
          <w:tcPr>
            <w:tcW w:w="3117" w:type="dxa"/>
          </w:tcPr>
          <w:p w14:paraId="2CA518B3" w14:textId="7B9FE4A4" w:rsidR="00722DD4" w:rsidRDefault="005F1E32" w:rsidP="007831EB">
            <w:pPr>
              <w:rPr>
                <w:iCs/>
              </w:rPr>
            </w:pPr>
            <w:r>
              <w:rPr>
                <w:iCs/>
              </w:rPr>
              <w:t>$ 0.458</w:t>
            </w:r>
          </w:p>
        </w:tc>
      </w:tr>
    </w:tbl>
    <w:p w14:paraId="68A42B89" w14:textId="77777777" w:rsidR="00683C2D" w:rsidRDefault="00683C2D" w:rsidP="007831EB">
      <w:pPr>
        <w:rPr>
          <w:iCs/>
        </w:rPr>
      </w:pPr>
    </w:p>
    <w:p w14:paraId="5DBFE090" w14:textId="77777777" w:rsidR="00A6197B" w:rsidRDefault="00CD2E00" w:rsidP="00DC7661">
      <w:pPr>
        <w:pStyle w:val="Caption"/>
        <w:ind w:left="360"/>
        <w:jc w:val="left"/>
        <w:rPr>
          <w:b/>
          <w:bCs/>
          <w:i w:val="0"/>
          <w:iCs/>
        </w:rPr>
      </w:pPr>
      <w:r>
        <w:rPr>
          <w:iCs/>
        </w:rPr>
        <w:t xml:space="preserve">See </w:t>
      </w:r>
      <w:r w:rsidR="00094ED9">
        <w:rPr>
          <w:iCs/>
        </w:rPr>
        <w:fldChar w:fldCharType="begin"/>
      </w:r>
      <w:r w:rsidR="00094ED9">
        <w:rPr>
          <w:iCs/>
        </w:rPr>
        <w:instrText xml:space="preserve"> REF _Ref116908044 \h </w:instrText>
      </w:r>
      <w:r w:rsidR="00094ED9">
        <w:rPr>
          <w:iCs/>
        </w:rPr>
      </w:r>
      <w:r w:rsidR="00094ED9">
        <w:rPr>
          <w:iCs/>
        </w:rPr>
        <w:fldChar w:fldCharType="separate"/>
      </w:r>
      <w:r w:rsidR="00A6197B">
        <w:rPr>
          <w:i w:val="0"/>
          <w:iCs/>
        </w:rPr>
        <w:t>Total System Benefits (TSB) is the primary metric. Savings will be estimated using the methodology outlined in the</w:t>
      </w:r>
      <w:r w:rsidR="00A6197B" w:rsidRPr="008523AC">
        <w:rPr>
          <w:color w:val="2F5496" w:themeColor="accent1" w:themeShade="BF"/>
        </w:rPr>
        <w:t xml:space="preserve"> </w:t>
      </w:r>
      <w:r w:rsidR="00A6197B" w:rsidRPr="008523AC">
        <w:rPr>
          <w:i w:val="0"/>
          <w:iCs/>
          <w:color w:val="2F5496" w:themeColor="accent1" w:themeShade="BF"/>
        </w:rPr>
        <w:t>California SEM M&amp;V Guide</w:t>
      </w:r>
      <w:r w:rsidR="00A6197B" w:rsidRPr="00096199">
        <w:rPr>
          <w:b/>
          <w:i w:val="0"/>
          <w:iCs/>
          <w:color w:val="2F5496" w:themeColor="accent1" w:themeShade="BF"/>
        </w:rPr>
        <w:t>.</w:t>
      </w:r>
    </w:p>
    <w:p w14:paraId="2516EBC0" w14:textId="77777777" w:rsidR="00A6197B" w:rsidRDefault="00A6197B" w:rsidP="001C6336">
      <w:pPr>
        <w:pStyle w:val="Caption"/>
        <w:ind w:firstLine="360"/>
        <w:jc w:val="left"/>
      </w:pPr>
      <w:r>
        <w:t xml:space="preserve">Table </w:t>
      </w:r>
      <w:r>
        <w:rPr>
          <w:noProof/>
        </w:rPr>
        <w:t>2</w:t>
      </w:r>
      <w:r>
        <w:t xml:space="preserve"> Total System Benefits Targets</w:t>
      </w:r>
    </w:p>
    <w:tbl>
      <w:tblPr>
        <w:tblStyle w:val="TableGrid"/>
        <w:tblW w:w="0" w:type="auto"/>
        <w:tblInd w:w="355" w:type="dxa"/>
        <w:tblLook w:val="04A0" w:firstRow="1" w:lastRow="0" w:firstColumn="1" w:lastColumn="0" w:noHBand="0" w:noVBand="1"/>
      </w:tblPr>
      <w:tblGrid>
        <w:gridCol w:w="2761"/>
        <w:gridCol w:w="3117"/>
        <w:gridCol w:w="3117"/>
      </w:tblGrid>
      <w:tr w:rsidR="00A6197B" w14:paraId="48ACC339" w14:textId="77777777" w:rsidTr="001C6336">
        <w:tc>
          <w:tcPr>
            <w:tcW w:w="2761" w:type="dxa"/>
            <w:shd w:val="clear" w:color="auto" w:fill="2F5496" w:themeFill="accent1" w:themeFillShade="BF"/>
          </w:tcPr>
          <w:p w14:paraId="7B5EFB24" w14:textId="77777777" w:rsidR="00A6197B" w:rsidRPr="006A0EA4" w:rsidRDefault="00A6197B" w:rsidP="00FC0501">
            <w:pPr>
              <w:jc w:val="center"/>
              <w:rPr>
                <w:rFonts w:asciiTheme="minorHAnsi" w:hAnsiTheme="minorHAnsi" w:cstheme="minorHAnsi"/>
                <w:iCs/>
                <w:color w:val="FFFFFF" w:themeColor="background1"/>
              </w:rPr>
            </w:pPr>
            <w:r w:rsidRPr="006A0EA4">
              <w:rPr>
                <w:rFonts w:asciiTheme="minorHAnsi" w:hAnsiTheme="minorHAnsi" w:cstheme="minorHAnsi"/>
                <w:iCs/>
                <w:color w:val="FFFFFF" w:themeColor="background1"/>
              </w:rPr>
              <w:t>Delivery Period Month of each Delivery Period Year</w:t>
            </w:r>
          </w:p>
        </w:tc>
        <w:tc>
          <w:tcPr>
            <w:tcW w:w="3117" w:type="dxa"/>
            <w:shd w:val="clear" w:color="auto" w:fill="2F5496" w:themeFill="accent1" w:themeFillShade="BF"/>
          </w:tcPr>
          <w:p w14:paraId="05D57E7B" w14:textId="77777777" w:rsidR="00A6197B" w:rsidRPr="006A0EA4" w:rsidRDefault="00A6197B" w:rsidP="00FC0501">
            <w:pPr>
              <w:jc w:val="center"/>
              <w:rPr>
                <w:rFonts w:asciiTheme="minorHAnsi" w:hAnsiTheme="minorHAnsi" w:cstheme="minorHAnsi"/>
                <w:iCs/>
                <w:color w:val="FFFFFF" w:themeColor="background1"/>
              </w:rPr>
            </w:pPr>
            <w:r w:rsidRPr="006A0EA4">
              <w:rPr>
                <w:rFonts w:asciiTheme="minorHAnsi" w:hAnsiTheme="minorHAnsi" w:cstheme="minorHAnsi"/>
                <w:iCs/>
                <w:color w:val="FFFFFF" w:themeColor="background1"/>
              </w:rPr>
              <w:t>Expected Total System Benefit (TSB)</w:t>
            </w:r>
          </w:p>
        </w:tc>
        <w:tc>
          <w:tcPr>
            <w:tcW w:w="3117" w:type="dxa"/>
            <w:shd w:val="clear" w:color="auto" w:fill="2F5496" w:themeFill="accent1" w:themeFillShade="BF"/>
          </w:tcPr>
          <w:p w14:paraId="6A61E576" w14:textId="77777777" w:rsidR="00A6197B" w:rsidRPr="006A0EA4" w:rsidRDefault="00A6197B" w:rsidP="00FC0501">
            <w:pPr>
              <w:jc w:val="center"/>
              <w:rPr>
                <w:rFonts w:asciiTheme="minorHAnsi" w:hAnsiTheme="minorHAnsi" w:cstheme="minorHAnsi"/>
                <w:iCs/>
                <w:color w:val="FFFFFF" w:themeColor="background1"/>
              </w:rPr>
            </w:pPr>
            <w:r w:rsidRPr="006A0EA4">
              <w:rPr>
                <w:rFonts w:asciiTheme="minorHAnsi" w:hAnsiTheme="minorHAnsi" w:cstheme="minorHAnsi"/>
                <w:iCs/>
                <w:color w:val="FFFFFF" w:themeColor="background1"/>
              </w:rPr>
              <w:t>Savings Price (in $/TSB)</w:t>
            </w:r>
          </w:p>
        </w:tc>
      </w:tr>
      <w:tr w:rsidR="00A6197B" w14:paraId="46FA9654" w14:textId="77777777" w:rsidTr="001C6336">
        <w:tc>
          <w:tcPr>
            <w:tcW w:w="2761" w:type="dxa"/>
          </w:tcPr>
          <w:p w14:paraId="26CA3601" w14:textId="77777777" w:rsidR="00A6197B" w:rsidRPr="006A0EA4" w:rsidRDefault="00A6197B" w:rsidP="00FC0501">
            <w:pPr>
              <w:rPr>
                <w:rFonts w:asciiTheme="minorHAnsi" w:hAnsiTheme="minorHAnsi" w:cstheme="minorHAnsi"/>
                <w:iCs/>
                <w:sz w:val="18"/>
                <w:szCs w:val="18"/>
              </w:rPr>
            </w:pPr>
            <w:r w:rsidRPr="006A0EA4">
              <w:rPr>
                <w:rFonts w:asciiTheme="minorHAnsi" w:hAnsiTheme="minorHAnsi" w:cstheme="minorHAnsi"/>
                <w:iCs/>
                <w:sz w:val="18"/>
                <w:szCs w:val="18"/>
              </w:rPr>
              <w:t>Sep, 2026</w:t>
            </w:r>
          </w:p>
        </w:tc>
        <w:tc>
          <w:tcPr>
            <w:tcW w:w="3117" w:type="dxa"/>
          </w:tcPr>
          <w:p w14:paraId="3686851A" w14:textId="77777777" w:rsidR="00A6197B" w:rsidRPr="006A0EA4" w:rsidRDefault="00A6197B" w:rsidP="00C46B51">
            <w:pPr>
              <w:jc w:val="center"/>
              <w:rPr>
                <w:rFonts w:asciiTheme="minorHAnsi" w:hAnsiTheme="minorHAnsi" w:cstheme="minorHAnsi"/>
                <w:iCs/>
                <w:sz w:val="18"/>
                <w:szCs w:val="18"/>
              </w:rPr>
            </w:pPr>
            <w:r w:rsidRPr="006A0EA4">
              <w:rPr>
                <w:rFonts w:asciiTheme="minorHAnsi" w:hAnsiTheme="minorHAnsi" w:cstheme="minorHAnsi"/>
                <w:iCs/>
                <w:sz w:val="18"/>
                <w:szCs w:val="18"/>
              </w:rPr>
              <w:t>2,205,184</w:t>
            </w:r>
          </w:p>
        </w:tc>
        <w:tc>
          <w:tcPr>
            <w:tcW w:w="3117" w:type="dxa"/>
          </w:tcPr>
          <w:p w14:paraId="61AD0DE3" w14:textId="77777777" w:rsidR="00A6197B" w:rsidRPr="006A0EA4" w:rsidRDefault="00A6197B" w:rsidP="00C46B51">
            <w:pPr>
              <w:jc w:val="center"/>
              <w:rPr>
                <w:rFonts w:asciiTheme="minorHAnsi" w:hAnsiTheme="minorHAnsi" w:cstheme="minorHAnsi"/>
                <w:iCs/>
                <w:sz w:val="18"/>
                <w:szCs w:val="18"/>
              </w:rPr>
            </w:pPr>
            <w:r w:rsidRPr="006A0EA4">
              <w:rPr>
                <w:rFonts w:asciiTheme="minorHAnsi" w:hAnsiTheme="minorHAnsi" w:cstheme="minorHAnsi"/>
                <w:iCs/>
                <w:sz w:val="18"/>
                <w:szCs w:val="18"/>
              </w:rPr>
              <w:t>$ 1.005</w:t>
            </w:r>
          </w:p>
        </w:tc>
      </w:tr>
      <w:tr w:rsidR="00A6197B" w14:paraId="705F4794" w14:textId="77777777" w:rsidTr="001C6336">
        <w:tc>
          <w:tcPr>
            <w:tcW w:w="2761" w:type="dxa"/>
          </w:tcPr>
          <w:p w14:paraId="1665FEB1" w14:textId="77777777" w:rsidR="00A6197B" w:rsidRPr="006A0EA4" w:rsidRDefault="00A6197B" w:rsidP="00FC0501">
            <w:pPr>
              <w:rPr>
                <w:rFonts w:asciiTheme="minorHAnsi" w:hAnsiTheme="minorHAnsi" w:cstheme="minorHAnsi"/>
                <w:iCs/>
                <w:sz w:val="18"/>
                <w:szCs w:val="18"/>
              </w:rPr>
            </w:pPr>
            <w:r w:rsidRPr="006A0EA4">
              <w:rPr>
                <w:rFonts w:asciiTheme="minorHAnsi" w:hAnsiTheme="minorHAnsi" w:cstheme="minorHAnsi"/>
                <w:iCs/>
                <w:sz w:val="18"/>
                <w:szCs w:val="18"/>
              </w:rPr>
              <w:t>Sep, 2027</w:t>
            </w:r>
          </w:p>
        </w:tc>
        <w:tc>
          <w:tcPr>
            <w:tcW w:w="3117" w:type="dxa"/>
          </w:tcPr>
          <w:p w14:paraId="61E88E89" w14:textId="77777777" w:rsidR="00A6197B" w:rsidRPr="006A0EA4" w:rsidRDefault="00A6197B" w:rsidP="00C46B51">
            <w:pPr>
              <w:jc w:val="center"/>
              <w:rPr>
                <w:rFonts w:asciiTheme="minorHAnsi" w:hAnsiTheme="minorHAnsi" w:cstheme="minorHAnsi"/>
                <w:iCs/>
                <w:sz w:val="18"/>
                <w:szCs w:val="18"/>
              </w:rPr>
            </w:pPr>
            <w:r w:rsidRPr="006A0EA4">
              <w:rPr>
                <w:rFonts w:asciiTheme="minorHAnsi" w:hAnsiTheme="minorHAnsi" w:cstheme="minorHAnsi"/>
                <w:iCs/>
                <w:sz w:val="18"/>
                <w:szCs w:val="18"/>
              </w:rPr>
              <w:t>3,107,673</w:t>
            </w:r>
          </w:p>
        </w:tc>
        <w:tc>
          <w:tcPr>
            <w:tcW w:w="3117" w:type="dxa"/>
          </w:tcPr>
          <w:p w14:paraId="31B10D7D" w14:textId="77777777" w:rsidR="00A6197B" w:rsidRPr="006A0EA4" w:rsidRDefault="00A6197B" w:rsidP="00C46B51">
            <w:pPr>
              <w:jc w:val="center"/>
              <w:rPr>
                <w:rFonts w:asciiTheme="minorHAnsi" w:hAnsiTheme="minorHAnsi" w:cstheme="minorHAnsi"/>
                <w:iCs/>
                <w:sz w:val="18"/>
                <w:szCs w:val="18"/>
              </w:rPr>
            </w:pPr>
            <w:r w:rsidRPr="006A0EA4">
              <w:rPr>
                <w:rFonts w:asciiTheme="minorHAnsi" w:hAnsiTheme="minorHAnsi" w:cstheme="minorHAnsi"/>
                <w:iCs/>
                <w:sz w:val="18"/>
                <w:szCs w:val="18"/>
              </w:rPr>
              <w:t>$ 0.656</w:t>
            </w:r>
          </w:p>
        </w:tc>
      </w:tr>
      <w:tr w:rsidR="00A6197B" w14:paraId="3EFA7B00" w14:textId="77777777" w:rsidTr="001C6336">
        <w:tc>
          <w:tcPr>
            <w:tcW w:w="2761" w:type="dxa"/>
          </w:tcPr>
          <w:p w14:paraId="1249EA6F" w14:textId="77777777" w:rsidR="00A6197B" w:rsidRPr="006A0EA4" w:rsidRDefault="00A6197B" w:rsidP="00FC0501">
            <w:pPr>
              <w:rPr>
                <w:rFonts w:asciiTheme="minorHAnsi" w:hAnsiTheme="minorHAnsi" w:cstheme="minorHAnsi"/>
                <w:iCs/>
                <w:sz w:val="18"/>
                <w:szCs w:val="18"/>
              </w:rPr>
            </w:pPr>
            <w:r w:rsidRPr="006A0EA4">
              <w:rPr>
                <w:rFonts w:asciiTheme="minorHAnsi" w:hAnsiTheme="minorHAnsi" w:cstheme="minorHAnsi"/>
                <w:iCs/>
                <w:sz w:val="18"/>
                <w:szCs w:val="18"/>
              </w:rPr>
              <w:t>Mar, 2028</w:t>
            </w:r>
          </w:p>
        </w:tc>
        <w:tc>
          <w:tcPr>
            <w:tcW w:w="3117" w:type="dxa"/>
          </w:tcPr>
          <w:p w14:paraId="38B36CEE" w14:textId="77777777" w:rsidR="00A6197B" w:rsidRPr="006A0EA4" w:rsidRDefault="00A6197B" w:rsidP="00C46B51">
            <w:pPr>
              <w:jc w:val="center"/>
              <w:rPr>
                <w:rFonts w:asciiTheme="minorHAnsi" w:hAnsiTheme="minorHAnsi" w:cstheme="minorHAnsi"/>
                <w:iCs/>
                <w:sz w:val="18"/>
                <w:szCs w:val="18"/>
              </w:rPr>
            </w:pPr>
            <w:r w:rsidRPr="006A0EA4">
              <w:rPr>
                <w:rFonts w:asciiTheme="minorHAnsi" w:hAnsiTheme="minorHAnsi" w:cstheme="minorHAnsi"/>
                <w:iCs/>
                <w:sz w:val="18"/>
                <w:szCs w:val="18"/>
              </w:rPr>
              <w:t>1,194,759</w:t>
            </w:r>
          </w:p>
        </w:tc>
        <w:tc>
          <w:tcPr>
            <w:tcW w:w="3117" w:type="dxa"/>
          </w:tcPr>
          <w:p w14:paraId="5666C0AC" w14:textId="77777777" w:rsidR="00A6197B" w:rsidRPr="006A0EA4" w:rsidRDefault="00A6197B" w:rsidP="00C46B51">
            <w:pPr>
              <w:jc w:val="center"/>
              <w:rPr>
                <w:rFonts w:asciiTheme="minorHAnsi" w:hAnsiTheme="minorHAnsi" w:cstheme="minorHAnsi"/>
                <w:iCs/>
                <w:sz w:val="18"/>
                <w:szCs w:val="18"/>
              </w:rPr>
            </w:pPr>
            <w:r w:rsidRPr="006A0EA4">
              <w:rPr>
                <w:rFonts w:asciiTheme="minorHAnsi" w:hAnsiTheme="minorHAnsi" w:cstheme="minorHAnsi"/>
                <w:iCs/>
                <w:sz w:val="18"/>
                <w:szCs w:val="18"/>
              </w:rPr>
              <w:t>$ 0.613</w:t>
            </w:r>
          </w:p>
        </w:tc>
      </w:tr>
      <w:tr w:rsidR="00A6197B" w14:paraId="7B09D6D2" w14:textId="77777777" w:rsidTr="001C6336">
        <w:tc>
          <w:tcPr>
            <w:tcW w:w="2761" w:type="dxa"/>
          </w:tcPr>
          <w:p w14:paraId="2A4D73C9" w14:textId="77777777" w:rsidR="00A6197B" w:rsidRPr="006A0EA4" w:rsidRDefault="00A6197B" w:rsidP="00FC0501">
            <w:pPr>
              <w:rPr>
                <w:rFonts w:asciiTheme="minorHAnsi" w:hAnsiTheme="minorHAnsi" w:cstheme="minorHAnsi"/>
                <w:iCs/>
                <w:sz w:val="18"/>
                <w:szCs w:val="18"/>
              </w:rPr>
            </w:pPr>
            <w:r w:rsidRPr="006A0EA4">
              <w:rPr>
                <w:rFonts w:asciiTheme="minorHAnsi" w:hAnsiTheme="minorHAnsi" w:cstheme="minorHAnsi"/>
                <w:iCs/>
                <w:sz w:val="18"/>
                <w:szCs w:val="18"/>
              </w:rPr>
              <w:t>Sep, 2028</w:t>
            </w:r>
          </w:p>
        </w:tc>
        <w:tc>
          <w:tcPr>
            <w:tcW w:w="3117" w:type="dxa"/>
          </w:tcPr>
          <w:p w14:paraId="785FB61D" w14:textId="77777777" w:rsidR="00A6197B" w:rsidRPr="006A0EA4" w:rsidRDefault="00A6197B" w:rsidP="00C46B51">
            <w:pPr>
              <w:jc w:val="center"/>
              <w:rPr>
                <w:rFonts w:asciiTheme="minorHAnsi" w:hAnsiTheme="minorHAnsi" w:cstheme="minorHAnsi"/>
                <w:iCs/>
                <w:sz w:val="18"/>
                <w:szCs w:val="18"/>
              </w:rPr>
            </w:pPr>
            <w:r w:rsidRPr="006A0EA4">
              <w:rPr>
                <w:rFonts w:asciiTheme="minorHAnsi" w:hAnsiTheme="minorHAnsi" w:cstheme="minorHAnsi"/>
                <w:iCs/>
                <w:sz w:val="18"/>
                <w:szCs w:val="18"/>
              </w:rPr>
              <w:t>2,975,208</w:t>
            </w:r>
          </w:p>
        </w:tc>
        <w:tc>
          <w:tcPr>
            <w:tcW w:w="3117" w:type="dxa"/>
          </w:tcPr>
          <w:p w14:paraId="0ADA7D69" w14:textId="77777777" w:rsidR="00A6197B" w:rsidRPr="006A0EA4" w:rsidRDefault="00A6197B" w:rsidP="00C46B51">
            <w:pPr>
              <w:jc w:val="center"/>
              <w:rPr>
                <w:rFonts w:asciiTheme="minorHAnsi" w:hAnsiTheme="minorHAnsi" w:cstheme="minorHAnsi"/>
                <w:iCs/>
                <w:sz w:val="18"/>
                <w:szCs w:val="18"/>
              </w:rPr>
            </w:pPr>
            <w:r w:rsidRPr="006A0EA4">
              <w:rPr>
                <w:rFonts w:asciiTheme="minorHAnsi" w:hAnsiTheme="minorHAnsi" w:cstheme="minorHAnsi"/>
                <w:iCs/>
                <w:sz w:val="18"/>
                <w:szCs w:val="18"/>
              </w:rPr>
              <w:t>$ 0.613</w:t>
            </w:r>
          </w:p>
        </w:tc>
      </w:tr>
      <w:tr w:rsidR="00A6197B" w14:paraId="125EC46F" w14:textId="77777777" w:rsidTr="001C6336">
        <w:tc>
          <w:tcPr>
            <w:tcW w:w="2761" w:type="dxa"/>
          </w:tcPr>
          <w:p w14:paraId="4383208A" w14:textId="77777777" w:rsidR="00A6197B" w:rsidRPr="006A0EA4" w:rsidRDefault="00A6197B" w:rsidP="00FC0501">
            <w:pPr>
              <w:rPr>
                <w:rFonts w:asciiTheme="minorHAnsi" w:hAnsiTheme="minorHAnsi" w:cstheme="minorHAnsi"/>
                <w:iCs/>
                <w:sz w:val="18"/>
                <w:szCs w:val="18"/>
              </w:rPr>
            </w:pPr>
            <w:r w:rsidRPr="006A0EA4">
              <w:rPr>
                <w:rFonts w:asciiTheme="minorHAnsi" w:hAnsiTheme="minorHAnsi" w:cstheme="minorHAnsi"/>
                <w:iCs/>
                <w:sz w:val="18"/>
                <w:szCs w:val="18"/>
              </w:rPr>
              <w:t>Mar, 2029</w:t>
            </w:r>
          </w:p>
        </w:tc>
        <w:tc>
          <w:tcPr>
            <w:tcW w:w="3117" w:type="dxa"/>
          </w:tcPr>
          <w:p w14:paraId="1884177E" w14:textId="77777777" w:rsidR="00A6197B" w:rsidRPr="006A0EA4" w:rsidRDefault="00A6197B" w:rsidP="00C46B51">
            <w:pPr>
              <w:jc w:val="center"/>
              <w:rPr>
                <w:rFonts w:asciiTheme="minorHAnsi" w:hAnsiTheme="minorHAnsi" w:cstheme="minorHAnsi"/>
                <w:iCs/>
                <w:sz w:val="18"/>
                <w:szCs w:val="18"/>
              </w:rPr>
            </w:pPr>
            <w:r w:rsidRPr="006A0EA4">
              <w:rPr>
                <w:rFonts w:asciiTheme="minorHAnsi" w:hAnsiTheme="minorHAnsi" w:cstheme="minorHAnsi"/>
                <w:iCs/>
                <w:sz w:val="18"/>
                <w:szCs w:val="18"/>
              </w:rPr>
              <w:t>2,441,947</w:t>
            </w:r>
          </w:p>
        </w:tc>
        <w:tc>
          <w:tcPr>
            <w:tcW w:w="3117" w:type="dxa"/>
          </w:tcPr>
          <w:p w14:paraId="1E85E995" w14:textId="77777777" w:rsidR="00A6197B" w:rsidRPr="006A0EA4" w:rsidRDefault="00A6197B" w:rsidP="00C46B51">
            <w:pPr>
              <w:jc w:val="center"/>
              <w:rPr>
                <w:rFonts w:asciiTheme="minorHAnsi" w:hAnsiTheme="minorHAnsi" w:cstheme="minorHAnsi"/>
                <w:iCs/>
                <w:sz w:val="18"/>
                <w:szCs w:val="18"/>
              </w:rPr>
            </w:pPr>
            <w:r w:rsidRPr="006A0EA4">
              <w:rPr>
                <w:rFonts w:asciiTheme="minorHAnsi" w:hAnsiTheme="minorHAnsi" w:cstheme="minorHAnsi"/>
                <w:iCs/>
                <w:sz w:val="18"/>
                <w:szCs w:val="18"/>
              </w:rPr>
              <w:t>$ 0.458</w:t>
            </w:r>
          </w:p>
        </w:tc>
      </w:tr>
      <w:tr w:rsidR="00A6197B" w14:paraId="5BBD1DBB" w14:textId="77777777" w:rsidTr="001C6336">
        <w:tc>
          <w:tcPr>
            <w:tcW w:w="2761" w:type="dxa"/>
          </w:tcPr>
          <w:p w14:paraId="58A29EDB" w14:textId="77777777" w:rsidR="00A6197B" w:rsidRPr="006A0EA4" w:rsidRDefault="00A6197B" w:rsidP="00FC0501">
            <w:pPr>
              <w:rPr>
                <w:rFonts w:asciiTheme="minorHAnsi" w:hAnsiTheme="minorHAnsi" w:cstheme="minorHAnsi"/>
                <w:iCs/>
                <w:sz w:val="18"/>
                <w:szCs w:val="18"/>
              </w:rPr>
            </w:pPr>
            <w:r w:rsidRPr="006A0EA4">
              <w:rPr>
                <w:rFonts w:asciiTheme="minorHAnsi" w:hAnsiTheme="minorHAnsi" w:cstheme="minorHAnsi"/>
                <w:iCs/>
                <w:sz w:val="18"/>
                <w:szCs w:val="18"/>
              </w:rPr>
              <w:t>Sep, 2029</w:t>
            </w:r>
          </w:p>
        </w:tc>
        <w:tc>
          <w:tcPr>
            <w:tcW w:w="3117" w:type="dxa"/>
          </w:tcPr>
          <w:p w14:paraId="71B50ACD" w14:textId="77777777" w:rsidR="00A6197B" w:rsidRPr="006A0EA4" w:rsidRDefault="00A6197B" w:rsidP="00C46B51">
            <w:pPr>
              <w:jc w:val="center"/>
              <w:rPr>
                <w:rFonts w:asciiTheme="minorHAnsi" w:hAnsiTheme="minorHAnsi" w:cstheme="minorHAnsi"/>
                <w:iCs/>
                <w:sz w:val="18"/>
                <w:szCs w:val="18"/>
              </w:rPr>
            </w:pPr>
            <w:r w:rsidRPr="006A0EA4">
              <w:rPr>
                <w:rFonts w:asciiTheme="minorHAnsi" w:hAnsiTheme="minorHAnsi" w:cstheme="minorHAnsi"/>
                <w:iCs/>
                <w:sz w:val="18"/>
                <w:szCs w:val="18"/>
              </w:rPr>
              <w:t>2,782,542</w:t>
            </w:r>
          </w:p>
        </w:tc>
        <w:tc>
          <w:tcPr>
            <w:tcW w:w="3117" w:type="dxa"/>
          </w:tcPr>
          <w:p w14:paraId="496C531B" w14:textId="77777777" w:rsidR="00A6197B" w:rsidRPr="006A0EA4" w:rsidRDefault="00A6197B" w:rsidP="00C46B51">
            <w:pPr>
              <w:jc w:val="center"/>
              <w:rPr>
                <w:rFonts w:asciiTheme="minorHAnsi" w:hAnsiTheme="minorHAnsi" w:cstheme="minorHAnsi"/>
                <w:iCs/>
                <w:sz w:val="18"/>
                <w:szCs w:val="18"/>
              </w:rPr>
            </w:pPr>
            <w:r w:rsidRPr="006A0EA4">
              <w:rPr>
                <w:rFonts w:asciiTheme="minorHAnsi" w:hAnsiTheme="minorHAnsi" w:cstheme="minorHAnsi"/>
                <w:iCs/>
                <w:sz w:val="18"/>
                <w:szCs w:val="18"/>
              </w:rPr>
              <w:t>$ 0.458</w:t>
            </w:r>
          </w:p>
        </w:tc>
      </w:tr>
      <w:tr w:rsidR="00A6197B" w14:paraId="74C247D0" w14:textId="77777777" w:rsidTr="0027109C">
        <w:tc>
          <w:tcPr>
            <w:tcW w:w="2761" w:type="dxa"/>
            <w:shd w:val="clear" w:color="auto" w:fill="D9D9D9" w:themeFill="background1" w:themeFillShade="D9"/>
          </w:tcPr>
          <w:p w14:paraId="012A707F" w14:textId="77777777" w:rsidR="00A6197B" w:rsidRPr="006A0EA4" w:rsidRDefault="00A6197B" w:rsidP="001263C9">
            <w:pPr>
              <w:rPr>
                <w:rFonts w:asciiTheme="minorHAnsi" w:hAnsiTheme="minorHAnsi" w:cstheme="minorHAnsi"/>
                <w:iCs/>
              </w:rPr>
            </w:pPr>
            <w:r w:rsidRPr="006A0EA4">
              <w:rPr>
                <w:rFonts w:asciiTheme="minorHAnsi" w:hAnsiTheme="minorHAnsi" w:cstheme="minorHAnsi"/>
                <w:iCs/>
              </w:rPr>
              <w:t>Total TSB &amp; Average Savings</w:t>
            </w:r>
          </w:p>
        </w:tc>
        <w:tc>
          <w:tcPr>
            <w:tcW w:w="3117" w:type="dxa"/>
            <w:shd w:val="clear" w:color="auto" w:fill="D9D9D9" w:themeFill="background1" w:themeFillShade="D9"/>
            <w:vAlign w:val="center"/>
          </w:tcPr>
          <w:p w14:paraId="542A5848" w14:textId="77777777" w:rsidR="00A6197B" w:rsidRPr="006A0EA4" w:rsidRDefault="00A6197B" w:rsidP="00C46B51">
            <w:pPr>
              <w:jc w:val="center"/>
              <w:rPr>
                <w:rFonts w:asciiTheme="minorHAnsi" w:hAnsiTheme="minorHAnsi" w:cstheme="minorHAnsi"/>
                <w:iCs/>
              </w:rPr>
            </w:pPr>
            <w:r>
              <w:rPr>
                <w:rFonts w:ascii="Calibri" w:hAnsi="Calibri" w:cs="Calibri"/>
                <w:color w:val="000000"/>
              </w:rPr>
              <w:t>14,707,313</w:t>
            </w:r>
          </w:p>
        </w:tc>
        <w:tc>
          <w:tcPr>
            <w:tcW w:w="3117" w:type="dxa"/>
            <w:shd w:val="clear" w:color="auto" w:fill="D9D9D9" w:themeFill="background1" w:themeFillShade="D9"/>
            <w:vAlign w:val="center"/>
          </w:tcPr>
          <w:p w14:paraId="77899912" w14:textId="77777777" w:rsidR="00A6197B" w:rsidRPr="006A0EA4" w:rsidRDefault="00A6197B" w:rsidP="00C46B51">
            <w:pPr>
              <w:jc w:val="center"/>
              <w:rPr>
                <w:rFonts w:asciiTheme="minorHAnsi" w:hAnsiTheme="minorHAnsi" w:cstheme="minorHAnsi"/>
                <w:iCs/>
              </w:rPr>
            </w:pPr>
            <w:r>
              <w:rPr>
                <w:rFonts w:ascii="Calibri" w:hAnsi="Calibri" w:cs="Calibri"/>
                <w:color w:val="000000"/>
              </w:rPr>
              <w:t>$0.634</w:t>
            </w:r>
          </w:p>
        </w:tc>
      </w:tr>
    </w:tbl>
    <w:p w14:paraId="5C49F591" w14:textId="77777777" w:rsidR="00A6197B" w:rsidRDefault="00A6197B" w:rsidP="000F11F2">
      <w:pPr>
        <w:pStyle w:val="Caption"/>
        <w:ind w:firstLine="360"/>
        <w:jc w:val="left"/>
      </w:pPr>
    </w:p>
    <w:p w14:paraId="029C92DC" w14:textId="7143BBA6" w:rsidR="00193175" w:rsidRDefault="00A6197B" w:rsidP="007831EB">
      <w:pPr>
        <w:rPr>
          <w:iCs/>
        </w:rPr>
      </w:pPr>
      <w:r w:rsidRPr="008A0B00">
        <w:t xml:space="preserve">Table </w:t>
      </w:r>
      <w:r>
        <w:rPr>
          <w:noProof/>
        </w:rPr>
        <w:t>3</w:t>
      </w:r>
      <w:r w:rsidR="00094ED9">
        <w:rPr>
          <w:iCs/>
        </w:rPr>
        <w:fldChar w:fldCharType="end"/>
      </w:r>
      <w:r w:rsidR="00094ED9">
        <w:rPr>
          <w:iCs/>
        </w:rPr>
        <w:t xml:space="preserve"> </w:t>
      </w:r>
      <w:r w:rsidR="00CD2E00">
        <w:rPr>
          <w:iCs/>
        </w:rPr>
        <w:t>for</w:t>
      </w:r>
      <w:r w:rsidR="00B56EC9">
        <w:rPr>
          <w:iCs/>
        </w:rPr>
        <w:t xml:space="preserve"> Energy Savings Goals.</w:t>
      </w:r>
    </w:p>
    <w:p w14:paraId="5174C941" w14:textId="77777777" w:rsidR="001F02AC" w:rsidRDefault="001F02AC" w:rsidP="001F02AC">
      <w:pPr>
        <w:pStyle w:val="Heading2"/>
      </w:pPr>
      <w:bookmarkStart w:id="144" w:name="_Toc51170742"/>
      <w:bookmarkStart w:id="145" w:name="_Toc51170743"/>
      <w:bookmarkStart w:id="146" w:name="_Toc168663939"/>
      <w:bookmarkEnd w:id="144"/>
      <w:bookmarkEnd w:id="145"/>
      <w:r>
        <w:lastRenderedPageBreak/>
        <w:t>Diagram of Program</w:t>
      </w:r>
      <w:bookmarkEnd w:id="146"/>
    </w:p>
    <w:p w14:paraId="45B5B74F" w14:textId="50112813" w:rsidR="003749B4" w:rsidRPr="003749B4" w:rsidRDefault="00F27785" w:rsidP="003749B4">
      <w:pPr>
        <w:rPr>
          <w:iCs/>
          <w:highlight w:val="yellow"/>
        </w:rPr>
      </w:pPr>
      <w:r w:rsidRPr="00716267">
        <w:rPr>
          <w:iCs/>
          <w:noProof/>
        </w:rPr>
        <w:drawing>
          <wp:inline distT="0" distB="0" distL="0" distR="0" wp14:anchorId="588B276A" wp14:editId="2F2F9919">
            <wp:extent cx="5657850" cy="3816350"/>
            <wp:effectExtent l="0" t="0" r="0" b="0"/>
            <wp:docPr id="130301479" name="Picture 130301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57850" cy="3816350"/>
                    </a:xfrm>
                    <a:prstGeom prst="rect">
                      <a:avLst/>
                    </a:prstGeom>
                    <a:noFill/>
                  </pic:spPr>
                </pic:pic>
              </a:graphicData>
            </a:graphic>
          </wp:inline>
        </w:drawing>
      </w:r>
    </w:p>
    <w:p w14:paraId="58F2C84A" w14:textId="77777777" w:rsidR="006E563B" w:rsidRDefault="006E563B" w:rsidP="006E563B">
      <w:pPr>
        <w:pStyle w:val="Heading2"/>
      </w:pPr>
      <w:bookmarkStart w:id="147" w:name="_Toc51170745"/>
      <w:bookmarkStart w:id="148" w:name="_Toc51170746"/>
      <w:bookmarkStart w:id="149" w:name="_Toc51170747"/>
      <w:bookmarkStart w:id="150" w:name="_Toc51170748"/>
      <w:bookmarkStart w:id="151" w:name="_Toc51170749"/>
      <w:bookmarkStart w:id="152" w:name="_Toc168663940"/>
      <w:bookmarkEnd w:id="147"/>
      <w:bookmarkEnd w:id="148"/>
      <w:bookmarkEnd w:id="149"/>
      <w:bookmarkEnd w:id="150"/>
      <w:bookmarkEnd w:id="151"/>
      <w:r>
        <w:t>Evaluation, Measurement, and Verification (EM&amp;V):</w:t>
      </w:r>
      <w:bookmarkEnd w:id="152"/>
    </w:p>
    <w:p w14:paraId="7745F1AB" w14:textId="39759413" w:rsidR="00520513" w:rsidRPr="009C2094" w:rsidRDefault="00520513" w:rsidP="003A0378">
      <w:r w:rsidRPr="009C2094">
        <w:t xml:space="preserve">The M&amp;V Plan for the </w:t>
      </w:r>
      <w:r w:rsidR="003A0378">
        <w:t>SPARKe</w:t>
      </w:r>
      <w:r w:rsidRPr="009C2094">
        <w:t xml:space="preserve"> program is designed to the requirements of the statewide </w:t>
      </w:r>
      <w:hyperlink r:id="rId34" w:history="1">
        <w:r w:rsidRPr="00B05F02">
          <w:rPr>
            <w:rStyle w:val="Hyperlink"/>
            <w:b w:val="0"/>
            <w:bCs/>
            <w:i/>
            <w:iCs/>
          </w:rPr>
          <w:t>California SEM M&amp;V Guide</w:t>
        </w:r>
      </w:hyperlink>
      <w:r w:rsidRPr="00B05F02">
        <w:rPr>
          <w:b/>
          <w:bCs/>
        </w:rPr>
        <w:t>,</w:t>
      </w:r>
      <w:r w:rsidRPr="009C2094">
        <w:t xml:space="preserve"> which describes procedures for quantifying the savings for each participating customer, as well as estimating program savings achieved. The SEM M&amp;V Guide details the process for creating the energy model, testing its validity, making updates to it, calculating savings, and handling the reporting of pre-planned and incented capital projects such that energy savings are not double counted by the program. Further, the SEM program will leverage: (a) the California Statewide </w:t>
      </w:r>
      <w:r>
        <w:t>Custom Project Guidance Document</w:t>
      </w:r>
      <w:r w:rsidRPr="009C2094">
        <w:rPr>
          <w:rStyle w:val="FootnoteReference"/>
          <w:rFonts w:asciiTheme="minorHAnsi" w:hAnsiTheme="minorHAnsi" w:cstheme="minorHAnsi"/>
          <w:color w:val="000000" w:themeColor="text1"/>
        </w:rPr>
        <w:footnoteReference w:id="8"/>
      </w:r>
      <w:r w:rsidRPr="009C2094">
        <w:t xml:space="preserve"> for performing bottom-up savings calculations for custom capital project implementation and (b) </w:t>
      </w:r>
      <w:r>
        <w:t xml:space="preserve">approved statewide measure packages </w:t>
      </w:r>
      <w:r w:rsidRPr="009C2094">
        <w:t xml:space="preserve">for determining savings for deemed measure implementation resulting from SEM program engagement. </w:t>
      </w:r>
    </w:p>
    <w:p w14:paraId="515515F2" w14:textId="77777777" w:rsidR="00520513" w:rsidRPr="009C2094" w:rsidRDefault="00520513" w:rsidP="003A0378">
      <w:r w:rsidRPr="009C2094">
        <w:t>The M&amp;V Guide was developed using methodologies, protocols and best practices from national SEM leaders including:</w:t>
      </w:r>
    </w:p>
    <w:p w14:paraId="4837C340" w14:textId="77777777" w:rsidR="00520513" w:rsidRPr="009C2094" w:rsidRDefault="00520513" w:rsidP="00356432">
      <w:pPr>
        <w:pStyle w:val="HText3Bullets"/>
        <w:ind w:left="634"/>
        <w:contextualSpacing/>
      </w:pPr>
      <w:r w:rsidRPr="009C2094">
        <w:t>US DOE’s Superior Energy Performance</w:t>
      </w:r>
    </w:p>
    <w:p w14:paraId="1E4A3C07" w14:textId="77777777" w:rsidR="00520513" w:rsidRPr="009C2094" w:rsidRDefault="00520513" w:rsidP="00356432">
      <w:pPr>
        <w:pStyle w:val="HText3Bullets"/>
        <w:ind w:left="634"/>
        <w:contextualSpacing/>
      </w:pPr>
      <w:r w:rsidRPr="009C2094">
        <w:t xml:space="preserve">Energy Trust of Oregon </w:t>
      </w:r>
    </w:p>
    <w:p w14:paraId="20EDA0DA" w14:textId="77777777" w:rsidR="00520513" w:rsidRPr="009C2094" w:rsidRDefault="00520513" w:rsidP="00356432">
      <w:pPr>
        <w:pStyle w:val="HText3Bullets"/>
        <w:ind w:left="634"/>
        <w:contextualSpacing/>
      </w:pPr>
      <w:r w:rsidRPr="009C2094">
        <w:t>Bonneville Power Administration</w:t>
      </w:r>
    </w:p>
    <w:p w14:paraId="57408989" w14:textId="4F73C477" w:rsidR="00520513" w:rsidRPr="009C2094" w:rsidRDefault="003466C6" w:rsidP="003A0378">
      <w:r>
        <w:lastRenderedPageBreak/>
        <w:t xml:space="preserve">Commercial </w:t>
      </w:r>
      <w:r w:rsidR="00520513" w:rsidRPr="009C2094">
        <w:t>SEM savings will be calculated using at least one year of pre-engagement, whole-facility data to develop the energy saving adjustment (i.e. regression) model that is based on IPMVP Option C</w:t>
      </w:r>
      <w:r w:rsidR="00520513" w:rsidRPr="7C4626B4">
        <w:rPr>
          <w:rStyle w:val="FootnoteReference"/>
          <w:rFonts w:asciiTheme="minorHAnsi" w:hAnsiTheme="minorHAnsi"/>
          <w:color w:val="000000" w:themeColor="text1"/>
        </w:rPr>
        <w:footnoteReference w:id="9"/>
      </w:r>
      <w:r w:rsidR="00520513" w:rsidRPr="009C2094">
        <w:t>, using essentially the same methodology that has been used successfully in the mature SEM resource acquisition programs</w:t>
      </w:r>
      <w:r w:rsidR="00520513" w:rsidRPr="7C4626B4">
        <w:rPr>
          <w:rStyle w:val="FootnoteReference"/>
          <w:rFonts w:asciiTheme="minorHAnsi" w:hAnsiTheme="minorHAnsi"/>
          <w:color w:val="000000" w:themeColor="text1"/>
        </w:rPr>
        <w:footnoteReference w:id="10"/>
      </w:r>
      <w:r w:rsidR="00520513" w:rsidRPr="009C2094">
        <w:t xml:space="preserve">. In certain cases, energy savings for individual projects may also be calculated outside of an energy saving adjustment model and reported as an aggregated bottom-up savings estimate, as described in the SEM M&amp;V Guide. </w:t>
      </w:r>
      <w:r w:rsidR="004F7486">
        <w:t>In that case, we make a daily adjustment in the model that will subtract claimed custom project savings from the overall meter-based savings.</w:t>
      </w:r>
    </w:p>
    <w:p w14:paraId="61E92B67" w14:textId="77777777" w:rsidR="00520513" w:rsidRPr="009C2094" w:rsidRDefault="00520513" w:rsidP="003A0378">
      <w:r w:rsidRPr="009C2094">
        <w:t>To calculate electric peak demand savings, the program uses a Demand Savings Calculator approved by the CPUC E</w:t>
      </w:r>
      <w:r>
        <w:t xml:space="preserve">nergy </w:t>
      </w:r>
      <w:r w:rsidRPr="009C2094">
        <w:t>D</w:t>
      </w:r>
      <w:r>
        <w:t>ivision</w:t>
      </w:r>
      <w:r w:rsidRPr="009C2094">
        <w:t>. The initial Calculator converts annual energy savings (in kWh) to demand savings (kW) based on standard load shapes. At some future time, it may be replaced by site-level regression models that meet the requirements of an updated statewide M&amp;V Guide.</w:t>
      </w:r>
    </w:p>
    <w:p w14:paraId="4932F811" w14:textId="77777777" w:rsidR="00520513" w:rsidRPr="009C2094" w:rsidRDefault="00520513" w:rsidP="003A0378">
      <w:r w:rsidRPr="009C2094">
        <w:t>The program is designed to include several self-evaluation elements. These include:</w:t>
      </w:r>
    </w:p>
    <w:p w14:paraId="4363825C" w14:textId="77777777" w:rsidR="00520513" w:rsidRPr="009C2094" w:rsidRDefault="00520513" w:rsidP="00356432">
      <w:pPr>
        <w:pStyle w:val="HText3Bullets"/>
        <w:contextualSpacing/>
      </w:pPr>
      <w:r w:rsidRPr="009C2094">
        <w:t xml:space="preserve">A clear record of pre-engagement energy savings plans by the </w:t>
      </w:r>
      <w:r w:rsidRPr="000E4C37">
        <w:t>participant</w:t>
      </w:r>
    </w:p>
    <w:p w14:paraId="5B8CE99F" w14:textId="77777777" w:rsidR="00520513" w:rsidRPr="009C2094" w:rsidRDefault="00520513" w:rsidP="00356432">
      <w:pPr>
        <w:pStyle w:val="HText3Bullets"/>
        <w:contextualSpacing/>
      </w:pPr>
      <w:r w:rsidRPr="009C2094">
        <w:t>Consistent reporting of milestones and deliverables</w:t>
      </w:r>
    </w:p>
    <w:p w14:paraId="47EB6FAC" w14:textId="77777777" w:rsidR="00520513" w:rsidRPr="009C2094" w:rsidRDefault="00520513" w:rsidP="00356432">
      <w:pPr>
        <w:pStyle w:val="HText3Bullets"/>
        <w:contextualSpacing/>
      </w:pPr>
      <w:r w:rsidRPr="009C2094">
        <w:t>Evaluations, by participants, of all workshops and key activities</w:t>
      </w:r>
    </w:p>
    <w:p w14:paraId="2E27FD71" w14:textId="77777777" w:rsidR="00520513" w:rsidRPr="009C2094" w:rsidRDefault="00520513" w:rsidP="00356432">
      <w:pPr>
        <w:pStyle w:val="HText3Bullets"/>
        <w:contextualSpacing/>
      </w:pPr>
      <w:r w:rsidRPr="009C2094">
        <w:t>A clear log of identified energy saving opportunities, including savings estimates and implementation dates</w:t>
      </w:r>
    </w:p>
    <w:p w14:paraId="4F32975D" w14:textId="77777777" w:rsidR="00520513" w:rsidRPr="009C2094" w:rsidRDefault="00520513" w:rsidP="00356432">
      <w:pPr>
        <w:pStyle w:val="HText3Bullets"/>
        <w:contextualSpacing/>
      </w:pPr>
      <w:r w:rsidRPr="009C2094">
        <w:t>An annual assessment of energy management practices</w:t>
      </w:r>
    </w:p>
    <w:p w14:paraId="62E5B748" w14:textId="77777777" w:rsidR="00520513" w:rsidRPr="009C2094" w:rsidRDefault="00520513" w:rsidP="00356432">
      <w:pPr>
        <w:pStyle w:val="HText3Bullets"/>
        <w:contextualSpacing/>
      </w:pPr>
      <w:r w:rsidRPr="009C2094">
        <w:t xml:space="preserve">A clear annual summary of each </w:t>
      </w:r>
      <w:r w:rsidRPr="000E4C37">
        <w:t>participant</w:t>
      </w:r>
      <w:r w:rsidRPr="009C2094">
        <w:t>’s activities, energy saving projects, estimated savings, and interaction with the program</w:t>
      </w:r>
    </w:p>
    <w:p w14:paraId="21B51F99" w14:textId="77777777" w:rsidR="00520513" w:rsidRPr="009C2094" w:rsidRDefault="00520513" w:rsidP="00356432">
      <w:pPr>
        <w:pStyle w:val="HText3Bullets"/>
        <w:contextualSpacing/>
      </w:pPr>
      <w:r w:rsidRPr="009C2094">
        <w:t>An annual energy consumption adjustment model that includes:</w:t>
      </w:r>
    </w:p>
    <w:p w14:paraId="3C89ED46" w14:textId="77777777" w:rsidR="00520513" w:rsidRPr="009C2094" w:rsidRDefault="00520513" w:rsidP="00356432">
      <w:pPr>
        <w:pStyle w:val="HText3Bullets"/>
        <w:numPr>
          <w:ilvl w:val="1"/>
          <w:numId w:val="6"/>
        </w:numPr>
        <w:contextualSpacing/>
      </w:pPr>
      <w:r w:rsidRPr="009C2094">
        <w:t xml:space="preserve">Data quality reviews by </w:t>
      </w:r>
      <w:r>
        <w:t>Cascade</w:t>
      </w:r>
    </w:p>
    <w:p w14:paraId="12607538" w14:textId="77777777" w:rsidR="00520513" w:rsidRPr="009C2094" w:rsidRDefault="00520513" w:rsidP="00356432">
      <w:pPr>
        <w:pStyle w:val="HText3Bullets"/>
        <w:numPr>
          <w:ilvl w:val="1"/>
          <w:numId w:val="6"/>
        </w:numPr>
        <w:contextualSpacing/>
      </w:pPr>
      <w:r w:rsidRPr="009C2094">
        <w:t>Model reviews by the IOU twice annually</w:t>
      </w:r>
    </w:p>
    <w:p w14:paraId="197D9035" w14:textId="77777777" w:rsidR="00520513" w:rsidRPr="009C2094" w:rsidRDefault="00520513" w:rsidP="00356432">
      <w:pPr>
        <w:pStyle w:val="HText3Bullets"/>
        <w:numPr>
          <w:ilvl w:val="1"/>
          <w:numId w:val="6"/>
        </w:numPr>
        <w:contextualSpacing/>
      </w:pPr>
      <w:r w:rsidRPr="009C2094">
        <w:t>At least 12 months of baseline data and 12 months of performance data for each performance year</w:t>
      </w:r>
    </w:p>
    <w:p w14:paraId="0111F0D6" w14:textId="77777777" w:rsidR="00520513" w:rsidRPr="009C2094" w:rsidRDefault="00520513" w:rsidP="00356432">
      <w:pPr>
        <w:pStyle w:val="HText3Bullets"/>
        <w:numPr>
          <w:ilvl w:val="1"/>
          <w:numId w:val="6"/>
        </w:numPr>
        <w:contextualSpacing/>
      </w:pPr>
      <w:r w:rsidRPr="009C2094">
        <w:t>Clear documentation on decisions taken in the development of the model</w:t>
      </w:r>
    </w:p>
    <w:p w14:paraId="28510255" w14:textId="77777777" w:rsidR="00520513" w:rsidRDefault="00520513" w:rsidP="00356432">
      <w:pPr>
        <w:pStyle w:val="HText3Bullets"/>
        <w:numPr>
          <w:ilvl w:val="1"/>
          <w:numId w:val="6"/>
        </w:numPr>
        <w:contextualSpacing/>
      </w:pPr>
      <w:r w:rsidRPr="009C2094">
        <w:t>At least bi-yearly data updates</w:t>
      </w:r>
    </w:p>
    <w:p w14:paraId="46145857" w14:textId="1C84E132" w:rsidR="00E02984" w:rsidRPr="0094179D" w:rsidRDefault="00E02984" w:rsidP="0094179D">
      <w:pPr>
        <w:pStyle w:val="HText3Bullets"/>
        <w:numPr>
          <w:ilvl w:val="0"/>
          <w:numId w:val="0"/>
        </w:numPr>
        <w:rPr>
          <w:rFonts w:eastAsiaTheme="minorHAnsi" w:cstheme="minorBidi"/>
        </w:rPr>
      </w:pPr>
      <w:r w:rsidRPr="0094179D">
        <w:rPr>
          <w:rFonts w:eastAsiaTheme="minorHAnsi" w:cstheme="minorBidi"/>
        </w:rPr>
        <w:t xml:space="preserve">Non-IOU fuels savings eligibility will be determined as outlined in the </w:t>
      </w:r>
      <w:hyperlink r:id="rId35" w:history="1">
        <w:r w:rsidRPr="0094179D">
          <w:rPr>
            <w:rFonts w:eastAsiaTheme="minorHAnsi" w:cstheme="minorBidi"/>
          </w:rPr>
          <w:t>California Industrial SEM M&amp;V Guide</w:t>
        </w:r>
      </w:hyperlink>
      <w:r w:rsidRPr="0094179D">
        <w:rPr>
          <w:rFonts w:eastAsiaTheme="minorHAnsi" w:cstheme="minorBidi"/>
        </w:rPr>
        <w:t xml:space="preserve"> and the CPUC published guide, “Energy Efficiency Savings Eligibility at Sites with non- IOU Supplied Energy Sources” version 1.1. A top-down methodology will be used to determine the interactive effects of the non-IOU fuel and to calculate any adjustments to savings. </w:t>
      </w:r>
    </w:p>
    <w:p w14:paraId="00BD1884" w14:textId="77777777" w:rsidR="00E02984" w:rsidRPr="009C2094" w:rsidRDefault="00E02984" w:rsidP="00E02984">
      <w:pPr>
        <w:pStyle w:val="HText3Bullets"/>
        <w:numPr>
          <w:ilvl w:val="0"/>
          <w:numId w:val="0"/>
        </w:numPr>
      </w:pPr>
    </w:p>
    <w:p w14:paraId="63C3BB2E" w14:textId="77777777" w:rsidR="001D1298" w:rsidRDefault="001D1298" w:rsidP="001D1298">
      <w:pPr>
        <w:pStyle w:val="Heading2"/>
      </w:pPr>
      <w:bookmarkStart w:id="153" w:name="_Toc51170751"/>
      <w:bookmarkStart w:id="154" w:name="_Toc51170752"/>
      <w:bookmarkStart w:id="155" w:name="_Toc168663941"/>
      <w:bookmarkEnd w:id="153"/>
      <w:bookmarkEnd w:id="154"/>
      <w:r w:rsidRPr="001D1298">
        <w:t>Normalized Metered Energy Consumption (NMEC):</w:t>
      </w:r>
      <w:bookmarkEnd w:id="155"/>
    </w:p>
    <w:p w14:paraId="0FE4EEA3" w14:textId="33CB1929" w:rsidR="00E02B11" w:rsidRDefault="009C62F5" w:rsidP="002E42F2">
      <w:pPr>
        <w:pStyle w:val="BodyText"/>
        <w:ind w:left="0"/>
        <w:rPr>
          <w:rFonts w:eastAsiaTheme="majorEastAsia" w:cstheme="majorBidi"/>
          <w:b/>
          <w:bCs/>
          <w:sz w:val="28"/>
          <w:szCs w:val="28"/>
        </w:rPr>
      </w:pPr>
      <w:r>
        <w:t>NMEC is not applicable to the SPARKe program.</w:t>
      </w:r>
      <w:r w:rsidR="00E02B11">
        <w:br w:type="page"/>
      </w:r>
    </w:p>
    <w:p w14:paraId="5CA391BE" w14:textId="77777777" w:rsidR="0068028A" w:rsidRPr="00CB47C2" w:rsidRDefault="0068028A" w:rsidP="00E02B11">
      <w:pPr>
        <w:pStyle w:val="Heading1"/>
        <w:numPr>
          <w:ilvl w:val="0"/>
          <w:numId w:val="0"/>
        </w:numPr>
        <w:jc w:val="center"/>
      </w:pPr>
      <w:bookmarkStart w:id="156" w:name="_Toc168663942"/>
      <w:r w:rsidRPr="00836023">
        <w:lastRenderedPageBreak/>
        <w:t>APPENDIX</w:t>
      </w:r>
      <w:r w:rsidRPr="00CB47C2">
        <w:t xml:space="preserve">. </w:t>
      </w:r>
      <w:r w:rsidR="00CB47C2">
        <w:t xml:space="preserve"> </w:t>
      </w:r>
      <w:r w:rsidRPr="00CB47C2">
        <w:t>List of Acronyms and Abbreviations</w:t>
      </w:r>
      <w:bookmarkEnd w:id="156"/>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9" w:type="dxa"/>
          <w:left w:w="72" w:type="dxa"/>
          <w:bottom w:w="29" w:type="dxa"/>
          <w:right w:w="72" w:type="dxa"/>
        </w:tblCellMar>
        <w:tblLook w:val="04A0" w:firstRow="1" w:lastRow="0" w:firstColumn="1" w:lastColumn="0" w:noHBand="0" w:noVBand="1"/>
      </w:tblPr>
      <w:tblGrid>
        <w:gridCol w:w="2250"/>
        <w:gridCol w:w="7110"/>
      </w:tblGrid>
      <w:tr w:rsidR="00CB47C2" w:rsidRPr="004809C9" w14:paraId="194FC7AD" w14:textId="77777777" w:rsidTr="00982155">
        <w:trPr>
          <w:cantSplit/>
          <w:tblHeader/>
          <w:jc w:val="center"/>
        </w:trPr>
        <w:tc>
          <w:tcPr>
            <w:tcW w:w="2250" w:type="dxa"/>
            <w:shd w:val="clear" w:color="auto" w:fill="2F5496" w:themeFill="accent1" w:themeFillShade="BF"/>
            <w:vAlign w:val="center"/>
          </w:tcPr>
          <w:p w14:paraId="0A1B1E83" w14:textId="77777777" w:rsidR="00CB47C2" w:rsidRPr="00982155" w:rsidRDefault="00CB47C2" w:rsidP="009E45CC">
            <w:pPr>
              <w:pStyle w:val="TableHeader"/>
              <w:rPr>
                <w:rFonts w:cs="Arial"/>
                <w:color w:val="FFFFFF" w:themeColor="background1"/>
                <w:sz w:val="24"/>
                <w:szCs w:val="24"/>
              </w:rPr>
            </w:pPr>
            <w:r w:rsidRPr="00982155">
              <w:rPr>
                <w:rFonts w:cs="Arial"/>
                <w:color w:val="FFFFFF" w:themeColor="background1"/>
                <w:sz w:val="24"/>
                <w:szCs w:val="24"/>
              </w:rPr>
              <w:t>Term</w:t>
            </w:r>
          </w:p>
        </w:tc>
        <w:tc>
          <w:tcPr>
            <w:tcW w:w="7110" w:type="dxa"/>
            <w:shd w:val="clear" w:color="auto" w:fill="2F5496" w:themeFill="accent1" w:themeFillShade="BF"/>
            <w:vAlign w:val="center"/>
          </w:tcPr>
          <w:p w14:paraId="4D6E3E10" w14:textId="77777777" w:rsidR="00CB47C2" w:rsidRPr="00982155" w:rsidRDefault="00CB47C2" w:rsidP="009E45CC">
            <w:pPr>
              <w:pStyle w:val="TableHeader"/>
              <w:rPr>
                <w:rFonts w:cs="Arial"/>
                <w:color w:val="FFFFFF" w:themeColor="background1"/>
                <w:sz w:val="24"/>
                <w:szCs w:val="24"/>
              </w:rPr>
            </w:pPr>
            <w:r w:rsidRPr="00982155">
              <w:rPr>
                <w:rFonts w:cs="Arial"/>
                <w:color w:val="FFFFFF" w:themeColor="background1"/>
                <w:sz w:val="24"/>
                <w:szCs w:val="24"/>
              </w:rPr>
              <w:t>Definition</w:t>
            </w:r>
          </w:p>
        </w:tc>
      </w:tr>
      <w:tr w:rsidR="00CB47C2" w:rsidRPr="004809C9" w14:paraId="3CD80556" w14:textId="77777777" w:rsidTr="009E45CC">
        <w:trPr>
          <w:cantSplit/>
          <w:jc w:val="center"/>
        </w:trPr>
        <w:tc>
          <w:tcPr>
            <w:tcW w:w="2250" w:type="dxa"/>
            <w:shd w:val="clear" w:color="auto" w:fill="auto"/>
            <w:vAlign w:val="center"/>
          </w:tcPr>
          <w:p w14:paraId="24AC05DA" w14:textId="77777777" w:rsidR="00CB47C2" w:rsidRDefault="00CB47C2" w:rsidP="009E45CC">
            <w:pPr>
              <w:pStyle w:val="TableHeading2"/>
              <w:rPr>
                <w:lang w:val="en"/>
              </w:rPr>
            </w:pPr>
            <w:r>
              <w:rPr>
                <w:lang w:val="en"/>
              </w:rPr>
              <w:t>C&amp;S</w:t>
            </w:r>
          </w:p>
        </w:tc>
        <w:tc>
          <w:tcPr>
            <w:tcW w:w="7110" w:type="dxa"/>
            <w:shd w:val="clear" w:color="auto" w:fill="auto"/>
            <w:vAlign w:val="center"/>
          </w:tcPr>
          <w:p w14:paraId="7669330A" w14:textId="77777777" w:rsidR="00CB47C2" w:rsidRPr="00712BFF" w:rsidRDefault="00CB47C2" w:rsidP="009E45CC">
            <w:pPr>
              <w:pStyle w:val="TableBodyText"/>
              <w:rPr>
                <w:bCs/>
                <w:szCs w:val="20"/>
              </w:rPr>
            </w:pPr>
            <w:r>
              <w:rPr>
                <w:bCs/>
                <w:szCs w:val="20"/>
              </w:rPr>
              <w:t>Codes &amp; Standards</w:t>
            </w:r>
          </w:p>
        </w:tc>
      </w:tr>
      <w:tr w:rsidR="00CB47C2" w:rsidRPr="004809C9" w14:paraId="226EB39E" w14:textId="77777777" w:rsidTr="009E45CC">
        <w:trPr>
          <w:cantSplit/>
          <w:jc w:val="center"/>
        </w:trPr>
        <w:tc>
          <w:tcPr>
            <w:tcW w:w="2250" w:type="dxa"/>
            <w:shd w:val="clear" w:color="auto" w:fill="auto"/>
            <w:vAlign w:val="center"/>
          </w:tcPr>
          <w:p w14:paraId="46519413" w14:textId="77777777" w:rsidR="00CB47C2" w:rsidRPr="00CB47C2" w:rsidRDefault="00CB47C2" w:rsidP="009E45CC">
            <w:pPr>
              <w:pStyle w:val="TableHeading2"/>
              <w:rPr>
                <w:lang w:val="en"/>
              </w:rPr>
            </w:pPr>
            <w:r w:rsidRPr="00CB47C2">
              <w:t>CALCTP</w:t>
            </w:r>
          </w:p>
        </w:tc>
        <w:tc>
          <w:tcPr>
            <w:tcW w:w="7110" w:type="dxa"/>
            <w:shd w:val="clear" w:color="auto" w:fill="auto"/>
            <w:vAlign w:val="center"/>
          </w:tcPr>
          <w:p w14:paraId="42AA82F4" w14:textId="77777777" w:rsidR="00CB47C2" w:rsidRPr="00CB47C2" w:rsidRDefault="00CB47C2" w:rsidP="009E45CC">
            <w:pPr>
              <w:pStyle w:val="TableBodyText"/>
              <w:rPr>
                <w:lang w:val="en"/>
              </w:rPr>
            </w:pPr>
            <w:r w:rsidRPr="00CB47C2">
              <w:t>California Advanced Lighting Controls Training Program</w:t>
            </w:r>
          </w:p>
        </w:tc>
      </w:tr>
      <w:tr w:rsidR="00CB47C2" w:rsidRPr="004809C9" w14:paraId="626ED2F6" w14:textId="77777777" w:rsidTr="009E45CC">
        <w:trPr>
          <w:cantSplit/>
          <w:jc w:val="center"/>
        </w:trPr>
        <w:tc>
          <w:tcPr>
            <w:tcW w:w="2250" w:type="dxa"/>
            <w:shd w:val="clear" w:color="auto" w:fill="auto"/>
            <w:vAlign w:val="center"/>
          </w:tcPr>
          <w:p w14:paraId="0BED7A3C" w14:textId="77777777" w:rsidR="00CB47C2" w:rsidRDefault="00CB47C2" w:rsidP="009E45CC">
            <w:pPr>
              <w:pStyle w:val="TableHeading2"/>
              <w:rPr>
                <w:lang w:val="en"/>
              </w:rPr>
            </w:pPr>
            <w:r w:rsidRPr="00E35FAB">
              <w:rPr>
                <w:szCs w:val="20"/>
              </w:rPr>
              <w:t>CEDARS</w:t>
            </w:r>
          </w:p>
        </w:tc>
        <w:tc>
          <w:tcPr>
            <w:tcW w:w="7110" w:type="dxa"/>
            <w:shd w:val="clear" w:color="auto" w:fill="auto"/>
            <w:vAlign w:val="center"/>
          </w:tcPr>
          <w:p w14:paraId="30770E5D" w14:textId="77777777" w:rsidR="00CB47C2" w:rsidRPr="00712BFF" w:rsidRDefault="00CB47C2" w:rsidP="009E45CC">
            <w:pPr>
              <w:pStyle w:val="TableBodyText"/>
              <w:rPr>
                <w:bCs/>
                <w:szCs w:val="20"/>
              </w:rPr>
            </w:pPr>
            <w:r w:rsidRPr="00712BFF">
              <w:rPr>
                <w:bCs/>
                <w:szCs w:val="20"/>
              </w:rPr>
              <w:t>California Energy Data and Reporting System</w:t>
            </w:r>
          </w:p>
        </w:tc>
      </w:tr>
      <w:tr w:rsidR="00CB47C2" w:rsidRPr="004809C9" w14:paraId="048BA776" w14:textId="77777777" w:rsidTr="009E45CC">
        <w:trPr>
          <w:cantSplit/>
          <w:jc w:val="center"/>
        </w:trPr>
        <w:tc>
          <w:tcPr>
            <w:tcW w:w="2250" w:type="dxa"/>
            <w:shd w:val="clear" w:color="auto" w:fill="auto"/>
            <w:vAlign w:val="center"/>
          </w:tcPr>
          <w:p w14:paraId="50A004A7" w14:textId="77777777" w:rsidR="00CB47C2" w:rsidRPr="00007592" w:rsidRDefault="00CB47C2" w:rsidP="009E45CC">
            <w:pPr>
              <w:pStyle w:val="TableHeading2"/>
              <w:rPr>
                <w:lang w:val="en"/>
              </w:rPr>
            </w:pPr>
            <w:r>
              <w:rPr>
                <w:lang w:val="en"/>
              </w:rPr>
              <w:t>CPUC</w:t>
            </w:r>
          </w:p>
        </w:tc>
        <w:tc>
          <w:tcPr>
            <w:tcW w:w="7110" w:type="dxa"/>
            <w:shd w:val="clear" w:color="auto" w:fill="auto"/>
            <w:vAlign w:val="center"/>
          </w:tcPr>
          <w:p w14:paraId="25DF59FB" w14:textId="77777777" w:rsidR="00CB47C2" w:rsidRPr="00712BFF" w:rsidRDefault="00CB47C2" w:rsidP="009E45CC">
            <w:pPr>
              <w:pStyle w:val="TableBodyText"/>
              <w:rPr>
                <w:bCs/>
                <w:lang w:val="en"/>
              </w:rPr>
            </w:pPr>
            <w:r w:rsidRPr="00712BFF">
              <w:rPr>
                <w:bCs/>
                <w:szCs w:val="20"/>
              </w:rPr>
              <w:t>California Public Utilities Commission</w:t>
            </w:r>
          </w:p>
        </w:tc>
      </w:tr>
      <w:tr w:rsidR="00CB47C2" w:rsidRPr="004809C9" w14:paraId="4BC604D8" w14:textId="77777777" w:rsidTr="009E45CC">
        <w:trPr>
          <w:cantSplit/>
          <w:jc w:val="center"/>
        </w:trPr>
        <w:tc>
          <w:tcPr>
            <w:tcW w:w="2250" w:type="dxa"/>
            <w:shd w:val="clear" w:color="auto" w:fill="auto"/>
            <w:vAlign w:val="center"/>
          </w:tcPr>
          <w:p w14:paraId="7CA412F6" w14:textId="77777777" w:rsidR="00CB47C2" w:rsidRDefault="00CB47C2" w:rsidP="009E45CC">
            <w:pPr>
              <w:pStyle w:val="TableHeading2"/>
              <w:rPr>
                <w:lang w:val="en"/>
              </w:rPr>
            </w:pPr>
            <w:r>
              <w:t>DAC</w:t>
            </w:r>
          </w:p>
        </w:tc>
        <w:tc>
          <w:tcPr>
            <w:tcW w:w="7110" w:type="dxa"/>
            <w:shd w:val="clear" w:color="auto" w:fill="auto"/>
            <w:vAlign w:val="center"/>
          </w:tcPr>
          <w:p w14:paraId="3D7850F1" w14:textId="77777777" w:rsidR="00CB47C2" w:rsidRPr="00712BFF" w:rsidRDefault="00CB47C2" w:rsidP="009E45CC">
            <w:pPr>
              <w:pStyle w:val="TableBodyText"/>
              <w:rPr>
                <w:bCs/>
                <w:lang w:val="en"/>
              </w:rPr>
            </w:pPr>
            <w:r>
              <w:t>Disadvantaged Communities</w:t>
            </w:r>
          </w:p>
        </w:tc>
      </w:tr>
      <w:tr w:rsidR="00CB47C2" w:rsidRPr="004809C9" w14:paraId="5E1AD9A8" w14:textId="77777777" w:rsidTr="009E45CC">
        <w:trPr>
          <w:cantSplit/>
          <w:jc w:val="center"/>
        </w:trPr>
        <w:tc>
          <w:tcPr>
            <w:tcW w:w="2250" w:type="dxa"/>
            <w:shd w:val="clear" w:color="auto" w:fill="auto"/>
            <w:vAlign w:val="center"/>
          </w:tcPr>
          <w:p w14:paraId="06B49D67" w14:textId="77777777" w:rsidR="00CB47C2" w:rsidRDefault="00CB47C2" w:rsidP="009E45CC">
            <w:pPr>
              <w:pStyle w:val="TableHeading2"/>
              <w:rPr>
                <w:lang w:val="en"/>
              </w:rPr>
            </w:pPr>
            <w:r>
              <w:rPr>
                <w:lang w:val="en"/>
              </w:rPr>
              <w:t>DEER</w:t>
            </w:r>
          </w:p>
        </w:tc>
        <w:tc>
          <w:tcPr>
            <w:tcW w:w="7110" w:type="dxa"/>
            <w:shd w:val="clear" w:color="auto" w:fill="auto"/>
            <w:vAlign w:val="center"/>
          </w:tcPr>
          <w:p w14:paraId="5A071E1B" w14:textId="77777777" w:rsidR="00CB47C2" w:rsidRPr="00712BFF" w:rsidRDefault="00CB47C2" w:rsidP="009E45CC">
            <w:pPr>
              <w:pStyle w:val="TableBodyText"/>
              <w:rPr>
                <w:bCs/>
                <w:lang w:val="en"/>
              </w:rPr>
            </w:pPr>
            <w:r w:rsidRPr="00CB47C2">
              <w:rPr>
                <w:bCs/>
                <w:lang w:val="en"/>
              </w:rPr>
              <w:t>Database for Energy Efficient Resources</w:t>
            </w:r>
          </w:p>
        </w:tc>
      </w:tr>
      <w:tr w:rsidR="00CB47C2" w:rsidRPr="004809C9" w14:paraId="265D7BC3" w14:textId="77777777" w:rsidTr="009E45CC">
        <w:trPr>
          <w:cantSplit/>
          <w:jc w:val="center"/>
        </w:trPr>
        <w:tc>
          <w:tcPr>
            <w:tcW w:w="2250" w:type="dxa"/>
            <w:shd w:val="clear" w:color="auto" w:fill="auto"/>
            <w:vAlign w:val="center"/>
          </w:tcPr>
          <w:p w14:paraId="471CF8CB" w14:textId="77777777" w:rsidR="00CB47C2" w:rsidRDefault="00CB47C2" w:rsidP="009E45CC">
            <w:pPr>
              <w:pStyle w:val="TableHeading2"/>
              <w:rPr>
                <w:lang w:val="en"/>
              </w:rPr>
            </w:pPr>
            <w:r>
              <w:rPr>
                <w:lang w:val="en"/>
              </w:rPr>
              <w:t>DSM</w:t>
            </w:r>
          </w:p>
        </w:tc>
        <w:tc>
          <w:tcPr>
            <w:tcW w:w="7110" w:type="dxa"/>
            <w:shd w:val="clear" w:color="auto" w:fill="auto"/>
            <w:vAlign w:val="center"/>
          </w:tcPr>
          <w:p w14:paraId="3D8159C4" w14:textId="77777777" w:rsidR="00CB47C2" w:rsidRPr="00712BFF" w:rsidRDefault="00CB47C2" w:rsidP="009E45CC">
            <w:pPr>
              <w:pStyle w:val="TableBodyText"/>
              <w:rPr>
                <w:bCs/>
                <w:lang w:val="en"/>
              </w:rPr>
            </w:pPr>
            <w:r w:rsidRPr="00712BFF">
              <w:rPr>
                <w:bCs/>
                <w:lang w:val="en"/>
              </w:rPr>
              <w:t>Demand-Side Management</w:t>
            </w:r>
          </w:p>
        </w:tc>
      </w:tr>
      <w:tr w:rsidR="00CB47C2" w:rsidRPr="004809C9" w14:paraId="1F4E286B" w14:textId="77777777" w:rsidTr="009E45CC">
        <w:trPr>
          <w:cantSplit/>
          <w:jc w:val="center"/>
        </w:trPr>
        <w:tc>
          <w:tcPr>
            <w:tcW w:w="2250" w:type="dxa"/>
            <w:shd w:val="clear" w:color="auto" w:fill="auto"/>
            <w:vAlign w:val="center"/>
          </w:tcPr>
          <w:p w14:paraId="6B61AD39" w14:textId="77777777" w:rsidR="00CB47C2" w:rsidRDefault="00CB47C2" w:rsidP="009E45CC">
            <w:pPr>
              <w:pStyle w:val="TableHeading2"/>
              <w:rPr>
                <w:szCs w:val="20"/>
              </w:rPr>
            </w:pPr>
            <w:r>
              <w:rPr>
                <w:szCs w:val="20"/>
              </w:rPr>
              <w:t>EE</w:t>
            </w:r>
          </w:p>
        </w:tc>
        <w:tc>
          <w:tcPr>
            <w:tcW w:w="7110" w:type="dxa"/>
            <w:shd w:val="clear" w:color="auto" w:fill="auto"/>
            <w:vAlign w:val="center"/>
          </w:tcPr>
          <w:p w14:paraId="1D3F4531" w14:textId="77777777" w:rsidR="00CB47C2" w:rsidRPr="00712BFF" w:rsidRDefault="00CB47C2" w:rsidP="009E45CC">
            <w:pPr>
              <w:pStyle w:val="TableBodyText"/>
              <w:rPr>
                <w:bCs/>
                <w:szCs w:val="20"/>
              </w:rPr>
            </w:pPr>
            <w:r w:rsidRPr="00712BFF">
              <w:rPr>
                <w:bCs/>
                <w:szCs w:val="20"/>
              </w:rPr>
              <w:t>Energy Efficiency</w:t>
            </w:r>
          </w:p>
        </w:tc>
      </w:tr>
      <w:tr w:rsidR="00CB47C2" w:rsidRPr="004809C9" w14:paraId="319B01D6" w14:textId="77777777" w:rsidTr="009E45CC">
        <w:trPr>
          <w:cantSplit/>
          <w:jc w:val="center"/>
        </w:trPr>
        <w:tc>
          <w:tcPr>
            <w:tcW w:w="2250" w:type="dxa"/>
            <w:shd w:val="clear" w:color="auto" w:fill="auto"/>
            <w:vAlign w:val="center"/>
          </w:tcPr>
          <w:p w14:paraId="14714C84" w14:textId="77777777" w:rsidR="00CB47C2" w:rsidRPr="00712BFF" w:rsidRDefault="00CB47C2" w:rsidP="009E45CC">
            <w:pPr>
              <w:pStyle w:val="TableHeading2"/>
              <w:rPr>
                <w:lang w:val="en"/>
              </w:rPr>
            </w:pPr>
            <w:r>
              <w:rPr>
                <w:lang w:val="en"/>
              </w:rPr>
              <w:t>EE PRG</w:t>
            </w:r>
          </w:p>
        </w:tc>
        <w:tc>
          <w:tcPr>
            <w:tcW w:w="7110" w:type="dxa"/>
            <w:shd w:val="clear" w:color="auto" w:fill="auto"/>
            <w:vAlign w:val="center"/>
          </w:tcPr>
          <w:p w14:paraId="59912DE8" w14:textId="77777777" w:rsidR="00CB47C2" w:rsidRPr="00712BFF" w:rsidRDefault="00CB47C2" w:rsidP="009E45CC">
            <w:pPr>
              <w:pStyle w:val="TableBodyText"/>
              <w:rPr>
                <w:bCs/>
                <w:lang w:val="en"/>
              </w:rPr>
            </w:pPr>
            <w:r>
              <w:rPr>
                <w:bCs/>
                <w:lang w:val="en"/>
              </w:rPr>
              <w:t>Energy Efficiency Procurement Review Group</w:t>
            </w:r>
          </w:p>
        </w:tc>
      </w:tr>
      <w:tr w:rsidR="00CB47C2" w:rsidRPr="004809C9" w14:paraId="59721433" w14:textId="77777777" w:rsidTr="009E45CC">
        <w:trPr>
          <w:cantSplit/>
          <w:jc w:val="center"/>
        </w:trPr>
        <w:tc>
          <w:tcPr>
            <w:tcW w:w="2250" w:type="dxa"/>
            <w:shd w:val="clear" w:color="auto" w:fill="auto"/>
            <w:vAlign w:val="center"/>
          </w:tcPr>
          <w:p w14:paraId="22A23F71" w14:textId="77777777" w:rsidR="00CB47C2" w:rsidRDefault="00CB47C2" w:rsidP="009E45CC">
            <w:pPr>
              <w:pStyle w:val="TableHeading2"/>
              <w:rPr>
                <w:szCs w:val="20"/>
              </w:rPr>
            </w:pPr>
            <w:r w:rsidRPr="00712BFF">
              <w:rPr>
                <w:lang w:val="en"/>
              </w:rPr>
              <w:t>EM&amp;V</w:t>
            </w:r>
          </w:p>
        </w:tc>
        <w:tc>
          <w:tcPr>
            <w:tcW w:w="7110" w:type="dxa"/>
            <w:shd w:val="clear" w:color="auto" w:fill="auto"/>
            <w:vAlign w:val="center"/>
          </w:tcPr>
          <w:p w14:paraId="45689D94" w14:textId="77777777" w:rsidR="00CB47C2" w:rsidRPr="00712BFF" w:rsidRDefault="00CB47C2" w:rsidP="009E45CC">
            <w:pPr>
              <w:pStyle w:val="TableBodyText"/>
              <w:rPr>
                <w:bCs/>
                <w:lang w:val="en"/>
              </w:rPr>
            </w:pPr>
            <w:r w:rsidRPr="00712BFF">
              <w:rPr>
                <w:bCs/>
                <w:lang w:val="en"/>
              </w:rPr>
              <w:t>Evaluation, Measurement &amp; Verification</w:t>
            </w:r>
          </w:p>
        </w:tc>
      </w:tr>
      <w:tr w:rsidR="00CB47C2" w:rsidRPr="004809C9" w14:paraId="4470B05C" w14:textId="77777777" w:rsidTr="009E45CC">
        <w:trPr>
          <w:cantSplit/>
          <w:jc w:val="center"/>
        </w:trPr>
        <w:tc>
          <w:tcPr>
            <w:tcW w:w="2250" w:type="dxa"/>
            <w:shd w:val="clear" w:color="auto" w:fill="auto"/>
            <w:vAlign w:val="center"/>
          </w:tcPr>
          <w:p w14:paraId="087DD5C7" w14:textId="77777777" w:rsidR="00CB47C2" w:rsidRDefault="00CB47C2" w:rsidP="009E45CC">
            <w:pPr>
              <w:pStyle w:val="TableHeading2"/>
              <w:rPr>
                <w:lang w:val="en"/>
              </w:rPr>
            </w:pPr>
            <w:r>
              <w:rPr>
                <w:lang w:val="en"/>
              </w:rPr>
              <w:t>ET</w:t>
            </w:r>
          </w:p>
        </w:tc>
        <w:tc>
          <w:tcPr>
            <w:tcW w:w="7110" w:type="dxa"/>
            <w:shd w:val="clear" w:color="auto" w:fill="auto"/>
            <w:vAlign w:val="center"/>
          </w:tcPr>
          <w:p w14:paraId="5E7EE053" w14:textId="77777777" w:rsidR="00CB47C2" w:rsidRPr="00712BFF" w:rsidRDefault="00CB47C2" w:rsidP="009E45CC">
            <w:pPr>
              <w:pStyle w:val="TableBodyText"/>
              <w:rPr>
                <w:bCs/>
                <w:szCs w:val="20"/>
              </w:rPr>
            </w:pPr>
            <w:r>
              <w:rPr>
                <w:bCs/>
                <w:szCs w:val="20"/>
              </w:rPr>
              <w:t>Emerging Technologies</w:t>
            </w:r>
          </w:p>
        </w:tc>
      </w:tr>
      <w:tr w:rsidR="00CB47C2" w:rsidRPr="004809C9" w14:paraId="4DDF9ECC" w14:textId="77777777" w:rsidTr="009E45CC">
        <w:trPr>
          <w:cantSplit/>
          <w:jc w:val="center"/>
        </w:trPr>
        <w:tc>
          <w:tcPr>
            <w:tcW w:w="2250" w:type="dxa"/>
            <w:shd w:val="clear" w:color="auto" w:fill="auto"/>
            <w:vAlign w:val="center"/>
          </w:tcPr>
          <w:p w14:paraId="322A9BF4" w14:textId="77777777" w:rsidR="00CB47C2" w:rsidRDefault="00CB47C2" w:rsidP="009E45CC">
            <w:pPr>
              <w:pStyle w:val="TableHeading2"/>
            </w:pPr>
            <w:r>
              <w:t>EUL</w:t>
            </w:r>
          </w:p>
        </w:tc>
        <w:tc>
          <w:tcPr>
            <w:tcW w:w="7110" w:type="dxa"/>
            <w:shd w:val="clear" w:color="auto" w:fill="auto"/>
            <w:vAlign w:val="center"/>
          </w:tcPr>
          <w:p w14:paraId="27ADB403" w14:textId="77777777" w:rsidR="00CB47C2" w:rsidRDefault="00CB47C2" w:rsidP="009E45CC">
            <w:pPr>
              <w:pStyle w:val="TableBodyText"/>
            </w:pPr>
            <w:r>
              <w:t>Effective Useful Life</w:t>
            </w:r>
          </w:p>
        </w:tc>
      </w:tr>
      <w:tr w:rsidR="00CB47C2" w:rsidRPr="004809C9" w14:paraId="7BCBCF2D" w14:textId="77777777" w:rsidTr="009E45CC">
        <w:trPr>
          <w:cantSplit/>
          <w:jc w:val="center"/>
        </w:trPr>
        <w:tc>
          <w:tcPr>
            <w:tcW w:w="2250" w:type="dxa"/>
            <w:shd w:val="clear" w:color="auto" w:fill="auto"/>
            <w:vAlign w:val="center"/>
          </w:tcPr>
          <w:p w14:paraId="16DBCB6F" w14:textId="77777777" w:rsidR="00CB47C2" w:rsidRDefault="00CB47C2" w:rsidP="009E45CC">
            <w:pPr>
              <w:pStyle w:val="TableHeading2"/>
            </w:pPr>
            <w:r w:rsidRPr="009E45CC">
              <w:t>FSU</w:t>
            </w:r>
          </w:p>
        </w:tc>
        <w:tc>
          <w:tcPr>
            <w:tcW w:w="7110" w:type="dxa"/>
            <w:shd w:val="clear" w:color="auto" w:fill="auto"/>
            <w:vAlign w:val="center"/>
          </w:tcPr>
          <w:p w14:paraId="09181434" w14:textId="77777777" w:rsidR="00CB47C2" w:rsidRDefault="00CB47C2" w:rsidP="009E45CC">
            <w:pPr>
              <w:pStyle w:val="TableBodyText"/>
            </w:pPr>
            <w:r w:rsidRPr="009E45CC">
              <w:t>Fractional Savings Uncertainty</w:t>
            </w:r>
          </w:p>
        </w:tc>
      </w:tr>
      <w:tr w:rsidR="00CB47C2" w:rsidRPr="004809C9" w14:paraId="4077E9FB" w14:textId="77777777" w:rsidTr="009E45CC">
        <w:trPr>
          <w:cantSplit/>
          <w:jc w:val="center"/>
        </w:trPr>
        <w:tc>
          <w:tcPr>
            <w:tcW w:w="2250" w:type="dxa"/>
            <w:shd w:val="clear" w:color="auto" w:fill="auto"/>
            <w:vAlign w:val="center"/>
          </w:tcPr>
          <w:p w14:paraId="54D7EBB4" w14:textId="77777777" w:rsidR="00CB47C2" w:rsidRDefault="00CB47C2" w:rsidP="009E45CC">
            <w:pPr>
              <w:pStyle w:val="TableHeading2"/>
              <w:rPr>
                <w:szCs w:val="20"/>
              </w:rPr>
            </w:pPr>
            <w:r>
              <w:t>HTR</w:t>
            </w:r>
          </w:p>
        </w:tc>
        <w:tc>
          <w:tcPr>
            <w:tcW w:w="7110" w:type="dxa"/>
            <w:shd w:val="clear" w:color="auto" w:fill="auto"/>
            <w:vAlign w:val="center"/>
          </w:tcPr>
          <w:p w14:paraId="7A7A4A0E" w14:textId="77777777" w:rsidR="00CB47C2" w:rsidRDefault="00CB47C2" w:rsidP="009E45CC">
            <w:pPr>
              <w:pStyle w:val="TableBodyText"/>
            </w:pPr>
            <w:r>
              <w:t>Hard-to-Reach</w:t>
            </w:r>
          </w:p>
        </w:tc>
      </w:tr>
      <w:tr w:rsidR="00CB47C2" w:rsidRPr="004809C9" w14:paraId="70F89534" w14:textId="77777777" w:rsidTr="009E45CC">
        <w:trPr>
          <w:cantSplit/>
          <w:jc w:val="center"/>
        </w:trPr>
        <w:tc>
          <w:tcPr>
            <w:tcW w:w="2250" w:type="dxa"/>
            <w:shd w:val="clear" w:color="auto" w:fill="auto"/>
            <w:vAlign w:val="center"/>
          </w:tcPr>
          <w:p w14:paraId="5358156E" w14:textId="77777777" w:rsidR="00CB47C2" w:rsidRDefault="00CB47C2" w:rsidP="009E45CC">
            <w:pPr>
              <w:pStyle w:val="TableHeading2"/>
              <w:rPr>
                <w:szCs w:val="20"/>
              </w:rPr>
            </w:pPr>
            <w:r>
              <w:rPr>
                <w:szCs w:val="20"/>
              </w:rPr>
              <w:t>HVAC</w:t>
            </w:r>
          </w:p>
        </w:tc>
        <w:tc>
          <w:tcPr>
            <w:tcW w:w="7110" w:type="dxa"/>
            <w:shd w:val="clear" w:color="auto" w:fill="auto"/>
            <w:vAlign w:val="center"/>
          </w:tcPr>
          <w:p w14:paraId="753AEF3B" w14:textId="77777777" w:rsidR="00CB47C2" w:rsidRPr="00712BFF" w:rsidRDefault="00CB47C2" w:rsidP="009E45CC">
            <w:pPr>
              <w:pStyle w:val="TableBodyText"/>
              <w:rPr>
                <w:bCs/>
                <w:szCs w:val="20"/>
              </w:rPr>
            </w:pPr>
            <w:r>
              <w:rPr>
                <w:bCs/>
                <w:szCs w:val="20"/>
              </w:rPr>
              <w:t>Heating, Ventilation, &amp; Air Conditioning</w:t>
            </w:r>
          </w:p>
        </w:tc>
      </w:tr>
      <w:tr w:rsidR="00CB47C2" w:rsidRPr="004809C9" w14:paraId="57B8988E" w14:textId="77777777" w:rsidTr="009E45CC">
        <w:trPr>
          <w:cantSplit/>
          <w:jc w:val="center"/>
        </w:trPr>
        <w:tc>
          <w:tcPr>
            <w:tcW w:w="2250" w:type="dxa"/>
            <w:shd w:val="clear" w:color="auto" w:fill="auto"/>
            <w:vAlign w:val="center"/>
          </w:tcPr>
          <w:p w14:paraId="0B80E5F4" w14:textId="77777777" w:rsidR="00CB47C2" w:rsidRDefault="00CB47C2" w:rsidP="009E45CC">
            <w:pPr>
              <w:pStyle w:val="TableHeading2"/>
              <w:rPr>
                <w:szCs w:val="20"/>
              </w:rPr>
            </w:pPr>
            <w:r>
              <w:rPr>
                <w:szCs w:val="20"/>
              </w:rPr>
              <w:t>IOU</w:t>
            </w:r>
          </w:p>
        </w:tc>
        <w:tc>
          <w:tcPr>
            <w:tcW w:w="7110" w:type="dxa"/>
            <w:shd w:val="clear" w:color="auto" w:fill="auto"/>
            <w:vAlign w:val="center"/>
          </w:tcPr>
          <w:p w14:paraId="6B027111" w14:textId="77777777" w:rsidR="00CB47C2" w:rsidRPr="00712BFF" w:rsidRDefault="00CB47C2" w:rsidP="009E45CC">
            <w:pPr>
              <w:pStyle w:val="TableBodyText"/>
              <w:rPr>
                <w:bCs/>
                <w:szCs w:val="20"/>
              </w:rPr>
            </w:pPr>
            <w:r>
              <w:rPr>
                <w:bCs/>
                <w:szCs w:val="20"/>
              </w:rPr>
              <w:t>Investor-Owned Utility</w:t>
            </w:r>
          </w:p>
        </w:tc>
      </w:tr>
      <w:tr w:rsidR="00CB47C2" w:rsidRPr="004809C9" w14:paraId="17479044" w14:textId="77777777" w:rsidTr="009E45CC">
        <w:trPr>
          <w:cantSplit/>
          <w:jc w:val="center"/>
        </w:trPr>
        <w:tc>
          <w:tcPr>
            <w:tcW w:w="2250" w:type="dxa"/>
            <w:shd w:val="clear" w:color="auto" w:fill="auto"/>
            <w:vAlign w:val="center"/>
          </w:tcPr>
          <w:p w14:paraId="5FC15155" w14:textId="77777777" w:rsidR="00CB47C2" w:rsidRPr="00007592" w:rsidRDefault="00CB47C2" w:rsidP="009E45CC">
            <w:pPr>
              <w:pStyle w:val="TableHeading2"/>
              <w:rPr>
                <w:lang w:val="en"/>
              </w:rPr>
            </w:pPr>
            <w:r>
              <w:rPr>
                <w:szCs w:val="20"/>
              </w:rPr>
              <w:t>IP</w:t>
            </w:r>
          </w:p>
        </w:tc>
        <w:tc>
          <w:tcPr>
            <w:tcW w:w="7110" w:type="dxa"/>
            <w:shd w:val="clear" w:color="auto" w:fill="auto"/>
            <w:vAlign w:val="center"/>
          </w:tcPr>
          <w:p w14:paraId="165A0A3D" w14:textId="77777777" w:rsidR="00CB47C2" w:rsidRPr="00712BFF" w:rsidRDefault="00CB47C2" w:rsidP="009E45CC">
            <w:pPr>
              <w:pStyle w:val="TableBodyText"/>
              <w:rPr>
                <w:bCs/>
                <w:lang w:val="en"/>
              </w:rPr>
            </w:pPr>
            <w:r w:rsidRPr="00712BFF">
              <w:rPr>
                <w:bCs/>
                <w:szCs w:val="20"/>
              </w:rPr>
              <w:t>Implementation Plan</w:t>
            </w:r>
          </w:p>
        </w:tc>
      </w:tr>
      <w:tr w:rsidR="00CB47C2" w:rsidRPr="004809C9" w14:paraId="6AF99104" w14:textId="77777777" w:rsidTr="009E45CC">
        <w:trPr>
          <w:cantSplit/>
          <w:jc w:val="center"/>
        </w:trPr>
        <w:tc>
          <w:tcPr>
            <w:tcW w:w="2250" w:type="dxa"/>
            <w:shd w:val="clear" w:color="auto" w:fill="auto"/>
            <w:vAlign w:val="center"/>
          </w:tcPr>
          <w:p w14:paraId="2F764CD5" w14:textId="77777777" w:rsidR="00CB47C2" w:rsidRPr="00007592" w:rsidRDefault="00CB47C2" w:rsidP="009E45CC">
            <w:pPr>
              <w:pStyle w:val="TableHeading2"/>
              <w:rPr>
                <w:lang w:val="en"/>
              </w:rPr>
            </w:pPr>
            <w:r>
              <w:rPr>
                <w:lang w:val="en"/>
              </w:rPr>
              <w:t>kW, kWh</w:t>
            </w:r>
          </w:p>
        </w:tc>
        <w:tc>
          <w:tcPr>
            <w:tcW w:w="7110" w:type="dxa"/>
            <w:shd w:val="clear" w:color="auto" w:fill="auto"/>
            <w:vAlign w:val="center"/>
          </w:tcPr>
          <w:p w14:paraId="686E4FD5" w14:textId="77777777" w:rsidR="00CB47C2" w:rsidRPr="00712BFF" w:rsidRDefault="00CB47C2" w:rsidP="009E45CC">
            <w:pPr>
              <w:pStyle w:val="TableBodyText"/>
              <w:rPr>
                <w:bCs/>
                <w:lang w:val="en"/>
              </w:rPr>
            </w:pPr>
            <w:r>
              <w:rPr>
                <w:bCs/>
                <w:lang w:val="en"/>
              </w:rPr>
              <w:t>kilowatts, kilowatt-hours</w:t>
            </w:r>
          </w:p>
        </w:tc>
      </w:tr>
      <w:tr w:rsidR="00CB47C2" w:rsidRPr="004809C9" w14:paraId="4CCEE7AF" w14:textId="77777777" w:rsidTr="009E45CC">
        <w:trPr>
          <w:cantSplit/>
          <w:jc w:val="center"/>
        </w:trPr>
        <w:tc>
          <w:tcPr>
            <w:tcW w:w="2250" w:type="dxa"/>
            <w:shd w:val="clear" w:color="auto" w:fill="auto"/>
            <w:vAlign w:val="center"/>
          </w:tcPr>
          <w:p w14:paraId="033D4336" w14:textId="77777777" w:rsidR="00CB47C2" w:rsidRDefault="00CB47C2" w:rsidP="009E45CC">
            <w:pPr>
              <w:pStyle w:val="TableHeading2"/>
              <w:rPr>
                <w:lang w:val="en"/>
              </w:rPr>
            </w:pPr>
            <w:r>
              <w:rPr>
                <w:lang w:val="en"/>
              </w:rPr>
              <w:t>M&amp;V</w:t>
            </w:r>
          </w:p>
        </w:tc>
        <w:tc>
          <w:tcPr>
            <w:tcW w:w="7110" w:type="dxa"/>
            <w:shd w:val="clear" w:color="auto" w:fill="auto"/>
            <w:vAlign w:val="center"/>
          </w:tcPr>
          <w:p w14:paraId="604832BA" w14:textId="77777777" w:rsidR="00CB47C2" w:rsidRPr="00712BFF" w:rsidRDefault="00CB47C2" w:rsidP="009E45CC">
            <w:pPr>
              <w:pStyle w:val="TableBodyText"/>
              <w:rPr>
                <w:bCs/>
                <w:lang w:val="en"/>
              </w:rPr>
            </w:pPr>
            <w:r w:rsidRPr="00712BFF">
              <w:rPr>
                <w:bCs/>
                <w:lang w:val="en"/>
              </w:rPr>
              <w:t>Measurement &amp; Verification (or, sometimes, Validation)</w:t>
            </w:r>
          </w:p>
        </w:tc>
      </w:tr>
      <w:tr w:rsidR="00CB47C2" w:rsidRPr="004809C9" w14:paraId="4DDB8CA4" w14:textId="77777777" w:rsidTr="009E45CC">
        <w:trPr>
          <w:cantSplit/>
          <w:jc w:val="center"/>
        </w:trPr>
        <w:tc>
          <w:tcPr>
            <w:tcW w:w="2250" w:type="dxa"/>
            <w:shd w:val="clear" w:color="auto" w:fill="auto"/>
            <w:vAlign w:val="center"/>
          </w:tcPr>
          <w:p w14:paraId="389AF473" w14:textId="77777777" w:rsidR="00CB47C2" w:rsidRPr="00D43A96" w:rsidRDefault="00CB47C2" w:rsidP="009E45CC">
            <w:pPr>
              <w:pStyle w:val="TableHeading2"/>
              <w:rPr>
                <w:lang w:val="en"/>
              </w:rPr>
            </w:pPr>
            <w:r>
              <w:rPr>
                <w:lang w:val="en"/>
              </w:rPr>
              <w:t>NMEC</w:t>
            </w:r>
          </w:p>
        </w:tc>
        <w:tc>
          <w:tcPr>
            <w:tcW w:w="7110" w:type="dxa"/>
            <w:shd w:val="clear" w:color="auto" w:fill="auto"/>
            <w:vAlign w:val="center"/>
          </w:tcPr>
          <w:p w14:paraId="2BA0AB62" w14:textId="77777777" w:rsidR="00CB47C2" w:rsidRPr="00712BFF" w:rsidRDefault="00CB47C2" w:rsidP="009E45CC">
            <w:pPr>
              <w:pStyle w:val="TableBodyText"/>
              <w:rPr>
                <w:bCs/>
                <w:lang w:val="en"/>
              </w:rPr>
            </w:pPr>
            <w:r w:rsidRPr="00712BFF">
              <w:rPr>
                <w:bCs/>
                <w:lang w:val="en"/>
              </w:rPr>
              <w:t>Normalized Metered Energy Consumption</w:t>
            </w:r>
          </w:p>
        </w:tc>
      </w:tr>
      <w:tr w:rsidR="00CB47C2" w:rsidRPr="004809C9" w14:paraId="509A92BB" w14:textId="77777777" w:rsidTr="009E45CC">
        <w:trPr>
          <w:cantSplit/>
          <w:jc w:val="center"/>
        </w:trPr>
        <w:tc>
          <w:tcPr>
            <w:tcW w:w="2250" w:type="dxa"/>
            <w:shd w:val="clear" w:color="auto" w:fill="auto"/>
            <w:vAlign w:val="center"/>
          </w:tcPr>
          <w:p w14:paraId="7AAF58B3" w14:textId="77777777" w:rsidR="00CB47C2" w:rsidRDefault="00CB47C2" w:rsidP="009E45CC">
            <w:pPr>
              <w:pStyle w:val="TableHeading2"/>
              <w:rPr>
                <w:lang w:val="en"/>
              </w:rPr>
            </w:pPr>
            <w:r w:rsidRPr="009E45CC">
              <w:t>PA</w:t>
            </w:r>
          </w:p>
        </w:tc>
        <w:tc>
          <w:tcPr>
            <w:tcW w:w="7110" w:type="dxa"/>
            <w:shd w:val="clear" w:color="auto" w:fill="auto"/>
            <w:vAlign w:val="center"/>
          </w:tcPr>
          <w:p w14:paraId="33EAC529" w14:textId="77777777" w:rsidR="00CB47C2" w:rsidRPr="00712BFF" w:rsidRDefault="00CB47C2" w:rsidP="009E45CC">
            <w:pPr>
              <w:pStyle w:val="TableBodyText"/>
              <w:rPr>
                <w:bCs/>
                <w:lang w:val="en"/>
              </w:rPr>
            </w:pPr>
            <w:r>
              <w:rPr>
                <w:bCs/>
                <w:lang w:val="en"/>
              </w:rPr>
              <w:t>Program Administrator</w:t>
            </w:r>
          </w:p>
        </w:tc>
      </w:tr>
      <w:tr w:rsidR="00CB47C2" w:rsidRPr="004809C9" w14:paraId="755D7261" w14:textId="77777777" w:rsidTr="009E45CC">
        <w:trPr>
          <w:cantSplit/>
          <w:jc w:val="center"/>
        </w:trPr>
        <w:tc>
          <w:tcPr>
            <w:tcW w:w="2250" w:type="dxa"/>
            <w:shd w:val="clear" w:color="auto" w:fill="auto"/>
            <w:vAlign w:val="center"/>
          </w:tcPr>
          <w:p w14:paraId="54FBEBCB" w14:textId="77777777" w:rsidR="00CB47C2" w:rsidRDefault="00CB47C2" w:rsidP="009E45CC">
            <w:pPr>
              <w:pStyle w:val="TableHeading2"/>
              <w:rPr>
                <w:lang w:val="en"/>
              </w:rPr>
            </w:pPr>
            <w:r>
              <w:t>PAC</w:t>
            </w:r>
          </w:p>
        </w:tc>
        <w:tc>
          <w:tcPr>
            <w:tcW w:w="7110" w:type="dxa"/>
            <w:shd w:val="clear" w:color="auto" w:fill="auto"/>
            <w:vAlign w:val="center"/>
          </w:tcPr>
          <w:p w14:paraId="5F91BF1C" w14:textId="77777777" w:rsidR="00CB47C2" w:rsidRPr="00712BFF" w:rsidRDefault="00CB47C2" w:rsidP="009E45CC">
            <w:pPr>
              <w:pStyle w:val="TableBodyText"/>
              <w:rPr>
                <w:bCs/>
                <w:lang w:val="en"/>
              </w:rPr>
            </w:pPr>
            <w:r w:rsidRPr="00CB47C2">
              <w:rPr>
                <w:bCs/>
                <w:lang w:val="en"/>
              </w:rPr>
              <w:t>Program Administrator Cost</w:t>
            </w:r>
          </w:p>
        </w:tc>
      </w:tr>
      <w:tr w:rsidR="00CB47C2" w:rsidRPr="004809C9" w14:paraId="57A0B7A7" w14:textId="77777777" w:rsidTr="009E45CC">
        <w:trPr>
          <w:cantSplit/>
          <w:jc w:val="center"/>
        </w:trPr>
        <w:tc>
          <w:tcPr>
            <w:tcW w:w="2250" w:type="dxa"/>
            <w:shd w:val="clear" w:color="auto" w:fill="auto"/>
            <w:vAlign w:val="center"/>
          </w:tcPr>
          <w:p w14:paraId="1CF9F1F2" w14:textId="77777777" w:rsidR="00CB47C2" w:rsidRDefault="00CB47C2" w:rsidP="009E45CC">
            <w:pPr>
              <w:pStyle w:val="TableHeading2"/>
            </w:pPr>
            <w:r>
              <w:t>RFA</w:t>
            </w:r>
          </w:p>
        </w:tc>
        <w:tc>
          <w:tcPr>
            <w:tcW w:w="7110" w:type="dxa"/>
            <w:shd w:val="clear" w:color="auto" w:fill="auto"/>
            <w:vAlign w:val="center"/>
          </w:tcPr>
          <w:p w14:paraId="3BC38A62" w14:textId="77777777" w:rsidR="00CB47C2" w:rsidRPr="00712BFF" w:rsidRDefault="00CB47C2" w:rsidP="009E45CC">
            <w:pPr>
              <w:pStyle w:val="TableBodyText"/>
              <w:rPr>
                <w:bCs/>
                <w:lang w:val="en"/>
              </w:rPr>
            </w:pPr>
            <w:r>
              <w:t>Request for Abstract</w:t>
            </w:r>
          </w:p>
        </w:tc>
      </w:tr>
      <w:tr w:rsidR="00CB47C2" w:rsidRPr="004809C9" w14:paraId="45FAEDDC" w14:textId="77777777" w:rsidTr="009E45CC">
        <w:trPr>
          <w:cantSplit/>
          <w:jc w:val="center"/>
        </w:trPr>
        <w:tc>
          <w:tcPr>
            <w:tcW w:w="2250" w:type="dxa"/>
            <w:shd w:val="clear" w:color="auto" w:fill="auto"/>
            <w:vAlign w:val="center"/>
          </w:tcPr>
          <w:p w14:paraId="4BB26AA4" w14:textId="77777777" w:rsidR="00CB47C2" w:rsidRDefault="00CB47C2" w:rsidP="009E45CC">
            <w:pPr>
              <w:pStyle w:val="TableHeading2"/>
            </w:pPr>
            <w:r>
              <w:t>RFP</w:t>
            </w:r>
          </w:p>
        </w:tc>
        <w:tc>
          <w:tcPr>
            <w:tcW w:w="7110" w:type="dxa"/>
            <w:shd w:val="clear" w:color="auto" w:fill="auto"/>
            <w:vAlign w:val="center"/>
          </w:tcPr>
          <w:p w14:paraId="16B201C7" w14:textId="77777777" w:rsidR="00CB47C2" w:rsidRPr="00712BFF" w:rsidRDefault="00CB47C2" w:rsidP="009E45CC">
            <w:pPr>
              <w:pStyle w:val="TableBodyText"/>
              <w:rPr>
                <w:bCs/>
                <w:lang w:val="en"/>
              </w:rPr>
            </w:pPr>
            <w:r>
              <w:t>Request for Proposal</w:t>
            </w:r>
          </w:p>
        </w:tc>
      </w:tr>
      <w:tr w:rsidR="00B93EA3" w:rsidRPr="004809C9" w14:paraId="66DAF888" w14:textId="77777777" w:rsidTr="009E45CC">
        <w:trPr>
          <w:cantSplit/>
          <w:jc w:val="center"/>
        </w:trPr>
        <w:tc>
          <w:tcPr>
            <w:tcW w:w="2250" w:type="dxa"/>
            <w:shd w:val="clear" w:color="auto" w:fill="auto"/>
            <w:vAlign w:val="center"/>
          </w:tcPr>
          <w:p w14:paraId="14D62EA8" w14:textId="649B4B56" w:rsidR="00B93EA3" w:rsidRDefault="00B93EA3" w:rsidP="009E45CC">
            <w:pPr>
              <w:pStyle w:val="TableHeading2"/>
            </w:pPr>
            <w:r>
              <w:t>SEM</w:t>
            </w:r>
          </w:p>
        </w:tc>
        <w:tc>
          <w:tcPr>
            <w:tcW w:w="7110" w:type="dxa"/>
            <w:shd w:val="clear" w:color="auto" w:fill="auto"/>
            <w:vAlign w:val="center"/>
          </w:tcPr>
          <w:p w14:paraId="77C8A125" w14:textId="5A40C1D3" w:rsidR="00B93EA3" w:rsidRDefault="00B93EA3" w:rsidP="009E45CC">
            <w:pPr>
              <w:pStyle w:val="TableBodyText"/>
            </w:pPr>
            <w:r>
              <w:t>Strategic Energy Management</w:t>
            </w:r>
          </w:p>
        </w:tc>
      </w:tr>
      <w:tr w:rsidR="00CB47C2" w:rsidRPr="004809C9" w14:paraId="41BAEF75" w14:textId="77777777" w:rsidTr="009E45CC">
        <w:trPr>
          <w:cantSplit/>
          <w:jc w:val="center"/>
        </w:trPr>
        <w:tc>
          <w:tcPr>
            <w:tcW w:w="2250" w:type="dxa"/>
            <w:shd w:val="clear" w:color="auto" w:fill="auto"/>
            <w:vAlign w:val="center"/>
          </w:tcPr>
          <w:p w14:paraId="4683DE19" w14:textId="77777777" w:rsidR="00CB47C2" w:rsidRPr="00007592" w:rsidRDefault="00CB47C2" w:rsidP="009E45CC">
            <w:pPr>
              <w:pStyle w:val="TableHeading2"/>
              <w:rPr>
                <w:lang w:val="en"/>
              </w:rPr>
            </w:pPr>
            <w:r>
              <w:t>TRC</w:t>
            </w:r>
          </w:p>
        </w:tc>
        <w:tc>
          <w:tcPr>
            <w:tcW w:w="7110" w:type="dxa"/>
            <w:shd w:val="clear" w:color="auto" w:fill="auto"/>
            <w:vAlign w:val="center"/>
          </w:tcPr>
          <w:p w14:paraId="4BEC425E" w14:textId="77777777" w:rsidR="00CB47C2" w:rsidRPr="00712BFF" w:rsidRDefault="00CB47C2" w:rsidP="009E45CC">
            <w:pPr>
              <w:pStyle w:val="TableBodyText"/>
              <w:rPr>
                <w:bCs/>
                <w:lang w:val="en"/>
              </w:rPr>
            </w:pPr>
            <w:r>
              <w:rPr>
                <w:bCs/>
                <w:lang w:val="en"/>
              </w:rPr>
              <w:t>Total Resource Cost</w:t>
            </w:r>
          </w:p>
        </w:tc>
      </w:tr>
      <w:tr w:rsidR="00575304" w:rsidRPr="004809C9" w14:paraId="5B8570C4" w14:textId="77777777" w:rsidTr="009E45CC">
        <w:trPr>
          <w:cantSplit/>
          <w:jc w:val="center"/>
        </w:trPr>
        <w:tc>
          <w:tcPr>
            <w:tcW w:w="2250" w:type="dxa"/>
            <w:shd w:val="clear" w:color="auto" w:fill="auto"/>
            <w:vAlign w:val="center"/>
          </w:tcPr>
          <w:p w14:paraId="0FCA0F7B" w14:textId="6B7117BC" w:rsidR="00575304" w:rsidRDefault="00575304" w:rsidP="009E45CC">
            <w:pPr>
              <w:pStyle w:val="TableHeading2"/>
            </w:pPr>
            <w:r>
              <w:t>TSB</w:t>
            </w:r>
          </w:p>
        </w:tc>
        <w:tc>
          <w:tcPr>
            <w:tcW w:w="7110" w:type="dxa"/>
            <w:shd w:val="clear" w:color="auto" w:fill="auto"/>
            <w:vAlign w:val="center"/>
          </w:tcPr>
          <w:p w14:paraId="55C0ABA3" w14:textId="0F06B5FA" w:rsidR="00575304" w:rsidRDefault="00575304" w:rsidP="009E45CC">
            <w:pPr>
              <w:pStyle w:val="TableBodyText"/>
              <w:rPr>
                <w:bCs/>
                <w:lang w:val="en"/>
              </w:rPr>
            </w:pPr>
            <w:r>
              <w:rPr>
                <w:bCs/>
                <w:lang w:val="en"/>
              </w:rPr>
              <w:t>Total System Benefit</w:t>
            </w:r>
          </w:p>
        </w:tc>
      </w:tr>
      <w:tr w:rsidR="00CB47C2" w:rsidRPr="004809C9" w14:paraId="4DEB5458" w14:textId="77777777" w:rsidTr="009E45CC">
        <w:trPr>
          <w:cantSplit/>
          <w:jc w:val="center"/>
        </w:trPr>
        <w:tc>
          <w:tcPr>
            <w:tcW w:w="2250" w:type="dxa"/>
            <w:shd w:val="clear" w:color="auto" w:fill="auto"/>
            <w:vAlign w:val="center"/>
          </w:tcPr>
          <w:p w14:paraId="3B813724" w14:textId="77777777" w:rsidR="00CB47C2" w:rsidRDefault="00CB47C2" w:rsidP="009E45CC">
            <w:pPr>
              <w:pStyle w:val="TableHeading2"/>
              <w:rPr>
                <w:lang w:val="en"/>
              </w:rPr>
            </w:pPr>
            <w:r>
              <w:rPr>
                <w:lang w:val="en"/>
              </w:rPr>
              <w:t>WE&amp;T</w:t>
            </w:r>
          </w:p>
        </w:tc>
        <w:tc>
          <w:tcPr>
            <w:tcW w:w="7110" w:type="dxa"/>
            <w:shd w:val="clear" w:color="auto" w:fill="auto"/>
            <w:vAlign w:val="center"/>
          </w:tcPr>
          <w:p w14:paraId="672D3F89" w14:textId="77777777" w:rsidR="00CB47C2" w:rsidRPr="00712BFF" w:rsidRDefault="00CB47C2" w:rsidP="009E45CC">
            <w:pPr>
              <w:pStyle w:val="TableBodyText"/>
              <w:rPr>
                <w:bCs/>
                <w:lang w:val="en"/>
              </w:rPr>
            </w:pPr>
            <w:r w:rsidRPr="00712BFF">
              <w:rPr>
                <w:bCs/>
                <w:lang w:val="en"/>
              </w:rPr>
              <w:t>Workforce Education &amp; Training</w:t>
            </w:r>
          </w:p>
        </w:tc>
      </w:tr>
    </w:tbl>
    <w:p w14:paraId="580F8B2F" w14:textId="77777777" w:rsidR="009E45CC" w:rsidRDefault="009E45CC" w:rsidP="009E45CC"/>
    <w:p w14:paraId="675B7465" w14:textId="77777777" w:rsidR="009E45CC" w:rsidRDefault="009E45CC" w:rsidP="009E45CC"/>
    <w:sectPr w:rsidR="009E45CC" w:rsidSect="009F1961">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5C71C" w14:textId="77777777" w:rsidR="0052288D" w:rsidRDefault="0052288D" w:rsidP="005058B3">
      <w:pPr>
        <w:spacing w:line="240" w:lineRule="auto"/>
      </w:pPr>
      <w:r>
        <w:separator/>
      </w:r>
    </w:p>
    <w:p w14:paraId="39147A74" w14:textId="77777777" w:rsidR="0052288D" w:rsidRDefault="0052288D"/>
  </w:endnote>
  <w:endnote w:type="continuationSeparator" w:id="0">
    <w:p w14:paraId="6560BB83" w14:textId="77777777" w:rsidR="0052288D" w:rsidRDefault="0052288D" w:rsidP="005058B3">
      <w:pPr>
        <w:spacing w:line="240" w:lineRule="auto"/>
      </w:pPr>
      <w:r>
        <w:continuationSeparator/>
      </w:r>
    </w:p>
    <w:p w14:paraId="4B067691" w14:textId="77777777" w:rsidR="0052288D" w:rsidRDefault="0052288D"/>
  </w:endnote>
  <w:endnote w:type="continuationNotice" w:id="1">
    <w:p w14:paraId="51125587" w14:textId="77777777" w:rsidR="0052288D" w:rsidRDefault="005228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6BCA4" w14:textId="7F6F22C3" w:rsidR="004268E9" w:rsidRPr="0086341F" w:rsidRDefault="004268E9" w:rsidP="00264AA9">
    <w:pPr>
      <w:pStyle w:val="Footer"/>
      <w:pBdr>
        <w:top w:val="single" w:sz="6" w:space="4" w:color="auto"/>
      </w:pBdr>
      <w:rPr>
        <w:i/>
        <w:sz w:val="18"/>
        <w:szCs w:val="18"/>
      </w:rPr>
    </w:pPr>
    <w:r w:rsidRPr="0086341F">
      <w:rPr>
        <w:i/>
        <w:sz w:val="18"/>
        <w:szCs w:val="18"/>
      </w:rPr>
      <w:t>Southern California Edison</w:t>
    </w:r>
    <w:r w:rsidRPr="0086341F">
      <w:rPr>
        <w:i/>
        <w:sz w:val="18"/>
        <w:szCs w:val="18"/>
      </w:rPr>
      <w:tab/>
      <w:t xml:space="preserve">Page </w:t>
    </w:r>
    <w:r w:rsidRPr="0086341F">
      <w:rPr>
        <w:bCs/>
        <w:i/>
        <w:sz w:val="18"/>
        <w:szCs w:val="18"/>
      </w:rPr>
      <w:fldChar w:fldCharType="begin"/>
    </w:r>
    <w:r w:rsidRPr="0086341F">
      <w:rPr>
        <w:bCs/>
        <w:i/>
        <w:sz w:val="18"/>
        <w:szCs w:val="18"/>
      </w:rPr>
      <w:instrText xml:space="preserve"> PAGE  \* Arabic  \* MERGEFORMAT </w:instrText>
    </w:r>
    <w:r w:rsidRPr="0086341F">
      <w:rPr>
        <w:bCs/>
        <w:i/>
        <w:sz w:val="18"/>
        <w:szCs w:val="18"/>
      </w:rPr>
      <w:fldChar w:fldCharType="separate"/>
    </w:r>
    <w:r>
      <w:rPr>
        <w:bCs/>
        <w:i/>
        <w:noProof/>
        <w:sz w:val="18"/>
        <w:szCs w:val="18"/>
      </w:rPr>
      <w:t>10</w:t>
    </w:r>
    <w:r w:rsidRPr="0086341F">
      <w:rPr>
        <w:bCs/>
        <w:i/>
        <w:sz w:val="18"/>
        <w:szCs w:val="18"/>
      </w:rPr>
      <w:fldChar w:fldCharType="end"/>
    </w:r>
    <w:r w:rsidRPr="0086341F">
      <w:rPr>
        <w:i/>
        <w:sz w:val="18"/>
        <w:szCs w:val="18"/>
      </w:rPr>
      <w:t xml:space="preserve"> of </w:t>
    </w:r>
    <w:r w:rsidRPr="0086341F">
      <w:rPr>
        <w:bCs/>
        <w:i/>
        <w:sz w:val="18"/>
        <w:szCs w:val="18"/>
      </w:rPr>
      <w:fldChar w:fldCharType="begin"/>
    </w:r>
    <w:r w:rsidRPr="0086341F">
      <w:rPr>
        <w:bCs/>
        <w:i/>
        <w:sz w:val="18"/>
        <w:szCs w:val="18"/>
      </w:rPr>
      <w:instrText xml:space="preserve"> NUMPAGES  \* Arabic  \* MERGEFORMAT </w:instrText>
    </w:r>
    <w:r w:rsidRPr="0086341F">
      <w:rPr>
        <w:bCs/>
        <w:i/>
        <w:sz w:val="18"/>
        <w:szCs w:val="18"/>
      </w:rPr>
      <w:fldChar w:fldCharType="separate"/>
    </w:r>
    <w:r>
      <w:rPr>
        <w:bCs/>
        <w:i/>
        <w:noProof/>
        <w:sz w:val="18"/>
        <w:szCs w:val="18"/>
      </w:rPr>
      <w:t>10</w:t>
    </w:r>
    <w:r w:rsidRPr="0086341F">
      <w:rPr>
        <w:bCs/>
        <w:i/>
        <w:sz w:val="18"/>
        <w:szCs w:val="18"/>
      </w:rPr>
      <w:fldChar w:fldCharType="end"/>
    </w:r>
    <w:r w:rsidRPr="0086341F">
      <w:rPr>
        <w:bCs/>
        <w:i/>
        <w:sz w:val="18"/>
        <w:szCs w:val="18"/>
      </w:rPr>
      <w:tab/>
    </w:r>
    <w:r w:rsidRPr="0086341F">
      <w:rPr>
        <w:i/>
        <w:sz w:val="18"/>
        <w:szCs w:val="18"/>
      </w:rPr>
      <w:t xml:space="preserve">Version Filing Date: </w:t>
    </w:r>
    <w:r w:rsidR="00E30EE8">
      <w:rPr>
        <w:i/>
        <w:sz w:val="18"/>
        <w:szCs w:val="18"/>
      </w:rPr>
      <w:t>07</w:t>
    </w:r>
    <w:r w:rsidRPr="0086341F">
      <w:rPr>
        <w:i/>
        <w:sz w:val="18"/>
        <w:szCs w:val="18"/>
      </w:rPr>
      <w:t>/</w:t>
    </w:r>
    <w:r w:rsidR="00E30EE8">
      <w:rPr>
        <w:i/>
        <w:sz w:val="18"/>
        <w:szCs w:val="18"/>
      </w:rPr>
      <w:t>09</w:t>
    </w:r>
    <w:r w:rsidR="006160A1">
      <w:rPr>
        <w:i/>
        <w:sz w:val="18"/>
        <w:szCs w:val="18"/>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52807" w14:textId="77777777" w:rsidR="0052288D" w:rsidRDefault="0052288D" w:rsidP="00E327E1">
      <w:pPr>
        <w:spacing w:line="240" w:lineRule="auto"/>
      </w:pPr>
      <w:r>
        <w:separator/>
      </w:r>
    </w:p>
  </w:footnote>
  <w:footnote w:type="continuationSeparator" w:id="0">
    <w:p w14:paraId="171BE648" w14:textId="77777777" w:rsidR="0052288D" w:rsidRDefault="0052288D" w:rsidP="005058B3">
      <w:pPr>
        <w:spacing w:line="240" w:lineRule="auto"/>
      </w:pPr>
      <w:r>
        <w:continuationSeparator/>
      </w:r>
    </w:p>
    <w:p w14:paraId="245E0B42" w14:textId="77777777" w:rsidR="0052288D" w:rsidRDefault="0052288D"/>
  </w:footnote>
  <w:footnote w:type="continuationNotice" w:id="1">
    <w:p w14:paraId="02C0379F" w14:textId="77777777" w:rsidR="0052288D" w:rsidRDefault="0052288D">
      <w:pPr>
        <w:spacing w:after="0" w:line="240" w:lineRule="auto"/>
      </w:pPr>
    </w:p>
  </w:footnote>
  <w:footnote w:id="2">
    <w:p w14:paraId="63C70504" w14:textId="77777777" w:rsidR="004268E9" w:rsidRDefault="004268E9" w:rsidP="001F02AC">
      <w:pPr>
        <w:pStyle w:val="FootnoteText"/>
      </w:pPr>
      <w:r w:rsidRPr="00122673">
        <w:rPr>
          <w:rStyle w:val="FootnoteReference"/>
        </w:rPr>
        <w:footnoteRef/>
      </w:r>
      <w:r w:rsidRPr="00122673">
        <w:tab/>
      </w:r>
      <w:r w:rsidRPr="00D43662">
        <w:t>D.18-05-041, Page 20-21 and Ordering Paragraph 7</w:t>
      </w:r>
      <w:r>
        <w:t>.</w:t>
      </w:r>
    </w:p>
  </w:footnote>
  <w:footnote w:id="3">
    <w:p w14:paraId="65184916" w14:textId="77777777" w:rsidR="004268E9" w:rsidRDefault="004268E9" w:rsidP="001F02AC">
      <w:pPr>
        <w:pStyle w:val="FootnoteText"/>
      </w:pPr>
      <w:r w:rsidRPr="00122673">
        <w:rPr>
          <w:rStyle w:val="FootnoteReference"/>
        </w:rPr>
        <w:footnoteRef/>
      </w:r>
      <w:r w:rsidRPr="00122673">
        <w:tab/>
      </w:r>
      <w:r w:rsidRPr="00D43662">
        <w:t>D.18-10-008, Ordering Paragraph 1-2 and Attachment B, Section A-B, Page B-1</w:t>
      </w:r>
      <w:r>
        <w:t>.</w:t>
      </w:r>
    </w:p>
  </w:footnote>
  <w:footnote w:id="4">
    <w:p w14:paraId="6FB8BAA3" w14:textId="77777777" w:rsidR="004268E9" w:rsidRDefault="004268E9">
      <w:pPr>
        <w:pStyle w:val="FootnoteText"/>
      </w:pPr>
      <w:r>
        <w:rPr>
          <w:rStyle w:val="FootnoteReference"/>
        </w:rPr>
        <w:footnoteRef/>
      </w:r>
      <w:r>
        <w:tab/>
      </w:r>
      <w:r w:rsidRPr="00F009D9">
        <w:t>D.18-10-008, Attachment B, Section D, page B-9.</w:t>
      </w:r>
    </w:p>
  </w:footnote>
  <w:footnote w:id="5">
    <w:p w14:paraId="6316E8D8" w14:textId="77777777" w:rsidR="003B00AE" w:rsidRDefault="003B00AE" w:rsidP="003B00AE">
      <w:pPr>
        <w:pStyle w:val="FootnoteText"/>
      </w:pPr>
      <w:r>
        <w:rPr>
          <w:rStyle w:val="FootnoteReference"/>
        </w:rPr>
        <w:footnoteRef/>
      </w:r>
      <w:r>
        <w:t xml:space="preserve"> Decision 23-02-002, page 43 </w:t>
      </w:r>
      <w:hyperlink r:id="rId1" w:history="1">
        <w:r>
          <w:rPr>
            <w:rFonts w:asciiTheme="minorHAnsi" w:hAnsiTheme="minorHAnsi" w:cstheme="minorHAnsi"/>
            <w:color w:val="0000FF"/>
            <w:u w:val="single"/>
          </w:rPr>
          <w:t>https://docs.cpuc.ca.gov/PublishedDocs/Published/G000/M501/K931/501931085.PDF</w:t>
        </w:r>
      </w:hyperlink>
    </w:p>
  </w:footnote>
  <w:footnote w:id="6">
    <w:p w14:paraId="65E6361D" w14:textId="27B7EFBE" w:rsidR="004268E9" w:rsidRDefault="004268E9">
      <w:pPr>
        <w:pStyle w:val="FootnoteText"/>
      </w:pPr>
      <w:r>
        <w:rPr>
          <w:rStyle w:val="FootnoteReference"/>
        </w:rPr>
        <w:footnoteRef/>
      </w:r>
      <w:r>
        <w:tab/>
      </w:r>
      <w:r w:rsidRPr="001D1298">
        <w:t xml:space="preserve">The expected causal relationships between program goals and program activities in a way that allows the reader to understand why the proposed program activities are expected to result in the accomplishment of the program goals. A well-developed program theory can (and should) also describe the barriers that will be overcome in order to accomplish the goals and clearly describe how the program activities are expected to overcome those barriers. </w:t>
      </w:r>
      <w:r w:rsidRPr="00182BC7">
        <w:rPr>
          <w:i/>
          <w:iCs/>
        </w:rPr>
        <w:t>California Evaluation Framework</w:t>
      </w:r>
      <w:r w:rsidRPr="001D1298">
        <w:t>, June 2004.</w:t>
      </w:r>
    </w:p>
  </w:footnote>
  <w:footnote w:id="7">
    <w:p w14:paraId="4BB6F46A" w14:textId="77777777" w:rsidR="004268E9" w:rsidRDefault="004268E9">
      <w:pPr>
        <w:pStyle w:val="FootnoteText"/>
      </w:pPr>
      <w:r>
        <w:rPr>
          <w:rStyle w:val="FootnoteReference"/>
        </w:rPr>
        <w:footnoteRef/>
      </w:r>
      <w:r>
        <w:tab/>
      </w:r>
      <w:r w:rsidRPr="001D1298">
        <w:t xml:space="preserve">The graphical representation of the program theory showing the flow between activities, their outputs, and subsequent short-term, intermediate, and long-term outcomes. </w:t>
      </w:r>
      <w:r w:rsidRPr="00182BC7">
        <w:rPr>
          <w:i/>
          <w:iCs/>
        </w:rPr>
        <w:t>California Evaluation Framework</w:t>
      </w:r>
      <w:r w:rsidRPr="001D1298">
        <w:t>, June 2004.</w:t>
      </w:r>
    </w:p>
  </w:footnote>
  <w:footnote w:id="8">
    <w:p w14:paraId="46D34062" w14:textId="77777777" w:rsidR="00520513" w:rsidRPr="00793439" w:rsidRDefault="00520513" w:rsidP="00520513">
      <w:pPr>
        <w:pStyle w:val="NoSpacing"/>
        <w:rPr>
          <w:sz w:val="16"/>
          <w:szCs w:val="16"/>
        </w:rPr>
      </w:pPr>
      <w:r w:rsidRPr="00793439">
        <w:rPr>
          <w:rStyle w:val="FootnoteReference"/>
          <w:sz w:val="16"/>
          <w:szCs w:val="16"/>
        </w:rPr>
        <w:footnoteRef/>
      </w:r>
      <w:r w:rsidRPr="00793439">
        <w:rPr>
          <w:sz w:val="16"/>
          <w:szCs w:val="16"/>
        </w:rPr>
        <w:t xml:space="preserve"> </w:t>
      </w:r>
      <w:r>
        <w:rPr>
          <w:sz w:val="16"/>
          <w:szCs w:val="16"/>
        </w:rPr>
        <w:t>Custom Project Guidance Documents</w:t>
      </w:r>
    </w:p>
    <w:p w14:paraId="3159DC36" w14:textId="77777777" w:rsidR="00520513" w:rsidRDefault="00B70853" w:rsidP="00520513">
      <w:pPr>
        <w:pStyle w:val="NoSpacing"/>
        <w:rPr>
          <w:rStyle w:val="Hyperlink"/>
          <w:rFonts w:asciiTheme="minorHAnsi" w:hAnsiTheme="minorHAnsi" w:cstheme="minorHAnsi"/>
          <w:sz w:val="16"/>
          <w:szCs w:val="16"/>
        </w:rPr>
      </w:pPr>
      <w:hyperlink r:id="rId2" w:history="1">
        <w:r w:rsidR="00520513" w:rsidRPr="003B4752">
          <w:rPr>
            <w:rStyle w:val="Hyperlink"/>
            <w:rFonts w:asciiTheme="minorHAnsi" w:hAnsiTheme="minorHAnsi" w:cstheme="minorHAnsi"/>
            <w:sz w:val="16"/>
            <w:szCs w:val="16"/>
          </w:rPr>
          <w:t>CPUC Energy Division (file.ac)</w:t>
        </w:r>
      </w:hyperlink>
    </w:p>
    <w:p w14:paraId="5F61D54A" w14:textId="77777777" w:rsidR="00520513" w:rsidRPr="003B4752" w:rsidRDefault="00520513" w:rsidP="00520513">
      <w:pPr>
        <w:pStyle w:val="NoSpacing"/>
        <w:rPr>
          <w:rFonts w:asciiTheme="minorHAnsi" w:hAnsiTheme="minorHAnsi" w:cstheme="minorHAnsi"/>
          <w:sz w:val="16"/>
          <w:szCs w:val="16"/>
        </w:rPr>
      </w:pPr>
    </w:p>
  </w:footnote>
  <w:footnote w:id="9">
    <w:p w14:paraId="47405146" w14:textId="77777777" w:rsidR="00520513" w:rsidRPr="004F5DD8" w:rsidRDefault="00520513" w:rsidP="00520513">
      <w:pPr>
        <w:pStyle w:val="NoSpacing"/>
        <w:rPr>
          <w:sz w:val="16"/>
          <w:szCs w:val="16"/>
        </w:rPr>
      </w:pPr>
      <w:r w:rsidRPr="004F5DD8">
        <w:rPr>
          <w:rStyle w:val="FootnoteReference"/>
          <w:sz w:val="16"/>
          <w:szCs w:val="16"/>
        </w:rPr>
        <w:footnoteRef/>
      </w:r>
      <w:r w:rsidRPr="004F5DD8">
        <w:rPr>
          <w:sz w:val="16"/>
          <w:szCs w:val="16"/>
        </w:rPr>
        <w:t xml:space="preserve"> IPMVP Concepts and Options for Determining Energy and Water Savings Volume I</w:t>
      </w:r>
    </w:p>
    <w:p w14:paraId="097AB8A9" w14:textId="77777777" w:rsidR="00520513" w:rsidRDefault="00520513" w:rsidP="00520513">
      <w:pPr>
        <w:pStyle w:val="NoSpacing"/>
        <w:rPr>
          <w:rStyle w:val="Hyperlink"/>
          <w:sz w:val="16"/>
          <w:szCs w:val="16"/>
        </w:rPr>
      </w:pPr>
      <w:r w:rsidRPr="004F5DD8">
        <w:rPr>
          <w:sz w:val="16"/>
          <w:szCs w:val="16"/>
        </w:rPr>
        <w:t xml:space="preserve"> </w:t>
      </w:r>
      <w:hyperlink r:id="rId3" w:history="1">
        <w:r w:rsidRPr="004F5DD8">
          <w:rPr>
            <w:rStyle w:val="Hyperlink"/>
            <w:sz w:val="16"/>
            <w:szCs w:val="16"/>
          </w:rPr>
          <w:t>https://www.nrel.gov/docs/fy02osti/31505.pdf</w:t>
        </w:r>
      </w:hyperlink>
    </w:p>
    <w:p w14:paraId="440AD0C9" w14:textId="77777777" w:rsidR="00520513" w:rsidRPr="004F5DD8" w:rsidRDefault="00520513" w:rsidP="00520513">
      <w:pPr>
        <w:pStyle w:val="NoSpacing"/>
        <w:rPr>
          <w:sz w:val="16"/>
          <w:szCs w:val="16"/>
        </w:rPr>
      </w:pPr>
    </w:p>
  </w:footnote>
  <w:footnote w:id="10">
    <w:p w14:paraId="6DF87AFF" w14:textId="77777777" w:rsidR="00520513" w:rsidRPr="004F5DD8" w:rsidRDefault="00520513" w:rsidP="00520513">
      <w:pPr>
        <w:pStyle w:val="NoSpacing"/>
        <w:rPr>
          <w:sz w:val="16"/>
          <w:szCs w:val="16"/>
        </w:rPr>
      </w:pPr>
      <w:r w:rsidRPr="004F5DD8">
        <w:rPr>
          <w:rStyle w:val="FootnoteReference"/>
          <w:sz w:val="16"/>
          <w:szCs w:val="16"/>
        </w:rPr>
        <w:footnoteRef/>
      </w:r>
      <w:r w:rsidRPr="004F5DD8">
        <w:rPr>
          <w:sz w:val="16"/>
          <w:szCs w:val="16"/>
        </w:rPr>
        <w:t xml:space="preserve"> Uniform Methods Project: SEM M&amp;V Protocol</w:t>
      </w:r>
    </w:p>
    <w:p w14:paraId="70936984" w14:textId="77777777" w:rsidR="00520513" w:rsidRDefault="00B70853" w:rsidP="00520513">
      <w:pPr>
        <w:pStyle w:val="NoSpacing"/>
        <w:rPr>
          <w:rStyle w:val="Hyperlink"/>
          <w:sz w:val="16"/>
          <w:szCs w:val="16"/>
        </w:rPr>
      </w:pPr>
      <w:hyperlink r:id="rId4" w:history="1">
        <w:r w:rsidR="00520513" w:rsidRPr="004F5DD8">
          <w:rPr>
            <w:rStyle w:val="Hyperlink"/>
            <w:sz w:val="16"/>
            <w:szCs w:val="16"/>
          </w:rPr>
          <w:t>https://www.nrel.gov/docs/fy17osti/68316.pdf</w:t>
        </w:r>
      </w:hyperlink>
    </w:p>
    <w:p w14:paraId="6243E7E9" w14:textId="77777777" w:rsidR="00520513" w:rsidRPr="004F5DD8" w:rsidRDefault="00520513" w:rsidP="00520513">
      <w:pPr>
        <w:pStyle w:val="NoSpacing"/>
        <w:rPr>
          <w:sz w:val="16"/>
          <w:szCs w:val="16"/>
        </w:rPr>
      </w:pPr>
    </w:p>
    <w:p w14:paraId="6224B254" w14:textId="77777777" w:rsidR="00520513" w:rsidRPr="004F5DD8" w:rsidRDefault="00520513" w:rsidP="00520513">
      <w:pPr>
        <w:pStyle w:val="NoSpacing"/>
        <w:rPr>
          <w:sz w:val="16"/>
          <w:szCs w:val="16"/>
        </w:rPr>
      </w:pPr>
      <w:r w:rsidRPr="004F5DD8">
        <w:rPr>
          <w:sz w:val="16"/>
          <w:szCs w:val="16"/>
        </w:rPr>
        <w:t>BPA MT&amp;R Reference Guide</w:t>
      </w:r>
    </w:p>
    <w:p w14:paraId="34DA34CE" w14:textId="77777777" w:rsidR="00520513" w:rsidRPr="004F5DD8" w:rsidRDefault="00B70853" w:rsidP="00520513">
      <w:pPr>
        <w:pStyle w:val="NoSpacing"/>
        <w:rPr>
          <w:sz w:val="16"/>
          <w:szCs w:val="16"/>
        </w:rPr>
      </w:pPr>
      <w:hyperlink r:id="rId5" w:history="1">
        <w:r w:rsidR="00520513" w:rsidRPr="004F5DD8">
          <w:rPr>
            <w:rStyle w:val="Hyperlink"/>
            <w:sz w:val="16"/>
            <w:szCs w:val="16"/>
          </w:rPr>
          <w:t>https://semhub.com/resources/mt-r-reference-guide-revision-5-0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CAAAFAE"/>
    <w:lvl w:ilvl="0">
      <w:start w:val="1"/>
      <w:numFmt w:val="decimal"/>
      <w:pStyle w:val="ListNumber"/>
      <w:lvlText w:val="%1."/>
      <w:lvlJc w:val="left"/>
      <w:pPr>
        <w:ind w:left="1530" w:hanging="360"/>
      </w:pPr>
      <w:rPr>
        <w:rFonts w:hint="default"/>
      </w:rPr>
    </w:lvl>
  </w:abstractNum>
  <w:abstractNum w:abstractNumId="1" w15:restartNumberingAfterBreak="0">
    <w:nsid w:val="00000091"/>
    <w:multiLevelType w:val="hybridMultilevel"/>
    <w:tmpl w:val="5C9E9034"/>
    <w:lvl w:ilvl="0" w:tplc="00000000">
      <w:start w:val="1"/>
      <w:numFmt w:val="bullet"/>
      <w:lvlText w:val=""/>
      <w:lvlJc w:val="left"/>
      <w:pPr>
        <w:ind w:left="1080" w:hanging="360"/>
      </w:pPr>
      <w:rPr>
        <w:rFonts w:ascii="Symbol" w:hAnsi="Symbol"/>
      </w:rPr>
    </w:lvl>
    <w:lvl w:ilvl="1" w:tplc="00000001">
      <w:start w:val="1"/>
      <w:numFmt w:val="bullet"/>
      <w:lvlText w:val="o"/>
      <w:lvlJc w:val="left"/>
      <w:pPr>
        <w:ind w:left="1800" w:hanging="360"/>
      </w:pPr>
      <w:rPr>
        <w:rFonts w:ascii="Courier New" w:hAnsi="Courier New" w:cs="Courier New"/>
      </w:rPr>
    </w:lvl>
    <w:lvl w:ilvl="2" w:tplc="00000002">
      <w:start w:val="1"/>
      <w:numFmt w:val="bullet"/>
      <w:lvlText w:val=""/>
      <w:lvlJc w:val="left"/>
      <w:pPr>
        <w:ind w:left="2520" w:hanging="360"/>
      </w:pPr>
      <w:rPr>
        <w:rFonts w:ascii="Wingdings" w:hAnsi="Wingdings"/>
      </w:rPr>
    </w:lvl>
    <w:lvl w:ilvl="3" w:tplc="00000003">
      <w:start w:val="1"/>
      <w:numFmt w:val="bullet"/>
      <w:lvlText w:val=""/>
      <w:lvlJc w:val="left"/>
      <w:pPr>
        <w:ind w:left="3240" w:hanging="360"/>
      </w:pPr>
      <w:rPr>
        <w:rFonts w:ascii="Symbol" w:hAnsi="Symbol"/>
      </w:rPr>
    </w:lvl>
    <w:lvl w:ilvl="4" w:tplc="00000004">
      <w:start w:val="1"/>
      <w:numFmt w:val="bullet"/>
      <w:lvlText w:val="o"/>
      <w:lvlJc w:val="left"/>
      <w:pPr>
        <w:ind w:left="3960" w:hanging="360"/>
      </w:pPr>
      <w:rPr>
        <w:rFonts w:ascii="Courier New" w:hAnsi="Courier New" w:cs="Courier New"/>
      </w:rPr>
    </w:lvl>
    <w:lvl w:ilvl="5" w:tplc="00000005">
      <w:start w:val="1"/>
      <w:numFmt w:val="bullet"/>
      <w:lvlText w:val=""/>
      <w:lvlJc w:val="left"/>
      <w:pPr>
        <w:ind w:left="4680" w:hanging="360"/>
      </w:pPr>
      <w:rPr>
        <w:rFonts w:ascii="Wingdings" w:hAnsi="Wingdings"/>
      </w:rPr>
    </w:lvl>
    <w:lvl w:ilvl="6" w:tplc="00000006">
      <w:start w:val="1"/>
      <w:numFmt w:val="bullet"/>
      <w:lvlText w:val=""/>
      <w:lvlJc w:val="left"/>
      <w:pPr>
        <w:ind w:left="5400" w:hanging="360"/>
      </w:pPr>
      <w:rPr>
        <w:rFonts w:ascii="Symbol" w:hAnsi="Symbol"/>
      </w:rPr>
    </w:lvl>
    <w:lvl w:ilvl="7" w:tplc="00000007">
      <w:start w:val="1"/>
      <w:numFmt w:val="bullet"/>
      <w:lvlText w:val="o"/>
      <w:lvlJc w:val="left"/>
      <w:pPr>
        <w:ind w:left="6120" w:hanging="360"/>
      </w:pPr>
      <w:rPr>
        <w:rFonts w:ascii="Courier New" w:hAnsi="Courier New" w:cs="Courier New"/>
      </w:rPr>
    </w:lvl>
    <w:lvl w:ilvl="8" w:tplc="00000008">
      <w:start w:val="1"/>
      <w:numFmt w:val="bullet"/>
      <w:lvlText w:val=""/>
      <w:lvlJc w:val="left"/>
      <w:pPr>
        <w:ind w:left="6840" w:hanging="360"/>
      </w:pPr>
      <w:rPr>
        <w:rFonts w:ascii="Wingdings" w:hAnsi="Wingdings"/>
      </w:rPr>
    </w:lvl>
  </w:abstractNum>
  <w:abstractNum w:abstractNumId="2" w15:restartNumberingAfterBreak="0">
    <w:nsid w:val="020654DD"/>
    <w:multiLevelType w:val="hybridMultilevel"/>
    <w:tmpl w:val="B4F25364"/>
    <w:lvl w:ilvl="0" w:tplc="B0D67CDE">
      <w:start w:val="1"/>
      <w:numFmt w:val="decimal"/>
      <w:pStyle w:val="Heading2"/>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73FD6"/>
    <w:multiLevelType w:val="hybridMultilevel"/>
    <w:tmpl w:val="0060BF7E"/>
    <w:lvl w:ilvl="0" w:tplc="62F82D14">
      <w:start w:val="1"/>
      <w:numFmt w:val="bullet"/>
      <w:pStyle w:val="BulletLis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4380C4B"/>
    <w:multiLevelType w:val="multilevel"/>
    <w:tmpl w:val="9FC6ED5C"/>
    <w:numStyleLink w:val="BulletList-List"/>
  </w:abstractNum>
  <w:abstractNum w:abstractNumId="5" w15:restartNumberingAfterBreak="0">
    <w:nsid w:val="0E8D5A56"/>
    <w:multiLevelType w:val="hybridMultilevel"/>
    <w:tmpl w:val="A59A8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06384"/>
    <w:multiLevelType w:val="multilevel"/>
    <w:tmpl w:val="9FC6ED5C"/>
    <w:styleLink w:val="BulletList-List"/>
    <w:lvl w:ilvl="0">
      <w:start w:val="1"/>
      <w:numFmt w:val="bullet"/>
      <w:pStyle w:val="BulletList-1"/>
      <w:lvlText w:val=""/>
      <w:lvlJc w:val="left"/>
      <w:pPr>
        <w:tabs>
          <w:tab w:val="num" w:pos="720"/>
        </w:tabs>
        <w:ind w:left="720" w:hanging="360"/>
      </w:pPr>
      <w:rPr>
        <w:rFonts w:ascii="Symbol" w:hAnsi="Symbol" w:hint="default"/>
        <w:b w:val="0"/>
        <w:i w:val="0"/>
        <w:color w:val="0070C0"/>
        <w:sz w:val="18"/>
        <w:u w:val="none"/>
      </w:rPr>
    </w:lvl>
    <w:lvl w:ilvl="1">
      <w:start w:val="1"/>
      <w:numFmt w:val="bullet"/>
      <w:pStyle w:val="BulletList-2"/>
      <w:lvlText w:val="‒"/>
      <w:lvlJc w:val="left"/>
      <w:pPr>
        <w:tabs>
          <w:tab w:val="num" w:pos="1080"/>
        </w:tabs>
        <w:ind w:left="1080" w:hanging="360"/>
      </w:pPr>
      <w:rPr>
        <w:rFonts w:ascii="Calibri" w:hAnsi="Calibri" w:hint="default"/>
        <w:b w:val="0"/>
        <w:i w:val="0"/>
        <w:color w:val="0070C0"/>
        <w:sz w:val="22"/>
        <w:u w:val="none"/>
      </w:rPr>
    </w:lvl>
    <w:lvl w:ilvl="2">
      <w:start w:val="1"/>
      <w:numFmt w:val="bullet"/>
      <w:pStyle w:val="BulletList-3"/>
      <w:lvlText w:val="▫"/>
      <w:lvlJc w:val="left"/>
      <w:pPr>
        <w:tabs>
          <w:tab w:val="num" w:pos="1368"/>
        </w:tabs>
        <w:ind w:left="1368" w:hanging="288"/>
      </w:pPr>
      <w:rPr>
        <w:rFonts w:ascii="Calibri" w:hAnsi="Calibri" w:hint="default"/>
        <w:b w:val="0"/>
        <w:i w:val="0"/>
        <w:color w:val="0070C0"/>
        <w:sz w:val="22"/>
        <w:u w:val="no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4324F7F"/>
    <w:multiLevelType w:val="hybridMultilevel"/>
    <w:tmpl w:val="F01295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13653A"/>
    <w:multiLevelType w:val="hybridMultilevel"/>
    <w:tmpl w:val="2A2AF8C6"/>
    <w:lvl w:ilvl="0" w:tplc="A9C454A0">
      <w:start w:val="1"/>
      <w:numFmt w:val="bullet"/>
      <w:pStyle w:val="HText4Bullets"/>
      <w:lvlText w:val=""/>
      <w:lvlJc w:val="left"/>
      <w:pPr>
        <w:ind w:left="1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B250DD"/>
    <w:multiLevelType w:val="hybridMultilevel"/>
    <w:tmpl w:val="1AB4F10C"/>
    <w:lvl w:ilvl="0" w:tplc="F14EF2C4">
      <w:start w:val="1"/>
      <w:numFmt w:val="decimal"/>
      <w:pStyle w:val="Heading1"/>
      <w:lvlText w:val="%1."/>
      <w:lvlJc w:val="left"/>
      <w:pPr>
        <w:ind w:left="360" w:hanging="360"/>
      </w:pPr>
      <w:rPr>
        <w:rFonts w:hint="default"/>
      </w:rPr>
    </w:lvl>
    <w:lvl w:ilvl="1" w:tplc="13F61CC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DA6A94"/>
    <w:multiLevelType w:val="hybridMultilevel"/>
    <w:tmpl w:val="3F0655EC"/>
    <w:lvl w:ilvl="0" w:tplc="988CE3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ABB59F7"/>
    <w:multiLevelType w:val="hybridMultilevel"/>
    <w:tmpl w:val="62FA7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E40EAC"/>
    <w:multiLevelType w:val="hybridMultilevel"/>
    <w:tmpl w:val="129A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90AA9"/>
    <w:multiLevelType w:val="hybridMultilevel"/>
    <w:tmpl w:val="5EEAAF74"/>
    <w:lvl w:ilvl="0" w:tplc="988CE32A">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130F45"/>
    <w:multiLevelType w:val="hybridMultilevel"/>
    <w:tmpl w:val="1D8AA3A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AA609D4"/>
    <w:multiLevelType w:val="hybridMultilevel"/>
    <w:tmpl w:val="ACB0660C"/>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8B3C51"/>
    <w:multiLevelType w:val="hybridMultilevel"/>
    <w:tmpl w:val="A09AC2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5515B9"/>
    <w:multiLevelType w:val="hybridMultilevel"/>
    <w:tmpl w:val="34B8ED9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DBF30F5"/>
    <w:multiLevelType w:val="hybridMultilevel"/>
    <w:tmpl w:val="A7064450"/>
    <w:lvl w:ilvl="0" w:tplc="91CCC868">
      <w:start w:val="1"/>
      <w:numFmt w:val="bullet"/>
      <w:pStyle w:val="HText3Bullets"/>
      <w:lvlText w:val=""/>
      <w:lvlJc w:val="left"/>
      <w:pPr>
        <w:ind w:left="63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EEF3A55"/>
    <w:multiLevelType w:val="hybridMultilevel"/>
    <w:tmpl w:val="11A8A09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655669B5"/>
    <w:multiLevelType w:val="hybridMultilevel"/>
    <w:tmpl w:val="490A90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8F37CFA"/>
    <w:multiLevelType w:val="hybridMultilevel"/>
    <w:tmpl w:val="A09AC28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705C5948"/>
    <w:multiLevelType w:val="hybridMultilevel"/>
    <w:tmpl w:val="DA081B18"/>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3" w15:restartNumberingAfterBreak="0">
    <w:nsid w:val="7164694A"/>
    <w:multiLevelType w:val="hybridMultilevel"/>
    <w:tmpl w:val="38B03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A643047"/>
    <w:multiLevelType w:val="hybridMultilevel"/>
    <w:tmpl w:val="93C4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9651015">
    <w:abstractNumId w:val="5"/>
  </w:num>
  <w:num w:numId="2" w16cid:durableId="1895384404">
    <w:abstractNumId w:val="12"/>
  </w:num>
  <w:num w:numId="3" w16cid:durableId="763041210">
    <w:abstractNumId w:val="11"/>
  </w:num>
  <w:num w:numId="4" w16cid:durableId="508106750">
    <w:abstractNumId w:val="23"/>
  </w:num>
  <w:num w:numId="5" w16cid:durableId="628170192">
    <w:abstractNumId w:val="7"/>
  </w:num>
  <w:num w:numId="6" w16cid:durableId="472985093">
    <w:abstractNumId w:val="18"/>
  </w:num>
  <w:num w:numId="7" w16cid:durableId="1184251469">
    <w:abstractNumId w:val="8"/>
  </w:num>
  <w:num w:numId="8" w16cid:durableId="1093361441">
    <w:abstractNumId w:val="9"/>
  </w:num>
  <w:num w:numId="9" w16cid:durableId="411589608">
    <w:abstractNumId w:val="0"/>
  </w:num>
  <w:num w:numId="10" w16cid:durableId="758257884">
    <w:abstractNumId w:val="2"/>
  </w:num>
  <w:num w:numId="11" w16cid:durableId="1107850023">
    <w:abstractNumId w:val="2"/>
    <w:lvlOverride w:ilvl="0">
      <w:startOverride w:val="1"/>
    </w:lvlOverride>
  </w:num>
  <w:num w:numId="12" w16cid:durableId="810445174">
    <w:abstractNumId w:val="20"/>
  </w:num>
  <w:num w:numId="13" w16cid:durableId="1257203857">
    <w:abstractNumId w:val="2"/>
    <w:lvlOverride w:ilvl="0">
      <w:startOverride w:val="1"/>
    </w:lvlOverride>
  </w:num>
  <w:num w:numId="14" w16cid:durableId="1267805028">
    <w:abstractNumId w:val="14"/>
  </w:num>
  <w:num w:numId="15" w16cid:durableId="647367951">
    <w:abstractNumId w:val="0"/>
    <w:lvlOverride w:ilvl="0">
      <w:startOverride w:val="1"/>
    </w:lvlOverride>
  </w:num>
  <w:num w:numId="16" w16cid:durableId="1906063699">
    <w:abstractNumId w:val="21"/>
  </w:num>
  <w:num w:numId="17" w16cid:durableId="677856489">
    <w:abstractNumId w:val="17"/>
  </w:num>
  <w:num w:numId="18" w16cid:durableId="1010452141">
    <w:abstractNumId w:val="16"/>
  </w:num>
  <w:num w:numId="19" w16cid:durableId="985360480">
    <w:abstractNumId w:val="24"/>
  </w:num>
  <w:num w:numId="20" w16cid:durableId="919951297">
    <w:abstractNumId w:val="6"/>
  </w:num>
  <w:num w:numId="21" w16cid:durableId="783311901">
    <w:abstractNumId w:val="4"/>
  </w:num>
  <w:num w:numId="22" w16cid:durableId="913512433">
    <w:abstractNumId w:val="1"/>
  </w:num>
  <w:num w:numId="23" w16cid:durableId="1947034413">
    <w:abstractNumId w:val="4"/>
  </w:num>
  <w:num w:numId="24" w16cid:durableId="1925530114">
    <w:abstractNumId w:val="18"/>
  </w:num>
  <w:num w:numId="25" w16cid:durableId="25446244">
    <w:abstractNumId w:val="18"/>
  </w:num>
  <w:num w:numId="26" w16cid:durableId="715811612">
    <w:abstractNumId w:val="15"/>
  </w:num>
  <w:num w:numId="27" w16cid:durableId="959921410">
    <w:abstractNumId w:val="18"/>
  </w:num>
  <w:num w:numId="28" w16cid:durableId="873810148">
    <w:abstractNumId w:val="18"/>
  </w:num>
  <w:num w:numId="29" w16cid:durableId="1072658927">
    <w:abstractNumId w:val="3"/>
  </w:num>
  <w:num w:numId="30" w16cid:durableId="2097433946">
    <w:abstractNumId w:val="10"/>
  </w:num>
  <w:num w:numId="31" w16cid:durableId="924653140">
    <w:abstractNumId w:val="13"/>
  </w:num>
  <w:num w:numId="32" w16cid:durableId="1322076941">
    <w:abstractNumId w:val="22"/>
  </w:num>
  <w:num w:numId="33" w16cid:durableId="603196365">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476"/>
    <w:rsid w:val="0000766F"/>
    <w:rsid w:val="00010260"/>
    <w:rsid w:val="00010354"/>
    <w:rsid w:val="00010E90"/>
    <w:rsid w:val="00013D77"/>
    <w:rsid w:val="000161DF"/>
    <w:rsid w:val="000210B7"/>
    <w:rsid w:val="00024C58"/>
    <w:rsid w:val="000256AB"/>
    <w:rsid w:val="00026DCF"/>
    <w:rsid w:val="0003020A"/>
    <w:rsid w:val="00030677"/>
    <w:rsid w:val="00034AF6"/>
    <w:rsid w:val="00040D48"/>
    <w:rsid w:val="0004249C"/>
    <w:rsid w:val="0004266B"/>
    <w:rsid w:val="00043906"/>
    <w:rsid w:val="00043EA5"/>
    <w:rsid w:val="00047848"/>
    <w:rsid w:val="000515AE"/>
    <w:rsid w:val="000536E4"/>
    <w:rsid w:val="00056C20"/>
    <w:rsid w:val="000638B2"/>
    <w:rsid w:val="00065520"/>
    <w:rsid w:val="00065EF1"/>
    <w:rsid w:val="00071C7A"/>
    <w:rsid w:val="000727A6"/>
    <w:rsid w:val="0008033F"/>
    <w:rsid w:val="00080E38"/>
    <w:rsid w:val="0008254A"/>
    <w:rsid w:val="00094A66"/>
    <w:rsid w:val="00094ED9"/>
    <w:rsid w:val="000967E7"/>
    <w:rsid w:val="000A1A39"/>
    <w:rsid w:val="000A2BF8"/>
    <w:rsid w:val="000A46EF"/>
    <w:rsid w:val="000A57EA"/>
    <w:rsid w:val="000A72A2"/>
    <w:rsid w:val="000B4246"/>
    <w:rsid w:val="000B42FE"/>
    <w:rsid w:val="000B4565"/>
    <w:rsid w:val="000B6E6C"/>
    <w:rsid w:val="000C231F"/>
    <w:rsid w:val="000C345D"/>
    <w:rsid w:val="000C3BCF"/>
    <w:rsid w:val="000D0440"/>
    <w:rsid w:val="000D0DD3"/>
    <w:rsid w:val="000D5710"/>
    <w:rsid w:val="000E292F"/>
    <w:rsid w:val="000E3243"/>
    <w:rsid w:val="000E43A3"/>
    <w:rsid w:val="000E4AB3"/>
    <w:rsid w:val="000F0485"/>
    <w:rsid w:val="000F11F2"/>
    <w:rsid w:val="000F5B42"/>
    <w:rsid w:val="000F7222"/>
    <w:rsid w:val="000F7755"/>
    <w:rsid w:val="001011BC"/>
    <w:rsid w:val="00101706"/>
    <w:rsid w:val="00101DC9"/>
    <w:rsid w:val="0010375C"/>
    <w:rsid w:val="00105B0F"/>
    <w:rsid w:val="00105C71"/>
    <w:rsid w:val="00110706"/>
    <w:rsid w:val="001117B9"/>
    <w:rsid w:val="00115C4E"/>
    <w:rsid w:val="00117C8E"/>
    <w:rsid w:val="001210E7"/>
    <w:rsid w:val="00122366"/>
    <w:rsid w:val="00122673"/>
    <w:rsid w:val="00122E69"/>
    <w:rsid w:val="001248F0"/>
    <w:rsid w:val="00125B3F"/>
    <w:rsid w:val="001263C9"/>
    <w:rsid w:val="0013143E"/>
    <w:rsid w:val="0013250A"/>
    <w:rsid w:val="00133A11"/>
    <w:rsid w:val="00133AD8"/>
    <w:rsid w:val="00133E54"/>
    <w:rsid w:val="0013465B"/>
    <w:rsid w:val="00137377"/>
    <w:rsid w:val="00137F62"/>
    <w:rsid w:val="00140267"/>
    <w:rsid w:val="00144342"/>
    <w:rsid w:val="0014657F"/>
    <w:rsid w:val="001550EC"/>
    <w:rsid w:val="00161F3F"/>
    <w:rsid w:val="00162CF7"/>
    <w:rsid w:val="00163C03"/>
    <w:rsid w:val="00167B63"/>
    <w:rsid w:val="00167F56"/>
    <w:rsid w:val="00170B10"/>
    <w:rsid w:val="00171CC5"/>
    <w:rsid w:val="00175FE7"/>
    <w:rsid w:val="00176325"/>
    <w:rsid w:val="00176F93"/>
    <w:rsid w:val="00182BC7"/>
    <w:rsid w:val="00183034"/>
    <w:rsid w:val="001839E0"/>
    <w:rsid w:val="0018579C"/>
    <w:rsid w:val="001875E7"/>
    <w:rsid w:val="00191179"/>
    <w:rsid w:val="00193175"/>
    <w:rsid w:val="00193C8B"/>
    <w:rsid w:val="001941C1"/>
    <w:rsid w:val="00196C98"/>
    <w:rsid w:val="00197690"/>
    <w:rsid w:val="001A027C"/>
    <w:rsid w:val="001A3965"/>
    <w:rsid w:val="001A48FB"/>
    <w:rsid w:val="001A4F29"/>
    <w:rsid w:val="001B0A3E"/>
    <w:rsid w:val="001B1311"/>
    <w:rsid w:val="001B394F"/>
    <w:rsid w:val="001B457E"/>
    <w:rsid w:val="001B4602"/>
    <w:rsid w:val="001B46FD"/>
    <w:rsid w:val="001B4B97"/>
    <w:rsid w:val="001C2FEE"/>
    <w:rsid w:val="001C6336"/>
    <w:rsid w:val="001D1298"/>
    <w:rsid w:val="001D4328"/>
    <w:rsid w:val="001D522B"/>
    <w:rsid w:val="001D7F45"/>
    <w:rsid w:val="001E0F14"/>
    <w:rsid w:val="001E10BB"/>
    <w:rsid w:val="001E235B"/>
    <w:rsid w:val="001E3A00"/>
    <w:rsid w:val="001E5625"/>
    <w:rsid w:val="001F02AC"/>
    <w:rsid w:val="001F102F"/>
    <w:rsid w:val="001F5DA4"/>
    <w:rsid w:val="001F681C"/>
    <w:rsid w:val="002009A9"/>
    <w:rsid w:val="00200DE3"/>
    <w:rsid w:val="002105B3"/>
    <w:rsid w:val="00211AFF"/>
    <w:rsid w:val="0021351F"/>
    <w:rsid w:val="00217A26"/>
    <w:rsid w:val="00222C1C"/>
    <w:rsid w:val="0022414C"/>
    <w:rsid w:val="0023064F"/>
    <w:rsid w:val="00232968"/>
    <w:rsid w:val="00232E44"/>
    <w:rsid w:val="00233438"/>
    <w:rsid w:val="002379FA"/>
    <w:rsid w:val="002404A1"/>
    <w:rsid w:val="00241505"/>
    <w:rsid w:val="00241AD5"/>
    <w:rsid w:val="002434FB"/>
    <w:rsid w:val="00246659"/>
    <w:rsid w:val="00247A77"/>
    <w:rsid w:val="002537C9"/>
    <w:rsid w:val="00253C93"/>
    <w:rsid w:val="00255332"/>
    <w:rsid w:val="00255A3F"/>
    <w:rsid w:val="0026002F"/>
    <w:rsid w:val="002602F8"/>
    <w:rsid w:val="00263020"/>
    <w:rsid w:val="00263228"/>
    <w:rsid w:val="00264577"/>
    <w:rsid w:val="00264655"/>
    <w:rsid w:val="00264AA9"/>
    <w:rsid w:val="002650F3"/>
    <w:rsid w:val="00267E72"/>
    <w:rsid w:val="0027109C"/>
    <w:rsid w:val="00271C66"/>
    <w:rsid w:val="00274DB0"/>
    <w:rsid w:val="002759E7"/>
    <w:rsid w:val="00276E43"/>
    <w:rsid w:val="002809A8"/>
    <w:rsid w:val="00280C82"/>
    <w:rsid w:val="00283741"/>
    <w:rsid w:val="00283839"/>
    <w:rsid w:val="00284CC0"/>
    <w:rsid w:val="0028526F"/>
    <w:rsid w:val="00292B28"/>
    <w:rsid w:val="00296A2C"/>
    <w:rsid w:val="002A0708"/>
    <w:rsid w:val="002A179D"/>
    <w:rsid w:val="002A2A7C"/>
    <w:rsid w:val="002A320D"/>
    <w:rsid w:val="002A658F"/>
    <w:rsid w:val="002B2113"/>
    <w:rsid w:val="002B50D5"/>
    <w:rsid w:val="002C161F"/>
    <w:rsid w:val="002C2AD8"/>
    <w:rsid w:val="002C4CFD"/>
    <w:rsid w:val="002C7CF2"/>
    <w:rsid w:val="002D02FD"/>
    <w:rsid w:val="002D1152"/>
    <w:rsid w:val="002D3FBF"/>
    <w:rsid w:val="002E252E"/>
    <w:rsid w:val="002E2BCB"/>
    <w:rsid w:val="002E42F2"/>
    <w:rsid w:val="002E6FA0"/>
    <w:rsid w:val="002F572C"/>
    <w:rsid w:val="002F779B"/>
    <w:rsid w:val="00302305"/>
    <w:rsid w:val="00303674"/>
    <w:rsid w:val="00306C9F"/>
    <w:rsid w:val="00311599"/>
    <w:rsid w:val="00314397"/>
    <w:rsid w:val="0031579B"/>
    <w:rsid w:val="003159D4"/>
    <w:rsid w:val="00316F46"/>
    <w:rsid w:val="003218BB"/>
    <w:rsid w:val="003221AE"/>
    <w:rsid w:val="0032378D"/>
    <w:rsid w:val="00324ACA"/>
    <w:rsid w:val="00324AED"/>
    <w:rsid w:val="00331ED0"/>
    <w:rsid w:val="00337B0E"/>
    <w:rsid w:val="003466C6"/>
    <w:rsid w:val="003518A0"/>
    <w:rsid w:val="003553BB"/>
    <w:rsid w:val="00356432"/>
    <w:rsid w:val="003623E1"/>
    <w:rsid w:val="00362476"/>
    <w:rsid w:val="003675CD"/>
    <w:rsid w:val="00367EC2"/>
    <w:rsid w:val="00372406"/>
    <w:rsid w:val="003736AC"/>
    <w:rsid w:val="00373875"/>
    <w:rsid w:val="003749B4"/>
    <w:rsid w:val="003775E7"/>
    <w:rsid w:val="00377685"/>
    <w:rsid w:val="00377E27"/>
    <w:rsid w:val="00384784"/>
    <w:rsid w:val="0038521E"/>
    <w:rsid w:val="00387C37"/>
    <w:rsid w:val="00390E4A"/>
    <w:rsid w:val="00394AA4"/>
    <w:rsid w:val="0039537A"/>
    <w:rsid w:val="0039667F"/>
    <w:rsid w:val="00396FB2"/>
    <w:rsid w:val="00397294"/>
    <w:rsid w:val="00397C3F"/>
    <w:rsid w:val="003A0378"/>
    <w:rsid w:val="003A380B"/>
    <w:rsid w:val="003A47F9"/>
    <w:rsid w:val="003A4F5E"/>
    <w:rsid w:val="003B00AE"/>
    <w:rsid w:val="003B0B85"/>
    <w:rsid w:val="003B1C1D"/>
    <w:rsid w:val="003B228E"/>
    <w:rsid w:val="003B7564"/>
    <w:rsid w:val="003C3703"/>
    <w:rsid w:val="003C58A3"/>
    <w:rsid w:val="003C79D9"/>
    <w:rsid w:val="003D1635"/>
    <w:rsid w:val="003D25CB"/>
    <w:rsid w:val="003D3862"/>
    <w:rsid w:val="003E327E"/>
    <w:rsid w:val="003E7A5F"/>
    <w:rsid w:val="003F0FB3"/>
    <w:rsid w:val="003F1F48"/>
    <w:rsid w:val="003F28BB"/>
    <w:rsid w:val="003F7546"/>
    <w:rsid w:val="00400B75"/>
    <w:rsid w:val="0040259C"/>
    <w:rsid w:val="00403B6D"/>
    <w:rsid w:val="0040482F"/>
    <w:rsid w:val="00404D8B"/>
    <w:rsid w:val="00405293"/>
    <w:rsid w:val="004053FC"/>
    <w:rsid w:val="00410CE0"/>
    <w:rsid w:val="00415447"/>
    <w:rsid w:val="0041673A"/>
    <w:rsid w:val="00417FAC"/>
    <w:rsid w:val="004204FA"/>
    <w:rsid w:val="00422B71"/>
    <w:rsid w:val="004268E9"/>
    <w:rsid w:val="00434F22"/>
    <w:rsid w:val="0043608C"/>
    <w:rsid w:val="00437AEE"/>
    <w:rsid w:val="00437F71"/>
    <w:rsid w:val="00440966"/>
    <w:rsid w:val="00450B65"/>
    <w:rsid w:val="0045224A"/>
    <w:rsid w:val="004541E5"/>
    <w:rsid w:val="00454D46"/>
    <w:rsid w:val="0045712E"/>
    <w:rsid w:val="0045740F"/>
    <w:rsid w:val="00462711"/>
    <w:rsid w:val="004633AE"/>
    <w:rsid w:val="00466ADC"/>
    <w:rsid w:val="00466B4B"/>
    <w:rsid w:val="00474CAE"/>
    <w:rsid w:val="00480151"/>
    <w:rsid w:val="00482046"/>
    <w:rsid w:val="00482B2C"/>
    <w:rsid w:val="004901C1"/>
    <w:rsid w:val="004908F4"/>
    <w:rsid w:val="004911A0"/>
    <w:rsid w:val="00493B98"/>
    <w:rsid w:val="00497E9A"/>
    <w:rsid w:val="004A14DF"/>
    <w:rsid w:val="004A1D16"/>
    <w:rsid w:val="004A2F96"/>
    <w:rsid w:val="004A4B65"/>
    <w:rsid w:val="004A5D02"/>
    <w:rsid w:val="004A6CFD"/>
    <w:rsid w:val="004B2A17"/>
    <w:rsid w:val="004B3111"/>
    <w:rsid w:val="004B612F"/>
    <w:rsid w:val="004B7874"/>
    <w:rsid w:val="004B7B37"/>
    <w:rsid w:val="004C09F1"/>
    <w:rsid w:val="004C100A"/>
    <w:rsid w:val="004C4F49"/>
    <w:rsid w:val="004C6F9C"/>
    <w:rsid w:val="004D08E1"/>
    <w:rsid w:val="004D1963"/>
    <w:rsid w:val="004D1BE0"/>
    <w:rsid w:val="004D3EED"/>
    <w:rsid w:val="004D4852"/>
    <w:rsid w:val="004D5E8B"/>
    <w:rsid w:val="004D6181"/>
    <w:rsid w:val="004D6843"/>
    <w:rsid w:val="004D688E"/>
    <w:rsid w:val="004E3B73"/>
    <w:rsid w:val="004E5718"/>
    <w:rsid w:val="004F2290"/>
    <w:rsid w:val="004F3B18"/>
    <w:rsid w:val="004F7486"/>
    <w:rsid w:val="005058B3"/>
    <w:rsid w:val="005066D9"/>
    <w:rsid w:val="005131DA"/>
    <w:rsid w:val="005155D1"/>
    <w:rsid w:val="00515F7E"/>
    <w:rsid w:val="00520513"/>
    <w:rsid w:val="0052288D"/>
    <w:rsid w:val="00526690"/>
    <w:rsid w:val="005334D9"/>
    <w:rsid w:val="005371FE"/>
    <w:rsid w:val="005430D5"/>
    <w:rsid w:val="0054678A"/>
    <w:rsid w:val="00546956"/>
    <w:rsid w:val="00546D2C"/>
    <w:rsid w:val="0054736C"/>
    <w:rsid w:val="00553E8B"/>
    <w:rsid w:val="00554361"/>
    <w:rsid w:val="00554E63"/>
    <w:rsid w:val="00554EC3"/>
    <w:rsid w:val="00556D6C"/>
    <w:rsid w:val="00562353"/>
    <w:rsid w:val="00567E22"/>
    <w:rsid w:val="00575304"/>
    <w:rsid w:val="00575573"/>
    <w:rsid w:val="00575F58"/>
    <w:rsid w:val="00577B1E"/>
    <w:rsid w:val="005803B4"/>
    <w:rsid w:val="00587ACE"/>
    <w:rsid w:val="00590077"/>
    <w:rsid w:val="00595819"/>
    <w:rsid w:val="0059657A"/>
    <w:rsid w:val="005A28FE"/>
    <w:rsid w:val="005A4A31"/>
    <w:rsid w:val="005A74C1"/>
    <w:rsid w:val="005B06E8"/>
    <w:rsid w:val="005B4D86"/>
    <w:rsid w:val="005B60EE"/>
    <w:rsid w:val="005C0199"/>
    <w:rsid w:val="005C18EF"/>
    <w:rsid w:val="005C2BA4"/>
    <w:rsid w:val="005C4353"/>
    <w:rsid w:val="005C4410"/>
    <w:rsid w:val="005C57FC"/>
    <w:rsid w:val="005C6E28"/>
    <w:rsid w:val="005C7005"/>
    <w:rsid w:val="005C7FBB"/>
    <w:rsid w:val="005D4903"/>
    <w:rsid w:val="005D53C4"/>
    <w:rsid w:val="005E17EF"/>
    <w:rsid w:val="005E517C"/>
    <w:rsid w:val="005E605E"/>
    <w:rsid w:val="005F1E32"/>
    <w:rsid w:val="005F45E1"/>
    <w:rsid w:val="005F4C41"/>
    <w:rsid w:val="005F51A4"/>
    <w:rsid w:val="005F7006"/>
    <w:rsid w:val="006020C8"/>
    <w:rsid w:val="006035A6"/>
    <w:rsid w:val="00604A6F"/>
    <w:rsid w:val="00610465"/>
    <w:rsid w:val="0061609C"/>
    <w:rsid w:val="006160A1"/>
    <w:rsid w:val="006165CA"/>
    <w:rsid w:val="00616651"/>
    <w:rsid w:val="00620457"/>
    <w:rsid w:val="006237A7"/>
    <w:rsid w:val="00630857"/>
    <w:rsid w:val="00632276"/>
    <w:rsid w:val="006338A4"/>
    <w:rsid w:val="00634D43"/>
    <w:rsid w:val="00636449"/>
    <w:rsid w:val="006378DD"/>
    <w:rsid w:val="00645277"/>
    <w:rsid w:val="00651E2B"/>
    <w:rsid w:val="00653727"/>
    <w:rsid w:val="00654123"/>
    <w:rsid w:val="00657F1E"/>
    <w:rsid w:val="006616DF"/>
    <w:rsid w:val="00661701"/>
    <w:rsid w:val="00662EAA"/>
    <w:rsid w:val="00673C7C"/>
    <w:rsid w:val="0067526F"/>
    <w:rsid w:val="0067697A"/>
    <w:rsid w:val="00677210"/>
    <w:rsid w:val="0068028A"/>
    <w:rsid w:val="00682037"/>
    <w:rsid w:val="00683C2D"/>
    <w:rsid w:val="00684355"/>
    <w:rsid w:val="006850F9"/>
    <w:rsid w:val="00686224"/>
    <w:rsid w:val="00686D8A"/>
    <w:rsid w:val="00691A0E"/>
    <w:rsid w:val="00692C1F"/>
    <w:rsid w:val="00695F36"/>
    <w:rsid w:val="006966B8"/>
    <w:rsid w:val="006973BC"/>
    <w:rsid w:val="006A0EA4"/>
    <w:rsid w:val="006A1881"/>
    <w:rsid w:val="006A443F"/>
    <w:rsid w:val="006A6C93"/>
    <w:rsid w:val="006B0DCA"/>
    <w:rsid w:val="006B28A7"/>
    <w:rsid w:val="006B43B8"/>
    <w:rsid w:val="006B45EC"/>
    <w:rsid w:val="006B52C9"/>
    <w:rsid w:val="006C2504"/>
    <w:rsid w:val="006C2F96"/>
    <w:rsid w:val="006C4CFE"/>
    <w:rsid w:val="006C78E5"/>
    <w:rsid w:val="006C7F8C"/>
    <w:rsid w:val="006D0217"/>
    <w:rsid w:val="006D2CA5"/>
    <w:rsid w:val="006D2E7E"/>
    <w:rsid w:val="006D646D"/>
    <w:rsid w:val="006E38CE"/>
    <w:rsid w:val="006E51B0"/>
    <w:rsid w:val="006E563B"/>
    <w:rsid w:val="006F02A7"/>
    <w:rsid w:val="006F4BE5"/>
    <w:rsid w:val="006F4D08"/>
    <w:rsid w:val="007053C9"/>
    <w:rsid w:val="00706E49"/>
    <w:rsid w:val="00712409"/>
    <w:rsid w:val="00712663"/>
    <w:rsid w:val="0071280A"/>
    <w:rsid w:val="00713E89"/>
    <w:rsid w:val="007147C3"/>
    <w:rsid w:val="00715BBC"/>
    <w:rsid w:val="00716267"/>
    <w:rsid w:val="00720637"/>
    <w:rsid w:val="00722DD4"/>
    <w:rsid w:val="00730C96"/>
    <w:rsid w:val="00731DDA"/>
    <w:rsid w:val="00732BEB"/>
    <w:rsid w:val="00732CE3"/>
    <w:rsid w:val="00736E5A"/>
    <w:rsid w:val="00737FBD"/>
    <w:rsid w:val="007432E3"/>
    <w:rsid w:val="00747750"/>
    <w:rsid w:val="00753388"/>
    <w:rsid w:val="00754BA3"/>
    <w:rsid w:val="00762619"/>
    <w:rsid w:val="007629DA"/>
    <w:rsid w:val="0076481F"/>
    <w:rsid w:val="00766D91"/>
    <w:rsid w:val="00770D32"/>
    <w:rsid w:val="00770F79"/>
    <w:rsid w:val="0077699F"/>
    <w:rsid w:val="00776C1E"/>
    <w:rsid w:val="00781E3C"/>
    <w:rsid w:val="0078258B"/>
    <w:rsid w:val="00782FB5"/>
    <w:rsid w:val="007831EB"/>
    <w:rsid w:val="00783446"/>
    <w:rsid w:val="00785DF2"/>
    <w:rsid w:val="00787645"/>
    <w:rsid w:val="00791F6A"/>
    <w:rsid w:val="007934C5"/>
    <w:rsid w:val="007946EC"/>
    <w:rsid w:val="00795097"/>
    <w:rsid w:val="00795573"/>
    <w:rsid w:val="00795658"/>
    <w:rsid w:val="007973DD"/>
    <w:rsid w:val="007A6239"/>
    <w:rsid w:val="007B1678"/>
    <w:rsid w:val="007C56DA"/>
    <w:rsid w:val="007C6A6D"/>
    <w:rsid w:val="007C7415"/>
    <w:rsid w:val="007D0D99"/>
    <w:rsid w:val="007D1C28"/>
    <w:rsid w:val="007D2327"/>
    <w:rsid w:val="007D6B0E"/>
    <w:rsid w:val="007D6C6B"/>
    <w:rsid w:val="007E2126"/>
    <w:rsid w:val="007F065B"/>
    <w:rsid w:val="007F1F61"/>
    <w:rsid w:val="007F2395"/>
    <w:rsid w:val="007F3100"/>
    <w:rsid w:val="007F3826"/>
    <w:rsid w:val="007F545B"/>
    <w:rsid w:val="007F5C28"/>
    <w:rsid w:val="007F61AB"/>
    <w:rsid w:val="0080227F"/>
    <w:rsid w:val="00810A03"/>
    <w:rsid w:val="00810D4B"/>
    <w:rsid w:val="00812383"/>
    <w:rsid w:val="00812902"/>
    <w:rsid w:val="0081359F"/>
    <w:rsid w:val="008135BA"/>
    <w:rsid w:val="00815122"/>
    <w:rsid w:val="008165E3"/>
    <w:rsid w:val="00820C8C"/>
    <w:rsid w:val="008218FF"/>
    <w:rsid w:val="0082549F"/>
    <w:rsid w:val="00830D9D"/>
    <w:rsid w:val="00834999"/>
    <w:rsid w:val="00836023"/>
    <w:rsid w:val="0083770C"/>
    <w:rsid w:val="008403F8"/>
    <w:rsid w:val="00854DAB"/>
    <w:rsid w:val="00856631"/>
    <w:rsid w:val="00856F70"/>
    <w:rsid w:val="0086059C"/>
    <w:rsid w:val="0086341F"/>
    <w:rsid w:val="008671D6"/>
    <w:rsid w:val="00876682"/>
    <w:rsid w:val="00877C68"/>
    <w:rsid w:val="0088197C"/>
    <w:rsid w:val="00891937"/>
    <w:rsid w:val="0089376E"/>
    <w:rsid w:val="008A0B00"/>
    <w:rsid w:val="008A156F"/>
    <w:rsid w:val="008A6685"/>
    <w:rsid w:val="008A76F9"/>
    <w:rsid w:val="008B04AE"/>
    <w:rsid w:val="008B3ECC"/>
    <w:rsid w:val="008B7099"/>
    <w:rsid w:val="008C05A7"/>
    <w:rsid w:val="008C2A4E"/>
    <w:rsid w:val="008C3B0B"/>
    <w:rsid w:val="008C50E2"/>
    <w:rsid w:val="008C51CC"/>
    <w:rsid w:val="008D4B80"/>
    <w:rsid w:val="008D73F8"/>
    <w:rsid w:val="008D7B6C"/>
    <w:rsid w:val="008E2B2F"/>
    <w:rsid w:val="008E3A06"/>
    <w:rsid w:val="008E4FBB"/>
    <w:rsid w:val="008E5FCF"/>
    <w:rsid w:val="008F250C"/>
    <w:rsid w:val="008F28B4"/>
    <w:rsid w:val="008F3BD2"/>
    <w:rsid w:val="008F6AFF"/>
    <w:rsid w:val="008F726C"/>
    <w:rsid w:val="008F7959"/>
    <w:rsid w:val="00906DB6"/>
    <w:rsid w:val="00912B25"/>
    <w:rsid w:val="0091736C"/>
    <w:rsid w:val="009173B5"/>
    <w:rsid w:val="00920F6B"/>
    <w:rsid w:val="009218E3"/>
    <w:rsid w:val="00921A82"/>
    <w:rsid w:val="00922A1E"/>
    <w:rsid w:val="00922A90"/>
    <w:rsid w:val="00923D3E"/>
    <w:rsid w:val="00925249"/>
    <w:rsid w:val="009253CD"/>
    <w:rsid w:val="0092567F"/>
    <w:rsid w:val="00926A2B"/>
    <w:rsid w:val="00932A4B"/>
    <w:rsid w:val="00933D78"/>
    <w:rsid w:val="00934A7E"/>
    <w:rsid w:val="00940D80"/>
    <w:rsid w:val="0094179D"/>
    <w:rsid w:val="009425A4"/>
    <w:rsid w:val="009458FA"/>
    <w:rsid w:val="00952E0E"/>
    <w:rsid w:val="00954420"/>
    <w:rsid w:val="009560A4"/>
    <w:rsid w:val="0095621A"/>
    <w:rsid w:val="00961BAA"/>
    <w:rsid w:val="00962675"/>
    <w:rsid w:val="00964628"/>
    <w:rsid w:val="00964B69"/>
    <w:rsid w:val="00965C7D"/>
    <w:rsid w:val="00967822"/>
    <w:rsid w:val="00971447"/>
    <w:rsid w:val="00975B5D"/>
    <w:rsid w:val="009764CE"/>
    <w:rsid w:val="009814B5"/>
    <w:rsid w:val="00982155"/>
    <w:rsid w:val="009823A4"/>
    <w:rsid w:val="009829B6"/>
    <w:rsid w:val="009840EE"/>
    <w:rsid w:val="0098660C"/>
    <w:rsid w:val="00986D03"/>
    <w:rsid w:val="0099123E"/>
    <w:rsid w:val="00992987"/>
    <w:rsid w:val="0099422C"/>
    <w:rsid w:val="00996EC2"/>
    <w:rsid w:val="009A0177"/>
    <w:rsid w:val="009A0C3B"/>
    <w:rsid w:val="009A4CED"/>
    <w:rsid w:val="009B0E75"/>
    <w:rsid w:val="009B55C3"/>
    <w:rsid w:val="009B5746"/>
    <w:rsid w:val="009C1D8D"/>
    <w:rsid w:val="009C2E51"/>
    <w:rsid w:val="009C407F"/>
    <w:rsid w:val="009C62F5"/>
    <w:rsid w:val="009D06EB"/>
    <w:rsid w:val="009D60CF"/>
    <w:rsid w:val="009E1980"/>
    <w:rsid w:val="009E23C8"/>
    <w:rsid w:val="009E2C3C"/>
    <w:rsid w:val="009E3395"/>
    <w:rsid w:val="009E45CC"/>
    <w:rsid w:val="009E7071"/>
    <w:rsid w:val="009F0BC2"/>
    <w:rsid w:val="009F0C88"/>
    <w:rsid w:val="009F141E"/>
    <w:rsid w:val="009F1961"/>
    <w:rsid w:val="009F2144"/>
    <w:rsid w:val="009F493B"/>
    <w:rsid w:val="009F7AAA"/>
    <w:rsid w:val="00A015C4"/>
    <w:rsid w:val="00A01D90"/>
    <w:rsid w:val="00A03185"/>
    <w:rsid w:val="00A054CE"/>
    <w:rsid w:val="00A064A3"/>
    <w:rsid w:val="00A07863"/>
    <w:rsid w:val="00A126D8"/>
    <w:rsid w:val="00A149B8"/>
    <w:rsid w:val="00A15416"/>
    <w:rsid w:val="00A16595"/>
    <w:rsid w:val="00A177CA"/>
    <w:rsid w:val="00A17B15"/>
    <w:rsid w:val="00A24D31"/>
    <w:rsid w:val="00A25003"/>
    <w:rsid w:val="00A35F31"/>
    <w:rsid w:val="00A43DF8"/>
    <w:rsid w:val="00A44FC8"/>
    <w:rsid w:val="00A46AAC"/>
    <w:rsid w:val="00A478D7"/>
    <w:rsid w:val="00A553B9"/>
    <w:rsid w:val="00A6197B"/>
    <w:rsid w:val="00A63878"/>
    <w:rsid w:val="00A67E0B"/>
    <w:rsid w:val="00A70B0C"/>
    <w:rsid w:val="00A712E9"/>
    <w:rsid w:val="00A73D5E"/>
    <w:rsid w:val="00A77D61"/>
    <w:rsid w:val="00A77F20"/>
    <w:rsid w:val="00A858B0"/>
    <w:rsid w:val="00A90D11"/>
    <w:rsid w:val="00A90F42"/>
    <w:rsid w:val="00A929DC"/>
    <w:rsid w:val="00A943EA"/>
    <w:rsid w:val="00A95ECA"/>
    <w:rsid w:val="00A974B2"/>
    <w:rsid w:val="00AA0D6F"/>
    <w:rsid w:val="00AA70CC"/>
    <w:rsid w:val="00AA7A18"/>
    <w:rsid w:val="00AB0100"/>
    <w:rsid w:val="00AB39B3"/>
    <w:rsid w:val="00AB491A"/>
    <w:rsid w:val="00AB6206"/>
    <w:rsid w:val="00AC3380"/>
    <w:rsid w:val="00AC4C1E"/>
    <w:rsid w:val="00AC5B17"/>
    <w:rsid w:val="00AC6B09"/>
    <w:rsid w:val="00AC7C67"/>
    <w:rsid w:val="00AD053E"/>
    <w:rsid w:val="00AD146F"/>
    <w:rsid w:val="00AD3BF3"/>
    <w:rsid w:val="00AE01E7"/>
    <w:rsid w:val="00AE0FE8"/>
    <w:rsid w:val="00AE4C79"/>
    <w:rsid w:val="00AE63F8"/>
    <w:rsid w:val="00AE7FDA"/>
    <w:rsid w:val="00AF391D"/>
    <w:rsid w:val="00AF3CC4"/>
    <w:rsid w:val="00AF3D75"/>
    <w:rsid w:val="00AF5BB2"/>
    <w:rsid w:val="00AF73F7"/>
    <w:rsid w:val="00B010B6"/>
    <w:rsid w:val="00B05F02"/>
    <w:rsid w:val="00B1104D"/>
    <w:rsid w:val="00B123E5"/>
    <w:rsid w:val="00B1438F"/>
    <w:rsid w:val="00B1624D"/>
    <w:rsid w:val="00B167B2"/>
    <w:rsid w:val="00B272C2"/>
    <w:rsid w:val="00B27991"/>
    <w:rsid w:val="00B30F2F"/>
    <w:rsid w:val="00B31FD1"/>
    <w:rsid w:val="00B32737"/>
    <w:rsid w:val="00B33BAC"/>
    <w:rsid w:val="00B341F1"/>
    <w:rsid w:val="00B34C8E"/>
    <w:rsid w:val="00B3566C"/>
    <w:rsid w:val="00B370C0"/>
    <w:rsid w:val="00B4051A"/>
    <w:rsid w:val="00B476D3"/>
    <w:rsid w:val="00B505D1"/>
    <w:rsid w:val="00B50A3E"/>
    <w:rsid w:val="00B5214C"/>
    <w:rsid w:val="00B526DA"/>
    <w:rsid w:val="00B56EC9"/>
    <w:rsid w:val="00B60764"/>
    <w:rsid w:val="00B61FC7"/>
    <w:rsid w:val="00B70853"/>
    <w:rsid w:val="00B7319F"/>
    <w:rsid w:val="00B7466B"/>
    <w:rsid w:val="00B807D4"/>
    <w:rsid w:val="00B8280F"/>
    <w:rsid w:val="00B82EFB"/>
    <w:rsid w:val="00B84236"/>
    <w:rsid w:val="00B86483"/>
    <w:rsid w:val="00B86763"/>
    <w:rsid w:val="00B9267E"/>
    <w:rsid w:val="00B93117"/>
    <w:rsid w:val="00B93BF2"/>
    <w:rsid w:val="00B93EA3"/>
    <w:rsid w:val="00B94748"/>
    <w:rsid w:val="00B972C1"/>
    <w:rsid w:val="00B97F80"/>
    <w:rsid w:val="00BA234C"/>
    <w:rsid w:val="00BA3AD2"/>
    <w:rsid w:val="00BA4646"/>
    <w:rsid w:val="00BB4E41"/>
    <w:rsid w:val="00BB51CA"/>
    <w:rsid w:val="00BB5704"/>
    <w:rsid w:val="00BB655A"/>
    <w:rsid w:val="00BB7ADF"/>
    <w:rsid w:val="00BC40C4"/>
    <w:rsid w:val="00BC69B8"/>
    <w:rsid w:val="00BD1587"/>
    <w:rsid w:val="00BD336D"/>
    <w:rsid w:val="00BD3742"/>
    <w:rsid w:val="00BD4411"/>
    <w:rsid w:val="00BD451C"/>
    <w:rsid w:val="00BD7D96"/>
    <w:rsid w:val="00BE344B"/>
    <w:rsid w:val="00BE4A59"/>
    <w:rsid w:val="00BE582B"/>
    <w:rsid w:val="00BE759C"/>
    <w:rsid w:val="00BE7934"/>
    <w:rsid w:val="00BF25A6"/>
    <w:rsid w:val="00BF455F"/>
    <w:rsid w:val="00C009D7"/>
    <w:rsid w:val="00C01772"/>
    <w:rsid w:val="00C01AC8"/>
    <w:rsid w:val="00C04CD1"/>
    <w:rsid w:val="00C05E12"/>
    <w:rsid w:val="00C06495"/>
    <w:rsid w:val="00C073AB"/>
    <w:rsid w:val="00C1025A"/>
    <w:rsid w:val="00C102BC"/>
    <w:rsid w:val="00C124B8"/>
    <w:rsid w:val="00C13BE1"/>
    <w:rsid w:val="00C15086"/>
    <w:rsid w:val="00C171F8"/>
    <w:rsid w:val="00C25523"/>
    <w:rsid w:val="00C25FA0"/>
    <w:rsid w:val="00C27C8A"/>
    <w:rsid w:val="00C314DB"/>
    <w:rsid w:val="00C32705"/>
    <w:rsid w:val="00C33A08"/>
    <w:rsid w:val="00C344AF"/>
    <w:rsid w:val="00C349E1"/>
    <w:rsid w:val="00C43BD5"/>
    <w:rsid w:val="00C45FAB"/>
    <w:rsid w:val="00C46B51"/>
    <w:rsid w:val="00C501DD"/>
    <w:rsid w:val="00C522BE"/>
    <w:rsid w:val="00C60D90"/>
    <w:rsid w:val="00C614B1"/>
    <w:rsid w:val="00C61BB0"/>
    <w:rsid w:val="00C65C4F"/>
    <w:rsid w:val="00C66EFF"/>
    <w:rsid w:val="00C67902"/>
    <w:rsid w:val="00C735A6"/>
    <w:rsid w:val="00C75A27"/>
    <w:rsid w:val="00C75D32"/>
    <w:rsid w:val="00C76EDD"/>
    <w:rsid w:val="00C834EA"/>
    <w:rsid w:val="00C86EE6"/>
    <w:rsid w:val="00C8780D"/>
    <w:rsid w:val="00C958C0"/>
    <w:rsid w:val="00C967B3"/>
    <w:rsid w:val="00C979B2"/>
    <w:rsid w:val="00CA2BD0"/>
    <w:rsid w:val="00CA4676"/>
    <w:rsid w:val="00CA6DB8"/>
    <w:rsid w:val="00CB3B3F"/>
    <w:rsid w:val="00CB47C2"/>
    <w:rsid w:val="00CC570A"/>
    <w:rsid w:val="00CC5884"/>
    <w:rsid w:val="00CC69B6"/>
    <w:rsid w:val="00CC7442"/>
    <w:rsid w:val="00CC7717"/>
    <w:rsid w:val="00CD1CBE"/>
    <w:rsid w:val="00CD1F97"/>
    <w:rsid w:val="00CD2E00"/>
    <w:rsid w:val="00CD4D4C"/>
    <w:rsid w:val="00CD60AE"/>
    <w:rsid w:val="00CD7EAF"/>
    <w:rsid w:val="00CE2CB9"/>
    <w:rsid w:val="00CE4CEB"/>
    <w:rsid w:val="00CF2671"/>
    <w:rsid w:val="00CF53FB"/>
    <w:rsid w:val="00CF6C76"/>
    <w:rsid w:val="00D04580"/>
    <w:rsid w:val="00D0505A"/>
    <w:rsid w:val="00D13DF2"/>
    <w:rsid w:val="00D14D49"/>
    <w:rsid w:val="00D16D10"/>
    <w:rsid w:val="00D2251C"/>
    <w:rsid w:val="00D22E7E"/>
    <w:rsid w:val="00D3078D"/>
    <w:rsid w:val="00D307C1"/>
    <w:rsid w:val="00D307D6"/>
    <w:rsid w:val="00D35F9C"/>
    <w:rsid w:val="00D41C13"/>
    <w:rsid w:val="00D420C1"/>
    <w:rsid w:val="00D43029"/>
    <w:rsid w:val="00D43662"/>
    <w:rsid w:val="00D45267"/>
    <w:rsid w:val="00D479BA"/>
    <w:rsid w:val="00D504F7"/>
    <w:rsid w:val="00D50C40"/>
    <w:rsid w:val="00D544C1"/>
    <w:rsid w:val="00D5648D"/>
    <w:rsid w:val="00D624F3"/>
    <w:rsid w:val="00D62991"/>
    <w:rsid w:val="00D63C70"/>
    <w:rsid w:val="00D65EC5"/>
    <w:rsid w:val="00D72538"/>
    <w:rsid w:val="00D81249"/>
    <w:rsid w:val="00D86EE3"/>
    <w:rsid w:val="00D871EB"/>
    <w:rsid w:val="00D9095A"/>
    <w:rsid w:val="00D915EC"/>
    <w:rsid w:val="00D91754"/>
    <w:rsid w:val="00D9201B"/>
    <w:rsid w:val="00D92D88"/>
    <w:rsid w:val="00D93B18"/>
    <w:rsid w:val="00D948CC"/>
    <w:rsid w:val="00DA0FF9"/>
    <w:rsid w:val="00DA2018"/>
    <w:rsid w:val="00DA343E"/>
    <w:rsid w:val="00DA3DD6"/>
    <w:rsid w:val="00DA40BF"/>
    <w:rsid w:val="00DB2B1A"/>
    <w:rsid w:val="00DB42D3"/>
    <w:rsid w:val="00DC1B73"/>
    <w:rsid w:val="00DC2061"/>
    <w:rsid w:val="00DC26C6"/>
    <w:rsid w:val="00DC30AB"/>
    <w:rsid w:val="00DC7661"/>
    <w:rsid w:val="00DD10F7"/>
    <w:rsid w:val="00DD25AC"/>
    <w:rsid w:val="00DD2BA0"/>
    <w:rsid w:val="00DD6B13"/>
    <w:rsid w:val="00DD7B57"/>
    <w:rsid w:val="00DE08BE"/>
    <w:rsid w:val="00DE113B"/>
    <w:rsid w:val="00DE2FB0"/>
    <w:rsid w:val="00DE4426"/>
    <w:rsid w:val="00DE4549"/>
    <w:rsid w:val="00DE4A56"/>
    <w:rsid w:val="00DE5D55"/>
    <w:rsid w:val="00DF1111"/>
    <w:rsid w:val="00DF1D5C"/>
    <w:rsid w:val="00DF680B"/>
    <w:rsid w:val="00DF7708"/>
    <w:rsid w:val="00E00835"/>
    <w:rsid w:val="00E02984"/>
    <w:rsid w:val="00E02B11"/>
    <w:rsid w:val="00E21938"/>
    <w:rsid w:val="00E21B39"/>
    <w:rsid w:val="00E232BB"/>
    <w:rsid w:val="00E2510C"/>
    <w:rsid w:val="00E27714"/>
    <w:rsid w:val="00E3062C"/>
    <w:rsid w:val="00E30EE8"/>
    <w:rsid w:val="00E31623"/>
    <w:rsid w:val="00E327E1"/>
    <w:rsid w:val="00E3370B"/>
    <w:rsid w:val="00E343D0"/>
    <w:rsid w:val="00E37E6E"/>
    <w:rsid w:val="00E44C39"/>
    <w:rsid w:val="00E503F0"/>
    <w:rsid w:val="00E5244E"/>
    <w:rsid w:val="00E52EF6"/>
    <w:rsid w:val="00E536D1"/>
    <w:rsid w:val="00E549AB"/>
    <w:rsid w:val="00E54AA9"/>
    <w:rsid w:val="00E65A72"/>
    <w:rsid w:val="00E663C5"/>
    <w:rsid w:val="00E722C5"/>
    <w:rsid w:val="00E76369"/>
    <w:rsid w:val="00E81E37"/>
    <w:rsid w:val="00E84280"/>
    <w:rsid w:val="00E84FCC"/>
    <w:rsid w:val="00E85AA9"/>
    <w:rsid w:val="00EA07C0"/>
    <w:rsid w:val="00EA2B7C"/>
    <w:rsid w:val="00EA41D8"/>
    <w:rsid w:val="00EA7A5B"/>
    <w:rsid w:val="00EB18CB"/>
    <w:rsid w:val="00EB270A"/>
    <w:rsid w:val="00EB46FC"/>
    <w:rsid w:val="00EB69E0"/>
    <w:rsid w:val="00EC10FF"/>
    <w:rsid w:val="00EC2374"/>
    <w:rsid w:val="00EC24B2"/>
    <w:rsid w:val="00EC5292"/>
    <w:rsid w:val="00ED13F7"/>
    <w:rsid w:val="00ED154C"/>
    <w:rsid w:val="00ED2B95"/>
    <w:rsid w:val="00ED7E06"/>
    <w:rsid w:val="00EE2E54"/>
    <w:rsid w:val="00EE3F3A"/>
    <w:rsid w:val="00EF1957"/>
    <w:rsid w:val="00EF353F"/>
    <w:rsid w:val="00EF5AF0"/>
    <w:rsid w:val="00EF6E63"/>
    <w:rsid w:val="00F009D9"/>
    <w:rsid w:val="00F0210D"/>
    <w:rsid w:val="00F0222C"/>
    <w:rsid w:val="00F029A4"/>
    <w:rsid w:val="00F07039"/>
    <w:rsid w:val="00F07F58"/>
    <w:rsid w:val="00F10029"/>
    <w:rsid w:val="00F124EE"/>
    <w:rsid w:val="00F13766"/>
    <w:rsid w:val="00F1463D"/>
    <w:rsid w:val="00F15D92"/>
    <w:rsid w:val="00F20ED7"/>
    <w:rsid w:val="00F22F2D"/>
    <w:rsid w:val="00F23F9F"/>
    <w:rsid w:val="00F24FD3"/>
    <w:rsid w:val="00F2690B"/>
    <w:rsid w:val="00F27785"/>
    <w:rsid w:val="00F3080F"/>
    <w:rsid w:val="00F31CD2"/>
    <w:rsid w:val="00F334A8"/>
    <w:rsid w:val="00F35627"/>
    <w:rsid w:val="00F35BD3"/>
    <w:rsid w:val="00F43864"/>
    <w:rsid w:val="00F443E4"/>
    <w:rsid w:val="00F45484"/>
    <w:rsid w:val="00F46AF7"/>
    <w:rsid w:val="00F5141A"/>
    <w:rsid w:val="00F61F5B"/>
    <w:rsid w:val="00F6295E"/>
    <w:rsid w:val="00F65AEA"/>
    <w:rsid w:val="00F74F3F"/>
    <w:rsid w:val="00F80BC9"/>
    <w:rsid w:val="00F83972"/>
    <w:rsid w:val="00F87700"/>
    <w:rsid w:val="00F91D85"/>
    <w:rsid w:val="00F940AE"/>
    <w:rsid w:val="00F9440F"/>
    <w:rsid w:val="00F96CB8"/>
    <w:rsid w:val="00FA00F1"/>
    <w:rsid w:val="00FA06F3"/>
    <w:rsid w:val="00FA08C9"/>
    <w:rsid w:val="00FA48AC"/>
    <w:rsid w:val="00FA5DB4"/>
    <w:rsid w:val="00FA6BEC"/>
    <w:rsid w:val="00FB0C8D"/>
    <w:rsid w:val="00FB2C3A"/>
    <w:rsid w:val="00FB46F3"/>
    <w:rsid w:val="00FB4F2E"/>
    <w:rsid w:val="00FB5220"/>
    <w:rsid w:val="00FC1125"/>
    <w:rsid w:val="00FD272E"/>
    <w:rsid w:val="00FD2F5E"/>
    <w:rsid w:val="00FD537D"/>
    <w:rsid w:val="00FE3ADF"/>
    <w:rsid w:val="00FE5899"/>
    <w:rsid w:val="00FF1380"/>
    <w:rsid w:val="00FF42A5"/>
    <w:rsid w:val="00FF5B9D"/>
    <w:rsid w:val="00FF64F3"/>
    <w:rsid w:val="00FF77D9"/>
    <w:rsid w:val="00FF7BE8"/>
    <w:rsid w:val="0EA3BFB6"/>
    <w:rsid w:val="23FAD2F6"/>
    <w:rsid w:val="2B1DBB43"/>
    <w:rsid w:val="2CE0B8AC"/>
    <w:rsid w:val="488D0D5A"/>
    <w:rsid w:val="4B21075C"/>
    <w:rsid w:val="6597828A"/>
    <w:rsid w:val="66040624"/>
    <w:rsid w:val="6DED4DD5"/>
    <w:rsid w:val="772311FA"/>
    <w:rsid w:val="7C4626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0513E1"/>
  <w15:chartTrackingRefBased/>
  <w15:docId w15:val="{2104D833-EB35-4E36-9E00-A4B16E06B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0"/>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7B9"/>
    <w:pPr>
      <w:spacing w:after="240"/>
    </w:pPr>
    <w:rPr>
      <w:rFonts w:ascii="Times New Roman" w:hAnsi="Times New Roman"/>
    </w:rPr>
  </w:style>
  <w:style w:type="paragraph" w:styleId="Heading1">
    <w:name w:val="heading 1"/>
    <w:basedOn w:val="Normal"/>
    <w:next w:val="Normal"/>
    <w:link w:val="Heading1Char"/>
    <w:qFormat/>
    <w:rsid w:val="00D544C1"/>
    <w:pPr>
      <w:keepNext/>
      <w:keepLines/>
      <w:numPr>
        <w:numId w:val="8"/>
      </w:numPr>
      <w:spacing w:before="240" w:line="360" w:lineRule="auto"/>
      <w:outlineLvl w:val="0"/>
    </w:pPr>
    <w:rPr>
      <w:rFonts w:eastAsiaTheme="majorEastAsia" w:cstheme="majorBidi"/>
      <w:b/>
      <w:bCs/>
      <w:sz w:val="28"/>
      <w:szCs w:val="28"/>
    </w:rPr>
  </w:style>
  <w:style w:type="paragraph" w:styleId="Heading2">
    <w:name w:val="heading 2"/>
    <w:basedOn w:val="Heading1"/>
    <w:next w:val="BodyText"/>
    <w:link w:val="Heading2Char"/>
    <w:qFormat/>
    <w:rsid w:val="00182BC7"/>
    <w:pPr>
      <w:keepLines w:val="0"/>
      <w:numPr>
        <w:numId w:val="10"/>
      </w:numPr>
      <w:spacing w:line="240" w:lineRule="auto"/>
      <w:outlineLvl w:val="1"/>
    </w:pPr>
    <w:rPr>
      <w:rFonts w:eastAsia="Times New Roman" w:cs="Times New Roman"/>
      <w:bCs w:val="0"/>
      <w:sz w:val="24"/>
      <w:szCs w:val="20"/>
      <w:u w:val="single"/>
    </w:rPr>
  </w:style>
  <w:style w:type="paragraph" w:styleId="Heading3">
    <w:name w:val="heading 3"/>
    <w:basedOn w:val="Heading2"/>
    <w:next w:val="HText3"/>
    <w:link w:val="Heading3Char"/>
    <w:qFormat/>
    <w:rsid w:val="00783446"/>
    <w:pPr>
      <w:numPr>
        <w:numId w:val="0"/>
      </w:numPr>
      <w:tabs>
        <w:tab w:val="num" w:pos="720"/>
      </w:tabs>
      <w:ind w:left="1080" w:hanging="720"/>
      <w:outlineLvl w:val="2"/>
    </w:pPr>
    <w:rPr>
      <w:sz w:val="22"/>
    </w:rPr>
  </w:style>
  <w:style w:type="paragraph" w:styleId="Heading4">
    <w:name w:val="heading 4"/>
    <w:basedOn w:val="Normal"/>
    <w:next w:val="Normal"/>
    <w:link w:val="Heading4Char"/>
    <w:uiPriority w:val="99"/>
    <w:semiHidden/>
    <w:rsid w:val="00D544C1"/>
    <w:pPr>
      <w:keepNext/>
      <w:keepLines/>
      <w:spacing w:before="40"/>
      <w:outlineLvl w:val="3"/>
    </w:pPr>
    <w:rPr>
      <w:rFonts w:eastAsiaTheme="majorEastAsia" w:cstheme="majorBidi"/>
      <w:b/>
      <w:i/>
      <w:iCs/>
      <w:u w:val="single"/>
    </w:rPr>
  </w:style>
  <w:style w:type="paragraph" w:styleId="Heading5">
    <w:name w:val="heading 5"/>
    <w:basedOn w:val="Normal"/>
    <w:next w:val="Normal"/>
    <w:link w:val="Heading5Char"/>
    <w:uiPriority w:val="99"/>
    <w:semiHidden/>
    <w:rsid w:val="00D544C1"/>
    <w:pPr>
      <w:keepNext/>
      <w:keepLines/>
      <w:spacing w:before="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9"/>
    <w:semiHidden/>
    <w:qFormat/>
    <w:rsid w:val="00D544C1"/>
    <w:pPr>
      <w:keepNext/>
      <w:keepLines/>
      <w:spacing w:before="4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9"/>
    <w:semiHidden/>
    <w:qFormat/>
    <w:rsid w:val="00D544C1"/>
    <w:pPr>
      <w:keepNext/>
      <w:keepLines/>
      <w:spacing w:before="4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9"/>
    <w:semiHidden/>
    <w:qFormat/>
    <w:rsid w:val="00D544C1"/>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9"/>
    <w:semiHidden/>
    <w:qFormat/>
    <w:rsid w:val="00D544C1"/>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44C1"/>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rsid w:val="00182BC7"/>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rsid w:val="00783446"/>
    <w:rPr>
      <w:rFonts w:ascii="Times New Roman" w:eastAsia="Times New Roman" w:hAnsi="Times New Roman" w:cs="Times New Roman"/>
      <w:b/>
      <w:szCs w:val="20"/>
      <w:u w:val="single"/>
    </w:rPr>
  </w:style>
  <w:style w:type="paragraph" w:customStyle="1" w:styleId="HText3">
    <w:name w:val="H Text 3"/>
    <w:basedOn w:val="Normal"/>
    <w:qFormat/>
    <w:rsid w:val="00783446"/>
    <w:pPr>
      <w:spacing w:line="240" w:lineRule="auto"/>
      <w:ind w:left="1080"/>
    </w:pPr>
    <w:rPr>
      <w:rFonts w:eastAsia="Times New Roman" w:cs="Times New Roman"/>
      <w:szCs w:val="20"/>
    </w:rPr>
  </w:style>
  <w:style w:type="paragraph" w:customStyle="1" w:styleId="HText3Bullets">
    <w:name w:val="H Text 3 Bullets"/>
    <w:basedOn w:val="HText3"/>
    <w:qFormat/>
    <w:rsid w:val="00D544C1"/>
    <w:pPr>
      <w:numPr>
        <w:numId w:val="6"/>
      </w:numPr>
      <w:spacing w:before="120"/>
    </w:pPr>
    <w:rPr>
      <w:szCs w:val="22"/>
    </w:rPr>
  </w:style>
  <w:style w:type="paragraph" w:customStyle="1" w:styleId="HText4Bullets">
    <w:name w:val="H Text 4 Bullets"/>
    <w:basedOn w:val="HText3Bullets"/>
    <w:qFormat/>
    <w:rsid w:val="00D544C1"/>
    <w:pPr>
      <w:widowControl w:val="0"/>
      <w:numPr>
        <w:numId w:val="7"/>
      </w:numPr>
    </w:pPr>
  </w:style>
  <w:style w:type="paragraph" w:styleId="Caption">
    <w:name w:val="caption"/>
    <w:basedOn w:val="Normal"/>
    <w:next w:val="Normal"/>
    <w:uiPriority w:val="35"/>
    <w:rsid w:val="00F3080F"/>
    <w:pPr>
      <w:keepNext/>
      <w:widowControl w:val="0"/>
      <w:spacing w:before="120" w:line="240" w:lineRule="auto"/>
      <w:jc w:val="center"/>
    </w:pPr>
    <w:rPr>
      <w:rFonts w:eastAsia="Times New Roman" w:cs="Times New Roman"/>
      <w:i/>
      <w:sz w:val="24"/>
      <w:szCs w:val="20"/>
    </w:rPr>
  </w:style>
  <w:style w:type="character" w:styleId="Hyperlink">
    <w:name w:val="Hyperlink"/>
    <w:uiPriority w:val="99"/>
    <w:rsid w:val="00D544C1"/>
    <w:rPr>
      <w:b/>
      <w:color w:val="0000CC"/>
      <w:u w:val="none"/>
    </w:rPr>
  </w:style>
  <w:style w:type="paragraph" w:styleId="ListNumber">
    <w:name w:val="List Number"/>
    <w:basedOn w:val="Normal"/>
    <w:qFormat/>
    <w:rsid w:val="0038521E"/>
    <w:pPr>
      <w:numPr>
        <w:numId w:val="9"/>
      </w:numPr>
      <w:spacing w:before="120" w:line="240" w:lineRule="auto"/>
    </w:pPr>
    <w:rPr>
      <w:rFonts w:eastAsia="Times New Roman" w:cs="Times New Roman"/>
      <w:szCs w:val="24"/>
    </w:rPr>
  </w:style>
  <w:style w:type="paragraph" w:styleId="FootnoteText">
    <w:name w:val="footnote text"/>
    <w:basedOn w:val="Normal"/>
    <w:link w:val="FootnoteTextChar"/>
    <w:rsid w:val="00E2510C"/>
    <w:pPr>
      <w:spacing w:after="0" w:line="240" w:lineRule="auto"/>
      <w:ind w:left="288" w:hanging="288"/>
    </w:pPr>
    <w:rPr>
      <w:rFonts w:eastAsia="Times New Roman" w:cs="Times New Roman"/>
      <w:sz w:val="18"/>
      <w:szCs w:val="20"/>
    </w:rPr>
  </w:style>
  <w:style w:type="character" w:customStyle="1" w:styleId="FootnoteTextChar">
    <w:name w:val="Footnote Text Char"/>
    <w:basedOn w:val="DefaultParagraphFont"/>
    <w:link w:val="FootnoteText"/>
    <w:rsid w:val="00E2510C"/>
    <w:rPr>
      <w:rFonts w:ascii="Times New Roman" w:eastAsia="Times New Roman" w:hAnsi="Times New Roman" w:cs="Times New Roman"/>
      <w:sz w:val="18"/>
      <w:szCs w:val="20"/>
    </w:rPr>
  </w:style>
  <w:style w:type="character" w:styleId="FootnoteReference">
    <w:name w:val="footnote reference"/>
    <w:aliases w:val="o"/>
    <w:basedOn w:val="DefaultParagraphFont"/>
    <w:uiPriority w:val="99"/>
    <w:rsid w:val="00D544C1"/>
    <w:rPr>
      <w:vertAlign w:val="superscript"/>
    </w:rPr>
  </w:style>
  <w:style w:type="paragraph" w:styleId="TOC1">
    <w:name w:val="toc 1"/>
    <w:basedOn w:val="Normal"/>
    <w:next w:val="Normal"/>
    <w:uiPriority w:val="39"/>
    <w:rsid w:val="004268E9"/>
    <w:pPr>
      <w:tabs>
        <w:tab w:val="left" w:pos="648"/>
        <w:tab w:val="left" w:pos="720"/>
        <w:tab w:val="right" w:leader="dot" w:pos="9360"/>
      </w:tabs>
      <w:spacing w:before="60" w:after="60" w:line="240" w:lineRule="auto"/>
      <w:ind w:left="720" w:hanging="720"/>
    </w:pPr>
    <w:rPr>
      <w:rFonts w:eastAsia="Times New Roman" w:cs="Times New Roman"/>
      <w:b/>
      <w:sz w:val="24"/>
      <w:szCs w:val="20"/>
    </w:rPr>
  </w:style>
  <w:style w:type="paragraph" w:styleId="TOC2">
    <w:name w:val="toc 2"/>
    <w:basedOn w:val="Normal"/>
    <w:next w:val="Normal"/>
    <w:uiPriority w:val="39"/>
    <w:rsid w:val="004268E9"/>
    <w:pPr>
      <w:tabs>
        <w:tab w:val="left" w:pos="576"/>
        <w:tab w:val="right" w:leader="dot" w:pos="9350"/>
      </w:tabs>
      <w:spacing w:before="60" w:after="60" w:line="240" w:lineRule="auto"/>
      <w:ind w:left="1224" w:hanging="504"/>
    </w:pPr>
    <w:rPr>
      <w:rFonts w:eastAsia="Times New Roman" w:cs="Times New Roman"/>
      <w:sz w:val="24"/>
      <w:szCs w:val="20"/>
    </w:rPr>
  </w:style>
  <w:style w:type="paragraph" w:styleId="TOC3">
    <w:name w:val="toc 3"/>
    <w:basedOn w:val="Normal"/>
    <w:next w:val="Normal"/>
    <w:uiPriority w:val="39"/>
    <w:rsid w:val="00D544C1"/>
    <w:pPr>
      <w:tabs>
        <w:tab w:val="left" w:pos="720"/>
        <w:tab w:val="right" w:leader="dot" w:pos="9360"/>
      </w:tabs>
      <w:spacing w:before="60" w:after="60" w:line="240" w:lineRule="auto"/>
      <w:ind w:left="1440" w:hanging="360"/>
    </w:pPr>
    <w:rPr>
      <w:rFonts w:eastAsia="Times New Roman" w:cs="Times New Roman"/>
      <w:sz w:val="24"/>
      <w:szCs w:val="20"/>
    </w:rPr>
  </w:style>
  <w:style w:type="paragraph" w:styleId="NoSpacing">
    <w:name w:val="No Spacing"/>
    <w:link w:val="NoSpacingChar"/>
    <w:uiPriority w:val="1"/>
    <w:qFormat/>
    <w:rsid w:val="00D544C1"/>
    <w:pPr>
      <w:spacing w:after="0" w:line="240" w:lineRule="auto"/>
    </w:pPr>
    <w:rPr>
      <w:rFonts w:ascii="Times New Roman" w:hAnsi="Times New Roman"/>
    </w:rPr>
  </w:style>
  <w:style w:type="character" w:customStyle="1" w:styleId="Heading4Char">
    <w:name w:val="Heading 4 Char"/>
    <w:basedOn w:val="DefaultParagraphFont"/>
    <w:link w:val="Heading4"/>
    <w:uiPriority w:val="99"/>
    <w:semiHidden/>
    <w:rsid w:val="00D544C1"/>
    <w:rPr>
      <w:rFonts w:ascii="Times New Roman" w:eastAsiaTheme="majorEastAsia" w:hAnsi="Times New Roman" w:cstheme="majorBidi"/>
      <w:b/>
      <w:i/>
      <w:iCs/>
      <w:u w:val="single"/>
    </w:rPr>
  </w:style>
  <w:style w:type="character" w:customStyle="1" w:styleId="Heading5Char">
    <w:name w:val="Heading 5 Char"/>
    <w:basedOn w:val="DefaultParagraphFont"/>
    <w:link w:val="Heading5"/>
    <w:uiPriority w:val="99"/>
    <w:semiHidden/>
    <w:rsid w:val="00D544C1"/>
    <w:rPr>
      <w:rFonts w:ascii="Times New Roman" w:eastAsiaTheme="majorEastAsia" w:hAnsi="Times New Roman" w:cstheme="majorBidi"/>
      <w:color w:val="2F5496" w:themeColor="accent1" w:themeShade="BF"/>
    </w:rPr>
  </w:style>
  <w:style w:type="character" w:customStyle="1" w:styleId="Heading6Char">
    <w:name w:val="Heading 6 Char"/>
    <w:basedOn w:val="DefaultParagraphFont"/>
    <w:link w:val="Heading6"/>
    <w:uiPriority w:val="99"/>
    <w:semiHidden/>
    <w:rsid w:val="00D544C1"/>
    <w:rPr>
      <w:rFonts w:ascii="Times New Roman" w:eastAsiaTheme="majorEastAsia" w:hAnsi="Times New Roman" w:cstheme="majorBidi"/>
      <w:color w:val="1F3763" w:themeColor="accent1" w:themeShade="7F"/>
    </w:rPr>
  </w:style>
  <w:style w:type="character" w:customStyle="1" w:styleId="Heading7Char">
    <w:name w:val="Heading 7 Char"/>
    <w:basedOn w:val="DefaultParagraphFont"/>
    <w:link w:val="Heading7"/>
    <w:uiPriority w:val="99"/>
    <w:semiHidden/>
    <w:rsid w:val="00D544C1"/>
    <w:rPr>
      <w:rFonts w:ascii="Times New Roman" w:eastAsiaTheme="majorEastAsia" w:hAnsi="Times New Roman" w:cstheme="majorBidi"/>
      <w:i/>
      <w:iCs/>
      <w:color w:val="1F3763" w:themeColor="accent1" w:themeShade="7F"/>
    </w:rPr>
  </w:style>
  <w:style w:type="character" w:customStyle="1" w:styleId="Heading8Char">
    <w:name w:val="Heading 8 Char"/>
    <w:basedOn w:val="DefaultParagraphFont"/>
    <w:link w:val="Heading8"/>
    <w:uiPriority w:val="99"/>
    <w:semiHidden/>
    <w:rsid w:val="00D544C1"/>
    <w:rPr>
      <w:rFonts w:ascii="Times New Roman" w:eastAsiaTheme="majorEastAsia" w:hAnsi="Times New Roman"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D544C1"/>
    <w:rPr>
      <w:rFonts w:ascii="Times New Roman" w:eastAsiaTheme="majorEastAsia" w:hAnsi="Times New Roman" w:cstheme="majorBidi"/>
      <w:i/>
      <w:iCs/>
      <w:color w:val="272727" w:themeColor="text1" w:themeTint="D8"/>
      <w:sz w:val="21"/>
      <w:szCs w:val="21"/>
    </w:rPr>
  </w:style>
  <w:style w:type="paragraph" w:styleId="Title">
    <w:name w:val="Title"/>
    <w:basedOn w:val="Normal"/>
    <w:next w:val="Normal"/>
    <w:link w:val="TitleChar"/>
    <w:uiPriority w:val="99"/>
    <w:semiHidden/>
    <w:qFormat/>
    <w:rsid w:val="00D544C1"/>
    <w:pPr>
      <w:spacing w:line="240" w:lineRule="auto"/>
      <w:contextualSpacing/>
      <w:jc w:val="center"/>
    </w:pPr>
    <w:rPr>
      <w:rFonts w:eastAsiaTheme="majorEastAsia" w:cstheme="majorBidi"/>
      <w:b/>
      <w:spacing w:val="-10"/>
      <w:kern w:val="28"/>
      <w:sz w:val="72"/>
      <w:szCs w:val="56"/>
    </w:rPr>
  </w:style>
  <w:style w:type="character" w:customStyle="1" w:styleId="TitleChar">
    <w:name w:val="Title Char"/>
    <w:basedOn w:val="DefaultParagraphFont"/>
    <w:link w:val="Title"/>
    <w:uiPriority w:val="99"/>
    <w:semiHidden/>
    <w:rsid w:val="00D544C1"/>
    <w:rPr>
      <w:rFonts w:ascii="Times New Roman" w:eastAsiaTheme="majorEastAsia" w:hAnsi="Times New Roman" w:cstheme="majorBidi"/>
      <w:b/>
      <w:spacing w:val="-10"/>
      <w:kern w:val="28"/>
      <w:sz w:val="72"/>
      <w:szCs w:val="56"/>
    </w:rPr>
  </w:style>
  <w:style w:type="paragraph" w:styleId="Subtitle">
    <w:name w:val="Subtitle"/>
    <w:basedOn w:val="Normal"/>
    <w:next w:val="Normal"/>
    <w:link w:val="SubtitleChar"/>
    <w:uiPriority w:val="99"/>
    <w:semiHidden/>
    <w:qFormat/>
    <w:rsid w:val="00D544C1"/>
    <w:pPr>
      <w:numPr>
        <w:ilvl w:val="1"/>
      </w:numPr>
      <w:jc w:val="center"/>
    </w:pPr>
    <w:rPr>
      <w:rFonts w:eastAsiaTheme="minorEastAsia"/>
      <w:b/>
      <w:spacing w:val="15"/>
      <w:sz w:val="40"/>
    </w:rPr>
  </w:style>
  <w:style w:type="character" w:customStyle="1" w:styleId="SubtitleChar">
    <w:name w:val="Subtitle Char"/>
    <w:basedOn w:val="DefaultParagraphFont"/>
    <w:link w:val="Subtitle"/>
    <w:uiPriority w:val="99"/>
    <w:semiHidden/>
    <w:rsid w:val="00D544C1"/>
    <w:rPr>
      <w:rFonts w:ascii="Times New Roman" w:eastAsiaTheme="minorEastAsia" w:hAnsi="Times New Roman"/>
      <w:b/>
      <w:spacing w:val="15"/>
      <w:sz w:val="40"/>
    </w:rPr>
  </w:style>
  <w:style w:type="character" w:styleId="SubtleEmphasis">
    <w:name w:val="Subtle Emphasis"/>
    <w:basedOn w:val="DefaultParagraphFont"/>
    <w:uiPriority w:val="99"/>
    <w:semiHidden/>
    <w:qFormat/>
    <w:rsid w:val="00D544C1"/>
    <w:rPr>
      <w:rFonts w:ascii="Times New Roman" w:hAnsi="Times New Roman"/>
      <w:i/>
      <w:iCs/>
      <w:color w:val="404040" w:themeColor="text1" w:themeTint="BF"/>
    </w:rPr>
  </w:style>
  <w:style w:type="character" w:styleId="Emphasis">
    <w:name w:val="Emphasis"/>
    <w:basedOn w:val="DefaultParagraphFont"/>
    <w:uiPriority w:val="99"/>
    <w:semiHidden/>
    <w:qFormat/>
    <w:rsid w:val="00D544C1"/>
    <w:rPr>
      <w:rFonts w:ascii="Agency FB" w:hAnsi="Agency FB"/>
      <w:i/>
      <w:iCs/>
    </w:rPr>
  </w:style>
  <w:style w:type="character" w:styleId="IntenseEmphasis">
    <w:name w:val="Intense Emphasis"/>
    <w:basedOn w:val="DefaultParagraphFont"/>
    <w:uiPriority w:val="99"/>
    <w:semiHidden/>
    <w:qFormat/>
    <w:rsid w:val="00D544C1"/>
    <w:rPr>
      <w:i/>
      <w:iCs/>
      <w:color w:val="4472C4" w:themeColor="accent1"/>
    </w:rPr>
  </w:style>
  <w:style w:type="character" w:styleId="Strong">
    <w:name w:val="Strong"/>
    <w:basedOn w:val="DefaultParagraphFont"/>
    <w:uiPriority w:val="99"/>
    <w:semiHidden/>
    <w:qFormat/>
    <w:rsid w:val="00D544C1"/>
    <w:rPr>
      <w:rFonts w:ascii="Times New Roman" w:hAnsi="Times New Roman"/>
      <w:b/>
      <w:bCs/>
    </w:rPr>
  </w:style>
  <w:style w:type="paragraph" w:styleId="Quote">
    <w:name w:val="Quote"/>
    <w:basedOn w:val="Normal"/>
    <w:next w:val="Normal"/>
    <w:link w:val="QuoteChar"/>
    <w:uiPriority w:val="99"/>
    <w:semiHidden/>
    <w:qFormat/>
    <w:rsid w:val="00D544C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D544C1"/>
    <w:rPr>
      <w:rFonts w:ascii="Times New Roman" w:hAnsi="Times New Roman"/>
      <w:i/>
      <w:iCs/>
      <w:color w:val="404040" w:themeColor="text1" w:themeTint="BF"/>
    </w:rPr>
  </w:style>
  <w:style w:type="paragraph" w:styleId="IntenseQuote">
    <w:name w:val="Intense Quote"/>
    <w:basedOn w:val="Normal"/>
    <w:next w:val="Normal"/>
    <w:link w:val="IntenseQuoteChar"/>
    <w:uiPriority w:val="99"/>
    <w:semiHidden/>
    <w:qFormat/>
    <w:rsid w:val="00D544C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semiHidden/>
    <w:rsid w:val="00D544C1"/>
    <w:rPr>
      <w:rFonts w:ascii="Times New Roman" w:hAnsi="Times New Roman"/>
      <w:i/>
      <w:iCs/>
      <w:color w:val="4472C4" w:themeColor="accent1"/>
    </w:rPr>
  </w:style>
  <w:style w:type="character" w:styleId="SubtleReference">
    <w:name w:val="Subtle Reference"/>
    <w:basedOn w:val="DefaultParagraphFont"/>
    <w:uiPriority w:val="99"/>
    <w:semiHidden/>
    <w:qFormat/>
    <w:rsid w:val="00D544C1"/>
    <w:rPr>
      <w:smallCaps/>
      <w:color w:val="5A5A5A" w:themeColor="text1" w:themeTint="A5"/>
    </w:rPr>
  </w:style>
  <w:style w:type="character" w:styleId="IntenseReference">
    <w:name w:val="Intense Reference"/>
    <w:basedOn w:val="DefaultParagraphFont"/>
    <w:uiPriority w:val="99"/>
    <w:semiHidden/>
    <w:qFormat/>
    <w:rsid w:val="00D544C1"/>
    <w:rPr>
      <w:b/>
      <w:bCs/>
      <w:smallCaps/>
      <w:color w:val="4472C4" w:themeColor="accent1"/>
      <w:spacing w:val="5"/>
    </w:rPr>
  </w:style>
  <w:style w:type="character" w:styleId="BookTitle">
    <w:name w:val="Book Title"/>
    <w:basedOn w:val="DefaultParagraphFont"/>
    <w:rsid w:val="0086341F"/>
    <w:rPr>
      <w:rFonts w:ascii="Times New Roman" w:hAnsi="Times New Roman"/>
      <w:b/>
      <w:bCs/>
      <w:i/>
      <w:iCs/>
      <w:spacing w:val="5"/>
    </w:rPr>
  </w:style>
  <w:style w:type="paragraph" w:styleId="ListParagraph">
    <w:name w:val="List Paragraph"/>
    <w:aliases w:val="List Paragraph_AP,TT - Numbered List Paragraph,Nexant List Paragraph,Bullet Styles para,List Indent,Bullet 1"/>
    <w:basedOn w:val="Normal"/>
    <w:link w:val="ListParagraphChar"/>
    <w:uiPriority w:val="34"/>
    <w:qFormat/>
    <w:rsid w:val="00D544C1"/>
    <w:pPr>
      <w:ind w:left="720"/>
      <w:contextualSpacing/>
    </w:pPr>
  </w:style>
  <w:style w:type="character" w:styleId="FollowedHyperlink">
    <w:name w:val="FollowedHyperlink"/>
    <w:basedOn w:val="DefaultParagraphFont"/>
    <w:uiPriority w:val="99"/>
    <w:semiHidden/>
    <w:unhideWhenUsed/>
    <w:rsid w:val="00D544C1"/>
    <w:rPr>
      <w:color w:val="954F72" w:themeColor="followedHyperlink"/>
      <w:u w:val="single"/>
    </w:rPr>
  </w:style>
  <w:style w:type="table" w:styleId="TableGrid">
    <w:name w:val="Table Grid"/>
    <w:basedOn w:val="TableNormal"/>
    <w:uiPriority w:val="39"/>
    <w:rsid w:val="00D54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544C1"/>
    <w:pPr>
      <w:tabs>
        <w:tab w:val="center" w:pos="4680"/>
        <w:tab w:val="right" w:pos="9360"/>
      </w:tabs>
      <w:spacing w:line="240" w:lineRule="auto"/>
    </w:pPr>
  </w:style>
  <w:style w:type="character" w:customStyle="1" w:styleId="HeaderChar">
    <w:name w:val="Header Char"/>
    <w:basedOn w:val="DefaultParagraphFont"/>
    <w:link w:val="Header"/>
    <w:rsid w:val="00D544C1"/>
    <w:rPr>
      <w:rFonts w:ascii="Times New Roman" w:hAnsi="Times New Roman"/>
    </w:rPr>
  </w:style>
  <w:style w:type="paragraph" w:styleId="Footer">
    <w:name w:val="footer"/>
    <w:basedOn w:val="Normal"/>
    <w:link w:val="FooterChar"/>
    <w:rsid w:val="00D544C1"/>
    <w:pPr>
      <w:tabs>
        <w:tab w:val="center" w:pos="4680"/>
        <w:tab w:val="right" w:pos="9360"/>
      </w:tabs>
      <w:spacing w:line="240" w:lineRule="auto"/>
    </w:pPr>
  </w:style>
  <w:style w:type="character" w:customStyle="1" w:styleId="FooterChar">
    <w:name w:val="Footer Char"/>
    <w:basedOn w:val="DefaultParagraphFont"/>
    <w:link w:val="Footer"/>
    <w:rsid w:val="00D544C1"/>
    <w:rPr>
      <w:rFonts w:ascii="Times New Roman" w:hAnsi="Times New Roman"/>
    </w:rPr>
  </w:style>
  <w:style w:type="character" w:styleId="PlaceholderText">
    <w:name w:val="Placeholder Text"/>
    <w:basedOn w:val="DefaultParagraphFont"/>
    <w:uiPriority w:val="99"/>
    <w:semiHidden/>
    <w:rsid w:val="00D544C1"/>
    <w:rPr>
      <w:color w:val="808080"/>
    </w:rPr>
  </w:style>
  <w:style w:type="paragraph" w:styleId="TOCHeading">
    <w:name w:val="TOC Heading"/>
    <w:basedOn w:val="Heading1"/>
    <w:next w:val="Normal"/>
    <w:uiPriority w:val="39"/>
    <w:unhideWhenUsed/>
    <w:rsid w:val="00D544C1"/>
    <w:pPr>
      <w:numPr>
        <w:numId w:val="0"/>
      </w:numPr>
      <w:spacing w:after="0" w:line="259" w:lineRule="auto"/>
      <w:outlineLvl w:val="9"/>
    </w:pPr>
    <w:rPr>
      <w:b w:val="0"/>
      <w:bCs w:val="0"/>
      <w:color w:val="2F5496" w:themeColor="accent1" w:themeShade="BF"/>
      <w:sz w:val="32"/>
      <w:szCs w:val="32"/>
    </w:rPr>
  </w:style>
  <w:style w:type="table" w:styleId="ListTable3-Accent3">
    <w:name w:val="List Table 3 Accent 3"/>
    <w:basedOn w:val="TableNormal"/>
    <w:uiPriority w:val="48"/>
    <w:rsid w:val="00D544C1"/>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TOC4">
    <w:name w:val="toc 4"/>
    <w:basedOn w:val="Normal"/>
    <w:next w:val="Normal"/>
    <w:autoRedefine/>
    <w:uiPriority w:val="39"/>
    <w:semiHidden/>
    <w:unhideWhenUsed/>
    <w:rsid w:val="00D544C1"/>
    <w:pPr>
      <w:spacing w:after="100"/>
      <w:ind w:left="660"/>
    </w:pPr>
  </w:style>
  <w:style w:type="character" w:styleId="CommentReference">
    <w:name w:val="annotation reference"/>
    <w:basedOn w:val="DefaultParagraphFont"/>
    <w:unhideWhenUsed/>
    <w:rsid w:val="00D544C1"/>
    <w:rPr>
      <w:sz w:val="16"/>
      <w:szCs w:val="16"/>
    </w:rPr>
  </w:style>
  <w:style w:type="paragraph" w:styleId="CommentText">
    <w:name w:val="annotation text"/>
    <w:basedOn w:val="Normal"/>
    <w:link w:val="CommentTextChar"/>
    <w:uiPriority w:val="99"/>
    <w:unhideWhenUsed/>
    <w:rsid w:val="00D544C1"/>
    <w:pPr>
      <w:spacing w:line="240" w:lineRule="auto"/>
    </w:pPr>
    <w:rPr>
      <w:sz w:val="20"/>
      <w:szCs w:val="20"/>
    </w:rPr>
  </w:style>
  <w:style w:type="character" w:customStyle="1" w:styleId="CommentTextChar">
    <w:name w:val="Comment Text Char"/>
    <w:basedOn w:val="DefaultParagraphFont"/>
    <w:link w:val="CommentText"/>
    <w:uiPriority w:val="99"/>
    <w:rsid w:val="00D544C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544C1"/>
    <w:rPr>
      <w:b/>
      <w:bCs/>
    </w:rPr>
  </w:style>
  <w:style w:type="character" w:customStyle="1" w:styleId="CommentSubjectChar">
    <w:name w:val="Comment Subject Char"/>
    <w:basedOn w:val="CommentTextChar"/>
    <w:link w:val="CommentSubject"/>
    <w:uiPriority w:val="99"/>
    <w:semiHidden/>
    <w:rsid w:val="00D544C1"/>
    <w:rPr>
      <w:rFonts w:ascii="Times New Roman" w:hAnsi="Times New Roman"/>
      <w:b/>
      <w:bCs/>
      <w:sz w:val="20"/>
      <w:szCs w:val="20"/>
    </w:rPr>
  </w:style>
  <w:style w:type="paragraph" w:styleId="Revision">
    <w:name w:val="Revision"/>
    <w:hidden/>
    <w:uiPriority w:val="99"/>
    <w:semiHidden/>
    <w:rsid w:val="00B807D4"/>
    <w:pPr>
      <w:spacing w:after="0" w:line="240" w:lineRule="auto"/>
    </w:pPr>
    <w:rPr>
      <w:rFonts w:ascii="Times New Roman" w:hAnsi="Times New Roman"/>
    </w:rPr>
  </w:style>
  <w:style w:type="paragraph" w:styleId="BalloonText">
    <w:name w:val="Balloon Text"/>
    <w:basedOn w:val="Normal"/>
    <w:link w:val="BalloonTextChar"/>
    <w:uiPriority w:val="99"/>
    <w:semiHidden/>
    <w:unhideWhenUsed/>
    <w:rsid w:val="00D544C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4C1"/>
    <w:rPr>
      <w:rFonts w:ascii="Segoe UI" w:hAnsi="Segoe UI" w:cs="Segoe UI"/>
      <w:sz w:val="18"/>
      <w:szCs w:val="18"/>
    </w:rPr>
  </w:style>
  <w:style w:type="character" w:customStyle="1" w:styleId="Mention1">
    <w:name w:val="Mention1"/>
    <w:basedOn w:val="DefaultParagraphFont"/>
    <w:uiPriority w:val="99"/>
    <w:semiHidden/>
    <w:unhideWhenUsed/>
    <w:rsid w:val="00D544C1"/>
    <w:rPr>
      <w:color w:val="2B579A"/>
      <w:shd w:val="clear" w:color="auto" w:fill="E6E6E6"/>
    </w:rPr>
  </w:style>
  <w:style w:type="paragraph" w:styleId="BodyText">
    <w:name w:val="Body Text"/>
    <w:basedOn w:val="Normal"/>
    <w:link w:val="BodyTextChar"/>
    <w:qFormat/>
    <w:rsid w:val="00D544C1"/>
    <w:pPr>
      <w:ind w:left="720"/>
    </w:pPr>
  </w:style>
  <w:style w:type="character" w:customStyle="1" w:styleId="BodyTextChar">
    <w:name w:val="Body Text Char"/>
    <w:basedOn w:val="DefaultParagraphFont"/>
    <w:link w:val="BodyText"/>
    <w:rsid w:val="00D544C1"/>
    <w:rPr>
      <w:rFonts w:ascii="Times New Roman" w:hAnsi="Times New Roman"/>
    </w:rPr>
  </w:style>
  <w:style w:type="table" w:customStyle="1" w:styleId="TableGrid1">
    <w:name w:val="Table Grid1"/>
    <w:basedOn w:val="TableNormal"/>
    <w:next w:val="TableGrid"/>
    <w:uiPriority w:val="39"/>
    <w:rsid w:val="00B27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27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D544C1"/>
    <w:rPr>
      <w:i/>
      <w:iCs/>
    </w:rPr>
  </w:style>
  <w:style w:type="paragraph" w:customStyle="1" w:styleId="ListNoNumber">
    <w:name w:val="List No Number"/>
    <w:basedOn w:val="ListNumber"/>
    <w:qFormat/>
    <w:rsid w:val="00AC3380"/>
    <w:pPr>
      <w:numPr>
        <w:numId w:val="0"/>
      </w:numPr>
      <w:ind w:left="1440"/>
    </w:pPr>
  </w:style>
  <w:style w:type="paragraph" w:customStyle="1" w:styleId="Illustration">
    <w:name w:val="Illustration"/>
    <w:basedOn w:val="Normal"/>
    <w:qFormat/>
    <w:rsid w:val="00810A03"/>
    <w:pPr>
      <w:spacing w:line="240" w:lineRule="auto"/>
      <w:jc w:val="center"/>
    </w:pPr>
    <w:rPr>
      <w:rFonts w:cs="Times New Roman"/>
      <w:noProof/>
    </w:rPr>
  </w:style>
  <w:style w:type="paragraph" w:customStyle="1" w:styleId="TurnPage">
    <w:name w:val="Turn Page"/>
    <w:basedOn w:val="Normal"/>
    <w:qFormat/>
    <w:rsid w:val="000F7755"/>
    <w:pPr>
      <w:spacing w:line="240" w:lineRule="auto"/>
      <w:jc w:val="right"/>
    </w:pPr>
    <w:rPr>
      <w:i/>
    </w:rPr>
  </w:style>
  <w:style w:type="character" w:styleId="UnresolvedMention">
    <w:name w:val="Unresolved Mention"/>
    <w:basedOn w:val="DefaultParagraphFont"/>
    <w:uiPriority w:val="99"/>
    <w:semiHidden/>
    <w:unhideWhenUsed/>
    <w:rsid w:val="007831EB"/>
    <w:rPr>
      <w:color w:val="605E5C"/>
      <w:shd w:val="clear" w:color="auto" w:fill="E1DFDD"/>
    </w:rPr>
  </w:style>
  <w:style w:type="paragraph" w:customStyle="1" w:styleId="Default">
    <w:name w:val="Default"/>
    <w:rsid w:val="00D43662"/>
    <w:pPr>
      <w:autoSpaceDE w:val="0"/>
      <w:autoSpaceDN w:val="0"/>
      <w:adjustRightInd w:val="0"/>
      <w:spacing w:after="0" w:line="240" w:lineRule="auto"/>
    </w:pPr>
    <w:rPr>
      <w:rFonts w:ascii="Garamond" w:hAnsi="Garamond" w:cs="Garamond"/>
      <w:color w:val="000000"/>
      <w:sz w:val="24"/>
      <w:szCs w:val="24"/>
    </w:rPr>
  </w:style>
  <w:style w:type="paragraph" w:customStyle="1" w:styleId="TableBodyText">
    <w:name w:val="Table Body Text"/>
    <w:basedOn w:val="Normal"/>
    <w:qFormat/>
    <w:rsid w:val="009E45CC"/>
    <w:pPr>
      <w:overflowPunct w:val="0"/>
      <w:autoSpaceDE w:val="0"/>
      <w:autoSpaceDN w:val="0"/>
      <w:adjustRightInd w:val="0"/>
      <w:spacing w:before="20" w:after="20" w:line="240" w:lineRule="auto"/>
      <w:textAlignment w:val="baseline"/>
    </w:pPr>
    <w:rPr>
      <w:rFonts w:ascii="Arial" w:eastAsia="Times New Roman" w:hAnsi="Arial" w:cs="Times New Roman"/>
      <w:sz w:val="20"/>
    </w:rPr>
  </w:style>
  <w:style w:type="paragraph" w:customStyle="1" w:styleId="TableHeader">
    <w:name w:val="Table Header"/>
    <w:basedOn w:val="TableBodyText"/>
    <w:next w:val="TableBodyText"/>
    <w:rsid w:val="009E45CC"/>
    <w:pPr>
      <w:keepNext/>
      <w:spacing w:before="60" w:after="60"/>
      <w:jc w:val="center"/>
    </w:pPr>
    <w:rPr>
      <w:b/>
      <w:bCs/>
      <w:sz w:val="22"/>
    </w:rPr>
  </w:style>
  <w:style w:type="paragraph" w:customStyle="1" w:styleId="TableHeading2">
    <w:name w:val="Table Heading 2"/>
    <w:basedOn w:val="TableHeader"/>
    <w:rsid w:val="009E45CC"/>
    <w:pPr>
      <w:keepNext w:val="0"/>
      <w:widowControl w:val="0"/>
      <w:spacing w:before="20" w:after="20"/>
    </w:pPr>
    <w:rPr>
      <w:sz w:val="20"/>
    </w:rPr>
  </w:style>
  <w:style w:type="table" w:customStyle="1" w:styleId="BandedBlueTable">
    <w:name w:val="Banded Blue Table"/>
    <w:basedOn w:val="TableNormal"/>
    <w:uiPriority w:val="99"/>
    <w:rsid w:val="006973BC"/>
    <w:pPr>
      <w:spacing w:after="0" w:line="240" w:lineRule="auto"/>
    </w:pPr>
    <w:rPr>
      <w:rFonts w:ascii="Calibri" w:hAnsi="Calibri"/>
      <w:color w:val="000000" w:themeColor="text1"/>
    </w:rPr>
    <w:tblPr>
      <w:tblStyleRow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86" w:type="dxa"/>
        <w:left w:w="115" w:type="dxa"/>
        <w:bottom w:w="86" w:type="dxa"/>
        <w:right w:w="115" w:type="dxa"/>
      </w:tblCellMar>
    </w:tblPr>
    <w:tblStylePr w:type="firstRow">
      <w:rPr>
        <w:b/>
        <w:color w:val="FFFFFF" w:themeColor="background1"/>
        <w:sz w:val="20"/>
      </w:rPr>
      <w:tblPr/>
      <w:tcPr>
        <w:shd w:val="clear" w:color="auto" w:fill="2F5496" w:themeFill="accent1" w:themeFillShade="BF"/>
      </w:tcPr>
    </w:tblStylePr>
    <w:tblStylePr w:type="band2Horz">
      <w:tblPr/>
      <w:tcPr>
        <w:shd w:val="clear" w:color="auto" w:fill="D9E2F3" w:themeFill="accent1" w:themeFillTint="33"/>
      </w:tcPr>
    </w:tblStylePr>
  </w:style>
  <w:style w:type="character" w:customStyle="1" w:styleId="ListParagraphChar">
    <w:name w:val="List Paragraph Char"/>
    <w:aliases w:val="List Paragraph_AP Char,TT - Numbered List Paragraph Char,Nexant List Paragraph Char,Bullet Styles para Char,List Indent Char,Bullet 1 Char"/>
    <w:link w:val="ListParagraph"/>
    <w:uiPriority w:val="34"/>
    <w:rsid w:val="000E43A3"/>
    <w:rPr>
      <w:rFonts w:ascii="Times New Roman" w:hAnsi="Times New Roman"/>
    </w:rPr>
  </w:style>
  <w:style w:type="paragraph" w:customStyle="1" w:styleId="BulletList-1">
    <w:name w:val="Bullet List - 1"/>
    <w:basedOn w:val="Normal"/>
    <w:uiPriority w:val="1"/>
    <w:qFormat/>
    <w:rsid w:val="005E517C"/>
    <w:pPr>
      <w:numPr>
        <w:numId w:val="21"/>
      </w:numPr>
      <w:spacing w:after="0" w:line="276" w:lineRule="auto"/>
      <w:contextualSpacing/>
    </w:pPr>
    <w:rPr>
      <w:rFonts w:ascii="Calibri" w:hAnsi="Calibri" w:cs="Times New Roman"/>
      <w:color w:val="000000" w:themeColor="text1"/>
    </w:rPr>
  </w:style>
  <w:style w:type="paragraph" w:customStyle="1" w:styleId="BulletList-2">
    <w:name w:val="Bullet List - 2"/>
    <w:basedOn w:val="Normal"/>
    <w:uiPriority w:val="1"/>
    <w:qFormat/>
    <w:rsid w:val="005E517C"/>
    <w:pPr>
      <w:numPr>
        <w:ilvl w:val="1"/>
        <w:numId w:val="21"/>
      </w:numPr>
      <w:spacing w:after="0" w:line="276" w:lineRule="auto"/>
    </w:pPr>
    <w:rPr>
      <w:rFonts w:ascii="Calibri" w:hAnsi="Calibri" w:cs="Times New Roman"/>
      <w:color w:val="000000" w:themeColor="text1"/>
    </w:rPr>
  </w:style>
  <w:style w:type="paragraph" w:customStyle="1" w:styleId="BulletList-3">
    <w:name w:val="Bullet List - 3"/>
    <w:basedOn w:val="Normal"/>
    <w:uiPriority w:val="1"/>
    <w:rsid w:val="005E517C"/>
    <w:pPr>
      <w:numPr>
        <w:ilvl w:val="2"/>
        <w:numId w:val="21"/>
      </w:numPr>
      <w:spacing w:after="0" w:line="276" w:lineRule="auto"/>
    </w:pPr>
    <w:rPr>
      <w:rFonts w:ascii="Calibri" w:hAnsi="Calibri" w:cs="Times New Roman"/>
      <w:color w:val="000000" w:themeColor="text1"/>
    </w:rPr>
  </w:style>
  <w:style w:type="numbering" w:customStyle="1" w:styleId="BulletList-List">
    <w:name w:val="Bullet List - List"/>
    <w:uiPriority w:val="99"/>
    <w:rsid w:val="005E517C"/>
    <w:pPr>
      <w:numPr>
        <w:numId w:val="20"/>
      </w:numPr>
    </w:pPr>
  </w:style>
  <w:style w:type="paragraph" w:customStyle="1" w:styleId="BodyText1">
    <w:name w:val="Body Text1"/>
    <w:basedOn w:val="Normal"/>
    <w:qFormat/>
    <w:rsid w:val="00520513"/>
    <w:pPr>
      <w:spacing w:after="180" w:line="276" w:lineRule="auto"/>
    </w:pPr>
    <w:rPr>
      <w:rFonts w:ascii="Arial" w:hAnsi="Arial"/>
    </w:rPr>
  </w:style>
  <w:style w:type="character" w:customStyle="1" w:styleId="NoSpacingChar">
    <w:name w:val="No Spacing Char"/>
    <w:basedOn w:val="DefaultParagraphFont"/>
    <w:link w:val="NoSpacing"/>
    <w:uiPriority w:val="1"/>
    <w:rsid w:val="00520513"/>
    <w:rPr>
      <w:rFonts w:ascii="Times New Roman" w:hAnsi="Times New Roman"/>
    </w:rPr>
  </w:style>
  <w:style w:type="paragraph" w:customStyle="1" w:styleId="BulletList">
    <w:name w:val="Bullet List"/>
    <w:basedOn w:val="BodyText"/>
    <w:link w:val="BulletListChar"/>
    <w:qFormat/>
    <w:rsid w:val="00520513"/>
    <w:pPr>
      <w:numPr>
        <w:numId w:val="29"/>
      </w:numPr>
      <w:spacing w:after="120"/>
    </w:pPr>
  </w:style>
  <w:style w:type="character" w:customStyle="1" w:styleId="BulletListChar">
    <w:name w:val="Bullet List Char"/>
    <w:basedOn w:val="BodyTextChar"/>
    <w:link w:val="BulletList"/>
    <w:rsid w:val="00520513"/>
    <w:rPr>
      <w:rFonts w:ascii="Times New Roman" w:hAnsi="Times New Roman"/>
    </w:rPr>
  </w:style>
  <w:style w:type="character" w:customStyle="1" w:styleId="cf01">
    <w:name w:val="cf01"/>
    <w:basedOn w:val="DefaultParagraphFont"/>
    <w:rsid w:val="00F6295E"/>
    <w:rPr>
      <w:rFonts w:ascii="Segoe UI" w:hAnsi="Segoe UI" w:cs="Segoe UI" w:hint="default"/>
      <w:sz w:val="18"/>
      <w:szCs w:val="18"/>
    </w:rPr>
  </w:style>
  <w:style w:type="character" w:styleId="Mention">
    <w:name w:val="Mention"/>
    <w:basedOn w:val="DefaultParagraphFont"/>
    <w:uiPriority w:val="99"/>
    <w:unhideWhenUsed/>
    <w:rsid w:val="003A47F9"/>
    <w:rPr>
      <w:color w:val="2B579A"/>
      <w:shd w:val="clear" w:color="auto" w:fill="E1DFDD"/>
    </w:rPr>
  </w:style>
  <w:style w:type="table" w:styleId="GridTable4-Accent3">
    <w:name w:val="Grid Table 4 Accent 3"/>
    <w:basedOn w:val="TableNormal"/>
    <w:uiPriority w:val="49"/>
    <w:rsid w:val="003B00AE"/>
    <w:pPr>
      <w:spacing w:after="0" w:line="240" w:lineRule="auto"/>
    </w:pPr>
    <w:rPr>
      <w:rFonts w:ascii="Segoe UI" w:hAnsi="Segoe UI" w:cs="Segoe UI"/>
      <w:color w:val="3F3F3F"/>
      <w:sz w:val="24"/>
      <w:szCs w:val="24"/>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f0">
    <w:name w:val="pf0"/>
    <w:basedOn w:val="Normal"/>
    <w:rsid w:val="003B00AE"/>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471237">
      <w:bodyDiv w:val="1"/>
      <w:marLeft w:val="0"/>
      <w:marRight w:val="0"/>
      <w:marTop w:val="0"/>
      <w:marBottom w:val="0"/>
      <w:divBdr>
        <w:top w:val="none" w:sz="0" w:space="0" w:color="auto"/>
        <w:left w:val="none" w:sz="0" w:space="0" w:color="auto"/>
        <w:bottom w:val="none" w:sz="0" w:space="0" w:color="auto"/>
        <w:right w:val="none" w:sz="0" w:space="0" w:color="auto"/>
      </w:divBdr>
    </w:div>
    <w:div w:id="870728578">
      <w:bodyDiv w:val="1"/>
      <w:marLeft w:val="0"/>
      <w:marRight w:val="0"/>
      <w:marTop w:val="0"/>
      <w:marBottom w:val="0"/>
      <w:divBdr>
        <w:top w:val="none" w:sz="0" w:space="0" w:color="auto"/>
        <w:left w:val="none" w:sz="0" w:space="0" w:color="auto"/>
        <w:bottom w:val="none" w:sz="0" w:space="0" w:color="auto"/>
        <w:right w:val="none" w:sz="0" w:space="0" w:color="auto"/>
      </w:divBdr>
    </w:div>
    <w:div w:id="1056510285">
      <w:bodyDiv w:val="1"/>
      <w:marLeft w:val="0"/>
      <w:marRight w:val="0"/>
      <w:marTop w:val="0"/>
      <w:marBottom w:val="0"/>
      <w:divBdr>
        <w:top w:val="none" w:sz="0" w:space="0" w:color="auto"/>
        <w:left w:val="none" w:sz="0" w:space="0" w:color="auto"/>
        <w:bottom w:val="none" w:sz="0" w:space="0" w:color="auto"/>
        <w:right w:val="none" w:sz="0" w:space="0" w:color="auto"/>
      </w:divBdr>
    </w:div>
    <w:div w:id="190482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da.energydataweb.com/api/view/2647/CA_3_CYCLE_SEM_Design_Guide_V1.01.pdf" TargetMode="External"/><Relationship Id="rId18" Type="http://schemas.openxmlformats.org/officeDocument/2006/relationships/image" Target="media/image4.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pda.energydataweb.com/api/view/2648/CA_SEM_MV_Guide_v3.02.pdf" TargetMode="External"/><Relationship Id="rId34" Type="http://schemas.openxmlformats.org/officeDocument/2006/relationships/hyperlink" Target="https://pda.energydataweb.com/api/view/2648/CA_SEM_MV_Guide_v3.02.pdf"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3.emf"/><Relationship Id="rId25" Type="http://schemas.openxmlformats.org/officeDocument/2006/relationships/hyperlink" Target="https://pda.energydataweb.com/api/view/2648/CA_SEM_MV_Guide_v3.02.pdf" TargetMode="External"/><Relationship Id="rId33"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pda.energydataweb.com/api/view/2647/CA_3_CYCLE_SEM_Design_Guide_V1.01.pdf" TargetMode="External"/><Relationship Id="rId29" Type="http://schemas.openxmlformats.org/officeDocument/2006/relationships/hyperlink" Target="https://www.caetrm.com/dashboar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da.energydataweb.com/api/view/2648/CA_SEM_MV_Guide_v3.02.pdf" TargetMode="External"/><Relationship Id="rId32" Type="http://schemas.openxmlformats.org/officeDocument/2006/relationships/hyperlink" Target="https://www.caetrm.com/dashboard/"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pda.energydataweb.com/api/view/2648/CA_SEM_MV_Guide_v3.02.pdf" TargetMode="External"/><Relationship Id="rId23" Type="http://schemas.openxmlformats.org/officeDocument/2006/relationships/hyperlink" Target="https://pda.energydataweb.com/api/view/2647/CA_3_CYCLE_SEM_Design_Guide_V1.01.pdf" TargetMode="External"/><Relationship Id="rId28" Type="http://schemas.openxmlformats.org/officeDocument/2006/relationships/image" Target="media/image6.png"/><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pda.energydataweb.com/api/view/2648/CA_SEM_MV_Guide_v3.02.pdf" TargetMode="External"/><Relationship Id="rId31" Type="http://schemas.openxmlformats.org/officeDocument/2006/relationships/hyperlink" Target="https://www.caetrm.com/dashboar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da.energydataweb.com/api/view/2647/CA_3_CYCLE_SEM_Design_Guide_V1.01.pdf" TargetMode="External"/><Relationship Id="rId22" Type="http://schemas.openxmlformats.org/officeDocument/2006/relationships/hyperlink" Target="https://pda.energydataweb.com/api/view/2647/CA_3_CYCLE_SEM_Design_Guide_V1.01.pdf" TargetMode="External"/><Relationship Id="rId27" Type="http://schemas.openxmlformats.org/officeDocument/2006/relationships/image" Target="media/image5.png"/><Relationship Id="rId30" Type="http://schemas.openxmlformats.org/officeDocument/2006/relationships/hyperlink" Target="https://www.caetrm.com/dashboard/" TargetMode="External"/><Relationship Id="rId35" Type="http://schemas.openxmlformats.org/officeDocument/2006/relationships/hyperlink" Target="https://pda.energydataweb.com/api/view/2648/CA_SEM_MV_Guide_v3.02.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rel.gov/docs/fy02osti/31505.pdf" TargetMode="External"/><Relationship Id="rId2" Type="http://schemas.openxmlformats.org/officeDocument/2006/relationships/hyperlink" Target="https://file.ac/OEr-2p-bk3A/" TargetMode="External"/><Relationship Id="rId1" Type="http://schemas.openxmlformats.org/officeDocument/2006/relationships/hyperlink" Target="https://docs.cpuc.ca.gov/PublishedDocs/Published/G000/M501/K931/501931085.PDF" TargetMode="External"/><Relationship Id="rId5" Type="http://schemas.openxmlformats.org/officeDocument/2006/relationships/hyperlink" Target="https://semhub.com/resources/mt-r-reference-guide-revision-5-0" TargetMode="External"/><Relationship Id="rId4" Type="http://schemas.openxmlformats.org/officeDocument/2006/relationships/hyperlink" Target="https://www.nrel.gov/docs/fy17osti/6831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balen\AppData\Local\Microsoft\Windows\INetCache\Content.Outlook\1SYUE381\SCE%20Implementation%20Plan%20Template%20V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5da448-bf9c-43e8-8676-7e88d583ded9" xsi:nil="true"/>
    <cf0f9a78bd504807a2e2623e4631b3fa xmlns="e45da448-bf9c-43e8-8676-7e88d583ded9">
      <Terms xmlns="http://schemas.microsoft.com/office/infopath/2007/PartnerControls"/>
    </cf0f9a78bd504807a2e2623e4631b3fa>
    <h19982cb4b68468f87fd990f143edc70 xmlns="e45da448-bf9c-43e8-8676-7e88d583ded9">
      <Terms xmlns="http://schemas.microsoft.com/office/infopath/2007/PartnerControls"/>
    </h19982cb4b68468f87fd990f143edc70>
    <p966c3bd56b4429f8be8750bc2889a10 xmlns="e45da448-bf9c-43e8-8676-7e88d583ded9">
      <Terms xmlns="http://schemas.microsoft.com/office/infopath/2007/PartnerControls"/>
    </p966c3bd56b4429f8be8750bc2889a10>
    <b01666ef1c1d4feda5610ef2152091e3 xmlns="e45da448-bf9c-43e8-8676-7e88d583ded9">
      <Terms xmlns="http://schemas.microsoft.com/office/infopath/2007/PartnerControls"/>
    </b01666ef1c1d4feda5610ef2152091e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da7e81d-6ea8-45c5-b51f-f6fb8dd5843f" ContentTypeId="0x0101000126D57F6C1098408AE9C97F7ECFC4C7" PreviousValue="false"/>
</file>

<file path=customXml/item4.xml><?xml version="1.0" encoding="utf-8"?>
<ct:contentTypeSchema xmlns:ct="http://schemas.microsoft.com/office/2006/metadata/contentType" xmlns:ma="http://schemas.microsoft.com/office/2006/metadata/properties/metaAttributes" ct:_="" ma:_="" ma:contentTypeName="Global Set" ma:contentTypeID="0x0101000126D57F6C1098408AE9C97F7ECFC4C70025C9ADDC0DE3944B9069BBE07ECBA0A2" ma:contentTypeVersion="" ma:contentTypeDescription="" ma:contentTypeScope="" ma:versionID="c3eac877b92aa9d42693bfab1a086bac">
  <xsd:schema xmlns:xsd="http://www.w3.org/2001/XMLSchema" xmlns:xs="http://www.w3.org/2001/XMLSchema" xmlns:p="http://schemas.microsoft.com/office/2006/metadata/properties" xmlns:ns2="e45da448-bf9c-43e8-8676-7e88d583ded9" targetNamespace="http://schemas.microsoft.com/office/2006/metadata/properties" ma:root="true" ma:fieldsID="3b40d596340be30e6d8cb273b69e96f1" ns2:_="">
    <xsd:import namespace="e45da448-bf9c-43e8-8676-7e88d583ded9"/>
    <xsd:element name="properties">
      <xsd:complexType>
        <xsd:sequence>
          <xsd:element name="documentManagement">
            <xsd:complexType>
              <xsd:all>
                <xsd:element ref="ns2:TaxCatchAllLabel" minOccurs="0"/>
                <xsd:element ref="ns2:p966c3bd56b4429f8be8750bc2889a10" minOccurs="0"/>
                <xsd:element ref="ns2:h19982cb4b68468f87fd990f143edc70" minOccurs="0"/>
                <xsd:element ref="ns2:cf0f9a78bd504807a2e2623e4631b3fa" minOccurs="0"/>
                <xsd:element ref="ns2:b01666ef1c1d4feda5610ef2152091e3"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da448-bf9c-43e8-8676-7e88d583ded9"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4959d705-af42-4565-8d9d-b4af64eb38c8}" ma:internalName="TaxCatchAllLabel" ma:readOnly="true" ma:showField="CatchAllDataLabel" ma:web="8d8e91e5-6f3b-40b5-a606-638f4210b3bc">
      <xsd:complexType>
        <xsd:complexContent>
          <xsd:extension base="dms:MultiChoiceLookup">
            <xsd:sequence>
              <xsd:element name="Value" type="dms:Lookup" maxOccurs="unbounded" minOccurs="0" nillable="true"/>
            </xsd:sequence>
          </xsd:extension>
        </xsd:complexContent>
      </xsd:complexType>
    </xsd:element>
    <xsd:element name="p966c3bd56b4429f8be8750bc2889a10" ma:index="12" nillable="true" ma:taxonomy="true" ma:internalName="p966c3bd56b4429f8be8750bc2889a10" ma:taxonomyFieldName="SCE_x0020_Handling_x0020_Classifications" ma:displayName="SCE Handling Classifications" ma:default="" ma:fieldId="{9966c3bd-56b4-429f-8be8-750bc2889a10}" ma:taxonomyMulti="true" ma:sspId="1da7e81d-6ea8-45c5-b51f-f6fb8dd5843f" ma:termSetId="5d17f32d-b94c-400c-8e7d-4f26f0d0cc75" ma:anchorId="00000000-0000-0000-0000-000000000000" ma:open="false" ma:isKeyword="false">
      <xsd:complexType>
        <xsd:sequence>
          <xsd:element ref="pc:Terms" minOccurs="0" maxOccurs="1"/>
        </xsd:sequence>
      </xsd:complexType>
    </xsd:element>
    <xsd:element name="h19982cb4b68468f87fd990f143edc70" ma:index="13" nillable="true" ma:taxonomy="true" ma:internalName="h19982cb4b68468f87fd990f143edc70" ma:taxonomyFieldName="SCEDocumentType" ma:displayName="SCE Document Type" ma:default="" ma:fieldId="{119982cb-4b68-468f-87fd-990f143edc70}" ma:sspId="1da7e81d-6ea8-45c5-b51f-f6fb8dd5843f" ma:termSetId="1926f50e-84fd-413b-9323-8cb7129deefd" ma:anchorId="a2dcb3dd-4497-4c3b-b4f4-397af68b8279" ma:open="false" ma:isKeyword="false">
      <xsd:complexType>
        <xsd:sequence>
          <xsd:element ref="pc:Terms" minOccurs="0" maxOccurs="1"/>
        </xsd:sequence>
      </xsd:complexType>
    </xsd:element>
    <xsd:element name="cf0f9a78bd504807a2e2623e4631b3fa" ma:index="14" nillable="true" ma:taxonomy="true" ma:internalName="cf0f9a78bd504807a2e2623e4631b3fa" ma:taxonomyFieldName="SCE_x0020_Access_x0020_Classification" ma:displayName="SCE Access Classification" ma:default="" ma:fieldId="{cf0f9a78-bd50-4807-a2e2-623e4631b3fa}" ma:sspId="1da7e81d-6ea8-45c5-b51f-f6fb8dd5843f" ma:termSetId="0cd2d6f6-43b5-4d7b-8dc6-eb8f0e52307e" ma:anchorId="00000000-0000-0000-0000-000000000000" ma:open="false" ma:isKeyword="false">
      <xsd:complexType>
        <xsd:sequence>
          <xsd:element ref="pc:Terms" minOccurs="0" maxOccurs="1"/>
        </xsd:sequence>
      </xsd:complexType>
    </xsd:element>
    <xsd:element name="b01666ef1c1d4feda5610ef2152091e3" ma:index="16" nillable="true" ma:taxonomy="true" ma:internalName="b01666ef1c1d4feda5610ef2152091e3" ma:taxonomyFieldName="SCE_x0020_Owner" ma:displayName="SCE Owner" ma:default="" ma:fieldId="{b01666ef-1c1d-4fed-a561-0ef2152091e3}" ma:sspId="1da7e81d-6ea8-45c5-b51f-f6fb8dd5843f" ma:termSetId="b7152481-c1a6-4cbc-91c8-073245628584"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4959d705-af42-4565-8d9d-b4af64eb38c8}" ma:internalName="TaxCatchAll" ma:showField="CatchAllData" ma:web="8d8e91e5-6f3b-40b5-a606-638f4210b3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9A570-8AD6-4E83-AA9E-11DF998208A4}">
  <ds:schemaRefs>
    <ds:schemaRef ds:uri="http://schemas.microsoft.com/office/2006/metadata/properties"/>
    <ds:schemaRef ds:uri="http://schemas.microsoft.com/office/infopath/2007/PartnerControls"/>
    <ds:schemaRef ds:uri="e45da448-bf9c-43e8-8676-7e88d583ded9"/>
  </ds:schemaRefs>
</ds:datastoreItem>
</file>

<file path=customXml/itemProps2.xml><?xml version="1.0" encoding="utf-8"?>
<ds:datastoreItem xmlns:ds="http://schemas.openxmlformats.org/officeDocument/2006/customXml" ds:itemID="{01624FBF-4350-4C63-BDC8-1D6C1E7EC3BE}">
  <ds:schemaRefs>
    <ds:schemaRef ds:uri="http://schemas.microsoft.com/sharepoint/v3/contenttype/forms"/>
  </ds:schemaRefs>
</ds:datastoreItem>
</file>

<file path=customXml/itemProps3.xml><?xml version="1.0" encoding="utf-8"?>
<ds:datastoreItem xmlns:ds="http://schemas.openxmlformats.org/officeDocument/2006/customXml" ds:itemID="{E73FAB86-EF61-41DB-8424-AC5AE4A67BD5}">
  <ds:schemaRefs>
    <ds:schemaRef ds:uri="Microsoft.SharePoint.Taxonomy.ContentTypeSync"/>
  </ds:schemaRefs>
</ds:datastoreItem>
</file>

<file path=customXml/itemProps4.xml><?xml version="1.0" encoding="utf-8"?>
<ds:datastoreItem xmlns:ds="http://schemas.openxmlformats.org/officeDocument/2006/customXml" ds:itemID="{6AF6EC83-2D4D-40EC-9AFA-77634D738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da448-bf9c-43e8-8676-7e88d583d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9D7161-6249-484F-94DC-86C368809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SCE Implementation Plan Template V2.0.dotm</Template>
  <TotalTime>40</TotalTime>
  <Pages>31</Pages>
  <Words>7104</Words>
  <Characters>47309</Characters>
  <Application>Microsoft Office Word</Application>
  <DocSecurity>0</DocSecurity>
  <Lines>394</Lines>
  <Paragraphs>108</Paragraphs>
  <ScaleCrop>false</ScaleCrop>
  <HeadingPairs>
    <vt:vector size="2" baseType="variant">
      <vt:variant>
        <vt:lpstr>Title</vt:lpstr>
      </vt:variant>
      <vt:variant>
        <vt:i4>1</vt:i4>
      </vt:variant>
    </vt:vector>
  </HeadingPairs>
  <TitlesOfParts>
    <vt:vector size="1" baseType="lpstr">
      <vt:lpstr>SCE EE Program Implementation Plan Template V2.0</vt:lpstr>
    </vt:vector>
  </TitlesOfParts>
  <Company/>
  <LinksUpToDate>false</LinksUpToDate>
  <CharactersWithSpaces>54305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 EE Program Implementation Plan Template V2.0</dc:title>
  <dc:subject/>
  <dc:creator>Taylor Fessenden</dc:creator>
  <cp:keywords/>
  <dc:description>V2.0, 2020-10-23</dc:description>
  <cp:lastModifiedBy>Willie G Middleton Jr</cp:lastModifiedBy>
  <cp:revision>10</cp:revision>
  <cp:lastPrinted>2018-09-06T17:57:00Z</cp:lastPrinted>
  <dcterms:created xsi:type="dcterms:W3CDTF">2024-06-10T20:55:00Z</dcterms:created>
  <dcterms:modified xsi:type="dcterms:W3CDTF">2024-06-11T00:46:00Z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0x0101000126D57F6C1098408AE9C97F7ECFC4C70025C9ADDC0DE3944B9069BBE07ECBA0A2</vt:lpwstr>
  </property>
  <property fmtid="{D5CDD505-2E9C-101B-9397-08002B2CF9AE}" pid="3" name="TaxKeyword">
    <vt:lpwstr/>
  </property>
  <property fmtid="{D5CDD505-2E9C-101B-9397-08002B2CF9AE}" pid="4" name="SCE Handling Classifications">
    <vt:lpwstr/>
  </property>
  <property fmtid="{D5CDD505-2E9C-101B-9397-08002B2CF9AE}" pid="5" name="SCE Access Classification">
    <vt:lpwstr/>
  </property>
  <property fmtid="{D5CDD505-2E9C-101B-9397-08002B2CF9AE}" pid="6" name="SCE Owner">
    <vt:lpwstr/>
  </property>
  <property fmtid="{D5CDD505-2E9C-101B-9397-08002B2CF9AE}" pid="7" name="SCEDocumentType">
    <vt:lpwstr/>
  </property>
  <property fmtid="{D5CDD505-2E9C-101B-9397-08002B2CF9AE}" pid="8" name="MSIP_Label_bc3dd1c7-2c40-4a31-84b2-bec599b321a0_Enabled">
    <vt:lpwstr>true</vt:lpwstr>
  </property>
  <property fmtid="{D5CDD505-2E9C-101B-9397-08002B2CF9AE}" pid="9" name="MSIP_Label_bc3dd1c7-2c40-4a31-84b2-bec599b321a0_SetDate">
    <vt:lpwstr>2024-05-15T21:13:41Z</vt:lpwstr>
  </property>
  <property fmtid="{D5CDD505-2E9C-101B-9397-08002B2CF9AE}" pid="10" name="MSIP_Label_bc3dd1c7-2c40-4a31-84b2-bec599b321a0_Method">
    <vt:lpwstr>Standard</vt:lpwstr>
  </property>
  <property fmtid="{D5CDD505-2E9C-101B-9397-08002B2CF9AE}" pid="11" name="MSIP_Label_bc3dd1c7-2c40-4a31-84b2-bec599b321a0_Name">
    <vt:lpwstr>bc3dd1c7-2c40-4a31-84b2-bec599b321a0</vt:lpwstr>
  </property>
  <property fmtid="{D5CDD505-2E9C-101B-9397-08002B2CF9AE}" pid="12" name="MSIP_Label_bc3dd1c7-2c40-4a31-84b2-bec599b321a0_SiteId">
    <vt:lpwstr>5b2a8fee-4c95-4bdc-8aae-196f8aacb1b6</vt:lpwstr>
  </property>
  <property fmtid="{D5CDD505-2E9C-101B-9397-08002B2CF9AE}" pid="13" name="MSIP_Label_bc3dd1c7-2c40-4a31-84b2-bec599b321a0_ActionId">
    <vt:lpwstr>f1ceabc6-f263-425d-8d2f-f7487ea9afe0</vt:lpwstr>
  </property>
  <property fmtid="{D5CDD505-2E9C-101B-9397-08002B2CF9AE}" pid="14" name="MSIP_Label_bc3dd1c7-2c40-4a31-84b2-bec599b321a0_ContentBits">
    <vt:lpwstr>0</vt:lpwstr>
  </property>
  <property fmtid="{D5CDD505-2E9C-101B-9397-08002B2CF9AE}" pid="15" name="GrammarlyDocumentId">
    <vt:lpwstr>1274d7079bf5ec99d817b4f063eb18d44376c0fe946ca17906a764653d2905e0</vt:lpwstr>
  </property>
  <property fmtid="{D5CDD505-2E9C-101B-9397-08002B2CF9AE}" pid="16" name="MediaServiceImageTags">
    <vt:lpwstr/>
  </property>
</Properties>
</file>