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B15C" w14:textId="2A7D9AFE" w:rsidR="00712C0F" w:rsidRPr="00AF70A4" w:rsidRDefault="00E15BC8" w:rsidP="00712C0F">
      <w:pPr>
        <w:pStyle w:val="Title"/>
        <w:rPr>
          <w:rFonts w:ascii="Calibri" w:eastAsia="Times New Roman" w:hAnsi="Calibri" w:cs="Calibri"/>
        </w:rPr>
      </w:pPr>
      <w:r w:rsidRPr="00AF70A4">
        <w:rPr>
          <w:rFonts w:ascii="Calibri" w:eastAsia="Times New Roman" w:hAnsi="Calibri" w:cs="Calibri"/>
        </w:rPr>
        <w:t xml:space="preserve">CPUC </w:t>
      </w:r>
      <w:r w:rsidR="00712C0F" w:rsidRPr="00AF70A4">
        <w:rPr>
          <w:rFonts w:ascii="Calibri" w:eastAsia="Times New Roman" w:hAnsi="Calibri" w:cs="Calibri"/>
        </w:rPr>
        <w:t>HTR Definitions</w:t>
      </w:r>
      <w:r w:rsidRPr="00AF70A4">
        <w:rPr>
          <w:rFonts w:ascii="Calibri" w:eastAsia="Times New Roman" w:hAnsi="Calibri" w:cs="Calibri"/>
        </w:rPr>
        <w:t xml:space="preserve"> and Context for CAEECC UWG</w:t>
      </w:r>
    </w:p>
    <w:p w14:paraId="0867DF04" w14:textId="264D9F41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</w:t>
      </w:r>
      <w:r w:rsidR="00712C0F" w:rsidRPr="00AF70A4">
        <w:rPr>
          <w:rFonts w:ascii="Calibri" w:eastAsia="Times New Roman" w:hAnsi="Calibri" w:cs="Calibri"/>
          <w:color w:val="000000"/>
        </w:rPr>
        <w:t>10.20.2020</w:t>
      </w:r>
    </w:p>
    <w:p w14:paraId="757CC839" w14:textId="79FD6628" w:rsidR="00712C0F" w:rsidRPr="00AF70A4" w:rsidRDefault="00712C0F" w:rsidP="00712C0F">
      <w:pPr>
        <w:pStyle w:val="Heading1"/>
        <w:rPr>
          <w:rFonts w:ascii="Calibri" w:eastAsia="Times New Roman" w:hAnsi="Calibri" w:cs="Calibri"/>
        </w:rPr>
      </w:pPr>
      <w:r w:rsidRPr="00AF70A4">
        <w:rPr>
          <w:rFonts w:ascii="Calibri" w:eastAsia="Times New Roman" w:hAnsi="Calibri" w:cs="Calibri"/>
        </w:rPr>
        <w:t>Context</w:t>
      </w:r>
    </w:p>
    <w:p w14:paraId="439AC389" w14:textId="38701241" w:rsidR="00712C0F" w:rsidRPr="00AF70A4" w:rsidRDefault="00712C0F" w:rsidP="00680144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This document, based on an email from Nils Strindberg, Senior Policy Analyst at the CPUC, to the CAEECC Facilitators in October 2020, expounds</w:t>
      </w:r>
      <w:r w:rsidR="00680144" w:rsidRPr="00AF70A4">
        <w:rPr>
          <w:rFonts w:ascii="Calibri" w:eastAsia="Times New Roman" w:hAnsi="Calibri" w:cs="Calibri"/>
          <w:color w:val="000000"/>
        </w:rPr>
        <w:t xml:space="preserve"> </w:t>
      </w:r>
      <w:r w:rsidR="00FD514F">
        <w:rPr>
          <w:rFonts w:ascii="Calibri" w:eastAsia="Times New Roman" w:hAnsi="Calibri" w:cs="Calibri"/>
          <w:color w:val="000000"/>
        </w:rPr>
        <w:t xml:space="preserve">on </w:t>
      </w:r>
      <w:r w:rsidR="00680144" w:rsidRPr="00AF70A4">
        <w:rPr>
          <w:rFonts w:ascii="Calibri" w:eastAsia="Times New Roman" w:hAnsi="Calibri" w:cs="Calibri"/>
          <w:color w:val="000000"/>
        </w:rPr>
        <w:t>how the CPUC’s approved definition of HTR has evolved over time. </w:t>
      </w:r>
      <w:r w:rsidRPr="00AF70A4">
        <w:rPr>
          <w:rFonts w:ascii="Calibri" w:eastAsia="Times New Roman" w:hAnsi="Calibri" w:cs="Calibri"/>
          <w:color w:val="000000"/>
        </w:rPr>
        <w:t>The HTR definition is relevant to the Underserved Working Gro</w:t>
      </w:r>
      <w:r w:rsidR="00FD514F">
        <w:rPr>
          <w:rFonts w:ascii="Calibri" w:eastAsia="Times New Roman" w:hAnsi="Calibri" w:cs="Calibri"/>
          <w:color w:val="000000"/>
        </w:rPr>
        <w:t>up</w:t>
      </w:r>
      <w:r w:rsidRPr="00AF70A4">
        <w:rPr>
          <w:rFonts w:ascii="Calibri" w:eastAsia="Times New Roman" w:hAnsi="Calibri" w:cs="Calibri"/>
          <w:color w:val="000000"/>
        </w:rPr>
        <w:t xml:space="preserve"> because the CPUC has suggested that</w:t>
      </w:r>
      <w:r w:rsidRPr="00AF70A4">
        <w:rPr>
          <w:rFonts w:ascii="Calibri" w:hAnsi="Calibri" w:cs="Calibri"/>
          <w:sz w:val="22"/>
          <w:szCs w:val="22"/>
        </w:rPr>
        <w:t xml:space="preserve"> the appropriate regulatory approach after the Working Group has come up with a new definition would be to submit a motion to the </w:t>
      </w:r>
      <w:r w:rsidR="00A5115E" w:rsidRPr="00A5115E">
        <w:rPr>
          <w:rFonts w:ascii="Calibri" w:hAnsi="Calibri" w:cs="Calibri"/>
          <w:sz w:val="22"/>
          <w:szCs w:val="22"/>
        </w:rPr>
        <w:t>P</w:t>
      </w:r>
      <w:r w:rsidRPr="00A5115E">
        <w:rPr>
          <w:rFonts w:ascii="Calibri" w:hAnsi="Calibri" w:cs="Calibri"/>
          <w:sz w:val="22"/>
          <w:szCs w:val="22"/>
        </w:rPr>
        <w:t>roceeding</w:t>
      </w:r>
      <w:r w:rsidRPr="00AF70A4">
        <w:rPr>
          <w:rFonts w:ascii="Calibri" w:hAnsi="Calibri" w:cs="Calibri"/>
          <w:sz w:val="22"/>
          <w:szCs w:val="22"/>
        </w:rPr>
        <w:t xml:space="preserve"> to change the definition of HTR as adopted in Decision 18-05-041or a motion with a definition for underserved. </w:t>
      </w:r>
    </w:p>
    <w:p w14:paraId="13A361F2" w14:textId="38D57C51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AF70A4">
        <w:rPr>
          <w:rFonts w:ascii="Calibri" w:eastAsia="Times New Roman" w:hAnsi="Calibri" w:cs="Calibri"/>
          <w:color w:val="000000"/>
        </w:rPr>
        <w:t> </w:t>
      </w:r>
    </w:p>
    <w:p w14:paraId="710F1015" w14:textId="4475F057" w:rsidR="00712C0F" w:rsidRPr="00AF70A4" w:rsidRDefault="00712C0F" w:rsidP="00712C0F">
      <w:pPr>
        <w:pStyle w:val="Heading1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t>Definitions</w:t>
      </w:r>
    </w:p>
    <w:p w14:paraId="7DF13596" w14:textId="77777777" w:rsidR="00680144" w:rsidRPr="00AF70A4" w:rsidRDefault="00680144" w:rsidP="00712C0F">
      <w:pPr>
        <w:pStyle w:val="Heading2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t>Original Definition from</w:t>
      </w:r>
      <w:r w:rsidRPr="00AF70A4">
        <w:rPr>
          <w:rFonts w:ascii="Calibri" w:eastAsia="Times New Roman" w:hAnsi="Calibri" w:cs="Calibri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</w:rPr>
        <w:t xml:space="preserve">Attachment 1 (first EE Policy Manual </w:t>
      </w:r>
      <w:proofErr w:type="spellStart"/>
      <w:r w:rsidRPr="00AF70A4">
        <w:rPr>
          <w:rFonts w:ascii="Calibri" w:eastAsia="Times New Roman" w:hAnsi="Calibri" w:cs="Calibri"/>
        </w:rPr>
        <w:t>pg</w:t>
      </w:r>
      <w:proofErr w:type="spellEnd"/>
      <w:r w:rsidRPr="00AF70A4">
        <w:rPr>
          <w:rFonts w:ascii="Calibri" w:eastAsia="Times New Roman" w:hAnsi="Calibri" w:cs="Calibri"/>
        </w:rPr>
        <w:t xml:space="preserve"> 12-13)</w:t>
      </w:r>
      <w:r w:rsidRPr="00AF70A4">
        <w:rPr>
          <w:rFonts w:ascii="Calibri" w:eastAsia="Times New Roman" w:hAnsi="Calibri" w:cs="Calibri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</w:rPr>
        <w:t>D.01-11-066, the assumption was just one criteria had</w:t>
      </w:r>
      <w:r w:rsidRPr="00AF70A4">
        <w:rPr>
          <w:rFonts w:ascii="Calibri" w:eastAsia="Times New Roman" w:hAnsi="Calibri" w:cs="Calibri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</w:rPr>
        <w:t>be met: </w:t>
      </w:r>
    </w:p>
    <w:p w14:paraId="29A1AFEF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 </w:t>
      </w:r>
      <w:r w:rsidRPr="00AF70A4">
        <w:rPr>
          <w:rFonts w:ascii="Calibri" w:eastAsia="Times New Roman" w:hAnsi="Calibri" w:cs="Calibri"/>
          <w:color w:val="000000"/>
        </w:rPr>
        <w:t> </w:t>
      </w:r>
    </w:p>
    <w:p w14:paraId="3AE721CA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Residential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Reach</w:t>
      </w:r>
      <w:r w:rsidRPr="00AF70A4">
        <w:rPr>
          <w:rFonts w:ascii="Calibri" w:eastAsia="Times New Roman" w:hAnsi="Calibri" w:cs="Calibri"/>
          <w:color w:val="000000"/>
        </w:rPr>
        <w:t>:  Those customers who do not have easy access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program information or generally do not participate in energy efficiency programs due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language, income, housing type, geographic, or home ownership (split incentives) barrier.  These barriers are defined as: </w:t>
      </w:r>
    </w:p>
    <w:p w14:paraId="5008248A" w14:textId="77777777" w:rsidR="00680144" w:rsidRPr="00AF70A4" w:rsidRDefault="00680144" w:rsidP="00680144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Language – Primary language spoken is other than English,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36E9A06" w14:textId="77777777" w:rsidR="00680144" w:rsidRPr="00AF70A4" w:rsidRDefault="00680144" w:rsidP="0068014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Income – Those customers who fall into the moderate income level (income levels less than 400% of federal poverty guidelines),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517B47E" w14:textId="77777777" w:rsidR="00680144" w:rsidRPr="00AF70A4" w:rsidRDefault="00680144" w:rsidP="0068014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Housing Type – Multi-Family and Mobile Home Tenants,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9741739" w14:textId="77777777" w:rsidR="00680144" w:rsidRPr="00AF70A4" w:rsidRDefault="00680144" w:rsidP="0068014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Geographic – Residents of areas other than the San Francisco Bay Area, San Diego area, Los Angeles Basin or Sacramento,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5ABAA32" w14:textId="77777777" w:rsidR="00680144" w:rsidRPr="00AF70A4" w:rsidRDefault="00680144" w:rsidP="0068014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Homeownership – Renters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5ACF463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 </w:t>
      </w:r>
      <w:r w:rsidRPr="00AF70A4">
        <w:rPr>
          <w:rFonts w:ascii="Calibri" w:eastAsia="Times New Roman" w:hAnsi="Calibri" w:cs="Calibri"/>
          <w:color w:val="000000"/>
        </w:rPr>
        <w:t> </w:t>
      </w:r>
    </w:p>
    <w:p w14:paraId="07286AF6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Nonresidential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Reach</w:t>
      </w:r>
      <w:r w:rsidRPr="00AF70A4">
        <w:rPr>
          <w:rFonts w:ascii="Calibri" w:eastAsia="Times New Roman" w:hAnsi="Calibri" w:cs="Calibri"/>
          <w:b/>
          <w:bCs/>
          <w:color w:val="000000"/>
        </w:rPr>
        <w:t>: 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Those customers who do not have easy access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program information or generally do not participate in energy efficiency programs due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language, business size, geographic, or lease (split incentive) barrier.  These barriers are defined as: </w:t>
      </w:r>
    </w:p>
    <w:p w14:paraId="349C0F8C" w14:textId="77777777" w:rsidR="00680144" w:rsidRPr="00AF70A4" w:rsidRDefault="00680144" w:rsidP="0068014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Language – Primary language spoken is other than English,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20D3FD4" w14:textId="77777777" w:rsidR="00680144" w:rsidRPr="00AF70A4" w:rsidRDefault="00680144" w:rsidP="00680144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Business Size – Less than ten employees and/or classified as Very Small (as defined above),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1569D48" w14:textId="77777777" w:rsidR="00680144" w:rsidRPr="00AF70A4" w:rsidRDefault="00680144" w:rsidP="00680144">
      <w:pPr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Geographic – Businesses in areas other than the San Francisco Bay Area, San Diego area, Los Angeles Basin or Sacramento,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2DC90E5" w14:textId="77777777" w:rsidR="00680144" w:rsidRPr="00AF70A4" w:rsidRDefault="00680144" w:rsidP="00680144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Lease – Investments in improvements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the building benefit the business only during the lease period; landlords benefit longer. 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2AF94CE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 </w:t>
      </w:r>
    </w:p>
    <w:p w14:paraId="64EC8717" w14:textId="77777777" w:rsidR="00680144" w:rsidRPr="00AF70A4" w:rsidRDefault="00680144" w:rsidP="00712C0F">
      <w:pPr>
        <w:pStyle w:val="Heading2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lastRenderedPageBreak/>
        <w:t xml:space="preserve">From DEER resolution G-3497 </w:t>
      </w:r>
      <w:proofErr w:type="spellStart"/>
      <w:r w:rsidRPr="00AF70A4">
        <w:rPr>
          <w:rFonts w:ascii="Calibri" w:eastAsia="Times New Roman" w:hAnsi="Calibri" w:cs="Calibri"/>
        </w:rPr>
        <w:t>pgs</w:t>
      </w:r>
      <w:proofErr w:type="spellEnd"/>
      <w:r w:rsidRPr="00AF70A4">
        <w:rPr>
          <w:rFonts w:ascii="Calibri" w:eastAsia="Times New Roman" w:hAnsi="Calibri" w:cs="Calibri"/>
        </w:rPr>
        <w:t xml:space="preserve"> 63-64: </w:t>
      </w:r>
    </w:p>
    <w:p w14:paraId="6107588B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 </w:t>
      </w:r>
    </w:p>
    <w:p w14:paraId="71DCA881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Specific criteria were developed by staff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be used in classifying a customer as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</w:t>
      </w:r>
      <w:r w:rsidRPr="00AF70A4">
        <w:rPr>
          <w:rFonts w:ascii="Calibri" w:eastAsia="Times New Roman" w:hAnsi="Calibri" w:cs="Calibri"/>
          <w:color w:val="000000"/>
          <w:shd w:val="clear" w:color="auto" w:fill="FFFFFF"/>
        </w:rPr>
        <w:t>. </w:t>
      </w:r>
      <w:r w:rsidRPr="00AF70A4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>Two criteria are considered sufficient if one of the criteria met is the geographic criteria defined below.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There are common as well as separate criteria when defining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 </w:t>
      </w:r>
      <w:r w:rsidRPr="00AF70A4">
        <w:rPr>
          <w:rFonts w:ascii="Calibri" w:eastAsia="Times New Roman" w:hAnsi="Calibri" w:cs="Calibri"/>
          <w:color w:val="000000"/>
        </w:rPr>
        <w:t>for residential versus small business customers. The barriers common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both include: </w:t>
      </w:r>
    </w:p>
    <w:p w14:paraId="39395F2A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</w:t>
      </w:r>
    </w:p>
    <w:p w14:paraId="6904A34D" w14:textId="77777777" w:rsidR="00680144" w:rsidRPr="00AF70A4" w:rsidRDefault="00680144" w:rsidP="00680144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Those customers who do not have easy access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program information or generally do not participate in energy efficiency programs due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combination of language, business size, geographic, and lease (split incentive) barriers. These barriers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consider include: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1F9A107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Language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Primary language spoken is other than English, and/or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10A38481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Geographic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 xml:space="preserve">Businesses or homes in areas other than the United States Office of Management and Budget Combined Statistical Areas of the San Francisco Bay Area, the Greater Los Angeles </w:t>
      </w:r>
      <w:proofErr w:type="gramStart"/>
      <w:r w:rsidRPr="00AF70A4">
        <w:rPr>
          <w:rFonts w:ascii="Calibri" w:eastAsia="Times New Roman" w:hAnsi="Calibri" w:cs="Calibri"/>
          <w:color w:val="000000"/>
        </w:rPr>
        <w:t>Area  and</w:t>
      </w:r>
      <w:proofErr w:type="gramEnd"/>
      <w:r w:rsidRPr="00AF70A4">
        <w:rPr>
          <w:rFonts w:ascii="Calibri" w:eastAsia="Times New Roman" w:hAnsi="Calibri" w:cs="Calibri"/>
          <w:color w:val="000000"/>
        </w:rPr>
        <w:t xml:space="preserve"> the Greater Sacramento Area or the Office of Management and Budget metropolitan statistical areas of San Diego County.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6C1EFF2F" w14:textId="77777777" w:rsidR="00680144" w:rsidRPr="00AF70A4" w:rsidRDefault="00680144" w:rsidP="00680144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For small business added criteria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the above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consider: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C30A25C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Business Size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Less than ten employees and/or classified as Very Small (Customers whose annual electric demand is less than 20kW, or whose annual gas consumption is less than 10,000 therm, or both</w:t>
      </w:r>
      <w:proofErr w:type="gramStart"/>
      <w:r w:rsidRPr="00AF70A4">
        <w:rPr>
          <w:rFonts w:ascii="Calibri" w:eastAsia="Times New Roman" w:hAnsi="Calibri" w:cs="Calibri"/>
          <w:color w:val="000000"/>
        </w:rPr>
        <w:t>) ,</w:t>
      </w:r>
      <w:proofErr w:type="gramEnd"/>
      <w:r w:rsidRPr="00AF70A4">
        <w:rPr>
          <w:rFonts w:ascii="Calibri" w:eastAsia="Times New Roman" w:hAnsi="Calibri" w:cs="Calibri"/>
          <w:color w:val="000000"/>
        </w:rPr>
        <w:t xml:space="preserve"> and/or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0D1A006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Leased or Rented Facilities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Investments in improvements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facility rented or leased by a participating business customer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34F50915" w14:textId="77777777" w:rsidR="00680144" w:rsidRPr="00AF70A4" w:rsidRDefault="00680144" w:rsidP="00680144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For residential added criteria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the above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consider: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376A2AB2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Income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Those customers who qualify for the California Alternative Rates for Energy (CARE) or the Family Electric Rate Assistance Program (FERA), and/or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EF4ADC0" w14:textId="77777777" w:rsidR="00680144" w:rsidRPr="00AF70A4" w:rsidRDefault="00680144" w:rsidP="00680144">
      <w:pPr>
        <w:shd w:val="clear" w:color="auto" w:fill="FFFFFF"/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0BBA9CB5" w14:textId="77777777" w:rsidR="00680144" w:rsidRPr="00AF70A4" w:rsidRDefault="00680144" w:rsidP="00712C0F">
      <w:pPr>
        <w:pStyle w:val="Heading2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t>From page 48 of D.18-05-041: </w:t>
      </w:r>
    </w:p>
    <w:p w14:paraId="111A8C45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 </w:t>
      </w:r>
    </w:p>
    <w:p w14:paraId="4283F59A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In response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comments on the proposed decision, we acknowledge the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 </w:t>
      </w:r>
      <w:r w:rsidRPr="00AF70A4">
        <w:rPr>
          <w:rFonts w:ascii="Calibri" w:eastAsia="Times New Roman" w:hAnsi="Calibri" w:cs="Calibri"/>
          <w:color w:val="000000"/>
        </w:rPr>
        <w:t>definition in Resolution G-3497 may be overly narrow, although we maintain that the definition in the Policy Manual is overly broad.  A party comment on the PD was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include disadvantaged communities (as designated by CalEPA) in the geographic criteria or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noBreakHyphen/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noBreakHyphen/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 </w:t>
      </w:r>
      <w:r w:rsidRPr="00AF70A4">
        <w:rPr>
          <w:rFonts w:ascii="Calibri" w:eastAsia="Times New Roman" w:hAnsi="Calibri" w:cs="Calibri"/>
          <w:color w:val="000000"/>
        </w:rPr>
        <w:t>customers.  Given the overlap in socioeconomic characteristics of both classifications and their closely related policy objectives, the Commission found it reasonable to adopt the recommended modification. </w:t>
      </w:r>
    </w:p>
    <w:p w14:paraId="5B71FA2C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</w:t>
      </w:r>
    </w:p>
    <w:p w14:paraId="3562065A" w14:textId="77777777" w:rsidR="00086F36" w:rsidRPr="00AF70A4" w:rsidRDefault="00086F36">
      <w:pPr>
        <w:rPr>
          <w:rFonts w:ascii="Calibri" w:hAnsi="Calibri" w:cs="Calibri"/>
        </w:rPr>
      </w:pPr>
    </w:p>
    <w:sectPr w:rsidR="00086F36" w:rsidRPr="00AF70A4" w:rsidSect="00DE1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CD4"/>
    <w:multiLevelType w:val="multilevel"/>
    <w:tmpl w:val="8FC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23F7A"/>
    <w:multiLevelType w:val="multilevel"/>
    <w:tmpl w:val="FA6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A2F6E"/>
    <w:multiLevelType w:val="multilevel"/>
    <w:tmpl w:val="8088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C5D17"/>
    <w:multiLevelType w:val="multilevel"/>
    <w:tmpl w:val="F01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83BBF"/>
    <w:multiLevelType w:val="multilevel"/>
    <w:tmpl w:val="85B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600DF"/>
    <w:multiLevelType w:val="multilevel"/>
    <w:tmpl w:val="53B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05549"/>
    <w:multiLevelType w:val="multilevel"/>
    <w:tmpl w:val="4F04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386870"/>
    <w:multiLevelType w:val="multilevel"/>
    <w:tmpl w:val="BF88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44"/>
    <w:rsid w:val="00086F36"/>
    <w:rsid w:val="00680144"/>
    <w:rsid w:val="00712C0F"/>
    <w:rsid w:val="00A5115E"/>
    <w:rsid w:val="00AF70A4"/>
    <w:rsid w:val="00D96991"/>
    <w:rsid w:val="00DE1689"/>
    <w:rsid w:val="00E15BC8"/>
    <w:rsid w:val="00F44E8F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E89B9"/>
  <w15:docId w15:val="{B20EDCF1-E4CE-9A44-B54C-B04B3BDF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0144"/>
  </w:style>
  <w:style w:type="paragraph" w:styleId="Title">
    <w:name w:val="Title"/>
    <w:basedOn w:val="Normal"/>
    <w:next w:val="Normal"/>
    <w:link w:val="TitleChar"/>
    <w:uiPriority w:val="10"/>
    <w:qFormat/>
    <w:rsid w:val="00712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0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C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D51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1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1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Mckeague Abrams</dc:creator>
  <cp:keywords/>
  <dc:description/>
  <cp:lastModifiedBy>Susan Rivo</cp:lastModifiedBy>
  <cp:revision>2</cp:revision>
  <dcterms:created xsi:type="dcterms:W3CDTF">2021-08-16T00:26:00Z</dcterms:created>
  <dcterms:modified xsi:type="dcterms:W3CDTF">2021-08-16T00:26:00Z</dcterms:modified>
</cp:coreProperties>
</file>