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949F" w14:textId="77777777" w:rsidR="003705F6" w:rsidRPr="008156EB" w:rsidRDefault="00741889" w:rsidP="003705F6">
      <w:pPr>
        <w:jc w:val="center"/>
        <w:rPr>
          <w:rFonts w:ascii="Cambria" w:hAnsi="Cambria" w:cs="Times New Roman"/>
        </w:rPr>
      </w:pPr>
      <w:r w:rsidRPr="008156EB">
        <w:rPr>
          <w:rFonts w:ascii="Cambria" w:hAnsi="Cambria" w:cs="Times New Roman"/>
        </w:rPr>
        <w:t>CAEECC</w:t>
      </w:r>
      <w:r w:rsidR="003705F6" w:rsidRPr="008156EB">
        <w:rPr>
          <w:rFonts w:ascii="Cambria" w:hAnsi="Cambria" w:cs="Times New Roman"/>
        </w:rPr>
        <w:t xml:space="preserve"> Market Transformation Working Group </w:t>
      </w:r>
    </w:p>
    <w:p w14:paraId="3E3D3168" w14:textId="0132A933" w:rsidR="005914F0" w:rsidRPr="008156EB" w:rsidRDefault="005914F0" w:rsidP="003705F6">
      <w:pPr>
        <w:jc w:val="center"/>
        <w:rPr>
          <w:rFonts w:ascii="Cambria" w:hAnsi="Cambria" w:cs="Times New Roman"/>
        </w:rPr>
      </w:pPr>
      <w:r w:rsidRPr="008156EB">
        <w:rPr>
          <w:rFonts w:ascii="Cambria" w:hAnsi="Cambria" w:cs="Times New Roman"/>
        </w:rPr>
        <w:t>PG&amp;E Pacific Energy Center, 851 Howard St, San Francisco, CA 94103</w:t>
      </w:r>
    </w:p>
    <w:p w14:paraId="6B2237EF" w14:textId="7A12CC86" w:rsidR="003705F6" w:rsidRPr="008156EB" w:rsidRDefault="005914F0" w:rsidP="003705F6">
      <w:pPr>
        <w:jc w:val="center"/>
        <w:rPr>
          <w:rFonts w:ascii="Cambria" w:hAnsi="Cambria" w:cs="Times New Roman"/>
        </w:rPr>
      </w:pPr>
      <w:r w:rsidRPr="008156EB">
        <w:rPr>
          <w:rFonts w:ascii="Cambria" w:hAnsi="Cambria" w:cs="Times New Roman"/>
        </w:rPr>
        <w:t>Wednesday, February 27</w:t>
      </w:r>
      <w:r w:rsidR="003155C2" w:rsidRPr="008156EB">
        <w:rPr>
          <w:rFonts w:ascii="Cambria" w:hAnsi="Cambria" w:cs="Times New Roman"/>
        </w:rPr>
        <w:t xml:space="preserve">, 2019, 9 a.m. – 5:30 p.m. </w:t>
      </w:r>
      <w:r w:rsidR="003705F6" w:rsidRPr="008156EB">
        <w:rPr>
          <w:rFonts w:ascii="Cambria" w:hAnsi="Cambria" w:cs="Times New Roman"/>
        </w:rPr>
        <w:t xml:space="preserve"> </w:t>
      </w:r>
    </w:p>
    <w:p w14:paraId="21C9D701" w14:textId="77777777" w:rsidR="00AB2634" w:rsidRPr="008156EB" w:rsidRDefault="008338CD" w:rsidP="008338CD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 New Roman"/>
        </w:rPr>
      </w:pPr>
      <w:bookmarkStart w:id="0" w:name="_GoBack"/>
      <w:bookmarkEnd w:id="0"/>
      <w:r w:rsidRPr="008156EB">
        <w:rPr>
          <w:rFonts w:ascii="Cambria" w:hAnsi="Cambria" w:cs="Times New Roman"/>
        </w:rPr>
        <w:t>Facilitator: Dr. Jonathan Raab, Raab Associates LTD</w:t>
      </w:r>
      <w:r w:rsidR="00990053" w:rsidRPr="008156EB">
        <w:rPr>
          <w:rFonts w:ascii="Cambria" w:hAnsi="Cambria" w:cs="Times New Roman"/>
        </w:rPr>
        <w:t>, Ellen Zuckerman (Independent)</w:t>
      </w:r>
    </w:p>
    <w:p w14:paraId="5749F583" w14:textId="77777777" w:rsidR="00741889" w:rsidRPr="008156EB" w:rsidRDefault="00741889" w:rsidP="008338CD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 New Roman"/>
        </w:rPr>
      </w:pPr>
    </w:p>
    <w:p w14:paraId="4B5C8C9D" w14:textId="2A624756" w:rsidR="00741889" w:rsidRPr="008156EB" w:rsidRDefault="00741889" w:rsidP="008338CD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 New Roman"/>
        </w:rPr>
      </w:pPr>
      <w:r w:rsidRPr="008156EB">
        <w:rPr>
          <w:rFonts w:ascii="Cambria" w:hAnsi="Cambria" w:cs="Times New Roman"/>
        </w:rPr>
        <w:t>Meeting Summary</w:t>
      </w:r>
    </w:p>
    <w:p w14:paraId="388B3DB3" w14:textId="77777777" w:rsidR="00AB2634" w:rsidRPr="008156EB" w:rsidRDefault="00AB2634" w:rsidP="00AB2634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</w:p>
    <w:p w14:paraId="50CACDA0" w14:textId="71B39890" w:rsidR="00AB2634" w:rsidRPr="008156EB" w:rsidRDefault="00AB2634" w:rsidP="00AB2634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8156EB">
        <w:rPr>
          <w:rFonts w:ascii="Cambria" w:hAnsi="Cambria" w:cs="Times New Roman"/>
        </w:rPr>
        <w:t xml:space="preserve">On </w:t>
      </w:r>
      <w:r w:rsidR="005914F0" w:rsidRPr="008156EB">
        <w:rPr>
          <w:rFonts w:ascii="Cambria" w:hAnsi="Cambria" w:cs="Times New Roman"/>
        </w:rPr>
        <w:t>February 27</w:t>
      </w:r>
      <w:r w:rsidR="008338CD" w:rsidRPr="008156EB">
        <w:rPr>
          <w:rFonts w:ascii="Cambria" w:hAnsi="Cambria" w:cs="Times New Roman"/>
        </w:rPr>
        <w:t>, 201</w:t>
      </w:r>
      <w:r w:rsidR="003155C2" w:rsidRPr="008156EB">
        <w:rPr>
          <w:rFonts w:ascii="Cambria" w:hAnsi="Cambria" w:cs="Times New Roman"/>
        </w:rPr>
        <w:t>9</w:t>
      </w:r>
      <w:r w:rsidR="00990053" w:rsidRPr="008156EB">
        <w:rPr>
          <w:rFonts w:ascii="Cambria" w:hAnsi="Cambria" w:cs="Times New Roman"/>
        </w:rPr>
        <w:t>,</w:t>
      </w:r>
      <w:r w:rsidR="008338CD" w:rsidRPr="008156EB">
        <w:rPr>
          <w:rFonts w:ascii="Cambria" w:hAnsi="Cambria" w:cs="Times New Roman"/>
        </w:rPr>
        <w:t xml:space="preserve"> from </w:t>
      </w:r>
      <w:r w:rsidR="003155C2" w:rsidRPr="008156EB">
        <w:rPr>
          <w:rFonts w:ascii="Cambria" w:hAnsi="Cambria" w:cs="Times New Roman"/>
        </w:rPr>
        <w:t>9:00 a</w:t>
      </w:r>
      <w:r w:rsidR="008338CD" w:rsidRPr="008156EB">
        <w:rPr>
          <w:rFonts w:ascii="Cambria" w:hAnsi="Cambria" w:cs="Times New Roman"/>
        </w:rPr>
        <w:t>.m. to 5:30 p.m</w:t>
      </w:r>
      <w:r w:rsidR="007B43AA" w:rsidRPr="008156EB">
        <w:rPr>
          <w:rFonts w:ascii="Cambria" w:hAnsi="Cambria" w:cs="Times New Roman"/>
        </w:rPr>
        <w:t>.</w:t>
      </w:r>
      <w:r w:rsidRPr="008156EB">
        <w:rPr>
          <w:rFonts w:ascii="Cambria" w:hAnsi="Cambria" w:cs="Times New Roman"/>
        </w:rPr>
        <w:t xml:space="preserve">, the California Energy Efficiency Coordinating Committee (CAEECC) </w:t>
      </w:r>
      <w:r w:rsidR="00332716" w:rsidRPr="008156EB">
        <w:rPr>
          <w:rFonts w:ascii="Cambria" w:hAnsi="Cambria" w:cs="Times New Roman"/>
        </w:rPr>
        <w:t xml:space="preserve">hosted </w:t>
      </w:r>
      <w:r w:rsidR="003155C2" w:rsidRPr="008156EB">
        <w:rPr>
          <w:rFonts w:ascii="Cambria" w:hAnsi="Cambria" w:cs="Times New Roman"/>
        </w:rPr>
        <w:t xml:space="preserve">its </w:t>
      </w:r>
      <w:r w:rsidR="005914F0" w:rsidRPr="008156EB">
        <w:rPr>
          <w:rFonts w:ascii="Cambria" w:hAnsi="Cambria" w:cs="Times New Roman"/>
        </w:rPr>
        <w:t>third</w:t>
      </w:r>
      <w:r w:rsidRPr="008156EB">
        <w:rPr>
          <w:rFonts w:ascii="Cambria" w:hAnsi="Cambria" w:cs="Times New Roman"/>
        </w:rPr>
        <w:t xml:space="preserve"> </w:t>
      </w:r>
      <w:r w:rsidR="008338CD" w:rsidRPr="008156EB">
        <w:rPr>
          <w:rFonts w:ascii="Cambria" w:hAnsi="Cambria" w:cs="Times New Roman"/>
        </w:rPr>
        <w:t>working group</w:t>
      </w:r>
      <w:r w:rsidR="00D4661B" w:rsidRPr="008156EB">
        <w:rPr>
          <w:rFonts w:ascii="Cambria" w:hAnsi="Cambria" w:cs="Times New Roman"/>
        </w:rPr>
        <w:t xml:space="preserve"> (WG)</w:t>
      </w:r>
      <w:r w:rsidR="003155C2" w:rsidRPr="008156EB">
        <w:rPr>
          <w:rFonts w:ascii="Cambria" w:hAnsi="Cambria" w:cs="Times New Roman"/>
        </w:rPr>
        <w:t xml:space="preserve"> meeting</w:t>
      </w:r>
      <w:r w:rsidR="008338CD" w:rsidRPr="008156EB">
        <w:rPr>
          <w:rFonts w:ascii="Cambria" w:hAnsi="Cambria" w:cs="Times New Roman"/>
        </w:rPr>
        <w:t xml:space="preserve"> on Market Transformation</w:t>
      </w:r>
      <w:r w:rsidRPr="008156EB">
        <w:rPr>
          <w:rFonts w:ascii="Cambria" w:hAnsi="Cambria" w:cs="Times New Roman"/>
        </w:rPr>
        <w:t xml:space="preserve"> </w:t>
      </w:r>
      <w:r w:rsidR="00D4661B" w:rsidRPr="008156EB">
        <w:rPr>
          <w:rFonts w:ascii="Cambria" w:hAnsi="Cambria" w:cs="Times New Roman"/>
        </w:rPr>
        <w:t xml:space="preserve">(MT) </w:t>
      </w:r>
      <w:r w:rsidRPr="008156EB">
        <w:rPr>
          <w:rFonts w:ascii="Cambria" w:hAnsi="Cambria" w:cs="Times New Roman"/>
        </w:rPr>
        <w:t>at the</w:t>
      </w:r>
      <w:r w:rsidR="005914F0" w:rsidRPr="008156EB">
        <w:rPr>
          <w:rFonts w:ascii="Cambria" w:hAnsi="Cambria" w:cs="Times New Roman"/>
        </w:rPr>
        <w:t xml:space="preserve"> Pacific Gas and Electric (PG&amp;E) Pacific Energy Center</w:t>
      </w:r>
      <w:r w:rsidRPr="008156EB">
        <w:rPr>
          <w:rFonts w:ascii="Cambria" w:hAnsi="Cambria" w:cs="Times New Roman"/>
        </w:rPr>
        <w:t xml:space="preserve"> </w:t>
      </w:r>
      <w:r w:rsidR="008338CD" w:rsidRPr="008156EB">
        <w:rPr>
          <w:rFonts w:ascii="Cambria" w:hAnsi="Cambria" w:cs="Times New Roman"/>
        </w:rPr>
        <w:t xml:space="preserve">in San Francisco. </w:t>
      </w:r>
      <w:r w:rsidR="003155C2" w:rsidRPr="008156EB">
        <w:rPr>
          <w:rFonts w:ascii="Cambria" w:hAnsi="Cambria" w:cs="Times New Roman"/>
        </w:rPr>
        <w:t>Twenty-seven</w:t>
      </w:r>
      <w:r w:rsidR="00990053" w:rsidRPr="008156EB">
        <w:rPr>
          <w:rFonts w:ascii="Cambria" w:hAnsi="Cambria" w:cs="Times New Roman"/>
        </w:rPr>
        <w:t xml:space="preserve"> </w:t>
      </w:r>
      <w:r w:rsidR="00242D7B" w:rsidRPr="008156EB">
        <w:rPr>
          <w:rFonts w:ascii="Cambria" w:hAnsi="Cambria" w:cs="Times New Roman"/>
        </w:rPr>
        <w:t xml:space="preserve">individuals participated in-person, and </w:t>
      </w:r>
      <w:r w:rsidR="00334308">
        <w:rPr>
          <w:rFonts w:ascii="Cambria" w:hAnsi="Cambria" w:cs="Times New Roman"/>
        </w:rPr>
        <w:t>14</w:t>
      </w:r>
      <w:r w:rsidR="008156EB" w:rsidRPr="008156EB">
        <w:rPr>
          <w:rFonts w:ascii="Cambria" w:hAnsi="Cambria" w:cs="Times New Roman"/>
        </w:rPr>
        <w:t xml:space="preserve"> registered to</w:t>
      </w:r>
      <w:r w:rsidR="00242D7B" w:rsidRPr="008156EB">
        <w:rPr>
          <w:rFonts w:ascii="Cambria" w:hAnsi="Cambria" w:cs="Times New Roman"/>
        </w:rPr>
        <w:t xml:space="preserve"> participate</w:t>
      </w:r>
      <w:r w:rsidR="008156EB" w:rsidRPr="008156EB">
        <w:rPr>
          <w:rFonts w:ascii="Cambria" w:hAnsi="Cambria" w:cs="Times New Roman"/>
        </w:rPr>
        <w:t xml:space="preserve"> remotely</w:t>
      </w:r>
      <w:r w:rsidR="00242D7B" w:rsidRPr="008156EB">
        <w:rPr>
          <w:rFonts w:ascii="Cambria" w:hAnsi="Cambria" w:cs="Times New Roman"/>
        </w:rPr>
        <w:t xml:space="preserve"> via webinar. </w:t>
      </w:r>
      <w:r w:rsidRPr="008156EB">
        <w:rPr>
          <w:rFonts w:ascii="Cambria" w:hAnsi="Cambria" w:cs="Times New Roman"/>
        </w:rPr>
        <w:t xml:space="preserve">A full list of meeting registrants is provided in Appendix </w:t>
      </w:r>
      <w:r w:rsidR="005914F0" w:rsidRPr="008156EB">
        <w:rPr>
          <w:rFonts w:ascii="Cambria" w:hAnsi="Cambria" w:cs="Times New Roman"/>
        </w:rPr>
        <w:t>A</w:t>
      </w:r>
      <w:r w:rsidR="00332716" w:rsidRPr="008156EB">
        <w:rPr>
          <w:rFonts w:ascii="Cambria" w:hAnsi="Cambria" w:cs="Times New Roman"/>
        </w:rPr>
        <w:t xml:space="preserve">: </w:t>
      </w:r>
      <w:r w:rsidR="00F83DC3" w:rsidRPr="008156EB">
        <w:rPr>
          <w:rFonts w:ascii="Cambria" w:hAnsi="Cambria" w:cs="Times New Roman"/>
        </w:rPr>
        <w:t>Attendees</w:t>
      </w:r>
      <w:r w:rsidR="00CE21FA" w:rsidRPr="008156EB">
        <w:rPr>
          <w:rFonts w:ascii="Cambria" w:hAnsi="Cambria" w:cs="Times New Roman"/>
        </w:rPr>
        <w:t>.</w:t>
      </w:r>
    </w:p>
    <w:p w14:paraId="0F3F458D" w14:textId="77777777" w:rsidR="00AB2634" w:rsidRPr="008156EB" w:rsidRDefault="00AB2634" w:rsidP="00AB2634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</w:p>
    <w:p w14:paraId="246862A2" w14:textId="172E58F2" w:rsidR="00AB2634" w:rsidRPr="008156EB" w:rsidRDefault="00AB2634" w:rsidP="00E63801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8156EB">
        <w:rPr>
          <w:rFonts w:ascii="Cambria" w:hAnsi="Cambria" w:cs="Times New Roman"/>
        </w:rPr>
        <w:t xml:space="preserve">Meeting facilitation was provided by Dr. </w:t>
      </w:r>
      <w:r w:rsidR="008338CD" w:rsidRPr="008156EB">
        <w:rPr>
          <w:rFonts w:ascii="Cambria" w:hAnsi="Cambria" w:cs="Times New Roman"/>
        </w:rPr>
        <w:t>Jonathan Raab (Raab Associates</w:t>
      </w:r>
      <w:r w:rsidR="008A1A30" w:rsidRPr="008156EB">
        <w:rPr>
          <w:rFonts w:ascii="Cambria" w:hAnsi="Cambria" w:cs="Times New Roman"/>
        </w:rPr>
        <w:t>, Ltd.</w:t>
      </w:r>
      <w:r w:rsidRPr="008156EB">
        <w:rPr>
          <w:rFonts w:ascii="Cambria" w:hAnsi="Cambria" w:cs="Times New Roman"/>
        </w:rPr>
        <w:t>)</w:t>
      </w:r>
      <w:r w:rsidR="003155C2" w:rsidRPr="008156EB">
        <w:rPr>
          <w:rFonts w:ascii="Cambria" w:hAnsi="Cambria" w:cs="Times New Roman"/>
        </w:rPr>
        <w:t xml:space="preserve"> and</w:t>
      </w:r>
      <w:r w:rsidR="008338CD" w:rsidRPr="008156EB">
        <w:rPr>
          <w:rFonts w:ascii="Cambria" w:hAnsi="Cambria" w:cs="Times New Roman"/>
        </w:rPr>
        <w:t xml:space="preserve"> Ellen Zuckerman (</w:t>
      </w:r>
      <w:r w:rsidR="00242D7B" w:rsidRPr="008156EB">
        <w:rPr>
          <w:rFonts w:ascii="Cambria" w:hAnsi="Cambria" w:cs="Times New Roman"/>
        </w:rPr>
        <w:t>Independent</w:t>
      </w:r>
      <w:r w:rsidR="008338CD" w:rsidRPr="008156EB">
        <w:rPr>
          <w:rFonts w:ascii="Cambria" w:hAnsi="Cambria" w:cs="Times New Roman"/>
        </w:rPr>
        <w:t>)</w:t>
      </w:r>
      <w:r w:rsidR="003155C2" w:rsidRPr="008156EB">
        <w:rPr>
          <w:rFonts w:ascii="Cambria" w:hAnsi="Cambria" w:cs="Times New Roman"/>
        </w:rPr>
        <w:t xml:space="preserve">. </w:t>
      </w:r>
      <w:r w:rsidRPr="008156EB">
        <w:rPr>
          <w:rFonts w:ascii="Cambria" w:hAnsi="Cambria" w:cs="Times New Roman"/>
        </w:rPr>
        <w:t>Meeting materials</w:t>
      </w:r>
      <w:r w:rsidR="00E04566" w:rsidRPr="008156EB">
        <w:rPr>
          <w:rFonts w:ascii="Cambria" w:hAnsi="Cambria" w:cs="Times New Roman"/>
        </w:rPr>
        <w:t xml:space="preserve"> and </w:t>
      </w:r>
      <w:r w:rsidRPr="008156EB">
        <w:rPr>
          <w:rFonts w:ascii="Cambria" w:hAnsi="Cambria" w:cs="Times New Roman"/>
        </w:rPr>
        <w:t xml:space="preserve">presentations are </w:t>
      </w:r>
      <w:r w:rsidR="00E04566" w:rsidRPr="008156EB">
        <w:rPr>
          <w:rFonts w:ascii="Cambria" w:hAnsi="Cambria" w:cs="Times New Roman"/>
        </w:rPr>
        <w:t>available</w:t>
      </w:r>
      <w:r w:rsidRPr="008156EB">
        <w:rPr>
          <w:rFonts w:ascii="Cambria" w:hAnsi="Cambria" w:cs="Times New Roman"/>
        </w:rPr>
        <w:t xml:space="preserve"> on the CAEECC website at</w:t>
      </w:r>
      <w:r w:rsidR="005914F0" w:rsidRPr="008156EB">
        <w:rPr>
          <w:rStyle w:val="Hyperlink"/>
          <w:rFonts w:ascii="Cambria" w:hAnsi="Cambria"/>
        </w:rPr>
        <w:t xml:space="preserve"> </w:t>
      </w:r>
      <w:hyperlink r:id="rId8" w:history="1">
        <w:r w:rsidR="00E63801" w:rsidRPr="008156EB">
          <w:rPr>
            <w:rStyle w:val="Hyperlink"/>
            <w:rFonts w:ascii="Cambria" w:hAnsi="Cambria"/>
          </w:rPr>
          <w:t>https://www.caeecc.org/2-27-19-wg-mtg-market-transformatio</w:t>
        </w:r>
      </w:hyperlink>
      <w:r w:rsidR="00E63801" w:rsidRPr="008156EB">
        <w:rPr>
          <w:rFonts w:ascii="Cambria" w:hAnsi="Cambria" w:cs="Times New Roman"/>
        </w:rPr>
        <w:t>.</w:t>
      </w:r>
    </w:p>
    <w:p w14:paraId="3D263BD2" w14:textId="77777777" w:rsidR="003705F6" w:rsidRPr="008156EB" w:rsidRDefault="003705F6" w:rsidP="003705F6">
      <w:pPr>
        <w:rPr>
          <w:rFonts w:ascii="Cambria" w:hAnsi="Cambria"/>
        </w:rPr>
      </w:pPr>
    </w:p>
    <w:p w14:paraId="7ED1B9EE" w14:textId="77777777" w:rsidR="000378D9" w:rsidRPr="008156EB" w:rsidRDefault="000862B5" w:rsidP="003705F6">
      <w:pPr>
        <w:rPr>
          <w:rFonts w:ascii="Cambria" w:hAnsi="Cambria"/>
          <w:b/>
        </w:rPr>
      </w:pPr>
      <w:r w:rsidRPr="008156EB">
        <w:rPr>
          <w:rFonts w:ascii="Cambria" w:hAnsi="Cambria"/>
          <w:b/>
          <w:bCs/>
          <w:smallCaps/>
          <w:sz w:val="26"/>
          <w:szCs w:val="26"/>
        </w:rPr>
        <w:t>Introductions and Meeting Objectives</w:t>
      </w:r>
      <w:r w:rsidR="005E0F27" w:rsidRPr="008156EB">
        <w:rPr>
          <w:rFonts w:ascii="Cambria" w:hAnsi="Cambria"/>
          <w:b/>
          <w:bCs/>
          <w:smallCaps/>
          <w:sz w:val="26"/>
          <w:szCs w:val="26"/>
        </w:rPr>
        <w:br/>
      </w:r>
    </w:p>
    <w:p w14:paraId="05332855" w14:textId="4712BA7A" w:rsidR="00D27785" w:rsidRPr="008156EB" w:rsidRDefault="00332716" w:rsidP="003155C2">
      <w:p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>CAEECC Facilitator J. Raab review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ed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the agenda</w:t>
      </w:r>
      <w:r w:rsidR="00AA7538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(see link above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, </w:t>
      </w:r>
      <w:r w:rsidR="005914F0" w:rsidRPr="008156EB">
        <w:rPr>
          <w:rFonts w:ascii="Cambria" w:eastAsia="Times New Roman" w:hAnsi="Cambria" w:cs="Times New Roman"/>
          <w:i/>
          <w:color w:val="000000"/>
          <w:shd w:val="clear" w:color="auto" w:fill="FFFFFF"/>
        </w:rPr>
        <w:t>Final Meeting Agenda</w:t>
      </w:r>
      <w:r w:rsidR="00AA7538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). </w:t>
      </w:r>
      <w:r w:rsidR="006672C9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He </w:t>
      </w:r>
      <w:r w:rsidR="00D27785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said </w:t>
      </w:r>
      <w:r w:rsidR="006672C9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that 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the primary focus of the meeting </w:t>
      </w:r>
      <w:r w:rsidR="003155C2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is to 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review </w:t>
      </w:r>
      <w:r w:rsidR="00D27785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and finalize 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the </w:t>
      </w:r>
      <w:r w:rsidR="004072A6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MT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WG’s</w:t>
      </w:r>
      <w:r w:rsidR="00D27785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</w:t>
      </w:r>
      <w:r w:rsidR="003C698F">
        <w:rPr>
          <w:rFonts w:ascii="Cambria" w:eastAsia="Times New Roman" w:hAnsi="Cambria" w:cs="Times New Roman"/>
          <w:color w:val="000000"/>
          <w:shd w:val="clear" w:color="auto" w:fill="FFFFFF"/>
        </w:rPr>
        <w:t>R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eport and recommendations </w:t>
      </w:r>
      <w:r w:rsidR="00D27785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to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the California Public Utilities Commission </w:t>
      </w:r>
      <w:r w:rsidR="00B878CC">
        <w:rPr>
          <w:rFonts w:ascii="Cambria" w:eastAsia="Times New Roman" w:hAnsi="Cambria" w:cs="Times New Roman"/>
          <w:color w:val="000000"/>
          <w:shd w:val="clear" w:color="auto" w:fill="FFFFFF"/>
        </w:rPr>
        <w:t>(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CPUC</w:t>
      </w:r>
      <w:r w:rsidR="00B878CC">
        <w:rPr>
          <w:rFonts w:ascii="Cambria" w:eastAsia="Times New Roman" w:hAnsi="Cambria" w:cs="Times New Roman"/>
          <w:color w:val="000000"/>
          <w:shd w:val="clear" w:color="auto" w:fill="FFFFFF"/>
        </w:rPr>
        <w:t>)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that was circulated prior to the meeting</w:t>
      </w:r>
      <w:r w:rsidR="00D27785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</w:t>
      </w:r>
      <w:r w:rsidR="000C73D6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and whose content was developed and drafted by multiple Sub-Working Groups assigned to different issue areas 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(see link above, </w:t>
      </w:r>
      <w:r w:rsidR="005914F0" w:rsidRPr="008156EB">
        <w:rPr>
          <w:rFonts w:ascii="Cambria" w:eastAsia="Times New Roman" w:hAnsi="Cambria" w:cs="Times New Roman"/>
          <w:i/>
          <w:color w:val="000000"/>
          <w:shd w:val="clear" w:color="auto" w:fill="FFFFFF"/>
        </w:rPr>
        <w:t>CAEECC MTI Proposal Draft 2-20-19</w:t>
      </w:r>
      <w:r w:rsidR="005914F0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).</w:t>
      </w:r>
      <w:r w:rsidR="00D27785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</w:t>
      </w:r>
    </w:p>
    <w:p w14:paraId="6B03D43B" w14:textId="77777777" w:rsidR="00D27785" w:rsidRPr="008156EB" w:rsidRDefault="00D27785" w:rsidP="003155C2">
      <w:pPr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14:paraId="74D9D981" w14:textId="47E1C4D3" w:rsidR="000C73D6" w:rsidRPr="008156EB" w:rsidRDefault="00D27785" w:rsidP="003155C2">
      <w:p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>Prior to the meeting, the Natural Resources Defense Council (NRDC) and CodeCycle provided suggested red line edits to the Report</w:t>
      </w:r>
      <w:r w:rsidR="00E63801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(see link above, </w:t>
      </w:r>
      <w:r w:rsidR="00E63801" w:rsidRPr="008156EB">
        <w:rPr>
          <w:rFonts w:ascii="Cambria" w:eastAsia="Times New Roman" w:hAnsi="Cambria" w:cs="Times New Roman"/>
          <w:i/>
          <w:color w:val="000000"/>
          <w:shd w:val="clear" w:color="auto" w:fill="FFFFFF"/>
        </w:rPr>
        <w:t xml:space="preserve">NRDC Comments/Suggested Edits 2.26.19 </w:t>
      </w:r>
      <w:r w:rsidR="00E63801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and </w:t>
      </w:r>
      <w:r w:rsidR="00E63801" w:rsidRPr="008156EB">
        <w:rPr>
          <w:rFonts w:ascii="Cambria" w:eastAsia="Times New Roman" w:hAnsi="Cambria" w:cs="Times New Roman"/>
          <w:i/>
          <w:color w:val="000000"/>
          <w:shd w:val="clear" w:color="auto" w:fill="FFFFFF"/>
        </w:rPr>
        <w:t>CodeCycle Comments/Suggested Edits 2.26.19</w:t>
      </w:r>
      <w:r w:rsidR="00E63801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, respectively).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J. Raab explained that the </w:t>
      </w:r>
      <w:r w:rsidR="008156EB">
        <w:rPr>
          <w:rFonts w:ascii="Cambria" w:eastAsia="Times New Roman" w:hAnsi="Cambria" w:cs="Times New Roman"/>
          <w:color w:val="000000"/>
          <w:shd w:val="clear" w:color="auto" w:fill="FFFFFF"/>
        </w:rPr>
        <w:t>MT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WG would work from the NRDC document </w:t>
      </w:r>
      <w:r w:rsidR="000826B9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and</w:t>
      </w:r>
      <w:r w:rsidR="00E63801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review the Report section-by-section</w:t>
      </w:r>
      <w:r w:rsidR="000826B9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. The </w:t>
      </w:r>
      <w:r w:rsidR="00E63801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CodeCycle comments </w:t>
      </w:r>
      <w:r w:rsidR="000826B9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would be reviewed </w:t>
      </w:r>
      <w:r w:rsidR="00E41DEF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where</w:t>
      </w:r>
      <w:r w:rsidR="00E63801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relevant</w:t>
      </w:r>
      <w:r w:rsidR="004072A6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, as would any other suggestions by MTWG </w:t>
      </w:r>
      <w:r w:rsidR="00B878CC">
        <w:rPr>
          <w:rFonts w:ascii="Cambria" w:eastAsia="Times New Roman" w:hAnsi="Cambria" w:cs="Times New Roman"/>
          <w:color w:val="000000"/>
          <w:shd w:val="clear" w:color="auto" w:fill="FFFFFF"/>
        </w:rPr>
        <w:t>M</w:t>
      </w:r>
      <w:r w:rsidR="004072A6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embers.</w:t>
      </w:r>
    </w:p>
    <w:p w14:paraId="39A1CE7B" w14:textId="77777777" w:rsidR="000C73D6" w:rsidRPr="008156EB" w:rsidRDefault="000C73D6" w:rsidP="003155C2">
      <w:pPr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14:paraId="500C2D51" w14:textId="53DE7E6E" w:rsidR="000C73D6" w:rsidRPr="008156EB" w:rsidRDefault="00E41DEF" w:rsidP="003155C2">
      <w:p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J. Raab also said that he would ask </w:t>
      </w:r>
      <w:r w:rsidR="00A56126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each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</w:t>
      </w:r>
      <w:r w:rsidR="008156EB">
        <w:rPr>
          <w:rFonts w:ascii="Cambria" w:eastAsia="Times New Roman" w:hAnsi="Cambria" w:cs="Times New Roman"/>
          <w:color w:val="000000"/>
          <w:shd w:val="clear" w:color="auto" w:fill="FFFFFF"/>
        </w:rPr>
        <w:t>MT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WG Member </w:t>
      </w:r>
      <w:r w:rsidR="000C73D6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to determine which option it support</w:t>
      </w:r>
      <w:r w:rsidR="000826B9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s</w:t>
      </w:r>
      <w:r w:rsidR="000C73D6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for each of the two non-consensus i</w:t>
      </w:r>
      <w:r w:rsidR="0040717C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ssues</w:t>
      </w:r>
      <w:r w:rsidR="000C73D6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:</w:t>
      </w:r>
    </w:p>
    <w:p w14:paraId="13F12FD3" w14:textId="77777777" w:rsidR="000C73D6" w:rsidRPr="008156EB" w:rsidRDefault="000C73D6" w:rsidP="003155C2">
      <w:pPr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14:paraId="5D3E00ED" w14:textId="7D6A32A9" w:rsidR="00E41DEF" w:rsidRPr="008156EB" w:rsidRDefault="000C73D6" w:rsidP="000C73D6">
      <w:pPr>
        <w:pStyle w:val="ListParagraph"/>
        <w:numPr>
          <w:ilvl w:val="0"/>
          <w:numId w:val="15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Who the MT Administrator(s) (MTA(s)) should be: </w:t>
      </w:r>
      <w:proofErr w:type="gramStart"/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>the</w:t>
      </w:r>
      <w:proofErr w:type="gramEnd"/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Existing Program Administrator(s) or a Single, Statewide Independent </w:t>
      </w:r>
      <w:r w:rsidR="00D17869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Administrator?</w:t>
      </w:r>
      <w:r w:rsidR="0040717C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And,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br/>
      </w:r>
    </w:p>
    <w:p w14:paraId="458EECB6" w14:textId="5C7101D5" w:rsidR="000C73D6" w:rsidRPr="008156EB" w:rsidRDefault="000C73D6" w:rsidP="000C73D6">
      <w:pPr>
        <w:pStyle w:val="ListParagraph"/>
        <w:numPr>
          <w:ilvl w:val="0"/>
          <w:numId w:val="15"/>
        </w:num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>What the M</w:t>
      </w:r>
      <w:r w:rsidR="00B878CC">
        <w:rPr>
          <w:rFonts w:ascii="Cambria" w:eastAsia="Times New Roman" w:hAnsi="Cambria" w:cs="Times New Roman"/>
          <w:color w:val="000000"/>
          <w:shd w:val="clear" w:color="auto" w:fill="FFFFFF"/>
        </w:rPr>
        <w:t>T initiative (MTI)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cost-effectiveness threshold </w:t>
      </w:r>
      <w:r w:rsidR="0010451A" w:rsidRPr="008156EB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should 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>be: 1.5 or 1.25</w:t>
      </w:r>
      <w:r w:rsidR="00D17869" w:rsidRPr="008156EB">
        <w:rPr>
          <w:rFonts w:ascii="Cambria" w:eastAsia="Times New Roman" w:hAnsi="Cambria" w:cs="Times New Roman"/>
          <w:color w:val="000000"/>
          <w:shd w:val="clear" w:color="auto" w:fill="FFFFFF"/>
        </w:rPr>
        <w:t>?</w:t>
      </w:r>
    </w:p>
    <w:p w14:paraId="4489D248" w14:textId="0F137D50" w:rsidR="00E63801" w:rsidRPr="008156EB" w:rsidRDefault="004072A6" w:rsidP="003155C2">
      <w:pPr>
        <w:rPr>
          <w:rFonts w:ascii="Cambria" w:eastAsia="Times New Roman" w:hAnsi="Cambria" w:cs="Times New Roman"/>
          <w:b/>
          <w:smallCaps/>
          <w:color w:val="000000"/>
          <w:sz w:val="26"/>
          <w:szCs w:val="26"/>
          <w:shd w:val="clear" w:color="auto" w:fill="FFFFFF"/>
        </w:rPr>
      </w:pPr>
      <w:r w:rsidRPr="008156EB">
        <w:rPr>
          <w:rFonts w:ascii="Cambria" w:eastAsia="Times New Roman" w:hAnsi="Cambria" w:cs="Times New Roman"/>
          <w:b/>
          <w:smallCaps/>
          <w:color w:val="000000"/>
          <w:sz w:val="26"/>
          <w:szCs w:val="26"/>
          <w:shd w:val="clear" w:color="auto" w:fill="FFFFFF"/>
        </w:rPr>
        <w:t>Section by Section Review of Report/Recommendations</w:t>
      </w:r>
    </w:p>
    <w:p w14:paraId="3069A1C5" w14:textId="77777777" w:rsidR="00E63801" w:rsidRPr="008156EB" w:rsidRDefault="00E63801" w:rsidP="003155C2">
      <w:pPr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14:paraId="2C13A6CD" w14:textId="5E738C91" w:rsidR="0010451A" w:rsidRPr="008156EB" w:rsidRDefault="00E63801" w:rsidP="0010451A">
      <w:pPr>
        <w:rPr>
          <w:rFonts w:ascii="Cambria" w:hAnsi="Cambria" w:cs="Times New Roman"/>
        </w:rPr>
      </w:pPr>
      <w:r w:rsidRPr="008156EB">
        <w:rPr>
          <w:rFonts w:ascii="Cambria" w:hAnsi="Cambria" w:cs="Times New Roman"/>
        </w:rPr>
        <w:t xml:space="preserve">During the meeting, </w:t>
      </w:r>
      <w:r w:rsidR="0010451A" w:rsidRPr="008156EB">
        <w:rPr>
          <w:rFonts w:ascii="Cambria" w:hAnsi="Cambria" w:cs="Times New Roman"/>
        </w:rPr>
        <w:t xml:space="preserve">the </w:t>
      </w:r>
      <w:r w:rsidR="008156EB">
        <w:rPr>
          <w:rFonts w:ascii="Cambria" w:hAnsi="Cambria" w:cs="Times New Roman"/>
        </w:rPr>
        <w:t>MT</w:t>
      </w:r>
      <w:r w:rsidR="0010451A" w:rsidRPr="008156EB">
        <w:rPr>
          <w:rFonts w:ascii="Cambria" w:hAnsi="Cambria" w:cs="Times New Roman"/>
        </w:rPr>
        <w:t>WG reviewed each of the Report</w:t>
      </w:r>
      <w:r w:rsidR="003C698F">
        <w:rPr>
          <w:rFonts w:ascii="Cambria" w:hAnsi="Cambria" w:cs="Times New Roman"/>
        </w:rPr>
        <w:t>’s</w:t>
      </w:r>
      <w:r w:rsidR="0010451A" w:rsidRPr="008156EB">
        <w:rPr>
          <w:rFonts w:ascii="Cambria" w:hAnsi="Cambria" w:cs="Times New Roman"/>
        </w:rPr>
        <w:t xml:space="preserve"> sections</w:t>
      </w:r>
      <w:r w:rsidR="0040717C" w:rsidRPr="008156EB">
        <w:rPr>
          <w:rFonts w:ascii="Cambria" w:hAnsi="Cambria" w:cs="Times New Roman"/>
        </w:rPr>
        <w:t xml:space="preserve"> </w:t>
      </w:r>
      <w:r w:rsidR="0010451A" w:rsidRPr="008156EB">
        <w:rPr>
          <w:rFonts w:ascii="Cambria" w:hAnsi="Cambria" w:cs="Times New Roman"/>
        </w:rPr>
        <w:t xml:space="preserve">and agreed upon </w:t>
      </w:r>
      <w:r w:rsidR="004072A6" w:rsidRPr="008156EB">
        <w:rPr>
          <w:rFonts w:ascii="Cambria" w:hAnsi="Cambria" w:cs="Times New Roman"/>
        </w:rPr>
        <w:t xml:space="preserve">numerous changes </w:t>
      </w:r>
      <w:r w:rsidR="0010451A" w:rsidRPr="008156EB">
        <w:rPr>
          <w:rFonts w:ascii="Cambria" w:hAnsi="Cambria" w:cs="Times New Roman"/>
        </w:rPr>
        <w:t xml:space="preserve">by consensus. The document reflecting those </w:t>
      </w:r>
      <w:r w:rsidR="004072A6" w:rsidRPr="008156EB">
        <w:rPr>
          <w:rFonts w:ascii="Cambria" w:hAnsi="Cambria" w:cs="Times New Roman"/>
        </w:rPr>
        <w:t xml:space="preserve">changes as well as an initial round of clean-up/consistency edits </w:t>
      </w:r>
      <w:r w:rsidR="0010451A" w:rsidRPr="008156EB">
        <w:rPr>
          <w:rFonts w:ascii="Cambria" w:hAnsi="Cambria" w:cs="Times New Roman"/>
        </w:rPr>
        <w:t xml:space="preserve">was posted the next day at the website address above </w:t>
      </w:r>
      <w:r w:rsidR="00B878CC">
        <w:rPr>
          <w:rFonts w:ascii="Cambria" w:hAnsi="Cambria" w:cs="Times New Roman"/>
        </w:rPr>
        <w:t>(</w:t>
      </w:r>
      <w:r w:rsidR="0010451A" w:rsidRPr="008156EB">
        <w:rPr>
          <w:rFonts w:ascii="Cambria" w:hAnsi="Cambria" w:cs="Times New Roman"/>
          <w:i/>
        </w:rPr>
        <w:t>MTWG Recommendations 2.27.19 Redline</w:t>
      </w:r>
      <w:r w:rsidR="00B878CC">
        <w:rPr>
          <w:rFonts w:ascii="Cambria" w:hAnsi="Cambria" w:cs="Times New Roman"/>
        </w:rPr>
        <w:t>)</w:t>
      </w:r>
      <w:r w:rsidR="0010451A" w:rsidRPr="008156EB">
        <w:rPr>
          <w:rFonts w:ascii="Cambria" w:hAnsi="Cambria" w:cs="Times New Roman"/>
        </w:rPr>
        <w:t xml:space="preserve">. </w:t>
      </w:r>
    </w:p>
    <w:p w14:paraId="7243FDA4" w14:textId="35665FB6" w:rsidR="004072A6" w:rsidRPr="008156EB" w:rsidRDefault="004072A6" w:rsidP="0010451A">
      <w:pPr>
        <w:rPr>
          <w:rFonts w:ascii="Cambria" w:hAnsi="Cambria" w:cs="Times New Roman"/>
        </w:rPr>
      </w:pPr>
    </w:p>
    <w:p w14:paraId="3372941F" w14:textId="586D4072" w:rsidR="004072A6" w:rsidRPr="008156EB" w:rsidRDefault="004072A6" w:rsidP="0010451A">
      <w:pPr>
        <w:rPr>
          <w:rFonts w:ascii="Cambria" w:hAnsi="Cambria" w:cs="Times New Roman"/>
        </w:rPr>
      </w:pPr>
      <w:r w:rsidRPr="008156EB">
        <w:rPr>
          <w:rFonts w:ascii="Cambria" w:hAnsi="Cambria" w:cs="Times New Roman"/>
        </w:rPr>
        <w:t xml:space="preserve">A high-level summary of </w:t>
      </w:r>
      <w:r w:rsidR="00743E78" w:rsidRPr="008156EB">
        <w:rPr>
          <w:rFonts w:ascii="Cambria" w:hAnsi="Cambria" w:cs="Times New Roman"/>
        </w:rPr>
        <w:t>some of the more significant agreements are bulleted below by section. See the</w:t>
      </w:r>
      <w:r w:rsidR="005E3182">
        <w:rPr>
          <w:rFonts w:ascii="Cambria" w:hAnsi="Cambria" w:cs="Times New Roman"/>
        </w:rPr>
        <w:t xml:space="preserve"> aforementioned</w:t>
      </w:r>
      <w:r w:rsidR="00743E78" w:rsidRPr="008156EB">
        <w:rPr>
          <w:rFonts w:ascii="Cambria" w:hAnsi="Cambria" w:cs="Times New Roman"/>
        </w:rPr>
        <w:t xml:space="preserve"> red</w:t>
      </w:r>
      <w:r w:rsidR="002A758F">
        <w:rPr>
          <w:rFonts w:ascii="Cambria" w:hAnsi="Cambria" w:cs="Times New Roman"/>
        </w:rPr>
        <w:t xml:space="preserve"> </w:t>
      </w:r>
      <w:r w:rsidR="00743E78" w:rsidRPr="008156EB">
        <w:rPr>
          <w:rFonts w:ascii="Cambria" w:hAnsi="Cambria" w:cs="Times New Roman"/>
        </w:rPr>
        <w:t>line document for all changes</w:t>
      </w:r>
      <w:r w:rsidR="00B878CC">
        <w:rPr>
          <w:rFonts w:ascii="Cambria" w:hAnsi="Cambria" w:cs="Times New Roman"/>
        </w:rPr>
        <w:t>.</w:t>
      </w:r>
    </w:p>
    <w:p w14:paraId="5342A506" w14:textId="3EC1B0A5" w:rsidR="0010451A" w:rsidRPr="008156EB" w:rsidRDefault="0010451A" w:rsidP="00E63801">
      <w:pPr>
        <w:rPr>
          <w:rFonts w:ascii="Cambria" w:hAnsi="Cambria" w:cs="Times New Roman"/>
        </w:rPr>
      </w:pPr>
    </w:p>
    <w:p w14:paraId="3A722A4A" w14:textId="59C58CF0" w:rsidR="00743E78" w:rsidRPr="008156EB" w:rsidRDefault="0010451A" w:rsidP="0010451A">
      <w:pPr>
        <w:pStyle w:val="ListParagraph"/>
        <w:numPr>
          <w:ilvl w:val="0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b/>
          <w:szCs w:val="22"/>
        </w:rPr>
        <w:t xml:space="preserve">Section 1: Introduction &amp; Overview </w:t>
      </w:r>
      <w:r w:rsidR="008156EB">
        <w:rPr>
          <w:rFonts w:ascii="Cambria" w:hAnsi="Cambria" w:cs="Calibri"/>
          <w:b/>
          <w:szCs w:val="22"/>
        </w:rPr>
        <w:br/>
      </w:r>
    </w:p>
    <w:p w14:paraId="75E30525" w14:textId="3F8BE968" w:rsidR="00743E78" w:rsidRPr="008156EB" w:rsidRDefault="00B878CC" w:rsidP="00254CAA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>
        <w:rPr>
          <w:rFonts w:ascii="Cambria" w:hAnsi="Cambria" w:cs="Calibri"/>
          <w:szCs w:val="22"/>
        </w:rPr>
        <w:t xml:space="preserve">Agreed to </w:t>
      </w:r>
      <w:r w:rsidR="00743E78" w:rsidRPr="008156EB">
        <w:rPr>
          <w:rFonts w:ascii="Cambria" w:hAnsi="Cambria" w:cs="Calibri"/>
          <w:szCs w:val="22"/>
        </w:rPr>
        <w:t>call the “document” a “report</w:t>
      </w:r>
      <w:r w:rsidR="008156EB">
        <w:rPr>
          <w:rFonts w:ascii="Cambria" w:hAnsi="Cambria" w:cs="Calibri"/>
          <w:szCs w:val="22"/>
        </w:rPr>
        <w:t>.</w:t>
      </w:r>
      <w:r w:rsidR="00743E78" w:rsidRPr="008156EB">
        <w:rPr>
          <w:rFonts w:ascii="Cambria" w:hAnsi="Cambria" w:cs="Calibri"/>
          <w:szCs w:val="22"/>
        </w:rPr>
        <w:t>”</w:t>
      </w:r>
      <w:r w:rsidR="008156EB">
        <w:rPr>
          <w:rFonts w:ascii="Cambria" w:hAnsi="Cambria" w:cs="Calibri"/>
          <w:szCs w:val="22"/>
        </w:rPr>
        <w:br/>
      </w:r>
    </w:p>
    <w:p w14:paraId="1505F00F" w14:textId="55099C3E" w:rsidR="00743E78" w:rsidRPr="008156EB" w:rsidRDefault="00743E78" w:rsidP="00254CAA">
      <w:pPr>
        <w:pStyle w:val="ListParagraph"/>
        <w:numPr>
          <w:ilvl w:val="1"/>
          <w:numId w:val="17"/>
        </w:numPr>
        <w:rPr>
          <w:rFonts w:ascii="Cambria" w:hAnsi="Cambria" w:cs="Calibri"/>
          <w:b/>
          <w:szCs w:val="22"/>
        </w:rPr>
      </w:pPr>
      <w:r w:rsidRPr="008156EB">
        <w:rPr>
          <w:rFonts w:ascii="Cambria" w:hAnsi="Cambria" w:cs="Calibri"/>
          <w:szCs w:val="22"/>
        </w:rPr>
        <w:t xml:space="preserve">Agreed that Members could abstain from taking a position on non-consensus items. </w:t>
      </w:r>
      <w:r w:rsidR="00B878CC">
        <w:rPr>
          <w:rFonts w:ascii="Cambria" w:hAnsi="Cambria" w:cs="Calibri"/>
          <w:szCs w:val="22"/>
        </w:rPr>
        <w:t>(</w:t>
      </w:r>
      <w:r w:rsidRPr="008156EB">
        <w:rPr>
          <w:rFonts w:ascii="Cambria" w:hAnsi="Cambria" w:cs="Calibri"/>
          <w:szCs w:val="22"/>
        </w:rPr>
        <w:t>After the meeting the Facilitators also added an option, discussed during the meeting, of letting Members sign</w:t>
      </w:r>
      <w:r w:rsidR="008156EB">
        <w:rPr>
          <w:rFonts w:ascii="Cambria" w:hAnsi="Cambria" w:cs="Calibri"/>
          <w:szCs w:val="22"/>
        </w:rPr>
        <w:t>-</w:t>
      </w:r>
      <w:r w:rsidRPr="008156EB">
        <w:rPr>
          <w:rFonts w:ascii="Cambria" w:hAnsi="Cambria" w:cs="Calibri"/>
          <w:szCs w:val="22"/>
        </w:rPr>
        <w:t>up for both options if they could support either.</w:t>
      </w:r>
      <w:r w:rsidR="00B878CC">
        <w:rPr>
          <w:rFonts w:ascii="Cambria" w:hAnsi="Cambria" w:cs="Calibri"/>
          <w:szCs w:val="22"/>
        </w:rPr>
        <w:t>)</w:t>
      </w:r>
      <w:r w:rsidR="008156EB">
        <w:rPr>
          <w:rFonts w:ascii="Cambria" w:hAnsi="Cambria" w:cs="Calibri"/>
          <w:szCs w:val="22"/>
        </w:rPr>
        <w:br/>
      </w:r>
    </w:p>
    <w:p w14:paraId="3AB58DDE" w14:textId="04074E8E" w:rsidR="00743E78" w:rsidRPr="008156EB" w:rsidRDefault="0010451A" w:rsidP="0010451A">
      <w:pPr>
        <w:pStyle w:val="ListParagraph"/>
        <w:numPr>
          <w:ilvl w:val="0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b/>
          <w:szCs w:val="22"/>
        </w:rPr>
        <w:t xml:space="preserve">Section 2: Market Transformation Initiative Principles, Guidelines, &amp; Strategies </w:t>
      </w:r>
      <w:r w:rsidR="008156EB">
        <w:rPr>
          <w:rFonts w:ascii="Cambria" w:hAnsi="Cambria" w:cs="Calibri"/>
          <w:b/>
          <w:szCs w:val="22"/>
        </w:rPr>
        <w:br/>
      </w:r>
    </w:p>
    <w:p w14:paraId="6B8043F7" w14:textId="6CFBBA2D" w:rsidR="00743E78" w:rsidRPr="008156EB" w:rsidRDefault="00743E78" w:rsidP="00254CAA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>Sorted principles into two buckets</w:t>
      </w:r>
      <w:r w:rsidR="002A758F">
        <w:rPr>
          <w:rFonts w:ascii="Cambria" w:hAnsi="Cambria" w:cs="Calibri"/>
          <w:szCs w:val="22"/>
        </w:rPr>
        <w:t>:</w:t>
      </w:r>
      <w:r w:rsidRPr="008156EB">
        <w:rPr>
          <w:rFonts w:ascii="Cambria" w:hAnsi="Cambria" w:cs="Calibri"/>
          <w:szCs w:val="22"/>
        </w:rPr>
        <w:t xml:space="preserve"> those that all </w:t>
      </w:r>
      <w:r w:rsidR="00B878CC">
        <w:rPr>
          <w:rFonts w:ascii="Cambria" w:hAnsi="Cambria" w:cs="Calibri"/>
          <w:szCs w:val="22"/>
        </w:rPr>
        <w:t>MTIs</w:t>
      </w:r>
      <w:r w:rsidRPr="008156EB">
        <w:rPr>
          <w:rFonts w:ascii="Cambria" w:hAnsi="Cambria" w:cs="Calibri"/>
          <w:szCs w:val="22"/>
        </w:rPr>
        <w:t xml:space="preserve"> “must” address and others that </w:t>
      </w:r>
      <w:r w:rsidR="008156EB">
        <w:rPr>
          <w:rFonts w:ascii="Cambria" w:hAnsi="Cambria" w:cs="Calibri"/>
          <w:szCs w:val="22"/>
        </w:rPr>
        <w:t>MTIs</w:t>
      </w:r>
      <w:r w:rsidRPr="008156EB">
        <w:rPr>
          <w:rFonts w:ascii="Cambria" w:hAnsi="Cambria" w:cs="Calibri"/>
          <w:szCs w:val="22"/>
        </w:rPr>
        <w:t xml:space="preserve"> “should” address if applicable</w:t>
      </w:r>
      <w:r w:rsidR="008156EB">
        <w:rPr>
          <w:rFonts w:ascii="Cambria" w:hAnsi="Cambria" w:cs="Calibri"/>
          <w:szCs w:val="22"/>
        </w:rPr>
        <w:t>.</w:t>
      </w:r>
      <w:r w:rsidR="008156EB">
        <w:rPr>
          <w:rFonts w:ascii="Cambria" w:hAnsi="Cambria" w:cs="Calibri"/>
          <w:szCs w:val="22"/>
        </w:rPr>
        <w:br/>
      </w:r>
    </w:p>
    <w:p w14:paraId="1FF42959" w14:textId="07507466" w:rsidR="0010451A" w:rsidRPr="008156EB" w:rsidRDefault="00743E78" w:rsidP="008156EB">
      <w:pPr>
        <w:pStyle w:val="ListParagraph"/>
        <w:numPr>
          <w:ilvl w:val="1"/>
          <w:numId w:val="17"/>
        </w:numPr>
        <w:spacing w:after="80"/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 xml:space="preserve">Added “just and reasonable for ratepayers to fund” at the end of </w:t>
      </w:r>
      <w:r w:rsidR="008156EB">
        <w:rPr>
          <w:rFonts w:ascii="Cambria" w:hAnsi="Cambria" w:cs="Calibri"/>
          <w:szCs w:val="22"/>
        </w:rPr>
        <w:t xml:space="preserve">the </w:t>
      </w:r>
      <w:r w:rsidRPr="008156EB">
        <w:rPr>
          <w:rFonts w:ascii="Cambria" w:hAnsi="Cambria" w:cs="Calibri"/>
          <w:szCs w:val="22"/>
        </w:rPr>
        <w:t>cost-effectiveness principle</w:t>
      </w:r>
      <w:r w:rsidR="008156EB">
        <w:rPr>
          <w:rFonts w:ascii="Cambria" w:hAnsi="Cambria" w:cs="Calibri"/>
          <w:szCs w:val="22"/>
        </w:rPr>
        <w:t xml:space="preserve"> (</w:t>
      </w:r>
      <w:r w:rsidR="00457A39">
        <w:rPr>
          <w:rFonts w:ascii="Cambria" w:hAnsi="Cambria" w:cs="Calibri"/>
          <w:szCs w:val="22"/>
        </w:rPr>
        <w:t>P</w:t>
      </w:r>
      <w:r w:rsidR="008156EB">
        <w:rPr>
          <w:rFonts w:ascii="Cambria" w:hAnsi="Cambria" w:cs="Calibri"/>
          <w:szCs w:val="22"/>
        </w:rPr>
        <w:t>rinciple #2).</w:t>
      </w:r>
      <w:r w:rsidR="008156EB" w:rsidRPr="008156EB">
        <w:rPr>
          <w:rFonts w:ascii="Cambria" w:hAnsi="Cambria" w:cs="Calibri"/>
          <w:bCs/>
          <w:szCs w:val="22"/>
        </w:rPr>
        <w:br/>
      </w:r>
    </w:p>
    <w:p w14:paraId="74E307AE" w14:textId="40C81253" w:rsidR="0010451A" w:rsidRPr="008156EB" w:rsidRDefault="0010451A" w:rsidP="0010451A">
      <w:pPr>
        <w:pStyle w:val="ListParagraph"/>
        <w:numPr>
          <w:ilvl w:val="0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b/>
          <w:szCs w:val="22"/>
        </w:rPr>
        <w:t>Section 3:</w:t>
      </w:r>
      <w:r w:rsidRPr="008156EB">
        <w:rPr>
          <w:rFonts w:ascii="Cambria" w:hAnsi="Cambria" w:cs="Calibri"/>
          <w:szCs w:val="22"/>
        </w:rPr>
        <w:t xml:space="preserve"> </w:t>
      </w:r>
      <w:r w:rsidRPr="008156EB">
        <w:rPr>
          <w:rFonts w:ascii="Cambria" w:hAnsi="Cambria" w:cs="Calibri"/>
          <w:b/>
          <w:szCs w:val="22"/>
        </w:rPr>
        <w:t xml:space="preserve">Market Transformation Stage-Gate Proposal &amp; Decision Criteria </w:t>
      </w:r>
      <w:r w:rsidR="008156EB">
        <w:rPr>
          <w:rFonts w:ascii="Cambria" w:hAnsi="Cambria" w:cs="Calibri"/>
          <w:b/>
          <w:szCs w:val="22"/>
        </w:rPr>
        <w:br/>
      </w:r>
    </w:p>
    <w:p w14:paraId="3B737AFA" w14:textId="455857FC" w:rsidR="002C1802" w:rsidRDefault="002C1802" w:rsidP="00743E7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>
        <w:rPr>
          <w:rFonts w:ascii="Cambria" w:hAnsi="Cambria" w:cs="Calibri"/>
          <w:szCs w:val="22"/>
        </w:rPr>
        <w:t>Agreed to use the term “MT Plan” instead of “MT Accord.”</w:t>
      </w:r>
      <w:r>
        <w:rPr>
          <w:rFonts w:ascii="Cambria" w:hAnsi="Cambria" w:cs="Calibri"/>
          <w:szCs w:val="22"/>
        </w:rPr>
        <w:br/>
      </w:r>
    </w:p>
    <w:p w14:paraId="5A4067F7" w14:textId="70D52182" w:rsidR="00743E78" w:rsidRPr="008156EB" w:rsidRDefault="00743E78" w:rsidP="00743E7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>Agreed that all proposed MTIs would need to proceed through the stage</w:t>
      </w:r>
      <w:r w:rsidR="008156EB">
        <w:rPr>
          <w:rFonts w:ascii="Cambria" w:hAnsi="Cambria" w:cs="Calibri"/>
          <w:szCs w:val="22"/>
        </w:rPr>
        <w:t>-</w:t>
      </w:r>
      <w:r w:rsidRPr="008156EB">
        <w:rPr>
          <w:rFonts w:ascii="Cambria" w:hAnsi="Cambria" w:cs="Calibri"/>
          <w:szCs w:val="22"/>
        </w:rPr>
        <w:t>gate process regardless of origin (although some may skip certain stages depending on level of development)</w:t>
      </w:r>
      <w:r w:rsidR="008156EB">
        <w:rPr>
          <w:rFonts w:ascii="Cambria" w:hAnsi="Cambria" w:cs="Calibri"/>
          <w:szCs w:val="22"/>
        </w:rPr>
        <w:t>.</w:t>
      </w:r>
      <w:r w:rsidR="008156EB">
        <w:rPr>
          <w:rFonts w:ascii="Cambria" w:hAnsi="Cambria" w:cs="Calibri"/>
          <w:szCs w:val="22"/>
        </w:rPr>
        <w:br/>
      </w:r>
    </w:p>
    <w:p w14:paraId="41DF6569" w14:textId="319ECB38" w:rsidR="00743E78" w:rsidRPr="008156EB" w:rsidRDefault="00743E78" w:rsidP="00743E7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>Acknowledged that some</w:t>
      </w:r>
      <w:r w:rsidR="00A40D2E" w:rsidRPr="008156EB">
        <w:rPr>
          <w:rFonts w:ascii="Cambria" w:hAnsi="Cambria" w:cs="Calibri"/>
          <w:szCs w:val="22"/>
        </w:rPr>
        <w:t xml:space="preserve"> internal policies of </w:t>
      </w:r>
      <w:r w:rsidR="008156EB">
        <w:rPr>
          <w:rFonts w:ascii="Cambria" w:hAnsi="Cambria" w:cs="Calibri"/>
          <w:szCs w:val="22"/>
        </w:rPr>
        <w:t>the</w:t>
      </w:r>
      <w:r w:rsidR="00A40D2E" w:rsidRPr="008156EB">
        <w:rPr>
          <w:rFonts w:ascii="Cambria" w:hAnsi="Cambria" w:cs="Calibri"/>
          <w:szCs w:val="22"/>
        </w:rPr>
        <w:t xml:space="preserve"> MTA(s) might prohibit </w:t>
      </w:r>
      <w:r w:rsidR="008156EB">
        <w:rPr>
          <w:rFonts w:ascii="Cambria" w:hAnsi="Cambria" w:cs="Calibri"/>
          <w:szCs w:val="22"/>
        </w:rPr>
        <w:t>the</w:t>
      </w:r>
      <w:r w:rsidR="00A40D2E" w:rsidRPr="008156EB">
        <w:rPr>
          <w:rFonts w:ascii="Cambria" w:hAnsi="Cambria" w:cs="Calibri"/>
          <w:szCs w:val="22"/>
        </w:rPr>
        <w:t xml:space="preserve"> MTA(s) from supporting certain types of MTIs</w:t>
      </w:r>
      <w:r w:rsidR="008156EB">
        <w:rPr>
          <w:rFonts w:ascii="Cambria" w:hAnsi="Cambria" w:cs="Calibri"/>
          <w:szCs w:val="22"/>
        </w:rPr>
        <w:t>.</w:t>
      </w:r>
      <w:r w:rsidR="008156EB">
        <w:rPr>
          <w:rFonts w:ascii="Cambria" w:hAnsi="Cambria" w:cs="Calibri"/>
          <w:szCs w:val="22"/>
        </w:rPr>
        <w:br/>
      </w:r>
    </w:p>
    <w:p w14:paraId="7B7D3609" w14:textId="210DAC60" w:rsidR="00A40D2E" w:rsidRPr="008156EB" w:rsidRDefault="00A51268" w:rsidP="00743E7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 xml:space="preserve">Regarding Tier I and II </w:t>
      </w:r>
      <w:r w:rsidR="002A758F">
        <w:rPr>
          <w:rFonts w:ascii="Cambria" w:hAnsi="Cambria" w:cs="Calibri"/>
          <w:szCs w:val="22"/>
        </w:rPr>
        <w:t>A</w:t>
      </w:r>
      <w:r w:rsidRPr="008156EB">
        <w:rPr>
          <w:rFonts w:ascii="Cambria" w:hAnsi="Cambria" w:cs="Calibri"/>
          <w:szCs w:val="22"/>
        </w:rPr>
        <w:t xml:space="preserve">dvice </w:t>
      </w:r>
      <w:r w:rsidR="002A758F">
        <w:rPr>
          <w:rFonts w:ascii="Cambria" w:hAnsi="Cambria" w:cs="Calibri"/>
          <w:szCs w:val="22"/>
        </w:rPr>
        <w:t>L</w:t>
      </w:r>
      <w:r w:rsidRPr="008156EB">
        <w:rPr>
          <w:rFonts w:ascii="Cambria" w:hAnsi="Cambria" w:cs="Calibri"/>
          <w:szCs w:val="22"/>
        </w:rPr>
        <w:t>etters, c</w:t>
      </w:r>
      <w:r w:rsidR="00A40D2E" w:rsidRPr="008156EB">
        <w:rPr>
          <w:rFonts w:ascii="Cambria" w:hAnsi="Cambria" w:cs="Calibri"/>
          <w:szCs w:val="22"/>
        </w:rPr>
        <w:t>larified tha</w:t>
      </w:r>
      <w:r w:rsidR="008156EB">
        <w:rPr>
          <w:rFonts w:ascii="Cambria" w:hAnsi="Cambria" w:cs="Calibri"/>
          <w:szCs w:val="22"/>
        </w:rPr>
        <w:t>t:</w:t>
      </w:r>
      <w:r w:rsidR="008156EB">
        <w:rPr>
          <w:rFonts w:ascii="Cambria" w:hAnsi="Cambria" w:cs="Calibri"/>
          <w:szCs w:val="22"/>
        </w:rPr>
        <w:br/>
      </w:r>
      <w:r w:rsidR="00A40D2E" w:rsidRPr="008156EB">
        <w:rPr>
          <w:rFonts w:ascii="Cambria" w:hAnsi="Cambria" w:cs="Calibri"/>
          <w:szCs w:val="22"/>
        </w:rPr>
        <w:t xml:space="preserve"> </w:t>
      </w:r>
    </w:p>
    <w:p w14:paraId="7BDFA468" w14:textId="6E9B93AC" w:rsidR="00A40D2E" w:rsidRPr="008156EB" w:rsidRDefault="008156EB" w:rsidP="00A40D2E">
      <w:pPr>
        <w:pStyle w:val="ListParagraph"/>
        <w:numPr>
          <w:ilvl w:val="2"/>
          <w:numId w:val="17"/>
        </w:numPr>
        <w:rPr>
          <w:rFonts w:ascii="Cambria" w:hAnsi="Cambria" w:cs="Calibri"/>
          <w:szCs w:val="22"/>
        </w:rPr>
      </w:pPr>
      <w:r>
        <w:rPr>
          <w:rFonts w:ascii="Cambria" w:hAnsi="Cambria" w:cs="Calibri"/>
          <w:szCs w:val="22"/>
        </w:rPr>
        <w:t xml:space="preserve">At </w:t>
      </w:r>
      <w:r w:rsidR="00A40D2E" w:rsidRPr="008156EB">
        <w:rPr>
          <w:rFonts w:ascii="Cambria" w:hAnsi="Cambria" w:cs="Calibri"/>
          <w:szCs w:val="22"/>
        </w:rPr>
        <w:t xml:space="preserve">Review </w:t>
      </w:r>
      <w:r>
        <w:rPr>
          <w:rFonts w:ascii="Cambria" w:hAnsi="Cambria" w:cs="Calibri"/>
          <w:szCs w:val="22"/>
        </w:rPr>
        <w:t>1</w:t>
      </w:r>
      <w:r w:rsidR="00A40D2E" w:rsidRPr="008156EB">
        <w:rPr>
          <w:rFonts w:ascii="Cambria" w:hAnsi="Cambria" w:cs="Calibri"/>
          <w:szCs w:val="22"/>
        </w:rPr>
        <w:t xml:space="preserve"> (at the end of Phase I</w:t>
      </w:r>
      <w:r w:rsidR="00254CAA" w:rsidRPr="008156EB">
        <w:rPr>
          <w:rFonts w:ascii="Cambria" w:hAnsi="Cambria" w:cs="Calibri"/>
          <w:szCs w:val="22"/>
        </w:rPr>
        <w:t>):</w:t>
      </w:r>
      <w:r w:rsidR="00A40D2E" w:rsidRPr="008156EB">
        <w:rPr>
          <w:rFonts w:ascii="Cambria" w:hAnsi="Cambria" w:cs="Calibri"/>
          <w:szCs w:val="22"/>
        </w:rPr>
        <w:t xml:space="preserve"> </w:t>
      </w:r>
      <w:r w:rsidR="00254CAA" w:rsidRPr="008156EB">
        <w:rPr>
          <w:rFonts w:ascii="Cambria" w:hAnsi="Cambria" w:cs="Calibri"/>
          <w:szCs w:val="22"/>
        </w:rPr>
        <w:t>T</w:t>
      </w:r>
      <w:r w:rsidR="00A40D2E" w:rsidRPr="008156EB">
        <w:rPr>
          <w:rFonts w:ascii="Cambria" w:hAnsi="Cambria" w:cs="Calibri"/>
          <w:szCs w:val="22"/>
        </w:rPr>
        <w:t xml:space="preserve">he MTA(s) would file a Tier I or II Advice Letter </w:t>
      </w:r>
      <w:r w:rsidR="00457A39" w:rsidRPr="008156EB">
        <w:rPr>
          <w:rFonts w:ascii="Cambria" w:hAnsi="Cambria" w:cs="Calibri"/>
          <w:szCs w:val="22"/>
        </w:rPr>
        <w:t xml:space="preserve">with the Commission to seek budgetary approval for </w:t>
      </w:r>
      <w:r w:rsidR="00457A39">
        <w:rPr>
          <w:rFonts w:ascii="Cambria" w:hAnsi="Cambria" w:cs="Calibri"/>
          <w:szCs w:val="22"/>
        </w:rPr>
        <w:t xml:space="preserve">each </w:t>
      </w:r>
      <w:r w:rsidR="00457A39" w:rsidRPr="008156EB">
        <w:rPr>
          <w:rFonts w:ascii="Cambria" w:hAnsi="Cambria" w:cs="Calibri"/>
          <w:szCs w:val="22"/>
        </w:rPr>
        <w:t>MTI</w:t>
      </w:r>
      <w:r w:rsidR="00457A39">
        <w:rPr>
          <w:rFonts w:ascii="Cambria" w:hAnsi="Cambria" w:cs="Calibri"/>
          <w:szCs w:val="22"/>
        </w:rPr>
        <w:t xml:space="preserve"> </w:t>
      </w:r>
      <w:r w:rsidR="00457A39" w:rsidRPr="00457A39">
        <w:rPr>
          <w:rFonts w:ascii="Cambria" w:hAnsi="Cambria" w:cs="Calibri"/>
          <w:szCs w:val="22"/>
        </w:rPr>
        <w:t xml:space="preserve">depending on whether or not there are no objections by any </w:t>
      </w:r>
      <w:r w:rsidR="00A40D2E" w:rsidRPr="008156EB">
        <w:rPr>
          <w:rFonts w:ascii="Cambria" w:hAnsi="Cambria" w:cs="Calibri"/>
          <w:szCs w:val="22"/>
        </w:rPr>
        <w:t>MT</w:t>
      </w:r>
      <w:r>
        <w:rPr>
          <w:rFonts w:ascii="Cambria" w:hAnsi="Cambria" w:cs="Calibri"/>
          <w:szCs w:val="22"/>
        </w:rPr>
        <w:t xml:space="preserve"> Advisory Board (MTAB) </w:t>
      </w:r>
      <w:r w:rsidR="00457A39">
        <w:rPr>
          <w:rFonts w:ascii="Cambria" w:hAnsi="Cambria" w:cs="Calibri"/>
          <w:szCs w:val="22"/>
        </w:rPr>
        <w:lastRenderedPageBreak/>
        <w:t>Member</w:t>
      </w:r>
      <w:r w:rsidR="002A758F">
        <w:rPr>
          <w:rFonts w:ascii="Cambria" w:hAnsi="Cambria" w:cs="Calibri"/>
          <w:szCs w:val="22"/>
        </w:rPr>
        <w:t>.</w:t>
      </w:r>
      <w:r w:rsidR="00457A39">
        <w:rPr>
          <w:rFonts w:ascii="Cambria" w:hAnsi="Cambria" w:cs="Calibri"/>
          <w:szCs w:val="22"/>
        </w:rPr>
        <w:br/>
      </w:r>
    </w:p>
    <w:p w14:paraId="59E24705" w14:textId="04A73CC6" w:rsidR="00A40D2E" w:rsidRPr="008156EB" w:rsidRDefault="008156EB" w:rsidP="00A40D2E">
      <w:pPr>
        <w:pStyle w:val="ListParagraph"/>
        <w:numPr>
          <w:ilvl w:val="2"/>
          <w:numId w:val="17"/>
        </w:numPr>
        <w:rPr>
          <w:rFonts w:ascii="Cambria" w:hAnsi="Cambria" w:cs="Calibri"/>
          <w:szCs w:val="22"/>
        </w:rPr>
      </w:pPr>
      <w:r>
        <w:rPr>
          <w:rFonts w:ascii="Cambria" w:hAnsi="Cambria" w:cs="Calibri"/>
          <w:szCs w:val="22"/>
        </w:rPr>
        <w:t xml:space="preserve">At </w:t>
      </w:r>
      <w:r w:rsidR="00A40D2E" w:rsidRPr="008156EB">
        <w:rPr>
          <w:rFonts w:ascii="Cambria" w:hAnsi="Cambria" w:cs="Calibri"/>
          <w:szCs w:val="22"/>
        </w:rPr>
        <w:t xml:space="preserve">Review </w:t>
      </w:r>
      <w:r>
        <w:rPr>
          <w:rFonts w:ascii="Cambria" w:hAnsi="Cambria" w:cs="Calibri"/>
          <w:szCs w:val="22"/>
        </w:rPr>
        <w:t xml:space="preserve">2 </w:t>
      </w:r>
      <w:r w:rsidR="00254CAA" w:rsidRPr="008156EB">
        <w:rPr>
          <w:rFonts w:ascii="Cambria" w:hAnsi="Cambria" w:cs="Calibri"/>
          <w:szCs w:val="22"/>
        </w:rPr>
        <w:t xml:space="preserve">(at the end of Phase II): </w:t>
      </w:r>
      <w:r w:rsidR="00A40D2E" w:rsidRPr="008156EB">
        <w:rPr>
          <w:rFonts w:ascii="Cambria" w:hAnsi="Cambria" w:cs="Calibri"/>
          <w:szCs w:val="22"/>
        </w:rPr>
        <w:t>After meeting with the MTAB, the MTA(s) would file a Tier II Advice Letter with the Commission to seek budgetary approval for the MTIs worth scaling up to Phase III</w:t>
      </w:r>
      <w:r w:rsidR="00457A39">
        <w:rPr>
          <w:rFonts w:ascii="Cambria" w:hAnsi="Cambria" w:cs="Calibri"/>
          <w:szCs w:val="22"/>
        </w:rPr>
        <w:t xml:space="preserve">: </w:t>
      </w:r>
      <w:r w:rsidR="00A40D2E" w:rsidRPr="008156EB">
        <w:rPr>
          <w:rFonts w:ascii="Cambria" w:hAnsi="Cambria" w:cs="Calibri"/>
          <w:szCs w:val="22"/>
        </w:rPr>
        <w:t>Market Deployment.</w:t>
      </w:r>
      <w:r>
        <w:rPr>
          <w:rFonts w:ascii="Cambria" w:hAnsi="Cambria" w:cs="Calibri"/>
          <w:szCs w:val="22"/>
        </w:rPr>
        <w:br/>
      </w:r>
    </w:p>
    <w:p w14:paraId="7DF8E86D" w14:textId="6694DF77" w:rsidR="008156EB" w:rsidRDefault="00A40D2E" w:rsidP="008156EB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 xml:space="preserve">Added language in several places about </w:t>
      </w:r>
      <w:r w:rsidR="00254CAA" w:rsidRPr="008156EB">
        <w:rPr>
          <w:rFonts w:ascii="Cambria" w:hAnsi="Cambria" w:cs="Calibri"/>
          <w:szCs w:val="22"/>
        </w:rPr>
        <w:t xml:space="preserve">MTI </w:t>
      </w:r>
      <w:r w:rsidRPr="008156EB">
        <w:rPr>
          <w:rFonts w:ascii="Cambria" w:hAnsi="Cambria" w:cs="Calibri"/>
          <w:szCs w:val="22"/>
        </w:rPr>
        <w:t>termination and off-ramping</w:t>
      </w:r>
      <w:r w:rsidR="008156EB">
        <w:rPr>
          <w:rFonts w:ascii="Cambria" w:hAnsi="Cambria" w:cs="Calibri"/>
          <w:szCs w:val="22"/>
        </w:rPr>
        <w:t>.</w:t>
      </w:r>
      <w:r w:rsidR="008156EB">
        <w:rPr>
          <w:rFonts w:ascii="Cambria" w:hAnsi="Cambria" w:cs="Calibri"/>
          <w:szCs w:val="22"/>
        </w:rPr>
        <w:br/>
      </w:r>
    </w:p>
    <w:p w14:paraId="61F47B78" w14:textId="784DC8C5" w:rsidR="008156EB" w:rsidRDefault="008156EB" w:rsidP="008156EB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>
        <w:rPr>
          <w:rFonts w:ascii="Cambria" w:hAnsi="Cambria" w:cs="Calibri"/>
          <w:szCs w:val="22"/>
        </w:rPr>
        <w:t>Updated the stage-gate process schematic.</w:t>
      </w:r>
      <w:r>
        <w:rPr>
          <w:rFonts w:ascii="Cambria" w:hAnsi="Cambria" w:cs="Calibri"/>
          <w:szCs w:val="22"/>
        </w:rPr>
        <w:br/>
      </w:r>
    </w:p>
    <w:p w14:paraId="6F0F3C81" w14:textId="71769229" w:rsidR="00A40D2E" w:rsidRPr="008156EB" w:rsidRDefault="008156EB" w:rsidP="008156EB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>
        <w:rPr>
          <w:rFonts w:ascii="Cambria" w:hAnsi="Cambria" w:cs="Calibri"/>
          <w:szCs w:val="22"/>
        </w:rPr>
        <w:t>Clarified the recipient of deliverables at the end of several stages.</w:t>
      </w:r>
      <w:r>
        <w:rPr>
          <w:rFonts w:ascii="Cambria" w:hAnsi="Cambria" w:cs="Calibri"/>
          <w:szCs w:val="22"/>
        </w:rPr>
        <w:br/>
      </w:r>
    </w:p>
    <w:p w14:paraId="61133440" w14:textId="6CD2202F" w:rsidR="0010451A" w:rsidRPr="008156EB" w:rsidRDefault="0010451A" w:rsidP="00334308">
      <w:pPr>
        <w:pStyle w:val="ListParagraph"/>
        <w:numPr>
          <w:ilvl w:val="0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b/>
          <w:szCs w:val="22"/>
        </w:rPr>
        <w:t>Section 4: Stakeholder Roles &amp; Responsibilities</w:t>
      </w:r>
      <w:r w:rsidR="008156EB">
        <w:rPr>
          <w:rFonts w:ascii="Cambria" w:hAnsi="Cambria" w:cs="Calibri"/>
          <w:b/>
          <w:szCs w:val="22"/>
        </w:rPr>
        <w:br/>
      </w:r>
      <w:r w:rsidRPr="008156EB">
        <w:rPr>
          <w:rFonts w:ascii="Cambria" w:hAnsi="Cambria" w:cs="Calibri"/>
          <w:b/>
          <w:szCs w:val="22"/>
        </w:rPr>
        <w:t xml:space="preserve"> </w:t>
      </w:r>
    </w:p>
    <w:p w14:paraId="03157EE9" w14:textId="7F18DB19" w:rsidR="00A40D2E" w:rsidRPr="008156EB" w:rsidRDefault="00A40D2E" w:rsidP="00A40D2E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/>
        </w:rPr>
        <w:t>Clarified that the MTAB (</w:t>
      </w:r>
      <w:r w:rsidR="002A758F">
        <w:rPr>
          <w:rFonts w:ascii="Cambria" w:hAnsi="Cambria"/>
        </w:rPr>
        <w:t xml:space="preserve">in consultation with the </w:t>
      </w:r>
      <w:r w:rsidRPr="008156EB">
        <w:rPr>
          <w:rFonts w:ascii="Cambria" w:hAnsi="Cambria"/>
        </w:rPr>
        <w:t xml:space="preserve">with the MTA(s)) would be responsible for establishing </w:t>
      </w:r>
      <w:r w:rsidR="008156EB">
        <w:rPr>
          <w:rFonts w:ascii="Cambria" w:hAnsi="Cambria"/>
        </w:rPr>
        <w:t xml:space="preserve">the MTI </w:t>
      </w:r>
      <w:r w:rsidRPr="008156EB">
        <w:rPr>
          <w:rFonts w:ascii="Cambria" w:hAnsi="Cambria"/>
        </w:rPr>
        <w:t>criteria and intake form.</w:t>
      </w:r>
      <w:r w:rsidR="008156EB">
        <w:rPr>
          <w:rFonts w:ascii="Cambria" w:hAnsi="Cambria"/>
        </w:rPr>
        <w:br/>
      </w:r>
    </w:p>
    <w:p w14:paraId="656E0A16" w14:textId="4985D76B" w:rsidR="00457A39" w:rsidRPr="00457A39" w:rsidRDefault="00A40D2E" w:rsidP="00A5126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/>
        </w:rPr>
        <w:t>Added additional detail (beyond Section 3) on when Tier</w:t>
      </w:r>
      <w:r w:rsidR="008156EB">
        <w:rPr>
          <w:rFonts w:ascii="Cambria" w:hAnsi="Cambria"/>
        </w:rPr>
        <w:t xml:space="preserve"> I</w:t>
      </w:r>
      <w:r w:rsidRPr="008156EB">
        <w:rPr>
          <w:rFonts w:ascii="Cambria" w:hAnsi="Cambria"/>
        </w:rPr>
        <w:t xml:space="preserve"> and Tier </w:t>
      </w:r>
      <w:r w:rsidR="008156EB">
        <w:rPr>
          <w:rFonts w:ascii="Cambria" w:hAnsi="Cambria"/>
        </w:rPr>
        <w:t>II</w:t>
      </w:r>
      <w:r w:rsidRPr="008156EB">
        <w:rPr>
          <w:rFonts w:ascii="Cambria" w:hAnsi="Cambria"/>
        </w:rPr>
        <w:t xml:space="preserve"> </w:t>
      </w:r>
      <w:r w:rsidR="008156EB">
        <w:rPr>
          <w:rFonts w:ascii="Cambria" w:hAnsi="Cambria"/>
        </w:rPr>
        <w:t>A</w:t>
      </w:r>
      <w:r w:rsidRPr="008156EB">
        <w:rPr>
          <w:rFonts w:ascii="Cambria" w:hAnsi="Cambria"/>
        </w:rPr>
        <w:t xml:space="preserve">dvice </w:t>
      </w:r>
      <w:r w:rsidR="008156EB">
        <w:rPr>
          <w:rFonts w:ascii="Cambria" w:hAnsi="Cambria"/>
        </w:rPr>
        <w:t>Le</w:t>
      </w:r>
      <w:r w:rsidRPr="008156EB">
        <w:rPr>
          <w:rFonts w:ascii="Cambria" w:hAnsi="Cambria"/>
        </w:rPr>
        <w:t>tters would be filed.</w:t>
      </w:r>
      <w:r w:rsidR="00457A39">
        <w:rPr>
          <w:rFonts w:ascii="Cambria" w:hAnsi="Cambria"/>
        </w:rPr>
        <w:br/>
      </w:r>
    </w:p>
    <w:p w14:paraId="02FDBEE6" w14:textId="35E1A10B" w:rsidR="00A40D2E" w:rsidRPr="002C1802" w:rsidRDefault="00457A39" w:rsidP="00A5126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2C1802">
        <w:rPr>
          <w:rFonts w:ascii="Cambria" w:hAnsi="Cambria"/>
        </w:rPr>
        <w:t xml:space="preserve">Added language describing a process </w:t>
      </w:r>
      <w:r w:rsidR="002C1802" w:rsidRPr="002C1802">
        <w:rPr>
          <w:rFonts w:ascii="Cambria" w:hAnsi="Cambria"/>
        </w:rPr>
        <w:t xml:space="preserve">(analogous to the </w:t>
      </w:r>
      <w:r w:rsidR="002C1802" w:rsidRPr="002C1802">
        <w:rPr>
          <w:rFonts w:ascii="Cambria" w:hAnsi="Cambria" w:cs="Calibri"/>
          <w:szCs w:val="22"/>
        </w:rPr>
        <w:t>Procurement Review Group process)</w:t>
      </w:r>
      <w:r w:rsidR="002C1802" w:rsidRPr="002C1802">
        <w:rPr>
          <w:rFonts w:ascii="Cambria" w:hAnsi="Cambria"/>
        </w:rPr>
        <w:t xml:space="preserve"> </w:t>
      </w:r>
      <w:r w:rsidRPr="002C1802">
        <w:rPr>
          <w:rFonts w:ascii="Cambria" w:hAnsi="Cambria"/>
        </w:rPr>
        <w:t>by which the MTAB composition would be determined.</w:t>
      </w:r>
      <w:r w:rsidR="008156EB" w:rsidRPr="002C1802">
        <w:rPr>
          <w:rFonts w:ascii="Cambria" w:hAnsi="Cambria"/>
        </w:rPr>
        <w:br/>
      </w:r>
    </w:p>
    <w:p w14:paraId="19B7563C" w14:textId="0045A871" w:rsidR="00A51268" w:rsidRPr="008156EB" w:rsidRDefault="0010451A" w:rsidP="0010451A">
      <w:pPr>
        <w:pStyle w:val="ListParagraph"/>
        <w:numPr>
          <w:ilvl w:val="0"/>
          <w:numId w:val="17"/>
        </w:numPr>
        <w:rPr>
          <w:rFonts w:ascii="Cambria" w:hAnsi="Cambria" w:cs="Calibri"/>
          <w:b/>
          <w:szCs w:val="22"/>
        </w:rPr>
      </w:pPr>
      <w:r w:rsidRPr="008156EB">
        <w:rPr>
          <w:rFonts w:ascii="Cambria" w:hAnsi="Cambria" w:cs="Calibri"/>
          <w:b/>
          <w:szCs w:val="22"/>
        </w:rPr>
        <w:t xml:space="preserve">Section 5: Administration Options for the Market Transformation Portfolio </w:t>
      </w:r>
      <w:r w:rsidR="008156EB">
        <w:rPr>
          <w:rFonts w:ascii="Cambria" w:hAnsi="Cambria" w:cs="Calibri"/>
          <w:b/>
          <w:szCs w:val="22"/>
        </w:rPr>
        <w:br/>
      </w:r>
    </w:p>
    <w:p w14:paraId="38C860B4" w14:textId="76E348E3" w:rsidR="0010451A" w:rsidRPr="008156EB" w:rsidRDefault="008156EB" w:rsidP="00A5126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>
        <w:rPr>
          <w:rFonts w:ascii="Cambria" w:eastAsia="Times New Roman" w:hAnsi="Cambria" w:cs="Times New Roman"/>
          <w:color w:val="000000"/>
          <w:shd w:val="clear" w:color="auto" w:fill="FFFFFF"/>
        </w:rPr>
        <w:t>Asked each MT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>WG Member to determine which option it supports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for the MTA(s)</w:t>
      </w:r>
      <w:r>
        <w:rPr>
          <w:rFonts w:ascii="Cambria" w:hAnsi="Cambria" w:cs="Calibri"/>
          <w:szCs w:val="22"/>
        </w:rPr>
        <w:t>:</w:t>
      </w:r>
      <w:r w:rsidR="00A51268" w:rsidRPr="008156EB">
        <w:rPr>
          <w:rFonts w:ascii="Cambria" w:hAnsi="Cambria" w:cs="Calibri"/>
          <w:szCs w:val="22"/>
        </w:rPr>
        <w:t xml:space="preserve"> </w:t>
      </w:r>
      <w:r w:rsidR="0010451A" w:rsidRPr="008156EB">
        <w:rPr>
          <w:rFonts w:ascii="Cambria" w:hAnsi="Cambria" w:cs="Calibri"/>
          <w:szCs w:val="22"/>
        </w:rPr>
        <w:t xml:space="preserve">(1) </w:t>
      </w:r>
      <w:r w:rsidR="000826B9" w:rsidRPr="008156EB">
        <w:rPr>
          <w:rFonts w:ascii="Cambria" w:hAnsi="Cambria" w:cs="Calibri"/>
          <w:szCs w:val="22"/>
        </w:rPr>
        <w:t>t</w:t>
      </w:r>
      <w:r w:rsidR="0010451A" w:rsidRPr="008156EB">
        <w:rPr>
          <w:rFonts w:ascii="Cambria" w:hAnsi="Cambria" w:cs="Calibri"/>
          <w:szCs w:val="22"/>
        </w:rPr>
        <w:t>he Existing Program Administrators (PAs); and</w:t>
      </w:r>
      <w:r>
        <w:rPr>
          <w:rFonts w:ascii="Cambria" w:hAnsi="Cambria" w:cs="Calibri"/>
          <w:szCs w:val="22"/>
        </w:rPr>
        <w:t>/or</w:t>
      </w:r>
      <w:r w:rsidR="0010451A" w:rsidRPr="008156EB">
        <w:rPr>
          <w:rFonts w:ascii="Cambria" w:hAnsi="Cambria" w:cs="Calibri"/>
          <w:szCs w:val="22"/>
        </w:rPr>
        <w:t xml:space="preserve"> (2) a Single, Independent Statewide Administrator.</w:t>
      </w:r>
      <w:r w:rsidR="00A51268" w:rsidRPr="008156EB">
        <w:rPr>
          <w:rFonts w:ascii="Cambria" w:hAnsi="Cambria" w:cs="Calibri"/>
          <w:szCs w:val="22"/>
        </w:rPr>
        <w:t xml:space="preserve"> Several members were not ready to commit during the meeting or preferred to abstain.</w:t>
      </w:r>
      <w:r>
        <w:rPr>
          <w:rFonts w:ascii="Cambria" w:hAnsi="Cambria" w:cs="Calibri"/>
          <w:szCs w:val="22"/>
        </w:rPr>
        <w:br/>
      </w:r>
    </w:p>
    <w:p w14:paraId="7A32B0FB" w14:textId="215639CC" w:rsidR="0010451A" w:rsidRPr="008156EB" w:rsidRDefault="0010451A" w:rsidP="0010451A">
      <w:pPr>
        <w:pStyle w:val="ListParagraph"/>
        <w:numPr>
          <w:ilvl w:val="0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b/>
          <w:szCs w:val="22"/>
        </w:rPr>
        <w:t>Section 6: Budget</w:t>
      </w:r>
      <w:r w:rsidRPr="008156EB">
        <w:rPr>
          <w:rFonts w:ascii="Cambria" w:hAnsi="Cambria" w:cs="Calibri"/>
          <w:szCs w:val="22"/>
        </w:rPr>
        <w:t xml:space="preserve"> </w:t>
      </w:r>
      <w:r w:rsidR="008156EB">
        <w:rPr>
          <w:rFonts w:ascii="Cambria" w:hAnsi="Cambria" w:cs="Calibri"/>
          <w:szCs w:val="22"/>
        </w:rPr>
        <w:br/>
      </w:r>
    </w:p>
    <w:p w14:paraId="0452469C" w14:textId="1F857790" w:rsidR="00A51268" w:rsidRPr="008156EB" w:rsidRDefault="00A51268" w:rsidP="00A5126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>Discussed language drafted by E</w:t>
      </w:r>
      <w:r w:rsidR="008156EB">
        <w:rPr>
          <w:rFonts w:ascii="Cambria" w:hAnsi="Cambria" w:cs="Calibri"/>
          <w:szCs w:val="22"/>
        </w:rPr>
        <w:t xml:space="preserve">rin </w:t>
      </w:r>
      <w:r w:rsidRPr="008156EB">
        <w:rPr>
          <w:rFonts w:ascii="Cambria" w:hAnsi="Cambria" w:cs="Calibri"/>
          <w:szCs w:val="22"/>
        </w:rPr>
        <w:t>Brooks</w:t>
      </w:r>
      <w:r w:rsidR="008156EB">
        <w:rPr>
          <w:rFonts w:ascii="Cambria" w:hAnsi="Cambria" w:cs="Calibri"/>
          <w:szCs w:val="22"/>
        </w:rPr>
        <w:t>, Southern California Gas Company.</w:t>
      </w:r>
      <w:r w:rsidR="008156EB">
        <w:rPr>
          <w:rFonts w:ascii="Cambria" w:hAnsi="Cambria" w:cs="Calibri"/>
          <w:szCs w:val="22"/>
        </w:rPr>
        <w:br/>
      </w:r>
    </w:p>
    <w:p w14:paraId="7366DC74" w14:textId="7FC03C70" w:rsidR="00A51268" w:rsidRPr="008156EB" w:rsidRDefault="00A51268" w:rsidP="00A5126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>D</w:t>
      </w:r>
      <w:r w:rsidR="008156EB">
        <w:rPr>
          <w:rFonts w:ascii="Cambria" w:hAnsi="Cambria" w:cs="Calibri"/>
          <w:szCs w:val="22"/>
        </w:rPr>
        <w:t xml:space="preserve">an </w:t>
      </w:r>
      <w:r w:rsidRPr="008156EB">
        <w:rPr>
          <w:rFonts w:ascii="Cambria" w:hAnsi="Cambria" w:cs="Calibri"/>
          <w:szCs w:val="22"/>
        </w:rPr>
        <w:t>Buch</w:t>
      </w:r>
      <w:r w:rsidR="008156EB">
        <w:rPr>
          <w:rFonts w:ascii="Cambria" w:hAnsi="Cambria" w:cs="Calibri"/>
          <w:szCs w:val="22"/>
        </w:rPr>
        <w:t>, Public Advocates Office,</w:t>
      </w:r>
      <w:r w:rsidRPr="008156EB">
        <w:rPr>
          <w:rFonts w:ascii="Cambria" w:hAnsi="Cambria" w:cs="Calibri"/>
          <w:szCs w:val="22"/>
        </w:rPr>
        <w:t xml:space="preserve"> suggested some changes that MTWG members agreed with in principle, and D.</w:t>
      </w:r>
      <w:r w:rsidR="002C1802">
        <w:rPr>
          <w:rFonts w:ascii="Cambria" w:hAnsi="Cambria" w:cs="Calibri"/>
          <w:szCs w:val="22"/>
        </w:rPr>
        <w:t xml:space="preserve"> </w:t>
      </w:r>
      <w:r w:rsidRPr="008156EB">
        <w:rPr>
          <w:rFonts w:ascii="Cambria" w:hAnsi="Cambria" w:cs="Calibri"/>
          <w:szCs w:val="22"/>
        </w:rPr>
        <w:t xml:space="preserve">Buch </w:t>
      </w:r>
      <w:r w:rsidR="008156EB">
        <w:rPr>
          <w:rFonts w:ascii="Cambria" w:hAnsi="Cambria" w:cs="Calibri"/>
          <w:szCs w:val="22"/>
        </w:rPr>
        <w:t>agreed to</w:t>
      </w:r>
      <w:r w:rsidRPr="008156EB">
        <w:rPr>
          <w:rFonts w:ascii="Cambria" w:hAnsi="Cambria" w:cs="Calibri"/>
          <w:szCs w:val="22"/>
        </w:rPr>
        <w:t xml:space="preserve"> draft </w:t>
      </w:r>
      <w:r w:rsidR="008156EB">
        <w:rPr>
          <w:rFonts w:ascii="Cambria" w:hAnsi="Cambria" w:cs="Calibri"/>
          <w:szCs w:val="22"/>
        </w:rPr>
        <w:t xml:space="preserve">language </w:t>
      </w:r>
      <w:r w:rsidRPr="008156EB">
        <w:rPr>
          <w:rFonts w:ascii="Cambria" w:hAnsi="Cambria" w:cs="Calibri"/>
          <w:szCs w:val="22"/>
        </w:rPr>
        <w:t xml:space="preserve">for </w:t>
      </w:r>
      <w:r w:rsidR="002A758F">
        <w:rPr>
          <w:rFonts w:ascii="Cambria" w:hAnsi="Cambria" w:cs="Calibri"/>
          <w:szCs w:val="22"/>
        </w:rPr>
        <w:t xml:space="preserve">MTWG’s </w:t>
      </w:r>
      <w:r w:rsidRPr="008156EB">
        <w:rPr>
          <w:rFonts w:ascii="Cambria" w:hAnsi="Cambria" w:cs="Calibri"/>
          <w:szCs w:val="22"/>
        </w:rPr>
        <w:t>review</w:t>
      </w:r>
      <w:r w:rsidR="008156EB">
        <w:rPr>
          <w:rFonts w:ascii="Cambria" w:hAnsi="Cambria" w:cs="Calibri"/>
          <w:szCs w:val="22"/>
        </w:rPr>
        <w:t>.</w:t>
      </w:r>
      <w:r w:rsidR="008156EB">
        <w:rPr>
          <w:rFonts w:ascii="Cambria" w:hAnsi="Cambria" w:cs="Calibri"/>
          <w:szCs w:val="22"/>
        </w:rPr>
        <w:br/>
      </w:r>
    </w:p>
    <w:p w14:paraId="4AC82E99" w14:textId="704766D5" w:rsidR="00A51268" w:rsidRPr="008156EB" w:rsidRDefault="0010451A" w:rsidP="0010451A">
      <w:pPr>
        <w:pStyle w:val="ListParagraph"/>
        <w:numPr>
          <w:ilvl w:val="0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b/>
          <w:szCs w:val="22"/>
        </w:rPr>
        <w:lastRenderedPageBreak/>
        <w:t>Section 7: Market Transformation Cost-Effectiveness (CE) Framework</w:t>
      </w:r>
      <w:r w:rsidR="008156EB">
        <w:rPr>
          <w:rFonts w:ascii="Cambria" w:hAnsi="Cambria" w:cs="Calibri"/>
          <w:b/>
          <w:szCs w:val="22"/>
        </w:rPr>
        <w:br/>
      </w:r>
    </w:p>
    <w:p w14:paraId="05BC73FD" w14:textId="0CDB96EB" w:rsidR="0010451A" w:rsidRPr="008156EB" w:rsidRDefault="00A51268" w:rsidP="00A5126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>Discussed whether or not and to what degree current CE methods and tools are able to combine benefits and costs for MTIs that result in codes and standards</w:t>
      </w:r>
      <w:r w:rsidR="003F00DB">
        <w:rPr>
          <w:rFonts w:ascii="Cambria" w:hAnsi="Cambria" w:cs="Calibri"/>
          <w:szCs w:val="22"/>
        </w:rPr>
        <w:t xml:space="preserve"> (C&amp;S)</w:t>
      </w:r>
      <w:r w:rsidRPr="008156EB">
        <w:rPr>
          <w:rFonts w:ascii="Cambria" w:hAnsi="Cambria" w:cs="Calibri"/>
          <w:szCs w:val="22"/>
        </w:rPr>
        <w:t>. Agreed to the following</w:t>
      </w:r>
      <w:r w:rsidR="008156EB">
        <w:rPr>
          <w:rFonts w:ascii="Cambria" w:hAnsi="Cambria" w:cs="Calibri"/>
          <w:szCs w:val="22"/>
        </w:rPr>
        <w:t>:</w:t>
      </w:r>
      <w:r w:rsidR="008156EB">
        <w:rPr>
          <w:rFonts w:ascii="Cambria" w:hAnsi="Cambria" w:cs="Calibri"/>
          <w:szCs w:val="22"/>
        </w:rPr>
        <w:br/>
      </w:r>
    </w:p>
    <w:p w14:paraId="471F8DA9" w14:textId="553A0D48" w:rsidR="00A51268" w:rsidRPr="008156EB" w:rsidRDefault="00A51268" w:rsidP="00A51268">
      <w:pPr>
        <w:pStyle w:val="ListParagraph"/>
        <w:numPr>
          <w:ilvl w:val="2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szCs w:val="22"/>
        </w:rPr>
        <w:t xml:space="preserve">To add </w:t>
      </w:r>
      <w:r w:rsidR="002C1802">
        <w:rPr>
          <w:rFonts w:ascii="Cambria" w:hAnsi="Cambria" w:cs="Calibri"/>
          <w:szCs w:val="22"/>
        </w:rPr>
        <w:t xml:space="preserve">the following phrase </w:t>
      </w:r>
      <w:r w:rsidRPr="008156EB">
        <w:rPr>
          <w:rFonts w:ascii="Cambria" w:hAnsi="Cambria" w:cs="Calibri"/>
          <w:szCs w:val="22"/>
        </w:rPr>
        <w:t xml:space="preserve">ahead of the MTWG’s </w:t>
      </w:r>
      <w:r w:rsidR="002C1802">
        <w:rPr>
          <w:rFonts w:ascii="Cambria" w:hAnsi="Cambria" w:cs="Calibri"/>
          <w:szCs w:val="22"/>
        </w:rPr>
        <w:t xml:space="preserve">two </w:t>
      </w:r>
      <w:r w:rsidRPr="008156EB">
        <w:rPr>
          <w:rFonts w:ascii="Cambria" w:hAnsi="Cambria" w:cs="Calibri"/>
          <w:szCs w:val="22"/>
        </w:rPr>
        <w:t>proposed</w:t>
      </w:r>
      <w:r w:rsidR="002C1802">
        <w:rPr>
          <w:rFonts w:ascii="Cambria" w:hAnsi="Cambria" w:cs="Calibri"/>
          <w:szCs w:val="22"/>
        </w:rPr>
        <w:t xml:space="preserve"> options: </w:t>
      </w:r>
      <w:r w:rsidRPr="008156EB">
        <w:rPr>
          <w:rFonts w:ascii="Cambria" w:hAnsi="Cambria" w:cs="Calibri"/>
          <w:szCs w:val="22"/>
        </w:rPr>
        <w:t>“To the extent that this is an issue…”</w:t>
      </w:r>
      <w:r w:rsidR="002C1802">
        <w:rPr>
          <w:rFonts w:ascii="Cambria" w:hAnsi="Cambria" w:cs="Calibri"/>
          <w:szCs w:val="22"/>
        </w:rPr>
        <w:br/>
      </w:r>
    </w:p>
    <w:p w14:paraId="4FF7713B" w14:textId="4EC5919D" w:rsidR="00A51268" w:rsidRPr="008156EB" w:rsidRDefault="002C1802" w:rsidP="00A51268">
      <w:pPr>
        <w:pStyle w:val="ListParagraph"/>
        <w:numPr>
          <w:ilvl w:val="2"/>
          <w:numId w:val="17"/>
        </w:numPr>
        <w:rPr>
          <w:rFonts w:ascii="Cambria" w:hAnsi="Cambria" w:cs="Calibri"/>
          <w:szCs w:val="22"/>
        </w:rPr>
      </w:pPr>
      <w:r>
        <w:rPr>
          <w:rFonts w:ascii="Cambria" w:hAnsi="Cambria" w:cs="Calibri"/>
          <w:szCs w:val="22"/>
        </w:rPr>
        <w:t>To add</w:t>
      </w:r>
      <w:r w:rsidR="00A51268" w:rsidRPr="008156EB">
        <w:rPr>
          <w:rFonts w:ascii="Cambria" w:hAnsi="Cambria" w:cs="Calibri"/>
          <w:szCs w:val="22"/>
        </w:rPr>
        <w:t xml:space="preserve"> after the two options: “The MTWG encourages the CPUC to solicit input on this issue in conjunction with developing a record on the proposed MT framework.</w:t>
      </w:r>
      <w:r>
        <w:rPr>
          <w:rFonts w:ascii="Cambria" w:hAnsi="Cambria" w:cs="Calibri"/>
          <w:szCs w:val="22"/>
        </w:rPr>
        <w:t>”</w:t>
      </w:r>
      <w:r w:rsidR="008156EB">
        <w:rPr>
          <w:rFonts w:ascii="Cambria" w:hAnsi="Cambria" w:cs="Calibri"/>
          <w:szCs w:val="22"/>
        </w:rPr>
        <w:br/>
      </w:r>
    </w:p>
    <w:p w14:paraId="76D7709B" w14:textId="7A2CE545" w:rsidR="00A51268" w:rsidRPr="008156EB" w:rsidRDefault="002C1802" w:rsidP="00A5126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>
        <w:rPr>
          <w:rFonts w:ascii="Cambria" w:eastAsia="Times New Roman" w:hAnsi="Cambria" w:cs="Times New Roman"/>
          <w:color w:val="000000"/>
          <w:shd w:val="clear" w:color="auto" w:fill="FFFFFF"/>
        </w:rPr>
        <w:t>Asked each MT</w:t>
      </w:r>
      <w:r w:rsidRPr="008156EB">
        <w:rPr>
          <w:rFonts w:ascii="Cambria" w:eastAsia="Times New Roman" w:hAnsi="Cambria" w:cs="Times New Roman"/>
          <w:color w:val="000000"/>
          <w:shd w:val="clear" w:color="auto" w:fill="FFFFFF"/>
        </w:rPr>
        <w:t>WG Member to determine which option it supports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for the</w:t>
      </w:r>
      <w:r w:rsidRPr="008156EB">
        <w:rPr>
          <w:rFonts w:ascii="Cambria" w:hAnsi="Cambria" w:cs="Calibri"/>
          <w:szCs w:val="22"/>
        </w:rPr>
        <w:t xml:space="preserve"> </w:t>
      </w:r>
      <w:r w:rsidR="00A51268" w:rsidRPr="008156EB">
        <w:rPr>
          <w:rFonts w:ascii="Cambria" w:hAnsi="Cambria" w:cs="Calibri"/>
          <w:szCs w:val="22"/>
        </w:rPr>
        <w:t>MTI</w:t>
      </w:r>
      <w:r>
        <w:rPr>
          <w:rFonts w:ascii="Cambria" w:hAnsi="Cambria" w:cs="Calibri"/>
          <w:szCs w:val="22"/>
        </w:rPr>
        <w:t xml:space="preserve"> CE threshold:</w:t>
      </w:r>
      <w:r w:rsidR="00A51268" w:rsidRPr="008156EB">
        <w:rPr>
          <w:rFonts w:ascii="Cambria" w:hAnsi="Cambria" w:cs="Calibri"/>
          <w:szCs w:val="22"/>
        </w:rPr>
        <w:t xml:space="preserve"> (1) 1.25; </w:t>
      </w:r>
      <w:r>
        <w:rPr>
          <w:rFonts w:ascii="Cambria" w:hAnsi="Cambria" w:cs="Calibri"/>
          <w:szCs w:val="22"/>
        </w:rPr>
        <w:t>and/or</w:t>
      </w:r>
      <w:r w:rsidR="00A51268" w:rsidRPr="008156EB">
        <w:rPr>
          <w:rFonts w:ascii="Cambria" w:hAnsi="Cambria" w:cs="Calibri"/>
          <w:szCs w:val="22"/>
        </w:rPr>
        <w:t xml:space="preserve"> (2) 1.5. Several members were not ready to commit during the meeting or preferred to abstain.</w:t>
      </w:r>
      <w:r w:rsidR="008156EB">
        <w:rPr>
          <w:rFonts w:ascii="Cambria" w:hAnsi="Cambria" w:cs="Calibri"/>
          <w:szCs w:val="22"/>
        </w:rPr>
        <w:br/>
      </w:r>
    </w:p>
    <w:p w14:paraId="2E342BEB" w14:textId="15DF8F08" w:rsidR="00254CAA" w:rsidRPr="008156EB" w:rsidRDefault="00254CAA" w:rsidP="00A51268">
      <w:pPr>
        <w:pStyle w:val="ListParagraph"/>
        <w:numPr>
          <w:ilvl w:val="1"/>
          <w:numId w:val="17"/>
        </w:numPr>
        <w:rPr>
          <w:rFonts w:ascii="Cambria" w:hAnsi="Cambria" w:cs="Calibri"/>
          <w:szCs w:val="22"/>
        </w:rPr>
      </w:pPr>
      <w:r w:rsidRPr="008156EB">
        <w:rPr>
          <w:rFonts w:ascii="Cambria" w:hAnsi="Cambria" w:cs="Calibri"/>
          <w:color w:val="000000"/>
          <w:szCs w:val="22"/>
        </w:rPr>
        <w:t xml:space="preserve">The MTWG Members also agreed to recommend that the Commission may want to consider whether a portfolio-level </w:t>
      </w:r>
      <w:r w:rsidR="002A758F">
        <w:rPr>
          <w:rFonts w:ascii="Cambria" w:hAnsi="Cambria" w:cs="Calibri"/>
          <w:color w:val="000000"/>
          <w:szCs w:val="22"/>
        </w:rPr>
        <w:t xml:space="preserve">MT </w:t>
      </w:r>
      <w:r w:rsidRPr="008156EB">
        <w:rPr>
          <w:rFonts w:ascii="Cambria" w:hAnsi="Cambria" w:cs="Calibri"/>
          <w:color w:val="000000"/>
          <w:szCs w:val="22"/>
        </w:rPr>
        <w:t>CE threshold makes more sense than an MTI-specific threshold</w:t>
      </w:r>
      <w:r w:rsidR="002C1802">
        <w:rPr>
          <w:rFonts w:ascii="Cambria" w:hAnsi="Cambria" w:cs="Calibri"/>
          <w:color w:val="000000"/>
          <w:szCs w:val="22"/>
        </w:rPr>
        <w:t>.</w:t>
      </w:r>
    </w:p>
    <w:p w14:paraId="0CDBD980" w14:textId="7B4FBA36" w:rsidR="00A51268" w:rsidRPr="008156EB" w:rsidRDefault="00A51268" w:rsidP="00A51268">
      <w:pPr>
        <w:pStyle w:val="ListParagraph"/>
        <w:rPr>
          <w:rFonts w:ascii="Cambria" w:hAnsi="Cambria"/>
        </w:rPr>
      </w:pPr>
    </w:p>
    <w:p w14:paraId="27A27F23" w14:textId="1F2F07E8" w:rsidR="0010451A" w:rsidRPr="008156EB" w:rsidRDefault="0010451A" w:rsidP="00334308">
      <w:pPr>
        <w:pStyle w:val="ListParagraph"/>
        <w:numPr>
          <w:ilvl w:val="0"/>
          <w:numId w:val="17"/>
        </w:numPr>
        <w:rPr>
          <w:rFonts w:ascii="Cambria" w:hAnsi="Cambria" w:cs="Times New Roman"/>
        </w:rPr>
      </w:pPr>
      <w:r w:rsidRPr="008156EB">
        <w:rPr>
          <w:rFonts w:ascii="Cambria" w:hAnsi="Cambria" w:cs="Calibri"/>
          <w:b/>
          <w:szCs w:val="22"/>
        </w:rPr>
        <w:t xml:space="preserve">Section 8: Market Transformation Initiatives and Resource Acquisition Programs </w:t>
      </w:r>
      <w:r w:rsidR="008156EB">
        <w:rPr>
          <w:rFonts w:ascii="Cambria" w:hAnsi="Cambria" w:cs="Calibri"/>
          <w:b/>
          <w:szCs w:val="22"/>
        </w:rPr>
        <w:br/>
      </w:r>
    </w:p>
    <w:p w14:paraId="6647B95A" w14:textId="3FBDF0D0" w:rsidR="00254CAA" w:rsidRPr="008156EB" w:rsidRDefault="00254CAA" w:rsidP="00254CAA">
      <w:pPr>
        <w:pStyle w:val="ListParagraph"/>
        <w:numPr>
          <w:ilvl w:val="1"/>
          <w:numId w:val="17"/>
        </w:numPr>
        <w:rPr>
          <w:rFonts w:ascii="Cambria" w:hAnsi="Cambria" w:cs="Times New Roman"/>
        </w:rPr>
      </w:pPr>
      <w:r w:rsidRPr="008156EB">
        <w:rPr>
          <w:rFonts w:ascii="Cambria" w:hAnsi="Cambria"/>
        </w:rPr>
        <w:t>Agreed to define principles and expectations of coordination prior to MT idea solicitation</w:t>
      </w:r>
      <w:r w:rsidR="008156EB">
        <w:rPr>
          <w:rFonts w:ascii="Cambria" w:hAnsi="Cambria"/>
        </w:rPr>
        <w:t>.</w:t>
      </w:r>
      <w:r w:rsidR="008156EB">
        <w:rPr>
          <w:rFonts w:ascii="Cambria" w:hAnsi="Cambria"/>
        </w:rPr>
        <w:br/>
      </w:r>
    </w:p>
    <w:p w14:paraId="1E4E6921" w14:textId="042211A8" w:rsidR="00254CAA" w:rsidRPr="008156EB" w:rsidRDefault="00254CAA" w:rsidP="00254CAA">
      <w:pPr>
        <w:pStyle w:val="ListParagraph"/>
        <w:numPr>
          <w:ilvl w:val="1"/>
          <w:numId w:val="17"/>
        </w:numPr>
        <w:rPr>
          <w:rFonts w:ascii="Cambria" w:hAnsi="Cambria" w:cs="Times New Roman"/>
        </w:rPr>
      </w:pPr>
      <w:r w:rsidRPr="008156EB">
        <w:rPr>
          <w:rFonts w:ascii="Cambria" w:hAnsi="Cambria"/>
        </w:rPr>
        <w:t xml:space="preserve">Agreed that the MT Plans will include a discussion of </w:t>
      </w:r>
      <w:r w:rsidR="002C1802">
        <w:rPr>
          <w:rFonts w:ascii="Cambria" w:hAnsi="Cambria"/>
        </w:rPr>
        <w:t>resource acquisition (RA)</w:t>
      </w:r>
      <w:r w:rsidRPr="008156EB">
        <w:rPr>
          <w:rFonts w:ascii="Cambria" w:hAnsi="Cambria"/>
        </w:rPr>
        <w:t xml:space="preserve"> coordination</w:t>
      </w:r>
      <w:r w:rsidR="008156EB">
        <w:rPr>
          <w:rFonts w:ascii="Cambria" w:hAnsi="Cambria"/>
        </w:rPr>
        <w:t>.</w:t>
      </w:r>
      <w:r w:rsidR="008156EB">
        <w:rPr>
          <w:rFonts w:ascii="Cambria" w:hAnsi="Cambria"/>
        </w:rPr>
        <w:br/>
      </w:r>
    </w:p>
    <w:p w14:paraId="1A5D6385" w14:textId="1A9A35B5" w:rsidR="00254CAA" w:rsidRPr="008156EB" w:rsidRDefault="00254CAA" w:rsidP="00254CAA">
      <w:pPr>
        <w:pStyle w:val="ListParagraph"/>
        <w:numPr>
          <w:ilvl w:val="1"/>
          <w:numId w:val="17"/>
        </w:numPr>
        <w:rPr>
          <w:rFonts w:ascii="Cambria" w:hAnsi="Cambria" w:cs="Times New Roman"/>
        </w:rPr>
      </w:pPr>
      <w:r w:rsidRPr="008156EB">
        <w:rPr>
          <w:rFonts w:ascii="Cambria" w:hAnsi="Cambria" w:cs="Times New Roman"/>
        </w:rPr>
        <w:t>Agreed that if formal dispute resolution is needed that MTA</w:t>
      </w:r>
      <w:r w:rsidR="003F00DB">
        <w:rPr>
          <w:rFonts w:ascii="Cambria" w:hAnsi="Cambria" w:cs="Times New Roman"/>
        </w:rPr>
        <w:t xml:space="preserve">(s), </w:t>
      </w:r>
      <w:r w:rsidR="003F00DB" w:rsidRPr="003F00DB">
        <w:rPr>
          <w:rFonts w:ascii="Cambria" w:hAnsi="Cambria" w:cs="Times New Roman"/>
        </w:rPr>
        <w:t>MTI proposer(s)</w:t>
      </w:r>
      <w:r w:rsidR="002A758F">
        <w:rPr>
          <w:rFonts w:ascii="Cambria" w:hAnsi="Cambria" w:cs="Times New Roman"/>
        </w:rPr>
        <w:t>,</w:t>
      </w:r>
      <w:r w:rsidR="003F00DB" w:rsidRPr="003F00DB">
        <w:rPr>
          <w:rFonts w:ascii="Cambria" w:hAnsi="Cambria" w:cs="Times New Roman"/>
        </w:rPr>
        <w:t xml:space="preserve"> relevant </w:t>
      </w:r>
      <w:r w:rsidR="003F00DB">
        <w:rPr>
          <w:rFonts w:ascii="Cambria" w:hAnsi="Cambria" w:cs="Times New Roman"/>
        </w:rPr>
        <w:t>Program Administrators (PAs)</w:t>
      </w:r>
      <w:r w:rsidR="003F00DB" w:rsidRPr="003F00DB">
        <w:rPr>
          <w:rFonts w:ascii="Cambria" w:hAnsi="Cambria" w:cs="Times New Roman"/>
        </w:rPr>
        <w:t xml:space="preserve">, </w:t>
      </w:r>
      <w:r w:rsidR="003F00DB">
        <w:rPr>
          <w:rFonts w:ascii="Cambria" w:hAnsi="Cambria" w:cs="Times New Roman"/>
        </w:rPr>
        <w:t>third-party implementer</w:t>
      </w:r>
      <w:r w:rsidR="003F00DB" w:rsidRPr="003F00DB">
        <w:rPr>
          <w:rFonts w:ascii="Cambria" w:hAnsi="Cambria" w:cs="Times New Roman"/>
        </w:rPr>
        <w:t>(s)</w:t>
      </w:r>
      <w:r w:rsidR="002A758F">
        <w:rPr>
          <w:rFonts w:ascii="Cambria" w:hAnsi="Cambria" w:cs="Times New Roman"/>
        </w:rPr>
        <w:t>,</w:t>
      </w:r>
      <w:r w:rsidR="003F00DB" w:rsidRPr="003F00DB">
        <w:rPr>
          <w:rFonts w:ascii="Cambria" w:hAnsi="Cambria" w:cs="Times New Roman"/>
        </w:rPr>
        <w:t xml:space="preserve"> or C&amp;S team(s)</w:t>
      </w:r>
      <w:r w:rsidR="003F00DB">
        <w:rPr>
          <w:rFonts w:ascii="Cambria" w:hAnsi="Cambria" w:cs="Times New Roman"/>
        </w:rPr>
        <w:t xml:space="preserve"> </w:t>
      </w:r>
      <w:r w:rsidRPr="008156EB">
        <w:rPr>
          <w:rFonts w:ascii="Cambria" w:hAnsi="Cambria"/>
        </w:rPr>
        <w:t>may use a mediator through the CPUC’s alternative dispute resolution (ADR) procedures, an independent mediator, or the CAEECC’s facilitation team</w:t>
      </w:r>
      <w:r w:rsidR="008156EB">
        <w:rPr>
          <w:rFonts w:ascii="Cambria" w:hAnsi="Cambria"/>
        </w:rPr>
        <w:t>.</w:t>
      </w:r>
      <w:r w:rsidR="008156EB">
        <w:rPr>
          <w:rFonts w:ascii="Cambria" w:hAnsi="Cambria"/>
        </w:rPr>
        <w:br/>
      </w:r>
    </w:p>
    <w:p w14:paraId="1290D858" w14:textId="74CC33D4" w:rsidR="00254CAA" w:rsidRPr="008156EB" w:rsidRDefault="00254CAA" w:rsidP="00254CAA">
      <w:pPr>
        <w:pStyle w:val="ListParagraph"/>
        <w:numPr>
          <w:ilvl w:val="0"/>
          <w:numId w:val="17"/>
        </w:numPr>
        <w:rPr>
          <w:rFonts w:ascii="Cambria" w:hAnsi="Cambria" w:cs="Times New Roman"/>
          <w:b/>
        </w:rPr>
      </w:pPr>
      <w:r w:rsidRPr="008156EB">
        <w:rPr>
          <w:rFonts w:ascii="Cambria" w:hAnsi="Cambria"/>
          <w:b/>
        </w:rPr>
        <w:t>Appendices C (Criteria) and D (In-Take Form)</w:t>
      </w:r>
      <w:r w:rsidR="008156EB">
        <w:rPr>
          <w:rFonts w:ascii="Cambria" w:hAnsi="Cambria"/>
          <w:b/>
        </w:rPr>
        <w:br/>
      </w:r>
    </w:p>
    <w:p w14:paraId="31D542FC" w14:textId="169750BA" w:rsidR="003F00DB" w:rsidRPr="003F00DB" w:rsidRDefault="00254CAA" w:rsidP="00254CAA">
      <w:pPr>
        <w:pStyle w:val="ListParagraph"/>
        <w:numPr>
          <w:ilvl w:val="1"/>
          <w:numId w:val="17"/>
        </w:numPr>
        <w:rPr>
          <w:rFonts w:ascii="Cambria" w:hAnsi="Cambria" w:cs="Times New Roman"/>
        </w:rPr>
      </w:pPr>
      <w:r w:rsidRPr="008156EB">
        <w:rPr>
          <w:rFonts w:ascii="Cambria" w:hAnsi="Cambria"/>
        </w:rPr>
        <w:t xml:space="preserve">Agreed that both appendices should be marked as </w:t>
      </w:r>
      <w:r w:rsidR="008156EB">
        <w:rPr>
          <w:rFonts w:ascii="Cambria" w:hAnsi="Cambria"/>
        </w:rPr>
        <w:t>“</w:t>
      </w:r>
      <w:r w:rsidRPr="008156EB">
        <w:rPr>
          <w:rFonts w:ascii="Cambria" w:hAnsi="Cambria"/>
        </w:rPr>
        <w:t>draft</w:t>
      </w:r>
      <w:r w:rsidR="003F00DB">
        <w:rPr>
          <w:rFonts w:ascii="Cambria" w:hAnsi="Cambria"/>
        </w:rPr>
        <w:t>.</w:t>
      </w:r>
      <w:r w:rsidR="008156EB">
        <w:rPr>
          <w:rFonts w:ascii="Cambria" w:hAnsi="Cambria"/>
        </w:rPr>
        <w:t>”</w:t>
      </w:r>
      <w:r w:rsidR="003F00DB">
        <w:rPr>
          <w:rFonts w:ascii="Cambria" w:hAnsi="Cambria"/>
        </w:rPr>
        <w:br/>
      </w:r>
    </w:p>
    <w:p w14:paraId="02A143F9" w14:textId="4AA517ED" w:rsidR="00254CAA" w:rsidRPr="008156EB" w:rsidRDefault="003F00DB" w:rsidP="00254CAA">
      <w:pPr>
        <w:pStyle w:val="ListParagraph"/>
        <w:numPr>
          <w:ilvl w:val="1"/>
          <w:numId w:val="17"/>
        </w:numPr>
        <w:rPr>
          <w:rFonts w:ascii="Cambria" w:hAnsi="Cambria" w:cs="Times New Roman"/>
        </w:rPr>
      </w:pPr>
      <w:r>
        <w:rPr>
          <w:rFonts w:ascii="Cambria" w:hAnsi="Cambria"/>
        </w:rPr>
        <w:t xml:space="preserve">Agreed </w:t>
      </w:r>
      <w:r w:rsidR="00254CAA" w:rsidRPr="008156EB">
        <w:rPr>
          <w:rFonts w:ascii="Cambria" w:hAnsi="Cambria"/>
        </w:rPr>
        <w:t xml:space="preserve">that both </w:t>
      </w:r>
      <w:r>
        <w:rPr>
          <w:rFonts w:ascii="Cambria" w:hAnsi="Cambria"/>
        </w:rPr>
        <w:t xml:space="preserve">appendices </w:t>
      </w:r>
      <w:r w:rsidR="00254CAA" w:rsidRPr="008156EB">
        <w:rPr>
          <w:rFonts w:ascii="Cambria" w:hAnsi="Cambria"/>
        </w:rPr>
        <w:t xml:space="preserve">should have clear </w:t>
      </w:r>
      <w:r w:rsidR="008156EB">
        <w:rPr>
          <w:rFonts w:ascii="Cambria" w:hAnsi="Cambria"/>
        </w:rPr>
        <w:t xml:space="preserve">disclaimer </w:t>
      </w:r>
      <w:r w:rsidR="00254CAA" w:rsidRPr="008156EB">
        <w:rPr>
          <w:rFonts w:ascii="Cambria" w:hAnsi="Cambria"/>
        </w:rPr>
        <w:t xml:space="preserve">language upfront indicating that these </w:t>
      </w:r>
      <w:r w:rsidR="008156EB">
        <w:rPr>
          <w:rFonts w:ascii="Cambria" w:hAnsi="Cambria"/>
        </w:rPr>
        <w:t xml:space="preserve">materials </w:t>
      </w:r>
      <w:r w:rsidR="00254CAA" w:rsidRPr="008156EB">
        <w:rPr>
          <w:rFonts w:ascii="Cambria" w:hAnsi="Cambria"/>
        </w:rPr>
        <w:t>will be finalized by MTA(s) in consultation with MTAB</w:t>
      </w:r>
      <w:r w:rsidR="008156EB">
        <w:rPr>
          <w:rFonts w:ascii="Cambria" w:hAnsi="Cambria"/>
        </w:rPr>
        <w:t>.</w:t>
      </w:r>
    </w:p>
    <w:p w14:paraId="0E60020A" w14:textId="77777777" w:rsidR="008156EB" w:rsidRDefault="008156EB" w:rsidP="00E63801">
      <w:pPr>
        <w:rPr>
          <w:rFonts w:ascii="Cambria" w:hAnsi="Cambria" w:cs="Times New Roman"/>
          <w:b/>
        </w:rPr>
      </w:pPr>
    </w:p>
    <w:p w14:paraId="2CBFE2D1" w14:textId="77777777" w:rsidR="002A758F" w:rsidRDefault="002A758F" w:rsidP="00E63801">
      <w:pPr>
        <w:rPr>
          <w:rFonts w:ascii="Cambria" w:hAnsi="Cambria" w:cs="Times New Roman"/>
          <w:b/>
          <w:smallCaps/>
          <w:sz w:val="26"/>
          <w:szCs w:val="26"/>
        </w:rPr>
      </w:pPr>
    </w:p>
    <w:p w14:paraId="67785885" w14:textId="290B2CBC" w:rsidR="0010451A" w:rsidRPr="008156EB" w:rsidRDefault="0010451A" w:rsidP="00E63801">
      <w:pPr>
        <w:rPr>
          <w:rFonts w:ascii="Cambria" w:hAnsi="Cambria" w:cs="Times New Roman"/>
          <w:b/>
        </w:rPr>
      </w:pPr>
      <w:r w:rsidRPr="008156EB">
        <w:rPr>
          <w:rFonts w:ascii="Cambria" w:hAnsi="Cambria" w:cs="Times New Roman"/>
          <w:b/>
          <w:smallCaps/>
          <w:sz w:val="26"/>
          <w:szCs w:val="26"/>
        </w:rPr>
        <w:lastRenderedPageBreak/>
        <w:t>Next Steps, Finalization Process/Final Report</w:t>
      </w:r>
    </w:p>
    <w:p w14:paraId="4D6640FB" w14:textId="77777777" w:rsidR="0010451A" w:rsidRPr="008156EB" w:rsidRDefault="0010451A" w:rsidP="00E63801">
      <w:pPr>
        <w:rPr>
          <w:rFonts w:ascii="Cambria" w:hAnsi="Cambria" w:cs="Times New Roman"/>
        </w:rPr>
      </w:pPr>
    </w:p>
    <w:p w14:paraId="6849B04B" w14:textId="30B50051" w:rsidR="0010451A" w:rsidRPr="008156EB" w:rsidRDefault="0010451A" w:rsidP="0010451A">
      <w:pPr>
        <w:rPr>
          <w:rFonts w:ascii="Cambria" w:hAnsi="Cambria"/>
        </w:rPr>
      </w:pPr>
      <w:r w:rsidRPr="008156EB">
        <w:rPr>
          <w:rFonts w:ascii="Cambria" w:hAnsi="Cambria"/>
        </w:rPr>
        <w:t>At the close of the meeting, J. Raab identified the following next steps and deadlines:</w:t>
      </w:r>
    </w:p>
    <w:p w14:paraId="22304432" w14:textId="77777777" w:rsidR="0010451A" w:rsidRPr="008156EB" w:rsidRDefault="0010451A" w:rsidP="0010451A">
      <w:pPr>
        <w:rPr>
          <w:rFonts w:ascii="Cambria" w:hAnsi="Cambria"/>
        </w:rPr>
      </w:pPr>
    </w:p>
    <w:p w14:paraId="08060E6D" w14:textId="5DD0D6F2" w:rsidR="000826B9" w:rsidRPr="008156EB" w:rsidRDefault="0010451A" w:rsidP="0010451A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</w:rPr>
      </w:pPr>
      <w:r w:rsidRPr="008156EB">
        <w:rPr>
          <w:rFonts w:ascii="Cambria" w:eastAsia="Times New Roman" w:hAnsi="Cambria" w:cs="Times New Roman"/>
          <w:b/>
        </w:rPr>
        <w:t>Thursday, February 28</w:t>
      </w:r>
      <w:r w:rsidRPr="008156EB">
        <w:rPr>
          <w:rFonts w:ascii="Cambria" w:eastAsia="Times New Roman" w:hAnsi="Cambria" w:cs="Times New Roman"/>
          <w:b/>
          <w:vertAlign w:val="superscript"/>
        </w:rPr>
        <w:t>th</w:t>
      </w:r>
      <w:r w:rsidRPr="008156EB">
        <w:rPr>
          <w:rFonts w:ascii="Cambria" w:eastAsia="Times New Roman" w:hAnsi="Cambria" w:cs="Times New Roman"/>
        </w:rPr>
        <w:t xml:space="preserve"> – Draft red line from meeting circulated by </w:t>
      </w:r>
      <w:r w:rsidR="0040717C" w:rsidRPr="008156EB">
        <w:rPr>
          <w:rFonts w:ascii="Cambria" w:eastAsia="Times New Roman" w:hAnsi="Cambria" w:cs="Times New Roman"/>
        </w:rPr>
        <w:t xml:space="preserve">the </w:t>
      </w:r>
      <w:r w:rsidRPr="008156EB">
        <w:rPr>
          <w:rFonts w:ascii="Cambria" w:eastAsia="Times New Roman" w:hAnsi="Cambria" w:cs="Times New Roman"/>
        </w:rPr>
        <w:t>Facilitation Team</w:t>
      </w:r>
      <w:r w:rsidR="003F00DB">
        <w:rPr>
          <w:rFonts w:ascii="Cambria" w:eastAsia="Times New Roman" w:hAnsi="Cambria" w:cs="Times New Roman"/>
        </w:rPr>
        <w:t>.</w:t>
      </w:r>
      <w:r w:rsidR="000826B9" w:rsidRPr="008156EB">
        <w:rPr>
          <w:rFonts w:ascii="Cambria" w:eastAsia="Times New Roman" w:hAnsi="Cambria" w:cs="Times New Roman"/>
        </w:rPr>
        <w:br/>
      </w:r>
    </w:p>
    <w:p w14:paraId="194A05F4" w14:textId="03368675" w:rsidR="000826B9" w:rsidRPr="008156EB" w:rsidRDefault="000826B9" w:rsidP="0010451A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</w:rPr>
      </w:pPr>
      <w:r w:rsidRPr="008156EB">
        <w:rPr>
          <w:rFonts w:ascii="Cambria" w:eastAsia="Times New Roman" w:hAnsi="Cambria" w:cs="Times New Roman"/>
          <w:b/>
        </w:rPr>
        <w:t>Friday, March 1</w:t>
      </w:r>
      <w:r w:rsidRPr="008156EB">
        <w:rPr>
          <w:rFonts w:ascii="Cambria" w:eastAsia="Times New Roman" w:hAnsi="Cambria" w:cs="Times New Roman"/>
          <w:b/>
          <w:vertAlign w:val="superscript"/>
        </w:rPr>
        <w:t>st</w:t>
      </w:r>
      <w:r w:rsidRPr="008156EB">
        <w:rPr>
          <w:rFonts w:ascii="Cambria" w:eastAsia="Times New Roman" w:hAnsi="Cambria" w:cs="Times New Roman"/>
        </w:rPr>
        <w:t xml:space="preserve"> </w:t>
      </w:r>
      <w:proofErr w:type="gramStart"/>
      <w:r w:rsidRPr="008156EB">
        <w:rPr>
          <w:rFonts w:ascii="Cambria" w:eastAsia="Times New Roman" w:hAnsi="Cambria" w:cs="Times New Roman"/>
        </w:rPr>
        <w:t xml:space="preserve">–  </w:t>
      </w:r>
      <w:r w:rsidR="0010451A" w:rsidRPr="008156EB">
        <w:rPr>
          <w:rFonts w:ascii="Cambria" w:eastAsia="Times New Roman" w:hAnsi="Cambria" w:cs="Times New Roman"/>
        </w:rPr>
        <w:t>CPUC</w:t>
      </w:r>
      <w:proofErr w:type="gramEnd"/>
      <w:r w:rsidR="0010451A" w:rsidRPr="008156EB">
        <w:rPr>
          <w:rFonts w:ascii="Cambria" w:eastAsia="Times New Roman" w:hAnsi="Cambria" w:cs="Times New Roman"/>
        </w:rPr>
        <w:t xml:space="preserve"> confirms process for serving </w:t>
      </w:r>
      <w:r w:rsidR="0040717C" w:rsidRPr="008156EB">
        <w:rPr>
          <w:rFonts w:ascii="Cambria" w:eastAsia="Times New Roman" w:hAnsi="Cambria" w:cs="Times New Roman"/>
        </w:rPr>
        <w:t xml:space="preserve">the </w:t>
      </w:r>
      <w:r w:rsidR="0010451A" w:rsidRPr="008156EB">
        <w:rPr>
          <w:rFonts w:ascii="Cambria" w:eastAsia="Times New Roman" w:hAnsi="Cambria" w:cs="Times New Roman"/>
        </w:rPr>
        <w:t>Report</w:t>
      </w:r>
      <w:r w:rsidR="003F00DB">
        <w:rPr>
          <w:rFonts w:ascii="Cambria" w:eastAsia="Times New Roman" w:hAnsi="Cambria" w:cs="Times New Roman"/>
        </w:rPr>
        <w:t>.</w:t>
      </w:r>
      <w:r w:rsidRPr="008156EB">
        <w:rPr>
          <w:rFonts w:ascii="Cambria" w:eastAsia="Times New Roman" w:hAnsi="Cambria" w:cs="Times New Roman"/>
        </w:rPr>
        <w:br/>
      </w:r>
    </w:p>
    <w:p w14:paraId="17E9303E" w14:textId="4BD735A4" w:rsidR="000826B9" w:rsidRPr="008156EB" w:rsidRDefault="000826B9" w:rsidP="0010451A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</w:rPr>
      </w:pPr>
      <w:r w:rsidRPr="008156EB">
        <w:rPr>
          <w:rFonts w:ascii="Cambria" w:eastAsia="Times New Roman" w:hAnsi="Cambria" w:cs="Times New Roman"/>
          <w:b/>
        </w:rPr>
        <w:t>Monday, March 4</w:t>
      </w:r>
      <w:r w:rsidRPr="008156EB">
        <w:rPr>
          <w:rFonts w:ascii="Cambria" w:eastAsia="Times New Roman" w:hAnsi="Cambria" w:cs="Times New Roman"/>
          <w:b/>
          <w:vertAlign w:val="superscript"/>
        </w:rPr>
        <w:t>th</w:t>
      </w:r>
      <w:r w:rsidRPr="008156EB">
        <w:rPr>
          <w:rFonts w:ascii="Cambria" w:eastAsia="Times New Roman" w:hAnsi="Cambria" w:cs="Times New Roman"/>
          <w:b/>
        </w:rPr>
        <w:t xml:space="preserve"> </w:t>
      </w:r>
      <w:r w:rsidR="0010451A" w:rsidRPr="008156EB">
        <w:rPr>
          <w:rFonts w:ascii="Cambria" w:eastAsia="Times New Roman" w:hAnsi="Cambria" w:cs="Times New Roman"/>
        </w:rPr>
        <w:t xml:space="preserve">– </w:t>
      </w:r>
      <w:r w:rsidRPr="008156EB">
        <w:rPr>
          <w:rFonts w:ascii="Cambria" w:eastAsia="Times New Roman" w:hAnsi="Cambria" w:cs="Times New Roman"/>
        </w:rPr>
        <w:t>Deadline for f</w:t>
      </w:r>
      <w:r w:rsidR="0010451A" w:rsidRPr="008156EB">
        <w:rPr>
          <w:rFonts w:ascii="Cambria" w:eastAsia="Times New Roman" w:hAnsi="Cambria" w:cs="Times New Roman"/>
        </w:rPr>
        <w:t xml:space="preserve">inal sign-off </w:t>
      </w:r>
      <w:r w:rsidR="002A758F">
        <w:rPr>
          <w:rFonts w:ascii="Cambria" w:eastAsia="Times New Roman" w:hAnsi="Cambria" w:cs="Times New Roman"/>
        </w:rPr>
        <w:t>on</w:t>
      </w:r>
      <w:r w:rsidR="0010451A" w:rsidRPr="008156EB">
        <w:rPr>
          <w:rFonts w:ascii="Cambria" w:eastAsia="Times New Roman" w:hAnsi="Cambria" w:cs="Times New Roman"/>
        </w:rPr>
        <w:t xml:space="preserve"> non-consensus issues</w:t>
      </w:r>
      <w:r w:rsidRPr="008156EB">
        <w:rPr>
          <w:rFonts w:ascii="Cambria" w:eastAsia="Times New Roman" w:hAnsi="Cambria" w:cs="Times New Roman"/>
        </w:rPr>
        <w:t xml:space="preserve"> by </w:t>
      </w:r>
      <w:r w:rsidR="002A758F">
        <w:rPr>
          <w:rFonts w:ascii="Cambria" w:eastAsia="Times New Roman" w:hAnsi="Cambria" w:cs="Times New Roman"/>
        </w:rPr>
        <w:t>MT</w:t>
      </w:r>
      <w:r w:rsidRPr="008156EB">
        <w:rPr>
          <w:rFonts w:ascii="Cambria" w:eastAsia="Times New Roman" w:hAnsi="Cambria" w:cs="Times New Roman"/>
        </w:rPr>
        <w:t xml:space="preserve">WG Members; </w:t>
      </w:r>
      <w:r w:rsidR="002A758F">
        <w:rPr>
          <w:rFonts w:ascii="Cambria" w:eastAsia="Times New Roman" w:hAnsi="Cambria" w:cs="Times New Roman"/>
        </w:rPr>
        <w:t>d</w:t>
      </w:r>
      <w:r w:rsidRPr="008156EB">
        <w:rPr>
          <w:rFonts w:ascii="Cambria" w:eastAsia="Times New Roman" w:hAnsi="Cambria" w:cs="Times New Roman"/>
        </w:rPr>
        <w:t>eadline for receipt of new</w:t>
      </w:r>
      <w:r w:rsidR="007D1DC9" w:rsidRPr="008156EB">
        <w:rPr>
          <w:rFonts w:ascii="Cambria" w:eastAsia="Times New Roman" w:hAnsi="Cambria" w:cs="Times New Roman"/>
        </w:rPr>
        <w:t xml:space="preserve"> proposed language for</w:t>
      </w:r>
      <w:r w:rsidRPr="008156EB">
        <w:rPr>
          <w:rFonts w:ascii="Cambria" w:eastAsia="Times New Roman" w:hAnsi="Cambria" w:cs="Times New Roman"/>
        </w:rPr>
        <w:t xml:space="preserve"> Section 6</w:t>
      </w:r>
      <w:r w:rsidR="007D1DC9" w:rsidRPr="008156EB">
        <w:rPr>
          <w:rFonts w:ascii="Cambria" w:eastAsia="Times New Roman" w:hAnsi="Cambria" w:cs="Times New Roman"/>
        </w:rPr>
        <w:t xml:space="preserve">: Budget </w:t>
      </w:r>
      <w:r w:rsidRPr="008156EB">
        <w:rPr>
          <w:rFonts w:ascii="Cambria" w:eastAsia="Times New Roman" w:hAnsi="Cambria" w:cs="Times New Roman"/>
        </w:rPr>
        <w:t xml:space="preserve">to be developed by </w:t>
      </w:r>
      <w:r w:rsidR="002A758F">
        <w:rPr>
          <w:rFonts w:ascii="Cambria" w:eastAsia="Times New Roman" w:hAnsi="Cambria" w:cs="Times New Roman"/>
        </w:rPr>
        <w:t>D. Buch.</w:t>
      </w:r>
      <w:r w:rsidRPr="008156EB">
        <w:rPr>
          <w:rFonts w:ascii="Cambria" w:eastAsia="Times New Roman" w:hAnsi="Cambria" w:cs="Times New Roman"/>
        </w:rPr>
        <w:br/>
      </w:r>
    </w:p>
    <w:p w14:paraId="0347D81A" w14:textId="578AAD7C" w:rsidR="000826B9" w:rsidRPr="008156EB" w:rsidRDefault="000826B9" w:rsidP="0010451A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</w:rPr>
      </w:pPr>
      <w:r w:rsidRPr="008156EB">
        <w:rPr>
          <w:rFonts w:ascii="Cambria" w:eastAsia="Times New Roman" w:hAnsi="Cambria" w:cs="Times New Roman"/>
          <w:b/>
        </w:rPr>
        <w:t>Wednesday, March 6</w:t>
      </w:r>
      <w:r w:rsidRPr="008156EB">
        <w:rPr>
          <w:rFonts w:ascii="Cambria" w:eastAsia="Times New Roman" w:hAnsi="Cambria" w:cs="Times New Roman"/>
          <w:b/>
          <w:vertAlign w:val="superscript"/>
        </w:rPr>
        <w:t>th</w:t>
      </w:r>
      <w:r w:rsidR="0010451A" w:rsidRPr="008156EB">
        <w:rPr>
          <w:rFonts w:ascii="Cambria" w:eastAsia="Times New Roman" w:hAnsi="Cambria" w:cs="Times New Roman"/>
        </w:rPr>
        <w:t xml:space="preserve"> – Distribution of </w:t>
      </w:r>
      <w:r w:rsidR="0040717C" w:rsidRPr="008156EB">
        <w:rPr>
          <w:rFonts w:ascii="Cambria" w:eastAsia="Times New Roman" w:hAnsi="Cambria" w:cs="Times New Roman"/>
        </w:rPr>
        <w:t xml:space="preserve">the </w:t>
      </w:r>
      <w:r w:rsidR="002A758F">
        <w:rPr>
          <w:rFonts w:ascii="Cambria" w:eastAsia="Times New Roman" w:hAnsi="Cambria" w:cs="Times New Roman"/>
        </w:rPr>
        <w:t>D</w:t>
      </w:r>
      <w:r w:rsidR="0010451A" w:rsidRPr="008156EB">
        <w:rPr>
          <w:rFonts w:ascii="Cambria" w:eastAsia="Times New Roman" w:hAnsi="Cambria" w:cs="Times New Roman"/>
        </w:rPr>
        <w:t xml:space="preserve">raft </w:t>
      </w:r>
      <w:r w:rsidR="002A758F">
        <w:rPr>
          <w:rFonts w:ascii="Cambria" w:eastAsia="Times New Roman" w:hAnsi="Cambria" w:cs="Times New Roman"/>
        </w:rPr>
        <w:t>F</w:t>
      </w:r>
      <w:r w:rsidR="0010451A" w:rsidRPr="008156EB">
        <w:rPr>
          <w:rFonts w:ascii="Cambria" w:eastAsia="Times New Roman" w:hAnsi="Cambria" w:cs="Times New Roman"/>
        </w:rPr>
        <w:t xml:space="preserve">inal </w:t>
      </w:r>
      <w:r w:rsidR="002A758F">
        <w:rPr>
          <w:rFonts w:ascii="Cambria" w:eastAsia="Times New Roman" w:hAnsi="Cambria" w:cs="Times New Roman"/>
        </w:rPr>
        <w:t>R</w:t>
      </w:r>
      <w:r w:rsidR="0010451A" w:rsidRPr="008156EB">
        <w:rPr>
          <w:rFonts w:ascii="Cambria" w:eastAsia="Times New Roman" w:hAnsi="Cambria" w:cs="Times New Roman"/>
        </w:rPr>
        <w:t>eport</w:t>
      </w:r>
      <w:r w:rsidRPr="008156EB">
        <w:rPr>
          <w:rFonts w:ascii="Cambria" w:eastAsia="Times New Roman" w:hAnsi="Cambria" w:cs="Times New Roman"/>
        </w:rPr>
        <w:t xml:space="preserve"> by</w:t>
      </w:r>
      <w:r w:rsidR="0040717C" w:rsidRPr="008156EB">
        <w:rPr>
          <w:rFonts w:ascii="Cambria" w:eastAsia="Times New Roman" w:hAnsi="Cambria" w:cs="Times New Roman"/>
        </w:rPr>
        <w:t xml:space="preserve"> the</w:t>
      </w:r>
      <w:r w:rsidRPr="008156EB">
        <w:rPr>
          <w:rFonts w:ascii="Cambria" w:eastAsia="Times New Roman" w:hAnsi="Cambria" w:cs="Times New Roman"/>
        </w:rPr>
        <w:t xml:space="preserve"> Facilitation Team</w:t>
      </w:r>
      <w:r w:rsidR="003F00DB">
        <w:rPr>
          <w:rFonts w:ascii="Cambria" w:eastAsia="Times New Roman" w:hAnsi="Cambria" w:cs="Times New Roman"/>
        </w:rPr>
        <w:t>.</w:t>
      </w:r>
    </w:p>
    <w:p w14:paraId="2C96C030" w14:textId="77777777" w:rsidR="000826B9" w:rsidRPr="008156EB" w:rsidRDefault="000826B9" w:rsidP="000826B9">
      <w:pPr>
        <w:pStyle w:val="ListParagraph"/>
        <w:rPr>
          <w:rFonts w:ascii="Cambria" w:eastAsia="Times New Roman" w:hAnsi="Cambria" w:cs="Times New Roman"/>
        </w:rPr>
      </w:pPr>
    </w:p>
    <w:p w14:paraId="7946780F" w14:textId="7AC9FC2C" w:rsidR="000826B9" w:rsidRPr="008156EB" w:rsidRDefault="000826B9" w:rsidP="0010451A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</w:rPr>
      </w:pPr>
      <w:r w:rsidRPr="008156EB">
        <w:rPr>
          <w:rFonts w:ascii="Cambria" w:eastAsia="Times New Roman" w:hAnsi="Cambria" w:cs="Times New Roman"/>
          <w:b/>
        </w:rPr>
        <w:t xml:space="preserve">Wednesday, March </w:t>
      </w:r>
      <w:r w:rsidR="0010451A" w:rsidRPr="008156EB">
        <w:rPr>
          <w:rFonts w:ascii="Cambria" w:eastAsia="Times New Roman" w:hAnsi="Cambria" w:cs="Times New Roman"/>
          <w:b/>
        </w:rPr>
        <w:t>13</w:t>
      </w:r>
      <w:r w:rsidRPr="008156EB">
        <w:rPr>
          <w:rFonts w:ascii="Cambria" w:eastAsia="Times New Roman" w:hAnsi="Cambria" w:cs="Times New Roman"/>
          <w:b/>
          <w:vertAlign w:val="superscript"/>
        </w:rPr>
        <w:t>th</w:t>
      </w:r>
      <w:r w:rsidR="0040717C" w:rsidRPr="008156EB">
        <w:rPr>
          <w:rFonts w:ascii="Cambria" w:eastAsia="Times New Roman" w:hAnsi="Cambria" w:cs="Times New Roman"/>
        </w:rPr>
        <w:t xml:space="preserve"> </w:t>
      </w:r>
      <w:r w:rsidR="0010451A" w:rsidRPr="008156EB">
        <w:rPr>
          <w:rFonts w:ascii="Cambria" w:eastAsia="Times New Roman" w:hAnsi="Cambria" w:cs="Times New Roman"/>
        </w:rPr>
        <w:t>– Deadline for identification of any significant remaining/additional issues</w:t>
      </w:r>
      <w:r w:rsidRPr="008156EB">
        <w:rPr>
          <w:rFonts w:ascii="Cambria" w:eastAsia="Times New Roman" w:hAnsi="Cambria" w:cs="Times New Roman"/>
        </w:rPr>
        <w:t xml:space="preserve"> with the </w:t>
      </w:r>
      <w:r w:rsidR="002A758F">
        <w:rPr>
          <w:rFonts w:ascii="Cambria" w:eastAsia="Times New Roman" w:hAnsi="Cambria" w:cs="Times New Roman"/>
        </w:rPr>
        <w:t>D</w:t>
      </w:r>
      <w:r w:rsidRPr="008156EB">
        <w:rPr>
          <w:rFonts w:ascii="Cambria" w:eastAsia="Times New Roman" w:hAnsi="Cambria" w:cs="Times New Roman"/>
        </w:rPr>
        <w:t xml:space="preserve">raft </w:t>
      </w:r>
      <w:r w:rsidR="002A758F">
        <w:rPr>
          <w:rFonts w:ascii="Cambria" w:eastAsia="Times New Roman" w:hAnsi="Cambria" w:cs="Times New Roman"/>
        </w:rPr>
        <w:t>F</w:t>
      </w:r>
      <w:r w:rsidRPr="008156EB">
        <w:rPr>
          <w:rFonts w:ascii="Cambria" w:eastAsia="Times New Roman" w:hAnsi="Cambria" w:cs="Times New Roman"/>
        </w:rPr>
        <w:t xml:space="preserve">inal </w:t>
      </w:r>
      <w:r w:rsidR="002A758F">
        <w:rPr>
          <w:rFonts w:ascii="Cambria" w:eastAsia="Times New Roman" w:hAnsi="Cambria" w:cs="Times New Roman"/>
        </w:rPr>
        <w:t>R</w:t>
      </w:r>
      <w:r w:rsidRPr="008156EB">
        <w:rPr>
          <w:rFonts w:ascii="Cambria" w:eastAsia="Times New Roman" w:hAnsi="Cambria" w:cs="Times New Roman"/>
        </w:rPr>
        <w:t xml:space="preserve">eport by </w:t>
      </w:r>
      <w:r w:rsidR="003F00DB">
        <w:rPr>
          <w:rFonts w:ascii="Cambria" w:eastAsia="Times New Roman" w:hAnsi="Cambria" w:cs="Times New Roman"/>
        </w:rPr>
        <w:t>MT</w:t>
      </w:r>
      <w:r w:rsidRPr="008156EB">
        <w:rPr>
          <w:rFonts w:ascii="Cambria" w:eastAsia="Times New Roman" w:hAnsi="Cambria" w:cs="Times New Roman"/>
        </w:rPr>
        <w:t>WG Members</w:t>
      </w:r>
      <w:r w:rsidR="003F00DB">
        <w:rPr>
          <w:rFonts w:ascii="Cambria" w:eastAsia="Times New Roman" w:hAnsi="Cambria" w:cs="Times New Roman"/>
        </w:rPr>
        <w:t>.</w:t>
      </w:r>
    </w:p>
    <w:p w14:paraId="1F78E1EB" w14:textId="77777777" w:rsidR="000826B9" w:rsidRPr="008156EB" w:rsidRDefault="000826B9" w:rsidP="000826B9">
      <w:pPr>
        <w:pStyle w:val="ListParagraph"/>
        <w:rPr>
          <w:rFonts w:ascii="Cambria" w:eastAsia="Times New Roman" w:hAnsi="Cambria" w:cs="Times New Roman"/>
        </w:rPr>
      </w:pPr>
    </w:p>
    <w:p w14:paraId="07ED42DB" w14:textId="6E6F9268" w:rsidR="000826B9" w:rsidRPr="008156EB" w:rsidRDefault="000826B9" w:rsidP="0010451A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</w:rPr>
      </w:pPr>
      <w:r w:rsidRPr="008156EB">
        <w:rPr>
          <w:rFonts w:ascii="Cambria" w:eastAsia="Times New Roman" w:hAnsi="Cambria" w:cs="Times New Roman"/>
          <w:b/>
        </w:rPr>
        <w:t>Thursday, March 14</w:t>
      </w:r>
      <w:r w:rsidRPr="008156EB">
        <w:rPr>
          <w:rFonts w:ascii="Cambria" w:eastAsia="Times New Roman" w:hAnsi="Cambria" w:cs="Times New Roman"/>
          <w:b/>
          <w:vertAlign w:val="superscript"/>
        </w:rPr>
        <w:t>th</w:t>
      </w:r>
      <w:r w:rsidRPr="008156EB">
        <w:rPr>
          <w:rFonts w:ascii="Cambria" w:eastAsia="Times New Roman" w:hAnsi="Cambria" w:cs="Times New Roman"/>
        </w:rPr>
        <w:t xml:space="preserve"> </w:t>
      </w:r>
      <w:r w:rsidR="0010451A" w:rsidRPr="008156EB">
        <w:rPr>
          <w:rFonts w:ascii="Cambria" w:eastAsia="Times New Roman" w:hAnsi="Cambria" w:cs="Times New Roman"/>
        </w:rPr>
        <w:t xml:space="preserve">– Circulation of any significant remaining/additional issues </w:t>
      </w:r>
      <w:r w:rsidRPr="008156EB">
        <w:rPr>
          <w:rFonts w:ascii="Cambria" w:eastAsia="Times New Roman" w:hAnsi="Cambria" w:cs="Times New Roman"/>
        </w:rPr>
        <w:t xml:space="preserve">with the </w:t>
      </w:r>
      <w:r w:rsidR="002A758F">
        <w:rPr>
          <w:rFonts w:ascii="Cambria" w:eastAsia="Times New Roman" w:hAnsi="Cambria" w:cs="Times New Roman"/>
        </w:rPr>
        <w:t>D</w:t>
      </w:r>
      <w:r w:rsidRPr="008156EB">
        <w:rPr>
          <w:rFonts w:ascii="Cambria" w:eastAsia="Times New Roman" w:hAnsi="Cambria" w:cs="Times New Roman"/>
        </w:rPr>
        <w:t xml:space="preserve">raft </w:t>
      </w:r>
      <w:r w:rsidR="002A758F">
        <w:rPr>
          <w:rFonts w:ascii="Cambria" w:eastAsia="Times New Roman" w:hAnsi="Cambria" w:cs="Times New Roman"/>
        </w:rPr>
        <w:t>F</w:t>
      </w:r>
      <w:r w:rsidRPr="008156EB">
        <w:rPr>
          <w:rFonts w:ascii="Cambria" w:eastAsia="Times New Roman" w:hAnsi="Cambria" w:cs="Times New Roman"/>
        </w:rPr>
        <w:t xml:space="preserve">inal </w:t>
      </w:r>
      <w:r w:rsidR="002A758F">
        <w:rPr>
          <w:rFonts w:ascii="Cambria" w:eastAsia="Times New Roman" w:hAnsi="Cambria" w:cs="Times New Roman"/>
        </w:rPr>
        <w:t>R</w:t>
      </w:r>
      <w:r w:rsidRPr="008156EB">
        <w:rPr>
          <w:rFonts w:ascii="Cambria" w:eastAsia="Times New Roman" w:hAnsi="Cambria" w:cs="Times New Roman"/>
        </w:rPr>
        <w:t xml:space="preserve">eport by </w:t>
      </w:r>
      <w:r w:rsidR="002A758F">
        <w:rPr>
          <w:rFonts w:ascii="Cambria" w:eastAsia="Times New Roman" w:hAnsi="Cambria" w:cs="Times New Roman"/>
        </w:rPr>
        <w:t xml:space="preserve">the </w:t>
      </w:r>
      <w:r w:rsidRPr="008156EB">
        <w:rPr>
          <w:rFonts w:ascii="Cambria" w:eastAsia="Times New Roman" w:hAnsi="Cambria" w:cs="Times New Roman"/>
        </w:rPr>
        <w:t>Facilitation Team</w:t>
      </w:r>
      <w:r w:rsidR="003F00DB">
        <w:rPr>
          <w:rFonts w:ascii="Cambria" w:eastAsia="Times New Roman" w:hAnsi="Cambria" w:cs="Times New Roman"/>
        </w:rPr>
        <w:t>.</w:t>
      </w:r>
    </w:p>
    <w:p w14:paraId="342A7FEF" w14:textId="77777777" w:rsidR="000826B9" w:rsidRPr="008156EB" w:rsidRDefault="000826B9" w:rsidP="000826B9">
      <w:pPr>
        <w:pStyle w:val="ListParagraph"/>
        <w:rPr>
          <w:rFonts w:ascii="Cambria" w:eastAsia="Times New Roman" w:hAnsi="Cambria" w:cs="Times New Roman"/>
        </w:rPr>
      </w:pPr>
    </w:p>
    <w:p w14:paraId="66C4430E" w14:textId="56C92535" w:rsidR="000826B9" w:rsidRPr="008156EB" w:rsidRDefault="000826B9" w:rsidP="0010451A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</w:rPr>
      </w:pPr>
      <w:r w:rsidRPr="008156EB">
        <w:rPr>
          <w:rFonts w:ascii="Cambria" w:eastAsia="Times New Roman" w:hAnsi="Cambria" w:cs="Times New Roman"/>
          <w:b/>
        </w:rPr>
        <w:t>Wednesday, March 20</w:t>
      </w:r>
      <w:r w:rsidRPr="008156EB">
        <w:rPr>
          <w:rFonts w:ascii="Cambria" w:eastAsia="Times New Roman" w:hAnsi="Cambria" w:cs="Times New Roman"/>
          <w:b/>
          <w:vertAlign w:val="superscript"/>
        </w:rPr>
        <w:t>th</w:t>
      </w:r>
      <w:r w:rsidR="0040717C" w:rsidRPr="008156EB">
        <w:rPr>
          <w:rFonts w:ascii="Cambria" w:eastAsia="Times New Roman" w:hAnsi="Cambria" w:cs="Times New Roman"/>
          <w:b/>
        </w:rPr>
        <w:t xml:space="preserve"> </w:t>
      </w:r>
      <w:r w:rsidR="0010451A" w:rsidRPr="008156EB">
        <w:rPr>
          <w:rFonts w:ascii="Cambria" w:eastAsia="Times New Roman" w:hAnsi="Cambria" w:cs="Times New Roman"/>
        </w:rPr>
        <w:t>– Tentative phone call to discuss any significant remaining/additional issues</w:t>
      </w:r>
      <w:r w:rsidRPr="008156EB">
        <w:rPr>
          <w:rFonts w:ascii="Cambria" w:eastAsia="Times New Roman" w:hAnsi="Cambria" w:cs="Times New Roman"/>
        </w:rPr>
        <w:t xml:space="preserve"> (if necessary)</w:t>
      </w:r>
      <w:r w:rsidR="003F00DB">
        <w:rPr>
          <w:rFonts w:ascii="Cambria" w:eastAsia="Times New Roman" w:hAnsi="Cambria" w:cs="Times New Roman"/>
        </w:rPr>
        <w:t>.</w:t>
      </w:r>
    </w:p>
    <w:p w14:paraId="124D6C2C" w14:textId="77777777" w:rsidR="000826B9" w:rsidRPr="008156EB" w:rsidRDefault="000826B9" w:rsidP="000826B9">
      <w:pPr>
        <w:pStyle w:val="ListParagraph"/>
        <w:rPr>
          <w:rFonts w:ascii="Cambria" w:eastAsia="Times New Roman" w:hAnsi="Cambria" w:cs="Times New Roman"/>
        </w:rPr>
      </w:pPr>
    </w:p>
    <w:p w14:paraId="0C9FF6AD" w14:textId="2CBAD256" w:rsidR="0010451A" w:rsidRPr="008156EB" w:rsidRDefault="000826B9" w:rsidP="0010451A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</w:rPr>
      </w:pPr>
      <w:r w:rsidRPr="008156EB">
        <w:rPr>
          <w:rFonts w:ascii="Cambria" w:eastAsia="Times New Roman" w:hAnsi="Cambria" w:cs="Times New Roman"/>
          <w:b/>
        </w:rPr>
        <w:t xml:space="preserve">Friday, March </w:t>
      </w:r>
      <w:r w:rsidR="0010451A" w:rsidRPr="008156EB">
        <w:rPr>
          <w:rFonts w:ascii="Cambria" w:eastAsia="Times New Roman" w:hAnsi="Cambria" w:cs="Times New Roman"/>
          <w:b/>
        </w:rPr>
        <w:t>15</w:t>
      </w:r>
      <w:r w:rsidRPr="008156EB">
        <w:rPr>
          <w:rFonts w:ascii="Cambria" w:eastAsia="Times New Roman" w:hAnsi="Cambria" w:cs="Times New Roman"/>
          <w:b/>
          <w:vertAlign w:val="superscript"/>
        </w:rPr>
        <w:t>th</w:t>
      </w:r>
      <w:r w:rsidRPr="008156EB">
        <w:rPr>
          <w:rFonts w:ascii="Cambria" w:eastAsia="Times New Roman" w:hAnsi="Cambria" w:cs="Times New Roman"/>
          <w:b/>
        </w:rPr>
        <w:t xml:space="preserve"> </w:t>
      </w:r>
      <w:r w:rsidR="0010451A" w:rsidRPr="008156EB">
        <w:rPr>
          <w:rFonts w:ascii="Cambria" w:eastAsia="Times New Roman" w:hAnsi="Cambria" w:cs="Times New Roman"/>
          <w:b/>
        </w:rPr>
        <w:t>-</w:t>
      </w:r>
      <w:r w:rsidRPr="008156EB">
        <w:rPr>
          <w:rFonts w:ascii="Cambria" w:eastAsia="Times New Roman" w:hAnsi="Cambria" w:cs="Times New Roman"/>
          <w:b/>
        </w:rPr>
        <w:t xml:space="preserve"> Friday, March </w:t>
      </w:r>
      <w:r w:rsidR="0010451A" w:rsidRPr="008156EB">
        <w:rPr>
          <w:rFonts w:ascii="Cambria" w:eastAsia="Times New Roman" w:hAnsi="Cambria" w:cs="Times New Roman"/>
          <w:b/>
        </w:rPr>
        <w:t>29</w:t>
      </w:r>
      <w:r w:rsidR="0040717C" w:rsidRPr="008156EB">
        <w:rPr>
          <w:rFonts w:ascii="Cambria" w:eastAsia="Times New Roman" w:hAnsi="Cambria" w:cs="Times New Roman"/>
          <w:b/>
          <w:vertAlign w:val="superscript"/>
        </w:rPr>
        <w:t>th</w:t>
      </w:r>
      <w:r w:rsidR="0040717C" w:rsidRPr="008156EB">
        <w:rPr>
          <w:rFonts w:ascii="Cambria" w:eastAsia="Times New Roman" w:hAnsi="Cambria" w:cs="Times New Roman"/>
          <w:b/>
        </w:rPr>
        <w:t xml:space="preserve"> </w:t>
      </w:r>
      <w:r w:rsidR="0010451A" w:rsidRPr="008156EB">
        <w:rPr>
          <w:rFonts w:ascii="Cambria" w:eastAsia="Times New Roman" w:hAnsi="Cambria" w:cs="Times New Roman"/>
          <w:b/>
        </w:rPr>
        <w:t>(exact date TBD)</w:t>
      </w:r>
      <w:r w:rsidR="0010451A" w:rsidRPr="008156EB">
        <w:rPr>
          <w:rFonts w:ascii="Cambria" w:eastAsia="Times New Roman" w:hAnsi="Cambria" w:cs="Times New Roman"/>
        </w:rPr>
        <w:t xml:space="preserve"> – Final Report served</w:t>
      </w:r>
      <w:r w:rsidRPr="008156EB">
        <w:rPr>
          <w:rFonts w:ascii="Cambria" w:eastAsia="Times New Roman" w:hAnsi="Cambria" w:cs="Times New Roman"/>
        </w:rPr>
        <w:t xml:space="preserve">. Exact date </w:t>
      </w:r>
      <w:r w:rsidR="00254CAA" w:rsidRPr="008156EB">
        <w:rPr>
          <w:rFonts w:ascii="Cambria" w:eastAsia="Times New Roman" w:hAnsi="Cambria" w:cs="Times New Roman"/>
        </w:rPr>
        <w:t xml:space="preserve">and process </w:t>
      </w:r>
      <w:r w:rsidRPr="008156EB">
        <w:rPr>
          <w:rFonts w:ascii="Cambria" w:eastAsia="Times New Roman" w:hAnsi="Cambria" w:cs="Times New Roman"/>
        </w:rPr>
        <w:t xml:space="preserve">will be determined by CPUC direction and scope of remaining/additional issues with the </w:t>
      </w:r>
      <w:r w:rsidR="002A758F">
        <w:rPr>
          <w:rFonts w:ascii="Cambria" w:eastAsia="Times New Roman" w:hAnsi="Cambria" w:cs="Times New Roman"/>
        </w:rPr>
        <w:t>D</w:t>
      </w:r>
      <w:r w:rsidRPr="008156EB">
        <w:rPr>
          <w:rFonts w:ascii="Cambria" w:eastAsia="Times New Roman" w:hAnsi="Cambria" w:cs="Times New Roman"/>
        </w:rPr>
        <w:t xml:space="preserve">raft </w:t>
      </w:r>
      <w:r w:rsidR="002A758F">
        <w:rPr>
          <w:rFonts w:ascii="Cambria" w:eastAsia="Times New Roman" w:hAnsi="Cambria" w:cs="Times New Roman"/>
        </w:rPr>
        <w:t>F</w:t>
      </w:r>
      <w:r w:rsidRPr="008156EB">
        <w:rPr>
          <w:rFonts w:ascii="Cambria" w:eastAsia="Times New Roman" w:hAnsi="Cambria" w:cs="Times New Roman"/>
        </w:rPr>
        <w:t xml:space="preserve">inal </w:t>
      </w:r>
      <w:r w:rsidR="002A758F">
        <w:rPr>
          <w:rFonts w:ascii="Cambria" w:eastAsia="Times New Roman" w:hAnsi="Cambria" w:cs="Times New Roman"/>
        </w:rPr>
        <w:t>R</w:t>
      </w:r>
      <w:r w:rsidRPr="008156EB">
        <w:rPr>
          <w:rFonts w:ascii="Cambria" w:eastAsia="Times New Roman" w:hAnsi="Cambria" w:cs="Times New Roman"/>
        </w:rPr>
        <w:t>eport (if any)</w:t>
      </w:r>
      <w:r w:rsidR="003F00DB">
        <w:rPr>
          <w:rFonts w:ascii="Cambria" w:eastAsia="Times New Roman" w:hAnsi="Cambria" w:cs="Times New Roman"/>
        </w:rPr>
        <w:t>.</w:t>
      </w:r>
    </w:p>
    <w:p w14:paraId="163BE564" w14:textId="77777777" w:rsidR="00F83DC3" w:rsidRPr="008156EB" w:rsidRDefault="00F83DC3" w:rsidP="006A432A">
      <w:pPr>
        <w:jc w:val="center"/>
        <w:rPr>
          <w:rFonts w:ascii="Cambria" w:hAnsi="Cambria"/>
          <w:b/>
        </w:rPr>
      </w:pPr>
      <w:r w:rsidRPr="008156EB">
        <w:rPr>
          <w:rFonts w:ascii="Cambria" w:hAnsi="Cambria"/>
          <w:b/>
        </w:rPr>
        <w:br w:type="page"/>
      </w:r>
    </w:p>
    <w:p w14:paraId="1A335D15" w14:textId="5BB97F92" w:rsidR="00960A12" w:rsidRPr="008156EB" w:rsidRDefault="00960A12" w:rsidP="0010451A">
      <w:pPr>
        <w:rPr>
          <w:rFonts w:ascii="Cambria" w:hAnsi="Cambria" w:cs="Times New Roman (Body CS)"/>
          <w:smallCaps/>
          <w:sz w:val="26"/>
          <w:szCs w:val="26"/>
        </w:rPr>
      </w:pPr>
      <w:r w:rsidRPr="008156EB">
        <w:rPr>
          <w:rFonts w:ascii="Cambria" w:hAnsi="Cambria" w:cs="Times New Roman (Body CS)"/>
          <w:b/>
          <w:smallCaps/>
          <w:sz w:val="26"/>
          <w:szCs w:val="26"/>
        </w:rPr>
        <w:lastRenderedPageBreak/>
        <w:t xml:space="preserve">Appendix </w:t>
      </w:r>
      <w:r w:rsidR="0010451A" w:rsidRPr="008156EB">
        <w:rPr>
          <w:rFonts w:ascii="Cambria" w:hAnsi="Cambria" w:cs="Times New Roman (Body CS)"/>
          <w:b/>
          <w:smallCaps/>
          <w:sz w:val="26"/>
          <w:szCs w:val="26"/>
        </w:rPr>
        <w:t>A</w:t>
      </w:r>
      <w:r w:rsidRPr="008156EB">
        <w:rPr>
          <w:rFonts w:ascii="Cambria" w:hAnsi="Cambria" w:cs="Times New Roman (Body CS)"/>
          <w:b/>
          <w:smallCaps/>
          <w:sz w:val="26"/>
          <w:szCs w:val="26"/>
        </w:rPr>
        <w:t xml:space="preserve">: </w:t>
      </w:r>
      <w:r w:rsidR="0010451A" w:rsidRPr="008156EB">
        <w:rPr>
          <w:rFonts w:ascii="Cambria" w:hAnsi="Cambria" w:cs="Times New Roman (Body CS)"/>
          <w:b/>
          <w:smallCaps/>
          <w:sz w:val="26"/>
          <w:szCs w:val="26"/>
        </w:rPr>
        <w:t>Attendees</w:t>
      </w:r>
    </w:p>
    <w:p w14:paraId="7BC9627E" w14:textId="1623E537" w:rsidR="00960A12" w:rsidRPr="00B80047" w:rsidRDefault="00B80047" w:rsidP="00960A12">
      <w:pPr>
        <w:rPr>
          <w:i/>
        </w:rPr>
      </w:pPr>
      <w:r>
        <w:rPr>
          <w:rFonts w:ascii="Cambria" w:hAnsi="Cambria"/>
          <w:b/>
          <w:u w:val="single"/>
        </w:rPr>
        <w:br/>
      </w:r>
      <w:r w:rsidRPr="00BE2F6C">
        <w:rPr>
          <w:i/>
        </w:rPr>
        <w:t>Note: The list of attendees joining in</w:t>
      </w:r>
      <w:r>
        <w:rPr>
          <w:i/>
        </w:rPr>
        <w:t>-</w:t>
      </w:r>
      <w:r w:rsidRPr="00BE2F6C">
        <w:rPr>
          <w:i/>
        </w:rPr>
        <w:t>person reflect actual participation as captured via a sign in sheet circulated during the meeting</w:t>
      </w:r>
      <w:r>
        <w:rPr>
          <w:i/>
        </w:rPr>
        <w:t xml:space="preserve">. </w:t>
      </w:r>
      <w:r w:rsidRPr="00BE2F6C">
        <w:rPr>
          <w:i/>
        </w:rPr>
        <w:t>If individuals participated in the webinar but did</w:t>
      </w:r>
      <w:r>
        <w:rPr>
          <w:i/>
        </w:rPr>
        <w:t xml:space="preserve"> not</w:t>
      </w:r>
      <w:r w:rsidRPr="00BE2F6C">
        <w:rPr>
          <w:i/>
        </w:rPr>
        <w:t xml:space="preserve"> register, or registered but did</w:t>
      </w:r>
      <w:r w:rsidR="002A758F">
        <w:rPr>
          <w:i/>
        </w:rPr>
        <w:t xml:space="preserve"> </w:t>
      </w:r>
      <w:r w:rsidRPr="00BE2F6C">
        <w:rPr>
          <w:i/>
        </w:rPr>
        <w:t xml:space="preserve">participate in the webinar, these last-minute changes </w:t>
      </w:r>
      <w:r>
        <w:rPr>
          <w:i/>
        </w:rPr>
        <w:t>may</w:t>
      </w:r>
      <w:r w:rsidRPr="00BE2F6C">
        <w:rPr>
          <w:i/>
        </w:rPr>
        <w:t xml:space="preserve"> not</w:t>
      </w:r>
      <w:r>
        <w:rPr>
          <w:i/>
        </w:rPr>
        <w:t xml:space="preserve"> be</w:t>
      </w:r>
      <w:r w:rsidRPr="00BE2F6C">
        <w:rPr>
          <w:i/>
        </w:rPr>
        <w:t xml:space="preserve"> reflected here.</w:t>
      </w:r>
      <w:r>
        <w:rPr>
          <w:i/>
        </w:rPr>
        <w:t xml:space="preserve"> </w:t>
      </w:r>
      <w:r w:rsidRPr="0070158E">
        <w:rPr>
          <w:i/>
        </w:rPr>
        <w:t xml:space="preserve"> </w:t>
      </w:r>
      <w:r>
        <w:rPr>
          <w:rFonts w:ascii="Cambria" w:hAnsi="Cambria"/>
          <w:b/>
          <w:u w:val="single"/>
        </w:rPr>
        <w:br/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970"/>
        <w:gridCol w:w="1350"/>
        <w:gridCol w:w="2070"/>
        <w:gridCol w:w="1170"/>
        <w:gridCol w:w="1080"/>
      </w:tblGrid>
      <w:tr w:rsidR="00945222" w:rsidRPr="00945222" w14:paraId="55E6693B" w14:textId="77777777" w:rsidTr="00945222">
        <w:trPr>
          <w:trHeight w:val="300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0A1C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MT WG Members Attending in Person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CAB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5222" w:rsidRPr="00945222" w14:paraId="7078F612" w14:textId="77777777" w:rsidTr="00945222">
        <w:trPr>
          <w:trHeight w:val="3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FD05B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8F75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4CA78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85AF3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In-Person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5F1C5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Phone</w:t>
            </w:r>
          </w:p>
        </w:tc>
      </w:tr>
      <w:tr w:rsidR="00945222" w:rsidRPr="00945222" w14:paraId="292099E6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F2C5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4E8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63BB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7F7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A24F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21E08F63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E74B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CEDMC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00D1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Arthur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F9DC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Haubenstock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602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2296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46181EC1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99F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CEDMC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9C5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A784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Kinsey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1B2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557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45E45089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BC24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73C3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F30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Kotlier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E2C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BB89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3694E754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627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CLEAResult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997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5E7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Ihrig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AB1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285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037D68E3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414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CodeCycle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30BC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845F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Suyeyasu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5D0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C95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58D69E73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E4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County of LA/</w:t>
            </w: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SoCalREN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1985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Lujuana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EF4A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B9E9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2D3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084B5C56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8BA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526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C68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Gunther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113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5A7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2860C7E3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BA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EAA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Beckie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59E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Menten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623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7A62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945222" w:rsidRPr="00945222" w14:paraId="61215DF7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117B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Energy Solutions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5023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7E3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Barnacle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9A6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E209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438332CF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FBF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JCEEP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D54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AC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094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B5E0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73441735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04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NRDC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457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Merrian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A284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Borgeson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113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7B1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6339A975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382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NRDC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F938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D5E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Ettenson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3B17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FF6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117C15D3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C638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PG&amp;E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2E9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D49B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Scheer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D46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714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47C49463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748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Public Advocates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7E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135F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9CB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1E7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4EAEEC56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8004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Resource Innovations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26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Margie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FBCB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Gardner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FAC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D1A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36572DC3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7A6F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A9F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916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Feinberg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4A9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07B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5A26CA18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E14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BFBE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CAFF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4C7D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58F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09371D78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155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SDG&amp;E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11F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Athena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DA2A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Besa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841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E24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32EE32DA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358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SoCalGas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209C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CCB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D0E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B8DA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2A547793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CC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SoCalGas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5D7F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B2C4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D0C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61CB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2D423A65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F92E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Energy Coalition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4B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EAB8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9EC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A469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441243AE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FDE5" w14:textId="497E0914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Utility Reform N</w:t>
            </w:r>
            <w:r w:rsidR="000329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etwork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25CA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9EE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Goodson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73E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FD0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13D78094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513E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Yinsight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1A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0D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B8A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941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3AB5B812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58B3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A7F0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8504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DAB3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BC41" w14:textId="77777777" w:rsidR="00945222" w:rsidRPr="00945222" w:rsidRDefault="00945222" w:rsidP="00945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222" w:rsidRPr="00945222" w14:paraId="086FE778" w14:textId="77777777" w:rsidTr="00945222">
        <w:trPr>
          <w:trHeight w:val="300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55B1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MT Working Group Members Participating Remotely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484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5222" w:rsidRPr="00945222" w14:paraId="6EDAACEC" w14:textId="77777777" w:rsidTr="00945222">
        <w:trPr>
          <w:trHeight w:val="3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0F91C1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7649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9E524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88772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In-Person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0F382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Phone</w:t>
            </w:r>
          </w:p>
        </w:tc>
      </w:tr>
      <w:tr w:rsidR="00945222" w:rsidRPr="00945222" w14:paraId="4F39A3F5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CC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JCEEP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4B1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ED6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3A3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AA4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945222" w:rsidRPr="00945222" w14:paraId="0FDF3051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88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E4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B2A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Harris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FE8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6338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945222" w:rsidRPr="00945222" w14:paraId="1DCB0ACE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628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SBUA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1EE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A05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Birkelund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278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FC5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945222" w:rsidRPr="00945222" w14:paraId="6E1D73BF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4A3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0CF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7C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Horwitz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C5F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BC2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945222" w:rsidRPr="00945222" w14:paraId="78B83B20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5128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6597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27A6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7E451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EF89" w14:textId="77777777" w:rsidR="00945222" w:rsidRPr="00945222" w:rsidRDefault="00945222" w:rsidP="00945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222" w:rsidRPr="00945222" w14:paraId="66664428" w14:textId="77777777" w:rsidTr="00945222">
        <w:trPr>
          <w:trHeight w:val="300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2B1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CPUC Members Attending in Person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03EB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5222" w:rsidRPr="00945222" w14:paraId="745B6F89" w14:textId="77777777" w:rsidTr="00945222">
        <w:trPr>
          <w:trHeight w:val="3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1A10C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C467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9107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86929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In-Person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726E2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Phone</w:t>
            </w:r>
          </w:p>
        </w:tc>
      </w:tr>
      <w:tr w:rsidR="00945222" w:rsidRPr="00945222" w14:paraId="508265FC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C6E3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CPUC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F6DE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549F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DE1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8655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2BF682F2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5F1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CPUC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00CC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6D3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8BF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BDD0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391D66B8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421A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9E29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6603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2FC5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789F" w14:textId="77777777" w:rsidR="00945222" w:rsidRPr="00945222" w:rsidRDefault="00945222" w:rsidP="00945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222" w:rsidRPr="00945222" w14:paraId="19D0613C" w14:textId="77777777" w:rsidTr="00945222">
        <w:trPr>
          <w:trHeight w:val="300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7D75" w14:textId="439B91FC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Other Participant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/Stakeholders Attending in Person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B87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5222" w:rsidRPr="00945222" w14:paraId="575F8ABE" w14:textId="77777777" w:rsidTr="00945222">
        <w:trPr>
          <w:trHeight w:val="3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EF085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CE013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1B88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1F90D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In-Person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C3D10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Phone</w:t>
            </w:r>
          </w:p>
        </w:tc>
      </w:tr>
      <w:tr w:rsidR="00945222" w:rsidRPr="00945222" w14:paraId="7E9CFCA4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85A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CAEECC Facilitator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F6F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Ellen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1EE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Zuckerman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956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4C8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37164CBB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246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California Energy Commission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4562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Nicholas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AE0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Janusch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F0F8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320F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5C00FABB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6F55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211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3F7C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Samuelson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4E2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DF6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484EB419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525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Clean Power House, LLC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4C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EC6B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Wiltsee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D97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6F4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2443623F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B8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Enervee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4231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6D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Arquit</w:t>
            </w:r>
            <w:proofErr w:type="spellEnd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Niederberger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3C0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C53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542ED654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D96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Honeywell Smart Energy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78C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Mitchel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F6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Fearing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49E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D7D5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20F95954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271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Opinion Dynamics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5747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1EE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Campbell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7B6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2934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12C5CE03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B028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PG&amp;E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A15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98F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16E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23D2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72F3C18D" w14:textId="77777777" w:rsidTr="00945222">
        <w:trPr>
          <w:trHeight w:val="32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0EB3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Raab Associates, Ltd.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C6B4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E1AC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E1D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EDDA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5A6383DA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2AA6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Strategic Energy Innovations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CF7D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B630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017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78C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395DB42B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34E9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Weidt</w:t>
            </w:r>
            <w:proofErr w:type="spellEnd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Group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C01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88A4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Baker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32A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FF6D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5222" w:rsidRPr="00945222" w14:paraId="586856C8" w14:textId="77777777" w:rsidTr="00945222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989B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Tierra Resource Consultants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5AFC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Floyd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5DF" w14:textId="77777777" w:rsidR="00945222" w:rsidRPr="00945222" w:rsidRDefault="00945222" w:rsidP="00945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Keneipp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B10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07E" w14:textId="77777777" w:rsidR="00945222" w:rsidRPr="00945222" w:rsidRDefault="00945222" w:rsidP="00945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52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CFF18BD" w14:textId="400D75B7" w:rsidR="00340E7D" w:rsidRPr="008156EB" w:rsidRDefault="00340E7D" w:rsidP="00960A12">
      <w:pPr>
        <w:rPr>
          <w:rFonts w:ascii="Cambria" w:hAnsi="Cambria"/>
        </w:rPr>
      </w:pPr>
    </w:p>
    <w:p w14:paraId="4DCDDB3E" w14:textId="77777777" w:rsidR="00960A12" w:rsidRPr="008156EB" w:rsidRDefault="00960A12" w:rsidP="007502B4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6D60A712" w14:textId="77777777" w:rsidR="00140B6B" w:rsidRPr="008156EB" w:rsidRDefault="00140B6B" w:rsidP="00140B6B">
      <w:pPr>
        <w:rPr>
          <w:rFonts w:ascii="Cambria" w:hAnsi="Cambria"/>
          <w:sz w:val="22"/>
          <w:szCs w:val="22"/>
        </w:rPr>
      </w:pPr>
    </w:p>
    <w:p w14:paraId="2FF65DAB" w14:textId="77777777" w:rsidR="00997A3A" w:rsidRPr="008156EB" w:rsidRDefault="00997A3A">
      <w:pPr>
        <w:rPr>
          <w:rFonts w:ascii="Cambria" w:hAnsi="Cambria"/>
          <w:sz w:val="22"/>
          <w:szCs w:val="22"/>
        </w:rPr>
      </w:pPr>
    </w:p>
    <w:p w14:paraId="197433FA" w14:textId="77777777" w:rsidR="003E7945" w:rsidRPr="008156EB" w:rsidRDefault="003E7945">
      <w:pPr>
        <w:rPr>
          <w:rFonts w:ascii="Cambria" w:hAnsi="Cambria"/>
          <w:b/>
        </w:rPr>
      </w:pPr>
    </w:p>
    <w:p w14:paraId="19FAC2E8" w14:textId="77777777" w:rsidR="00B85A68" w:rsidRPr="008156EB" w:rsidRDefault="00B85A68" w:rsidP="001B7B32">
      <w:pPr>
        <w:rPr>
          <w:rFonts w:ascii="Cambria" w:hAnsi="Cambria"/>
          <w:b/>
        </w:rPr>
      </w:pPr>
    </w:p>
    <w:sectPr w:rsidR="00B85A68" w:rsidRPr="008156EB" w:rsidSect="00543811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1C81" w14:textId="77777777" w:rsidR="005A5CD6" w:rsidRDefault="005A5CD6" w:rsidP="00BC09F7">
      <w:r>
        <w:separator/>
      </w:r>
    </w:p>
  </w:endnote>
  <w:endnote w:type="continuationSeparator" w:id="0">
    <w:p w14:paraId="29E8A4AE" w14:textId="77777777" w:rsidR="005A5CD6" w:rsidRDefault="005A5CD6" w:rsidP="00BC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FD56" w14:textId="77777777" w:rsidR="00334308" w:rsidRDefault="00334308" w:rsidP="00BC0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38B41" w14:textId="77777777" w:rsidR="00334308" w:rsidRDefault="00334308" w:rsidP="00BC0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5F81" w14:textId="77777777" w:rsidR="00334308" w:rsidRDefault="00334308" w:rsidP="00BC0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6F06B96B" w14:textId="77777777" w:rsidR="00334308" w:rsidRDefault="00334308" w:rsidP="00BC0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3213" w14:textId="77777777" w:rsidR="005A5CD6" w:rsidRDefault="005A5CD6" w:rsidP="00BC09F7">
      <w:r>
        <w:separator/>
      </w:r>
    </w:p>
  </w:footnote>
  <w:footnote w:type="continuationSeparator" w:id="0">
    <w:p w14:paraId="09466024" w14:textId="77777777" w:rsidR="005A5CD6" w:rsidRDefault="005A5CD6" w:rsidP="00BC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969"/>
    <w:multiLevelType w:val="hybridMultilevel"/>
    <w:tmpl w:val="9526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1E99"/>
    <w:multiLevelType w:val="hybridMultilevel"/>
    <w:tmpl w:val="4C66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B3079"/>
    <w:multiLevelType w:val="hybridMultilevel"/>
    <w:tmpl w:val="9274F000"/>
    <w:lvl w:ilvl="0" w:tplc="04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7739B"/>
    <w:multiLevelType w:val="hybridMultilevel"/>
    <w:tmpl w:val="B5B6B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D2ABC"/>
    <w:multiLevelType w:val="hybridMultilevel"/>
    <w:tmpl w:val="5E8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3CFE"/>
    <w:multiLevelType w:val="hybridMultilevel"/>
    <w:tmpl w:val="4180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4CA"/>
    <w:multiLevelType w:val="hybridMultilevel"/>
    <w:tmpl w:val="DACE8B92"/>
    <w:lvl w:ilvl="0" w:tplc="F6A82A4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7E63"/>
    <w:multiLevelType w:val="hybridMultilevel"/>
    <w:tmpl w:val="02F0005A"/>
    <w:lvl w:ilvl="0" w:tplc="F6A82A4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02B5"/>
    <w:multiLevelType w:val="hybridMultilevel"/>
    <w:tmpl w:val="B4EA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77ABF"/>
    <w:multiLevelType w:val="hybridMultilevel"/>
    <w:tmpl w:val="E1C27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85CAD"/>
    <w:multiLevelType w:val="hybridMultilevel"/>
    <w:tmpl w:val="6BB67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B062E"/>
    <w:multiLevelType w:val="hybridMultilevel"/>
    <w:tmpl w:val="9BC45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330B"/>
    <w:multiLevelType w:val="hybridMultilevel"/>
    <w:tmpl w:val="17AE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E4F64"/>
    <w:multiLevelType w:val="hybridMultilevel"/>
    <w:tmpl w:val="DE78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87959"/>
    <w:multiLevelType w:val="hybridMultilevel"/>
    <w:tmpl w:val="486A96C6"/>
    <w:lvl w:ilvl="0" w:tplc="B2ACF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9085D"/>
    <w:multiLevelType w:val="hybridMultilevel"/>
    <w:tmpl w:val="E4F8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D75A9"/>
    <w:multiLevelType w:val="hybridMultilevel"/>
    <w:tmpl w:val="EB7A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C7CD9"/>
    <w:multiLevelType w:val="hybridMultilevel"/>
    <w:tmpl w:val="C72C5FB8"/>
    <w:lvl w:ilvl="0" w:tplc="F6A82A4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B6E51"/>
    <w:multiLevelType w:val="hybridMultilevel"/>
    <w:tmpl w:val="EE3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6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18"/>
  </w:num>
  <w:num w:numId="14">
    <w:abstractNumId w:val="13"/>
  </w:num>
  <w:num w:numId="15">
    <w:abstractNumId w:val="11"/>
  </w:num>
  <w:num w:numId="16">
    <w:abstractNumId w:val="14"/>
  </w:num>
  <w:num w:numId="17">
    <w:abstractNumId w:val="12"/>
  </w:num>
  <w:num w:numId="18">
    <w:abstractNumId w:val="0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F6"/>
    <w:rsid w:val="00001900"/>
    <w:rsid w:val="00007AEE"/>
    <w:rsid w:val="000123CC"/>
    <w:rsid w:val="000322BF"/>
    <w:rsid w:val="0003299E"/>
    <w:rsid w:val="00035635"/>
    <w:rsid w:val="000378D9"/>
    <w:rsid w:val="00040B5F"/>
    <w:rsid w:val="00042D9C"/>
    <w:rsid w:val="00043168"/>
    <w:rsid w:val="00043225"/>
    <w:rsid w:val="000438EC"/>
    <w:rsid w:val="00053088"/>
    <w:rsid w:val="000557D6"/>
    <w:rsid w:val="0006233D"/>
    <w:rsid w:val="00063950"/>
    <w:rsid w:val="00066329"/>
    <w:rsid w:val="000729A8"/>
    <w:rsid w:val="00075577"/>
    <w:rsid w:val="00077348"/>
    <w:rsid w:val="000826B9"/>
    <w:rsid w:val="000836E3"/>
    <w:rsid w:val="000862B5"/>
    <w:rsid w:val="0008638B"/>
    <w:rsid w:val="000907BA"/>
    <w:rsid w:val="00094ADF"/>
    <w:rsid w:val="00094E34"/>
    <w:rsid w:val="00095089"/>
    <w:rsid w:val="00097C56"/>
    <w:rsid w:val="000A039B"/>
    <w:rsid w:val="000A0AB5"/>
    <w:rsid w:val="000A1D92"/>
    <w:rsid w:val="000A2433"/>
    <w:rsid w:val="000A55A6"/>
    <w:rsid w:val="000A6BC6"/>
    <w:rsid w:val="000B4D89"/>
    <w:rsid w:val="000B6050"/>
    <w:rsid w:val="000C1EFF"/>
    <w:rsid w:val="000C3E54"/>
    <w:rsid w:val="000C73D6"/>
    <w:rsid w:val="000D0F11"/>
    <w:rsid w:val="000D607C"/>
    <w:rsid w:val="000E6302"/>
    <w:rsid w:val="000E7BEC"/>
    <w:rsid w:val="000F433C"/>
    <w:rsid w:val="000F5B8E"/>
    <w:rsid w:val="00102C6D"/>
    <w:rsid w:val="0010451A"/>
    <w:rsid w:val="00120D03"/>
    <w:rsid w:val="001265E2"/>
    <w:rsid w:val="0012788B"/>
    <w:rsid w:val="0013023E"/>
    <w:rsid w:val="00140B6B"/>
    <w:rsid w:val="0014468D"/>
    <w:rsid w:val="00147A68"/>
    <w:rsid w:val="00154C44"/>
    <w:rsid w:val="001579A6"/>
    <w:rsid w:val="00157D98"/>
    <w:rsid w:val="00157DB0"/>
    <w:rsid w:val="00166EE3"/>
    <w:rsid w:val="00180680"/>
    <w:rsid w:val="0018115E"/>
    <w:rsid w:val="0018228D"/>
    <w:rsid w:val="0018564B"/>
    <w:rsid w:val="0018585A"/>
    <w:rsid w:val="00190AE0"/>
    <w:rsid w:val="001929B8"/>
    <w:rsid w:val="00194142"/>
    <w:rsid w:val="00196D99"/>
    <w:rsid w:val="001A0896"/>
    <w:rsid w:val="001A38B5"/>
    <w:rsid w:val="001A3AC0"/>
    <w:rsid w:val="001B4824"/>
    <w:rsid w:val="001B7B32"/>
    <w:rsid w:val="001C01D5"/>
    <w:rsid w:val="001D0B4D"/>
    <w:rsid w:val="001E4FCB"/>
    <w:rsid w:val="001E6A40"/>
    <w:rsid w:val="001E6A41"/>
    <w:rsid w:val="001E6B68"/>
    <w:rsid w:val="001F0783"/>
    <w:rsid w:val="001F3FD8"/>
    <w:rsid w:val="00201FE6"/>
    <w:rsid w:val="00201FEB"/>
    <w:rsid w:val="00202B38"/>
    <w:rsid w:val="0020475A"/>
    <w:rsid w:val="002065FE"/>
    <w:rsid w:val="00206736"/>
    <w:rsid w:val="00206CDB"/>
    <w:rsid w:val="00212171"/>
    <w:rsid w:val="00212B90"/>
    <w:rsid w:val="0023005B"/>
    <w:rsid w:val="00240B21"/>
    <w:rsid w:val="0024180D"/>
    <w:rsid w:val="00242D7B"/>
    <w:rsid w:val="00243D3F"/>
    <w:rsid w:val="00254A3C"/>
    <w:rsid w:val="00254CAA"/>
    <w:rsid w:val="00264517"/>
    <w:rsid w:val="002652BE"/>
    <w:rsid w:val="002672EF"/>
    <w:rsid w:val="00274758"/>
    <w:rsid w:val="00277B7E"/>
    <w:rsid w:val="00282A25"/>
    <w:rsid w:val="0028445F"/>
    <w:rsid w:val="00292052"/>
    <w:rsid w:val="00293B42"/>
    <w:rsid w:val="002A3A5E"/>
    <w:rsid w:val="002A758F"/>
    <w:rsid w:val="002B7BF7"/>
    <w:rsid w:val="002C1802"/>
    <w:rsid w:val="002C2AC0"/>
    <w:rsid w:val="002C6568"/>
    <w:rsid w:val="002D26C3"/>
    <w:rsid w:val="002D4E1B"/>
    <w:rsid w:val="002E1D5B"/>
    <w:rsid w:val="002E214E"/>
    <w:rsid w:val="002E35BC"/>
    <w:rsid w:val="002E41D8"/>
    <w:rsid w:val="00314E35"/>
    <w:rsid w:val="003155C2"/>
    <w:rsid w:val="003157B2"/>
    <w:rsid w:val="0032064F"/>
    <w:rsid w:val="00321686"/>
    <w:rsid w:val="00332716"/>
    <w:rsid w:val="00334308"/>
    <w:rsid w:val="00335BF3"/>
    <w:rsid w:val="00340E7D"/>
    <w:rsid w:val="0034305C"/>
    <w:rsid w:val="00344C26"/>
    <w:rsid w:val="0034617D"/>
    <w:rsid w:val="00362041"/>
    <w:rsid w:val="003622F5"/>
    <w:rsid w:val="003705F6"/>
    <w:rsid w:val="00382199"/>
    <w:rsid w:val="00383ADD"/>
    <w:rsid w:val="00383DC2"/>
    <w:rsid w:val="003900BE"/>
    <w:rsid w:val="003919D2"/>
    <w:rsid w:val="003928B8"/>
    <w:rsid w:val="00393257"/>
    <w:rsid w:val="003A17DF"/>
    <w:rsid w:val="003C698F"/>
    <w:rsid w:val="003E7945"/>
    <w:rsid w:val="003F00DB"/>
    <w:rsid w:val="003F2419"/>
    <w:rsid w:val="003F684F"/>
    <w:rsid w:val="003F703E"/>
    <w:rsid w:val="00406210"/>
    <w:rsid w:val="0040717C"/>
    <w:rsid w:val="004072A6"/>
    <w:rsid w:val="00407991"/>
    <w:rsid w:val="0041000E"/>
    <w:rsid w:val="00412CF7"/>
    <w:rsid w:val="00421218"/>
    <w:rsid w:val="0042318F"/>
    <w:rsid w:val="004501A8"/>
    <w:rsid w:val="00452BF4"/>
    <w:rsid w:val="00455EC0"/>
    <w:rsid w:val="004562AC"/>
    <w:rsid w:val="00457A39"/>
    <w:rsid w:val="00457F1A"/>
    <w:rsid w:val="00465D06"/>
    <w:rsid w:val="00466913"/>
    <w:rsid w:val="00472F24"/>
    <w:rsid w:val="00476D44"/>
    <w:rsid w:val="00477D2A"/>
    <w:rsid w:val="004855E3"/>
    <w:rsid w:val="00485CEE"/>
    <w:rsid w:val="004866E9"/>
    <w:rsid w:val="00496488"/>
    <w:rsid w:val="004A348C"/>
    <w:rsid w:val="004A40E6"/>
    <w:rsid w:val="004A6256"/>
    <w:rsid w:val="004C5759"/>
    <w:rsid w:val="004C6EAE"/>
    <w:rsid w:val="004E088E"/>
    <w:rsid w:val="004E4E1D"/>
    <w:rsid w:val="004F14C2"/>
    <w:rsid w:val="005011B0"/>
    <w:rsid w:val="00505491"/>
    <w:rsid w:val="00512E0C"/>
    <w:rsid w:val="0051311B"/>
    <w:rsid w:val="00516DAE"/>
    <w:rsid w:val="005209D0"/>
    <w:rsid w:val="00526EFE"/>
    <w:rsid w:val="00527A7E"/>
    <w:rsid w:val="005319FC"/>
    <w:rsid w:val="00535ADD"/>
    <w:rsid w:val="00540276"/>
    <w:rsid w:val="00543811"/>
    <w:rsid w:val="00545586"/>
    <w:rsid w:val="00554C01"/>
    <w:rsid w:val="00564E36"/>
    <w:rsid w:val="00572DB1"/>
    <w:rsid w:val="005770AC"/>
    <w:rsid w:val="00577790"/>
    <w:rsid w:val="00577838"/>
    <w:rsid w:val="005778CA"/>
    <w:rsid w:val="005914F0"/>
    <w:rsid w:val="0059212C"/>
    <w:rsid w:val="00594D65"/>
    <w:rsid w:val="005A2847"/>
    <w:rsid w:val="005A5CD6"/>
    <w:rsid w:val="005B6F7C"/>
    <w:rsid w:val="005C0996"/>
    <w:rsid w:val="005C3B56"/>
    <w:rsid w:val="005C549E"/>
    <w:rsid w:val="005C7395"/>
    <w:rsid w:val="005D133C"/>
    <w:rsid w:val="005E0BDC"/>
    <w:rsid w:val="005E0F27"/>
    <w:rsid w:val="005E3182"/>
    <w:rsid w:val="005E372A"/>
    <w:rsid w:val="005F10D6"/>
    <w:rsid w:val="005F79FD"/>
    <w:rsid w:val="0060497D"/>
    <w:rsid w:val="006061B3"/>
    <w:rsid w:val="0060721F"/>
    <w:rsid w:val="0061544D"/>
    <w:rsid w:val="00641B6E"/>
    <w:rsid w:val="00644468"/>
    <w:rsid w:val="0064716B"/>
    <w:rsid w:val="006473ED"/>
    <w:rsid w:val="00653866"/>
    <w:rsid w:val="006672C9"/>
    <w:rsid w:val="00673AFF"/>
    <w:rsid w:val="006820CE"/>
    <w:rsid w:val="00694846"/>
    <w:rsid w:val="00694DEB"/>
    <w:rsid w:val="00697AB6"/>
    <w:rsid w:val="00697D11"/>
    <w:rsid w:val="006A0820"/>
    <w:rsid w:val="006A432A"/>
    <w:rsid w:val="006A6A92"/>
    <w:rsid w:val="006A76DB"/>
    <w:rsid w:val="006B1F08"/>
    <w:rsid w:val="006C2E44"/>
    <w:rsid w:val="006C4404"/>
    <w:rsid w:val="006C4674"/>
    <w:rsid w:val="006D53D6"/>
    <w:rsid w:val="006E4B35"/>
    <w:rsid w:val="006E538C"/>
    <w:rsid w:val="006F23F9"/>
    <w:rsid w:val="00700C3E"/>
    <w:rsid w:val="007116B4"/>
    <w:rsid w:val="00712E74"/>
    <w:rsid w:val="007202FD"/>
    <w:rsid w:val="00724042"/>
    <w:rsid w:val="00724721"/>
    <w:rsid w:val="007342FF"/>
    <w:rsid w:val="007410F9"/>
    <w:rsid w:val="00741889"/>
    <w:rsid w:val="00743E78"/>
    <w:rsid w:val="0074720A"/>
    <w:rsid w:val="007502B4"/>
    <w:rsid w:val="00751A31"/>
    <w:rsid w:val="0075219E"/>
    <w:rsid w:val="00756C57"/>
    <w:rsid w:val="00757743"/>
    <w:rsid w:val="00763F32"/>
    <w:rsid w:val="00770D94"/>
    <w:rsid w:val="00775A4E"/>
    <w:rsid w:val="00777058"/>
    <w:rsid w:val="00782E4D"/>
    <w:rsid w:val="00783160"/>
    <w:rsid w:val="00786F82"/>
    <w:rsid w:val="00792943"/>
    <w:rsid w:val="00793F2F"/>
    <w:rsid w:val="00794A0E"/>
    <w:rsid w:val="0079588B"/>
    <w:rsid w:val="00795D93"/>
    <w:rsid w:val="007A0354"/>
    <w:rsid w:val="007A0EB8"/>
    <w:rsid w:val="007A2F59"/>
    <w:rsid w:val="007A5403"/>
    <w:rsid w:val="007B3C9D"/>
    <w:rsid w:val="007B43AA"/>
    <w:rsid w:val="007B6231"/>
    <w:rsid w:val="007B6F0B"/>
    <w:rsid w:val="007C0D37"/>
    <w:rsid w:val="007C3C83"/>
    <w:rsid w:val="007C5E8E"/>
    <w:rsid w:val="007C7E2C"/>
    <w:rsid w:val="007D1DC9"/>
    <w:rsid w:val="007D34F7"/>
    <w:rsid w:val="007E01EE"/>
    <w:rsid w:val="007E5D6E"/>
    <w:rsid w:val="007F2D7C"/>
    <w:rsid w:val="007F55F8"/>
    <w:rsid w:val="0080391A"/>
    <w:rsid w:val="00806108"/>
    <w:rsid w:val="008063B1"/>
    <w:rsid w:val="00814760"/>
    <w:rsid w:val="008156EB"/>
    <w:rsid w:val="00821256"/>
    <w:rsid w:val="008230DC"/>
    <w:rsid w:val="008231F3"/>
    <w:rsid w:val="008338CD"/>
    <w:rsid w:val="00834518"/>
    <w:rsid w:val="008379BA"/>
    <w:rsid w:val="00843188"/>
    <w:rsid w:val="00866E95"/>
    <w:rsid w:val="00871D6C"/>
    <w:rsid w:val="0087493A"/>
    <w:rsid w:val="00880089"/>
    <w:rsid w:val="00881765"/>
    <w:rsid w:val="0088321E"/>
    <w:rsid w:val="00885CAC"/>
    <w:rsid w:val="00892683"/>
    <w:rsid w:val="00893EC1"/>
    <w:rsid w:val="00895D9E"/>
    <w:rsid w:val="008A1A30"/>
    <w:rsid w:val="008A7416"/>
    <w:rsid w:val="008A7692"/>
    <w:rsid w:val="008B1066"/>
    <w:rsid w:val="008B19B7"/>
    <w:rsid w:val="008C2ACB"/>
    <w:rsid w:val="008C7824"/>
    <w:rsid w:val="008D55BE"/>
    <w:rsid w:val="008E5F0B"/>
    <w:rsid w:val="008F6F3D"/>
    <w:rsid w:val="008F70B9"/>
    <w:rsid w:val="00910E1D"/>
    <w:rsid w:val="009141F0"/>
    <w:rsid w:val="00922B62"/>
    <w:rsid w:val="00924177"/>
    <w:rsid w:val="009333AE"/>
    <w:rsid w:val="00934FB6"/>
    <w:rsid w:val="00935DF5"/>
    <w:rsid w:val="009360E6"/>
    <w:rsid w:val="0094050A"/>
    <w:rsid w:val="0094301B"/>
    <w:rsid w:val="00945222"/>
    <w:rsid w:val="00951D56"/>
    <w:rsid w:val="00956FFF"/>
    <w:rsid w:val="00960A12"/>
    <w:rsid w:val="00972F0C"/>
    <w:rsid w:val="009745C0"/>
    <w:rsid w:val="00974C7E"/>
    <w:rsid w:val="0097578D"/>
    <w:rsid w:val="00990053"/>
    <w:rsid w:val="00990CB2"/>
    <w:rsid w:val="009948E6"/>
    <w:rsid w:val="009967DB"/>
    <w:rsid w:val="00997A3A"/>
    <w:rsid w:val="009A533C"/>
    <w:rsid w:val="009B1455"/>
    <w:rsid w:val="009B42CF"/>
    <w:rsid w:val="009E463C"/>
    <w:rsid w:val="009E6371"/>
    <w:rsid w:val="009E7FD0"/>
    <w:rsid w:val="00A03FB6"/>
    <w:rsid w:val="00A066AD"/>
    <w:rsid w:val="00A123AB"/>
    <w:rsid w:val="00A158FB"/>
    <w:rsid w:val="00A2070E"/>
    <w:rsid w:val="00A30238"/>
    <w:rsid w:val="00A3794A"/>
    <w:rsid w:val="00A40D2E"/>
    <w:rsid w:val="00A41A30"/>
    <w:rsid w:val="00A43B3A"/>
    <w:rsid w:val="00A45BED"/>
    <w:rsid w:val="00A46660"/>
    <w:rsid w:val="00A46E53"/>
    <w:rsid w:val="00A51268"/>
    <w:rsid w:val="00A54D05"/>
    <w:rsid w:val="00A56126"/>
    <w:rsid w:val="00A610ED"/>
    <w:rsid w:val="00A73E4F"/>
    <w:rsid w:val="00A7660A"/>
    <w:rsid w:val="00A7763A"/>
    <w:rsid w:val="00A87E29"/>
    <w:rsid w:val="00A93FA9"/>
    <w:rsid w:val="00AA2130"/>
    <w:rsid w:val="00AA248D"/>
    <w:rsid w:val="00AA5561"/>
    <w:rsid w:val="00AA5F2F"/>
    <w:rsid w:val="00AA7538"/>
    <w:rsid w:val="00AB0871"/>
    <w:rsid w:val="00AB2634"/>
    <w:rsid w:val="00AB43FB"/>
    <w:rsid w:val="00AB612B"/>
    <w:rsid w:val="00AB691F"/>
    <w:rsid w:val="00AC09C3"/>
    <w:rsid w:val="00AC0F4A"/>
    <w:rsid w:val="00AC2FE5"/>
    <w:rsid w:val="00AC4961"/>
    <w:rsid w:val="00AC7BCF"/>
    <w:rsid w:val="00AD7B5D"/>
    <w:rsid w:val="00AF1D5B"/>
    <w:rsid w:val="00AF3F10"/>
    <w:rsid w:val="00AF423F"/>
    <w:rsid w:val="00B11288"/>
    <w:rsid w:val="00B1613E"/>
    <w:rsid w:val="00B168C9"/>
    <w:rsid w:val="00B20B86"/>
    <w:rsid w:val="00B30D25"/>
    <w:rsid w:val="00B3434F"/>
    <w:rsid w:val="00B40646"/>
    <w:rsid w:val="00B42444"/>
    <w:rsid w:val="00B447A2"/>
    <w:rsid w:val="00B5443C"/>
    <w:rsid w:val="00B55D64"/>
    <w:rsid w:val="00B6168F"/>
    <w:rsid w:val="00B62943"/>
    <w:rsid w:val="00B631B8"/>
    <w:rsid w:val="00B74090"/>
    <w:rsid w:val="00B758A9"/>
    <w:rsid w:val="00B77759"/>
    <w:rsid w:val="00B80047"/>
    <w:rsid w:val="00B85A68"/>
    <w:rsid w:val="00B878CC"/>
    <w:rsid w:val="00BA1798"/>
    <w:rsid w:val="00BA24E2"/>
    <w:rsid w:val="00BA54E0"/>
    <w:rsid w:val="00BC09F7"/>
    <w:rsid w:val="00BC53D7"/>
    <w:rsid w:val="00BD380F"/>
    <w:rsid w:val="00BE78A3"/>
    <w:rsid w:val="00BF1F29"/>
    <w:rsid w:val="00BF30D4"/>
    <w:rsid w:val="00C01141"/>
    <w:rsid w:val="00C02A49"/>
    <w:rsid w:val="00C06133"/>
    <w:rsid w:val="00C17BFF"/>
    <w:rsid w:val="00C201A3"/>
    <w:rsid w:val="00C24426"/>
    <w:rsid w:val="00C33D76"/>
    <w:rsid w:val="00C710C9"/>
    <w:rsid w:val="00C81D26"/>
    <w:rsid w:val="00C91C47"/>
    <w:rsid w:val="00C92EF5"/>
    <w:rsid w:val="00C92FC9"/>
    <w:rsid w:val="00CA5C1C"/>
    <w:rsid w:val="00CB4623"/>
    <w:rsid w:val="00CB6DA1"/>
    <w:rsid w:val="00CD09CB"/>
    <w:rsid w:val="00CE21FA"/>
    <w:rsid w:val="00CE38AA"/>
    <w:rsid w:val="00CE59A3"/>
    <w:rsid w:val="00CE6EBA"/>
    <w:rsid w:val="00CF013C"/>
    <w:rsid w:val="00CF1796"/>
    <w:rsid w:val="00D07EB9"/>
    <w:rsid w:val="00D12DA9"/>
    <w:rsid w:val="00D17857"/>
    <w:rsid w:val="00D17869"/>
    <w:rsid w:val="00D2051A"/>
    <w:rsid w:val="00D25590"/>
    <w:rsid w:val="00D27294"/>
    <w:rsid w:val="00D27785"/>
    <w:rsid w:val="00D34466"/>
    <w:rsid w:val="00D42212"/>
    <w:rsid w:val="00D429B3"/>
    <w:rsid w:val="00D430F5"/>
    <w:rsid w:val="00D452E9"/>
    <w:rsid w:val="00D4661B"/>
    <w:rsid w:val="00D46E88"/>
    <w:rsid w:val="00D53E50"/>
    <w:rsid w:val="00D552FF"/>
    <w:rsid w:val="00D64C93"/>
    <w:rsid w:val="00D73550"/>
    <w:rsid w:val="00D7622F"/>
    <w:rsid w:val="00D76C19"/>
    <w:rsid w:val="00D823B9"/>
    <w:rsid w:val="00D85560"/>
    <w:rsid w:val="00D87152"/>
    <w:rsid w:val="00D92CA8"/>
    <w:rsid w:val="00D96122"/>
    <w:rsid w:val="00DA17F6"/>
    <w:rsid w:val="00DA7352"/>
    <w:rsid w:val="00DB2FCF"/>
    <w:rsid w:val="00DB38C3"/>
    <w:rsid w:val="00DB5588"/>
    <w:rsid w:val="00DC1E90"/>
    <w:rsid w:val="00DC2854"/>
    <w:rsid w:val="00DC28ED"/>
    <w:rsid w:val="00DD61F3"/>
    <w:rsid w:val="00DE34E4"/>
    <w:rsid w:val="00DF5817"/>
    <w:rsid w:val="00DF7571"/>
    <w:rsid w:val="00E0013D"/>
    <w:rsid w:val="00E03597"/>
    <w:rsid w:val="00E04566"/>
    <w:rsid w:val="00E04A1C"/>
    <w:rsid w:val="00E12D3D"/>
    <w:rsid w:val="00E15BDD"/>
    <w:rsid w:val="00E24E87"/>
    <w:rsid w:val="00E31708"/>
    <w:rsid w:val="00E33962"/>
    <w:rsid w:val="00E34A03"/>
    <w:rsid w:val="00E41DEF"/>
    <w:rsid w:val="00E45A7D"/>
    <w:rsid w:val="00E46392"/>
    <w:rsid w:val="00E5429B"/>
    <w:rsid w:val="00E5437F"/>
    <w:rsid w:val="00E57683"/>
    <w:rsid w:val="00E57CFF"/>
    <w:rsid w:val="00E63801"/>
    <w:rsid w:val="00E829E9"/>
    <w:rsid w:val="00E84FF8"/>
    <w:rsid w:val="00E878DE"/>
    <w:rsid w:val="00E92A7D"/>
    <w:rsid w:val="00EA1126"/>
    <w:rsid w:val="00EA3262"/>
    <w:rsid w:val="00EA4138"/>
    <w:rsid w:val="00EA7075"/>
    <w:rsid w:val="00EA7725"/>
    <w:rsid w:val="00EC2CEA"/>
    <w:rsid w:val="00ED42A9"/>
    <w:rsid w:val="00ED5A47"/>
    <w:rsid w:val="00ED689E"/>
    <w:rsid w:val="00ED6E55"/>
    <w:rsid w:val="00EF2088"/>
    <w:rsid w:val="00EF3A75"/>
    <w:rsid w:val="00EF3E46"/>
    <w:rsid w:val="00EF5304"/>
    <w:rsid w:val="00EF73B3"/>
    <w:rsid w:val="00EF7685"/>
    <w:rsid w:val="00EF7FDE"/>
    <w:rsid w:val="00F02DF6"/>
    <w:rsid w:val="00F03429"/>
    <w:rsid w:val="00F03E46"/>
    <w:rsid w:val="00F05C59"/>
    <w:rsid w:val="00F10337"/>
    <w:rsid w:val="00F123E0"/>
    <w:rsid w:val="00F137B7"/>
    <w:rsid w:val="00F144A5"/>
    <w:rsid w:val="00F207DF"/>
    <w:rsid w:val="00F21EAA"/>
    <w:rsid w:val="00F22EA7"/>
    <w:rsid w:val="00F31C26"/>
    <w:rsid w:val="00F34C1D"/>
    <w:rsid w:val="00F45641"/>
    <w:rsid w:val="00F5130F"/>
    <w:rsid w:val="00F54D48"/>
    <w:rsid w:val="00F54F79"/>
    <w:rsid w:val="00F64D1F"/>
    <w:rsid w:val="00F70A97"/>
    <w:rsid w:val="00F77C1B"/>
    <w:rsid w:val="00F811F3"/>
    <w:rsid w:val="00F83DC3"/>
    <w:rsid w:val="00F84F85"/>
    <w:rsid w:val="00F856CD"/>
    <w:rsid w:val="00F95B8F"/>
    <w:rsid w:val="00FA6553"/>
    <w:rsid w:val="00FB1D84"/>
    <w:rsid w:val="00FC136F"/>
    <w:rsid w:val="00FC546F"/>
    <w:rsid w:val="00FD7A2B"/>
    <w:rsid w:val="00FE3B1D"/>
    <w:rsid w:val="00FE559E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635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5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5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5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F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09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9F7"/>
  </w:style>
  <w:style w:type="character" w:styleId="PageNumber">
    <w:name w:val="page number"/>
    <w:basedOn w:val="DefaultParagraphFont"/>
    <w:uiPriority w:val="99"/>
    <w:semiHidden/>
    <w:unhideWhenUsed/>
    <w:rsid w:val="00BC09F7"/>
  </w:style>
  <w:style w:type="paragraph" w:styleId="Header">
    <w:name w:val="header"/>
    <w:basedOn w:val="Normal"/>
    <w:link w:val="HeaderChar"/>
    <w:uiPriority w:val="99"/>
    <w:unhideWhenUsed/>
    <w:rsid w:val="00AB26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634"/>
  </w:style>
  <w:style w:type="character" w:styleId="Hyperlink">
    <w:name w:val="Hyperlink"/>
    <w:basedOn w:val="DefaultParagraphFont"/>
    <w:uiPriority w:val="99"/>
    <w:unhideWhenUsed/>
    <w:rsid w:val="00AB2634"/>
    <w:rPr>
      <w:color w:val="0000FF"/>
      <w:u w:val="single"/>
    </w:rPr>
  </w:style>
  <w:style w:type="paragraph" w:customStyle="1" w:styleId="NoteLevel11">
    <w:name w:val="Note Level 11"/>
    <w:basedOn w:val="Normal"/>
    <w:uiPriority w:val="99"/>
    <w:unhideWhenUsed/>
    <w:rsid w:val="00AB2634"/>
    <w:pPr>
      <w:keepNext/>
      <w:tabs>
        <w:tab w:val="num" w:pos="0"/>
      </w:tabs>
      <w:contextualSpacing/>
      <w:outlineLvl w:val="0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7418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5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19FC"/>
  </w:style>
  <w:style w:type="character" w:styleId="UnresolvedMention">
    <w:name w:val="Unresolved Mention"/>
    <w:basedOn w:val="DefaultParagraphFont"/>
    <w:uiPriority w:val="99"/>
    <w:semiHidden/>
    <w:unhideWhenUsed/>
    <w:rsid w:val="00E6380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A51268"/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1268"/>
    <w:rPr>
      <w:rFonts w:eastAsia="Times New Roman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51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eecc.org/2-27-19-wg-mtg-market-transformat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DF70E1-7CA4-004F-AA84-69243B07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2019-01-17T07:42:00Z</cp:lastPrinted>
  <dcterms:created xsi:type="dcterms:W3CDTF">2019-03-25T22:52:00Z</dcterms:created>
  <dcterms:modified xsi:type="dcterms:W3CDTF">2019-03-25T22:52:00Z</dcterms:modified>
</cp:coreProperties>
</file>