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FF85" w14:textId="77777777" w:rsidR="00857924" w:rsidRDefault="0093551E">
      <w:pPr>
        <w:spacing w:before="180"/>
        <w:ind w:left="1118" w:right="1338"/>
        <w:jc w:val="center"/>
        <w:rPr>
          <w:b/>
          <w:sz w:val="32"/>
        </w:rPr>
      </w:pPr>
      <w:bookmarkStart w:id="0" w:name="Background"/>
      <w:bookmarkEnd w:id="0"/>
      <w:r>
        <w:rPr>
          <w:b/>
          <w:color w:val="242424"/>
          <w:sz w:val="32"/>
        </w:rPr>
        <w:t>Energy Efficiency Procurement Review Group Charter</w:t>
      </w:r>
    </w:p>
    <w:p w14:paraId="3230FF86" w14:textId="77777777" w:rsidR="00857924" w:rsidRDefault="0093551E">
      <w:pPr>
        <w:pStyle w:val="Heading1"/>
        <w:spacing w:before="149"/>
      </w:pPr>
      <w:r>
        <w:rPr>
          <w:color w:val="242424"/>
        </w:rPr>
        <w:t>Background</w:t>
      </w:r>
    </w:p>
    <w:p w14:paraId="3230FF87" w14:textId="77777777" w:rsidR="00857924" w:rsidRDefault="0093551E">
      <w:pPr>
        <w:pStyle w:val="BodyText"/>
        <w:spacing w:before="120" w:line="259" w:lineRule="auto"/>
        <w:ind w:left="240" w:right="619"/>
        <w:jc w:val="both"/>
      </w:pPr>
      <w:r>
        <w:t>California Public Utilities Commission (“Commission” or “CPUC”) Decision (D.) 18-01-004 authorizes the</w:t>
      </w:r>
      <w:r>
        <w:rPr>
          <w:spacing w:val="-7"/>
        </w:rPr>
        <w:t xml:space="preserve"> </w:t>
      </w:r>
      <w:r>
        <w:t>investor-owned</w:t>
      </w:r>
      <w:r>
        <w:rPr>
          <w:spacing w:val="-6"/>
        </w:rPr>
        <w:t xml:space="preserve"> </w:t>
      </w:r>
      <w:r>
        <w:t>utilities</w:t>
      </w:r>
      <w:r>
        <w:rPr>
          <w:spacing w:val="-7"/>
        </w:rPr>
        <w:t xml:space="preserve"> </w:t>
      </w:r>
      <w:r>
        <w:t>(IOUs)</w:t>
      </w:r>
      <w:r>
        <w:rPr>
          <w:spacing w:val="-6"/>
        </w:rPr>
        <w:t xml:space="preserve"> </w:t>
      </w:r>
      <w:r>
        <w:t>to</w:t>
      </w:r>
      <w:r>
        <w:rPr>
          <w:spacing w:val="-6"/>
        </w:rPr>
        <w:t xml:space="preserve"> </w:t>
      </w:r>
      <w:r>
        <w:t>establish</w:t>
      </w:r>
      <w:r>
        <w:rPr>
          <w:spacing w:val="-6"/>
        </w:rPr>
        <w:t xml:space="preserve"> </w:t>
      </w:r>
      <w:r>
        <w:t>energy</w:t>
      </w:r>
      <w:r>
        <w:rPr>
          <w:spacing w:val="-6"/>
        </w:rPr>
        <w:t xml:space="preserve"> </w:t>
      </w:r>
      <w:r>
        <w:t>efficiency</w:t>
      </w:r>
      <w:r>
        <w:rPr>
          <w:spacing w:val="-6"/>
        </w:rPr>
        <w:t xml:space="preserve"> </w:t>
      </w:r>
      <w:r>
        <w:t>procurement</w:t>
      </w:r>
      <w:r>
        <w:rPr>
          <w:spacing w:val="-7"/>
        </w:rPr>
        <w:t xml:space="preserve"> </w:t>
      </w:r>
      <w:r>
        <w:t>review</w:t>
      </w:r>
      <w:r>
        <w:rPr>
          <w:spacing w:val="-7"/>
        </w:rPr>
        <w:t xml:space="preserve"> </w:t>
      </w:r>
      <w:r>
        <w:t>groups</w:t>
      </w:r>
      <w:r>
        <w:rPr>
          <w:spacing w:val="-7"/>
        </w:rPr>
        <w:t xml:space="preserve"> </w:t>
      </w:r>
      <w:r>
        <w:t>(EE</w:t>
      </w:r>
      <w:r>
        <w:rPr>
          <w:spacing w:val="-8"/>
        </w:rPr>
        <w:t xml:space="preserve"> </w:t>
      </w:r>
      <w:r>
        <w:t>PRGs) that advise the IOUs on solicitations for EE</w:t>
      </w:r>
      <w:r>
        <w:rPr>
          <w:spacing w:val="-6"/>
        </w:rPr>
        <w:t xml:space="preserve"> </w:t>
      </w:r>
      <w:r>
        <w:t>programs.</w:t>
      </w:r>
      <w:r>
        <w:rPr>
          <w:vertAlign w:val="superscript"/>
        </w:rPr>
        <w:t>1</w:t>
      </w:r>
    </w:p>
    <w:p w14:paraId="3230FF88" w14:textId="77777777" w:rsidR="00857924" w:rsidRDefault="0093551E">
      <w:pPr>
        <w:pStyle w:val="BodyText"/>
        <w:spacing w:before="157" w:line="259" w:lineRule="auto"/>
        <w:ind w:left="238" w:right="492"/>
      </w:pPr>
      <w:r>
        <w:t>Considering the volume of solicitation activity anticipated in the transition to the new third-party program model and as required by D.18-01-004, the IOUs will convene EE PRGs that are involved at each stage of all third-party program solicitations and will provide feedback to the IOUs.</w:t>
      </w:r>
      <w:r>
        <w:rPr>
          <w:vertAlign w:val="superscript"/>
        </w:rPr>
        <w:t>2</w:t>
      </w:r>
      <w:r>
        <w:t xml:space="preserve"> The PRGs will be conducted in a similar manner to the supply-side PRGs. Although EE PRG membership will likely overlap among the IOUs, each IOU will maintain its own EE PRG.</w:t>
      </w:r>
      <w:r>
        <w:rPr>
          <w:vertAlign w:val="superscript"/>
        </w:rPr>
        <w:t>3</w:t>
      </w:r>
      <w:r>
        <w:t xml:space="preserve"> To facilitate consistency to the extent possible, the IOUs coordinated to develop the following standard EE PRG</w:t>
      </w:r>
      <w:r>
        <w:rPr>
          <w:spacing w:val="-13"/>
        </w:rPr>
        <w:t xml:space="preserve"> </w:t>
      </w:r>
      <w:r>
        <w:t>materials:</w:t>
      </w:r>
    </w:p>
    <w:p w14:paraId="3230FF89" w14:textId="77777777" w:rsidR="00857924" w:rsidRDefault="0093551E">
      <w:pPr>
        <w:pStyle w:val="ListParagraph"/>
        <w:numPr>
          <w:ilvl w:val="0"/>
          <w:numId w:val="4"/>
        </w:numPr>
        <w:tabs>
          <w:tab w:val="left" w:pos="958"/>
          <w:tab w:val="left" w:pos="959"/>
        </w:tabs>
        <w:spacing w:before="157"/>
      </w:pPr>
      <w:r>
        <w:t>Non-Disclosure Agreement</w:t>
      </w:r>
      <w:r>
        <w:rPr>
          <w:spacing w:val="-2"/>
        </w:rPr>
        <w:t xml:space="preserve"> </w:t>
      </w:r>
      <w:r>
        <w:t>(NDA),</w:t>
      </w:r>
    </w:p>
    <w:p w14:paraId="3230FF8A" w14:textId="77777777" w:rsidR="00857924" w:rsidRDefault="0093551E">
      <w:pPr>
        <w:pStyle w:val="ListParagraph"/>
        <w:numPr>
          <w:ilvl w:val="0"/>
          <w:numId w:val="4"/>
        </w:numPr>
        <w:tabs>
          <w:tab w:val="left" w:pos="958"/>
          <w:tab w:val="left" w:pos="959"/>
        </w:tabs>
        <w:spacing w:before="20"/>
      </w:pPr>
      <w:r>
        <w:t>Conflict of Interest Form,</w:t>
      </w:r>
      <w:r>
        <w:rPr>
          <w:spacing w:val="-1"/>
        </w:rPr>
        <w:t xml:space="preserve"> </w:t>
      </w:r>
      <w:r>
        <w:t>and</w:t>
      </w:r>
    </w:p>
    <w:p w14:paraId="3230FF8B" w14:textId="77777777" w:rsidR="00857924" w:rsidRDefault="0093551E">
      <w:pPr>
        <w:pStyle w:val="ListParagraph"/>
        <w:numPr>
          <w:ilvl w:val="0"/>
          <w:numId w:val="4"/>
        </w:numPr>
        <w:tabs>
          <w:tab w:val="left" w:pos="958"/>
          <w:tab w:val="left" w:pos="959"/>
        </w:tabs>
        <w:spacing w:before="18"/>
      </w:pPr>
      <w:r>
        <w:t>PRG Member</w:t>
      </w:r>
      <w:r>
        <w:rPr>
          <w:spacing w:val="-3"/>
        </w:rPr>
        <w:t xml:space="preserve"> </w:t>
      </w:r>
      <w:r>
        <w:t>Questionnaire</w:t>
      </w:r>
    </w:p>
    <w:p w14:paraId="3230FF8C" w14:textId="77777777" w:rsidR="00857924" w:rsidRDefault="0093551E">
      <w:pPr>
        <w:pStyle w:val="BodyText"/>
        <w:spacing w:before="178" w:line="259" w:lineRule="auto"/>
        <w:ind w:left="238" w:right="845"/>
      </w:pPr>
      <w:r>
        <w:t>The purpose of this charter is to provide prospective EE PRG members with an overview of the EE PRGs’ objective and scope of review, eligibility and intervenor compensation requirements, and roles and responsibilities as described below.</w:t>
      </w:r>
    </w:p>
    <w:p w14:paraId="3230FF8D" w14:textId="77777777" w:rsidR="00857924" w:rsidRDefault="0093551E">
      <w:pPr>
        <w:pStyle w:val="Heading1"/>
        <w:spacing w:before="160"/>
      </w:pPr>
      <w:bookmarkStart w:id="1" w:name="Objective"/>
      <w:bookmarkEnd w:id="1"/>
      <w:r>
        <w:rPr>
          <w:color w:val="242424"/>
        </w:rPr>
        <w:t>Objective</w:t>
      </w:r>
    </w:p>
    <w:p w14:paraId="3230FF8E" w14:textId="77777777" w:rsidR="00857924" w:rsidRDefault="0093551E">
      <w:pPr>
        <w:pStyle w:val="BodyText"/>
        <w:spacing w:before="120" w:line="259" w:lineRule="auto"/>
        <w:ind w:left="240" w:right="772"/>
      </w:pPr>
      <w:r>
        <w:t>The EE PRGs shall advise and provide feedback to the IOUs in connection with the IOUs’ solicitation for new third-party programs.</w:t>
      </w:r>
    </w:p>
    <w:p w14:paraId="3230FF8F" w14:textId="77777777" w:rsidR="00857924" w:rsidRDefault="0093551E">
      <w:pPr>
        <w:pStyle w:val="Heading1"/>
        <w:spacing w:before="161"/>
      </w:pPr>
      <w:bookmarkStart w:id="2" w:name="Scope"/>
      <w:bookmarkEnd w:id="2"/>
      <w:r>
        <w:rPr>
          <w:color w:val="242424"/>
        </w:rPr>
        <w:t>Scope</w:t>
      </w:r>
    </w:p>
    <w:p w14:paraId="3230FF90" w14:textId="77777777" w:rsidR="00857924" w:rsidRDefault="0093551E">
      <w:pPr>
        <w:pStyle w:val="BodyText"/>
        <w:spacing w:before="118"/>
        <w:ind w:left="240"/>
      </w:pPr>
      <w:r>
        <w:t>The EE PRGs will be involved at all stages of the solicitation process, including:</w:t>
      </w:r>
      <w:proofErr w:type="gramStart"/>
      <w:r>
        <w:rPr>
          <w:vertAlign w:val="superscript"/>
        </w:rPr>
        <w:t>4</w:t>
      </w:r>
      <w:proofErr w:type="gramEnd"/>
    </w:p>
    <w:p w14:paraId="3230FF91" w14:textId="77777777" w:rsidR="00857924" w:rsidRDefault="0093551E">
      <w:pPr>
        <w:pStyle w:val="ListParagraph"/>
        <w:numPr>
          <w:ilvl w:val="0"/>
          <w:numId w:val="4"/>
        </w:numPr>
        <w:tabs>
          <w:tab w:val="left" w:pos="958"/>
          <w:tab w:val="left" w:pos="959"/>
        </w:tabs>
        <w:spacing w:before="179"/>
      </w:pPr>
      <w:r>
        <w:t>Draft Request for Abstract (RFA)</w:t>
      </w:r>
      <w:r>
        <w:rPr>
          <w:spacing w:val="-3"/>
        </w:rPr>
        <w:t xml:space="preserve"> </w:t>
      </w:r>
      <w:r>
        <w:t>review</w:t>
      </w:r>
    </w:p>
    <w:p w14:paraId="3230FF92" w14:textId="77777777" w:rsidR="00857924" w:rsidRDefault="0093551E">
      <w:pPr>
        <w:pStyle w:val="ListParagraph"/>
        <w:numPr>
          <w:ilvl w:val="0"/>
          <w:numId w:val="4"/>
        </w:numPr>
        <w:tabs>
          <w:tab w:val="left" w:pos="958"/>
          <w:tab w:val="left" w:pos="959"/>
        </w:tabs>
        <w:spacing w:before="20"/>
      </w:pPr>
      <w:r>
        <w:t>Review of RFA bids and</w:t>
      </w:r>
      <w:r>
        <w:rPr>
          <w:spacing w:val="-5"/>
        </w:rPr>
        <w:t xml:space="preserve"> </w:t>
      </w:r>
      <w:r>
        <w:t>shortlist</w:t>
      </w:r>
    </w:p>
    <w:p w14:paraId="3230FF93" w14:textId="77777777" w:rsidR="00857924" w:rsidRDefault="0093551E">
      <w:pPr>
        <w:pStyle w:val="ListParagraph"/>
        <w:numPr>
          <w:ilvl w:val="0"/>
          <w:numId w:val="4"/>
        </w:numPr>
        <w:tabs>
          <w:tab w:val="left" w:pos="958"/>
          <w:tab w:val="left" w:pos="959"/>
        </w:tabs>
        <w:spacing w:before="18"/>
      </w:pPr>
      <w:r>
        <w:t>Draft Request for Proposal (RFP) review</w:t>
      </w:r>
    </w:p>
    <w:p w14:paraId="3230FF94" w14:textId="77777777" w:rsidR="00857924" w:rsidRDefault="0093551E">
      <w:pPr>
        <w:pStyle w:val="ListParagraph"/>
        <w:numPr>
          <w:ilvl w:val="0"/>
          <w:numId w:val="4"/>
        </w:numPr>
        <w:tabs>
          <w:tab w:val="left" w:pos="958"/>
          <w:tab w:val="left" w:pos="959"/>
        </w:tabs>
        <w:spacing w:before="17"/>
      </w:pPr>
      <w:r>
        <w:t>Review of RFP bid selection</w:t>
      </w:r>
      <w:r>
        <w:rPr>
          <w:spacing w:val="-3"/>
        </w:rPr>
        <w:t xml:space="preserve"> </w:t>
      </w:r>
      <w:r>
        <w:t>criteria</w:t>
      </w:r>
    </w:p>
    <w:p w14:paraId="3230FF95" w14:textId="77777777" w:rsidR="00857924" w:rsidRDefault="0093551E">
      <w:pPr>
        <w:pStyle w:val="ListParagraph"/>
        <w:numPr>
          <w:ilvl w:val="0"/>
          <w:numId w:val="4"/>
        </w:numPr>
        <w:tabs>
          <w:tab w:val="left" w:pos="958"/>
          <w:tab w:val="left" w:pos="959"/>
        </w:tabs>
        <w:spacing w:before="19"/>
      </w:pPr>
      <w:r>
        <w:t>RFP shortlist and selected contractor review</w:t>
      </w:r>
    </w:p>
    <w:p w14:paraId="3230FF96" w14:textId="77777777" w:rsidR="00857924" w:rsidRDefault="0093551E">
      <w:pPr>
        <w:pStyle w:val="ListParagraph"/>
        <w:numPr>
          <w:ilvl w:val="0"/>
          <w:numId w:val="4"/>
        </w:numPr>
        <w:tabs>
          <w:tab w:val="left" w:pos="958"/>
          <w:tab w:val="left" w:pos="959"/>
        </w:tabs>
        <w:spacing w:before="19"/>
      </w:pPr>
      <w:bookmarkStart w:id="3" w:name="Eligibility"/>
      <w:bookmarkEnd w:id="3"/>
      <w:r>
        <w:t>Review independent evaluator (IE) evaluations of all</w:t>
      </w:r>
      <w:r>
        <w:rPr>
          <w:spacing w:val="-8"/>
        </w:rPr>
        <w:t xml:space="preserve"> </w:t>
      </w:r>
      <w:proofErr w:type="gramStart"/>
      <w:r>
        <w:t>solicitations</w:t>
      </w:r>
      <w:proofErr w:type="gramEnd"/>
    </w:p>
    <w:p w14:paraId="3230FF97" w14:textId="77777777" w:rsidR="00857924" w:rsidRDefault="0093551E">
      <w:pPr>
        <w:pStyle w:val="Heading1"/>
        <w:spacing w:before="180"/>
      </w:pPr>
      <w:r>
        <w:rPr>
          <w:color w:val="242424"/>
        </w:rPr>
        <w:t>Eligibility</w:t>
      </w:r>
    </w:p>
    <w:p w14:paraId="3230FF98" w14:textId="77777777" w:rsidR="00857924" w:rsidRDefault="0093551E">
      <w:pPr>
        <w:pStyle w:val="BodyText"/>
        <w:spacing w:before="120"/>
        <w:ind w:left="240"/>
      </w:pPr>
      <w:r>
        <w:t xml:space="preserve">All EE PRG members </w:t>
      </w:r>
      <w:r>
        <w:t>must be non-financially interested parties, as defined in D.05-01-055:</w:t>
      </w:r>
    </w:p>
    <w:p w14:paraId="3230FF99" w14:textId="77777777" w:rsidR="00857924" w:rsidRDefault="0093551E">
      <w:pPr>
        <w:pStyle w:val="BodyText"/>
        <w:spacing w:before="180" w:line="259" w:lineRule="auto"/>
        <w:ind w:left="959" w:right="558"/>
      </w:pPr>
      <w:r>
        <w:t xml:space="preserve">“A financially interested party is any person who engages in the purchase, sale or be [sic] marketing of energy efficiency products or services, or who is employed by a private, municipal, </w:t>
      </w:r>
      <w:proofErr w:type="gramStart"/>
      <w:r>
        <w:t>state</w:t>
      </w:r>
      <w:proofErr w:type="gramEnd"/>
      <w:r>
        <w:t xml:space="preserve"> or federal entity that engages in the purchase, sale or marketing of energy efficiency products or services, or who provides consulting services regarding the purchase, sale or</w:t>
      </w:r>
    </w:p>
    <w:p w14:paraId="3230FF9A" w14:textId="77777777" w:rsidR="00857924" w:rsidRDefault="0093551E">
      <w:pPr>
        <w:pStyle w:val="BodyText"/>
        <w:spacing w:before="9"/>
        <w:rPr>
          <w:sz w:val="12"/>
        </w:rPr>
      </w:pPr>
      <w:r>
        <w:pict w14:anchorId="3230FFE1">
          <v:shape id="_x0000_s2052" style="position:absolute;margin-left:1in;margin-top:9.7pt;width:2in;height:.1pt;z-index:-251658240;mso-wrap-distance-left:0;mso-wrap-distance-right:0;mso-position-horizontal-relative:page" coordorigin="1440,194" coordsize="2880,0" path="m1440,194r2880,e" filled="f" strokeweight=".72pt">
            <v:path arrowok="t"/>
            <w10:wrap type="topAndBottom" anchorx="page"/>
          </v:shape>
        </w:pict>
      </w:r>
    </w:p>
    <w:p w14:paraId="3230FF9B" w14:textId="77777777" w:rsidR="00857924" w:rsidRDefault="0093551E">
      <w:pPr>
        <w:spacing w:before="32" w:line="237" w:lineRule="auto"/>
        <w:ind w:left="240" w:right="6347"/>
        <w:jc w:val="both"/>
        <w:rPr>
          <w:rFonts w:ascii="Calibri"/>
          <w:sz w:val="20"/>
        </w:rPr>
      </w:pPr>
      <w:r>
        <w:rPr>
          <w:rFonts w:ascii="Calibri"/>
          <w:position w:val="7"/>
          <w:sz w:val="13"/>
        </w:rPr>
        <w:t>1</w:t>
      </w:r>
      <w:r>
        <w:rPr>
          <w:rFonts w:ascii="Calibri"/>
          <w:spacing w:val="-8"/>
          <w:position w:val="7"/>
          <w:sz w:val="13"/>
        </w:rPr>
        <w:t xml:space="preserve"> </w:t>
      </w:r>
      <w:r>
        <w:rPr>
          <w:rFonts w:ascii="Calibri"/>
          <w:sz w:val="20"/>
        </w:rPr>
        <w:t>D.18-01-004,</w:t>
      </w:r>
      <w:r>
        <w:rPr>
          <w:rFonts w:ascii="Calibri"/>
          <w:spacing w:val="-9"/>
          <w:sz w:val="20"/>
        </w:rPr>
        <w:t xml:space="preserve"> </w:t>
      </w:r>
      <w:r>
        <w:rPr>
          <w:rFonts w:ascii="Calibri"/>
          <w:sz w:val="20"/>
        </w:rPr>
        <w:t>Ordering</w:t>
      </w:r>
      <w:r>
        <w:rPr>
          <w:rFonts w:ascii="Calibri"/>
          <w:spacing w:val="-9"/>
          <w:sz w:val="20"/>
        </w:rPr>
        <w:t xml:space="preserve"> </w:t>
      </w:r>
      <w:r>
        <w:rPr>
          <w:rFonts w:ascii="Calibri"/>
          <w:sz w:val="20"/>
        </w:rPr>
        <w:t>Paragraph</w:t>
      </w:r>
      <w:r>
        <w:rPr>
          <w:rFonts w:ascii="Calibri"/>
          <w:spacing w:val="-9"/>
          <w:sz w:val="20"/>
        </w:rPr>
        <w:t xml:space="preserve"> </w:t>
      </w:r>
      <w:r>
        <w:rPr>
          <w:rFonts w:ascii="Calibri"/>
          <w:sz w:val="20"/>
        </w:rPr>
        <w:t>(OP)</w:t>
      </w:r>
      <w:r>
        <w:rPr>
          <w:rFonts w:ascii="Calibri"/>
          <w:spacing w:val="-10"/>
          <w:sz w:val="20"/>
        </w:rPr>
        <w:t xml:space="preserve"> </w:t>
      </w:r>
      <w:r>
        <w:rPr>
          <w:rFonts w:ascii="Calibri"/>
          <w:sz w:val="20"/>
        </w:rPr>
        <w:t>4.</w:t>
      </w:r>
      <w:r>
        <w:rPr>
          <w:rFonts w:ascii="Calibri"/>
          <w:spacing w:val="-9"/>
          <w:sz w:val="20"/>
        </w:rPr>
        <w:t xml:space="preserve"> </w:t>
      </w:r>
      <w:r>
        <w:rPr>
          <w:rFonts w:ascii="Calibri"/>
          <w:position w:val="7"/>
          <w:sz w:val="13"/>
        </w:rPr>
        <w:t xml:space="preserve">2 </w:t>
      </w:r>
      <w:r>
        <w:rPr>
          <w:rFonts w:ascii="Calibri"/>
          <w:sz w:val="20"/>
        </w:rPr>
        <w:t xml:space="preserve">D.18-01-004, Conclusion of Law (COL) 11. </w:t>
      </w:r>
      <w:r>
        <w:rPr>
          <w:rFonts w:ascii="Calibri"/>
          <w:position w:val="7"/>
          <w:sz w:val="13"/>
        </w:rPr>
        <w:t xml:space="preserve">3 </w:t>
      </w:r>
      <w:r>
        <w:rPr>
          <w:rFonts w:ascii="Calibri"/>
          <w:sz w:val="20"/>
        </w:rPr>
        <w:t>D.18-01-004, OP</w:t>
      </w:r>
      <w:r>
        <w:rPr>
          <w:rFonts w:ascii="Calibri"/>
          <w:spacing w:val="-20"/>
          <w:sz w:val="20"/>
        </w:rPr>
        <w:t xml:space="preserve"> </w:t>
      </w:r>
      <w:r>
        <w:rPr>
          <w:rFonts w:ascii="Calibri"/>
          <w:sz w:val="20"/>
        </w:rPr>
        <w:t>3.</w:t>
      </w:r>
    </w:p>
    <w:p w14:paraId="3230FF9C" w14:textId="77777777" w:rsidR="00857924" w:rsidRDefault="0093551E">
      <w:pPr>
        <w:spacing w:before="1"/>
        <w:ind w:left="240"/>
        <w:jc w:val="both"/>
        <w:rPr>
          <w:rFonts w:ascii="Calibri"/>
          <w:sz w:val="20"/>
        </w:rPr>
      </w:pPr>
      <w:r>
        <w:rPr>
          <w:rFonts w:ascii="Calibri"/>
          <w:position w:val="7"/>
          <w:sz w:val="13"/>
        </w:rPr>
        <w:t xml:space="preserve">4 </w:t>
      </w:r>
      <w:r>
        <w:rPr>
          <w:rFonts w:ascii="Calibri"/>
          <w:sz w:val="20"/>
        </w:rPr>
        <w:t>D.18-01-004, p. 36.</w:t>
      </w:r>
    </w:p>
    <w:p w14:paraId="3230FF9D" w14:textId="77777777" w:rsidR="00857924" w:rsidRDefault="00857924">
      <w:pPr>
        <w:jc w:val="both"/>
        <w:rPr>
          <w:rFonts w:ascii="Calibri"/>
          <w:sz w:val="20"/>
        </w:rPr>
        <w:sectPr w:rsidR="00857924">
          <w:footerReference w:type="default" r:id="rId10"/>
          <w:type w:val="continuous"/>
          <w:pgSz w:w="12240" w:h="15840"/>
          <w:pgMar w:top="1500" w:right="980" w:bottom="900" w:left="1200" w:header="720" w:footer="702" w:gutter="0"/>
          <w:pgNumType w:start="1"/>
          <w:cols w:space="720"/>
        </w:sectPr>
      </w:pPr>
    </w:p>
    <w:p w14:paraId="3230FF9E" w14:textId="77777777" w:rsidR="00857924" w:rsidRDefault="0093551E">
      <w:pPr>
        <w:pStyle w:val="BodyText"/>
        <w:spacing w:before="80" w:line="259" w:lineRule="auto"/>
        <w:ind w:left="960" w:right="876"/>
      </w:pPr>
      <w:r>
        <w:lastRenderedPageBreak/>
        <w:t xml:space="preserve">marketing of energy efficiency products or services, or an employee of a trade association comprised of entities that engage in the purchase, </w:t>
      </w:r>
      <w:proofErr w:type="gramStart"/>
      <w:r>
        <w:t>sale</w:t>
      </w:r>
      <w:proofErr w:type="gramEnd"/>
      <w:r>
        <w:t xml:space="preserve"> or marketing or (sic) energy efficiency products or services”.</w:t>
      </w:r>
    </w:p>
    <w:p w14:paraId="3230FF9F" w14:textId="77777777" w:rsidR="00857924" w:rsidRDefault="0093551E">
      <w:pPr>
        <w:pStyle w:val="BodyText"/>
        <w:spacing w:before="157" w:line="259" w:lineRule="auto"/>
        <w:ind w:left="959" w:right="772"/>
      </w:pPr>
      <w:r>
        <w:t xml:space="preserve">Energy efficiency services include among other things, performing energy audits and advising clients and potential customers about potential energy savings they can achieve, but does not include evaluating, </w:t>
      </w:r>
      <w:proofErr w:type="gramStart"/>
      <w:r>
        <w:t>measuring</w:t>
      </w:r>
      <w:proofErr w:type="gramEnd"/>
      <w:r>
        <w:t xml:space="preserve"> and verifying the installation and/or results of energy efficiency products or services, or research to develop new energy efficiency products or services.”</w:t>
      </w:r>
    </w:p>
    <w:p w14:paraId="55FF4BE2" w14:textId="2C98D5DC" w:rsidR="0052634C" w:rsidRDefault="0052634C">
      <w:pPr>
        <w:pStyle w:val="BodyText"/>
        <w:spacing w:before="157" w:line="259" w:lineRule="auto"/>
        <w:ind w:left="959" w:right="772"/>
      </w:pPr>
    </w:p>
    <w:p w14:paraId="69C8FC43" w14:textId="77777777" w:rsidR="0052634C" w:rsidRPr="0093551E" w:rsidRDefault="0052634C" w:rsidP="0052634C">
      <w:pPr>
        <w:pStyle w:val="BodyText"/>
        <w:rPr>
          <w:position w:val="8"/>
          <w:sz w:val="14"/>
        </w:rPr>
      </w:pPr>
      <w:r w:rsidRPr="0093551E">
        <w:t xml:space="preserve">Employment with a state academic or educational institution does not automatically preclude membership in the PRG per D.23-02-002 ordering paragraph </w:t>
      </w:r>
      <w:proofErr w:type="gramStart"/>
      <w:r w:rsidRPr="0093551E">
        <w:t>10 :</w:t>
      </w:r>
      <w:proofErr w:type="gramEnd"/>
      <w:r w:rsidRPr="0093551E">
        <w:t xml:space="preserve"> </w:t>
      </w:r>
    </w:p>
    <w:p w14:paraId="5E828CA6" w14:textId="77777777" w:rsidR="0052634C" w:rsidRPr="0093551E" w:rsidRDefault="0052634C" w:rsidP="0052634C">
      <w:pPr>
        <w:rPr>
          <w:color w:val="000000" w:themeColor="text1"/>
        </w:rPr>
      </w:pPr>
    </w:p>
    <w:p w14:paraId="515AB53D" w14:textId="77777777" w:rsidR="0052634C" w:rsidRPr="00542145" w:rsidRDefault="0052634C" w:rsidP="0052634C">
      <w:pPr>
        <w:rPr>
          <w:rFonts w:ascii="Calibri" w:hAnsi="Calibri" w:cs="Calibri"/>
          <w:color w:val="000000" w:themeColor="text1"/>
        </w:rPr>
      </w:pPr>
      <w:r w:rsidRPr="0093551E">
        <w:rPr>
          <w:color w:val="000000" w:themeColor="text1"/>
        </w:rPr>
        <w:t>“For purposes of third-party solicitations and participation in a procurement review group (PRG), an individual shall not be defined to have a financial conflict of interest solely by virtue of employment with a state academic or educational institution. An individual PRG member employed by a state academic or educational institution may resolve a financial conflict of interest by recusal from an individual solicitation without being banned entirely from PRG participation.”</w:t>
      </w:r>
    </w:p>
    <w:p w14:paraId="6D7983FA" w14:textId="77777777" w:rsidR="0052634C" w:rsidRDefault="0052634C">
      <w:pPr>
        <w:pStyle w:val="BodyText"/>
        <w:spacing w:before="159" w:line="259" w:lineRule="auto"/>
        <w:ind w:left="238" w:right="942"/>
      </w:pPr>
    </w:p>
    <w:p w14:paraId="3230FFA0" w14:textId="518B70F7" w:rsidR="00857924" w:rsidRDefault="0093551E" w:rsidP="007F3DD3">
      <w:pPr>
        <w:pStyle w:val="BodyText"/>
        <w:spacing w:before="159" w:line="259" w:lineRule="auto"/>
        <w:ind w:right="942"/>
      </w:pPr>
      <w:r>
        <w:t>The Public Advocates Office, Commission Staff, and IEs must participate in the EE PRG process, in accordance with D.18-01-004.</w:t>
      </w:r>
      <w:r>
        <w:rPr>
          <w:vertAlign w:val="superscript"/>
        </w:rPr>
        <w:t>5</w:t>
      </w:r>
    </w:p>
    <w:p w14:paraId="3230FFA1" w14:textId="77777777" w:rsidR="00857924" w:rsidRDefault="0093551E">
      <w:pPr>
        <w:pStyle w:val="Heading1"/>
        <w:spacing w:before="161"/>
      </w:pPr>
      <w:bookmarkStart w:id="4" w:name="Intervenor_Compensation"/>
      <w:bookmarkEnd w:id="4"/>
      <w:r>
        <w:rPr>
          <w:color w:val="242424"/>
        </w:rPr>
        <w:t>Intervenor Compensation</w:t>
      </w:r>
    </w:p>
    <w:p w14:paraId="3230FFA2" w14:textId="77777777" w:rsidR="00857924" w:rsidRDefault="0093551E">
      <w:pPr>
        <w:pStyle w:val="BodyText"/>
        <w:spacing w:before="118" w:line="259" w:lineRule="auto"/>
        <w:ind w:left="239" w:right="501"/>
      </w:pPr>
      <w:r>
        <w:t>EE PRG members will be eligible for compensation in accordance with the Commission’s intervenor compensation program.</w:t>
      </w:r>
      <w:r>
        <w:rPr>
          <w:vertAlign w:val="superscript"/>
        </w:rPr>
        <w:t>6</w:t>
      </w:r>
      <w:r>
        <w:t xml:space="preserve"> Parties interested in claiming intervenor compensation are encouraged to read the Commission’s “Intervenor Compensation Program Guide” and must submit all required documents to the Commission for review and approval.</w:t>
      </w:r>
      <w:r>
        <w:rPr>
          <w:vertAlign w:val="superscript"/>
        </w:rPr>
        <w:t>7</w:t>
      </w:r>
    </w:p>
    <w:p w14:paraId="3230FFA3" w14:textId="77777777" w:rsidR="00857924" w:rsidRDefault="00857924">
      <w:pPr>
        <w:pStyle w:val="BodyText"/>
        <w:spacing w:before="1"/>
        <w:rPr>
          <w:sz w:val="24"/>
        </w:rPr>
      </w:pPr>
    </w:p>
    <w:p w14:paraId="3230FFA4" w14:textId="77777777" w:rsidR="00857924" w:rsidRDefault="0093551E">
      <w:pPr>
        <w:pStyle w:val="Heading1"/>
        <w:spacing w:line="275" w:lineRule="exact"/>
        <w:ind w:left="120"/>
      </w:pPr>
      <w:r>
        <w:rPr>
          <w:color w:val="252525"/>
        </w:rPr>
        <w:t>Governance</w:t>
      </w:r>
    </w:p>
    <w:p w14:paraId="3230FFA5" w14:textId="77777777" w:rsidR="00857924" w:rsidRDefault="0093551E">
      <w:pPr>
        <w:pStyle w:val="BodyText"/>
        <w:ind w:left="120"/>
      </w:pPr>
      <w:r>
        <w:rPr>
          <w:b/>
        </w:rPr>
        <w:t xml:space="preserve">Attendance. </w:t>
      </w:r>
      <w:r>
        <w:t>EE PRG participants must commit to attend meetings to the extent possible, and faithfully review meeting materials. EE PRGs are advisory groups and do not have decision-making authority.</w:t>
      </w:r>
    </w:p>
    <w:p w14:paraId="3230FFA6" w14:textId="77777777" w:rsidR="00857924" w:rsidRDefault="00857924">
      <w:pPr>
        <w:pStyle w:val="BodyText"/>
        <w:spacing w:before="5"/>
        <w:rPr>
          <w:sz w:val="27"/>
        </w:rPr>
      </w:pPr>
    </w:p>
    <w:p w14:paraId="3230FFA7" w14:textId="77777777" w:rsidR="00857924" w:rsidRDefault="0093551E">
      <w:pPr>
        <w:pStyle w:val="Heading1"/>
        <w:ind w:left="118"/>
      </w:pPr>
      <w:r>
        <w:rPr>
          <w:color w:val="252525"/>
        </w:rPr>
        <w:t>Operating Procedures</w:t>
      </w:r>
    </w:p>
    <w:p w14:paraId="3230FFA8" w14:textId="77777777" w:rsidR="00857924" w:rsidRDefault="0093551E">
      <w:pPr>
        <w:pStyle w:val="Heading2"/>
        <w:spacing w:before="19"/>
        <w:ind w:left="118"/>
      </w:pPr>
      <w:r>
        <w:t>Key Parties: EE PRG Members, Independent Evaluators, IOU Solicitation Teams</w:t>
      </w:r>
    </w:p>
    <w:p w14:paraId="3230FFA9" w14:textId="77777777" w:rsidR="00857924" w:rsidRDefault="0093551E">
      <w:pPr>
        <w:pStyle w:val="ListParagraph"/>
        <w:numPr>
          <w:ilvl w:val="0"/>
          <w:numId w:val="3"/>
        </w:numPr>
        <w:tabs>
          <w:tab w:val="left" w:pos="840"/>
        </w:tabs>
        <w:spacing w:before="1"/>
        <w:rPr>
          <w:b/>
        </w:rPr>
      </w:pPr>
      <w:r>
        <w:rPr>
          <w:b/>
        </w:rPr>
        <w:t xml:space="preserve">Proposed Schedule, </w:t>
      </w:r>
      <w:proofErr w:type="gramStart"/>
      <w:r>
        <w:rPr>
          <w:b/>
        </w:rPr>
        <w:t>Cadence</w:t>
      </w:r>
      <w:proofErr w:type="gramEnd"/>
      <w:r>
        <w:rPr>
          <w:b/>
        </w:rPr>
        <w:t xml:space="preserve"> and</w:t>
      </w:r>
      <w:r>
        <w:rPr>
          <w:b/>
          <w:spacing w:val="-2"/>
        </w:rPr>
        <w:t xml:space="preserve"> </w:t>
      </w:r>
      <w:r>
        <w:rPr>
          <w:b/>
        </w:rPr>
        <w:t>Structure</w:t>
      </w:r>
    </w:p>
    <w:p w14:paraId="3230FFAA" w14:textId="77777777" w:rsidR="00857924" w:rsidRDefault="0093551E">
      <w:pPr>
        <w:pStyle w:val="ListParagraph"/>
        <w:numPr>
          <w:ilvl w:val="1"/>
          <w:numId w:val="3"/>
        </w:numPr>
        <w:tabs>
          <w:tab w:val="left" w:pos="1559"/>
          <w:tab w:val="left" w:pos="1561"/>
        </w:tabs>
        <w:spacing w:line="253" w:lineRule="exact"/>
        <w:ind w:hanging="361"/>
      </w:pPr>
      <w:r>
        <w:t>Monthly</w:t>
      </w:r>
    </w:p>
    <w:p w14:paraId="3230FFAB" w14:textId="77777777" w:rsidR="00857924" w:rsidRDefault="0093551E">
      <w:pPr>
        <w:pStyle w:val="ListParagraph"/>
        <w:numPr>
          <w:ilvl w:val="1"/>
          <w:numId w:val="3"/>
        </w:numPr>
        <w:tabs>
          <w:tab w:val="left" w:pos="1561"/>
        </w:tabs>
        <w:ind w:right="366"/>
      </w:pPr>
      <w:r>
        <w:t xml:space="preserve">Notices, agendas, meeting materials and notes </w:t>
      </w:r>
      <w:r>
        <w:t>will be provided in accordance with D.18-01- 004, OP</w:t>
      </w:r>
      <w:r>
        <w:rPr>
          <w:spacing w:val="-2"/>
        </w:rPr>
        <w:t xml:space="preserve"> </w:t>
      </w:r>
      <w:r>
        <w:t>4.</w:t>
      </w:r>
    </w:p>
    <w:p w14:paraId="3230FFAC" w14:textId="77777777" w:rsidR="00857924" w:rsidRDefault="0093551E">
      <w:pPr>
        <w:pStyle w:val="Heading2"/>
        <w:numPr>
          <w:ilvl w:val="0"/>
          <w:numId w:val="3"/>
        </w:numPr>
        <w:tabs>
          <w:tab w:val="left" w:pos="840"/>
        </w:tabs>
      </w:pPr>
      <w:r>
        <w:t>Regular</w:t>
      </w:r>
      <w:r>
        <w:rPr>
          <w:spacing w:val="-2"/>
        </w:rPr>
        <w:t xml:space="preserve"> </w:t>
      </w:r>
      <w:r>
        <w:t>Communication</w:t>
      </w:r>
    </w:p>
    <w:p w14:paraId="3230FFAD" w14:textId="77777777" w:rsidR="00857924" w:rsidRDefault="0093551E">
      <w:pPr>
        <w:pStyle w:val="ListParagraph"/>
        <w:numPr>
          <w:ilvl w:val="1"/>
          <w:numId w:val="3"/>
        </w:numPr>
        <w:tabs>
          <w:tab w:val="left" w:pos="1559"/>
          <w:tab w:val="left" w:pos="1560"/>
        </w:tabs>
        <w:spacing w:before="1"/>
        <w:ind w:left="1559" w:hanging="361"/>
      </w:pPr>
      <w:r>
        <w:t>Communication with the EE PRG by</w:t>
      </w:r>
      <w:r>
        <w:rPr>
          <w:spacing w:val="-17"/>
        </w:rPr>
        <w:t xml:space="preserve"> </w:t>
      </w:r>
      <w:r>
        <w:t>IOU</w:t>
      </w:r>
    </w:p>
    <w:p w14:paraId="3230FFAE" w14:textId="77777777" w:rsidR="00857924" w:rsidRDefault="0093551E">
      <w:pPr>
        <w:pStyle w:val="ListParagraph"/>
        <w:numPr>
          <w:ilvl w:val="1"/>
          <w:numId w:val="3"/>
        </w:numPr>
        <w:tabs>
          <w:tab w:val="left" w:pos="1560"/>
        </w:tabs>
        <w:spacing w:line="253" w:lineRule="exact"/>
        <w:ind w:left="1559" w:hanging="361"/>
      </w:pPr>
      <w:r>
        <w:t>Communication if required on a SW</w:t>
      </w:r>
      <w:r>
        <w:rPr>
          <w:spacing w:val="-19"/>
        </w:rPr>
        <w:t xml:space="preserve"> </w:t>
      </w:r>
      <w:proofErr w:type="gramStart"/>
      <w:r>
        <w:t>basis</w:t>
      </w:r>
      <w:proofErr w:type="gramEnd"/>
    </w:p>
    <w:p w14:paraId="3230FFAF" w14:textId="77777777" w:rsidR="00857924" w:rsidRDefault="0093551E">
      <w:pPr>
        <w:pStyle w:val="ListParagraph"/>
        <w:numPr>
          <w:ilvl w:val="1"/>
          <w:numId w:val="3"/>
        </w:numPr>
        <w:tabs>
          <w:tab w:val="left" w:pos="1559"/>
          <w:tab w:val="left" w:pos="1560"/>
        </w:tabs>
        <w:spacing w:line="253" w:lineRule="exact"/>
        <w:ind w:left="1559" w:hanging="361"/>
      </w:pPr>
      <w:r>
        <w:t>Independent Evaluator</w:t>
      </w:r>
      <w:r>
        <w:rPr>
          <w:spacing w:val="-2"/>
        </w:rPr>
        <w:t xml:space="preserve"> </w:t>
      </w:r>
      <w:r>
        <w:t>interface</w:t>
      </w:r>
    </w:p>
    <w:p w14:paraId="3230FFB0" w14:textId="77777777" w:rsidR="00857924" w:rsidRDefault="0093551E">
      <w:pPr>
        <w:pStyle w:val="ListParagraph"/>
        <w:numPr>
          <w:ilvl w:val="1"/>
          <w:numId w:val="3"/>
        </w:numPr>
        <w:tabs>
          <w:tab w:val="left" w:pos="1560"/>
        </w:tabs>
        <w:ind w:left="1559" w:hanging="361"/>
      </w:pPr>
      <w:r>
        <w:t xml:space="preserve">Areas to consider for messaging (CAEECC, IOU Websites, CPUC </w:t>
      </w:r>
      <w:r>
        <w:t>Website,</w:t>
      </w:r>
      <w:r>
        <w:rPr>
          <w:spacing w:val="-14"/>
        </w:rPr>
        <w:t xml:space="preserve"> </w:t>
      </w:r>
      <w:r>
        <w:t>PEPMA)</w:t>
      </w:r>
    </w:p>
    <w:p w14:paraId="3230FFB1" w14:textId="77777777" w:rsidR="00857924" w:rsidRDefault="0093551E">
      <w:pPr>
        <w:pStyle w:val="Heading2"/>
        <w:numPr>
          <w:ilvl w:val="0"/>
          <w:numId w:val="3"/>
        </w:numPr>
        <w:tabs>
          <w:tab w:val="left" w:pos="840"/>
        </w:tabs>
        <w:spacing w:before="6" w:line="500" w:lineRule="atLeast"/>
        <w:ind w:left="840" w:right="6773" w:hanging="361"/>
      </w:pPr>
      <w:r>
        <w:t>Roles and Responsibilities EE PRG</w:t>
      </w:r>
      <w:r>
        <w:rPr>
          <w:spacing w:val="-2"/>
        </w:rPr>
        <w:t xml:space="preserve"> </w:t>
      </w:r>
      <w:r>
        <w:t>Members</w:t>
      </w:r>
    </w:p>
    <w:p w14:paraId="3230FFB2" w14:textId="77777777" w:rsidR="00857924" w:rsidRDefault="0093551E">
      <w:pPr>
        <w:pStyle w:val="ListParagraph"/>
        <w:numPr>
          <w:ilvl w:val="0"/>
          <w:numId w:val="2"/>
        </w:numPr>
        <w:tabs>
          <w:tab w:val="left" w:pos="1199"/>
          <w:tab w:val="left" w:pos="1200"/>
        </w:tabs>
        <w:spacing w:before="7" w:line="256" w:lineRule="auto"/>
        <w:ind w:right="596"/>
      </w:pPr>
      <w:r>
        <w:t>PRG participants must commit to attend meetings to the extent possible, and faithfully review meeting</w:t>
      </w:r>
      <w:r>
        <w:rPr>
          <w:spacing w:val="-1"/>
        </w:rPr>
        <w:t xml:space="preserve"> </w:t>
      </w:r>
      <w:proofErr w:type="gramStart"/>
      <w:r>
        <w:t>materials</w:t>
      </w:r>
      <w:proofErr w:type="gramEnd"/>
    </w:p>
    <w:p w14:paraId="3230FFB3" w14:textId="77777777" w:rsidR="00857924" w:rsidRDefault="0093551E">
      <w:pPr>
        <w:pStyle w:val="ListParagraph"/>
        <w:numPr>
          <w:ilvl w:val="0"/>
          <w:numId w:val="2"/>
        </w:numPr>
        <w:tabs>
          <w:tab w:val="left" w:pos="1199"/>
          <w:tab w:val="left" w:pos="1200"/>
        </w:tabs>
        <w:spacing w:before="2"/>
      </w:pPr>
      <w:r>
        <w:t>PRGs are advisory groups and do not have decision-making</w:t>
      </w:r>
      <w:r>
        <w:rPr>
          <w:spacing w:val="-11"/>
        </w:rPr>
        <w:t xml:space="preserve"> </w:t>
      </w:r>
      <w:proofErr w:type="gramStart"/>
      <w:r>
        <w:t>authority</w:t>
      </w:r>
      <w:proofErr w:type="gramEnd"/>
    </w:p>
    <w:p w14:paraId="3230FFB4" w14:textId="77777777" w:rsidR="00857924" w:rsidRDefault="0093551E">
      <w:pPr>
        <w:pStyle w:val="ListParagraph"/>
        <w:numPr>
          <w:ilvl w:val="0"/>
          <w:numId w:val="2"/>
        </w:numPr>
        <w:tabs>
          <w:tab w:val="left" w:pos="1199"/>
          <w:tab w:val="left" w:pos="1200"/>
        </w:tabs>
        <w:spacing w:before="19"/>
        <w:ind w:hanging="361"/>
      </w:pPr>
      <w:r>
        <w:lastRenderedPageBreak/>
        <w:t xml:space="preserve">PRGs will be </w:t>
      </w:r>
      <w:r>
        <w:t>consulted at all stages of solicitations, including but not limited</w:t>
      </w:r>
      <w:r>
        <w:rPr>
          <w:spacing w:val="-15"/>
        </w:rPr>
        <w:t xml:space="preserve"> </w:t>
      </w:r>
      <w:r>
        <w:t>to:</w:t>
      </w:r>
    </w:p>
    <w:p w14:paraId="3230FFB5" w14:textId="77777777" w:rsidR="00857924" w:rsidRDefault="0093551E">
      <w:pPr>
        <w:pStyle w:val="ListParagraph"/>
        <w:numPr>
          <w:ilvl w:val="1"/>
          <w:numId w:val="2"/>
        </w:numPr>
        <w:tabs>
          <w:tab w:val="left" w:pos="1919"/>
          <w:tab w:val="left" w:pos="1920"/>
        </w:tabs>
        <w:spacing w:before="19"/>
        <w:ind w:hanging="361"/>
      </w:pPr>
      <w:r>
        <w:t>Reviewing each sector-or segment-specific solicitation</w:t>
      </w:r>
      <w:r>
        <w:rPr>
          <w:spacing w:val="-4"/>
        </w:rPr>
        <w:t xml:space="preserve"> </w:t>
      </w:r>
      <w:proofErr w:type="gramStart"/>
      <w:r>
        <w:t>plan;</w:t>
      </w:r>
      <w:proofErr w:type="gramEnd"/>
    </w:p>
    <w:p w14:paraId="3230FFB6" w14:textId="77777777" w:rsidR="00857924" w:rsidRDefault="0093551E">
      <w:pPr>
        <w:pStyle w:val="ListParagraph"/>
        <w:numPr>
          <w:ilvl w:val="1"/>
          <w:numId w:val="2"/>
        </w:numPr>
        <w:tabs>
          <w:tab w:val="left" w:pos="1919"/>
          <w:tab w:val="left" w:pos="1920"/>
        </w:tabs>
        <w:spacing w:before="3"/>
        <w:ind w:left="1920"/>
      </w:pPr>
      <w:r>
        <w:t>Providing timely input into draft solicitation</w:t>
      </w:r>
      <w:r>
        <w:rPr>
          <w:spacing w:val="-4"/>
        </w:rPr>
        <w:t xml:space="preserve"> </w:t>
      </w:r>
      <w:r>
        <w:t>language</w:t>
      </w:r>
    </w:p>
    <w:p w14:paraId="3230FFB7" w14:textId="77777777" w:rsidR="00857924" w:rsidRDefault="0093551E">
      <w:pPr>
        <w:pStyle w:val="ListParagraph"/>
        <w:numPr>
          <w:ilvl w:val="1"/>
          <w:numId w:val="2"/>
        </w:numPr>
        <w:tabs>
          <w:tab w:val="left" w:pos="1919"/>
          <w:tab w:val="left" w:pos="1920"/>
        </w:tabs>
        <w:ind w:hanging="361"/>
      </w:pPr>
      <w:r>
        <w:t>Providing timeline input into evaluation and scoring</w:t>
      </w:r>
      <w:r>
        <w:rPr>
          <w:spacing w:val="-5"/>
        </w:rPr>
        <w:t xml:space="preserve"> </w:t>
      </w:r>
      <w:r>
        <w:t>criteria</w:t>
      </w:r>
    </w:p>
    <w:p w14:paraId="3230FFB8" w14:textId="77777777" w:rsidR="00857924" w:rsidRDefault="0093551E">
      <w:pPr>
        <w:pStyle w:val="ListParagraph"/>
        <w:numPr>
          <w:ilvl w:val="1"/>
          <w:numId w:val="2"/>
        </w:numPr>
        <w:tabs>
          <w:tab w:val="left" w:pos="1919"/>
          <w:tab w:val="left" w:pos="1920"/>
        </w:tabs>
        <w:spacing w:before="3"/>
        <w:ind w:hanging="361"/>
      </w:pPr>
      <w:r>
        <w:t>Providing recommendations based on the review of</w:t>
      </w:r>
      <w:r>
        <w:rPr>
          <w:spacing w:val="-7"/>
        </w:rPr>
        <w:t xml:space="preserve"> </w:t>
      </w:r>
      <w:proofErr w:type="gramStart"/>
      <w:r>
        <w:t>materials</w:t>
      </w:r>
      <w:proofErr w:type="gramEnd"/>
    </w:p>
    <w:p w14:paraId="3230FFB9" w14:textId="77777777" w:rsidR="00857924" w:rsidRDefault="0093551E">
      <w:pPr>
        <w:pStyle w:val="Heading2"/>
        <w:spacing w:before="160"/>
      </w:pPr>
      <w:r>
        <w:t>Independent Evaluators (IEs)</w:t>
      </w:r>
    </w:p>
    <w:p w14:paraId="3230FFBA" w14:textId="77777777" w:rsidR="00857924" w:rsidRDefault="0093551E">
      <w:pPr>
        <w:pStyle w:val="ListParagraph"/>
        <w:numPr>
          <w:ilvl w:val="0"/>
          <w:numId w:val="2"/>
        </w:numPr>
        <w:tabs>
          <w:tab w:val="left" w:pos="1199"/>
          <w:tab w:val="left" w:pos="1200"/>
        </w:tabs>
        <w:ind w:hanging="361"/>
      </w:pPr>
      <w:r>
        <w:t>IEs will serve as consultants to the PRGs and participate in PRG</w:t>
      </w:r>
      <w:r>
        <w:rPr>
          <w:spacing w:val="-12"/>
        </w:rPr>
        <w:t xml:space="preserve"> </w:t>
      </w:r>
      <w:proofErr w:type="gramStart"/>
      <w:r>
        <w:t>meetings</w:t>
      </w:r>
      <w:proofErr w:type="gramEnd"/>
    </w:p>
    <w:p w14:paraId="3230FFBB" w14:textId="77777777" w:rsidR="00857924" w:rsidRDefault="0093551E">
      <w:pPr>
        <w:pStyle w:val="ListParagraph"/>
        <w:numPr>
          <w:ilvl w:val="0"/>
          <w:numId w:val="2"/>
        </w:numPr>
        <w:tabs>
          <w:tab w:val="left" w:pos="1199"/>
          <w:tab w:val="left" w:pos="1200"/>
        </w:tabs>
        <w:spacing w:before="20"/>
        <w:ind w:hanging="361"/>
      </w:pPr>
      <w:r>
        <w:t>IEs will observe each solicitation, per contracted scope of</w:t>
      </w:r>
      <w:r>
        <w:rPr>
          <w:spacing w:val="-7"/>
        </w:rPr>
        <w:t xml:space="preserve"> </w:t>
      </w:r>
      <w:proofErr w:type="gramStart"/>
      <w:r>
        <w:t>work</w:t>
      </w:r>
      <w:proofErr w:type="gramEnd"/>
    </w:p>
    <w:p w14:paraId="3230FFBC" w14:textId="77777777" w:rsidR="00857924" w:rsidRDefault="0093551E">
      <w:pPr>
        <w:pStyle w:val="ListParagraph"/>
        <w:numPr>
          <w:ilvl w:val="0"/>
          <w:numId w:val="2"/>
        </w:numPr>
        <w:tabs>
          <w:tab w:val="left" w:pos="1198"/>
          <w:tab w:val="left" w:pos="1200"/>
        </w:tabs>
        <w:spacing w:before="20" w:line="256" w:lineRule="auto"/>
        <w:ind w:right="287"/>
      </w:pPr>
      <w:r>
        <w:t>IEs</w:t>
      </w:r>
      <w:r>
        <w:rPr>
          <w:spacing w:val="-4"/>
        </w:rPr>
        <w:t xml:space="preserve"> </w:t>
      </w:r>
      <w:r>
        <w:t>will</w:t>
      </w:r>
      <w:r>
        <w:rPr>
          <w:spacing w:val="-3"/>
        </w:rPr>
        <w:t xml:space="preserve"> </w:t>
      </w:r>
      <w:r>
        <w:t>provide</w:t>
      </w:r>
      <w:r>
        <w:rPr>
          <w:spacing w:val="-3"/>
        </w:rPr>
        <w:t xml:space="preserve"> </w:t>
      </w:r>
      <w:r>
        <w:t>consultation,</w:t>
      </w:r>
      <w:r>
        <w:rPr>
          <w:spacing w:val="-3"/>
        </w:rPr>
        <w:t xml:space="preserve"> </w:t>
      </w:r>
      <w:r>
        <w:t>notes</w:t>
      </w:r>
      <w:r>
        <w:rPr>
          <w:spacing w:val="-3"/>
        </w:rPr>
        <w:t xml:space="preserve"> </w:t>
      </w:r>
      <w:r>
        <w:t>and</w:t>
      </w:r>
      <w:r>
        <w:rPr>
          <w:spacing w:val="-3"/>
        </w:rPr>
        <w:t xml:space="preserve"> </w:t>
      </w:r>
      <w:r>
        <w:t>report</w:t>
      </w:r>
      <w:r>
        <w:rPr>
          <w:spacing w:val="-3"/>
        </w:rPr>
        <w:t xml:space="preserve"> </w:t>
      </w:r>
      <w:r>
        <w:t>findings</w:t>
      </w:r>
      <w:r>
        <w:rPr>
          <w:spacing w:val="-4"/>
        </w:rPr>
        <w:t xml:space="preserve"> </w:t>
      </w:r>
      <w:r>
        <w:t>and</w:t>
      </w:r>
      <w:r>
        <w:rPr>
          <w:spacing w:val="-3"/>
        </w:rPr>
        <w:t xml:space="preserve"> </w:t>
      </w:r>
      <w:r>
        <w:t>recommendations</w:t>
      </w:r>
      <w:r>
        <w:rPr>
          <w:spacing w:val="-3"/>
        </w:rPr>
        <w:t xml:space="preserve"> </w:t>
      </w:r>
      <w:r>
        <w:t>to</w:t>
      </w:r>
      <w:r>
        <w:rPr>
          <w:spacing w:val="-3"/>
        </w:rPr>
        <w:t xml:space="preserve"> </w:t>
      </w:r>
      <w:r>
        <w:t>the</w:t>
      </w:r>
      <w:r>
        <w:rPr>
          <w:spacing w:val="-3"/>
        </w:rPr>
        <w:t xml:space="preserve"> </w:t>
      </w:r>
      <w:r>
        <w:t>EE</w:t>
      </w:r>
      <w:r>
        <w:rPr>
          <w:spacing w:val="-3"/>
        </w:rPr>
        <w:t xml:space="preserve"> </w:t>
      </w:r>
      <w:r>
        <w:t>PRG</w:t>
      </w:r>
      <w:r>
        <w:rPr>
          <w:spacing w:val="-3"/>
        </w:rPr>
        <w:t xml:space="preserve"> </w:t>
      </w:r>
      <w:r>
        <w:t>and the Commission staff (if required) during and at the end of each solicitation</w:t>
      </w:r>
      <w:r>
        <w:rPr>
          <w:spacing w:val="-17"/>
        </w:rPr>
        <w:t xml:space="preserve"> </w:t>
      </w:r>
      <w:proofErr w:type="gramStart"/>
      <w:r>
        <w:t>process</w:t>
      </w:r>
      <w:proofErr w:type="gramEnd"/>
    </w:p>
    <w:p w14:paraId="3230FFBD" w14:textId="77777777" w:rsidR="00857924" w:rsidRDefault="00857924">
      <w:pPr>
        <w:spacing w:line="256" w:lineRule="auto"/>
        <w:sectPr w:rsidR="00857924">
          <w:pgSz w:w="12240" w:h="15840"/>
          <w:pgMar w:top="1380" w:right="980" w:bottom="900" w:left="1200" w:header="0" w:footer="702" w:gutter="0"/>
          <w:cols w:space="720"/>
        </w:sectPr>
      </w:pPr>
    </w:p>
    <w:p w14:paraId="3230FFBE" w14:textId="77777777" w:rsidR="00857924" w:rsidRDefault="0093551E">
      <w:pPr>
        <w:pStyle w:val="Heading2"/>
        <w:spacing w:before="80"/>
        <w:ind w:left="840"/>
      </w:pPr>
      <w:r>
        <w:lastRenderedPageBreak/>
        <w:t>IOU Solicitation Team</w:t>
      </w:r>
    </w:p>
    <w:p w14:paraId="3230FFBF" w14:textId="77777777" w:rsidR="00857924" w:rsidRDefault="0093551E">
      <w:pPr>
        <w:pStyle w:val="ListParagraph"/>
        <w:numPr>
          <w:ilvl w:val="0"/>
          <w:numId w:val="2"/>
        </w:numPr>
        <w:tabs>
          <w:tab w:val="left" w:pos="1199"/>
          <w:tab w:val="left" w:pos="1200"/>
        </w:tabs>
        <w:spacing w:line="269" w:lineRule="exact"/>
        <w:ind w:left="1200"/>
      </w:pPr>
      <w:r>
        <w:t>Manage the schedule for solicitations (local and</w:t>
      </w:r>
      <w:r>
        <w:rPr>
          <w:spacing w:val="-6"/>
        </w:rPr>
        <w:t xml:space="preserve"> </w:t>
      </w:r>
      <w:r>
        <w:t>SW)</w:t>
      </w:r>
    </w:p>
    <w:p w14:paraId="3230FFC0" w14:textId="77777777" w:rsidR="00857924" w:rsidRDefault="0093551E">
      <w:pPr>
        <w:pStyle w:val="ListParagraph"/>
        <w:numPr>
          <w:ilvl w:val="0"/>
          <w:numId w:val="2"/>
        </w:numPr>
        <w:tabs>
          <w:tab w:val="left" w:pos="1199"/>
          <w:tab w:val="left" w:pos="1200"/>
        </w:tabs>
        <w:spacing w:line="256" w:lineRule="auto"/>
        <w:ind w:right="769"/>
      </w:pPr>
      <w:r>
        <w:t xml:space="preserve">Notice: the IOUs </w:t>
      </w:r>
      <w:r>
        <w:t>will notice all meetings at least three business days in advance, which will include call in numbers for all</w:t>
      </w:r>
      <w:r>
        <w:rPr>
          <w:spacing w:val="-4"/>
        </w:rPr>
        <w:t xml:space="preserve"> </w:t>
      </w:r>
      <w:r>
        <w:t>participants</w:t>
      </w:r>
    </w:p>
    <w:p w14:paraId="3230FFC1" w14:textId="77777777" w:rsidR="00857924" w:rsidRDefault="0093551E">
      <w:pPr>
        <w:pStyle w:val="ListParagraph"/>
        <w:numPr>
          <w:ilvl w:val="0"/>
          <w:numId w:val="2"/>
        </w:numPr>
        <w:tabs>
          <w:tab w:val="left" w:pos="1199"/>
          <w:tab w:val="left" w:pos="1200"/>
        </w:tabs>
        <w:spacing w:before="2" w:line="256" w:lineRule="auto"/>
        <w:ind w:right="305"/>
      </w:pPr>
      <w:r>
        <w:t>Agenda: the IOUs will distribute an agenda and meeting materials at least 48 hours in advance of each PRG meeting</w:t>
      </w:r>
    </w:p>
    <w:p w14:paraId="3230FFC2" w14:textId="77777777" w:rsidR="00857924" w:rsidRDefault="0093551E">
      <w:pPr>
        <w:pStyle w:val="ListParagraph"/>
        <w:numPr>
          <w:ilvl w:val="0"/>
          <w:numId w:val="2"/>
        </w:numPr>
        <w:tabs>
          <w:tab w:val="left" w:pos="1199"/>
          <w:tab w:val="left" w:pos="1200"/>
        </w:tabs>
        <w:spacing w:before="2"/>
        <w:ind w:hanging="361"/>
      </w:pPr>
      <w:r>
        <w:t>Facilitation: the IOUs will administer and facilitate PRG</w:t>
      </w:r>
      <w:r>
        <w:rPr>
          <w:spacing w:val="-7"/>
        </w:rPr>
        <w:t xml:space="preserve"> </w:t>
      </w:r>
      <w:r>
        <w:t>meetings</w:t>
      </w:r>
    </w:p>
    <w:p w14:paraId="3230FFC3" w14:textId="77777777" w:rsidR="00857924" w:rsidRDefault="0093551E">
      <w:pPr>
        <w:pStyle w:val="ListParagraph"/>
        <w:numPr>
          <w:ilvl w:val="0"/>
          <w:numId w:val="2"/>
        </w:numPr>
        <w:tabs>
          <w:tab w:val="left" w:pos="1199"/>
          <w:tab w:val="left" w:pos="1200"/>
        </w:tabs>
        <w:spacing w:before="20" w:line="256" w:lineRule="auto"/>
        <w:ind w:right="213"/>
      </w:pPr>
      <w:r>
        <w:t>Meeting Notes: the IOUs will distribute meeting notes to PRG participants within one week of the meeting conclusion or before the next scheduled meeting, whichever comes</w:t>
      </w:r>
      <w:r>
        <w:rPr>
          <w:spacing w:val="-14"/>
        </w:rPr>
        <w:t xml:space="preserve"> </w:t>
      </w:r>
      <w:proofErr w:type="gramStart"/>
      <w:r>
        <w:t>first</w:t>
      </w:r>
      <w:proofErr w:type="gramEnd"/>
    </w:p>
    <w:p w14:paraId="3230FFC4" w14:textId="77777777" w:rsidR="00857924" w:rsidRDefault="00857924">
      <w:pPr>
        <w:pStyle w:val="BodyText"/>
        <w:spacing w:before="2"/>
        <w:rPr>
          <w:sz w:val="34"/>
        </w:rPr>
      </w:pPr>
    </w:p>
    <w:p w14:paraId="3230FFC5" w14:textId="77777777" w:rsidR="00857924" w:rsidRDefault="0093551E">
      <w:pPr>
        <w:ind w:left="840"/>
        <w:rPr>
          <w:b/>
          <w:sz w:val="24"/>
        </w:rPr>
      </w:pPr>
      <w:r>
        <w:rPr>
          <w:b/>
          <w:sz w:val="24"/>
          <w:u w:val="thick"/>
        </w:rPr>
        <w:t>Next Steps</w:t>
      </w:r>
    </w:p>
    <w:p w14:paraId="3230FFC6" w14:textId="77777777" w:rsidR="00857924" w:rsidRDefault="00857924">
      <w:pPr>
        <w:pStyle w:val="BodyText"/>
        <w:spacing w:before="1"/>
        <w:rPr>
          <w:b/>
          <w:sz w:val="16"/>
        </w:rPr>
      </w:pPr>
    </w:p>
    <w:p w14:paraId="3230FFC7" w14:textId="77777777" w:rsidR="00857924" w:rsidRDefault="0093551E">
      <w:pPr>
        <w:spacing w:before="91"/>
        <w:ind w:left="840" w:right="463"/>
      </w:pPr>
      <w:r>
        <w:t xml:space="preserve">Parties that would like to be considered for EE PRG participation are invited to submit the attached Questionnaire to the IOU(s) of their interest by no later than </w:t>
      </w:r>
      <w:r>
        <w:rPr>
          <w:b/>
        </w:rPr>
        <w:t>December 6, 2021, for immediate consideration</w:t>
      </w:r>
      <w:r>
        <w:t>.</w:t>
      </w:r>
    </w:p>
    <w:p w14:paraId="3230FFC8" w14:textId="77777777" w:rsidR="00857924" w:rsidRDefault="0093551E">
      <w:pPr>
        <w:pStyle w:val="ListParagraph"/>
        <w:numPr>
          <w:ilvl w:val="0"/>
          <w:numId w:val="1"/>
        </w:numPr>
        <w:tabs>
          <w:tab w:val="left" w:pos="1577"/>
          <w:tab w:val="left" w:pos="1578"/>
        </w:tabs>
        <w:spacing w:line="253" w:lineRule="exact"/>
      </w:pPr>
      <w:r>
        <w:t>Pacific Gas and Electric Company:</w:t>
      </w:r>
      <w:r>
        <w:rPr>
          <w:color w:val="0000FF"/>
          <w:spacing w:val="49"/>
        </w:rPr>
        <w:t xml:space="preserve"> </w:t>
      </w:r>
      <w:hyperlink r:id="rId11">
        <w:r>
          <w:rPr>
            <w:color w:val="0000FF"/>
            <w:u w:val="single" w:color="0000FF"/>
          </w:rPr>
          <w:t>EESolicitationsPRG@pge.com</w:t>
        </w:r>
      </w:hyperlink>
    </w:p>
    <w:p w14:paraId="3230FFC9" w14:textId="77777777" w:rsidR="00857924" w:rsidRDefault="0093551E">
      <w:pPr>
        <w:pStyle w:val="ListParagraph"/>
        <w:numPr>
          <w:ilvl w:val="0"/>
          <w:numId w:val="1"/>
        </w:numPr>
        <w:tabs>
          <w:tab w:val="left" w:pos="1577"/>
          <w:tab w:val="left" w:pos="1579"/>
        </w:tabs>
        <w:ind w:left="1578"/>
      </w:pPr>
      <w:r>
        <w:t>San Diego Gas and Electric Company:</w:t>
      </w:r>
      <w:r>
        <w:rPr>
          <w:color w:val="0000FF"/>
          <w:spacing w:val="-9"/>
        </w:rPr>
        <w:t xml:space="preserve"> </w:t>
      </w:r>
      <w:hyperlink r:id="rId12">
        <w:r>
          <w:rPr>
            <w:color w:val="0000FF"/>
            <w:u w:val="single" w:color="0000FF"/>
          </w:rPr>
          <w:t>SDGE_EE_PRG2@semprautilities.com</w:t>
        </w:r>
      </w:hyperlink>
    </w:p>
    <w:p w14:paraId="3230FFCA" w14:textId="77777777" w:rsidR="00857924" w:rsidRDefault="0093551E">
      <w:pPr>
        <w:pStyle w:val="ListParagraph"/>
        <w:numPr>
          <w:ilvl w:val="0"/>
          <w:numId w:val="1"/>
        </w:numPr>
        <w:tabs>
          <w:tab w:val="left" w:pos="1577"/>
          <w:tab w:val="left" w:pos="1579"/>
        </w:tabs>
        <w:ind w:left="1578"/>
      </w:pPr>
      <w:r>
        <w:t>Southern California Gas Company:</w:t>
      </w:r>
      <w:r>
        <w:rPr>
          <w:color w:val="0000FF"/>
        </w:rPr>
        <w:t xml:space="preserve"> </w:t>
      </w:r>
      <w:hyperlink r:id="rId13">
        <w:r>
          <w:rPr>
            <w:color w:val="0000FF"/>
            <w:u w:val="single" w:color="0000FF"/>
          </w:rPr>
          <w:t>SoCalGasEE</w:t>
        </w:r>
        <w:r>
          <w:rPr>
            <w:color w:val="0000FF"/>
            <w:spacing w:val="-6"/>
            <w:u w:val="single" w:color="0000FF"/>
          </w:rPr>
          <w:t xml:space="preserve"> </w:t>
        </w:r>
        <w:r>
          <w:rPr>
            <w:color w:val="0000FF"/>
            <w:u w:val="single" w:color="0000FF"/>
          </w:rPr>
          <w:t>PRG@socalgas.com</w:t>
        </w:r>
      </w:hyperlink>
    </w:p>
    <w:p w14:paraId="3230FFCB" w14:textId="77777777" w:rsidR="00857924" w:rsidRDefault="0093551E">
      <w:pPr>
        <w:pStyle w:val="ListParagraph"/>
        <w:numPr>
          <w:ilvl w:val="0"/>
          <w:numId w:val="1"/>
        </w:numPr>
        <w:tabs>
          <w:tab w:val="left" w:pos="1577"/>
          <w:tab w:val="left" w:pos="1579"/>
        </w:tabs>
        <w:ind w:left="1578"/>
      </w:pPr>
      <w:r>
        <w:t>Southern California Edison Company:</w:t>
      </w:r>
      <w:r>
        <w:rPr>
          <w:color w:val="0000FF"/>
          <w:spacing w:val="-4"/>
        </w:rPr>
        <w:t xml:space="preserve"> </w:t>
      </w:r>
      <w:hyperlink r:id="rId14">
        <w:r>
          <w:rPr>
            <w:color w:val="0000FF"/>
            <w:u w:val="single" w:color="0000FF"/>
          </w:rPr>
          <w:t>EESolicitations@sce.com</w:t>
        </w:r>
        <w:r>
          <w:t>.</w:t>
        </w:r>
      </w:hyperlink>
    </w:p>
    <w:p w14:paraId="3230FFCC" w14:textId="77777777" w:rsidR="00857924" w:rsidRDefault="00857924">
      <w:pPr>
        <w:pStyle w:val="BodyText"/>
        <w:spacing w:before="1"/>
        <w:rPr>
          <w:sz w:val="14"/>
        </w:rPr>
      </w:pPr>
    </w:p>
    <w:p w14:paraId="3230FFCD" w14:textId="77777777" w:rsidR="00857924" w:rsidRDefault="0093551E">
      <w:pPr>
        <w:pStyle w:val="BodyText"/>
        <w:spacing w:before="91"/>
        <w:ind w:left="840" w:right="177"/>
      </w:pPr>
      <w:r>
        <w:t>Each IOU will review prospective EE PRG members’ responses to the Questionnaire and inform prospective EE PRG members of their recommendation for inclusion in its EE PRG. These recommended EE PRG members will review, sign, and submit the enclosed NDA and Conflict of Interest Form. In cases where an approved organization desires more than one individual to participate in the PRGs, those individuals should each review, sign, and submit "Appendix A to Nondisclosure Agreement: Nondisclosure Certificate" as well</w:t>
      </w:r>
      <w:r>
        <w:t xml:space="preserve"> as the </w:t>
      </w:r>
      <w:proofErr w:type="gramStart"/>
      <w:r>
        <w:t>Conflict of Interest</w:t>
      </w:r>
      <w:proofErr w:type="gramEnd"/>
      <w:r>
        <w:t xml:space="preserve"> form to the IOU.</w:t>
      </w:r>
    </w:p>
    <w:p w14:paraId="3230FFCE" w14:textId="77777777" w:rsidR="00857924" w:rsidRDefault="0093551E">
      <w:pPr>
        <w:pStyle w:val="BodyText"/>
        <w:ind w:left="839" w:right="90"/>
      </w:pPr>
      <w:r>
        <w:t xml:space="preserve">Any EE PRG member who wants to participate in EE PRGs for statewide solicitations must review, sign, and submit a Nondisclosure Agreement and Conflict of Interest form to all four IOUs. EE PRG members will be recommended for approval to the Director of the Commission’s Energy Division by letter, no later than </w:t>
      </w:r>
      <w:r>
        <w:rPr>
          <w:b/>
        </w:rPr>
        <w:t>12/10/2021</w:t>
      </w:r>
      <w:r>
        <w:t>. The letter will also describe any disputes about the composition of the EE PRGs. These disputes will be resolved by the Energy Division Director informally or brought to the Commission more formally, at the Director’s discretion.</w:t>
      </w:r>
    </w:p>
    <w:p w14:paraId="3230FFCF" w14:textId="77777777" w:rsidR="00857924" w:rsidRDefault="00857924">
      <w:pPr>
        <w:pStyle w:val="BodyText"/>
        <w:rPr>
          <w:sz w:val="20"/>
        </w:rPr>
      </w:pPr>
    </w:p>
    <w:p w14:paraId="3230FFD0" w14:textId="77777777" w:rsidR="00857924" w:rsidRDefault="0093551E">
      <w:pPr>
        <w:pStyle w:val="BodyText"/>
        <w:spacing w:before="1"/>
        <w:rPr>
          <w:sz w:val="16"/>
        </w:rPr>
      </w:pPr>
      <w:r>
        <w:pict w14:anchorId="3230FFE2">
          <v:shape id="_x0000_s2051" style="position:absolute;margin-left:1in;margin-top:11.65pt;width:2in;height:.1pt;z-index:-251657216;mso-wrap-distance-left:0;mso-wrap-distance-right:0;mso-position-horizontal-relative:page" coordorigin="1440,233" coordsize="2880,0" path="m1440,233r2880,e" filled="f" strokeweight=".72pt">
            <v:path arrowok="t"/>
            <w10:wrap type="topAndBottom" anchorx="page"/>
          </v:shape>
        </w:pict>
      </w:r>
    </w:p>
    <w:p w14:paraId="3230FFD1" w14:textId="77777777" w:rsidR="00857924" w:rsidRDefault="0093551E">
      <w:pPr>
        <w:spacing w:before="35" w:line="246" w:lineRule="exact"/>
        <w:ind w:left="240"/>
        <w:rPr>
          <w:rFonts w:ascii="Calibri"/>
          <w:sz w:val="20"/>
        </w:rPr>
      </w:pPr>
      <w:r>
        <w:rPr>
          <w:rFonts w:ascii="Calibri"/>
          <w:position w:val="7"/>
          <w:sz w:val="13"/>
        </w:rPr>
        <w:t xml:space="preserve">5 </w:t>
      </w:r>
      <w:r>
        <w:rPr>
          <w:rFonts w:ascii="Calibri"/>
          <w:sz w:val="20"/>
        </w:rPr>
        <w:t>D.18-01-004, OPs 3 and 4.</w:t>
      </w:r>
    </w:p>
    <w:p w14:paraId="3230FFD2" w14:textId="77777777" w:rsidR="00857924" w:rsidRDefault="0093551E">
      <w:pPr>
        <w:spacing w:line="244" w:lineRule="exact"/>
        <w:ind w:left="240"/>
        <w:rPr>
          <w:rFonts w:ascii="Calibri"/>
          <w:sz w:val="20"/>
        </w:rPr>
      </w:pPr>
      <w:r>
        <w:rPr>
          <w:rFonts w:ascii="Calibri"/>
          <w:position w:val="7"/>
          <w:sz w:val="13"/>
        </w:rPr>
        <w:t xml:space="preserve">6 </w:t>
      </w:r>
      <w:r>
        <w:rPr>
          <w:rFonts w:ascii="Calibri"/>
          <w:sz w:val="20"/>
        </w:rPr>
        <w:t>D.18-01-004, Finding of Fact (FOF) 11, COL 11.</w:t>
      </w:r>
    </w:p>
    <w:p w14:paraId="3230FFD3" w14:textId="77777777" w:rsidR="00857924" w:rsidRDefault="0093551E">
      <w:pPr>
        <w:spacing w:line="244" w:lineRule="exact"/>
        <w:ind w:left="240"/>
        <w:rPr>
          <w:rFonts w:ascii="Calibri" w:hAnsi="Calibri"/>
          <w:sz w:val="20"/>
        </w:rPr>
      </w:pPr>
      <w:r>
        <w:rPr>
          <w:rFonts w:ascii="Calibri" w:hAnsi="Calibri"/>
          <w:position w:val="7"/>
          <w:sz w:val="13"/>
        </w:rPr>
        <w:t xml:space="preserve">7 </w:t>
      </w:r>
      <w:r>
        <w:rPr>
          <w:rFonts w:ascii="Calibri" w:hAnsi="Calibri"/>
          <w:sz w:val="20"/>
        </w:rPr>
        <w:t xml:space="preserve">These materials are available on the CPUC’s website at </w:t>
      </w:r>
      <w:hyperlink r:id="rId15">
        <w:r>
          <w:rPr>
            <w:rFonts w:ascii="Calibri" w:hAnsi="Calibri"/>
            <w:color w:val="0000FF"/>
            <w:sz w:val="20"/>
            <w:u w:val="single" w:color="0000FF"/>
          </w:rPr>
          <w:t>http://www.cpuc.ca.gov/icomp/</w:t>
        </w:r>
      </w:hyperlink>
    </w:p>
    <w:p w14:paraId="3230FFD4" w14:textId="77777777" w:rsidR="00857924" w:rsidRDefault="0093551E">
      <w:pPr>
        <w:spacing w:line="244" w:lineRule="exact"/>
        <w:ind w:left="240"/>
        <w:rPr>
          <w:rFonts w:ascii="Calibri"/>
          <w:sz w:val="20"/>
        </w:rPr>
      </w:pPr>
      <w:r>
        <w:rPr>
          <w:rFonts w:ascii="Calibri"/>
          <w:position w:val="7"/>
          <w:sz w:val="13"/>
        </w:rPr>
        <w:t xml:space="preserve">8 </w:t>
      </w:r>
      <w:r>
        <w:rPr>
          <w:rFonts w:ascii="Calibri"/>
          <w:sz w:val="20"/>
        </w:rPr>
        <w:t>D.18-01-004, OP 4.</w:t>
      </w:r>
    </w:p>
    <w:p w14:paraId="3230FFD5" w14:textId="77777777" w:rsidR="00857924" w:rsidRDefault="0093551E">
      <w:pPr>
        <w:spacing w:line="245" w:lineRule="exact"/>
        <w:ind w:left="240"/>
        <w:rPr>
          <w:rFonts w:ascii="Calibri"/>
          <w:sz w:val="20"/>
        </w:rPr>
      </w:pPr>
      <w:r>
        <w:rPr>
          <w:rFonts w:ascii="Calibri"/>
          <w:position w:val="7"/>
          <w:sz w:val="13"/>
        </w:rPr>
        <w:t xml:space="preserve">9 </w:t>
      </w:r>
      <w:r>
        <w:rPr>
          <w:rFonts w:ascii="Calibri"/>
          <w:sz w:val="20"/>
        </w:rPr>
        <w:t>D.18-01-004, p. 35, OP 4.</w:t>
      </w:r>
    </w:p>
    <w:p w14:paraId="3230FFD6" w14:textId="77777777" w:rsidR="00857924" w:rsidRDefault="0093551E">
      <w:pPr>
        <w:spacing w:line="246" w:lineRule="exact"/>
        <w:ind w:left="240"/>
        <w:rPr>
          <w:rFonts w:ascii="Calibri"/>
          <w:sz w:val="20"/>
        </w:rPr>
      </w:pPr>
      <w:r>
        <w:rPr>
          <w:rFonts w:ascii="Calibri"/>
          <w:position w:val="7"/>
          <w:sz w:val="13"/>
        </w:rPr>
        <w:t xml:space="preserve">10 </w:t>
      </w:r>
      <w:r>
        <w:rPr>
          <w:rFonts w:ascii="Calibri"/>
          <w:sz w:val="20"/>
        </w:rPr>
        <w:t>D.18-01-004, pp. 37-38, OP 5.</w:t>
      </w:r>
    </w:p>
    <w:p w14:paraId="3230FFD7" w14:textId="77777777" w:rsidR="00857924" w:rsidRDefault="00857924">
      <w:pPr>
        <w:pStyle w:val="BodyText"/>
        <w:rPr>
          <w:rFonts w:ascii="Calibri"/>
          <w:sz w:val="20"/>
        </w:rPr>
      </w:pPr>
    </w:p>
    <w:p w14:paraId="3230FFD8" w14:textId="77777777" w:rsidR="00857924" w:rsidRDefault="00857924">
      <w:pPr>
        <w:pStyle w:val="BodyText"/>
        <w:rPr>
          <w:rFonts w:ascii="Calibri"/>
          <w:sz w:val="20"/>
        </w:rPr>
      </w:pPr>
    </w:p>
    <w:p w14:paraId="3230FFD9" w14:textId="77777777" w:rsidR="00857924" w:rsidRDefault="00857924">
      <w:pPr>
        <w:pStyle w:val="BodyText"/>
        <w:rPr>
          <w:rFonts w:ascii="Calibri"/>
          <w:sz w:val="20"/>
        </w:rPr>
      </w:pPr>
    </w:p>
    <w:p w14:paraId="3230FFDA" w14:textId="77777777" w:rsidR="00857924" w:rsidRDefault="00857924">
      <w:pPr>
        <w:pStyle w:val="BodyText"/>
        <w:rPr>
          <w:rFonts w:ascii="Calibri"/>
          <w:sz w:val="20"/>
        </w:rPr>
      </w:pPr>
    </w:p>
    <w:p w14:paraId="3230FFDB" w14:textId="77777777" w:rsidR="00857924" w:rsidRDefault="00857924">
      <w:pPr>
        <w:pStyle w:val="BodyText"/>
        <w:rPr>
          <w:rFonts w:ascii="Calibri"/>
          <w:sz w:val="20"/>
        </w:rPr>
      </w:pPr>
    </w:p>
    <w:p w14:paraId="3230FFDC" w14:textId="77777777" w:rsidR="00857924" w:rsidRDefault="00857924">
      <w:pPr>
        <w:pStyle w:val="BodyText"/>
        <w:rPr>
          <w:rFonts w:ascii="Calibri"/>
          <w:sz w:val="20"/>
        </w:rPr>
      </w:pPr>
    </w:p>
    <w:p w14:paraId="3230FFDD" w14:textId="77777777" w:rsidR="00857924" w:rsidRDefault="00857924">
      <w:pPr>
        <w:pStyle w:val="BodyText"/>
        <w:rPr>
          <w:rFonts w:ascii="Calibri"/>
          <w:sz w:val="20"/>
        </w:rPr>
      </w:pPr>
    </w:p>
    <w:p w14:paraId="3230FFDE" w14:textId="77777777" w:rsidR="00857924" w:rsidRDefault="0093551E">
      <w:pPr>
        <w:pStyle w:val="BodyText"/>
        <w:spacing w:before="2"/>
        <w:rPr>
          <w:rFonts w:ascii="Calibri"/>
          <w:sz w:val="25"/>
        </w:rPr>
      </w:pPr>
      <w:r>
        <w:pict w14:anchorId="3230FFE3">
          <v:shape id="_x0000_s2050" style="position:absolute;margin-left:1in;margin-top:17.75pt;width:2in;height:.1pt;z-index:-251656192;mso-wrap-distance-left:0;mso-wrap-distance-right:0;mso-position-horizontal-relative:page" coordorigin="1440,355" coordsize="2880,0" path="m1440,355r2880,e" filled="f" strokeweight=".72pt">
            <v:path arrowok="t"/>
            <w10:wrap type="topAndBottom" anchorx="page"/>
          </v:shape>
        </w:pict>
      </w:r>
    </w:p>
    <w:p w14:paraId="3230FFDF" w14:textId="77777777" w:rsidR="00857924" w:rsidRDefault="0093551E">
      <w:pPr>
        <w:spacing w:before="35" w:line="247" w:lineRule="exact"/>
        <w:ind w:left="240"/>
        <w:rPr>
          <w:rFonts w:ascii="Calibri"/>
          <w:sz w:val="20"/>
        </w:rPr>
      </w:pPr>
      <w:r>
        <w:rPr>
          <w:rFonts w:ascii="Calibri"/>
          <w:position w:val="7"/>
          <w:sz w:val="13"/>
        </w:rPr>
        <w:t xml:space="preserve">11 </w:t>
      </w:r>
      <w:r>
        <w:rPr>
          <w:rFonts w:ascii="Calibri"/>
          <w:sz w:val="20"/>
        </w:rPr>
        <w:t>D.18-01-004, p. 36; OP 3.</w:t>
      </w:r>
    </w:p>
    <w:p w14:paraId="3230FFE0" w14:textId="77777777" w:rsidR="00857924" w:rsidRDefault="0093551E">
      <w:pPr>
        <w:spacing w:line="247" w:lineRule="exact"/>
        <w:ind w:left="240"/>
        <w:rPr>
          <w:rFonts w:ascii="Calibri"/>
          <w:sz w:val="20"/>
        </w:rPr>
      </w:pPr>
      <w:r>
        <w:rPr>
          <w:rFonts w:ascii="Calibri"/>
          <w:position w:val="7"/>
          <w:sz w:val="13"/>
        </w:rPr>
        <w:t xml:space="preserve">12 </w:t>
      </w:r>
      <w:r>
        <w:rPr>
          <w:rFonts w:ascii="Calibri"/>
          <w:sz w:val="20"/>
        </w:rPr>
        <w:t>D.18-01-004, p. 36.</w:t>
      </w:r>
    </w:p>
    <w:sectPr w:rsidR="00857924">
      <w:pgSz w:w="12240" w:h="15840"/>
      <w:pgMar w:top="1300" w:right="980" w:bottom="920" w:left="120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1443" w14:textId="77777777" w:rsidR="00C9521E" w:rsidRDefault="00C9521E">
      <w:r>
        <w:separator/>
      </w:r>
    </w:p>
  </w:endnote>
  <w:endnote w:type="continuationSeparator" w:id="0">
    <w:p w14:paraId="2BA05C55" w14:textId="77777777" w:rsidR="00C9521E" w:rsidRDefault="00C9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FFE4" w14:textId="77777777" w:rsidR="00857924" w:rsidRDefault="0093551E">
    <w:pPr>
      <w:pStyle w:val="BodyText"/>
      <w:spacing w:line="14" w:lineRule="auto"/>
      <w:rPr>
        <w:sz w:val="19"/>
      </w:rPr>
    </w:pPr>
    <w:r>
      <w:pict w14:anchorId="3230FFE5">
        <v:shapetype id="_x0000_t202" coordsize="21600,21600" o:spt="202" path="m,l,21600r21600,l21600,xe">
          <v:stroke joinstyle="miter"/>
          <v:path gradientshapeok="t" o:connecttype="rect"/>
        </v:shapetype>
        <v:shape id="_x0000_s1026" type="#_x0000_t202" style="position:absolute;margin-left:69pt;margin-top:744.35pt;width:11.55pt;height:13pt;z-index:-251814912;mso-position-horizontal-relative:page;mso-position-vertical-relative:page" filled="f" stroked="f">
          <v:textbox inset="0,0,0,0">
            <w:txbxContent>
              <w:p w14:paraId="3230FFE7" w14:textId="77777777" w:rsidR="00857924" w:rsidRDefault="0093551E">
                <w:pPr>
                  <w:pStyle w:val="BodyText"/>
                  <w:spacing w:line="244" w:lineRule="exact"/>
                  <w:ind w:left="60"/>
                  <w:rPr>
                    <w:rFonts w:ascii="Calibri"/>
                  </w:rPr>
                </w:pPr>
                <w:r>
                  <w:fldChar w:fldCharType="begin"/>
                </w:r>
                <w:r>
                  <w:rPr>
                    <w:rFonts w:ascii="Calibri"/>
                    <w:w w:val="99"/>
                  </w:rPr>
                  <w:instrText xml:space="preserve"> PAGE </w:instrText>
                </w:r>
                <w:r>
                  <w:fldChar w:fldCharType="separate"/>
                </w:r>
                <w:r>
                  <w:t>2</w:t>
                </w:r>
                <w:r>
                  <w:fldChar w:fldCharType="end"/>
                </w:r>
              </w:p>
            </w:txbxContent>
          </v:textbox>
          <w10:wrap anchorx="page" anchory="page"/>
        </v:shape>
      </w:pict>
    </w:r>
    <w:r>
      <w:pict w14:anchorId="3230FFE6">
        <v:shape id="_x0000_s1025" type="#_x0000_t202" style="position:absolute;margin-left:428.35pt;margin-top:744.35pt;width:92.55pt;height:13pt;z-index:-251813888;mso-position-horizontal-relative:page;mso-position-vertical-relative:page" filled="f" stroked="f">
          <v:textbox inset="0,0,0,0">
            <w:txbxContent>
              <w:p w14:paraId="3230FFE8" w14:textId="4C2D3A71" w:rsidR="00857924" w:rsidRDefault="0093551E">
                <w:pPr>
                  <w:pStyle w:val="BodyText"/>
                  <w:spacing w:line="244" w:lineRule="exact"/>
                  <w:ind w:left="20"/>
                  <w:rPr>
                    <w:rFonts w:ascii="Calibri"/>
                  </w:rPr>
                </w:pPr>
                <w:r>
                  <w:rPr>
                    <w:rFonts w:ascii="Calibri"/>
                  </w:rPr>
                  <w:t>Version dated 12</w:t>
                </w:r>
                <w:r>
                  <w:rPr>
                    <w:rFonts w:ascii="Calibri"/>
                  </w:rPr>
                  <w:t>-23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9712" w14:textId="77777777" w:rsidR="00C9521E" w:rsidRDefault="00C9521E">
      <w:r>
        <w:separator/>
      </w:r>
    </w:p>
  </w:footnote>
  <w:footnote w:type="continuationSeparator" w:id="0">
    <w:p w14:paraId="22923827" w14:textId="77777777" w:rsidR="00C9521E" w:rsidRDefault="00C95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725E5"/>
    <w:multiLevelType w:val="hybridMultilevel"/>
    <w:tmpl w:val="FB14BD7E"/>
    <w:lvl w:ilvl="0" w:tplc="00726A72">
      <w:numFmt w:val="bullet"/>
      <w:lvlText w:val="•"/>
      <w:lvlJc w:val="left"/>
      <w:pPr>
        <w:ind w:left="1577" w:hanging="739"/>
      </w:pPr>
      <w:rPr>
        <w:rFonts w:ascii="Times New Roman" w:eastAsia="Times New Roman" w:hAnsi="Times New Roman" w:cs="Times New Roman" w:hint="default"/>
        <w:w w:val="99"/>
        <w:sz w:val="22"/>
        <w:szCs w:val="22"/>
        <w:lang w:val="en-US" w:eastAsia="en-US" w:bidi="en-US"/>
      </w:rPr>
    </w:lvl>
    <w:lvl w:ilvl="1" w:tplc="19B48284">
      <w:numFmt w:val="bullet"/>
      <w:lvlText w:val="•"/>
      <w:lvlJc w:val="left"/>
      <w:pPr>
        <w:ind w:left="2428" w:hanging="739"/>
      </w:pPr>
      <w:rPr>
        <w:rFonts w:hint="default"/>
        <w:lang w:val="en-US" w:eastAsia="en-US" w:bidi="en-US"/>
      </w:rPr>
    </w:lvl>
    <w:lvl w:ilvl="2" w:tplc="676C0986">
      <w:numFmt w:val="bullet"/>
      <w:lvlText w:val="•"/>
      <w:lvlJc w:val="left"/>
      <w:pPr>
        <w:ind w:left="3276" w:hanging="739"/>
      </w:pPr>
      <w:rPr>
        <w:rFonts w:hint="default"/>
        <w:lang w:val="en-US" w:eastAsia="en-US" w:bidi="en-US"/>
      </w:rPr>
    </w:lvl>
    <w:lvl w:ilvl="3" w:tplc="BF1875EC">
      <w:numFmt w:val="bullet"/>
      <w:lvlText w:val="•"/>
      <w:lvlJc w:val="left"/>
      <w:pPr>
        <w:ind w:left="4124" w:hanging="739"/>
      </w:pPr>
      <w:rPr>
        <w:rFonts w:hint="default"/>
        <w:lang w:val="en-US" w:eastAsia="en-US" w:bidi="en-US"/>
      </w:rPr>
    </w:lvl>
    <w:lvl w:ilvl="4" w:tplc="7122C7A4">
      <w:numFmt w:val="bullet"/>
      <w:lvlText w:val="•"/>
      <w:lvlJc w:val="left"/>
      <w:pPr>
        <w:ind w:left="4972" w:hanging="739"/>
      </w:pPr>
      <w:rPr>
        <w:rFonts w:hint="default"/>
        <w:lang w:val="en-US" w:eastAsia="en-US" w:bidi="en-US"/>
      </w:rPr>
    </w:lvl>
    <w:lvl w:ilvl="5" w:tplc="9C7E183A">
      <w:numFmt w:val="bullet"/>
      <w:lvlText w:val="•"/>
      <w:lvlJc w:val="left"/>
      <w:pPr>
        <w:ind w:left="5820" w:hanging="739"/>
      </w:pPr>
      <w:rPr>
        <w:rFonts w:hint="default"/>
        <w:lang w:val="en-US" w:eastAsia="en-US" w:bidi="en-US"/>
      </w:rPr>
    </w:lvl>
    <w:lvl w:ilvl="6" w:tplc="B352F720">
      <w:numFmt w:val="bullet"/>
      <w:lvlText w:val="•"/>
      <w:lvlJc w:val="left"/>
      <w:pPr>
        <w:ind w:left="6668" w:hanging="739"/>
      </w:pPr>
      <w:rPr>
        <w:rFonts w:hint="default"/>
        <w:lang w:val="en-US" w:eastAsia="en-US" w:bidi="en-US"/>
      </w:rPr>
    </w:lvl>
    <w:lvl w:ilvl="7" w:tplc="42AE6F7C">
      <w:numFmt w:val="bullet"/>
      <w:lvlText w:val="•"/>
      <w:lvlJc w:val="left"/>
      <w:pPr>
        <w:ind w:left="7516" w:hanging="739"/>
      </w:pPr>
      <w:rPr>
        <w:rFonts w:hint="default"/>
        <w:lang w:val="en-US" w:eastAsia="en-US" w:bidi="en-US"/>
      </w:rPr>
    </w:lvl>
    <w:lvl w:ilvl="8" w:tplc="40F66AA6">
      <w:numFmt w:val="bullet"/>
      <w:lvlText w:val="•"/>
      <w:lvlJc w:val="left"/>
      <w:pPr>
        <w:ind w:left="8364" w:hanging="739"/>
      </w:pPr>
      <w:rPr>
        <w:rFonts w:hint="default"/>
        <w:lang w:val="en-US" w:eastAsia="en-US" w:bidi="en-US"/>
      </w:rPr>
    </w:lvl>
  </w:abstractNum>
  <w:abstractNum w:abstractNumId="1" w15:restartNumberingAfterBreak="0">
    <w:nsid w:val="1CFE01ED"/>
    <w:multiLevelType w:val="hybridMultilevel"/>
    <w:tmpl w:val="39B2AFAE"/>
    <w:lvl w:ilvl="0" w:tplc="173CC6F0">
      <w:numFmt w:val="bullet"/>
      <w:lvlText w:val=""/>
      <w:lvlJc w:val="left"/>
      <w:pPr>
        <w:ind w:left="958" w:hanging="362"/>
      </w:pPr>
      <w:rPr>
        <w:rFonts w:ascii="Symbol" w:eastAsia="Symbol" w:hAnsi="Symbol" w:cs="Symbol" w:hint="default"/>
        <w:w w:val="98"/>
        <w:sz w:val="22"/>
        <w:szCs w:val="22"/>
        <w:lang w:val="en-US" w:eastAsia="en-US" w:bidi="en-US"/>
      </w:rPr>
    </w:lvl>
    <w:lvl w:ilvl="1" w:tplc="7CC06FE0">
      <w:numFmt w:val="bullet"/>
      <w:lvlText w:val="•"/>
      <w:lvlJc w:val="left"/>
      <w:pPr>
        <w:ind w:left="1870" w:hanging="362"/>
      </w:pPr>
      <w:rPr>
        <w:rFonts w:hint="default"/>
        <w:lang w:val="en-US" w:eastAsia="en-US" w:bidi="en-US"/>
      </w:rPr>
    </w:lvl>
    <w:lvl w:ilvl="2" w:tplc="48FA3026">
      <w:numFmt w:val="bullet"/>
      <w:lvlText w:val="•"/>
      <w:lvlJc w:val="left"/>
      <w:pPr>
        <w:ind w:left="2780" w:hanging="362"/>
      </w:pPr>
      <w:rPr>
        <w:rFonts w:hint="default"/>
        <w:lang w:val="en-US" w:eastAsia="en-US" w:bidi="en-US"/>
      </w:rPr>
    </w:lvl>
    <w:lvl w:ilvl="3" w:tplc="6FCE981A">
      <w:numFmt w:val="bullet"/>
      <w:lvlText w:val="•"/>
      <w:lvlJc w:val="left"/>
      <w:pPr>
        <w:ind w:left="3690" w:hanging="362"/>
      </w:pPr>
      <w:rPr>
        <w:rFonts w:hint="default"/>
        <w:lang w:val="en-US" w:eastAsia="en-US" w:bidi="en-US"/>
      </w:rPr>
    </w:lvl>
    <w:lvl w:ilvl="4" w:tplc="B9EE792E">
      <w:numFmt w:val="bullet"/>
      <w:lvlText w:val="•"/>
      <w:lvlJc w:val="left"/>
      <w:pPr>
        <w:ind w:left="4600" w:hanging="362"/>
      </w:pPr>
      <w:rPr>
        <w:rFonts w:hint="default"/>
        <w:lang w:val="en-US" w:eastAsia="en-US" w:bidi="en-US"/>
      </w:rPr>
    </w:lvl>
    <w:lvl w:ilvl="5" w:tplc="3C2CE2DC">
      <w:numFmt w:val="bullet"/>
      <w:lvlText w:val="•"/>
      <w:lvlJc w:val="left"/>
      <w:pPr>
        <w:ind w:left="5510" w:hanging="362"/>
      </w:pPr>
      <w:rPr>
        <w:rFonts w:hint="default"/>
        <w:lang w:val="en-US" w:eastAsia="en-US" w:bidi="en-US"/>
      </w:rPr>
    </w:lvl>
    <w:lvl w:ilvl="6" w:tplc="8D043B86">
      <w:numFmt w:val="bullet"/>
      <w:lvlText w:val="•"/>
      <w:lvlJc w:val="left"/>
      <w:pPr>
        <w:ind w:left="6420" w:hanging="362"/>
      </w:pPr>
      <w:rPr>
        <w:rFonts w:hint="default"/>
        <w:lang w:val="en-US" w:eastAsia="en-US" w:bidi="en-US"/>
      </w:rPr>
    </w:lvl>
    <w:lvl w:ilvl="7" w:tplc="0C6010B4">
      <w:numFmt w:val="bullet"/>
      <w:lvlText w:val="•"/>
      <w:lvlJc w:val="left"/>
      <w:pPr>
        <w:ind w:left="7330" w:hanging="362"/>
      </w:pPr>
      <w:rPr>
        <w:rFonts w:hint="default"/>
        <w:lang w:val="en-US" w:eastAsia="en-US" w:bidi="en-US"/>
      </w:rPr>
    </w:lvl>
    <w:lvl w:ilvl="8" w:tplc="1D8A772C">
      <w:numFmt w:val="bullet"/>
      <w:lvlText w:val="•"/>
      <w:lvlJc w:val="left"/>
      <w:pPr>
        <w:ind w:left="8240" w:hanging="362"/>
      </w:pPr>
      <w:rPr>
        <w:rFonts w:hint="default"/>
        <w:lang w:val="en-US" w:eastAsia="en-US" w:bidi="en-US"/>
      </w:rPr>
    </w:lvl>
  </w:abstractNum>
  <w:abstractNum w:abstractNumId="2" w15:restartNumberingAfterBreak="0">
    <w:nsid w:val="40D31FF2"/>
    <w:multiLevelType w:val="hybridMultilevel"/>
    <w:tmpl w:val="7E4C8A56"/>
    <w:lvl w:ilvl="0" w:tplc="911A2104">
      <w:numFmt w:val="bullet"/>
      <w:lvlText w:val=""/>
      <w:lvlJc w:val="left"/>
      <w:pPr>
        <w:ind w:left="1199" w:hanging="360"/>
      </w:pPr>
      <w:rPr>
        <w:rFonts w:ascii="Symbol" w:eastAsia="Symbol" w:hAnsi="Symbol" w:cs="Symbol" w:hint="default"/>
        <w:w w:val="99"/>
        <w:sz w:val="22"/>
        <w:szCs w:val="22"/>
        <w:lang w:val="en-US" w:eastAsia="en-US" w:bidi="en-US"/>
      </w:rPr>
    </w:lvl>
    <w:lvl w:ilvl="1" w:tplc="F2AEC004">
      <w:numFmt w:val="bullet"/>
      <w:lvlText w:val="o"/>
      <w:lvlJc w:val="left"/>
      <w:pPr>
        <w:ind w:left="1919" w:hanging="360"/>
      </w:pPr>
      <w:rPr>
        <w:rFonts w:ascii="Courier New" w:eastAsia="Courier New" w:hAnsi="Courier New" w:cs="Courier New" w:hint="default"/>
        <w:w w:val="99"/>
        <w:sz w:val="22"/>
        <w:szCs w:val="22"/>
        <w:lang w:val="en-US" w:eastAsia="en-US" w:bidi="en-US"/>
      </w:rPr>
    </w:lvl>
    <w:lvl w:ilvl="2" w:tplc="FFF8959C">
      <w:numFmt w:val="bullet"/>
      <w:lvlText w:val="•"/>
      <w:lvlJc w:val="left"/>
      <w:pPr>
        <w:ind w:left="2824" w:hanging="360"/>
      </w:pPr>
      <w:rPr>
        <w:rFonts w:hint="default"/>
        <w:lang w:val="en-US" w:eastAsia="en-US" w:bidi="en-US"/>
      </w:rPr>
    </w:lvl>
    <w:lvl w:ilvl="3" w:tplc="28BE4F96">
      <w:numFmt w:val="bullet"/>
      <w:lvlText w:val="•"/>
      <w:lvlJc w:val="left"/>
      <w:pPr>
        <w:ind w:left="3728" w:hanging="360"/>
      </w:pPr>
      <w:rPr>
        <w:rFonts w:hint="default"/>
        <w:lang w:val="en-US" w:eastAsia="en-US" w:bidi="en-US"/>
      </w:rPr>
    </w:lvl>
    <w:lvl w:ilvl="4" w:tplc="BD5E4BB4">
      <w:numFmt w:val="bullet"/>
      <w:lvlText w:val="•"/>
      <w:lvlJc w:val="left"/>
      <w:pPr>
        <w:ind w:left="4633" w:hanging="360"/>
      </w:pPr>
      <w:rPr>
        <w:rFonts w:hint="default"/>
        <w:lang w:val="en-US" w:eastAsia="en-US" w:bidi="en-US"/>
      </w:rPr>
    </w:lvl>
    <w:lvl w:ilvl="5" w:tplc="BBA66FE2">
      <w:numFmt w:val="bullet"/>
      <w:lvlText w:val="•"/>
      <w:lvlJc w:val="left"/>
      <w:pPr>
        <w:ind w:left="5537" w:hanging="360"/>
      </w:pPr>
      <w:rPr>
        <w:rFonts w:hint="default"/>
        <w:lang w:val="en-US" w:eastAsia="en-US" w:bidi="en-US"/>
      </w:rPr>
    </w:lvl>
    <w:lvl w:ilvl="6" w:tplc="A3A43D22">
      <w:numFmt w:val="bullet"/>
      <w:lvlText w:val="•"/>
      <w:lvlJc w:val="left"/>
      <w:pPr>
        <w:ind w:left="6442" w:hanging="360"/>
      </w:pPr>
      <w:rPr>
        <w:rFonts w:hint="default"/>
        <w:lang w:val="en-US" w:eastAsia="en-US" w:bidi="en-US"/>
      </w:rPr>
    </w:lvl>
    <w:lvl w:ilvl="7" w:tplc="D3BED576">
      <w:numFmt w:val="bullet"/>
      <w:lvlText w:val="•"/>
      <w:lvlJc w:val="left"/>
      <w:pPr>
        <w:ind w:left="7346" w:hanging="360"/>
      </w:pPr>
      <w:rPr>
        <w:rFonts w:hint="default"/>
        <w:lang w:val="en-US" w:eastAsia="en-US" w:bidi="en-US"/>
      </w:rPr>
    </w:lvl>
    <w:lvl w:ilvl="8" w:tplc="BE1264A8">
      <w:numFmt w:val="bullet"/>
      <w:lvlText w:val="•"/>
      <w:lvlJc w:val="left"/>
      <w:pPr>
        <w:ind w:left="8251" w:hanging="360"/>
      </w:pPr>
      <w:rPr>
        <w:rFonts w:hint="default"/>
        <w:lang w:val="en-US" w:eastAsia="en-US" w:bidi="en-US"/>
      </w:rPr>
    </w:lvl>
  </w:abstractNum>
  <w:abstractNum w:abstractNumId="3" w15:restartNumberingAfterBreak="0">
    <w:nsid w:val="66395B38"/>
    <w:multiLevelType w:val="hybridMultilevel"/>
    <w:tmpl w:val="94E46B12"/>
    <w:lvl w:ilvl="0" w:tplc="F2845DFE">
      <w:start w:val="1"/>
      <w:numFmt w:val="decimal"/>
      <w:lvlText w:val="(%1)"/>
      <w:lvlJc w:val="left"/>
      <w:pPr>
        <w:ind w:left="839" w:hanging="360"/>
      </w:pPr>
      <w:rPr>
        <w:rFonts w:ascii="Times New Roman" w:eastAsia="Times New Roman" w:hAnsi="Times New Roman" w:cs="Times New Roman" w:hint="default"/>
        <w:b/>
        <w:bCs/>
        <w:w w:val="99"/>
        <w:sz w:val="22"/>
        <w:szCs w:val="22"/>
        <w:lang w:val="en-US" w:eastAsia="en-US" w:bidi="en-US"/>
      </w:rPr>
    </w:lvl>
    <w:lvl w:ilvl="1" w:tplc="44E2E79C">
      <w:start w:val="1"/>
      <w:numFmt w:val="lowerLetter"/>
      <w:lvlText w:val="%2."/>
      <w:lvlJc w:val="left"/>
      <w:pPr>
        <w:ind w:left="1560" w:hanging="360"/>
      </w:pPr>
      <w:rPr>
        <w:rFonts w:ascii="Times New Roman" w:eastAsia="Times New Roman" w:hAnsi="Times New Roman" w:cs="Times New Roman" w:hint="default"/>
        <w:spacing w:val="-1"/>
        <w:w w:val="99"/>
        <w:sz w:val="22"/>
        <w:szCs w:val="22"/>
        <w:lang w:val="en-US" w:eastAsia="en-US" w:bidi="en-US"/>
      </w:rPr>
    </w:lvl>
    <w:lvl w:ilvl="2" w:tplc="D36C77BA">
      <w:numFmt w:val="bullet"/>
      <w:lvlText w:val="•"/>
      <w:lvlJc w:val="left"/>
      <w:pPr>
        <w:ind w:left="2504" w:hanging="360"/>
      </w:pPr>
      <w:rPr>
        <w:rFonts w:hint="default"/>
        <w:lang w:val="en-US" w:eastAsia="en-US" w:bidi="en-US"/>
      </w:rPr>
    </w:lvl>
    <w:lvl w:ilvl="3" w:tplc="A2C6078A">
      <w:numFmt w:val="bullet"/>
      <w:lvlText w:val="•"/>
      <w:lvlJc w:val="left"/>
      <w:pPr>
        <w:ind w:left="3448" w:hanging="360"/>
      </w:pPr>
      <w:rPr>
        <w:rFonts w:hint="default"/>
        <w:lang w:val="en-US" w:eastAsia="en-US" w:bidi="en-US"/>
      </w:rPr>
    </w:lvl>
    <w:lvl w:ilvl="4" w:tplc="ACF24130">
      <w:numFmt w:val="bullet"/>
      <w:lvlText w:val="•"/>
      <w:lvlJc w:val="left"/>
      <w:pPr>
        <w:ind w:left="4393" w:hanging="360"/>
      </w:pPr>
      <w:rPr>
        <w:rFonts w:hint="default"/>
        <w:lang w:val="en-US" w:eastAsia="en-US" w:bidi="en-US"/>
      </w:rPr>
    </w:lvl>
    <w:lvl w:ilvl="5" w:tplc="23FA9426">
      <w:numFmt w:val="bullet"/>
      <w:lvlText w:val="•"/>
      <w:lvlJc w:val="left"/>
      <w:pPr>
        <w:ind w:left="5337" w:hanging="360"/>
      </w:pPr>
      <w:rPr>
        <w:rFonts w:hint="default"/>
        <w:lang w:val="en-US" w:eastAsia="en-US" w:bidi="en-US"/>
      </w:rPr>
    </w:lvl>
    <w:lvl w:ilvl="6" w:tplc="F872C8EC">
      <w:numFmt w:val="bullet"/>
      <w:lvlText w:val="•"/>
      <w:lvlJc w:val="left"/>
      <w:pPr>
        <w:ind w:left="6282" w:hanging="360"/>
      </w:pPr>
      <w:rPr>
        <w:rFonts w:hint="default"/>
        <w:lang w:val="en-US" w:eastAsia="en-US" w:bidi="en-US"/>
      </w:rPr>
    </w:lvl>
    <w:lvl w:ilvl="7" w:tplc="A5BCCB32">
      <w:numFmt w:val="bullet"/>
      <w:lvlText w:val="•"/>
      <w:lvlJc w:val="left"/>
      <w:pPr>
        <w:ind w:left="7226" w:hanging="360"/>
      </w:pPr>
      <w:rPr>
        <w:rFonts w:hint="default"/>
        <w:lang w:val="en-US" w:eastAsia="en-US" w:bidi="en-US"/>
      </w:rPr>
    </w:lvl>
    <w:lvl w:ilvl="8" w:tplc="D7187634">
      <w:numFmt w:val="bullet"/>
      <w:lvlText w:val="•"/>
      <w:lvlJc w:val="left"/>
      <w:pPr>
        <w:ind w:left="8171" w:hanging="360"/>
      </w:pPr>
      <w:rPr>
        <w:rFonts w:hint="default"/>
        <w:lang w:val="en-US" w:eastAsia="en-US" w:bidi="en-US"/>
      </w:rPr>
    </w:lvl>
  </w:abstractNum>
  <w:num w:numId="1" w16cid:durableId="47147475">
    <w:abstractNumId w:val="0"/>
  </w:num>
  <w:num w:numId="2" w16cid:durableId="92407322">
    <w:abstractNumId w:val="2"/>
  </w:num>
  <w:num w:numId="3" w16cid:durableId="1751267563">
    <w:abstractNumId w:val="3"/>
  </w:num>
  <w:num w:numId="4" w16cid:durableId="1408579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57924"/>
    <w:rsid w:val="000F0EEC"/>
    <w:rsid w:val="0052634C"/>
    <w:rsid w:val="00625293"/>
    <w:rsid w:val="007F3DD3"/>
    <w:rsid w:val="00857924"/>
    <w:rsid w:val="0093551E"/>
    <w:rsid w:val="00C9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230FF85"/>
  <w15:docId w15:val="{37099215-DBA8-4FFD-9C06-C7FA7673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40"/>
      <w:outlineLvl w:val="0"/>
    </w:pPr>
    <w:rPr>
      <w:b/>
      <w:bCs/>
      <w:sz w:val="24"/>
      <w:szCs w:val="24"/>
    </w:rPr>
  </w:style>
  <w:style w:type="paragraph" w:styleId="Heading2">
    <w:name w:val="heading 2"/>
    <w:basedOn w:val="Normal"/>
    <w:uiPriority w:val="9"/>
    <w:unhideWhenUsed/>
    <w:qFormat/>
    <w:pPr>
      <w:ind w:left="8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551E"/>
    <w:pPr>
      <w:tabs>
        <w:tab w:val="center" w:pos="4680"/>
        <w:tab w:val="right" w:pos="9360"/>
      </w:tabs>
    </w:pPr>
  </w:style>
  <w:style w:type="character" w:customStyle="1" w:styleId="HeaderChar">
    <w:name w:val="Header Char"/>
    <w:basedOn w:val="DefaultParagraphFont"/>
    <w:link w:val="Header"/>
    <w:uiPriority w:val="99"/>
    <w:rsid w:val="0093551E"/>
    <w:rPr>
      <w:rFonts w:ascii="Times New Roman" w:eastAsia="Times New Roman" w:hAnsi="Times New Roman" w:cs="Times New Roman"/>
      <w:lang w:bidi="en-US"/>
    </w:rPr>
  </w:style>
  <w:style w:type="paragraph" w:styleId="Footer">
    <w:name w:val="footer"/>
    <w:basedOn w:val="Normal"/>
    <w:link w:val="FooterChar"/>
    <w:uiPriority w:val="99"/>
    <w:unhideWhenUsed/>
    <w:rsid w:val="0093551E"/>
    <w:pPr>
      <w:tabs>
        <w:tab w:val="center" w:pos="4680"/>
        <w:tab w:val="right" w:pos="9360"/>
      </w:tabs>
    </w:pPr>
  </w:style>
  <w:style w:type="character" w:customStyle="1" w:styleId="FooterChar">
    <w:name w:val="Footer Char"/>
    <w:basedOn w:val="DefaultParagraphFont"/>
    <w:link w:val="Footer"/>
    <w:uiPriority w:val="99"/>
    <w:rsid w:val="0093551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oCalGasEEPRG@socalga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DGE_EE_PRG2@semprautiliti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ESolicitationsPRG@pge.com" TargetMode="External"/><Relationship Id="rId5" Type="http://schemas.openxmlformats.org/officeDocument/2006/relationships/styles" Target="styles.xml"/><Relationship Id="rId15" Type="http://schemas.openxmlformats.org/officeDocument/2006/relationships/hyperlink" Target="http://www.cpuc.ca.gov/icomp/"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ESolicitations@s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A68C7A698234299AA137E37063E52" ma:contentTypeVersion="7" ma:contentTypeDescription="Create a new document." ma:contentTypeScope="" ma:versionID="6b68affe991044b65289b6fcef10719d">
  <xsd:schema xmlns:xsd="http://www.w3.org/2001/XMLSchema" xmlns:xs="http://www.w3.org/2001/XMLSchema" xmlns:p="http://schemas.microsoft.com/office/2006/metadata/properties" xmlns:ns2="c6b1c659-8569-46c1-837e-dc468683c540" xmlns:ns3="f116a93c-765d-4fe0-b24d-d0789f94463d" targetNamespace="http://schemas.microsoft.com/office/2006/metadata/properties" ma:root="true" ma:fieldsID="2479480e8a470d6aaccd28f894e8e633" ns2:_="" ns3:_="">
    <xsd:import namespace="c6b1c659-8569-46c1-837e-dc468683c540"/>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1c659-8569-46c1-837e-dc468683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B182C-D441-473D-8774-D279DC400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1c659-8569-46c1-837e-dc468683c540"/>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6374D-C9FA-472E-9BFA-0C0E594F0428}">
  <ds:schemaRefs>
    <ds:schemaRef ds:uri="http://schemas.microsoft.com/sharepoint/v3/contenttype/forms"/>
  </ds:schemaRefs>
</ds:datastoreItem>
</file>

<file path=customXml/itemProps3.xml><?xml version="1.0" encoding="utf-8"?>
<ds:datastoreItem xmlns:ds="http://schemas.openxmlformats.org/officeDocument/2006/customXml" ds:itemID="{6E25BBD1-29C1-47AE-BD1A-0222232EAF05}">
  <ds:schemaRef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c6b1c659-8569-46c1-837e-dc468683c540"/>
    <ds:schemaRef ds:uri="f116a93c-765d-4fe0-b24d-d0789f94463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EEPRG Charter 2_20_2018</dc:title>
  <dc:creator>abesa</dc:creator>
  <cp:lastModifiedBy>Porter, Laurie</cp:lastModifiedBy>
  <cp:revision>5</cp:revision>
  <dcterms:created xsi:type="dcterms:W3CDTF">2023-11-20T17:04:00Z</dcterms:created>
  <dcterms:modified xsi:type="dcterms:W3CDTF">2023-12-13T22:00:00Z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Acrobat PDFMaker 21 for Word</vt:lpwstr>
  </property>
  <property fmtid="{D5CDD505-2E9C-101B-9397-08002B2CF9AE}" pid="4" name="LastSaved">
    <vt:filetime>2023-11-20T00:00:00Z</vt:filetime>
  </property>
  <property fmtid="{D5CDD505-2E9C-101B-9397-08002B2CF9AE}" pid="5" name="ContentTypeId">
    <vt:lpwstr>0x010100363A68C7A698234299AA137E37063E52</vt:lpwstr>
  </property>
</Properties>
</file>