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1DE06" w14:textId="56BAF3B1" w:rsidR="00E74728" w:rsidRPr="00221CE4" w:rsidRDefault="00E74728" w:rsidP="00221CE4">
      <w:pPr>
        <w:pStyle w:val="Heading1"/>
        <w:rPr>
          <w:sz w:val="36"/>
          <w:szCs w:val="36"/>
        </w:rPr>
      </w:pPr>
      <w:r w:rsidRPr="00600B6C">
        <w:rPr>
          <w:sz w:val="36"/>
          <w:szCs w:val="36"/>
        </w:rPr>
        <w:t>Energy Efficiency Objectives and Metrics</w:t>
      </w:r>
      <w:r w:rsidR="00221CE4">
        <w:rPr>
          <w:sz w:val="36"/>
          <w:szCs w:val="36"/>
        </w:rPr>
        <w:t xml:space="preserve">: </w:t>
      </w:r>
      <w:r w:rsidRPr="00600B6C">
        <w:t>Cal Advocates Proposal</w:t>
      </w:r>
    </w:p>
    <w:p w14:paraId="6B4F821D" w14:textId="77777777" w:rsidR="00E74728" w:rsidRDefault="00E74728" w:rsidP="00E74728">
      <w:pPr>
        <w:pStyle w:val="NoSpacing"/>
        <w:rPr>
          <w:rStyle w:val="Emphasis"/>
          <w:i w:val="0"/>
          <w:iCs w:val="0"/>
        </w:rPr>
      </w:pPr>
    </w:p>
    <w:p w14:paraId="643F8EFD" w14:textId="77777777" w:rsidR="00E74728" w:rsidRPr="00B058FB" w:rsidRDefault="00E74728" w:rsidP="00E74728">
      <w:pPr>
        <w:pStyle w:val="NoSpacing"/>
        <w:rPr>
          <w:rStyle w:val="Emphasis"/>
          <w:i w:val="0"/>
          <w:iCs w:val="0"/>
        </w:rPr>
      </w:pPr>
      <w:r>
        <w:rPr>
          <w:rStyle w:val="Emphasis"/>
        </w:rPr>
        <w:t xml:space="preserve">The sections below outline proposed approaches to the new Market Support and Equity segments of the Energy Efficiency portfolio. We start by describing objectives for each segment, </w:t>
      </w:r>
      <w:proofErr w:type="gramStart"/>
      <w:r>
        <w:rPr>
          <w:rStyle w:val="Emphasis"/>
        </w:rPr>
        <w:t>clarifying</w:t>
      </w:r>
      <w:proofErr w:type="gramEnd"/>
      <w:r>
        <w:rPr>
          <w:rStyle w:val="Emphasis"/>
        </w:rPr>
        <w:t xml:space="preserve"> and expanding on guidance in D.21-05-031. Clear objectives will help facilitate targeted program and portfolio design that best addresses the needs of Californians and the State’s policy objectives. Refined objectives also facilitate the design of specific metrics for measuring success toward these goals; our proposal below includes various metrics for discussion, although we do not see this as an exhaustive list. As a principle, we seek metrics that seek to measure outcomes rather than merely outputs.</w:t>
      </w:r>
    </w:p>
    <w:p w14:paraId="755D74DF" w14:textId="77777777" w:rsidR="00E74728" w:rsidRPr="00600B6C" w:rsidRDefault="00E74728" w:rsidP="00E74728">
      <w:pPr>
        <w:pStyle w:val="Heading1"/>
        <w:spacing w:after="240"/>
        <w:rPr>
          <w:rStyle w:val="Emphasis"/>
          <w:sz w:val="28"/>
          <w:szCs w:val="28"/>
        </w:rPr>
      </w:pPr>
      <w:r w:rsidRPr="00600B6C">
        <w:rPr>
          <w:rStyle w:val="Emphasis"/>
          <w:sz w:val="28"/>
          <w:szCs w:val="28"/>
        </w:rPr>
        <w:t>Market Support</w:t>
      </w:r>
    </w:p>
    <w:p w14:paraId="1D597D9C" w14:textId="77777777" w:rsidR="00E74728" w:rsidRDefault="00E74728" w:rsidP="00E74728">
      <w:pPr>
        <w:pStyle w:val="NoSpacing"/>
        <w:spacing w:after="120"/>
        <w:rPr>
          <w:rStyle w:val="Emphasis"/>
          <w:b/>
          <w:bCs/>
        </w:rPr>
      </w:pPr>
      <w:r w:rsidRPr="000809AE">
        <w:rPr>
          <w:rStyle w:val="Emphasis"/>
          <w:b/>
          <w:bCs/>
        </w:rPr>
        <w:t>Decision Language</w:t>
      </w:r>
    </w:p>
    <w:p w14:paraId="0D34810C" w14:textId="77777777" w:rsidR="00E74728" w:rsidRPr="00A9781A" w:rsidRDefault="00E74728" w:rsidP="00E74728">
      <w:pPr>
        <w:pStyle w:val="NoSpacing"/>
      </w:pPr>
      <w:r>
        <w:t xml:space="preserve">From </w:t>
      </w:r>
      <w:r w:rsidRPr="00A9781A">
        <w:t>D.21-05-031, p. 14: “Market Support: Programs with a primary objective of supporting the long-term success of the energy efficiency market by educating customers, training contractors, building partnerships, or moving beneficial technologies towards greater cost-effectiveness.”</w:t>
      </w:r>
    </w:p>
    <w:p w14:paraId="324765C1" w14:textId="77777777" w:rsidR="00E74728" w:rsidRPr="00A9781A" w:rsidRDefault="00E74728" w:rsidP="00E74728">
      <w:pPr>
        <w:pStyle w:val="NoSpacing"/>
      </w:pPr>
    </w:p>
    <w:p w14:paraId="78176005" w14:textId="77777777" w:rsidR="00E74728" w:rsidRPr="000809AE" w:rsidRDefault="00E74728" w:rsidP="00E74728">
      <w:pPr>
        <w:pStyle w:val="NoSpacing"/>
        <w:spacing w:after="120"/>
        <w:rPr>
          <w:rStyle w:val="Emphasis"/>
          <w:b/>
          <w:bCs/>
        </w:rPr>
      </w:pPr>
      <w:r>
        <w:rPr>
          <w:rStyle w:val="Emphasis"/>
          <w:b/>
          <w:bCs/>
        </w:rPr>
        <w:t xml:space="preserve">Cal Advocates Proposal: </w:t>
      </w:r>
      <w:r w:rsidRPr="000809AE">
        <w:rPr>
          <w:rStyle w:val="Emphasis"/>
          <w:b/>
          <w:bCs/>
        </w:rPr>
        <w:t>Segment Objectives</w:t>
      </w:r>
    </w:p>
    <w:p w14:paraId="33CBA7E3" w14:textId="77777777" w:rsidR="00E74728" w:rsidRDefault="00E74728" w:rsidP="00E74728">
      <w:pPr>
        <w:pStyle w:val="NoSpacing"/>
      </w:pPr>
      <w:r>
        <w:t xml:space="preserve">Market Support: </w:t>
      </w:r>
      <w:r w:rsidRPr="00275FAA">
        <w:t>Programs with the primary objective of supporting the long-term success of the energy efficiency market in achieving cost-effective and sustainable energy savings, greenhouse gas reductions, and ratepayer benefits.</w:t>
      </w:r>
    </w:p>
    <w:p w14:paraId="26F483E9" w14:textId="77777777" w:rsidR="00E74728" w:rsidRDefault="00E74728" w:rsidP="00E74728">
      <w:pPr>
        <w:pStyle w:val="NoSpacing"/>
      </w:pPr>
    </w:p>
    <w:p w14:paraId="0D755053" w14:textId="77777777" w:rsidR="00E74728" w:rsidRDefault="00E74728" w:rsidP="00E74728">
      <w:pPr>
        <w:pStyle w:val="NoSpacing"/>
      </w:pPr>
      <w:r>
        <w:t>More specifically:</w:t>
      </w:r>
    </w:p>
    <w:p w14:paraId="689728FC" w14:textId="77777777" w:rsidR="00E74728" w:rsidRDefault="00E74728" w:rsidP="00E74728">
      <w:pPr>
        <w:pStyle w:val="NoSpacing"/>
        <w:numPr>
          <w:ilvl w:val="0"/>
          <w:numId w:val="3"/>
        </w:numPr>
      </w:pPr>
      <w:r>
        <w:t>Market Support programs build the foundation for future cost-effective energy savings.</w:t>
      </w:r>
    </w:p>
    <w:p w14:paraId="0A0C4B87" w14:textId="77777777" w:rsidR="00E74728" w:rsidRDefault="00E74728" w:rsidP="00E74728">
      <w:pPr>
        <w:pStyle w:val="NoSpacing"/>
        <w:numPr>
          <w:ilvl w:val="0"/>
          <w:numId w:val="3"/>
        </w:numPr>
      </w:pPr>
      <w:r>
        <w:t>Market Support programs facilitate the achievement of long-term, deep decarbonization, including through fuel substitution and advancement of innovative and emerging technologies.</w:t>
      </w:r>
    </w:p>
    <w:p w14:paraId="14BA36D0" w14:textId="77777777" w:rsidR="00E74728" w:rsidRDefault="00E74728" w:rsidP="00E74728">
      <w:pPr>
        <w:pStyle w:val="NoSpacing"/>
      </w:pPr>
    </w:p>
    <w:p w14:paraId="08F3C5BF" w14:textId="77777777" w:rsidR="00E74728" w:rsidRPr="00233416" w:rsidRDefault="00E74728" w:rsidP="00E74728">
      <w:pPr>
        <w:pStyle w:val="NoSpacing"/>
        <w:spacing w:after="120"/>
        <w:rPr>
          <w:rStyle w:val="Emphasis"/>
          <w:b/>
          <w:bCs/>
        </w:rPr>
      </w:pPr>
      <w:r>
        <w:rPr>
          <w:rStyle w:val="Emphasis"/>
          <w:b/>
          <w:bCs/>
        </w:rPr>
        <w:t xml:space="preserve">Illustrative </w:t>
      </w:r>
      <w:r w:rsidRPr="00233416">
        <w:rPr>
          <w:rStyle w:val="Emphasis"/>
          <w:b/>
          <w:bCs/>
        </w:rPr>
        <w:t>Metrics</w:t>
      </w:r>
    </w:p>
    <w:p w14:paraId="0AF5E058" w14:textId="77777777" w:rsidR="00E74728" w:rsidRPr="00F507E5" w:rsidRDefault="00E74728" w:rsidP="00E74728">
      <w:pPr>
        <w:pStyle w:val="NoSpacing"/>
        <w:spacing w:after="240"/>
        <w:rPr>
          <w:b/>
          <w:bCs/>
        </w:rPr>
      </w:pPr>
      <w:r>
        <w:rPr>
          <w:b/>
          <w:bCs/>
        </w:rPr>
        <w:t xml:space="preserve">1. </w:t>
      </w:r>
      <w:r w:rsidRPr="002A3B91">
        <w:rPr>
          <w:b/>
          <w:bCs/>
        </w:rPr>
        <w:t>Market Support programs build the foundation for future cost-effective energy savings.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3595"/>
        <w:gridCol w:w="5760"/>
      </w:tblGrid>
      <w:tr w:rsidR="00E74728" w14:paraId="37239D63" w14:textId="77777777" w:rsidTr="00116AB8">
        <w:tc>
          <w:tcPr>
            <w:tcW w:w="3595" w:type="dxa"/>
            <w:tcBorders>
              <w:bottom w:val="single" w:sz="4" w:space="0" w:color="auto"/>
            </w:tcBorders>
            <w:shd w:val="clear" w:color="auto" w:fill="D9E2F3" w:themeFill="accent1" w:themeFillTint="33"/>
          </w:tcPr>
          <w:p w14:paraId="15AC4D0A" w14:textId="77777777" w:rsidR="00E74728" w:rsidRPr="007577CC" w:rsidRDefault="00E74728" w:rsidP="00116AB8">
            <w:pPr>
              <w:pStyle w:val="NoSpacing"/>
              <w:rPr>
                <w:b/>
                <w:bCs/>
              </w:rPr>
            </w:pPr>
            <w:r w:rsidRPr="007577CC">
              <w:rPr>
                <w:b/>
                <w:bCs/>
              </w:rPr>
              <w:t>Desired Segment Outcome</w:t>
            </w:r>
          </w:p>
        </w:tc>
        <w:tc>
          <w:tcPr>
            <w:tcW w:w="5760" w:type="dxa"/>
            <w:tcBorders>
              <w:bottom w:val="single" w:sz="4" w:space="0" w:color="auto"/>
            </w:tcBorders>
            <w:shd w:val="clear" w:color="auto" w:fill="D9E2F3" w:themeFill="accent1" w:themeFillTint="33"/>
          </w:tcPr>
          <w:p w14:paraId="0E142D89" w14:textId="77777777" w:rsidR="00E74728" w:rsidRPr="007577CC" w:rsidRDefault="00E74728" w:rsidP="00116AB8">
            <w:pPr>
              <w:pStyle w:val="NoSpacing"/>
              <w:rPr>
                <w:b/>
                <w:bCs/>
              </w:rPr>
            </w:pPr>
            <w:r w:rsidRPr="007577CC">
              <w:rPr>
                <w:b/>
                <w:bCs/>
              </w:rPr>
              <w:t>Metrics</w:t>
            </w:r>
          </w:p>
        </w:tc>
      </w:tr>
      <w:tr w:rsidR="00E74728" w14:paraId="2D0F3205" w14:textId="77777777" w:rsidTr="00116AB8">
        <w:tc>
          <w:tcPr>
            <w:tcW w:w="3595" w:type="dxa"/>
            <w:tcBorders>
              <w:top w:val="single" w:sz="4" w:space="0" w:color="auto"/>
              <w:bottom w:val="single" w:sz="4" w:space="0" w:color="auto"/>
            </w:tcBorders>
            <w:vAlign w:val="center"/>
          </w:tcPr>
          <w:p w14:paraId="6C59B6C7" w14:textId="77777777" w:rsidR="00E74728" w:rsidRPr="00BC79FB" w:rsidRDefault="00E74728" w:rsidP="00116AB8">
            <w:pPr>
              <w:pStyle w:val="NoSpacing"/>
            </w:pPr>
            <w:r>
              <w:t xml:space="preserve">Customers are aware of and enthusiastic about energy savings and energy savings opportunities. </w:t>
            </w:r>
          </w:p>
        </w:tc>
        <w:tc>
          <w:tcPr>
            <w:tcW w:w="5760" w:type="dxa"/>
            <w:tcBorders>
              <w:top w:val="single" w:sz="4" w:space="0" w:color="auto"/>
              <w:bottom w:val="single" w:sz="4" w:space="0" w:color="auto"/>
            </w:tcBorders>
            <w:vAlign w:val="center"/>
          </w:tcPr>
          <w:p w14:paraId="48C5EC00" w14:textId="77777777" w:rsidR="00E74728" w:rsidRPr="00CC07D6" w:rsidRDefault="00E74728" w:rsidP="00E74728">
            <w:pPr>
              <w:pStyle w:val="NoSpacing"/>
              <w:numPr>
                <w:ilvl w:val="0"/>
                <w:numId w:val="5"/>
              </w:numPr>
              <w:ind w:left="436"/>
            </w:pPr>
            <w:r w:rsidRPr="00CC07D6">
              <w:t xml:space="preserve">Conversion rate (of customers reached by program, how many </w:t>
            </w:r>
            <w:proofErr w:type="gramStart"/>
            <w:r w:rsidRPr="00CC07D6">
              <w:t>actually enrolled/installed</w:t>
            </w:r>
            <w:proofErr w:type="gramEnd"/>
            <w:r w:rsidRPr="00CC07D6">
              <w:t xml:space="preserve"> measures)</w:t>
            </w:r>
          </w:p>
          <w:p w14:paraId="6BFB91A4" w14:textId="77777777" w:rsidR="00E74728" w:rsidRPr="00CC07D6" w:rsidRDefault="00E74728" w:rsidP="00E74728">
            <w:pPr>
              <w:pStyle w:val="NoSpacing"/>
              <w:numPr>
                <w:ilvl w:val="0"/>
                <w:numId w:val="5"/>
              </w:numPr>
              <w:ind w:left="436"/>
            </w:pPr>
            <w:r w:rsidRPr="00CC07D6">
              <w:t xml:space="preserve">Metrics NOT appropriate: Those purely measuring program outputs rather than outcomes, </w:t>
            </w:r>
            <w:proofErr w:type="gramStart"/>
            <w:r w:rsidRPr="00CC07D6">
              <w:t>e.g.</w:t>
            </w:r>
            <w:proofErr w:type="gramEnd"/>
            <w:r w:rsidRPr="00CC07D6">
              <w:t xml:space="preserve"> # of impressions, volume of marketing materials shared, etc.</w:t>
            </w:r>
          </w:p>
        </w:tc>
      </w:tr>
      <w:tr w:rsidR="00E74728" w14:paraId="58AF8329" w14:textId="77777777" w:rsidTr="00116AB8">
        <w:tc>
          <w:tcPr>
            <w:tcW w:w="3595" w:type="dxa"/>
            <w:tcBorders>
              <w:top w:val="single" w:sz="4" w:space="0" w:color="auto"/>
              <w:bottom w:val="single" w:sz="4" w:space="0" w:color="auto"/>
            </w:tcBorders>
            <w:vAlign w:val="center"/>
          </w:tcPr>
          <w:p w14:paraId="3AFEC3F5" w14:textId="77777777" w:rsidR="00E74728" w:rsidRPr="00BE39BF" w:rsidRDefault="00E74728" w:rsidP="00116AB8">
            <w:pPr>
              <w:pStyle w:val="NoSpacing"/>
            </w:pPr>
            <w:r>
              <w:t>Contractors are aware of, enthusiastic about, and have the necessary technical capabilities to install energy efficiency upgrades.</w:t>
            </w:r>
          </w:p>
        </w:tc>
        <w:tc>
          <w:tcPr>
            <w:tcW w:w="5760" w:type="dxa"/>
            <w:tcBorders>
              <w:top w:val="single" w:sz="4" w:space="0" w:color="auto"/>
              <w:bottom w:val="single" w:sz="4" w:space="0" w:color="auto"/>
            </w:tcBorders>
            <w:vAlign w:val="center"/>
          </w:tcPr>
          <w:p w14:paraId="5AB0552F" w14:textId="77777777" w:rsidR="00E74728" w:rsidRPr="0047644F" w:rsidRDefault="00E74728" w:rsidP="00E74728">
            <w:pPr>
              <w:pStyle w:val="NoSpacing"/>
              <w:numPr>
                <w:ilvl w:val="0"/>
                <w:numId w:val="5"/>
              </w:numPr>
              <w:ind w:left="436"/>
            </w:pPr>
            <w:r w:rsidRPr="0047644F">
              <w:t xml:space="preserve">Conversion rate (of contractors reached by a program, how many </w:t>
            </w:r>
            <w:proofErr w:type="gramStart"/>
            <w:r w:rsidRPr="0047644F">
              <w:t>actually installed</w:t>
            </w:r>
            <w:proofErr w:type="gramEnd"/>
            <w:r w:rsidRPr="0047644F">
              <w:t xml:space="preserve"> target measure)</w:t>
            </w:r>
          </w:p>
          <w:p w14:paraId="39C0DB58" w14:textId="2CE92692" w:rsidR="00E74728" w:rsidRPr="0047644F" w:rsidRDefault="00E74728" w:rsidP="00E74728">
            <w:pPr>
              <w:pStyle w:val="NoSpacing"/>
              <w:numPr>
                <w:ilvl w:val="1"/>
                <w:numId w:val="5"/>
              </w:numPr>
              <w:ind w:left="1061"/>
            </w:pPr>
            <w:r w:rsidRPr="0047644F">
              <w:t xml:space="preserve">Persistence: </w:t>
            </w:r>
            <w:r w:rsidR="0078740A">
              <w:t>Percentage of trained</w:t>
            </w:r>
            <w:r w:rsidRPr="0047644F">
              <w:t xml:space="preserve"> contractors </w:t>
            </w:r>
            <w:r w:rsidR="0078740A">
              <w:t xml:space="preserve">who </w:t>
            </w:r>
            <w:r w:rsidRPr="0047644F">
              <w:t>continued to offer measure in years following intervention</w:t>
            </w:r>
          </w:p>
          <w:p w14:paraId="36AB8EB1" w14:textId="3B5F706F" w:rsidR="00E74728" w:rsidRPr="0047644F" w:rsidRDefault="00E74728" w:rsidP="00E74728">
            <w:pPr>
              <w:pStyle w:val="NoSpacing"/>
              <w:numPr>
                <w:ilvl w:val="0"/>
                <w:numId w:val="5"/>
              </w:numPr>
              <w:ind w:left="436"/>
            </w:pPr>
            <w:r w:rsidRPr="0047644F">
              <w:t xml:space="preserve">Where relevant certification programs exist, # </w:t>
            </w:r>
            <w:r w:rsidR="0078740A">
              <w:t xml:space="preserve">and percentage </w:t>
            </w:r>
            <w:r w:rsidRPr="0047644F">
              <w:t>of contractors certified</w:t>
            </w:r>
          </w:p>
          <w:p w14:paraId="6E8E0054" w14:textId="77777777" w:rsidR="00E74728" w:rsidRPr="0047644F" w:rsidRDefault="00E74728" w:rsidP="00E74728">
            <w:pPr>
              <w:pStyle w:val="NoSpacing"/>
              <w:numPr>
                <w:ilvl w:val="0"/>
                <w:numId w:val="5"/>
              </w:numPr>
              <w:ind w:left="436"/>
              <w:rPr>
                <w:rFonts w:eastAsiaTheme="minorEastAsia"/>
              </w:rPr>
            </w:pPr>
            <w:r w:rsidRPr="0047644F">
              <w:lastRenderedPageBreak/>
              <w:t xml:space="preserve">Metrics NOT appropriate: Those purely measuring program outputs rather than outcomes, </w:t>
            </w:r>
            <w:proofErr w:type="gramStart"/>
            <w:r w:rsidRPr="0047644F">
              <w:t>e.g.</w:t>
            </w:r>
            <w:proofErr w:type="gramEnd"/>
            <w:r w:rsidRPr="0047644F">
              <w:t xml:space="preserve"> # of impressions, volume of marketing materials shared, etc.</w:t>
            </w:r>
          </w:p>
        </w:tc>
      </w:tr>
      <w:tr w:rsidR="00E74728" w14:paraId="50A91581" w14:textId="77777777" w:rsidTr="00116AB8">
        <w:tc>
          <w:tcPr>
            <w:tcW w:w="3595" w:type="dxa"/>
            <w:tcBorders>
              <w:top w:val="single" w:sz="4" w:space="0" w:color="auto"/>
              <w:bottom w:val="single" w:sz="4" w:space="0" w:color="auto"/>
            </w:tcBorders>
            <w:vAlign w:val="center"/>
          </w:tcPr>
          <w:p w14:paraId="6047A46B" w14:textId="77777777" w:rsidR="00E74728" w:rsidRPr="00BE39BF" w:rsidRDefault="00E74728" w:rsidP="00116AB8">
            <w:pPr>
              <w:pStyle w:val="NoSpacing"/>
            </w:pPr>
            <w:r>
              <w:lastRenderedPageBreak/>
              <w:t xml:space="preserve">Energy saving technologies are cheaper and/or more effective. </w:t>
            </w:r>
          </w:p>
        </w:tc>
        <w:tc>
          <w:tcPr>
            <w:tcW w:w="5760" w:type="dxa"/>
            <w:tcBorders>
              <w:top w:val="single" w:sz="4" w:space="0" w:color="auto"/>
              <w:bottom w:val="single" w:sz="4" w:space="0" w:color="auto"/>
            </w:tcBorders>
            <w:vAlign w:val="center"/>
          </w:tcPr>
          <w:p w14:paraId="377B859F" w14:textId="77777777" w:rsidR="00E74728" w:rsidRDefault="00E74728" w:rsidP="00E74728">
            <w:pPr>
              <w:pStyle w:val="NoSpacing"/>
              <w:numPr>
                <w:ilvl w:val="0"/>
                <w:numId w:val="6"/>
              </w:numPr>
              <w:ind w:left="436"/>
              <w:rPr>
                <w:rFonts w:eastAsiaTheme="minorEastAsia"/>
              </w:rPr>
            </w:pPr>
            <w:r>
              <w:t>Measure adoption rates</w:t>
            </w:r>
          </w:p>
          <w:p w14:paraId="18C1FC0E" w14:textId="77777777" w:rsidR="00E74728" w:rsidRDefault="00E74728" w:rsidP="00E74728">
            <w:pPr>
              <w:pStyle w:val="NoSpacing"/>
              <w:numPr>
                <w:ilvl w:val="0"/>
                <w:numId w:val="6"/>
              </w:numPr>
              <w:ind w:left="436"/>
            </w:pPr>
            <w:r>
              <w:t>Retail availability of cheaper/more effective technologies</w:t>
            </w:r>
          </w:p>
          <w:p w14:paraId="64EF7003" w14:textId="77777777" w:rsidR="00E74728" w:rsidRPr="00B12B1F" w:rsidRDefault="00E74728" w:rsidP="00E74728">
            <w:pPr>
              <w:pStyle w:val="NoSpacing"/>
              <w:numPr>
                <w:ilvl w:val="0"/>
                <w:numId w:val="6"/>
              </w:numPr>
              <w:ind w:left="436"/>
            </w:pPr>
            <w:r>
              <w:rPr>
                <w:rFonts w:ascii="Calibri" w:hAnsi="Calibri" w:cs="Calibri"/>
              </w:rPr>
              <w:t>Change in CPI-adjusted cost of measure over time (larger decrease is better)</w:t>
            </w:r>
          </w:p>
        </w:tc>
      </w:tr>
    </w:tbl>
    <w:p w14:paraId="01AADDB8" w14:textId="77777777" w:rsidR="00E74728" w:rsidRPr="002A3B91" w:rsidRDefault="00E74728" w:rsidP="00E74728">
      <w:pPr>
        <w:pStyle w:val="NoSpacing"/>
        <w:rPr>
          <w:b/>
          <w:bCs/>
        </w:rPr>
      </w:pPr>
    </w:p>
    <w:p w14:paraId="4904DEC2" w14:textId="77777777" w:rsidR="00E74728" w:rsidRPr="00ED3F59" w:rsidRDefault="00E74728" w:rsidP="00E74728">
      <w:pPr>
        <w:pStyle w:val="NoSpacing"/>
        <w:spacing w:after="240"/>
        <w:rPr>
          <w:b/>
          <w:bCs/>
        </w:rPr>
      </w:pPr>
      <w:r>
        <w:rPr>
          <w:b/>
          <w:bCs/>
        </w:rPr>
        <w:t xml:space="preserve">2. </w:t>
      </w:r>
      <w:r w:rsidRPr="00ED3F59">
        <w:rPr>
          <w:b/>
          <w:bCs/>
        </w:rPr>
        <w:t>Market Support programs facilitate the achievement of long-term, deep decarbonization, including through fuel substitution and advancement of innovative and emerging technologies.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2790"/>
        <w:gridCol w:w="6570"/>
      </w:tblGrid>
      <w:tr w:rsidR="00E74728" w14:paraId="5A824A95" w14:textId="77777777" w:rsidTr="00116AB8">
        <w:tc>
          <w:tcPr>
            <w:tcW w:w="2790" w:type="dxa"/>
            <w:tcBorders>
              <w:bottom w:val="single" w:sz="4" w:space="0" w:color="auto"/>
            </w:tcBorders>
            <w:shd w:val="clear" w:color="auto" w:fill="D9E2F3" w:themeFill="accent1" w:themeFillTint="33"/>
          </w:tcPr>
          <w:p w14:paraId="5AE29709" w14:textId="77777777" w:rsidR="00E74728" w:rsidRPr="007577CC" w:rsidRDefault="00E74728" w:rsidP="00116AB8">
            <w:pPr>
              <w:pStyle w:val="NoSpacing"/>
              <w:rPr>
                <w:b/>
                <w:bCs/>
              </w:rPr>
            </w:pPr>
            <w:r w:rsidRPr="007577CC">
              <w:rPr>
                <w:b/>
                <w:bCs/>
              </w:rPr>
              <w:t>Desired Segment Outcome</w:t>
            </w:r>
          </w:p>
        </w:tc>
        <w:tc>
          <w:tcPr>
            <w:tcW w:w="6570" w:type="dxa"/>
            <w:tcBorders>
              <w:bottom w:val="single" w:sz="4" w:space="0" w:color="auto"/>
            </w:tcBorders>
            <w:shd w:val="clear" w:color="auto" w:fill="D9E2F3" w:themeFill="accent1" w:themeFillTint="33"/>
          </w:tcPr>
          <w:p w14:paraId="41C916F3" w14:textId="77777777" w:rsidR="00E74728" w:rsidRPr="007577CC" w:rsidRDefault="00E74728" w:rsidP="00116AB8">
            <w:pPr>
              <w:pStyle w:val="NoSpacing"/>
              <w:rPr>
                <w:b/>
                <w:bCs/>
              </w:rPr>
            </w:pPr>
            <w:r w:rsidRPr="007577CC">
              <w:rPr>
                <w:b/>
                <w:bCs/>
              </w:rPr>
              <w:t>Discussion</w:t>
            </w:r>
          </w:p>
        </w:tc>
      </w:tr>
      <w:tr w:rsidR="00E74728" w14:paraId="39C95D19" w14:textId="77777777" w:rsidTr="00116AB8">
        <w:tc>
          <w:tcPr>
            <w:tcW w:w="2790" w:type="dxa"/>
            <w:tcBorders>
              <w:top w:val="single" w:sz="4" w:space="0" w:color="auto"/>
              <w:bottom w:val="single" w:sz="4" w:space="0" w:color="auto"/>
            </w:tcBorders>
            <w:vAlign w:val="center"/>
          </w:tcPr>
          <w:p w14:paraId="53741BF5" w14:textId="77777777" w:rsidR="00E74728" w:rsidRPr="000572BC" w:rsidRDefault="00E74728" w:rsidP="00116AB8">
            <w:pPr>
              <w:pStyle w:val="NoSpacing"/>
              <w:rPr>
                <w:bCs/>
              </w:rPr>
            </w:pPr>
            <w:r>
              <w:t>Lifecycle</w:t>
            </w:r>
            <w:r w:rsidRPr="000572BC">
              <w:rPr>
                <w:bCs/>
              </w:rPr>
              <w:t xml:space="preserve"> GHG reductions</w:t>
            </w:r>
          </w:p>
        </w:tc>
        <w:tc>
          <w:tcPr>
            <w:tcW w:w="6570" w:type="dxa"/>
            <w:tcBorders>
              <w:top w:val="single" w:sz="4" w:space="0" w:color="auto"/>
              <w:bottom w:val="single" w:sz="4" w:space="0" w:color="auto"/>
            </w:tcBorders>
            <w:vAlign w:val="center"/>
          </w:tcPr>
          <w:p w14:paraId="28615A13" w14:textId="77777777" w:rsidR="00E74728" w:rsidRDefault="00E74728" w:rsidP="00116AB8">
            <w:pPr>
              <w:pStyle w:val="NoSpacing"/>
              <w:rPr>
                <w:vertAlign w:val="subscript"/>
              </w:rPr>
            </w:pPr>
            <w:r>
              <w:t>Support technologies that provide greater lifecycle GHG emissions reductions than currently available technologies.</w:t>
            </w:r>
          </w:p>
        </w:tc>
      </w:tr>
      <w:tr w:rsidR="00E74728" w14:paraId="6E02AEB4" w14:textId="77777777" w:rsidTr="00116AB8">
        <w:trPr>
          <w:trHeight w:val="1665"/>
        </w:trPr>
        <w:tc>
          <w:tcPr>
            <w:tcW w:w="2790" w:type="dxa"/>
            <w:tcBorders>
              <w:top w:val="single" w:sz="4" w:space="0" w:color="auto"/>
              <w:bottom w:val="single" w:sz="4" w:space="0" w:color="auto"/>
            </w:tcBorders>
            <w:vAlign w:val="center"/>
          </w:tcPr>
          <w:p w14:paraId="7D056BE2" w14:textId="77777777" w:rsidR="00E74728" w:rsidRPr="000572BC" w:rsidRDefault="00E74728" w:rsidP="00116AB8">
            <w:pPr>
              <w:pStyle w:val="NoSpacing"/>
              <w:rPr>
                <w:bCs/>
              </w:rPr>
            </w:pPr>
            <w:r>
              <w:rPr>
                <w:bCs/>
              </w:rPr>
              <w:t xml:space="preserve">Electrification and fuel substitution </w:t>
            </w:r>
          </w:p>
        </w:tc>
        <w:tc>
          <w:tcPr>
            <w:tcW w:w="6570" w:type="dxa"/>
            <w:tcBorders>
              <w:top w:val="single" w:sz="4" w:space="0" w:color="auto"/>
              <w:bottom w:val="single" w:sz="4" w:space="0" w:color="auto"/>
            </w:tcBorders>
            <w:vAlign w:val="center"/>
          </w:tcPr>
          <w:p w14:paraId="5408BB34" w14:textId="77777777" w:rsidR="00E74728" w:rsidRDefault="00E74728" w:rsidP="00116AB8">
            <w:pPr>
              <w:pStyle w:val="NoSpacing"/>
              <w:rPr>
                <w:rFonts w:ascii="Arial" w:eastAsia="Arial" w:hAnsi="Arial" w:cs="Arial"/>
              </w:rPr>
            </w:pPr>
            <w:r w:rsidRPr="430B8D70">
              <w:rPr>
                <w:rFonts w:eastAsiaTheme="minorEastAsia"/>
              </w:rPr>
              <w:t>Support electric and fuel substitution technologies. To pass Part One of the fuel substitution test, the life-cycle source energy consumption of the measure technology must be lower than the life-cycle source energy consumption of the baseline technology. To pass Part Two of the fuel-substitution test, life-cycle CO</w:t>
            </w:r>
            <w:r w:rsidRPr="430B8D70">
              <w:rPr>
                <w:rFonts w:eastAsiaTheme="minorEastAsia"/>
                <w:vertAlign w:val="subscript"/>
              </w:rPr>
              <w:t>2</w:t>
            </w:r>
            <w:r w:rsidRPr="430B8D70">
              <w:rPr>
                <w:rFonts w:eastAsiaTheme="minorEastAsia"/>
              </w:rPr>
              <w:t xml:space="preserve"> emissions must be lower for the measure technology than for the baseline technology (D.19-08-009).</w:t>
            </w:r>
          </w:p>
        </w:tc>
      </w:tr>
      <w:tr w:rsidR="00E74728" w14:paraId="2A1BBF11" w14:textId="77777777" w:rsidTr="00116AB8">
        <w:tc>
          <w:tcPr>
            <w:tcW w:w="2790" w:type="dxa"/>
            <w:tcBorders>
              <w:top w:val="single" w:sz="4" w:space="0" w:color="auto"/>
              <w:bottom w:val="single" w:sz="4" w:space="0" w:color="auto"/>
            </w:tcBorders>
            <w:vAlign w:val="center"/>
          </w:tcPr>
          <w:p w14:paraId="77F5100C" w14:textId="77777777" w:rsidR="00E74728" w:rsidRPr="000572BC" w:rsidRDefault="00E74728" w:rsidP="00116AB8">
            <w:pPr>
              <w:pStyle w:val="NoSpacing"/>
              <w:rPr>
                <w:bCs/>
              </w:rPr>
            </w:pPr>
            <w:r w:rsidRPr="000572BC">
              <w:rPr>
                <w:bCs/>
              </w:rPr>
              <w:t>Energy savings</w:t>
            </w:r>
          </w:p>
        </w:tc>
        <w:tc>
          <w:tcPr>
            <w:tcW w:w="6570" w:type="dxa"/>
            <w:tcBorders>
              <w:top w:val="single" w:sz="4" w:space="0" w:color="auto"/>
              <w:bottom w:val="single" w:sz="4" w:space="0" w:color="auto"/>
            </w:tcBorders>
            <w:vAlign w:val="center"/>
          </w:tcPr>
          <w:p w14:paraId="0F75827D" w14:textId="77777777" w:rsidR="00E74728" w:rsidRDefault="00E74728" w:rsidP="00116AB8">
            <w:pPr>
              <w:pStyle w:val="NoSpacing"/>
              <w:rPr>
                <w:vertAlign w:val="subscript"/>
              </w:rPr>
            </w:pPr>
            <w:r>
              <w:t>Support technologies that provide greater lifecycle energy savings and therefore GHG emissions reductions than currently available technologies.</w:t>
            </w:r>
          </w:p>
        </w:tc>
      </w:tr>
      <w:tr w:rsidR="00E74728" w14:paraId="21B58A3F" w14:textId="77777777" w:rsidTr="00116AB8">
        <w:tc>
          <w:tcPr>
            <w:tcW w:w="2790" w:type="dxa"/>
            <w:tcBorders>
              <w:top w:val="single" w:sz="4" w:space="0" w:color="auto"/>
              <w:bottom w:val="single" w:sz="4" w:space="0" w:color="auto"/>
            </w:tcBorders>
            <w:vAlign w:val="center"/>
          </w:tcPr>
          <w:p w14:paraId="057DB7DC" w14:textId="77777777" w:rsidR="00E74728" w:rsidRPr="004659A6" w:rsidRDefault="00E74728" w:rsidP="00116AB8">
            <w:pPr>
              <w:pStyle w:val="NoSpacing"/>
            </w:pPr>
            <w:r w:rsidRPr="004659A6">
              <w:t>Innovative tech</w:t>
            </w:r>
            <w:r>
              <w:t>nologies</w:t>
            </w:r>
          </w:p>
        </w:tc>
        <w:tc>
          <w:tcPr>
            <w:tcW w:w="6570" w:type="dxa"/>
            <w:tcBorders>
              <w:top w:val="single" w:sz="4" w:space="0" w:color="auto"/>
              <w:bottom w:val="single" w:sz="4" w:space="0" w:color="auto"/>
            </w:tcBorders>
            <w:vAlign w:val="center"/>
          </w:tcPr>
          <w:p w14:paraId="6BFE9C0D" w14:textId="3D58B715" w:rsidR="00E74728" w:rsidRPr="004659A6" w:rsidRDefault="00E74728" w:rsidP="00116AB8">
            <w:pPr>
              <w:pStyle w:val="NoSpacing"/>
              <w:rPr>
                <w:rFonts w:ascii="Calibri" w:eastAsia="Calibri" w:hAnsi="Calibri" w:cs="Calibri"/>
              </w:rPr>
            </w:pPr>
            <w:r>
              <w:rPr>
                <w:rFonts w:ascii="Calibri" w:eastAsia="Calibri" w:hAnsi="Calibri" w:cs="Calibri"/>
              </w:rPr>
              <w:t>I</w:t>
            </w:r>
            <w:r w:rsidRPr="004659A6">
              <w:rPr>
                <w:rFonts w:ascii="Calibri" w:eastAsia="Calibri" w:hAnsi="Calibri" w:cs="Calibri"/>
              </w:rPr>
              <w:t xml:space="preserve">ncrease the uptake of cost-effective energy efficiency </w:t>
            </w:r>
            <w:r>
              <w:rPr>
                <w:rFonts w:ascii="Calibri" w:eastAsia="Calibri" w:hAnsi="Calibri" w:cs="Calibri"/>
              </w:rPr>
              <w:t>through</w:t>
            </w:r>
            <w:r w:rsidRPr="004659A6">
              <w:rPr>
                <w:rFonts w:ascii="Calibri" w:eastAsia="Calibri" w:hAnsi="Calibri" w:cs="Calibri"/>
              </w:rPr>
              <w:t xml:space="preserve"> advancing a</w:t>
            </w:r>
            <w:r>
              <w:rPr>
                <w:rFonts w:ascii="Calibri" w:eastAsia="Calibri" w:hAnsi="Calibri" w:cs="Calibri"/>
              </w:rPr>
              <w:t xml:space="preserve"> novel</w:t>
            </w:r>
            <w:r w:rsidRPr="004659A6">
              <w:rPr>
                <w:rFonts w:ascii="Calibri" w:eastAsia="Calibri" w:hAnsi="Calibri" w:cs="Calibri"/>
              </w:rPr>
              <w:t xml:space="preserve"> technology, marketing strategy, or delivery approach.</w:t>
            </w:r>
            <w:r>
              <w:rPr>
                <w:rFonts w:ascii="Calibri" w:eastAsia="Calibri" w:hAnsi="Calibri" w:cs="Calibri"/>
              </w:rPr>
              <w:t xml:space="preserve"> Pursue innovative processes </w:t>
            </w:r>
            <w:r w:rsidRPr="677A8F1B">
              <w:rPr>
                <w:rFonts w:ascii="Calibri" w:eastAsia="Calibri" w:hAnsi="Calibri" w:cs="Calibri"/>
              </w:rPr>
              <w:t xml:space="preserve">and </w:t>
            </w:r>
            <w:r w:rsidRPr="683340E3">
              <w:rPr>
                <w:rFonts w:ascii="Calibri" w:eastAsia="Calibri" w:hAnsi="Calibri" w:cs="Calibri"/>
              </w:rPr>
              <w:t>partnerships</w:t>
            </w:r>
            <w:r w:rsidRPr="677A8F1B">
              <w:rPr>
                <w:rFonts w:ascii="Calibri" w:eastAsia="Calibri" w:hAnsi="Calibri" w:cs="Calibri"/>
              </w:rPr>
              <w:t xml:space="preserve"> </w:t>
            </w:r>
            <w:r>
              <w:rPr>
                <w:rFonts w:ascii="Calibri" w:eastAsia="Calibri" w:hAnsi="Calibri" w:cs="Calibri"/>
              </w:rPr>
              <w:t>that identify, evaluate, and/or introduce emerging technologies.</w:t>
            </w:r>
          </w:p>
        </w:tc>
      </w:tr>
    </w:tbl>
    <w:p w14:paraId="4C855F8A" w14:textId="77777777" w:rsidR="00E74728" w:rsidRDefault="00E74728" w:rsidP="00E74728">
      <w:pPr>
        <w:spacing w:after="160" w:line="259" w:lineRule="auto"/>
        <w:rPr>
          <w:b/>
          <w:bCs/>
        </w:rPr>
      </w:pPr>
    </w:p>
    <w:p w14:paraId="3E09678D" w14:textId="77777777" w:rsidR="00982131" w:rsidRDefault="00982131">
      <w:pPr>
        <w:spacing w:after="160" w:line="259" w:lineRule="auto"/>
        <w:rPr>
          <w:rStyle w:val="Emphasis"/>
          <w:rFonts w:asciiTheme="majorHAnsi" w:eastAsiaTheme="majorEastAsia" w:hAnsiTheme="majorHAnsi" w:cstheme="majorBidi"/>
          <w:color w:val="2F5496" w:themeColor="accent1" w:themeShade="BF"/>
          <w:sz w:val="28"/>
          <w:szCs w:val="28"/>
        </w:rPr>
      </w:pPr>
      <w:r>
        <w:rPr>
          <w:rStyle w:val="Emphasis"/>
          <w:sz w:val="28"/>
          <w:szCs w:val="28"/>
        </w:rPr>
        <w:br w:type="page"/>
      </w:r>
    </w:p>
    <w:p w14:paraId="5C397028" w14:textId="1ED3CA6D" w:rsidR="00E74728" w:rsidRPr="00600B6C" w:rsidRDefault="00E74728" w:rsidP="00E74728">
      <w:pPr>
        <w:pStyle w:val="Heading1"/>
        <w:spacing w:after="240"/>
        <w:rPr>
          <w:rStyle w:val="Emphasis"/>
          <w:sz w:val="28"/>
          <w:szCs w:val="28"/>
        </w:rPr>
      </w:pPr>
      <w:r w:rsidRPr="00600B6C">
        <w:rPr>
          <w:rStyle w:val="Emphasis"/>
          <w:sz w:val="28"/>
          <w:szCs w:val="28"/>
        </w:rPr>
        <w:lastRenderedPageBreak/>
        <w:t>Equity</w:t>
      </w:r>
    </w:p>
    <w:p w14:paraId="2290878C" w14:textId="77777777" w:rsidR="00E74728" w:rsidRDefault="00E74728" w:rsidP="00E74728">
      <w:pPr>
        <w:pStyle w:val="NoSpacing"/>
        <w:spacing w:after="120"/>
        <w:rPr>
          <w:rStyle w:val="Emphasis"/>
          <w:b/>
          <w:bCs/>
        </w:rPr>
      </w:pPr>
      <w:r w:rsidRPr="000809AE">
        <w:rPr>
          <w:rStyle w:val="Emphasis"/>
          <w:b/>
          <w:bCs/>
        </w:rPr>
        <w:t>Decision Language</w:t>
      </w:r>
    </w:p>
    <w:p w14:paraId="1DACD79C" w14:textId="77777777" w:rsidR="00E74728" w:rsidRDefault="00E74728" w:rsidP="00E74728">
      <w:pPr>
        <w:pStyle w:val="NoSpacing"/>
      </w:pPr>
      <w:r>
        <w:t>From D.21-05-031, pp. 14-15: “</w:t>
      </w:r>
      <w:r w:rsidRPr="00C751F8">
        <w:t>Equity: Programs with a primary purpose of providing energy efficiency to hard-to-reach or underserved customers and disadvantaged communities in advancement of the Commission’s Environmental and Social Justice (ESJ) Action Plan; Improving access to energy efficiency for ESJ communities, as defined in the ESJ Action Plan, may provide corollary benefits such as increased comfort and safety, improved indoor air</w:t>
      </w:r>
      <w:r>
        <w:t xml:space="preserve"> </w:t>
      </w:r>
      <w:r w:rsidRPr="00C751F8">
        <w:t xml:space="preserve">quality, and more affordable utility bills, consistent with Goals 1, </w:t>
      </w:r>
      <w:r w:rsidRPr="004C24B7">
        <w:t>2, and 5 in the ESJ Action Plan.”</w:t>
      </w:r>
    </w:p>
    <w:p w14:paraId="0AD835AC" w14:textId="77777777" w:rsidR="00E74728" w:rsidRDefault="00E74728" w:rsidP="00E74728">
      <w:pPr>
        <w:pStyle w:val="NoSpacing"/>
      </w:pPr>
    </w:p>
    <w:p w14:paraId="238FAB3A" w14:textId="77777777" w:rsidR="00E74728" w:rsidRPr="000809AE" w:rsidRDefault="00E74728" w:rsidP="00E74728">
      <w:pPr>
        <w:pStyle w:val="NoSpacing"/>
        <w:spacing w:after="120"/>
        <w:rPr>
          <w:rStyle w:val="Emphasis"/>
          <w:b/>
          <w:bCs/>
        </w:rPr>
      </w:pPr>
      <w:r>
        <w:rPr>
          <w:rStyle w:val="Emphasis"/>
          <w:b/>
          <w:bCs/>
        </w:rPr>
        <w:t xml:space="preserve">Cal Advocates Proposal: </w:t>
      </w:r>
      <w:r w:rsidRPr="000809AE">
        <w:rPr>
          <w:rStyle w:val="Emphasis"/>
          <w:b/>
          <w:bCs/>
        </w:rPr>
        <w:t>Segment Objectives</w:t>
      </w:r>
    </w:p>
    <w:p w14:paraId="59A89C32" w14:textId="77777777" w:rsidR="00E74728" w:rsidRDefault="00E74728" w:rsidP="00E74728">
      <w:pPr>
        <w:pStyle w:val="NoSpacing"/>
      </w:pPr>
      <w:r>
        <w:t>Equity programs will:</w:t>
      </w:r>
    </w:p>
    <w:p w14:paraId="347D18FC" w14:textId="77777777" w:rsidR="00E74728" w:rsidRDefault="00E74728" w:rsidP="00E74728">
      <w:pPr>
        <w:pStyle w:val="NoSpacing"/>
        <w:numPr>
          <w:ilvl w:val="0"/>
          <w:numId w:val="4"/>
        </w:numPr>
      </w:pPr>
      <w:r>
        <w:t>Directly support hard-to-reach and/or underserved individuals, households, and communities in realizing near and long-term energy savings and greenhouse gas reduction benefits.</w:t>
      </w:r>
    </w:p>
    <w:p w14:paraId="3E3447D3" w14:textId="77777777" w:rsidR="00E74728" w:rsidRDefault="00E74728" w:rsidP="00E74728">
      <w:pPr>
        <w:pStyle w:val="NoSpacing"/>
        <w:numPr>
          <w:ilvl w:val="0"/>
          <w:numId w:val="4"/>
        </w:numPr>
      </w:pPr>
      <w:r>
        <w:t>Prioritize serving customers with the greatest need.</w:t>
      </w:r>
    </w:p>
    <w:p w14:paraId="76B4400B" w14:textId="77777777" w:rsidR="00E74728" w:rsidRDefault="00E74728" w:rsidP="00E74728">
      <w:pPr>
        <w:pStyle w:val="NoSpacing"/>
        <w:numPr>
          <w:ilvl w:val="0"/>
          <w:numId w:val="4"/>
        </w:numPr>
      </w:pPr>
      <w:r>
        <w:t xml:space="preserve">Support equitable decarbonization for hard-to-reach and/or underserved individuals, households, and communities. </w:t>
      </w:r>
    </w:p>
    <w:p w14:paraId="1F8C89D6" w14:textId="71A97170" w:rsidR="00E74728" w:rsidRDefault="00E74728" w:rsidP="00E74728">
      <w:pPr>
        <w:spacing w:after="160" w:line="259" w:lineRule="auto"/>
        <w:rPr>
          <w:rStyle w:val="Emphasis"/>
          <w:b/>
          <w:bCs/>
          <w:sz w:val="22"/>
          <w:szCs w:val="22"/>
        </w:rPr>
      </w:pPr>
    </w:p>
    <w:p w14:paraId="6D9093CE" w14:textId="77777777" w:rsidR="00E74728" w:rsidRPr="00233416" w:rsidRDefault="00E74728" w:rsidP="00E74728">
      <w:pPr>
        <w:pStyle w:val="NoSpacing"/>
        <w:spacing w:after="120"/>
        <w:rPr>
          <w:rStyle w:val="Emphasis"/>
          <w:b/>
          <w:bCs/>
        </w:rPr>
      </w:pPr>
      <w:r>
        <w:rPr>
          <w:rStyle w:val="Emphasis"/>
          <w:b/>
          <w:bCs/>
        </w:rPr>
        <w:t xml:space="preserve">Illustrative </w:t>
      </w:r>
      <w:r w:rsidRPr="00233416">
        <w:rPr>
          <w:rStyle w:val="Emphasis"/>
          <w:b/>
          <w:bCs/>
        </w:rPr>
        <w:t>Metrics</w:t>
      </w:r>
    </w:p>
    <w:p w14:paraId="5E834776" w14:textId="77777777" w:rsidR="00E74728" w:rsidRDefault="00E74728" w:rsidP="00E74728">
      <w:pPr>
        <w:pStyle w:val="NoSpacing"/>
        <w:rPr>
          <w:b/>
          <w:bCs/>
        </w:rPr>
      </w:pPr>
      <w:r>
        <w:rPr>
          <w:b/>
          <w:bCs/>
        </w:rPr>
        <w:t xml:space="preserve">1. </w:t>
      </w:r>
      <w:r w:rsidRPr="00197DF4">
        <w:rPr>
          <w:b/>
          <w:bCs/>
        </w:rPr>
        <w:t>Directly support hard-to-reach and/or underserved individuals, households, and communities in realizing near and long-term energy savings and greenhouse gas reduction benefits.</w:t>
      </w:r>
    </w:p>
    <w:p w14:paraId="6D595CFF" w14:textId="77777777" w:rsidR="00E74728" w:rsidRDefault="00E74728" w:rsidP="00E74728">
      <w:pPr>
        <w:pStyle w:val="NoSpacing"/>
        <w:rPr>
          <w:b/>
          <w:bCs/>
        </w:rPr>
      </w:pPr>
      <w:r>
        <w:rPr>
          <w:b/>
          <w:bCs/>
        </w:rPr>
        <w:t xml:space="preserve">2. </w:t>
      </w:r>
      <w:r w:rsidRPr="125120A1">
        <w:rPr>
          <w:b/>
          <w:bCs/>
        </w:rPr>
        <w:t>Prioritize serving customers with the greatest need.</w:t>
      </w:r>
    </w:p>
    <w:p w14:paraId="18518864" w14:textId="77777777" w:rsidR="00E74728" w:rsidRDefault="00E74728" w:rsidP="00E74728">
      <w:pPr>
        <w:pStyle w:val="NoSpacing"/>
        <w:rPr>
          <w:b/>
          <w:bCs/>
        </w:rPr>
      </w:pPr>
    </w:p>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1664"/>
        <w:gridCol w:w="2296"/>
        <w:gridCol w:w="5644"/>
      </w:tblGrid>
      <w:tr w:rsidR="00E74728" w14:paraId="24AE6861" w14:textId="77777777" w:rsidTr="00116AB8">
        <w:tc>
          <w:tcPr>
            <w:tcW w:w="1664" w:type="dxa"/>
            <w:tcBorders>
              <w:bottom w:val="single" w:sz="4" w:space="0" w:color="auto"/>
            </w:tcBorders>
            <w:shd w:val="clear" w:color="auto" w:fill="D9E2F3" w:themeFill="accent1" w:themeFillTint="33"/>
            <w:vAlign w:val="center"/>
          </w:tcPr>
          <w:p w14:paraId="0AEA3195" w14:textId="77777777" w:rsidR="00E74728" w:rsidRPr="007577CC" w:rsidRDefault="00E74728" w:rsidP="00116AB8">
            <w:pPr>
              <w:pStyle w:val="NoSpacing"/>
              <w:rPr>
                <w:b/>
                <w:bCs/>
              </w:rPr>
            </w:pPr>
            <w:r w:rsidRPr="007577CC">
              <w:rPr>
                <w:b/>
                <w:bCs/>
              </w:rPr>
              <w:t>Sector</w:t>
            </w:r>
          </w:p>
        </w:tc>
        <w:tc>
          <w:tcPr>
            <w:tcW w:w="2296" w:type="dxa"/>
            <w:tcBorders>
              <w:bottom w:val="single" w:sz="4" w:space="0" w:color="auto"/>
            </w:tcBorders>
            <w:shd w:val="clear" w:color="auto" w:fill="D9E2F3" w:themeFill="accent1" w:themeFillTint="33"/>
          </w:tcPr>
          <w:p w14:paraId="557CDF05" w14:textId="77777777" w:rsidR="00E74728" w:rsidRPr="007577CC" w:rsidRDefault="00E74728" w:rsidP="00116AB8">
            <w:pPr>
              <w:pStyle w:val="NoSpacing"/>
              <w:rPr>
                <w:b/>
                <w:bCs/>
              </w:rPr>
            </w:pPr>
            <w:r w:rsidRPr="007577CC">
              <w:rPr>
                <w:b/>
                <w:bCs/>
              </w:rPr>
              <w:t>Metrics</w:t>
            </w:r>
          </w:p>
        </w:tc>
        <w:tc>
          <w:tcPr>
            <w:tcW w:w="5644" w:type="dxa"/>
            <w:tcBorders>
              <w:bottom w:val="single" w:sz="4" w:space="0" w:color="auto"/>
            </w:tcBorders>
            <w:shd w:val="clear" w:color="auto" w:fill="D9E2F3" w:themeFill="accent1" w:themeFillTint="33"/>
          </w:tcPr>
          <w:p w14:paraId="32849E01" w14:textId="77777777" w:rsidR="00E74728" w:rsidRPr="007577CC" w:rsidRDefault="00E74728" w:rsidP="00116AB8">
            <w:pPr>
              <w:pStyle w:val="NoSpacing"/>
              <w:rPr>
                <w:b/>
                <w:bCs/>
              </w:rPr>
            </w:pPr>
            <w:r w:rsidRPr="007577CC">
              <w:rPr>
                <w:b/>
                <w:bCs/>
              </w:rPr>
              <w:t>Description</w:t>
            </w:r>
          </w:p>
        </w:tc>
      </w:tr>
      <w:tr w:rsidR="00E74728" w14:paraId="26FC83A6" w14:textId="77777777" w:rsidTr="00116AB8">
        <w:tc>
          <w:tcPr>
            <w:tcW w:w="1664" w:type="dxa"/>
            <w:tcBorders>
              <w:top w:val="single" w:sz="4" w:space="0" w:color="auto"/>
              <w:bottom w:val="single" w:sz="4" w:space="0" w:color="auto"/>
            </w:tcBorders>
            <w:vAlign w:val="center"/>
          </w:tcPr>
          <w:p w14:paraId="51E706D0" w14:textId="77777777" w:rsidR="00E74728" w:rsidRPr="48D77AF9" w:rsidRDefault="00E74728" w:rsidP="00116AB8">
            <w:pPr>
              <w:pStyle w:val="NoSpacing"/>
              <w:rPr>
                <w:b/>
                <w:bCs/>
              </w:rPr>
            </w:pPr>
            <w:r>
              <w:rPr>
                <w:b/>
                <w:bCs/>
              </w:rPr>
              <w:t>Commercial</w:t>
            </w:r>
          </w:p>
        </w:tc>
        <w:tc>
          <w:tcPr>
            <w:tcW w:w="2296" w:type="dxa"/>
            <w:tcBorders>
              <w:top w:val="single" w:sz="4" w:space="0" w:color="auto"/>
              <w:bottom w:val="single" w:sz="4" w:space="0" w:color="auto"/>
            </w:tcBorders>
            <w:vAlign w:val="center"/>
          </w:tcPr>
          <w:p w14:paraId="26FD2E88" w14:textId="77777777" w:rsidR="00E74728" w:rsidRDefault="00E74728" w:rsidP="00116AB8">
            <w:pPr>
              <w:pStyle w:val="NoSpacing"/>
              <w:rPr>
                <w:b/>
                <w:bCs/>
              </w:rPr>
            </w:pPr>
            <w:r w:rsidRPr="48D77AF9">
              <w:rPr>
                <w:b/>
                <w:bCs/>
              </w:rPr>
              <w:t xml:space="preserve">Small Businesses </w:t>
            </w:r>
            <w:r w:rsidRPr="6C299100">
              <w:rPr>
                <w:b/>
                <w:bCs/>
              </w:rPr>
              <w:t>in DACs</w:t>
            </w:r>
          </w:p>
          <w:p w14:paraId="59EEF07F" w14:textId="77777777" w:rsidR="00E74728" w:rsidRPr="00F90DDA" w:rsidRDefault="00E74728" w:rsidP="00E74728">
            <w:pPr>
              <w:pStyle w:val="NoSpacing"/>
              <w:numPr>
                <w:ilvl w:val="0"/>
                <w:numId w:val="7"/>
              </w:numPr>
              <w:ind w:left="394"/>
            </w:pPr>
            <w:r w:rsidRPr="00F90DDA">
              <w:t xml:space="preserve">% </w:t>
            </w:r>
            <w:proofErr w:type="gramStart"/>
            <w:r w:rsidRPr="00F90DDA">
              <w:t>of</w:t>
            </w:r>
            <w:proofErr w:type="gramEnd"/>
            <w:r w:rsidRPr="00F90DDA">
              <w:t xml:space="preserve"> customers in this category</w:t>
            </w:r>
          </w:p>
          <w:p w14:paraId="3E8D10DA" w14:textId="77777777" w:rsidR="00E74728" w:rsidRDefault="00E74728" w:rsidP="00E74728">
            <w:pPr>
              <w:pStyle w:val="NoSpacing"/>
              <w:numPr>
                <w:ilvl w:val="0"/>
                <w:numId w:val="7"/>
              </w:numPr>
              <w:ind w:left="394"/>
              <w:rPr>
                <w:b/>
                <w:bCs/>
              </w:rPr>
            </w:pPr>
            <w:r w:rsidRPr="00F90DDA">
              <w:t>Of total category statewide, % served</w:t>
            </w:r>
          </w:p>
        </w:tc>
        <w:tc>
          <w:tcPr>
            <w:tcW w:w="5644" w:type="dxa"/>
            <w:tcBorders>
              <w:top w:val="single" w:sz="4" w:space="0" w:color="auto"/>
              <w:bottom w:val="single" w:sz="4" w:space="0" w:color="auto"/>
            </w:tcBorders>
            <w:vAlign w:val="center"/>
          </w:tcPr>
          <w:p w14:paraId="44CC576F" w14:textId="77777777" w:rsidR="00E74728" w:rsidRDefault="00E74728" w:rsidP="00116AB8">
            <w:pPr>
              <w:spacing w:after="160" w:line="259" w:lineRule="auto"/>
              <w:rPr>
                <w:rFonts w:ascii="Calibri" w:eastAsia="Calibri" w:hAnsi="Calibri" w:cs="Calibri"/>
                <w:color w:val="000000" w:themeColor="text1"/>
                <w:sz w:val="22"/>
                <w:szCs w:val="22"/>
              </w:rPr>
            </w:pPr>
            <w:r w:rsidRPr="430B8D70">
              <w:rPr>
                <w:rFonts w:ascii="Calibri" w:eastAsia="Calibri" w:hAnsi="Calibri" w:cs="Calibri"/>
                <w:color w:val="000000" w:themeColor="text1"/>
                <w:sz w:val="22"/>
                <w:szCs w:val="22"/>
              </w:rPr>
              <w:t xml:space="preserve">California Department of General Services definition of “small business” uses the following criteria: </w:t>
            </w:r>
          </w:p>
          <w:p w14:paraId="6E4307CD" w14:textId="77777777" w:rsidR="00E74728" w:rsidRDefault="00E74728" w:rsidP="00E74728">
            <w:pPr>
              <w:pStyle w:val="ListParagraph"/>
              <w:numPr>
                <w:ilvl w:val="0"/>
                <w:numId w:val="2"/>
              </w:numPr>
              <w:spacing w:after="160" w:line="259" w:lineRule="auto"/>
              <w:rPr>
                <w:rFonts w:eastAsiaTheme="minorEastAsia"/>
                <w:color w:val="000000" w:themeColor="text1"/>
                <w:sz w:val="22"/>
                <w:szCs w:val="22"/>
              </w:rPr>
            </w:pPr>
            <w:r w:rsidRPr="430B8D70">
              <w:rPr>
                <w:rFonts w:ascii="Calibri" w:eastAsia="Calibri" w:hAnsi="Calibri" w:cs="Calibri"/>
                <w:color w:val="000000" w:themeColor="text1"/>
                <w:sz w:val="22"/>
                <w:szCs w:val="22"/>
              </w:rPr>
              <w:t xml:space="preserve">Be independently owned and </w:t>
            </w:r>
            <w:proofErr w:type="gramStart"/>
            <w:r w:rsidRPr="430B8D70">
              <w:rPr>
                <w:rFonts w:ascii="Calibri" w:eastAsia="Calibri" w:hAnsi="Calibri" w:cs="Calibri"/>
                <w:color w:val="000000" w:themeColor="text1"/>
                <w:sz w:val="22"/>
                <w:szCs w:val="22"/>
              </w:rPr>
              <w:t>operated;</w:t>
            </w:r>
            <w:proofErr w:type="gramEnd"/>
            <w:r w:rsidRPr="430B8D70">
              <w:rPr>
                <w:rFonts w:ascii="Calibri" w:eastAsia="Calibri" w:hAnsi="Calibri" w:cs="Calibri"/>
                <w:color w:val="000000" w:themeColor="text1"/>
                <w:sz w:val="22"/>
                <w:szCs w:val="22"/>
              </w:rPr>
              <w:t xml:space="preserve"> </w:t>
            </w:r>
          </w:p>
          <w:p w14:paraId="1C8F3272" w14:textId="77777777" w:rsidR="00E74728" w:rsidRDefault="00E74728" w:rsidP="00E74728">
            <w:pPr>
              <w:pStyle w:val="ListParagraph"/>
              <w:numPr>
                <w:ilvl w:val="0"/>
                <w:numId w:val="2"/>
              </w:numPr>
              <w:spacing w:after="160" w:line="259" w:lineRule="auto"/>
              <w:rPr>
                <w:rFonts w:eastAsiaTheme="minorEastAsia"/>
                <w:color w:val="000000" w:themeColor="text1"/>
                <w:sz w:val="22"/>
                <w:szCs w:val="22"/>
              </w:rPr>
            </w:pPr>
            <w:r w:rsidRPr="430B8D70">
              <w:rPr>
                <w:rFonts w:ascii="Calibri" w:eastAsia="Calibri" w:hAnsi="Calibri" w:cs="Calibri"/>
                <w:color w:val="000000" w:themeColor="text1"/>
                <w:sz w:val="22"/>
                <w:szCs w:val="22"/>
              </w:rPr>
              <w:t xml:space="preserve">Not dominant in field of </w:t>
            </w:r>
            <w:proofErr w:type="gramStart"/>
            <w:r w:rsidRPr="430B8D70">
              <w:rPr>
                <w:rFonts w:ascii="Calibri" w:eastAsia="Calibri" w:hAnsi="Calibri" w:cs="Calibri"/>
                <w:color w:val="000000" w:themeColor="text1"/>
                <w:sz w:val="22"/>
                <w:szCs w:val="22"/>
              </w:rPr>
              <w:t>operation;</w:t>
            </w:r>
            <w:proofErr w:type="gramEnd"/>
            <w:r w:rsidRPr="430B8D70">
              <w:rPr>
                <w:rFonts w:ascii="Calibri" w:eastAsia="Calibri" w:hAnsi="Calibri" w:cs="Calibri"/>
                <w:color w:val="000000" w:themeColor="text1"/>
                <w:sz w:val="22"/>
                <w:szCs w:val="22"/>
              </w:rPr>
              <w:t xml:space="preserve"> </w:t>
            </w:r>
          </w:p>
          <w:p w14:paraId="3C8EF357" w14:textId="77777777" w:rsidR="00E74728" w:rsidRDefault="00E74728" w:rsidP="00E74728">
            <w:pPr>
              <w:pStyle w:val="ListParagraph"/>
              <w:numPr>
                <w:ilvl w:val="0"/>
                <w:numId w:val="2"/>
              </w:numPr>
              <w:spacing w:after="160" w:line="259" w:lineRule="auto"/>
              <w:rPr>
                <w:rFonts w:eastAsiaTheme="minorEastAsia"/>
                <w:color w:val="000000" w:themeColor="text1"/>
                <w:sz w:val="22"/>
                <w:szCs w:val="22"/>
              </w:rPr>
            </w:pPr>
            <w:r w:rsidRPr="430B8D70">
              <w:rPr>
                <w:rFonts w:ascii="Calibri" w:eastAsia="Calibri" w:hAnsi="Calibri" w:cs="Calibri"/>
                <w:color w:val="000000" w:themeColor="text1"/>
                <w:sz w:val="22"/>
                <w:szCs w:val="22"/>
              </w:rPr>
              <w:t xml:space="preserve">Principal office located in </w:t>
            </w:r>
            <w:proofErr w:type="gramStart"/>
            <w:r w:rsidRPr="430B8D70">
              <w:rPr>
                <w:rFonts w:ascii="Calibri" w:eastAsia="Calibri" w:hAnsi="Calibri" w:cs="Calibri"/>
                <w:color w:val="000000" w:themeColor="text1"/>
                <w:sz w:val="22"/>
                <w:szCs w:val="22"/>
              </w:rPr>
              <w:t>California;</w:t>
            </w:r>
            <w:proofErr w:type="gramEnd"/>
            <w:r w:rsidRPr="430B8D70">
              <w:rPr>
                <w:rFonts w:ascii="Calibri" w:eastAsia="Calibri" w:hAnsi="Calibri" w:cs="Calibri"/>
                <w:color w:val="000000" w:themeColor="text1"/>
                <w:sz w:val="22"/>
                <w:szCs w:val="22"/>
              </w:rPr>
              <w:t xml:space="preserve"> </w:t>
            </w:r>
          </w:p>
          <w:p w14:paraId="531A25B9" w14:textId="77777777" w:rsidR="00E74728" w:rsidRDefault="00E74728" w:rsidP="00E74728">
            <w:pPr>
              <w:pStyle w:val="ListParagraph"/>
              <w:numPr>
                <w:ilvl w:val="0"/>
                <w:numId w:val="2"/>
              </w:numPr>
              <w:spacing w:after="160" w:line="259" w:lineRule="auto"/>
              <w:rPr>
                <w:rFonts w:eastAsiaTheme="minorEastAsia"/>
                <w:color w:val="000000" w:themeColor="text1"/>
                <w:sz w:val="22"/>
                <w:szCs w:val="22"/>
              </w:rPr>
            </w:pPr>
            <w:r w:rsidRPr="430B8D70">
              <w:rPr>
                <w:rFonts w:ascii="Calibri" w:eastAsia="Calibri" w:hAnsi="Calibri" w:cs="Calibri"/>
                <w:color w:val="000000" w:themeColor="text1"/>
                <w:sz w:val="22"/>
                <w:szCs w:val="22"/>
              </w:rPr>
              <w:t>Owners (</w:t>
            </w:r>
            <w:proofErr w:type="gramStart"/>
            <w:r w:rsidRPr="430B8D70">
              <w:rPr>
                <w:rFonts w:ascii="Calibri" w:eastAsia="Calibri" w:hAnsi="Calibri" w:cs="Calibri"/>
                <w:color w:val="000000" w:themeColor="text1"/>
                <w:sz w:val="22"/>
                <w:szCs w:val="22"/>
              </w:rPr>
              <w:t>officers, if</w:t>
            </w:r>
            <w:proofErr w:type="gramEnd"/>
            <w:r w:rsidRPr="430B8D70">
              <w:rPr>
                <w:rFonts w:ascii="Calibri" w:eastAsia="Calibri" w:hAnsi="Calibri" w:cs="Calibri"/>
                <w:color w:val="000000" w:themeColor="text1"/>
                <w:sz w:val="22"/>
                <w:szCs w:val="22"/>
              </w:rPr>
              <w:t xml:space="preserve"> a corporation) domiciled in California; and</w:t>
            </w:r>
          </w:p>
          <w:p w14:paraId="2D26113C" w14:textId="77777777" w:rsidR="00E74728" w:rsidRDefault="00E74728" w:rsidP="00E74728">
            <w:pPr>
              <w:pStyle w:val="ListParagraph"/>
              <w:numPr>
                <w:ilvl w:val="0"/>
                <w:numId w:val="2"/>
              </w:numPr>
              <w:spacing w:after="160" w:line="259" w:lineRule="auto"/>
              <w:rPr>
                <w:rFonts w:eastAsiaTheme="minorEastAsia"/>
                <w:color w:val="000000" w:themeColor="text1"/>
                <w:sz w:val="22"/>
                <w:szCs w:val="22"/>
              </w:rPr>
            </w:pPr>
            <w:r w:rsidRPr="430B8D70">
              <w:rPr>
                <w:rFonts w:ascii="Calibri" w:eastAsia="Calibri" w:hAnsi="Calibri" w:cs="Calibri"/>
                <w:color w:val="000000" w:themeColor="text1"/>
                <w:sz w:val="22"/>
                <w:szCs w:val="22"/>
              </w:rPr>
              <w:t>Including affiliates, be either</w:t>
            </w:r>
            <w:r>
              <w:rPr>
                <w:rFonts w:ascii="Calibri" w:eastAsia="Calibri" w:hAnsi="Calibri" w:cs="Calibri"/>
                <w:color w:val="000000" w:themeColor="text1"/>
                <w:sz w:val="22"/>
                <w:szCs w:val="22"/>
              </w:rPr>
              <w:t>:</w:t>
            </w:r>
            <w:r w:rsidRPr="430B8D70">
              <w:rPr>
                <w:rFonts w:ascii="Calibri" w:eastAsia="Calibri" w:hAnsi="Calibri" w:cs="Calibri"/>
                <w:color w:val="000000" w:themeColor="text1"/>
                <w:sz w:val="22"/>
                <w:szCs w:val="22"/>
              </w:rPr>
              <w:t xml:space="preserve"> </w:t>
            </w:r>
          </w:p>
          <w:p w14:paraId="286FFB46" w14:textId="77777777" w:rsidR="00E74728" w:rsidRDefault="00E74728" w:rsidP="00E74728">
            <w:pPr>
              <w:pStyle w:val="ListParagraph"/>
              <w:numPr>
                <w:ilvl w:val="1"/>
                <w:numId w:val="2"/>
              </w:numPr>
              <w:spacing w:after="160" w:line="259" w:lineRule="auto"/>
              <w:rPr>
                <w:rFonts w:eastAsiaTheme="minorEastAsia"/>
                <w:color w:val="000000" w:themeColor="text1"/>
                <w:sz w:val="22"/>
                <w:szCs w:val="22"/>
              </w:rPr>
            </w:pPr>
            <w:r w:rsidRPr="430B8D70">
              <w:rPr>
                <w:rFonts w:ascii="Calibri" w:eastAsia="Calibri" w:hAnsi="Calibri" w:cs="Calibri"/>
                <w:color w:val="000000" w:themeColor="text1"/>
                <w:sz w:val="22"/>
                <w:szCs w:val="22"/>
              </w:rPr>
              <w:t xml:space="preserve">A business with 100 or fewer </w:t>
            </w:r>
            <w:proofErr w:type="gramStart"/>
            <w:r w:rsidRPr="430B8D70">
              <w:rPr>
                <w:rFonts w:ascii="Calibri" w:eastAsia="Calibri" w:hAnsi="Calibri" w:cs="Calibri"/>
                <w:color w:val="000000" w:themeColor="text1"/>
                <w:sz w:val="22"/>
                <w:szCs w:val="22"/>
              </w:rPr>
              <w:t>employees;</w:t>
            </w:r>
            <w:proofErr w:type="gramEnd"/>
            <w:r w:rsidRPr="430B8D70">
              <w:rPr>
                <w:rFonts w:ascii="Calibri" w:eastAsia="Calibri" w:hAnsi="Calibri" w:cs="Calibri"/>
                <w:color w:val="000000" w:themeColor="text1"/>
                <w:sz w:val="22"/>
                <w:szCs w:val="22"/>
              </w:rPr>
              <w:t xml:space="preserve"> </w:t>
            </w:r>
          </w:p>
          <w:p w14:paraId="6B07630D" w14:textId="77777777" w:rsidR="00E74728" w:rsidRDefault="00E74728" w:rsidP="00E74728">
            <w:pPr>
              <w:pStyle w:val="ListParagraph"/>
              <w:numPr>
                <w:ilvl w:val="1"/>
                <w:numId w:val="2"/>
              </w:numPr>
              <w:spacing w:after="160" w:line="259" w:lineRule="auto"/>
              <w:rPr>
                <w:color w:val="000000" w:themeColor="text1"/>
                <w:sz w:val="22"/>
                <w:szCs w:val="22"/>
              </w:rPr>
            </w:pPr>
            <w:r w:rsidRPr="430B8D70">
              <w:rPr>
                <w:rFonts w:ascii="Calibri" w:eastAsia="Calibri" w:hAnsi="Calibri" w:cs="Calibri"/>
                <w:color w:val="000000" w:themeColor="text1"/>
                <w:sz w:val="22"/>
                <w:szCs w:val="22"/>
              </w:rPr>
              <w:t xml:space="preserve">An </w:t>
            </w:r>
            <w:proofErr w:type="gramStart"/>
            <w:r w:rsidRPr="430B8D70">
              <w:rPr>
                <w:rFonts w:ascii="Calibri" w:eastAsia="Calibri" w:hAnsi="Calibri" w:cs="Calibri"/>
                <w:color w:val="000000" w:themeColor="text1"/>
                <w:sz w:val="22"/>
                <w:szCs w:val="22"/>
              </w:rPr>
              <w:t>average annual gross receipts</w:t>
            </w:r>
            <w:proofErr w:type="gramEnd"/>
            <w:r w:rsidRPr="430B8D70">
              <w:rPr>
                <w:rFonts w:ascii="Calibri" w:eastAsia="Calibri" w:hAnsi="Calibri" w:cs="Calibri"/>
                <w:color w:val="000000" w:themeColor="text1"/>
                <w:sz w:val="22"/>
                <w:szCs w:val="22"/>
              </w:rPr>
              <w:t xml:space="preserve"> of $15 million or less, over the last three tax years; </w:t>
            </w:r>
          </w:p>
          <w:p w14:paraId="156FD386" w14:textId="77777777" w:rsidR="00E74728" w:rsidRDefault="00E74728" w:rsidP="00E74728">
            <w:pPr>
              <w:pStyle w:val="ListParagraph"/>
              <w:numPr>
                <w:ilvl w:val="1"/>
                <w:numId w:val="2"/>
              </w:numPr>
              <w:spacing w:after="160" w:line="259" w:lineRule="auto"/>
              <w:rPr>
                <w:color w:val="000000" w:themeColor="text1"/>
                <w:sz w:val="22"/>
                <w:szCs w:val="22"/>
              </w:rPr>
            </w:pPr>
            <w:r w:rsidRPr="430B8D70">
              <w:rPr>
                <w:rFonts w:ascii="Calibri" w:eastAsia="Calibri" w:hAnsi="Calibri" w:cs="Calibri"/>
                <w:color w:val="000000" w:themeColor="text1"/>
                <w:sz w:val="22"/>
                <w:szCs w:val="22"/>
              </w:rPr>
              <w:t xml:space="preserve">A manufacturer with 100 or fewer employees; or </w:t>
            </w:r>
          </w:p>
          <w:p w14:paraId="7E12816F" w14:textId="77777777" w:rsidR="00E74728" w:rsidRDefault="00E74728" w:rsidP="00E74728">
            <w:pPr>
              <w:pStyle w:val="ListParagraph"/>
              <w:numPr>
                <w:ilvl w:val="1"/>
                <w:numId w:val="2"/>
              </w:numPr>
              <w:spacing w:after="160" w:line="259" w:lineRule="auto"/>
              <w:rPr>
                <w:color w:val="000000" w:themeColor="text1"/>
                <w:sz w:val="22"/>
                <w:szCs w:val="22"/>
              </w:rPr>
            </w:pPr>
            <w:r w:rsidRPr="430B8D70">
              <w:rPr>
                <w:rFonts w:ascii="Calibri" w:eastAsia="Calibri" w:hAnsi="Calibri" w:cs="Calibri"/>
                <w:color w:val="000000" w:themeColor="text1"/>
                <w:sz w:val="22"/>
                <w:szCs w:val="22"/>
              </w:rPr>
              <w:t xml:space="preserve">A microbusiness. A small business will automatically be designated as a microbusiness, if gross annual receipts are less than $3,500,000 or the small business is </w:t>
            </w:r>
            <w:r w:rsidRPr="430B8D70">
              <w:rPr>
                <w:rFonts w:ascii="Calibri" w:eastAsia="Calibri" w:hAnsi="Calibri" w:cs="Calibri"/>
                <w:color w:val="000000" w:themeColor="text1"/>
                <w:sz w:val="22"/>
                <w:szCs w:val="22"/>
              </w:rPr>
              <w:lastRenderedPageBreak/>
              <w:t>a manufacturer with 25 or fewer employees.</w:t>
            </w:r>
          </w:p>
        </w:tc>
      </w:tr>
      <w:tr w:rsidR="00E74728" w14:paraId="57438070" w14:textId="77777777" w:rsidTr="00116AB8">
        <w:tc>
          <w:tcPr>
            <w:tcW w:w="1664" w:type="dxa"/>
            <w:tcBorders>
              <w:top w:val="single" w:sz="4" w:space="0" w:color="auto"/>
              <w:bottom w:val="single" w:sz="4" w:space="0" w:color="auto"/>
            </w:tcBorders>
            <w:vAlign w:val="center"/>
          </w:tcPr>
          <w:p w14:paraId="405348C1" w14:textId="77777777" w:rsidR="00E74728" w:rsidRPr="37DE9D3D" w:rsidRDefault="00E74728" w:rsidP="00116AB8">
            <w:pPr>
              <w:pStyle w:val="NoSpacing"/>
              <w:rPr>
                <w:b/>
                <w:bCs/>
              </w:rPr>
            </w:pPr>
            <w:r>
              <w:rPr>
                <w:b/>
                <w:bCs/>
              </w:rPr>
              <w:lastRenderedPageBreak/>
              <w:t>Agricultural</w:t>
            </w:r>
          </w:p>
        </w:tc>
        <w:tc>
          <w:tcPr>
            <w:tcW w:w="2296" w:type="dxa"/>
            <w:tcBorders>
              <w:top w:val="single" w:sz="4" w:space="0" w:color="auto"/>
              <w:bottom w:val="single" w:sz="4" w:space="0" w:color="auto"/>
            </w:tcBorders>
            <w:vAlign w:val="center"/>
          </w:tcPr>
          <w:p w14:paraId="561AD899" w14:textId="77777777" w:rsidR="00E74728" w:rsidRDefault="00E74728" w:rsidP="00116AB8">
            <w:pPr>
              <w:pStyle w:val="NoSpacing"/>
              <w:rPr>
                <w:b/>
                <w:bCs/>
              </w:rPr>
            </w:pPr>
            <w:r w:rsidRPr="37DE9D3D">
              <w:rPr>
                <w:b/>
                <w:bCs/>
              </w:rPr>
              <w:t>Socially disadvantaged farmers</w:t>
            </w:r>
          </w:p>
          <w:p w14:paraId="5EF4402B" w14:textId="77777777" w:rsidR="00E74728" w:rsidRPr="00760A21" w:rsidRDefault="00E74728" w:rsidP="00E74728">
            <w:pPr>
              <w:pStyle w:val="NoSpacing"/>
              <w:numPr>
                <w:ilvl w:val="0"/>
                <w:numId w:val="7"/>
              </w:numPr>
              <w:ind w:left="394"/>
              <w:rPr>
                <w:b/>
                <w:bCs/>
              </w:rPr>
            </w:pPr>
            <w:r w:rsidRPr="00F90DDA">
              <w:t xml:space="preserve">% </w:t>
            </w:r>
            <w:proofErr w:type="gramStart"/>
            <w:r w:rsidRPr="00F90DDA">
              <w:t>of</w:t>
            </w:r>
            <w:proofErr w:type="gramEnd"/>
            <w:r w:rsidRPr="00F90DDA">
              <w:t xml:space="preserve"> customers in this category</w:t>
            </w:r>
          </w:p>
          <w:p w14:paraId="5B4EA29D" w14:textId="77777777" w:rsidR="00E74728" w:rsidRDefault="00E74728" w:rsidP="00E74728">
            <w:pPr>
              <w:pStyle w:val="NoSpacing"/>
              <w:numPr>
                <w:ilvl w:val="0"/>
                <w:numId w:val="7"/>
              </w:numPr>
              <w:ind w:left="394"/>
              <w:rPr>
                <w:b/>
                <w:bCs/>
              </w:rPr>
            </w:pPr>
            <w:r w:rsidRPr="00F90DDA">
              <w:t>Of total category statewide, % serve</w:t>
            </w:r>
            <w:r>
              <w:t>d</w:t>
            </w:r>
          </w:p>
        </w:tc>
        <w:tc>
          <w:tcPr>
            <w:tcW w:w="5644" w:type="dxa"/>
            <w:tcBorders>
              <w:top w:val="single" w:sz="4" w:space="0" w:color="auto"/>
              <w:bottom w:val="single" w:sz="4" w:space="0" w:color="auto"/>
            </w:tcBorders>
            <w:vAlign w:val="center"/>
          </w:tcPr>
          <w:p w14:paraId="72C13793" w14:textId="77777777" w:rsidR="00E74728" w:rsidRDefault="00E74728" w:rsidP="00116AB8">
            <w:pPr>
              <w:pStyle w:val="NoSpacing"/>
              <w:rPr>
                <w:rFonts w:ascii="Calibri" w:eastAsia="Calibri" w:hAnsi="Calibri" w:cs="Calibri"/>
              </w:rPr>
            </w:pPr>
            <w:r w:rsidRPr="1EADC3FB">
              <w:rPr>
                <w:rFonts w:ascii="Calibri" w:eastAsia="Calibri" w:hAnsi="Calibri" w:cs="Calibri"/>
              </w:rPr>
              <w:t xml:space="preserve">Farmers or ranchers who are members of a “socially disadvantaged group”. </w:t>
            </w:r>
            <w:r w:rsidRPr="500D8C70">
              <w:rPr>
                <w:rFonts w:ascii="Calibri" w:eastAsia="Calibri" w:hAnsi="Calibri" w:cs="Calibri"/>
              </w:rPr>
              <w:t xml:space="preserve">“Socially disadvantaged group” means a group whose members have been subjected to racial, ethnic, or gender prejudice because of their identity as members of a group without regard to their individual qualities. These groups include </w:t>
            </w:r>
            <w:proofErr w:type="gramStart"/>
            <w:r w:rsidRPr="500D8C70">
              <w:rPr>
                <w:rFonts w:ascii="Calibri" w:eastAsia="Calibri" w:hAnsi="Calibri" w:cs="Calibri"/>
              </w:rPr>
              <w:t>all of</w:t>
            </w:r>
            <w:proofErr w:type="gramEnd"/>
            <w:r w:rsidRPr="500D8C70">
              <w:rPr>
                <w:rFonts w:ascii="Calibri" w:eastAsia="Calibri" w:hAnsi="Calibri" w:cs="Calibri"/>
              </w:rPr>
              <w:t xml:space="preserve"> the following: </w:t>
            </w:r>
          </w:p>
          <w:p w14:paraId="797DFABC" w14:textId="77777777" w:rsidR="00E74728" w:rsidRDefault="00E74728" w:rsidP="00E74728">
            <w:pPr>
              <w:pStyle w:val="NoSpacing"/>
              <w:numPr>
                <w:ilvl w:val="0"/>
                <w:numId w:val="8"/>
              </w:numPr>
              <w:rPr>
                <w:rFonts w:eastAsiaTheme="minorEastAsia"/>
              </w:rPr>
            </w:pPr>
            <w:r w:rsidRPr="500D8C70">
              <w:rPr>
                <w:rFonts w:ascii="Calibri" w:eastAsia="Calibri" w:hAnsi="Calibri" w:cs="Calibri"/>
              </w:rPr>
              <w:t>African Americans</w:t>
            </w:r>
            <w:r>
              <w:rPr>
                <w:rFonts w:ascii="Calibri" w:eastAsia="Calibri" w:hAnsi="Calibri" w:cs="Calibri"/>
              </w:rPr>
              <w:t>.</w:t>
            </w:r>
          </w:p>
          <w:p w14:paraId="7108F3B5" w14:textId="77777777" w:rsidR="00E74728" w:rsidRDefault="00E74728" w:rsidP="00E74728">
            <w:pPr>
              <w:pStyle w:val="NoSpacing"/>
              <w:numPr>
                <w:ilvl w:val="0"/>
                <w:numId w:val="8"/>
              </w:numPr>
            </w:pPr>
            <w:r w:rsidRPr="00241101">
              <w:rPr>
                <w:rFonts w:ascii="Calibri" w:eastAsia="Calibri" w:hAnsi="Calibri" w:cs="Calibri"/>
              </w:rPr>
              <w:t>Native Indians</w:t>
            </w:r>
            <w:r>
              <w:rPr>
                <w:rFonts w:ascii="Calibri" w:eastAsia="Calibri" w:hAnsi="Calibri" w:cs="Calibri"/>
              </w:rPr>
              <w:t>.</w:t>
            </w:r>
          </w:p>
          <w:p w14:paraId="7F7A58DE" w14:textId="77777777" w:rsidR="00E74728" w:rsidRDefault="00E74728" w:rsidP="00E74728">
            <w:pPr>
              <w:pStyle w:val="NoSpacing"/>
              <w:numPr>
                <w:ilvl w:val="0"/>
                <w:numId w:val="8"/>
              </w:numPr>
            </w:pPr>
            <w:r w:rsidRPr="00241101">
              <w:rPr>
                <w:rFonts w:ascii="Calibri" w:eastAsia="Calibri" w:hAnsi="Calibri" w:cs="Calibri"/>
              </w:rPr>
              <w:t>Alaskan Natives.</w:t>
            </w:r>
          </w:p>
          <w:p w14:paraId="13B02F11" w14:textId="77777777" w:rsidR="00E74728" w:rsidRDefault="00E74728" w:rsidP="00E74728">
            <w:pPr>
              <w:pStyle w:val="NoSpacing"/>
              <w:numPr>
                <w:ilvl w:val="0"/>
                <w:numId w:val="8"/>
              </w:numPr>
            </w:pPr>
            <w:r w:rsidRPr="00241101">
              <w:rPr>
                <w:rFonts w:ascii="Calibri" w:eastAsia="Calibri" w:hAnsi="Calibri" w:cs="Calibri"/>
              </w:rPr>
              <w:t>Hispanics.</w:t>
            </w:r>
          </w:p>
          <w:p w14:paraId="690A60BC" w14:textId="77777777" w:rsidR="00E74728" w:rsidRDefault="00E74728" w:rsidP="00E74728">
            <w:pPr>
              <w:pStyle w:val="NoSpacing"/>
              <w:numPr>
                <w:ilvl w:val="0"/>
                <w:numId w:val="8"/>
              </w:numPr>
            </w:pPr>
            <w:r w:rsidRPr="00241101">
              <w:rPr>
                <w:rFonts w:ascii="Calibri" w:eastAsia="Calibri" w:hAnsi="Calibri" w:cs="Calibri"/>
              </w:rPr>
              <w:t>Asian Americans.</w:t>
            </w:r>
          </w:p>
          <w:p w14:paraId="4E2E0A07" w14:textId="77777777" w:rsidR="00E74728" w:rsidRPr="00241101" w:rsidRDefault="00E74728" w:rsidP="00E74728">
            <w:pPr>
              <w:pStyle w:val="NoSpacing"/>
              <w:numPr>
                <w:ilvl w:val="0"/>
                <w:numId w:val="8"/>
              </w:numPr>
            </w:pPr>
            <w:r w:rsidRPr="00241101">
              <w:rPr>
                <w:rFonts w:ascii="Calibri" w:eastAsia="Calibri" w:hAnsi="Calibri" w:cs="Calibri"/>
              </w:rPr>
              <w:t>Native Hawaiians and Pacific Islanders.</w:t>
            </w:r>
          </w:p>
        </w:tc>
      </w:tr>
      <w:tr w:rsidR="00E74728" w14:paraId="571EA95C" w14:textId="77777777" w:rsidTr="00116AB8">
        <w:tc>
          <w:tcPr>
            <w:tcW w:w="1664" w:type="dxa"/>
            <w:tcBorders>
              <w:top w:val="single" w:sz="4" w:space="0" w:color="auto"/>
              <w:bottom w:val="single" w:sz="4" w:space="0" w:color="auto"/>
            </w:tcBorders>
            <w:vAlign w:val="center"/>
          </w:tcPr>
          <w:p w14:paraId="53A336FB" w14:textId="77777777" w:rsidR="00E74728" w:rsidRPr="699146D8" w:rsidRDefault="00E74728" w:rsidP="00116AB8">
            <w:pPr>
              <w:pStyle w:val="NoSpacing"/>
              <w:rPr>
                <w:b/>
                <w:bCs/>
              </w:rPr>
            </w:pPr>
            <w:r>
              <w:rPr>
                <w:b/>
                <w:bCs/>
              </w:rPr>
              <w:t>Agricultural</w:t>
            </w:r>
          </w:p>
        </w:tc>
        <w:tc>
          <w:tcPr>
            <w:tcW w:w="2296" w:type="dxa"/>
            <w:tcBorders>
              <w:top w:val="single" w:sz="4" w:space="0" w:color="auto"/>
              <w:bottom w:val="single" w:sz="4" w:space="0" w:color="auto"/>
            </w:tcBorders>
            <w:vAlign w:val="center"/>
          </w:tcPr>
          <w:p w14:paraId="37812369" w14:textId="77777777" w:rsidR="00E74728" w:rsidRDefault="00E74728" w:rsidP="00116AB8">
            <w:pPr>
              <w:pStyle w:val="NoSpacing"/>
              <w:rPr>
                <w:b/>
                <w:bCs/>
              </w:rPr>
            </w:pPr>
            <w:r>
              <w:rPr>
                <w:b/>
                <w:bCs/>
              </w:rPr>
              <w:t>B</w:t>
            </w:r>
            <w:r w:rsidRPr="149B7707">
              <w:rPr>
                <w:b/>
                <w:bCs/>
              </w:rPr>
              <w:t>eginning</w:t>
            </w:r>
            <w:r w:rsidRPr="699146D8">
              <w:rPr>
                <w:b/>
                <w:bCs/>
              </w:rPr>
              <w:t xml:space="preserve"> </w:t>
            </w:r>
            <w:r w:rsidRPr="3AD0AF98">
              <w:rPr>
                <w:b/>
                <w:bCs/>
              </w:rPr>
              <w:t xml:space="preserve">farmers and </w:t>
            </w:r>
            <w:r w:rsidRPr="0174DBA7">
              <w:rPr>
                <w:b/>
                <w:bCs/>
              </w:rPr>
              <w:t>ranchers</w:t>
            </w:r>
          </w:p>
          <w:p w14:paraId="70384005" w14:textId="77777777" w:rsidR="00E74728" w:rsidRPr="00760A21" w:rsidRDefault="00E74728" w:rsidP="00E74728">
            <w:pPr>
              <w:pStyle w:val="NoSpacing"/>
              <w:numPr>
                <w:ilvl w:val="0"/>
                <w:numId w:val="7"/>
              </w:numPr>
              <w:ind w:left="394"/>
              <w:rPr>
                <w:b/>
                <w:bCs/>
              </w:rPr>
            </w:pPr>
            <w:r w:rsidRPr="00F90DDA">
              <w:t xml:space="preserve">% </w:t>
            </w:r>
            <w:proofErr w:type="gramStart"/>
            <w:r w:rsidRPr="00F90DDA">
              <w:t>of</w:t>
            </w:r>
            <w:proofErr w:type="gramEnd"/>
            <w:r w:rsidRPr="00F90DDA">
              <w:t xml:space="preserve"> customers in this category</w:t>
            </w:r>
          </w:p>
          <w:p w14:paraId="38FCE798" w14:textId="77777777" w:rsidR="00E74728" w:rsidRDefault="00E74728" w:rsidP="00E74728">
            <w:pPr>
              <w:pStyle w:val="NoSpacing"/>
              <w:numPr>
                <w:ilvl w:val="0"/>
                <w:numId w:val="7"/>
              </w:numPr>
              <w:ind w:left="394"/>
              <w:rPr>
                <w:b/>
                <w:bCs/>
              </w:rPr>
            </w:pPr>
            <w:r w:rsidRPr="00F90DDA">
              <w:t>Of total category statewide, % served</w:t>
            </w:r>
          </w:p>
        </w:tc>
        <w:tc>
          <w:tcPr>
            <w:tcW w:w="5644" w:type="dxa"/>
            <w:tcBorders>
              <w:top w:val="single" w:sz="4" w:space="0" w:color="auto"/>
              <w:bottom w:val="single" w:sz="4" w:space="0" w:color="auto"/>
            </w:tcBorders>
            <w:vAlign w:val="center"/>
          </w:tcPr>
          <w:p w14:paraId="594D7BB9" w14:textId="77777777" w:rsidR="00E74728" w:rsidRDefault="00E74728" w:rsidP="00116AB8">
            <w:pPr>
              <w:pStyle w:val="NoSpacing"/>
              <w:rPr>
                <w:rFonts w:ascii="Calibri" w:eastAsia="Calibri" w:hAnsi="Calibri" w:cs="Calibri"/>
              </w:rPr>
            </w:pPr>
            <w:r w:rsidRPr="430B8D70">
              <w:rPr>
                <w:rFonts w:ascii="Calibri" w:eastAsia="Calibri" w:hAnsi="Calibri" w:cs="Calibri"/>
              </w:rPr>
              <w:t xml:space="preserve">A beginning farmer is an individual or entity who: </w:t>
            </w:r>
          </w:p>
          <w:p w14:paraId="0C904951" w14:textId="77777777" w:rsidR="00E74728" w:rsidRDefault="00E74728" w:rsidP="00116AB8">
            <w:pPr>
              <w:pStyle w:val="NoSpacing"/>
              <w:numPr>
                <w:ilvl w:val="0"/>
                <w:numId w:val="1"/>
              </w:numPr>
              <w:rPr>
                <w:rFonts w:eastAsiaTheme="minorEastAsia"/>
              </w:rPr>
            </w:pPr>
            <w:r w:rsidRPr="430B8D70">
              <w:rPr>
                <w:rFonts w:ascii="Calibri" w:eastAsia="Calibri" w:hAnsi="Calibri" w:cs="Calibri"/>
              </w:rPr>
              <w:t xml:space="preserve">Has not operated a farm for more than 10 </w:t>
            </w:r>
            <w:proofErr w:type="gramStart"/>
            <w:r w:rsidRPr="430B8D70">
              <w:rPr>
                <w:rFonts w:ascii="Calibri" w:eastAsia="Calibri" w:hAnsi="Calibri" w:cs="Calibri"/>
              </w:rPr>
              <w:t>years;</w:t>
            </w:r>
            <w:proofErr w:type="gramEnd"/>
          </w:p>
          <w:p w14:paraId="16596B7D" w14:textId="77777777" w:rsidR="00E74728" w:rsidRDefault="00E74728" w:rsidP="00116AB8">
            <w:pPr>
              <w:pStyle w:val="NoSpacing"/>
              <w:numPr>
                <w:ilvl w:val="0"/>
                <w:numId w:val="1"/>
              </w:numPr>
            </w:pPr>
            <w:r w:rsidRPr="430B8D70">
              <w:rPr>
                <w:rFonts w:ascii="Calibri" w:eastAsia="Calibri" w:hAnsi="Calibri" w:cs="Calibri"/>
              </w:rPr>
              <w:t xml:space="preserve">Substantially participates in the </w:t>
            </w:r>
            <w:proofErr w:type="gramStart"/>
            <w:r w:rsidRPr="430B8D70">
              <w:rPr>
                <w:rFonts w:ascii="Calibri" w:eastAsia="Calibri" w:hAnsi="Calibri" w:cs="Calibri"/>
              </w:rPr>
              <w:t>operation;</w:t>
            </w:r>
            <w:proofErr w:type="gramEnd"/>
            <w:r w:rsidRPr="430B8D70">
              <w:rPr>
                <w:rFonts w:ascii="Calibri" w:eastAsia="Calibri" w:hAnsi="Calibri" w:cs="Calibri"/>
              </w:rPr>
              <w:t xml:space="preserve"> </w:t>
            </w:r>
          </w:p>
          <w:p w14:paraId="7F7D63B0" w14:textId="77777777" w:rsidR="00E74728" w:rsidRDefault="00E74728" w:rsidP="00116AB8">
            <w:pPr>
              <w:pStyle w:val="NoSpacing"/>
              <w:numPr>
                <w:ilvl w:val="0"/>
                <w:numId w:val="1"/>
              </w:numPr>
            </w:pPr>
            <w:r w:rsidRPr="430B8D70">
              <w:rPr>
                <w:rFonts w:ascii="Calibri" w:eastAsia="Calibri" w:hAnsi="Calibri" w:cs="Calibri"/>
              </w:rPr>
              <w:t xml:space="preserve">For farm ownership loans, the applicant cannot own a farm greater than 30 percent of the average size farm in the county, at time of application. </w:t>
            </w:r>
          </w:p>
          <w:p w14:paraId="08664982" w14:textId="77777777" w:rsidR="00E74728" w:rsidRDefault="00E74728" w:rsidP="00116AB8">
            <w:pPr>
              <w:pStyle w:val="NoSpacing"/>
              <w:numPr>
                <w:ilvl w:val="0"/>
                <w:numId w:val="1"/>
              </w:numPr>
            </w:pPr>
            <w:r w:rsidRPr="430B8D70">
              <w:rPr>
                <w:rFonts w:ascii="Calibri" w:eastAsia="Calibri" w:hAnsi="Calibri" w:cs="Calibri"/>
              </w:rPr>
              <w:t>If the applicant is an entity, all members must be related by blood or marriage, and all entity members must be eligible beginning farmers.</w:t>
            </w:r>
          </w:p>
        </w:tc>
      </w:tr>
      <w:tr w:rsidR="00E74728" w14:paraId="30763FC9" w14:textId="77777777" w:rsidTr="00116AB8">
        <w:tc>
          <w:tcPr>
            <w:tcW w:w="1664" w:type="dxa"/>
            <w:tcBorders>
              <w:top w:val="single" w:sz="4" w:space="0" w:color="auto"/>
              <w:bottom w:val="single" w:sz="4" w:space="0" w:color="auto"/>
            </w:tcBorders>
            <w:vAlign w:val="center"/>
          </w:tcPr>
          <w:p w14:paraId="4E5423E9" w14:textId="77777777" w:rsidR="00E74728" w:rsidRPr="0174DBA7" w:rsidRDefault="00E74728" w:rsidP="00116AB8">
            <w:pPr>
              <w:pStyle w:val="NoSpacing"/>
              <w:rPr>
                <w:b/>
                <w:bCs/>
              </w:rPr>
            </w:pPr>
            <w:r>
              <w:rPr>
                <w:b/>
                <w:bCs/>
              </w:rPr>
              <w:t>Agricultural</w:t>
            </w:r>
          </w:p>
        </w:tc>
        <w:tc>
          <w:tcPr>
            <w:tcW w:w="2296" w:type="dxa"/>
            <w:tcBorders>
              <w:top w:val="single" w:sz="4" w:space="0" w:color="auto"/>
              <w:bottom w:val="single" w:sz="4" w:space="0" w:color="auto"/>
            </w:tcBorders>
            <w:vAlign w:val="center"/>
          </w:tcPr>
          <w:p w14:paraId="0CF2744B" w14:textId="77777777" w:rsidR="00E74728" w:rsidRDefault="00E74728" w:rsidP="00116AB8">
            <w:pPr>
              <w:pStyle w:val="NoSpacing"/>
              <w:rPr>
                <w:b/>
                <w:bCs/>
              </w:rPr>
            </w:pPr>
            <w:r w:rsidRPr="3DC2C1F3">
              <w:rPr>
                <w:b/>
                <w:bCs/>
              </w:rPr>
              <w:t xml:space="preserve">Limited </w:t>
            </w:r>
            <w:r w:rsidRPr="27FDFAF8">
              <w:rPr>
                <w:b/>
                <w:bCs/>
              </w:rPr>
              <w:t xml:space="preserve">resource farmers or </w:t>
            </w:r>
            <w:r w:rsidRPr="325440BA">
              <w:rPr>
                <w:b/>
                <w:bCs/>
              </w:rPr>
              <w:t>ranchers</w:t>
            </w:r>
          </w:p>
          <w:p w14:paraId="4C642222" w14:textId="77777777" w:rsidR="00E74728" w:rsidRPr="00760A21" w:rsidRDefault="00E74728" w:rsidP="00E74728">
            <w:pPr>
              <w:pStyle w:val="NoSpacing"/>
              <w:numPr>
                <w:ilvl w:val="0"/>
                <w:numId w:val="7"/>
              </w:numPr>
              <w:ind w:left="394"/>
              <w:rPr>
                <w:b/>
                <w:bCs/>
              </w:rPr>
            </w:pPr>
            <w:r w:rsidRPr="00F90DDA">
              <w:t xml:space="preserve">% </w:t>
            </w:r>
            <w:proofErr w:type="gramStart"/>
            <w:r w:rsidRPr="00F90DDA">
              <w:t>of</w:t>
            </w:r>
            <w:proofErr w:type="gramEnd"/>
            <w:r w:rsidRPr="00F90DDA">
              <w:t xml:space="preserve"> customers in this category</w:t>
            </w:r>
          </w:p>
          <w:p w14:paraId="387E57BB" w14:textId="77777777" w:rsidR="00E74728" w:rsidRDefault="00E74728" w:rsidP="00E74728">
            <w:pPr>
              <w:pStyle w:val="NoSpacing"/>
              <w:numPr>
                <w:ilvl w:val="0"/>
                <w:numId w:val="7"/>
              </w:numPr>
              <w:ind w:left="394"/>
              <w:rPr>
                <w:b/>
                <w:bCs/>
              </w:rPr>
            </w:pPr>
            <w:r w:rsidRPr="00F90DDA">
              <w:t>Of total category statewide, % served</w:t>
            </w:r>
          </w:p>
        </w:tc>
        <w:tc>
          <w:tcPr>
            <w:tcW w:w="5644" w:type="dxa"/>
            <w:tcBorders>
              <w:top w:val="single" w:sz="4" w:space="0" w:color="auto"/>
              <w:bottom w:val="single" w:sz="4" w:space="0" w:color="auto"/>
            </w:tcBorders>
            <w:vAlign w:val="center"/>
          </w:tcPr>
          <w:p w14:paraId="61F8718E" w14:textId="77777777" w:rsidR="00E74728" w:rsidRDefault="00E74728" w:rsidP="00116AB8">
            <w:pPr>
              <w:pStyle w:val="NoSpacing"/>
            </w:pPr>
            <w:r>
              <w:t>The term “Limited Resource Farmer or Rancher” means a participant:</w:t>
            </w:r>
          </w:p>
          <w:p w14:paraId="13293F83" w14:textId="77777777" w:rsidR="00E74728" w:rsidRDefault="00E74728" w:rsidP="00116AB8">
            <w:pPr>
              <w:pStyle w:val="NoSpacing"/>
            </w:pPr>
            <w:r>
              <w:t>With direct or indirect gross farm sales not more than the current indexed value in each of the previous two years, and who has a total household income at or below the national poverty level for a family of four, or less than 50 percent of county median household income in each of the previous two years.</w:t>
            </w:r>
          </w:p>
        </w:tc>
      </w:tr>
      <w:tr w:rsidR="00E74728" w14:paraId="0EBD9296" w14:textId="77777777" w:rsidTr="00116AB8">
        <w:tc>
          <w:tcPr>
            <w:tcW w:w="1664" w:type="dxa"/>
            <w:tcBorders>
              <w:top w:val="single" w:sz="4" w:space="0" w:color="auto"/>
              <w:bottom w:val="single" w:sz="4" w:space="0" w:color="auto"/>
            </w:tcBorders>
            <w:vAlign w:val="center"/>
          </w:tcPr>
          <w:p w14:paraId="4379C887" w14:textId="77777777" w:rsidR="00E74728" w:rsidRPr="5F067BB0" w:rsidRDefault="00E74728" w:rsidP="00116AB8">
            <w:pPr>
              <w:pStyle w:val="NoSpacing"/>
              <w:rPr>
                <w:b/>
                <w:bCs/>
              </w:rPr>
            </w:pPr>
            <w:r>
              <w:rPr>
                <w:b/>
                <w:bCs/>
              </w:rPr>
              <w:t>All</w:t>
            </w:r>
          </w:p>
        </w:tc>
        <w:tc>
          <w:tcPr>
            <w:tcW w:w="2296" w:type="dxa"/>
            <w:tcBorders>
              <w:top w:val="single" w:sz="4" w:space="0" w:color="auto"/>
              <w:bottom w:val="single" w:sz="4" w:space="0" w:color="auto"/>
            </w:tcBorders>
            <w:vAlign w:val="center"/>
          </w:tcPr>
          <w:p w14:paraId="320EB9F6" w14:textId="77777777" w:rsidR="00E74728" w:rsidRDefault="00E74728" w:rsidP="00116AB8">
            <w:pPr>
              <w:pStyle w:val="NoSpacing"/>
              <w:rPr>
                <w:b/>
                <w:bCs/>
              </w:rPr>
            </w:pPr>
            <w:r w:rsidRPr="5F067BB0">
              <w:rPr>
                <w:b/>
                <w:bCs/>
              </w:rPr>
              <w:t xml:space="preserve">Disadvantaged </w:t>
            </w:r>
            <w:r w:rsidRPr="5060F12D">
              <w:rPr>
                <w:b/>
                <w:bCs/>
              </w:rPr>
              <w:t xml:space="preserve">workers </w:t>
            </w:r>
            <w:r w:rsidRPr="45C5B47C">
              <w:rPr>
                <w:b/>
                <w:bCs/>
              </w:rPr>
              <w:t xml:space="preserve">employed </w:t>
            </w:r>
          </w:p>
        </w:tc>
        <w:tc>
          <w:tcPr>
            <w:tcW w:w="5644" w:type="dxa"/>
            <w:tcBorders>
              <w:top w:val="single" w:sz="4" w:space="0" w:color="auto"/>
              <w:bottom w:val="single" w:sz="4" w:space="0" w:color="auto"/>
            </w:tcBorders>
            <w:vAlign w:val="center"/>
          </w:tcPr>
          <w:p w14:paraId="7A00E0D0" w14:textId="77777777" w:rsidR="00E74728" w:rsidRDefault="00E74728" w:rsidP="00116AB8">
            <w:pPr>
              <w:spacing w:after="160" w:line="259" w:lineRule="auto"/>
              <w:rPr>
                <w:rFonts w:ascii="Calibri" w:eastAsia="Calibri" w:hAnsi="Calibri" w:cs="Calibri"/>
                <w:color w:val="000000" w:themeColor="text1"/>
                <w:sz w:val="22"/>
                <w:szCs w:val="22"/>
              </w:rPr>
            </w:pPr>
            <w:r w:rsidRPr="316E84A7">
              <w:rPr>
                <w:rFonts w:ascii="Calibri" w:eastAsia="Calibri" w:hAnsi="Calibri" w:cs="Calibri"/>
                <w:color w:val="000000" w:themeColor="text1"/>
                <w:sz w:val="22"/>
                <w:szCs w:val="22"/>
              </w:rPr>
              <w:t>“Disadvantaged Worker” means a worker that (1) has a referral from a collaborating community-based organization (CBO), state agency, or workforce investment board; or (2) lives in a ZIP code that is in the top 25% in one or more of the five socioeconomic indicators as defined in the California Office of Environmental Health Hazard Assessment’s CalEnviroScreen Tool.</w:t>
            </w:r>
          </w:p>
        </w:tc>
      </w:tr>
      <w:tr w:rsidR="00E74728" w14:paraId="3BE5C241" w14:textId="77777777" w:rsidTr="00116AB8">
        <w:tc>
          <w:tcPr>
            <w:tcW w:w="1664" w:type="dxa"/>
            <w:tcBorders>
              <w:top w:val="single" w:sz="4" w:space="0" w:color="auto"/>
              <w:bottom w:val="single" w:sz="4" w:space="0" w:color="auto"/>
            </w:tcBorders>
            <w:vAlign w:val="center"/>
          </w:tcPr>
          <w:p w14:paraId="19AD4442" w14:textId="77777777" w:rsidR="00E74728" w:rsidRDefault="00E74728" w:rsidP="00116AB8">
            <w:pPr>
              <w:pStyle w:val="NoSpacing"/>
              <w:rPr>
                <w:b/>
                <w:bCs/>
              </w:rPr>
            </w:pPr>
            <w:r>
              <w:rPr>
                <w:b/>
                <w:bCs/>
              </w:rPr>
              <w:t>Residential</w:t>
            </w:r>
          </w:p>
        </w:tc>
        <w:tc>
          <w:tcPr>
            <w:tcW w:w="2296" w:type="dxa"/>
            <w:tcBorders>
              <w:top w:val="single" w:sz="4" w:space="0" w:color="auto"/>
              <w:bottom w:val="single" w:sz="4" w:space="0" w:color="auto"/>
            </w:tcBorders>
            <w:vAlign w:val="center"/>
          </w:tcPr>
          <w:p w14:paraId="2720618F" w14:textId="77777777" w:rsidR="00E74728" w:rsidRDefault="00E74728" w:rsidP="00116AB8">
            <w:pPr>
              <w:pStyle w:val="NoSpacing"/>
              <w:rPr>
                <w:b/>
                <w:bCs/>
              </w:rPr>
            </w:pPr>
            <w:r w:rsidRPr="18B36B45">
              <w:rPr>
                <w:b/>
                <w:bCs/>
              </w:rPr>
              <w:t>Gas and Electric</w:t>
            </w:r>
            <w:r>
              <w:rPr>
                <w:b/>
                <w:bCs/>
              </w:rPr>
              <w:t xml:space="preserve"> a</w:t>
            </w:r>
            <w:r w:rsidRPr="2EBC93EB">
              <w:rPr>
                <w:b/>
                <w:bCs/>
              </w:rPr>
              <w:t>ffordability</w:t>
            </w:r>
            <w:r w:rsidRPr="18F7CCF0">
              <w:rPr>
                <w:b/>
                <w:bCs/>
              </w:rPr>
              <w:t xml:space="preserve"> </w:t>
            </w:r>
            <w:r w:rsidRPr="18B36B45">
              <w:rPr>
                <w:b/>
                <w:bCs/>
              </w:rPr>
              <w:t>ratios</w:t>
            </w:r>
            <w:r w:rsidRPr="18F7CCF0">
              <w:rPr>
                <w:b/>
                <w:bCs/>
              </w:rPr>
              <w:t xml:space="preserve"> (AR)</w:t>
            </w:r>
          </w:p>
          <w:p w14:paraId="204B6CAA" w14:textId="77777777" w:rsidR="00E74728" w:rsidRPr="00760A21" w:rsidRDefault="00E74728" w:rsidP="00E74728">
            <w:pPr>
              <w:pStyle w:val="NoSpacing"/>
              <w:numPr>
                <w:ilvl w:val="0"/>
                <w:numId w:val="7"/>
              </w:numPr>
              <w:ind w:left="394"/>
              <w:rPr>
                <w:b/>
              </w:rPr>
            </w:pPr>
            <w:r w:rsidRPr="00F90DDA">
              <w:t xml:space="preserve">% </w:t>
            </w:r>
            <w:proofErr w:type="gramStart"/>
            <w:r w:rsidRPr="00F90DDA">
              <w:t>of</w:t>
            </w:r>
            <w:proofErr w:type="gramEnd"/>
            <w:r w:rsidRPr="00F90DDA">
              <w:t xml:space="preserve"> program customers </w:t>
            </w:r>
            <w:r>
              <w:t>below a certain threshold</w:t>
            </w:r>
          </w:p>
          <w:p w14:paraId="089474B4" w14:textId="77777777" w:rsidR="00E74728" w:rsidRPr="00042846" w:rsidRDefault="00E74728" w:rsidP="00E74728">
            <w:pPr>
              <w:pStyle w:val="NoSpacing"/>
              <w:numPr>
                <w:ilvl w:val="0"/>
                <w:numId w:val="7"/>
              </w:numPr>
              <w:ind w:left="394"/>
              <w:rPr>
                <w:b/>
              </w:rPr>
            </w:pPr>
            <w:r w:rsidRPr="00F90DDA">
              <w:lastRenderedPageBreak/>
              <w:t>Of total category statewide, % served by program</w:t>
            </w:r>
          </w:p>
        </w:tc>
        <w:tc>
          <w:tcPr>
            <w:tcW w:w="5644" w:type="dxa"/>
            <w:tcBorders>
              <w:top w:val="single" w:sz="4" w:space="0" w:color="auto"/>
              <w:bottom w:val="single" w:sz="4" w:space="0" w:color="auto"/>
            </w:tcBorders>
            <w:vAlign w:val="center"/>
          </w:tcPr>
          <w:p w14:paraId="424DC0AF" w14:textId="77777777" w:rsidR="00E74728" w:rsidRDefault="00E74728" w:rsidP="00116AB8">
            <w:pPr>
              <w:pStyle w:val="NoSpacing"/>
            </w:pPr>
            <w:r>
              <w:lastRenderedPageBreak/>
              <w:t>AR is calculated as essential services</w:t>
            </w:r>
            <w:proofErr w:type="gramStart"/>
            <w:r>
              <w:t>/(</w:t>
            </w:r>
            <w:proofErr w:type="gramEnd"/>
            <w:r>
              <w:t>household income minus non-discretionary expenses). Equity programs should be focused on customers exhibiting the greatest practical need for interventions.</w:t>
            </w:r>
          </w:p>
        </w:tc>
      </w:tr>
      <w:tr w:rsidR="00E74728" w14:paraId="758CEA39" w14:textId="77777777" w:rsidTr="00116AB8">
        <w:tc>
          <w:tcPr>
            <w:tcW w:w="1664" w:type="dxa"/>
            <w:tcBorders>
              <w:top w:val="single" w:sz="4" w:space="0" w:color="auto"/>
              <w:bottom w:val="single" w:sz="4" w:space="0" w:color="auto"/>
            </w:tcBorders>
            <w:vAlign w:val="center"/>
          </w:tcPr>
          <w:p w14:paraId="785A18CB" w14:textId="77777777" w:rsidR="00E74728" w:rsidRDefault="00E74728" w:rsidP="00116AB8">
            <w:pPr>
              <w:pStyle w:val="NoSpacing"/>
              <w:rPr>
                <w:b/>
                <w:bCs/>
              </w:rPr>
            </w:pPr>
            <w:r>
              <w:rPr>
                <w:b/>
                <w:bCs/>
              </w:rPr>
              <w:t>All</w:t>
            </w:r>
          </w:p>
        </w:tc>
        <w:tc>
          <w:tcPr>
            <w:tcW w:w="2296" w:type="dxa"/>
            <w:tcBorders>
              <w:top w:val="single" w:sz="4" w:space="0" w:color="auto"/>
              <w:bottom w:val="single" w:sz="4" w:space="0" w:color="auto"/>
            </w:tcBorders>
            <w:vAlign w:val="center"/>
          </w:tcPr>
          <w:p w14:paraId="33761424" w14:textId="77777777" w:rsidR="00E74728" w:rsidRDefault="00E74728" w:rsidP="00116AB8">
            <w:pPr>
              <w:pStyle w:val="NoSpacing"/>
              <w:rPr>
                <w:b/>
                <w:bCs/>
              </w:rPr>
            </w:pPr>
            <w:r>
              <w:rPr>
                <w:b/>
                <w:bCs/>
              </w:rPr>
              <w:t>Benefits per $, generally and specific to categories described above</w:t>
            </w:r>
          </w:p>
          <w:p w14:paraId="53EF6E3C" w14:textId="77777777" w:rsidR="00E74728" w:rsidRPr="00403EA8" w:rsidRDefault="00E74728" w:rsidP="00E74728">
            <w:pPr>
              <w:pStyle w:val="NoSpacing"/>
              <w:numPr>
                <w:ilvl w:val="0"/>
                <w:numId w:val="7"/>
              </w:numPr>
              <w:ind w:left="394"/>
              <w:rPr>
                <w:b/>
                <w:bCs/>
              </w:rPr>
            </w:pPr>
            <w:r>
              <w:t>Energy savings</w:t>
            </w:r>
          </w:p>
          <w:p w14:paraId="2364E6BD" w14:textId="77777777" w:rsidR="00E74728" w:rsidRPr="18B36B45" w:rsidRDefault="00E74728" w:rsidP="00E74728">
            <w:pPr>
              <w:pStyle w:val="NoSpacing"/>
              <w:numPr>
                <w:ilvl w:val="0"/>
                <w:numId w:val="7"/>
              </w:numPr>
              <w:ind w:left="394"/>
              <w:rPr>
                <w:b/>
                <w:bCs/>
              </w:rPr>
            </w:pPr>
            <w:r>
              <w:t>GHG reductions</w:t>
            </w:r>
          </w:p>
        </w:tc>
        <w:tc>
          <w:tcPr>
            <w:tcW w:w="5644" w:type="dxa"/>
            <w:tcBorders>
              <w:top w:val="single" w:sz="4" w:space="0" w:color="auto"/>
              <w:bottom w:val="single" w:sz="4" w:space="0" w:color="auto"/>
            </w:tcBorders>
            <w:vAlign w:val="center"/>
          </w:tcPr>
          <w:p w14:paraId="70F4AC8F" w14:textId="77777777" w:rsidR="00E74728" w:rsidRDefault="00E74728" w:rsidP="00116AB8">
            <w:pPr>
              <w:pStyle w:val="NoSpacing"/>
            </w:pPr>
            <w:r>
              <w:t xml:space="preserve">Cost-efficiency of Equity programs should be measured </w:t>
            </w:r>
            <w:proofErr w:type="gramStart"/>
            <w:r>
              <w:t>in order to</w:t>
            </w:r>
            <w:proofErr w:type="gramEnd"/>
            <w:r>
              <w:t xml:space="preserve"> ensure maximum benefits for target populations relative to budget invested. </w:t>
            </w:r>
          </w:p>
        </w:tc>
      </w:tr>
    </w:tbl>
    <w:p w14:paraId="3A028BB6" w14:textId="77777777" w:rsidR="00E74728" w:rsidRDefault="00E74728" w:rsidP="00E74728">
      <w:pPr>
        <w:pStyle w:val="NoSpacing"/>
        <w:spacing w:after="160" w:line="259" w:lineRule="auto"/>
        <w:rPr>
          <w:b/>
          <w:bCs/>
        </w:rPr>
      </w:pPr>
    </w:p>
    <w:p w14:paraId="0EB69A77" w14:textId="77777777" w:rsidR="00E74728" w:rsidRDefault="00E74728" w:rsidP="00E74728">
      <w:pPr>
        <w:pStyle w:val="NoSpacing"/>
        <w:spacing w:after="160" w:line="259" w:lineRule="auto"/>
        <w:rPr>
          <w:b/>
          <w:bCs/>
        </w:rPr>
      </w:pPr>
      <w:r>
        <w:rPr>
          <w:b/>
          <w:bCs/>
        </w:rPr>
        <w:t xml:space="preserve">3. </w:t>
      </w:r>
      <w:r w:rsidRPr="00197DF4">
        <w:rPr>
          <w:b/>
          <w:bCs/>
        </w:rPr>
        <w:t>Support equitable decarbonization for hard-to-reach and/or underserved individuals, households, and communities.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2245"/>
        <w:gridCol w:w="7105"/>
      </w:tblGrid>
      <w:tr w:rsidR="00E74728" w14:paraId="05F9F239" w14:textId="77777777" w:rsidTr="00116AB8">
        <w:tc>
          <w:tcPr>
            <w:tcW w:w="2245" w:type="dxa"/>
            <w:tcBorders>
              <w:bottom w:val="single" w:sz="4" w:space="0" w:color="auto"/>
            </w:tcBorders>
            <w:shd w:val="clear" w:color="auto" w:fill="D9E2F3" w:themeFill="accent1" w:themeFillTint="33"/>
          </w:tcPr>
          <w:p w14:paraId="0E507670" w14:textId="77777777" w:rsidR="00E74728" w:rsidRPr="00042522" w:rsidRDefault="00E74728" w:rsidP="00116AB8">
            <w:pPr>
              <w:pStyle w:val="NoSpacing"/>
              <w:rPr>
                <w:b/>
                <w:bCs/>
              </w:rPr>
            </w:pPr>
            <w:r w:rsidRPr="00042522">
              <w:rPr>
                <w:b/>
                <w:bCs/>
              </w:rPr>
              <w:t>Metric</w:t>
            </w:r>
          </w:p>
        </w:tc>
        <w:tc>
          <w:tcPr>
            <w:tcW w:w="7105" w:type="dxa"/>
            <w:tcBorders>
              <w:bottom w:val="single" w:sz="4" w:space="0" w:color="auto"/>
            </w:tcBorders>
            <w:shd w:val="clear" w:color="auto" w:fill="D9E2F3" w:themeFill="accent1" w:themeFillTint="33"/>
          </w:tcPr>
          <w:p w14:paraId="3FDC6ACC" w14:textId="77777777" w:rsidR="00E74728" w:rsidRPr="00042522" w:rsidRDefault="00E74728" w:rsidP="00116AB8">
            <w:pPr>
              <w:pStyle w:val="NoSpacing"/>
              <w:rPr>
                <w:b/>
                <w:bCs/>
              </w:rPr>
            </w:pPr>
            <w:r w:rsidRPr="00042522">
              <w:rPr>
                <w:b/>
                <w:bCs/>
              </w:rPr>
              <w:t>Description &amp; Rationale</w:t>
            </w:r>
          </w:p>
        </w:tc>
      </w:tr>
      <w:tr w:rsidR="00E74728" w14:paraId="753B94E7" w14:textId="77777777" w:rsidTr="00116AB8">
        <w:tc>
          <w:tcPr>
            <w:tcW w:w="2245" w:type="dxa"/>
            <w:tcBorders>
              <w:top w:val="single" w:sz="4" w:space="0" w:color="auto"/>
              <w:bottom w:val="single" w:sz="4" w:space="0" w:color="auto"/>
            </w:tcBorders>
            <w:vAlign w:val="center"/>
          </w:tcPr>
          <w:p w14:paraId="60CE2D93" w14:textId="77777777" w:rsidR="00E74728" w:rsidRDefault="00E74728" w:rsidP="00116AB8">
            <w:pPr>
              <w:pStyle w:val="NoSpacing"/>
              <w:rPr>
                <w:b/>
                <w:bCs/>
              </w:rPr>
            </w:pPr>
            <w:r w:rsidRPr="1E7E21E7">
              <w:rPr>
                <w:b/>
                <w:bCs/>
              </w:rPr>
              <w:t xml:space="preserve">GHG </w:t>
            </w:r>
            <w:r w:rsidRPr="24A73D8C">
              <w:rPr>
                <w:b/>
                <w:bCs/>
              </w:rPr>
              <w:t>emissions</w:t>
            </w:r>
            <w:r w:rsidRPr="1E7E21E7">
              <w:rPr>
                <w:b/>
                <w:bCs/>
              </w:rPr>
              <w:t xml:space="preserve"> </w:t>
            </w:r>
            <w:r w:rsidRPr="3C8AD25A">
              <w:rPr>
                <w:b/>
                <w:bCs/>
              </w:rPr>
              <w:t>reductions</w:t>
            </w:r>
          </w:p>
        </w:tc>
        <w:tc>
          <w:tcPr>
            <w:tcW w:w="7105" w:type="dxa"/>
            <w:tcBorders>
              <w:top w:val="single" w:sz="4" w:space="0" w:color="auto"/>
              <w:bottom w:val="single" w:sz="4" w:space="0" w:color="auto"/>
            </w:tcBorders>
            <w:vAlign w:val="center"/>
          </w:tcPr>
          <w:p w14:paraId="60B75B6F" w14:textId="77777777" w:rsidR="00E74728" w:rsidRPr="0065546E" w:rsidRDefault="00E74728" w:rsidP="00116AB8">
            <w:pPr>
              <w:pStyle w:val="NoSpacing"/>
              <w:rPr>
                <w:vertAlign w:val="subscript"/>
              </w:rPr>
            </w:pPr>
            <w:r>
              <w:t xml:space="preserve">Near and long-term GHG reductions for hard-to-reach and/or underserved populations including but not limited to the categories described above. Aligns with the ESJ Action Plan as described in D.21-05-031. </w:t>
            </w:r>
          </w:p>
        </w:tc>
      </w:tr>
      <w:tr w:rsidR="00E74728" w14:paraId="7D6E7DC7" w14:textId="77777777" w:rsidTr="00116AB8">
        <w:trPr>
          <w:trHeight w:val="435"/>
        </w:trPr>
        <w:tc>
          <w:tcPr>
            <w:tcW w:w="2245" w:type="dxa"/>
            <w:tcBorders>
              <w:top w:val="single" w:sz="4" w:space="0" w:color="auto"/>
              <w:bottom w:val="single" w:sz="4" w:space="0" w:color="auto"/>
            </w:tcBorders>
            <w:vAlign w:val="center"/>
          </w:tcPr>
          <w:p w14:paraId="09CC4B1F" w14:textId="77777777" w:rsidR="00E74728" w:rsidRDefault="00E74728" w:rsidP="00116AB8">
            <w:pPr>
              <w:pStyle w:val="NoSpacing"/>
              <w:rPr>
                <w:b/>
                <w:bCs/>
              </w:rPr>
            </w:pPr>
            <w:r>
              <w:rPr>
                <w:b/>
                <w:bCs/>
              </w:rPr>
              <w:t>Deployment of electric and gas-to-electric fuel substitution measures</w:t>
            </w:r>
          </w:p>
        </w:tc>
        <w:tc>
          <w:tcPr>
            <w:tcW w:w="7105" w:type="dxa"/>
            <w:tcBorders>
              <w:top w:val="single" w:sz="4" w:space="0" w:color="auto"/>
              <w:bottom w:val="single" w:sz="4" w:space="0" w:color="auto"/>
            </w:tcBorders>
            <w:vAlign w:val="center"/>
          </w:tcPr>
          <w:p w14:paraId="7D6A98A2" w14:textId="77777777" w:rsidR="00E74728" w:rsidRDefault="00E74728" w:rsidP="00116AB8">
            <w:pPr>
              <w:pStyle w:val="NoSpacing"/>
              <w:rPr>
                <w:rFonts w:eastAsiaTheme="minorEastAsia"/>
                <w:color w:val="000000" w:themeColor="text1"/>
              </w:rPr>
            </w:pPr>
            <w:r w:rsidRPr="125120A1">
              <w:rPr>
                <w:rFonts w:eastAsiaTheme="minorEastAsia"/>
                <w:color w:val="000000" w:themeColor="text1"/>
              </w:rPr>
              <w:t>CARB’s Resolution 20-32 found that indoor air pollutants from natural gas appliances are tied to reduced indoor air quality and that “(DACs) are at higher risk of exposure to unhealthy levels of indoor and outdoor air pollution” and “suffer disproportionately from the serious health impacts caused by exposure to elevated levels of pollution.”</w:t>
            </w:r>
          </w:p>
        </w:tc>
      </w:tr>
    </w:tbl>
    <w:p w14:paraId="7FF104E9" w14:textId="05467EE5" w:rsidR="004A70E2" w:rsidRDefault="00F12140" w:rsidP="004622BF">
      <w:pPr>
        <w:tabs>
          <w:tab w:val="left" w:pos="2610"/>
        </w:tabs>
      </w:pPr>
    </w:p>
    <w:sectPr w:rsidR="004A70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0BFC2" w14:textId="77777777" w:rsidR="00F12140" w:rsidRDefault="00F12140" w:rsidP="004622BF">
      <w:r>
        <w:separator/>
      </w:r>
    </w:p>
  </w:endnote>
  <w:endnote w:type="continuationSeparator" w:id="0">
    <w:p w14:paraId="1141AD46" w14:textId="77777777" w:rsidR="00F12140" w:rsidRDefault="00F12140" w:rsidP="004622BF">
      <w:r>
        <w:continuationSeparator/>
      </w:r>
    </w:p>
  </w:endnote>
  <w:endnote w:type="continuationNotice" w:id="1">
    <w:p w14:paraId="01A98813" w14:textId="77777777" w:rsidR="00F12140" w:rsidRDefault="00F12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09E77" w14:textId="77777777" w:rsidR="00F12140" w:rsidRDefault="00F12140" w:rsidP="004622BF">
      <w:r>
        <w:separator/>
      </w:r>
    </w:p>
  </w:footnote>
  <w:footnote w:type="continuationSeparator" w:id="0">
    <w:p w14:paraId="257DD35E" w14:textId="77777777" w:rsidR="00F12140" w:rsidRDefault="00F12140" w:rsidP="004622BF">
      <w:r>
        <w:continuationSeparator/>
      </w:r>
    </w:p>
  </w:footnote>
  <w:footnote w:type="continuationNotice" w:id="1">
    <w:p w14:paraId="3038F0EF" w14:textId="77777777" w:rsidR="00F12140" w:rsidRDefault="00F121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1787"/>
    <w:multiLevelType w:val="hybridMultilevel"/>
    <w:tmpl w:val="A538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1863"/>
    <w:multiLevelType w:val="hybridMultilevel"/>
    <w:tmpl w:val="A450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85501"/>
    <w:multiLevelType w:val="hybridMultilevel"/>
    <w:tmpl w:val="D866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73C01"/>
    <w:multiLevelType w:val="hybridMultilevel"/>
    <w:tmpl w:val="80F253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26C7"/>
    <w:multiLevelType w:val="hybridMultilevel"/>
    <w:tmpl w:val="FFFFFFFF"/>
    <w:lvl w:ilvl="0" w:tplc="A33A7B7A">
      <w:start w:val="1"/>
      <w:numFmt w:val="bullet"/>
      <w:lvlText w:val=""/>
      <w:lvlJc w:val="left"/>
      <w:pPr>
        <w:ind w:left="720" w:hanging="360"/>
      </w:pPr>
      <w:rPr>
        <w:rFonts w:ascii="Symbol" w:hAnsi="Symbol" w:hint="default"/>
      </w:rPr>
    </w:lvl>
    <w:lvl w:ilvl="1" w:tplc="66289138">
      <w:start w:val="1"/>
      <w:numFmt w:val="bullet"/>
      <w:lvlText w:val="o"/>
      <w:lvlJc w:val="left"/>
      <w:pPr>
        <w:ind w:left="1440" w:hanging="360"/>
      </w:pPr>
      <w:rPr>
        <w:rFonts w:ascii="Courier New" w:hAnsi="Courier New" w:hint="default"/>
      </w:rPr>
    </w:lvl>
    <w:lvl w:ilvl="2" w:tplc="BDBC64C4">
      <w:start w:val="1"/>
      <w:numFmt w:val="bullet"/>
      <w:lvlText w:val=""/>
      <w:lvlJc w:val="left"/>
      <w:pPr>
        <w:ind w:left="2160" w:hanging="360"/>
      </w:pPr>
      <w:rPr>
        <w:rFonts w:ascii="Wingdings" w:hAnsi="Wingdings" w:hint="default"/>
      </w:rPr>
    </w:lvl>
    <w:lvl w:ilvl="3" w:tplc="30D4BEFE">
      <w:start w:val="1"/>
      <w:numFmt w:val="bullet"/>
      <w:lvlText w:val=""/>
      <w:lvlJc w:val="left"/>
      <w:pPr>
        <w:ind w:left="2880" w:hanging="360"/>
      </w:pPr>
      <w:rPr>
        <w:rFonts w:ascii="Symbol" w:hAnsi="Symbol" w:hint="default"/>
      </w:rPr>
    </w:lvl>
    <w:lvl w:ilvl="4" w:tplc="C82E12C2">
      <w:start w:val="1"/>
      <w:numFmt w:val="bullet"/>
      <w:lvlText w:val="o"/>
      <w:lvlJc w:val="left"/>
      <w:pPr>
        <w:ind w:left="3600" w:hanging="360"/>
      </w:pPr>
      <w:rPr>
        <w:rFonts w:ascii="Courier New" w:hAnsi="Courier New" w:hint="default"/>
      </w:rPr>
    </w:lvl>
    <w:lvl w:ilvl="5" w:tplc="D99A9962">
      <w:start w:val="1"/>
      <w:numFmt w:val="bullet"/>
      <w:lvlText w:val=""/>
      <w:lvlJc w:val="left"/>
      <w:pPr>
        <w:ind w:left="4320" w:hanging="360"/>
      </w:pPr>
      <w:rPr>
        <w:rFonts w:ascii="Wingdings" w:hAnsi="Wingdings" w:hint="default"/>
      </w:rPr>
    </w:lvl>
    <w:lvl w:ilvl="6" w:tplc="CC7A06D0">
      <w:start w:val="1"/>
      <w:numFmt w:val="bullet"/>
      <w:lvlText w:val=""/>
      <w:lvlJc w:val="left"/>
      <w:pPr>
        <w:ind w:left="5040" w:hanging="360"/>
      </w:pPr>
      <w:rPr>
        <w:rFonts w:ascii="Symbol" w:hAnsi="Symbol" w:hint="default"/>
      </w:rPr>
    </w:lvl>
    <w:lvl w:ilvl="7" w:tplc="C3F2A59A">
      <w:start w:val="1"/>
      <w:numFmt w:val="bullet"/>
      <w:lvlText w:val="o"/>
      <w:lvlJc w:val="left"/>
      <w:pPr>
        <w:ind w:left="5760" w:hanging="360"/>
      </w:pPr>
      <w:rPr>
        <w:rFonts w:ascii="Courier New" w:hAnsi="Courier New" w:hint="default"/>
      </w:rPr>
    </w:lvl>
    <w:lvl w:ilvl="8" w:tplc="B5BC8D00">
      <w:start w:val="1"/>
      <w:numFmt w:val="bullet"/>
      <w:lvlText w:val=""/>
      <w:lvlJc w:val="left"/>
      <w:pPr>
        <w:ind w:left="6480" w:hanging="360"/>
      </w:pPr>
      <w:rPr>
        <w:rFonts w:ascii="Wingdings" w:hAnsi="Wingdings" w:hint="default"/>
      </w:rPr>
    </w:lvl>
  </w:abstractNum>
  <w:abstractNum w:abstractNumId="5" w15:restartNumberingAfterBreak="0">
    <w:nsid w:val="678076F6"/>
    <w:multiLevelType w:val="hybridMultilevel"/>
    <w:tmpl w:val="114E5C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F52C0"/>
    <w:multiLevelType w:val="hybridMultilevel"/>
    <w:tmpl w:val="FFFFFFFF"/>
    <w:lvl w:ilvl="0" w:tplc="C15679BA">
      <w:start w:val="1"/>
      <w:numFmt w:val="bullet"/>
      <w:lvlText w:val=""/>
      <w:lvlJc w:val="left"/>
      <w:pPr>
        <w:ind w:left="720" w:hanging="360"/>
      </w:pPr>
      <w:rPr>
        <w:rFonts w:ascii="Symbol" w:hAnsi="Symbol" w:hint="default"/>
      </w:rPr>
    </w:lvl>
    <w:lvl w:ilvl="1" w:tplc="5720D126">
      <w:start w:val="1"/>
      <w:numFmt w:val="bullet"/>
      <w:lvlText w:val="o"/>
      <w:lvlJc w:val="left"/>
      <w:pPr>
        <w:ind w:left="1440" w:hanging="360"/>
      </w:pPr>
      <w:rPr>
        <w:rFonts w:ascii="Courier New" w:hAnsi="Courier New" w:hint="default"/>
      </w:rPr>
    </w:lvl>
    <w:lvl w:ilvl="2" w:tplc="1F3231CE">
      <w:start w:val="1"/>
      <w:numFmt w:val="bullet"/>
      <w:lvlText w:val=""/>
      <w:lvlJc w:val="left"/>
      <w:pPr>
        <w:ind w:left="2160" w:hanging="360"/>
      </w:pPr>
      <w:rPr>
        <w:rFonts w:ascii="Wingdings" w:hAnsi="Wingdings" w:hint="default"/>
      </w:rPr>
    </w:lvl>
    <w:lvl w:ilvl="3" w:tplc="1638C2EE">
      <w:start w:val="1"/>
      <w:numFmt w:val="bullet"/>
      <w:lvlText w:val=""/>
      <w:lvlJc w:val="left"/>
      <w:pPr>
        <w:ind w:left="2880" w:hanging="360"/>
      </w:pPr>
      <w:rPr>
        <w:rFonts w:ascii="Symbol" w:hAnsi="Symbol" w:hint="default"/>
      </w:rPr>
    </w:lvl>
    <w:lvl w:ilvl="4" w:tplc="A1408880">
      <w:start w:val="1"/>
      <w:numFmt w:val="bullet"/>
      <w:lvlText w:val="o"/>
      <w:lvlJc w:val="left"/>
      <w:pPr>
        <w:ind w:left="3600" w:hanging="360"/>
      </w:pPr>
      <w:rPr>
        <w:rFonts w:ascii="Courier New" w:hAnsi="Courier New" w:hint="default"/>
      </w:rPr>
    </w:lvl>
    <w:lvl w:ilvl="5" w:tplc="08C25464">
      <w:start w:val="1"/>
      <w:numFmt w:val="bullet"/>
      <w:lvlText w:val=""/>
      <w:lvlJc w:val="left"/>
      <w:pPr>
        <w:ind w:left="4320" w:hanging="360"/>
      </w:pPr>
      <w:rPr>
        <w:rFonts w:ascii="Wingdings" w:hAnsi="Wingdings" w:hint="default"/>
      </w:rPr>
    </w:lvl>
    <w:lvl w:ilvl="6" w:tplc="F15C0552">
      <w:start w:val="1"/>
      <w:numFmt w:val="bullet"/>
      <w:lvlText w:val=""/>
      <w:lvlJc w:val="left"/>
      <w:pPr>
        <w:ind w:left="5040" w:hanging="360"/>
      </w:pPr>
      <w:rPr>
        <w:rFonts w:ascii="Symbol" w:hAnsi="Symbol" w:hint="default"/>
      </w:rPr>
    </w:lvl>
    <w:lvl w:ilvl="7" w:tplc="7DFA7686">
      <w:start w:val="1"/>
      <w:numFmt w:val="bullet"/>
      <w:lvlText w:val="o"/>
      <w:lvlJc w:val="left"/>
      <w:pPr>
        <w:ind w:left="5760" w:hanging="360"/>
      </w:pPr>
      <w:rPr>
        <w:rFonts w:ascii="Courier New" w:hAnsi="Courier New" w:hint="default"/>
      </w:rPr>
    </w:lvl>
    <w:lvl w:ilvl="8" w:tplc="866E9C96">
      <w:start w:val="1"/>
      <w:numFmt w:val="bullet"/>
      <w:lvlText w:val=""/>
      <w:lvlJc w:val="left"/>
      <w:pPr>
        <w:ind w:left="6480" w:hanging="360"/>
      </w:pPr>
      <w:rPr>
        <w:rFonts w:ascii="Wingdings" w:hAnsi="Wingdings" w:hint="default"/>
      </w:rPr>
    </w:lvl>
  </w:abstractNum>
  <w:abstractNum w:abstractNumId="7" w15:restartNumberingAfterBreak="0">
    <w:nsid w:val="7BCD3F5F"/>
    <w:multiLevelType w:val="hybridMultilevel"/>
    <w:tmpl w:val="DEC607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28"/>
    <w:rsid w:val="00086BDB"/>
    <w:rsid w:val="00221CE4"/>
    <w:rsid w:val="003F7E07"/>
    <w:rsid w:val="004622BF"/>
    <w:rsid w:val="00611F04"/>
    <w:rsid w:val="00620C47"/>
    <w:rsid w:val="00621D2E"/>
    <w:rsid w:val="007059F3"/>
    <w:rsid w:val="00734B1E"/>
    <w:rsid w:val="0078740A"/>
    <w:rsid w:val="0095733A"/>
    <w:rsid w:val="00982131"/>
    <w:rsid w:val="0098304D"/>
    <w:rsid w:val="00AD3A09"/>
    <w:rsid w:val="00B16EF7"/>
    <w:rsid w:val="00E74728"/>
    <w:rsid w:val="00F1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C518"/>
  <w15:chartTrackingRefBased/>
  <w15:docId w15:val="{96312180-868D-4270-9996-03AB7B36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28"/>
    <w:pPr>
      <w:spacing w:after="0" w:line="240" w:lineRule="auto"/>
    </w:pPr>
    <w:rPr>
      <w:sz w:val="24"/>
      <w:szCs w:val="24"/>
    </w:rPr>
  </w:style>
  <w:style w:type="paragraph" w:styleId="Heading1">
    <w:name w:val="heading 1"/>
    <w:basedOn w:val="Normal"/>
    <w:next w:val="Normal"/>
    <w:link w:val="Heading1Char"/>
    <w:uiPriority w:val="9"/>
    <w:qFormat/>
    <w:rsid w:val="00E7472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72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74728"/>
    <w:pPr>
      <w:spacing w:after="0" w:line="240" w:lineRule="auto"/>
    </w:pPr>
  </w:style>
  <w:style w:type="paragraph" w:styleId="Header">
    <w:name w:val="header"/>
    <w:basedOn w:val="Normal"/>
    <w:link w:val="HeaderChar"/>
    <w:uiPriority w:val="99"/>
    <w:unhideWhenUsed/>
    <w:rsid w:val="00E74728"/>
    <w:pPr>
      <w:tabs>
        <w:tab w:val="center" w:pos="4680"/>
        <w:tab w:val="right" w:pos="9360"/>
      </w:tabs>
    </w:pPr>
  </w:style>
  <w:style w:type="character" w:customStyle="1" w:styleId="HeaderChar">
    <w:name w:val="Header Char"/>
    <w:basedOn w:val="DefaultParagraphFont"/>
    <w:link w:val="Header"/>
    <w:uiPriority w:val="99"/>
    <w:rsid w:val="00E74728"/>
    <w:rPr>
      <w:sz w:val="24"/>
      <w:szCs w:val="24"/>
    </w:rPr>
  </w:style>
  <w:style w:type="paragraph" w:styleId="Footer">
    <w:name w:val="footer"/>
    <w:basedOn w:val="Normal"/>
    <w:link w:val="FooterChar"/>
    <w:uiPriority w:val="99"/>
    <w:unhideWhenUsed/>
    <w:rsid w:val="00E74728"/>
    <w:pPr>
      <w:tabs>
        <w:tab w:val="center" w:pos="4680"/>
        <w:tab w:val="right" w:pos="9360"/>
      </w:tabs>
    </w:pPr>
  </w:style>
  <w:style w:type="character" w:customStyle="1" w:styleId="FooterChar">
    <w:name w:val="Footer Char"/>
    <w:basedOn w:val="DefaultParagraphFont"/>
    <w:link w:val="Footer"/>
    <w:uiPriority w:val="99"/>
    <w:rsid w:val="00E74728"/>
    <w:rPr>
      <w:sz w:val="24"/>
      <w:szCs w:val="24"/>
    </w:rPr>
  </w:style>
  <w:style w:type="paragraph" w:styleId="ListParagraph">
    <w:name w:val="List Paragraph"/>
    <w:basedOn w:val="Normal"/>
    <w:uiPriority w:val="34"/>
    <w:qFormat/>
    <w:rsid w:val="00E74728"/>
    <w:pPr>
      <w:ind w:left="720"/>
      <w:contextualSpacing/>
    </w:pPr>
  </w:style>
  <w:style w:type="character" w:styleId="CommentReference">
    <w:name w:val="annotation reference"/>
    <w:basedOn w:val="DefaultParagraphFont"/>
    <w:uiPriority w:val="99"/>
    <w:semiHidden/>
    <w:unhideWhenUsed/>
    <w:rsid w:val="00E74728"/>
    <w:rPr>
      <w:sz w:val="16"/>
      <w:szCs w:val="16"/>
    </w:rPr>
  </w:style>
  <w:style w:type="paragraph" w:styleId="CommentText">
    <w:name w:val="annotation text"/>
    <w:basedOn w:val="Normal"/>
    <w:link w:val="CommentTextChar"/>
    <w:uiPriority w:val="99"/>
    <w:unhideWhenUsed/>
    <w:rsid w:val="00E74728"/>
    <w:rPr>
      <w:sz w:val="20"/>
      <w:szCs w:val="20"/>
    </w:rPr>
  </w:style>
  <w:style w:type="character" w:customStyle="1" w:styleId="CommentTextChar">
    <w:name w:val="Comment Text Char"/>
    <w:basedOn w:val="DefaultParagraphFont"/>
    <w:link w:val="CommentText"/>
    <w:uiPriority w:val="99"/>
    <w:rsid w:val="00E74728"/>
    <w:rPr>
      <w:sz w:val="20"/>
      <w:szCs w:val="20"/>
    </w:rPr>
  </w:style>
  <w:style w:type="table" w:styleId="TableGrid">
    <w:name w:val="Table Grid"/>
    <w:basedOn w:val="TableNormal"/>
    <w:uiPriority w:val="39"/>
    <w:rsid w:val="00E74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747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1661ADBBB1B48BF21CEFE7235FB17" ma:contentTypeVersion="9" ma:contentTypeDescription="Create a new document." ma:contentTypeScope="" ma:versionID="e6361f6b57eb8128235d9ad873d29fa2">
  <xsd:schema xmlns:xsd="http://www.w3.org/2001/XMLSchema" xmlns:xs="http://www.w3.org/2001/XMLSchema" xmlns:p="http://schemas.microsoft.com/office/2006/metadata/properties" xmlns:ns3="2c0782a9-f762-4416-ae6c-b4317e89eaff" xmlns:ns4="7a4b4790-8a76-49b9-84c6-ad3c05bdaf3c" targetNamespace="http://schemas.microsoft.com/office/2006/metadata/properties" ma:root="true" ma:fieldsID="3986d7b3d1d6e837cc51df1549f6d89c" ns3:_="" ns4:_="">
    <xsd:import namespace="2c0782a9-f762-4416-ae6c-b4317e89eaff"/>
    <xsd:import namespace="7a4b4790-8a76-49b9-84c6-ad3c05bdaf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82a9-f762-4416-ae6c-b4317e89e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b4790-8a76-49b9-84c6-ad3c05bdaf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59DBA-7AAB-412C-A739-ECC9F73A7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82a9-f762-4416-ae6c-b4317e89eaff"/>
    <ds:schemaRef ds:uri="7a4b4790-8a76-49b9-84c6-ad3c05bda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A3B39-9611-488F-9291-3280E3F144F5}">
  <ds:schemaRefs>
    <ds:schemaRef ds:uri="http://schemas.microsoft.com/sharepoint/v3/contenttype/forms"/>
  </ds:schemaRefs>
</ds:datastoreItem>
</file>

<file path=customXml/itemProps3.xml><?xml version="1.0" encoding="utf-8"?>
<ds:datastoreItem xmlns:ds="http://schemas.openxmlformats.org/officeDocument/2006/customXml" ds:itemID="{02486614-FDAE-40F2-9645-9048DB8FFA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8233</Characters>
  <Application>Microsoft Office Word</Application>
  <DocSecurity>0</DocSecurity>
  <Lines>68</Lines>
  <Paragraphs>19</Paragraphs>
  <ScaleCrop>false</ScaleCrop>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Brendan</dc:creator>
  <cp:keywords/>
  <dc:description/>
  <cp:lastModifiedBy>Katherine Mckeague Abrams</cp:lastModifiedBy>
  <cp:revision>3</cp:revision>
  <dcterms:created xsi:type="dcterms:W3CDTF">2021-07-06T23:23:00Z</dcterms:created>
  <dcterms:modified xsi:type="dcterms:W3CDTF">2021-07-06T23:23:00Z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0x010100A9E1661ADBBB1B48BF21CEFE7235FB17</vt:lpwstr>
  </property>
</Properties>
</file>