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4836D" w14:textId="1526E1FF" w:rsidR="007477C3" w:rsidRDefault="00C83806" w:rsidP="007477C3">
      <w:pPr>
        <w:ind w:right="90"/>
        <w:jc w:val="center"/>
        <w:rPr>
          <w:rFonts w:asciiTheme="majorHAnsi" w:hAnsiTheme="majorHAnsi" w:cstheme="majorHAnsi"/>
          <w:b/>
          <w:sz w:val="28"/>
          <w:szCs w:val="28"/>
        </w:rPr>
      </w:pPr>
      <w:r>
        <w:rPr>
          <w:noProof/>
        </w:rPr>
        <w:drawing>
          <wp:anchor distT="0" distB="0" distL="114300" distR="114300" simplePos="0" relativeHeight="251658240" behindDoc="0" locked="0" layoutInCell="1" allowOverlap="1" wp14:anchorId="1F32FADB" wp14:editId="6FE4CE85">
            <wp:simplePos x="0" y="0"/>
            <wp:positionH relativeFrom="page">
              <wp:posOffset>2769235</wp:posOffset>
            </wp:positionH>
            <wp:positionV relativeFrom="page">
              <wp:posOffset>857250</wp:posOffset>
            </wp:positionV>
            <wp:extent cx="2512934" cy="342414"/>
            <wp:effectExtent l="0" t="0" r="1905"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_logo_rgb_word-title-page.png"/>
                    <pic:cNvPicPr/>
                  </pic:nvPicPr>
                  <pic:blipFill>
                    <a:blip r:embed="rId11">
                      <a:extLst>
                        <a:ext uri="{28A0092B-C50C-407E-A947-70E740481C1C}">
                          <a14:useLocalDpi xmlns:a14="http://schemas.microsoft.com/office/drawing/2010/main" val="0"/>
                        </a:ext>
                      </a:extLst>
                    </a:blip>
                    <a:stretch>
                      <a:fillRect/>
                    </a:stretch>
                  </pic:blipFill>
                  <pic:spPr>
                    <a:xfrm>
                      <a:off x="0" y="0"/>
                      <a:ext cx="2512934" cy="34241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2B62CFEB" w14:textId="317C5FF8" w:rsidR="007477C3" w:rsidRDefault="007477C3" w:rsidP="007477C3">
      <w:pPr>
        <w:ind w:right="90"/>
        <w:jc w:val="center"/>
        <w:rPr>
          <w:rFonts w:asciiTheme="majorHAnsi" w:hAnsiTheme="majorHAnsi" w:cstheme="majorHAnsi"/>
          <w:b/>
          <w:sz w:val="28"/>
          <w:szCs w:val="28"/>
        </w:rPr>
      </w:pPr>
    </w:p>
    <w:p w14:paraId="344116D4" w14:textId="4B58CFFD" w:rsidR="00862036" w:rsidRDefault="00862036" w:rsidP="007477C3">
      <w:pPr>
        <w:ind w:right="90"/>
        <w:jc w:val="center"/>
        <w:rPr>
          <w:rFonts w:asciiTheme="majorHAnsi" w:hAnsiTheme="majorHAnsi" w:cstheme="majorHAnsi"/>
          <w:b/>
          <w:sz w:val="28"/>
          <w:szCs w:val="28"/>
        </w:rPr>
      </w:pPr>
    </w:p>
    <w:p w14:paraId="2B440974" w14:textId="77777777" w:rsidR="00C76942" w:rsidRDefault="00C76942" w:rsidP="007477C3">
      <w:pPr>
        <w:ind w:right="90"/>
        <w:jc w:val="center"/>
        <w:rPr>
          <w:rFonts w:asciiTheme="majorHAnsi" w:hAnsiTheme="majorHAnsi" w:cstheme="majorHAnsi"/>
          <w:b/>
          <w:sz w:val="28"/>
          <w:szCs w:val="28"/>
        </w:rPr>
      </w:pPr>
    </w:p>
    <w:p w14:paraId="58B5B4BF" w14:textId="77777777" w:rsidR="00C76942" w:rsidRDefault="00C76942" w:rsidP="007477C3">
      <w:pPr>
        <w:ind w:right="90"/>
        <w:jc w:val="center"/>
        <w:rPr>
          <w:rFonts w:asciiTheme="majorHAnsi" w:hAnsiTheme="majorHAnsi" w:cstheme="majorHAnsi"/>
          <w:b/>
          <w:sz w:val="28"/>
          <w:szCs w:val="28"/>
        </w:rPr>
      </w:pPr>
    </w:p>
    <w:p w14:paraId="29300553" w14:textId="32490C3B" w:rsidR="00862036" w:rsidRDefault="00862036" w:rsidP="007477C3">
      <w:pPr>
        <w:ind w:right="90"/>
        <w:jc w:val="center"/>
        <w:rPr>
          <w:rFonts w:asciiTheme="majorHAnsi" w:hAnsiTheme="majorHAnsi" w:cstheme="majorHAnsi"/>
          <w:b/>
          <w:sz w:val="28"/>
          <w:szCs w:val="28"/>
        </w:rPr>
      </w:pPr>
    </w:p>
    <w:p w14:paraId="37670D6C" w14:textId="077AC7D9" w:rsidR="00862036" w:rsidRDefault="00862036" w:rsidP="007477C3">
      <w:pPr>
        <w:ind w:right="90"/>
        <w:jc w:val="center"/>
        <w:rPr>
          <w:rFonts w:asciiTheme="majorHAnsi" w:hAnsiTheme="majorHAnsi" w:cstheme="majorHAnsi"/>
          <w:b/>
          <w:sz w:val="28"/>
          <w:szCs w:val="28"/>
        </w:rPr>
      </w:pPr>
    </w:p>
    <w:p w14:paraId="733D7342" w14:textId="77777777" w:rsidR="001B733D" w:rsidRDefault="001B733D" w:rsidP="001B733D">
      <w:pPr>
        <w:ind w:right="90"/>
        <w:jc w:val="center"/>
        <w:rPr>
          <w:rFonts w:asciiTheme="majorHAnsi" w:hAnsiTheme="majorHAnsi" w:cstheme="majorHAnsi"/>
          <w:b/>
          <w:sz w:val="28"/>
          <w:szCs w:val="28"/>
        </w:rPr>
      </w:pPr>
      <w:r>
        <w:rPr>
          <w:rFonts w:asciiTheme="majorHAnsi" w:hAnsiTheme="majorHAnsi" w:cstheme="majorHAnsi"/>
          <w:b/>
          <w:sz w:val="28"/>
          <w:szCs w:val="28"/>
        </w:rPr>
        <w:t>[PG&amp;E Logo to be added 12/1]</w:t>
      </w:r>
    </w:p>
    <w:p w14:paraId="0C517A9F" w14:textId="2CD9CE60" w:rsidR="00862036" w:rsidRDefault="00862036" w:rsidP="007477C3">
      <w:pPr>
        <w:ind w:right="90"/>
        <w:jc w:val="center"/>
        <w:rPr>
          <w:rFonts w:asciiTheme="majorHAnsi" w:hAnsiTheme="majorHAnsi" w:cstheme="majorHAnsi"/>
          <w:b/>
          <w:sz w:val="28"/>
          <w:szCs w:val="28"/>
        </w:rPr>
      </w:pPr>
    </w:p>
    <w:p w14:paraId="3ACEFD96" w14:textId="77777777" w:rsidR="00862036" w:rsidRDefault="00862036" w:rsidP="007477C3">
      <w:pPr>
        <w:ind w:right="90"/>
        <w:jc w:val="center"/>
        <w:rPr>
          <w:rFonts w:asciiTheme="majorHAnsi" w:hAnsiTheme="majorHAnsi" w:cstheme="majorHAnsi"/>
          <w:b/>
          <w:sz w:val="28"/>
          <w:szCs w:val="28"/>
        </w:rPr>
      </w:pPr>
    </w:p>
    <w:p w14:paraId="1541190B" w14:textId="7D6A853F" w:rsidR="007477C3" w:rsidRDefault="007477C3" w:rsidP="007477C3">
      <w:pPr>
        <w:rPr>
          <w:rFonts w:eastAsiaTheme="majorEastAsia" w:cstheme="majorBidi"/>
          <w:b/>
          <w:color w:val="EB391C"/>
          <w:spacing w:val="5"/>
          <w:kern w:val="28"/>
          <w:sz w:val="44"/>
          <w:szCs w:val="52"/>
        </w:rPr>
      </w:pPr>
    </w:p>
    <w:p w14:paraId="7A86C250" w14:textId="1ED95DCB" w:rsidR="00C83806" w:rsidRDefault="00C83806" w:rsidP="007477C3">
      <w:pPr>
        <w:rPr>
          <w:rFonts w:eastAsiaTheme="majorEastAsia" w:cstheme="majorBidi"/>
          <w:b/>
          <w:color w:val="EB391C"/>
          <w:spacing w:val="5"/>
          <w:kern w:val="28"/>
          <w:sz w:val="44"/>
          <w:szCs w:val="52"/>
        </w:rPr>
      </w:pPr>
    </w:p>
    <w:p w14:paraId="30B7FEF8" w14:textId="3EF9EDDC" w:rsidR="007477C3" w:rsidRDefault="007477C3" w:rsidP="007477C3"/>
    <w:p w14:paraId="00B0742D" w14:textId="0C65833F" w:rsidR="007477C3" w:rsidRDefault="007477C3" w:rsidP="007477C3"/>
    <w:p w14:paraId="21EA8A96" w14:textId="77777777" w:rsidR="007477C3" w:rsidRPr="007477C3" w:rsidRDefault="007477C3" w:rsidP="007477C3"/>
    <w:p w14:paraId="6E49B4B0" w14:textId="77777777" w:rsidR="009B463C" w:rsidRDefault="007477C3" w:rsidP="007477C3">
      <w:pPr>
        <w:pStyle w:val="Title"/>
        <w:ind w:right="90"/>
        <w:jc w:val="center"/>
        <w:rPr>
          <w:color w:val="auto"/>
          <w:sz w:val="44"/>
        </w:rPr>
      </w:pPr>
      <w:r w:rsidRPr="007477C3">
        <w:rPr>
          <w:color w:val="auto"/>
          <w:sz w:val="44"/>
        </w:rPr>
        <w:t>Business Energy Performance Program</w:t>
      </w:r>
    </w:p>
    <w:p w14:paraId="2A17DE21" w14:textId="595D57FE" w:rsidR="007477C3" w:rsidRDefault="00680708" w:rsidP="007477C3">
      <w:pPr>
        <w:pStyle w:val="Title"/>
        <w:ind w:right="90"/>
        <w:jc w:val="center"/>
        <w:rPr>
          <w:color w:val="auto"/>
          <w:sz w:val="44"/>
        </w:rPr>
      </w:pPr>
      <w:r w:rsidRPr="007477C3">
        <w:rPr>
          <w:color w:val="auto"/>
          <w:sz w:val="44"/>
        </w:rPr>
        <w:br/>
      </w:r>
    </w:p>
    <w:p w14:paraId="153F5E46" w14:textId="77777777" w:rsidR="00C83806" w:rsidRDefault="00C83806" w:rsidP="00C83806"/>
    <w:p w14:paraId="0118C376" w14:textId="77777777" w:rsidR="00C83806" w:rsidRDefault="00C83806" w:rsidP="00C83806"/>
    <w:p w14:paraId="1765AA2C" w14:textId="77777777" w:rsidR="00C83806" w:rsidRPr="00C83806" w:rsidRDefault="00C83806" w:rsidP="00C83806"/>
    <w:p w14:paraId="690BE0BD" w14:textId="58C216DA" w:rsidR="00712AD6" w:rsidRPr="00862036" w:rsidRDefault="004E1FC7" w:rsidP="007477C3">
      <w:pPr>
        <w:pStyle w:val="Title"/>
        <w:ind w:right="90"/>
        <w:jc w:val="center"/>
        <w:rPr>
          <w:color w:val="auto"/>
          <w:sz w:val="48"/>
          <w:szCs w:val="56"/>
        </w:rPr>
      </w:pPr>
      <w:r>
        <w:rPr>
          <w:color w:val="auto"/>
          <w:sz w:val="72"/>
          <w:szCs w:val="144"/>
        </w:rPr>
        <w:t>Program Manual</w:t>
      </w:r>
    </w:p>
    <w:p w14:paraId="77F1029E" w14:textId="77777777" w:rsidR="00C83806" w:rsidRDefault="00C83806" w:rsidP="009B463C">
      <w:pPr>
        <w:pStyle w:val="ACoverDate"/>
        <w:ind w:right="90"/>
        <w:jc w:val="center"/>
        <w:rPr>
          <w:color w:val="000000" w:themeColor="text1"/>
          <w:sz w:val="28"/>
          <w:szCs w:val="40"/>
        </w:rPr>
      </w:pPr>
    </w:p>
    <w:p w14:paraId="07B9B4F7" w14:textId="5E6ECFC7" w:rsidR="00B26C87" w:rsidRPr="009B463C" w:rsidRDefault="007477C3" w:rsidP="009B463C">
      <w:pPr>
        <w:pStyle w:val="ACoverDate"/>
        <w:ind w:right="90"/>
        <w:jc w:val="center"/>
        <w:rPr>
          <w:color w:val="000000" w:themeColor="text1"/>
          <w:sz w:val="28"/>
          <w:szCs w:val="40"/>
        </w:rPr>
      </w:pPr>
      <w:r w:rsidRPr="009B463C">
        <w:rPr>
          <w:color w:val="000000" w:themeColor="text1"/>
          <w:sz w:val="28"/>
          <w:szCs w:val="40"/>
        </w:rPr>
        <w:t>December</w:t>
      </w:r>
      <w:r w:rsidR="00C772FB" w:rsidRPr="009B463C">
        <w:rPr>
          <w:color w:val="000000" w:themeColor="text1"/>
          <w:sz w:val="28"/>
          <w:szCs w:val="40"/>
        </w:rPr>
        <w:t xml:space="preserve"> </w:t>
      </w:r>
      <w:r w:rsidR="009B463C" w:rsidRPr="009B463C">
        <w:rPr>
          <w:color w:val="000000" w:themeColor="text1"/>
          <w:sz w:val="28"/>
          <w:szCs w:val="40"/>
        </w:rPr>
        <w:t>7,</w:t>
      </w:r>
      <w:r w:rsidR="00C772FB" w:rsidRPr="009B463C">
        <w:rPr>
          <w:color w:val="000000" w:themeColor="text1"/>
          <w:sz w:val="28"/>
          <w:szCs w:val="40"/>
        </w:rPr>
        <w:t xml:space="preserve"> 20</w:t>
      </w:r>
      <w:r w:rsidR="009B463C" w:rsidRPr="009B463C">
        <w:rPr>
          <w:color w:val="000000" w:themeColor="text1"/>
          <w:sz w:val="28"/>
          <w:szCs w:val="40"/>
        </w:rPr>
        <w:t>20</w:t>
      </w:r>
    </w:p>
    <w:p w14:paraId="2AFDC271" w14:textId="31E32CA0" w:rsidR="009B463C" w:rsidRPr="00862036" w:rsidRDefault="009B463C" w:rsidP="00862036">
      <w:pPr>
        <w:pStyle w:val="ACoverDate"/>
        <w:ind w:right="90"/>
        <w:jc w:val="center"/>
        <w:rPr>
          <w:color w:val="000000" w:themeColor="text1"/>
          <w:sz w:val="28"/>
          <w:szCs w:val="40"/>
        </w:rPr>
      </w:pPr>
      <w:r w:rsidRPr="009B463C">
        <w:rPr>
          <w:color w:val="000000" w:themeColor="text1"/>
          <w:sz w:val="28"/>
          <w:szCs w:val="40"/>
        </w:rPr>
        <w:t>Version 1.0</w:t>
      </w:r>
    </w:p>
    <w:p w14:paraId="382AD65F" w14:textId="77777777" w:rsidR="009B463C" w:rsidRPr="00691194" w:rsidRDefault="009B463C" w:rsidP="00FB3C20">
      <w:pPr>
        <w:rPr>
          <w:color w:val="000000" w:themeColor="text1"/>
        </w:rPr>
      </w:pPr>
    </w:p>
    <w:sdt>
      <w:sdtPr>
        <w:rPr>
          <w:rFonts w:ascii="Arial" w:eastAsiaTheme="minorHAnsi" w:hAnsi="Arial" w:cstheme="minorBidi"/>
          <w:b/>
          <w:bCs w:val="0"/>
          <w:color w:val="auto"/>
          <w:sz w:val="18"/>
          <w:szCs w:val="22"/>
          <w:lang w:eastAsia="en-US"/>
        </w:rPr>
        <w:id w:val="-1930029389"/>
        <w:docPartObj>
          <w:docPartGallery w:val="Table of Contents"/>
          <w:docPartUnique/>
        </w:docPartObj>
      </w:sdtPr>
      <w:sdtEndPr>
        <w:rPr>
          <w:b w:val="0"/>
          <w:noProof/>
          <w:color w:val="000000" w:themeColor="text1"/>
        </w:rPr>
      </w:sdtEndPr>
      <w:sdtContent>
        <w:p w14:paraId="50AB645B" w14:textId="77777777" w:rsidR="00B13D8E" w:rsidRPr="00E71747" w:rsidRDefault="00B13D8E" w:rsidP="00E71747">
          <w:pPr>
            <w:pStyle w:val="TOCHeading"/>
          </w:pPr>
          <w:r w:rsidRPr="00E71747">
            <w:t>Table of Contents</w:t>
          </w:r>
          <w:r w:rsidR="0081721C" w:rsidRPr="00E71747">
            <w:t xml:space="preserve"> </w:t>
          </w:r>
        </w:p>
        <w:p w14:paraId="506ED0C7" w14:textId="49AB80D8" w:rsidR="004A73EA" w:rsidRDefault="0081721C">
          <w:pPr>
            <w:pStyle w:val="TOC1"/>
            <w:rPr>
              <w:rFonts w:eastAsiaTheme="minorEastAsia" w:cstheme="minorBidi"/>
              <w:b w:val="0"/>
              <w:noProof/>
              <w:color w:val="auto"/>
              <w:sz w:val="22"/>
              <w:szCs w:val="22"/>
            </w:rPr>
          </w:pPr>
          <w:r w:rsidRPr="00691194">
            <w:rPr>
              <w:color w:val="000000" w:themeColor="text1"/>
              <w:sz w:val="22"/>
              <w:szCs w:val="20"/>
            </w:rPr>
            <w:fldChar w:fldCharType="begin"/>
          </w:r>
          <w:r w:rsidRPr="00691194">
            <w:rPr>
              <w:color w:val="000000" w:themeColor="text1"/>
              <w:sz w:val="22"/>
              <w:szCs w:val="20"/>
            </w:rPr>
            <w:instrText xml:space="preserve"> TOC \o "1-3" \f </w:instrText>
          </w:r>
          <w:r w:rsidRPr="00691194">
            <w:rPr>
              <w:color w:val="000000" w:themeColor="text1"/>
              <w:sz w:val="22"/>
              <w:szCs w:val="20"/>
            </w:rPr>
            <w:fldChar w:fldCharType="separate"/>
          </w:r>
          <w:r w:rsidR="004A73EA">
            <w:rPr>
              <w:noProof/>
            </w:rPr>
            <w:t>Program Manual Summary</w:t>
          </w:r>
          <w:r w:rsidR="004A73EA">
            <w:rPr>
              <w:noProof/>
            </w:rPr>
            <w:tab/>
          </w:r>
          <w:r w:rsidR="004A73EA">
            <w:rPr>
              <w:noProof/>
            </w:rPr>
            <w:fldChar w:fldCharType="begin"/>
          </w:r>
          <w:r w:rsidR="004A73EA">
            <w:rPr>
              <w:noProof/>
            </w:rPr>
            <w:instrText xml:space="preserve"> PAGEREF _Toc57654065 \h </w:instrText>
          </w:r>
          <w:r w:rsidR="004A73EA">
            <w:rPr>
              <w:noProof/>
            </w:rPr>
          </w:r>
          <w:r w:rsidR="004A73EA">
            <w:rPr>
              <w:noProof/>
            </w:rPr>
            <w:fldChar w:fldCharType="separate"/>
          </w:r>
          <w:r w:rsidR="004A73EA">
            <w:rPr>
              <w:noProof/>
            </w:rPr>
            <w:t>3</w:t>
          </w:r>
          <w:r w:rsidR="004A73EA">
            <w:rPr>
              <w:noProof/>
            </w:rPr>
            <w:fldChar w:fldCharType="end"/>
          </w:r>
        </w:p>
        <w:p w14:paraId="464C41D4" w14:textId="2CE3FC56" w:rsidR="004A73EA" w:rsidRDefault="004A73EA">
          <w:pPr>
            <w:pStyle w:val="TOC1"/>
            <w:rPr>
              <w:rFonts w:eastAsiaTheme="minorEastAsia" w:cstheme="minorBidi"/>
              <w:b w:val="0"/>
              <w:noProof/>
              <w:color w:val="auto"/>
              <w:sz w:val="22"/>
              <w:szCs w:val="22"/>
            </w:rPr>
          </w:pPr>
          <w:r>
            <w:rPr>
              <w:noProof/>
            </w:rPr>
            <w:t>1. Eligible Measures or Measure Eligibility</w:t>
          </w:r>
          <w:r>
            <w:rPr>
              <w:noProof/>
            </w:rPr>
            <w:tab/>
          </w:r>
          <w:r>
            <w:rPr>
              <w:noProof/>
            </w:rPr>
            <w:fldChar w:fldCharType="begin"/>
          </w:r>
          <w:r>
            <w:rPr>
              <w:noProof/>
            </w:rPr>
            <w:instrText xml:space="preserve"> PAGEREF _Toc57654066 \h </w:instrText>
          </w:r>
          <w:r>
            <w:rPr>
              <w:noProof/>
            </w:rPr>
          </w:r>
          <w:r>
            <w:rPr>
              <w:noProof/>
            </w:rPr>
            <w:fldChar w:fldCharType="separate"/>
          </w:r>
          <w:r>
            <w:rPr>
              <w:noProof/>
            </w:rPr>
            <w:t>3</w:t>
          </w:r>
          <w:r>
            <w:rPr>
              <w:noProof/>
            </w:rPr>
            <w:fldChar w:fldCharType="end"/>
          </w:r>
        </w:p>
        <w:p w14:paraId="76862C31" w14:textId="454A1A7E" w:rsidR="004A73EA" w:rsidRDefault="004A73EA">
          <w:pPr>
            <w:pStyle w:val="TOC1"/>
            <w:rPr>
              <w:rFonts w:eastAsiaTheme="minorEastAsia" w:cstheme="minorBidi"/>
              <w:b w:val="0"/>
              <w:noProof/>
              <w:color w:val="auto"/>
              <w:sz w:val="22"/>
              <w:szCs w:val="22"/>
            </w:rPr>
          </w:pPr>
          <w:r>
            <w:rPr>
              <w:noProof/>
            </w:rPr>
            <w:t>2. Customer Eligibility Requirements</w:t>
          </w:r>
          <w:r>
            <w:rPr>
              <w:noProof/>
            </w:rPr>
            <w:tab/>
          </w:r>
          <w:r>
            <w:rPr>
              <w:noProof/>
            </w:rPr>
            <w:fldChar w:fldCharType="begin"/>
          </w:r>
          <w:r>
            <w:rPr>
              <w:noProof/>
            </w:rPr>
            <w:instrText xml:space="preserve"> PAGEREF _Toc57654067 \h </w:instrText>
          </w:r>
          <w:r>
            <w:rPr>
              <w:noProof/>
            </w:rPr>
          </w:r>
          <w:r>
            <w:rPr>
              <w:noProof/>
            </w:rPr>
            <w:fldChar w:fldCharType="separate"/>
          </w:r>
          <w:r>
            <w:rPr>
              <w:noProof/>
            </w:rPr>
            <w:t>3</w:t>
          </w:r>
          <w:r>
            <w:rPr>
              <w:noProof/>
            </w:rPr>
            <w:fldChar w:fldCharType="end"/>
          </w:r>
        </w:p>
        <w:p w14:paraId="145A4D43" w14:textId="0E4BD8CC" w:rsidR="004A73EA" w:rsidRDefault="004A73EA">
          <w:pPr>
            <w:pStyle w:val="TOC1"/>
            <w:rPr>
              <w:rFonts w:eastAsiaTheme="minorEastAsia" w:cstheme="minorBidi"/>
              <w:b w:val="0"/>
              <w:noProof/>
              <w:color w:val="auto"/>
              <w:sz w:val="22"/>
              <w:szCs w:val="22"/>
            </w:rPr>
          </w:pPr>
          <w:r>
            <w:rPr>
              <w:noProof/>
            </w:rPr>
            <w:t>3. Contractor Eligibility Requirements</w:t>
          </w:r>
          <w:r>
            <w:rPr>
              <w:noProof/>
            </w:rPr>
            <w:tab/>
          </w:r>
          <w:r>
            <w:rPr>
              <w:noProof/>
            </w:rPr>
            <w:fldChar w:fldCharType="begin"/>
          </w:r>
          <w:r>
            <w:rPr>
              <w:noProof/>
            </w:rPr>
            <w:instrText xml:space="preserve"> PAGEREF _Toc57654068 \h </w:instrText>
          </w:r>
          <w:r>
            <w:rPr>
              <w:noProof/>
            </w:rPr>
          </w:r>
          <w:r>
            <w:rPr>
              <w:noProof/>
            </w:rPr>
            <w:fldChar w:fldCharType="separate"/>
          </w:r>
          <w:r>
            <w:rPr>
              <w:noProof/>
            </w:rPr>
            <w:t>5</w:t>
          </w:r>
          <w:r>
            <w:rPr>
              <w:noProof/>
            </w:rPr>
            <w:fldChar w:fldCharType="end"/>
          </w:r>
        </w:p>
        <w:p w14:paraId="6752C7BF" w14:textId="3F0F75E4" w:rsidR="004A73EA" w:rsidRDefault="004A73EA">
          <w:pPr>
            <w:pStyle w:val="TOC1"/>
            <w:rPr>
              <w:rFonts w:eastAsiaTheme="minorEastAsia" w:cstheme="minorBidi"/>
              <w:b w:val="0"/>
              <w:noProof/>
              <w:color w:val="auto"/>
              <w:sz w:val="22"/>
              <w:szCs w:val="22"/>
            </w:rPr>
          </w:pPr>
          <w:r>
            <w:rPr>
              <w:noProof/>
            </w:rPr>
            <w:t>4. Participating Contractors, Manufacturers, Retailers, Distributors, and Partners</w:t>
          </w:r>
          <w:r>
            <w:rPr>
              <w:noProof/>
            </w:rPr>
            <w:tab/>
          </w:r>
          <w:r>
            <w:rPr>
              <w:noProof/>
            </w:rPr>
            <w:fldChar w:fldCharType="begin"/>
          </w:r>
          <w:r>
            <w:rPr>
              <w:noProof/>
            </w:rPr>
            <w:instrText xml:space="preserve"> PAGEREF _Toc57654069 \h </w:instrText>
          </w:r>
          <w:r>
            <w:rPr>
              <w:noProof/>
            </w:rPr>
          </w:r>
          <w:r>
            <w:rPr>
              <w:noProof/>
            </w:rPr>
            <w:fldChar w:fldCharType="separate"/>
          </w:r>
          <w:r>
            <w:rPr>
              <w:noProof/>
            </w:rPr>
            <w:t>6</w:t>
          </w:r>
          <w:r>
            <w:rPr>
              <w:noProof/>
            </w:rPr>
            <w:fldChar w:fldCharType="end"/>
          </w:r>
        </w:p>
        <w:p w14:paraId="6DC5E45E" w14:textId="31DFA341" w:rsidR="004A73EA" w:rsidRDefault="004A73EA">
          <w:pPr>
            <w:pStyle w:val="TOC1"/>
            <w:rPr>
              <w:rFonts w:eastAsiaTheme="minorEastAsia" w:cstheme="minorBidi"/>
              <w:b w:val="0"/>
              <w:noProof/>
              <w:color w:val="auto"/>
              <w:sz w:val="22"/>
              <w:szCs w:val="22"/>
            </w:rPr>
          </w:pPr>
          <w:r>
            <w:rPr>
              <w:noProof/>
            </w:rPr>
            <w:t>5. Additional Services</w:t>
          </w:r>
          <w:r>
            <w:rPr>
              <w:noProof/>
            </w:rPr>
            <w:tab/>
          </w:r>
          <w:r>
            <w:rPr>
              <w:noProof/>
            </w:rPr>
            <w:fldChar w:fldCharType="begin"/>
          </w:r>
          <w:r>
            <w:rPr>
              <w:noProof/>
            </w:rPr>
            <w:instrText xml:space="preserve"> PAGEREF _Toc57654070 \h </w:instrText>
          </w:r>
          <w:r>
            <w:rPr>
              <w:noProof/>
            </w:rPr>
          </w:r>
          <w:r>
            <w:rPr>
              <w:noProof/>
            </w:rPr>
            <w:fldChar w:fldCharType="separate"/>
          </w:r>
          <w:r>
            <w:rPr>
              <w:noProof/>
            </w:rPr>
            <w:t>6</w:t>
          </w:r>
          <w:r>
            <w:rPr>
              <w:noProof/>
            </w:rPr>
            <w:fldChar w:fldCharType="end"/>
          </w:r>
        </w:p>
        <w:p w14:paraId="5BD6DF43" w14:textId="1D9D319B" w:rsidR="004A73EA" w:rsidRDefault="004A73EA">
          <w:pPr>
            <w:pStyle w:val="TOC1"/>
            <w:rPr>
              <w:rFonts w:eastAsiaTheme="minorEastAsia" w:cstheme="minorBidi"/>
              <w:b w:val="0"/>
              <w:noProof/>
              <w:color w:val="auto"/>
              <w:sz w:val="22"/>
              <w:szCs w:val="22"/>
            </w:rPr>
          </w:pPr>
          <w:r>
            <w:rPr>
              <w:noProof/>
            </w:rPr>
            <w:t>6. Audits</w:t>
          </w:r>
          <w:r>
            <w:rPr>
              <w:noProof/>
            </w:rPr>
            <w:tab/>
          </w:r>
          <w:r>
            <w:rPr>
              <w:noProof/>
            </w:rPr>
            <w:fldChar w:fldCharType="begin"/>
          </w:r>
          <w:r>
            <w:rPr>
              <w:noProof/>
            </w:rPr>
            <w:instrText xml:space="preserve"> PAGEREF _Toc57654071 \h </w:instrText>
          </w:r>
          <w:r>
            <w:rPr>
              <w:noProof/>
            </w:rPr>
          </w:r>
          <w:r>
            <w:rPr>
              <w:noProof/>
            </w:rPr>
            <w:fldChar w:fldCharType="separate"/>
          </w:r>
          <w:r>
            <w:rPr>
              <w:noProof/>
            </w:rPr>
            <w:t>6</w:t>
          </w:r>
          <w:r>
            <w:rPr>
              <w:noProof/>
            </w:rPr>
            <w:fldChar w:fldCharType="end"/>
          </w:r>
        </w:p>
        <w:p w14:paraId="5D3FE395" w14:textId="468B425F" w:rsidR="004A73EA" w:rsidRDefault="004A73EA">
          <w:pPr>
            <w:pStyle w:val="TOC1"/>
            <w:rPr>
              <w:rFonts w:eastAsiaTheme="minorEastAsia" w:cstheme="minorBidi"/>
              <w:b w:val="0"/>
              <w:noProof/>
              <w:color w:val="auto"/>
              <w:sz w:val="22"/>
              <w:szCs w:val="22"/>
            </w:rPr>
          </w:pPr>
          <w:r>
            <w:rPr>
              <w:noProof/>
            </w:rPr>
            <w:t>7. Sub-Program Quality Assurance Provisions</w:t>
          </w:r>
          <w:r>
            <w:rPr>
              <w:noProof/>
            </w:rPr>
            <w:tab/>
          </w:r>
          <w:r>
            <w:rPr>
              <w:noProof/>
            </w:rPr>
            <w:fldChar w:fldCharType="begin"/>
          </w:r>
          <w:r>
            <w:rPr>
              <w:noProof/>
            </w:rPr>
            <w:instrText xml:space="preserve"> PAGEREF _Toc57654072 \h </w:instrText>
          </w:r>
          <w:r>
            <w:rPr>
              <w:noProof/>
            </w:rPr>
          </w:r>
          <w:r>
            <w:rPr>
              <w:noProof/>
            </w:rPr>
            <w:fldChar w:fldCharType="separate"/>
          </w:r>
          <w:r>
            <w:rPr>
              <w:noProof/>
            </w:rPr>
            <w:t>6</w:t>
          </w:r>
          <w:r>
            <w:rPr>
              <w:noProof/>
            </w:rPr>
            <w:fldChar w:fldCharType="end"/>
          </w:r>
        </w:p>
        <w:p w14:paraId="770AA796" w14:textId="3EEB73D8" w:rsidR="004A73EA" w:rsidRDefault="004A73EA">
          <w:pPr>
            <w:pStyle w:val="TOC1"/>
            <w:rPr>
              <w:rFonts w:eastAsiaTheme="minorEastAsia" w:cstheme="minorBidi"/>
              <w:b w:val="0"/>
              <w:noProof/>
              <w:color w:val="auto"/>
              <w:sz w:val="22"/>
              <w:szCs w:val="22"/>
            </w:rPr>
          </w:pPr>
          <w:r>
            <w:rPr>
              <w:noProof/>
            </w:rPr>
            <w:t>8. Other Program Metrics</w:t>
          </w:r>
          <w:r>
            <w:rPr>
              <w:noProof/>
            </w:rPr>
            <w:tab/>
          </w:r>
          <w:r>
            <w:rPr>
              <w:noProof/>
            </w:rPr>
            <w:fldChar w:fldCharType="begin"/>
          </w:r>
          <w:r>
            <w:rPr>
              <w:noProof/>
            </w:rPr>
            <w:instrText xml:space="preserve"> PAGEREF _Toc57654073 \h </w:instrText>
          </w:r>
          <w:r>
            <w:rPr>
              <w:noProof/>
            </w:rPr>
          </w:r>
          <w:r>
            <w:rPr>
              <w:noProof/>
            </w:rPr>
            <w:fldChar w:fldCharType="separate"/>
          </w:r>
          <w:r>
            <w:rPr>
              <w:noProof/>
            </w:rPr>
            <w:t>6</w:t>
          </w:r>
          <w:r>
            <w:rPr>
              <w:noProof/>
            </w:rPr>
            <w:fldChar w:fldCharType="end"/>
          </w:r>
        </w:p>
        <w:p w14:paraId="6A5E456C" w14:textId="6ECC2B3D" w:rsidR="00B13D8E" w:rsidRPr="00691194" w:rsidRDefault="0081721C">
          <w:pPr>
            <w:rPr>
              <w:color w:val="000000" w:themeColor="text1"/>
            </w:rPr>
          </w:pPr>
          <w:r w:rsidRPr="00691194">
            <w:rPr>
              <w:rFonts w:asciiTheme="minorHAnsi" w:hAnsiTheme="minorHAnsi" w:cstheme="minorHAnsi"/>
              <w:color w:val="000000" w:themeColor="text1"/>
              <w:sz w:val="22"/>
              <w:szCs w:val="20"/>
            </w:rPr>
            <w:fldChar w:fldCharType="end"/>
          </w:r>
        </w:p>
      </w:sdtContent>
    </w:sdt>
    <w:p w14:paraId="3D9A2D08" w14:textId="77777777" w:rsidR="00441079" w:rsidRPr="00691194" w:rsidRDefault="00441079" w:rsidP="00441079">
      <w:pPr>
        <w:pStyle w:val="BTableofContents"/>
        <w:rPr>
          <w:b w:val="0"/>
          <w:color w:val="000000" w:themeColor="text1"/>
        </w:rPr>
      </w:pPr>
    </w:p>
    <w:p w14:paraId="4AE18F66" w14:textId="7A7BEBCD" w:rsidR="00B2680E" w:rsidRPr="00AD18E9" w:rsidRDefault="00FB3C20" w:rsidP="00AD18E9">
      <w:pPr>
        <w:pStyle w:val="EPageHeader"/>
        <w:rPr>
          <w:color w:val="000000" w:themeColor="text1"/>
        </w:rPr>
      </w:pPr>
      <w:r w:rsidRPr="00691194">
        <w:rPr>
          <w:color w:val="000000" w:themeColor="text1"/>
        </w:rPr>
        <w:br w:type="page"/>
      </w:r>
    </w:p>
    <w:p w14:paraId="0752074C" w14:textId="3FEBC053" w:rsidR="00DB03C9" w:rsidRDefault="00DB03C9" w:rsidP="00DB03C9">
      <w:pPr>
        <w:pStyle w:val="Heading1"/>
      </w:pPr>
      <w:bookmarkStart w:id="0" w:name="_Toc8227863"/>
      <w:bookmarkStart w:id="1" w:name="_Toc57654065"/>
      <w:r w:rsidRPr="00D87623">
        <w:lastRenderedPageBreak/>
        <w:t xml:space="preserve">Program </w:t>
      </w:r>
      <w:bookmarkEnd w:id="0"/>
      <w:r w:rsidR="004E1FC7">
        <w:t>Manual Summary</w:t>
      </w:r>
      <w:bookmarkEnd w:id="1"/>
    </w:p>
    <w:p w14:paraId="578F453A" w14:textId="77777777" w:rsidR="00A15261" w:rsidRDefault="00A15261" w:rsidP="00A15261">
      <w:r>
        <w:t xml:space="preserve">The Business Energy Performance (“BEP”) Program (“Program”) will provide energy efficiency services, technical </w:t>
      </w:r>
      <w:proofErr w:type="gramStart"/>
      <w:r>
        <w:t>assistance</w:t>
      </w:r>
      <w:proofErr w:type="gramEnd"/>
      <w:r>
        <w:t xml:space="preserve"> and incentives to the industrial sector within the Pacific Gas and Electric (“PG&amp;E”) service territory. The Program will target the Petroleum, Chemical, and Minerals sub segments using a downstream market approach and leveraging the Deemed and Custom savings platforms to deliver cost-effective energy savings. The Program will also promote and leverage </w:t>
      </w:r>
      <w:proofErr w:type="spellStart"/>
      <w:r>
        <w:t>on-bill</w:t>
      </w:r>
      <w:proofErr w:type="spellEnd"/>
      <w:r>
        <w:t xml:space="preserve"> financing (“OBF”) as a tool to off-set the barrier of capital to fund projects. </w:t>
      </w:r>
    </w:p>
    <w:p w14:paraId="2E5FB96F" w14:textId="77777777" w:rsidR="00A15261" w:rsidRDefault="00A15261" w:rsidP="00A15261">
      <w:r>
        <w:t>The primary objectives informing the program design are:</w:t>
      </w:r>
    </w:p>
    <w:p w14:paraId="2959985D" w14:textId="77777777" w:rsidR="00A15261" w:rsidRDefault="00A15261" w:rsidP="00C90EFB">
      <w:pPr>
        <w:pStyle w:val="ListParagraph"/>
        <w:numPr>
          <w:ilvl w:val="0"/>
          <w:numId w:val="10"/>
        </w:numPr>
      </w:pPr>
      <w:r>
        <w:t>Increase the cost-effective savings achieved in the industrial sector</w:t>
      </w:r>
    </w:p>
    <w:p w14:paraId="6D36F4BC" w14:textId="77777777" w:rsidR="00A15261" w:rsidRDefault="00A15261" w:rsidP="00C90EFB">
      <w:pPr>
        <w:pStyle w:val="ListParagraph"/>
        <w:numPr>
          <w:ilvl w:val="0"/>
          <w:numId w:val="10"/>
        </w:numPr>
      </w:pPr>
      <w:r>
        <w:t>Support long-term energy efficiency planning and continued customer engagement to maximize savings delivery</w:t>
      </w:r>
    </w:p>
    <w:p w14:paraId="6A67DA86" w14:textId="65AF8B56" w:rsidR="004E1FC7" w:rsidRPr="004A73EA" w:rsidRDefault="004E1FC7" w:rsidP="004A73EA">
      <w:pPr>
        <w:pStyle w:val="Heading1"/>
        <w:rPr>
          <w:sz w:val="28"/>
          <w:szCs w:val="24"/>
        </w:rPr>
      </w:pPr>
      <w:bookmarkStart w:id="2" w:name="_Toc57654066"/>
      <w:r w:rsidRPr="004E1FC7">
        <w:rPr>
          <w:sz w:val="28"/>
          <w:szCs w:val="24"/>
        </w:rPr>
        <w:t xml:space="preserve">1. </w:t>
      </w:r>
      <w:r w:rsidR="00647EF1">
        <w:rPr>
          <w:sz w:val="28"/>
          <w:szCs w:val="24"/>
        </w:rPr>
        <w:t>Eligible Measures or Measure Eligibility</w:t>
      </w:r>
      <w:bookmarkEnd w:id="2"/>
    </w:p>
    <w:p w14:paraId="4E9399C2" w14:textId="5D1FBC4F" w:rsidR="00135111" w:rsidRDefault="00A33542" w:rsidP="004E1FC7">
      <w:r>
        <w:t xml:space="preserve">Measures will be delivered through either deemed, </w:t>
      </w:r>
      <w:r w:rsidR="00020A45">
        <w:t xml:space="preserve">custom, </w:t>
      </w:r>
      <w:r>
        <w:t>or</w:t>
      </w:r>
      <w:r w:rsidR="0047782D">
        <w:t xml:space="preserve"> BRO-RCx</w:t>
      </w:r>
      <w:r>
        <w:t xml:space="preserve"> platforms. </w:t>
      </w:r>
    </w:p>
    <w:p w14:paraId="7193C20B" w14:textId="77777777" w:rsidR="00F41B4E" w:rsidRDefault="009E2BB8" w:rsidP="009E2BB8">
      <w:pPr>
        <w:pStyle w:val="ListParagraph"/>
        <w:numPr>
          <w:ilvl w:val="0"/>
          <w:numId w:val="15"/>
        </w:numPr>
      </w:pPr>
      <w:r w:rsidRPr="009E2BB8">
        <w:t xml:space="preserve">Process Equipment: </w:t>
      </w:r>
    </w:p>
    <w:p w14:paraId="45EDC342" w14:textId="71DDBA1B" w:rsidR="00F41B4E" w:rsidRDefault="009E2BB8" w:rsidP="00F41B4E">
      <w:pPr>
        <w:pStyle w:val="ListParagraph"/>
        <w:numPr>
          <w:ilvl w:val="1"/>
          <w:numId w:val="15"/>
        </w:numPr>
      </w:pPr>
      <w:r w:rsidRPr="009E2BB8">
        <w:t>Heat Recovery</w:t>
      </w:r>
    </w:p>
    <w:p w14:paraId="411BABB7" w14:textId="53C694FF" w:rsidR="00F41B4E" w:rsidRDefault="009E2BB8" w:rsidP="00F41B4E">
      <w:pPr>
        <w:pStyle w:val="ListParagraph"/>
        <w:numPr>
          <w:ilvl w:val="1"/>
          <w:numId w:val="15"/>
        </w:numPr>
      </w:pPr>
      <w:r w:rsidRPr="009E2BB8">
        <w:t>Process Controls</w:t>
      </w:r>
    </w:p>
    <w:p w14:paraId="12EBD9EA" w14:textId="6050F172" w:rsidR="00F41B4E" w:rsidRDefault="009E2BB8" w:rsidP="00F41B4E">
      <w:pPr>
        <w:pStyle w:val="ListParagraph"/>
        <w:numPr>
          <w:ilvl w:val="1"/>
          <w:numId w:val="15"/>
        </w:numPr>
      </w:pPr>
      <w:r w:rsidRPr="009E2BB8">
        <w:t>Process Optimization</w:t>
      </w:r>
    </w:p>
    <w:p w14:paraId="1670A7E2" w14:textId="0F3EA5EC" w:rsidR="00F41B4E" w:rsidRDefault="009E2BB8" w:rsidP="00F41B4E">
      <w:pPr>
        <w:pStyle w:val="ListParagraph"/>
        <w:numPr>
          <w:ilvl w:val="1"/>
          <w:numId w:val="15"/>
        </w:numPr>
      </w:pPr>
      <w:r w:rsidRPr="009E2BB8">
        <w:t>Insulation</w:t>
      </w:r>
    </w:p>
    <w:p w14:paraId="236AEA19" w14:textId="1DC129E3" w:rsidR="009E2BB8" w:rsidRPr="009E2BB8" w:rsidRDefault="009E2BB8" w:rsidP="00F41B4E">
      <w:pPr>
        <w:pStyle w:val="ListParagraph"/>
        <w:numPr>
          <w:ilvl w:val="1"/>
          <w:numId w:val="15"/>
        </w:numPr>
      </w:pPr>
      <w:r w:rsidRPr="009E2BB8">
        <w:t xml:space="preserve">Variable Frequency Drives (‘VFD”) </w:t>
      </w:r>
    </w:p>
    <w:p w14:paraId="49151722" w14:textId="77777777" w:rsidR="00F41B4E" w:rsidRDefault="009E2BB8" w:rsidP="009E2BB8">
      <w:pPr>
        <w:pStyle w:val="ListParagraph"/>
        <w:numPr>
          <w:ilvl w:val="0"/>
          <w:numId w:val="15"/>
        </w:numPr>
      </w:pPr>
      <w:r w:rsidRPr="009E2BB8">
        <w:t xml:space="preserve">Pumping: </w:t>
      </w:r>
    </w:p>
    <w:p w14:paraId="37C71A32" w14:textId="1A2F15A7" w:rsidR="00F41B4E" w:rsidRDefault="009E2BB8" w:rsidP="00F41B4E">
      <w:pPr>
        <w:pStyle w:val="ListParagraph"/>
        <w:numPr>
          <w:ilvl w:val="1"/>
          <w:numId w:val="15"/>
        </w:numPr>
      </w:pPr>
      <w:r w:rsidRPr="009E2BB8">
        <w:t>VFDs on Well Pump</w:t>
      </w:r>
    </w:p>
    <w:p w14:paraId="26AD1289" w14:textId="53CAFE5C" w:rsidR="00F41B4E" w:rsidRDefault="009E2BB8" w:rsidP="00F41B4E">
      <w:pPr>
        <w:pStyle w:val="ListParagraph"/>
        <w:numPr>
          <w:ilvl w:val="1"/>
          <w:numId w:val="15"/>
        </w:numPr>
      </w:pPr>
      <w:r w:rsidRPr="009E2BB8">
        <w:t>VFDs on Booster Pump</w:t>
      </w:r>
    </w:p>
    <w:p w14:paraId="57A3783A" w14:textId="6C44CE59" w:rsidR="009E2BB8" w:rsidRPr="009E2BB8" w:rsidRDefault="009E2BB8" w:rsidP="00F41B4E">
      <w:pPr>
        <w:pStyle w:val="ListParagraph"/>
        <w:numPr>
          <w:ilvl w:val="1"/>
          <w:numId w:val="15"/>
        </w:numPr>
      </w:pPr>
      <w:r w:rsidRPr="009E2BB8">
        <w:t xml:space="preserve">Pump Upgrades </w:t>
      </w:r>
    </w:p>
    <w:p w14:paraId="142506C3" w14:textId="77777777" w:rsidR="00F41B4E" w:rsidRDefault="009E2BB8" w:rsidP="009E2BB8">
      <w:pPr>
        <w:pStyle w:val="ListParagraph"/>
        <w:numPr>
          <w:ilvl w:val="0"/>
          <w:numId w:val="15"/>
        </w:numPr>
      </w:pPr>
      <w:r w:rsidRPr="009E2BB8">
        <w:t xml:space="preserve">Refrigeration: </w:t>
      </w:r>
    </w:p>
    <w:p w14:paraId="53E6BB12" w14:textId="490B58E0" w:rsidR="00F41B4E" w:rsidRDefault="009E2BB8" w:rsidP="00F41B4E">
      <w:pPr>
        <w:pStyle w:val="ListParagraph"/>
        <w:numPr>
          <w:ilvl w:val="1"/>
          <w:numId w:val="15"/>
        </w:numPr>
      </w:pPr>
      <w:r w:rsidRPr="009E2BB8">
        <w:t>Refrigeration Controls</w:t>
      </w:r>
    </w:p>
    <w:p w14:paraId="7BC109E8" w14:textId="0E75A58C" w:rsidR="00F41B4E" w:rsidRDefault="009E2BB8" w:rsidP="00F41B4E">
      <w:pPr>
        <w:pStyle w:val="ListParagraph"/>
        <w:numPr>
          <w:ilvl w:val="1"/>
          <w:numId w:val="15"/>
        </w:numPr>
      </w:pPr>
      <w:r w:rsidRPr="009E2BB8">
        <w:t>Evaporator Upgrad</w:t>
      </w:r>
      <w:r w:rsidR="00F41B4E">
        <w:t>es</w:t>
      </w:r>
    </w:p>
    <w:p w14:paraId="35483D49" w14:textId="55A37B61" w:rsidR="009E2BB8" w:rsidRPr="009E2BB8" w:rsidRDefault="009E2BB8" w:rsidP="00F41B4E">
      <w:pPr>
        <w:pStyle w:val="ListParagraph"/>
        <w:numPr>
          <w:ilvl w:val="1"/>
          <w:numId w:val="15"/>
        </w:numPr>
      </w:pPr>
      <w:r w:rsidRPr="009E2BB8">
        <w:t xml:space="preserve">VFD on Condenser </w:t>
      </w:r>
    </w:p>
    <w:p w14:paraId="41E4B8F2" w14:textId="77777777" w:rsidR="00F41B4E" w:rsidRDefault="009E2BB8" w:rsidP="009E2BB8">
      <w:pPr>
        <w:pStyle w:val="ListParagraph"/>
        <w:numPr>
          <w:ilvl w:val="0"/>
          <w:numId w:val="15"/>
        </w:numPr>
      </w:pPr>
      <w:r w:rsidRPr="009E2BB8">
        <w:t xml:space="preserve">Steam Systems: </w:t>
      </w:r>
    </w:p>
    <w:p w14:paraId="2471592B" w14:textId="6DE79CF9" w:rsidR="00F41B4E" w:rsidRDefault="009E2BB8" w:rsidP="00F41B4E">
      <w:pPr>
        <w:pStyle w:val="ListParagraph"/>
        <w:numPr>
          <w:ilvl w:val="1"/>
          <w:numId w:val="15"/>
        </w:numPr>
      </w:pPr>
      <w:r w:rsidRPr="009E2BB8">
        <w:t>Boiler Controls</w:t>
      </w:r>
    </w:p>
    <w:p w14:paraId="006CA6C0" w14:textId="65B7273E" w:rsidR="00F41B4E" w:rsidRDefault="009E2BB8" w:rsidP="00F41B4E">
      <w:pPr>
        <w:pStyle w:val="ListParagraph"/>
        <w:numPr>
          <w:ilvl w:val="1"/>
          <w:numId w:val="15"/>
        </w:numPr>
      </w:pPr>
      <w:r w:rsidRPr="009E2BB8">
        <w:t>Economize</w:t>
      </w:r>
      <w:r w:rsidR="00F41B4E">
        <w:t>r</w:t>
      </w:r>
    </w:p>
    <w:p w14:paraId="725472C9" w14:textId="63017C74" w:rsidR="00F41B4E" w:rsidRDefault="009E2BB8" w:rsidP="00F41B4E">
      <w:pPr>
        <w:pStyle w:val="ListParagraph"/>
        <w:numPr>
          <w:ilvl w:val="1"/>
          <w:numId w:val="15"/>
        </w:numPr>
      </w:pPr>
      <w:r w:rsidRPr="009E2BB8">
        <w:t>Blow Down Heat Recovery</w:t>
      </w:r>
    </w:p>
    <w:p w14:paraId="0647D5B5" w14:textId="07999F19" w:rsidR="00F41B4E" w:rsidRDefault="009E2BB8" w:rsidP="00F41B4E">
      <w:pPr>
        <w:pStyle w:val="ListParagraph"/>
        <w:numPr>
          <w:ilvl w:val="1"/>
          <w:numId w:val="15"/>
        </w:numPr>
      </w:pPr>
      <w:r w:rsidRPr="009E2BB8">
        <w:t>Flash Steam Recovery</w:t>
      </w:r>
    </w:p>
    <w:p w14:paraId="27121BF1" w14:textId="01A180E8" w:rsidR="00F41B4E" w:rsidRDefault="009E2BB8" w:rsidP="00F41B4E">
      <w:pPr>
        <w:pStyle w:val="ListParagraph"/>
        <w:numPr>
          <w:ilvl w:val="1"/>
          <w:numId w:val="15"/>
        </w:numPr>
      </w:pPr>
      <w:r w:rsidRPr="009E2BB8">
        <w:t>Insulation</w:t>
      </w:r>
    </w:p>
    <w:p w14:paraId="410B49B0" w14:textId="1AC4F4D2" w:rsidR="00F41B4E" w:rsidRDefault="009E2BB8" w:rsidP="00F41B4E">
      <w:pPr>
        <w:pStyle w:val="ListParagraph"/>
        <w:numPr>
          <w:ilvl w:val="1"/>
          <w:numId w:val="15"/>
        </w:numPr>
      </w:pPr>
      <w:r w:rsidRPr="009E2BB8">
        <w:t>Boiler Upgrade</w:t>
      </w:r>
    </w:p>
    <w:p w14:paraId="703FE14D" w14:textId="6CFBB82F" w:rsidR="00F41B4E" w:rsidRDefault="009E2BB8" w:rsidP="00F41B4E">
      <w:pPr>
        <w:pStyle w:val="ListParagraph"/>
        <w:numPr>
          <w:ilvl w:val="1"/>
          <w:numId w:val="15"/>
        </w:numPr>
      </w:pPr>
      <w:r w:rsidRPr="009E2BB8">
        <w:t>Condensate Return</w:t>
      </w:r>
    </w:p>
    <w:p w14:paraId="2F63E8CC" w14:textId="7CC6C350" w:rsidR="009E2BB8" w:rsidRPr="009E2BB8" w:rsidRDefault="009E2BB8" w:rsidP="00F41B4E">
      <w:pPr>
        <w:pStyle w:val="ListParagraph"/>
        <w:numPr>
          <w:ilvl w:val="1"/>
          <w:numId w:val="15"/>
        </w:numPr>
      </w:pPr>
      <w:r w:rsidRPr="009E2BB8">
        <w:t xml:space="preserve">Reverse Osmosis (RO) for boiler water </w:t>
      </w:r>
    </w:p>
    <w:p w14:paraId="71779852" w14:textId="77777777" w:rsidR="00623192" w:rsidRDefault="009E2BB8" w:rsidP="009E2BB8">
      <w:pPr>
        <w:pStyle w:val="ListParagraph"/>
        <w:numPr>
          <w:ilvl w:val="0"/>
          <w:numId w:val="15"/>
        </w:numPr>
      </w:pPr>
      <w:r w:rsidRPr="009E2BB8">
        <w:t xml:space="preserve">Compressed Air: </w:t>
      </w:r>
    </w:p>
    <w:p w14:paraId="60EB032C" w14:textId="3C15FD5D" w:rsidR="00623192" w:rsidRDefault="009E2BB8" w:rsidP="00623192">
      <w:pPr>
        <w:pStyle w:val="ListParagraph"/>
        <w:numPr>
          <w:ilvl w:val="1"/>
          <w:numId w:val="15"/>
        </w:numPr>
      </w:pPr>
      <w:r w:rsidRPr="009E2BB8">
        <w:t>Pressure Drop Reduction</w:t>
      </w:r>
    </w:p>
    <w:p w14:paraId="26E69455" w14:textId="7E56BF04" w:rsidR="009E2BB8" w:rsidRPr="009E2BB8" w:rsidRDefault="009E2BB8" w:rsidP="00623192">
      <w:pPr>
        <w:pStyle w:val="ListParagraph"/>
        <w:numPr>
          <w:ilvl w:val="1"/>
          <w:numId w:val="15"/>
        </w:numPr>
      </w:pPr>
      <w:r w:rsidRPr="009E2BB8">
        <w:t xml:space="preserve">Compressor Sequencing </w:t>
      </w:r>
    </w:p>
    <w:p w14:paraId="183007E8" w14:textId="77777777" w:rsidR="00623192" w:rsidRDefault="009E2BB8" w:rsidP="009E2BB8">
      <w:pPr>
        <w:pStyle w:val="ListParagraph"/>
        <w:numPr>
          <w:ilvl w:val="0"/>
          <w:numId w:val="15"/>
        </w:numPr>
      </w:pPr>
      <w:r w:rsidRPr="009E2BB8">
        <w:t xml:space="preserve">Lighting: </w:t>
      </w:r>
    </w:p>
    <w:p w14:paraId="331ADC57" w14:textId="3DC96F5B" w:rsidR="00623192" w:rsidRDefault="009E2BB8" w:rsidP="00623192">
      <w:pPr>
        <w:pStyle w:val="ListParagraph"/>
        <w:numPr>
          <w:ilvl w:val="1"/>
          <w:numId w:val="15"/>
        </w:numPr>
      </w:pPr>
      <w:r w:rsidRPr="009E2BB8">
        <w:t>Lighting Upgrades</w:t>
      </w:r>
    </w:p>
    <w:p w14:paraId="76D53986" w14:textId="05AC03CF" w:rsidR="009E2BB8" w:rsidRPr="009E2BB8" w:rsidRDefault="009E2BB8" w:rsidP="00623192">
      <w:pPr>
        <w:pStyle w:val="ListParagraph"/>
        <w:numPr>
          <w:ilvl w:val="1"/>
          <w:numId w:val="15"/>
        </w:numPr>
      </w:pPr>
      <w:r w:rsidRPr="009E2BB8">
        <w:t xml:space="preserve">Lighting Controls </w:t>
      </w:r>
    </w:p>
    <w:p w14:paraId="6A12C199" w14:textId="77777777" w:rsidR="00623192" w:rsidRDefault="009E2BB8" w:rsidP="009E2BB8">
      <w:pPr>
        <w:pStyle w:val="ListParagraph"/>
        <w:numPr>
          <w:ilvl w:val="0"/>
          <w:numId w:val="15"/>
        </w:numPr>
      </w:pPr>
      <w:r w:rsidRPr="009E2BB8">
        <w:t xml:space="preserve">Other: </w:t>
      </w:r>
    </w:p>
    <w:p w14:paraId="6CD0505C" w14:textId="58A51D40" w:rsidR="00623192" w:rsidRDefault="009E2BB8" w:rsidP="00623192">
      <w:pPr>
        <w:pStyle w:val="ListParagraph"/>
        <w:numPr>
          <w:ilvl w:val="1"/>
          <w:numId w:val="15"/>
        </w:numPr>
      </w:pPr>
      <w:r w:rsidRPr="009E2BB8">
        <w:t>High efficiency ventilation fans and controls</w:t>
      </w:r>
    </w:p>
    <w:p w14:paraId="6D0CAFCE" w14:textId="6C9A0C21" w:rsidR="009E2BB8" w:rsidRPr="009E2BB8" w:rsidRDefault="009E2BB8" w:rsidP="00623192">
      <w:pPr>
        <w:pStyle w:val="ListParagraph"/>
        <w:numPr>
          <w:ilvl w:val="1"/>
          <w:numId w:val="15"/>
        </w:numPr>
      </w:pPr>
      <w:r w:rsidRPr="009E2BB8">
        <w:t xml:space="preserve">Thermal Oxidizer </w:t>
      </w:r>
    </w:p>
    <w:p w14:paraId="2F304067" w14:textId="77777777" w:rsidR="004F5930" w:rsidRDefault="004F5930" w:rsidP="009E2BB8">
      <w:pPr>
        <w:pStyle w:val="ListParagraph"/>
      </w:pPr>
    </w:p>
    <w:p w14:paraId="5C394F3D" w14:textId="08A1D1D3" w:rsidR="004E1FC7" w:rsidRPr="004A73EA" w:rsidRDefault="004E1FC7" w:rsidP="004A73EA">
      <w:pPr>
        <w:pStyle w:val="Heading1"/>
        <w:rPr>
          <w:sz w:val="28"/>
          <w:szCs w:val="24"/>
        </w:rPr>
      </w:pPr>
      <w:bookmarkStart w:id="3" w:name="_Toc57654067"/>
      <w:r>
        <w:rPr>
          <w:sz w:val="28"/>
          <w:szCs w:val="24"/>
        </w:rPr>
        <w:t>2</w:t>
      </w:r>
      <w:r w:rsidRPr="004E1FC7">
        <w:rPr>
          <w:sz w:val="28"/>
          <w:szCs w:val="24"/>
        </w:rPr>
        <w:t xml:space="preserve">. </w:t>
      </w:r>
      <w:r w:rsidR="00647EF1">
        <w:rPr>
          <w:sz w:val="28"/>
          <w:szCs w:val="24"/>
        </w:rPr>
        <w:t>Customer Eligibility Requirements</w:t>
      </w:r>
      <w:bookmarkEnd w:id="3"/>
    </w:p>
    <w:p w14:paraId="0607840E" w14:textId="7DF01DD8" w:rsidR="0748FE49" w:rsidRPr="002853DB" w:rsidRDefault="0748FE49">
      <w:pPr>
        <w:rPr>
          <w:rFonts w:cs="Arial"/>
          <w:szCs w:val="18"/>
        </w:rPr>
      </w:pPr>
      <w:r w:rsidRPr="002853DB">
        <w:rPr>
          <w:rFonts w:eastAsia="Calibri" w:cs="Arial"/>
          <w:b/>
          <w:bCs/>
          <w:szCs w:val="18"/>
        </w:rPr>
        <w:t>Eligible Customers</w:t>
      </w:r>
    </w:p>
    <w:p w14:paraId="72BFCA58" w14:textId="7DF01DD8" w:rsidR="007F4D2F" w:rsidRPr="002853DB" w:rsidRDefault="007F4D2F" w:rsidP="007F4D2F">
      <w:pPr>
        <w:rPr>
          <w:rFonts w:cs="Arial"/>
          <w:szCs w:val="18"/>
        </w:rPr>
      </w:pPr>
      <w:r w:rsidRPr="002853DB">
        <w:rPr>
          <w:rFonts w:cs="Arial"/>
          <w:szCs w:val="18"/>
        </w:rPr>
        <w:lastRenderedPageBreak/>
        <w:t>The Program will comply with the California Public Utility Commission’s (CPUC) Statewide Customized Offering Procedures Manual for Business found and updated on the CPUC website, or here:</w:t>
      </w:r>
    </w:p>
    <w:p w14:paraId="42C28E33" w14:textId="7DF01DD8" w:rsidR="007F4D2F" w:rsidRPr="002853DB" w:rsidRDefault="004A73EA" w:rsidP="007F4D2F">
      <w:pPr>
        <w:rPr>
          <w:rFonts w:cs="Arial"/>
          <w:szCs w:val="18"/>
        </w:rPr>
      </w:pPr>
      <w:hyperlink r:id="rId12">
        <w:r w:rsidR="007F4D2F" w:rsidRPr="002853DB">
          <w:rPr>
            <w:rStyle w:val="Hyperlink"/>
            <w:rFonts w:cs="Arial"/>
            <w:szCs w:val="18"/>
          </w:rPr>
          <w:t>https://www.pge.com/pge_global/common/pdfs/save-energy-money/facility-improvements/custom-retrofit/Customized-Policy-Procedure-Manual_2019.pdf</w:t>
        </w:r>
      </w:hyperlink>
    </w:p>
    <w:p w14:paraId="3CD61AA9" w14:textId="29180C7E" w:rsidR="007F4D2F" w:rsidRPr="002853DB" w:rsidRDefault="007F4D2F" w:rsidP="007F4D2F">
      <w:pPr>
        <w:rPr>
          <w:rFonts w:cs="Arial"/>
          <w:szCs w:val="18"/>
        </w:rPr>
      </w:pPr>
      <w:r w:rsidRPr="002853DB">
        <w:rPr>
          <w:rFonts w:cs="Arial"/>
          <w:szCs w:val="18"/>
        </w:rPr>
        <w:t xml:space="preserve">Projects are subject to all applicable federal, </w:t>
      </w:r>
      <w:proofErr w:type="gramStart"/>
      <w:r w:rsidRPr="002853DB">
        <w:rPr>
          <w:rFonts w:cs="Arial"/>
          <w:szCs w:val="18"/>
        </w:rPr>
        <w:t>state</w:t>
      </w:r>
      <w:proofErr w:type="gramEnd"/>
      <w:r w:rsidRPr="002853DB">
        <w:rPr>
          <w:rFonts w:cs="Arial"/>
          <w:szCs w:val="18"/>
        </w:rPr>
        <w:t xml:space="preserve"> and local laws, and California Public Utilities Commission (CPUC) rulings.  </w:t>
      </w:r>
      <w:r w:rsidR="006A60CF" w:rsidRPr="002853DB">
        <w:rPr>
          <w:rFonts w:cs="Arial"/>
          <w:szCs w:val="18"/>
        </w:rPr>
        <w:t>BEP</w:t>
      </w:r>
      <w:r w:rsidRPr="002853DB">
        <w:rPr>
          <w:rFonts w:cs="Arial"/>
          <w:szCs w:val="18"/>
        </w:rPr>
        <w:t xml:space="preserve"> reserves the right to approve or reject project applications for the Program.”</w:t>
      </w:r>
    </w:p>
    <w:p w14:paraId="747E0E3C" w14:textId="0CCFF74E" w:rsidR="0748FE49" w:rsidRPr="002853DB" w:rsidRDefault="0748FE49">
      <w:pPr>
        <w:rPr>
          <w:rFonts w:cs="Arial"/>
          <w:szCs w:val="18"/>
        </w:rPr>
      </w:pPr>
      <w:r w:rsidRPr="002853DB">
        <w:rPr>
          <w:rFonts w:eastAsia="Calibri" w:cs="Arial"/>
          <w:szCs w:val="18"/>
        </w:rPr>
        <w:t xml:space="preserve">Customers must be an established electric or natural gas Customer of PG&amp;E with an active meter serviced by PG&amp;E and paying the Public Purpose Program Charge. Eligible customers conduct business under a NAICS Code included below which broadly covers all sites that include Oil &amp; Gas </w:t>
      </w:r>
      <w:r w:rsidR="4881032A" w:rsidRPr="002853DB">
        <w:rPr>
          <w:rFonts w:eastAsia="Calibri" w:cs="Arial"/>
          <w:szCs w:val="18"/>
        </w:rPr>
        <w:t>Extraction, Mining, Petroleum &amp; Coal Manufacturing, Pipeline Transportation, and Chemical Manufacturing</w:t>
      </w:r>
      <w:r w:rsidRPr="002853DB">
        <w:rPr>
          <w:rFonts w:eastAsia="Calibri" w:cs="Arial"/>
          <w:szCs w:val="18"/>
        </w:rPr>
        <w:t>, however exceptions are permitted through a program participation exception.</w:t>
      </w:r>
    </w:p>
    <w:p w14:paraId="5035412D" w14:textId="03E0C15C" w:rsidR="0748FE49" w:rsidRPr="002853DB" w:rsidRDefault="0748FE49" w:rsidP="3075F6BB">
      <w:pPr>
        <w:jc w:val="both"/>
        <w:rPr>
          <w:rFonts w:cs="Arial"/>
          <w:szCs w:val="18"/>
        </w:rPr>
      </w:pPr>
      <w:r w:rsidRPr="002853DB">
        <w:rPr>
          <w:rFonts w:eastAsia="Calibri" w:cs="Arial"/>
          <w:szCs w:val="18"/>
        </w:rPr>
        <w:t xml:space="preserve"> Program participation exceptions are permitted for special cases requested through the PG&amp;E Program Manager and may occur due to incorrect NAICS code assignment, customer/ES&amp;S request for service consistency or positive cost effectiveness of services compared to other parts of the PG&amp;E portfolio.</w:t>
      </w:r>
    </w:p>
    <w:p w14:paraId="03574979" w14:textId="2E96F654" w:rsidR="0748FE49" w:rsidRPr="002853DB" w:rsidRDefault="0748FE49">
      <w:pPr>
        <w:rPr>
          <w:rFonts w:eastAsia="Calibri" w:cs="Arial"/>
          <w:b/>
          <w:bCs/>
          <w:szCs w:val="18"/>
        </w:rPr>
      </w:pPr>
      <w:r w:rsidRPr="002853DB">
        <w:rPr>
          <w:rFonts w:eastAsia="Calibri" w:cs="Arial"/>
          <w:b/>
          <w:bCs/>
          <w:szCs w:val="18"/>
        </w:rPr>
        <w:t>NAICS Code</w:t>
      </w:r>
    </w:p>
    <w:p w14:paraId="7340C1AC" w14:textId="36B3872D" w:rsidR="0748FE49" w:rsidRPr="002853DB" w:rsidRDefault="0748FE49" w:rsidP="3075F6BB">
      <w:pPr>
        <w:jc w:val="both"/>
        <w:rPr>
          <w:rFonts w:cs="Arial"/>
          <w:szCs w:val="18"/>
        </w:rPr>
      </w:pPr>
      <w:r w:rsidRPr="002853DB">
        <w:rPr>
          <w:rFonts w:eastAsia="Calibri" w:cs="Arial"/>
          <w:szCs w:val="18"/>
        </w:rPr>
        <w:t>Customers throughout PG&amp;E’s Service Territory with the following North American Industry Classification System (NAICS) codes are eligible:</w:t>
      </w:r>
    </w:p>
    <w:p w14:paraId="0573CB8A" w14:textId="573BEB5A" w:rsidR="0748FE49" w:rsidRDefault="0748FE49" w:rsidP="3075F6BB">
      <w:pPr>
        <w:jc w:val="both"/>
      </w:pPr>
      <w:r w:rsidRPr="3075F6BB">
        <w:rPr>
          <w:rFonts w:ascii="Calibri" w:eastAsia="Calibri" w:hAnsi="Calibri" w:cs="Calibri"/>
          <w:sz w:val="22"/>
        </w:rPr>
        <w:t xml:space="preserve"> </w:t>
      </w:r>
    </w:p>
    <w:tbl>
      <w:tblPr>
        <w:tblStyle w:val="TableGrid"/>
        <w:tblW w:w="0" w:type="auto"/>
        <w:tblLayout w:type="fixed"/>
        <w:tblLook w:val="04A0" w:firstRow="1" w:lastRow="0" w:firstColumn="1" w:lastColumn="0" w:noHBand="0" w:noVBand="1"/>
      </w:tblPr>
      <w:tblGrid>
        <w:gridCol w:w="4495"/>
        <w:gridCol w:w="4950"/>
      </w:tblGrid>
      <w:tr w:rsidR="3075F6BB" w14:paraId="6127ADCF" w14:textId="77777777" w:rsidTr="00082D05">
        <w:tc>
          <w:tcPr>
            <w:tcW w:w="4495" w:type="dxa"/>
          </w:tcPr>
          <w:p w14:paraId="4304E551" w14:textId="1726002C" w:rsidR="3075F6BB" w:rsidRPr="002853DB" w:rsidRDefault="3075F6BB" w:rsidP="3075F6BB">
            <w:pPr>
              <w:rPr>
                <w:rFonts w:cs="Arial"/>
                <w:szCs w:val="18"/>
              </w:rPr>
            </w:pPr>
            <w:r w:rsidRPr="002853DB">
              <w:rPr>
                <w:rFonts w:eastAsia="Calibri" w:cs="Arial"/>
                <w:b/>
                <w:bCs/>
                <w:szCs w:val="18"/>
              </w:rPr>
              <w:t xml:space="preserve">NAICS </w:t>
            </w:r>
            <w:r w:rsidRPr="002853DB">
              <w:rPr>
                <w:rFonts w:eastAsia="Calibri" w:cs="Arial"/>
                <w:b/>
                <w:bCs/>
                <w:color w:val="000000" w:themeColor="text1"/>
                <w:szCs w:val="18"/>
              </w:rPr>
              <w:t>Code</w:t>
            </w:r>
          </w:p>
        </w:tc>
        <w:tc>
          <w:tcPr>
            <w:tcW w:w="4950" w:type="dxa"/>
          </w:tcPr>
          <w:p w14:paraId="189C75AA" w14:textId="26897E97" w:rsidR="3075F6BB" w:rsidRPr="002853DB" w:rsidRDefault="3075F6BB" w:rsidP="3075F6BB">
            <w:pPr>
              <w:rPr>
                <w:rFonts w:cs="Arial"/>
                <w:szCs w:val="18"/>
              </w:rPr>
            </w:pPr>
            <w:r w:rsidRPr="002853DB">
              <w:rPr>
                <w:rFonts w:eastAsia="Calibri" w:cs="Arial"/>
                <w:b/>
                <w:bCs/>
                <w:color w:val="000000" w:themeColor="text1"/>
                <w:szCs w:val="18"/>
              </w:rPr>
              <w:t>Description of Customer Segment</w:t>
            </w:r>
          </w:p>
        </w:tc>
      </w:tr>
      <w:tr w:rsidR="3075F6BB" w14:paraId="1F82DE53" w14:textId="77777777" w:rsidTr="00082D05">
        <w:tc>
          <w:tcPr>
            <w:tcW w:w="4495" w:type="dxa"/>
          </w:tcPr>
          <w:p w14:paraId="52CD0051" w14:textId="076C0228" w:rsidR="3075F6BB" w:rsidRPr="002853DB" w:rsidRDefault="3075F6BB" w:rsidP="002853DB">
            <w:pPr>
              <w:rPr>
                <w:rFonts w:cs="Arial"/>
                <w:szCs w:val="18"/>
              </w:rPr>
            </w:pPr>
            <w:r w:rsidRPr="002853DB">
              <w:rPr>
                <w:rFonts w:eastAsia="Calibri" w:cs="Arial"/>
                <w:color w:val="000000" w:themeColor="text1"/>
                <w:szCs w:val="18"/>
              </w:rPr>
              <w:t>211</w:t>
            </w:r>
          </w:p>
        </w:tc>
        <w:tc>
          <w:tcPr>
            <w:tcW w:w="4950" w:type="dxa"/>
          </w:tcPr>
          <w:p w14:paraId="26CA3FCE" w14:textId="5AE37BD8" w:rsidR="3075F6BB" w:rsidRPr="002853DB" w:rsidRDefault="3075F6BB">
            <w:pPr>
              <w:rPr>
                <w:rFonts w:cs="Arial"/>
                <w:szCs w:val="18"/>
              </w:rPr>
            </w:pPr>
            <w:r w:rsidRPr="002853DB">
              <w:rPr>
                <w:rFonts w:eastAsia="Calibri" w:cs="Arial"/>
                <w:color w:val="000000" w:themeColor="text1"/>
                <w:szCs w:val="18"/>
              </w:rPr>
              <w:t>Oil &amp; Gas Extraction</w:t>
            </w:r>
          </w:p>
        </w:tc>
      </w:tr>
      <w:tr w:rsidR="3075F6BB" w14:paraId="2F520AA4" w14:textId="77777777" w:rsidTr="00082D05">
        <w:tc>
          <w:tcPr>
            <w:tcW w:w="4495" w:type="dxa"/>
          </w:tcPr>
          <w:p w14:paraId="61D31D79" w14:textId="678B287A" w:rsidR="3075F6BB" w:rsidRPr="002853DB" w:rsidRDefault="3075F6BB" w:rsidP="002853DB">
            <w:pPr>
              <w:rPr>
                <w:rFonts w:cs="Arial"/>
                <w:szCs w:val="18"/>
              </w:rPr>
            </w:pPr>
            <w:r w:rsidRPr="002853DB">
              <w:rPr>
                <w:rFonts w:eastAsia="Calibri" w:cs="Arial"/>
                <w:color w:val="000000" w:themeColor="text1"/>
                <w:szCs w:val="18"/>
              </w:rPr>
              <w:t>212</w:t>
            </w:r>
          </w:p>
        </w:tc>
        <w:tc>
          <w:tcPr>
            <w:tcW w:w="4950" w:type="dxa"/>
          </w:tcPr>
          <w:p w14:paraId="3E21543B" w14:textId="01F8F047" w:rsidR="3075F6BB" w:rsidRPr="002853DB" w:rsidRDefault="3075F6BB">
            <w:pPr>
              <w:rPr>
                <w:rFonts w:cs="Arial"/>
                <w:szCs w:val="18"/>
              </w:rPr>
            </w:pPr>
            <w:r w:rsidRPr="002853DB">
              <w:rPr>
                <w:rFonts w:eastAsia="Calibri" w:cs="Arial"/>
                <w:color w:val="000000" w:themeColor="text1"/>
                <w:szCs w:val="18"/>
              </w:rPr>
              <w:t>Mining</w:t>
            </w:r>
          </w:p>
        </w:tc>
      </w:tr>
      <w:tr w:rsidR="3075F6BB" w14:paraId="63E12CA6" w14:textId="77777777" w:rsidTr="00082D05">
        <w:tc>
          <w:tcPr>
            <w:tcW w:w="4495" w:type="dxa"/>
          </w:tcPr>
          <w:p w14:paraId="2C6508B5" w14:textId="6C1AABE4" w:rsidR="3075F6BB" w:rsidRPr="002853DB" w:rsidRDefault="3075F6BB" w:rsidP="002853DB">
            <w:pPr>
              <w:rPr>
                <w:rFonts w:cs="Arial"/>
                <w:szCs w:val="18"/>
              </w:rPr>
            </w:pPr>
            <w:r w:rsidRPr="002853DB">
              <w:rPr>
                <w:rFonts w:eastAsia="Calibri" w:cs="Arial"/>
                <w:color w:val="000000" w:themeColor="text1"/>
                <w:szCs w:val="18"/>
              </w:rPr>
              <w:t>324</w:t>
            </w:r>
          </w:p>
        </w:tc>
        <w:tc>
          <w:tcPr>
            <w:tcW w:w="4950" w:type="dxa"/>
          </w:tcPr>
          <w:p w14:paraId="61DE9F21" w14:textId="1A6B0BD3" w:rsidR="3075F6BB" w:rsidRPr="002853DB" w:rsidRDefault="3075F6BB">
            <w:pPr>
              <w:rPr>
                <w:rFonts w:cs="Arial"/>
                <w:szCs w:val="18"/>
              </w:rPr>
            </w:pPr>
            <w:r w:rsidRPr="002853DB">
              <w:rPr>
                <w:rFonts w:eastAsia="Calibri" w:cs="Arial"/>
                <w:color w:val="000000" w:themeColor="text1"/>
                <w:szCs w:val="18"/>
              </w:rPr>
              <w:t>Petroleum &amp; Coal Manufacturing</w:t>
            </w:r>
          </w:p>
        </w:tc>
      </w:tr>
      <w:tr w:rsidR="3075F6BB" w14:paraId="15DA12B3" w14:textId="77777777" w:rsidTr="00082D05">
        <w:tc>
          <w:tcPr>
            <w:tcW w:w="4495" w:type="dxa"/>
          </w:tcPr>
          <w:p w14:paraId="6E844C20" w14:textId="539ABC3C" w:rsidR="3075F6BB" w:rsidRPr="002853DB" w:rsidRDefault="3075F6BB" w:rsidP="002853DB">
            <w:pPr>
              <w:rPr>
                <w:rFonts w:cs="Arial"/>
                <w:szCs w:val="18"/>
              </w:rPr>
            </w:pPr>
            <w:r w:rsidRPr="002853DB">
              <w:rPr>
                <w:rFonts w:eastAsia="Calibri" w:cs="Arial"/>
                <w:color w:val="000000" w:themeColor="text1"/>
                <w:szCs w:val="18"/>
              </w:rPr>
              <w:t>486</w:t>
            </w:r>
          </w:p>
        </w:tc>
        <w:tc>
          <w:tcPr>
            <w:tcW w:w="4950" w:type="dxa"/>
          </w:tcPr>
          <w:p w14:paraId="313DC0D6" w14:textId="45D97A3A" w:rsidR="3075F6BB" w:rsidRPr="002853DB" w:rsidRDefault="3075F6BB">
            <w:pPr>
              <w:rPr>
                <w:rFonts w:cs="Arial"/>
                <w:szCs w:val="18"/>
              </w:rPr>
            </w:pPr>
            <w:r w:rsidRPr="002853DB">
              <w:rPr>
                <w:rFonts w:eastAsia="Calibri" w:cs="Arial"/>
                <w:color w:val="000000" w:themeColor="text1"/>
                <w:szCs w:val="18"/>
              </w:rPr>
              <w:t>Pipeline Transportation</w:t>
            </w:r>
          </w:p>
        </w:tc>
      </w:tr>
      <w:tr w:rsidR="3075F6BB" w14:paraId="321AF688" w14:textId="77777777" w:rsidTr="00082D05">
        <w:tc>
          <w:tcPr>
            <w:tcW w:w="4495" w:type="dxa"/>
          </w:tcPr>
          <w:p w14:paraId="2135E31A" w14:textId="1CE56BD3" w:rsidR="3075F6BB" w:rsidRPr="002853DB" w:rsidRDefault="3075F6BB" w:rsidP="002853DB">
            <w:pPr>
              <w:rPr>
                <w:rFonts w:cs="Arial"/>
                <w:szCs w:val="18"/>
              </w:rPr>
            </w:pPr>
            <w:r w:rsidRPr="002853DB">
              <w:rPr>
                <w:rFonts w:eastAsia="Calibri" w:cs="Arial"/>
                <w:color w:val="000000" w:themeColor="text1"/>
                <w:szCs w:val="18"/>
              </w:rPr>
              <w:t>325</w:t>
            </w:r>
          </w:p>
        </w:tc>
        <w:tc>
          <w:tcPr>
            <w:tcW w:w="4950" w:type="dxa"/>
          </w:tcPr>
          <w:p w14:paraId="42FF6EE7" w14:textId="60C9E4AD" w:rsidR="3075F6BB" w:rsidRPr="002853DB" w:rsidRDefault="3075F6BB">
            <w:pPr>
              <w:rPr>
                <w:rFonts w:cs="Arial"/>
                <w:szCs w:val="18"/>
              </w:rPr>
            </w:pPr>
            <w:r w:rsidRPr="002853DB">
              <w:rPr>
                <w:rFonts w:eastAsia="Calibri" w:cs="Arial"/>
                <w:color w:val="000000" w:themeColor="text1"/>
                <w:szCs w:val="18"/>
              </w:rPr>
              <w:t>Chemical Manufacturing</w:t>
            </w:r>
          </w:p>
        </w:tc>
      </w:tr>
    </w:tbl>
    <w:p w14:paraId="2F93684E" w14:textId="6102696E" w:rsidR="0748FE49" w:rsidRDefault="0748FE49">
      <w:r w:rsidRPr="3075F6BB">
        <w:rPr>
          <w:rFonts w:ascii="Calibri" w:eastAsia="Calibri" w:hAnsi="Calibri" w:cs="Calibri"/>
          <w:sz w:val="22"/>
        </w:rPr>
        <w:t xml:space="preserve"> </w:t>
      </w:r>
    </w:p>
    <w:p w14:paraId="77E6371E" w14:textId="1E8E4512" w:rsidR="0748FE49" w:rsidRDefault="0748FE49" w:rsidP="3075F6BB">
      <w:pPr>
        <w:jc w:val="both"/>
      </w:pPr>
      <w:r w:rsidRPr="3075F6BB">
        <w:rPr>
          <w:rFonts w:ascii="Calibri" w:eastAsia="Calibri" w:hAnsi="Calibri" w:cs="Calibri"/>
          <w:sz w:val="22"/>
        </w:rPr>
        <w:t xml:space="preserve"> </w:t>
      </w:r>
    </w:p>
    <w:p w14:paraId="49C410D5" w14:textId="2A4931C8" w:rsidR="0748FE49" w:rsidRPr="002853DB" w:rsidRDefault="0748FE49">
      <w:pPr>
        <w:rPr>
          <w:rFonts w:eastAsia="Calibri" w:cs="Arial"/>
          <w:b/>
          <w:bCs/>
          <w:szCs w:val="18"/>
        </w:rPr>
      </w:pPr>
      <w:r w:rsidRPr="002853DB">
        <w:rPr>
          <w:rFonts w:eastAsia="Calibri" w:cs="Arial"/>
          <w:b/>
          <w:bCs/>
          <w:szCs w:val="18"/>
        </w:rPr>
        <w:t>Eligible Geographic Area</w:t>
      </w:r>
    </w:p>
    <w:p w14:paraId="12417EF5" w14:textId="69FD62F1" w:rsidR="00F021F4" w:rsidRPr="0060120B" w:rsidRDefault="0748FE49" w:rsidP="00F021F4">
      <w:pPr>
        <w:jc w:val="both"/>
        <w:rPr>
          <w:rFonts w:eastAsia="Calibri" w:cs="Arial"/>
          <w:szCs w:val="18"/>
        </w:rPr>
      </w:pPr>
      <w:r w:rsidRPr="0060120B">
        <w:rPr>
          <w:rFonts w:eastAsia="Calibri" w:cs="Arial"/>
          <w:szCs w:val="18"/>
        </w:rPr>
        <w:t>The BEP Program is available in all PG&amp;E’s Service Territory with no geographic restrictions however program services are offered at the discretion of the program based on its ability to remain cost effective.</w:t>
      </w:r>
    </w:p>
    <w:p w14:paraId="14997175" w14:textId="77777777" w:rsidR="00734349" w:rsidRPr="002853DB" w:rsidRDefault="00734349" w:rsidP="00734349">
      <w:pPr>
        <w:rPr>
          <w:rFonts w:eastAsia="Calibri" w:cs="Arial"/>
          <w:b/>
          <w:bCs/>
          <w:szCs w:val="18"/>
        </w:rPr>
      </w:pPr>
      <w:r w:rsidRPr="002853DB">
        <w:rPr>
          <w:rFonts w:eastAsia="Calibri" w:cs="Arial"/>
          <w:b/>
          <w:bCs/>
          <w:szCs w:val="18"/>
        </w:rPr>
        <w:t>Application Must be Complete</w:t>
      </w:r>
    </w:p>
    <w:p w14:paraId="5DA25C3C" w14:textId="77777777" w:rsidR="00734349" w:rsidRPr="0060120B" w:rsidRDefault="00734349" w:rsidP="00734349">
      <w:pPr>
        <w:rPr>
          <w:rFonts w:cs="Arial"/>
          <w:szCs w:val="18"/>
        </w:rPr>
      </w:pPr>
      <w:r w:rsidRPr="0060120B">
        <w:rPr>
          <w:rFonts w:cs="Arial"/>
          <w:szCs w:val="18"/>
        </w:rPr>
        <w:t>A program application must be signed and dated. In addition to customer and site information, a completed application package must include a savings summary that identifies the following for each proposed measure:</w:t>
      </w:r>
    </w:p>
    <w:p w14:paraId="38B9559F" w14:textId="77777777" w:rsidR="00734349" w:rsidRPr="0060120B" w:rsidRDefault="00734349" w:rsidP="00C90EFB">
      <w:pPr>
        <w:numPr>
          <w:ilvl w:val="0"/>
          <w:numId w:val="11"/>
        </w:numPr>
        <w:rPr>
          <w:rFonts w:cs="Arial"/>
          <w:szCs w:val="18"/>
        </w:rPr>
      </w:pPr>
      <w:r w:rsidRPr="0060120B">
        <w:rPr>
          <w:rFonts w:cs="Arial"/>
          <w:szCs w:val="18"/>
        </w:rPr>
        <w:t>Code/ISP baseline</w:t>
      </w:r>
    </w:p>
    <w:p w14:paraId="391676D9" w14:textId="77777777" w:rsidR="00734349" w:rsidRPr="0060120B" w:rsidRDefault="00734349" w:rsidP="00C90EFB">
      <w:pPr>
        <w:numPr>
          <w:ilvl w:val="0"/>
          <w:numId w:val="11"/>
        </w:numPr>
        <w:rPr>
          <w:rFonts w:cs="Arial"/>
          <w:szCs w:val="18"/>
        </w:rPr>
      </w:pPr>
      <w:r w:rsidRPr="0060120B">
        <w:rPr>
          <w:rFonts w:cs="Arial"/>
          <w:szCs w:val="18"/>
        </w:rPr>
        <w:t>For Early Retirement claims: Documentation to support a preponderance of evidence for the use of existing equipment baselines</w:t>
      </w:r>
    </w:p>
    <w:p w14:paraId="2DDA449D" w14:textId="77777777" w:rsidR="00734349" w:rsidRPr="0060120B" w:rsidRDefault="00734349" w:rsidP="00C90EFB">
      <w:pPr>
        <w:numPr>
          <w:ilvl w:val="0"/>
          <w:numId w:val="11"/>
        </w:numPr>
        <w:rPr>
          <w:rFonts w:cs="Arial"/>
          <w:szCs w:val="18"/>
        </w:rPr>
      </w:pPr>
      <w:r w:rsidRPr="0060120B">
        <w:rPr>
          <w:rFonts w:cs="Arial"/>
          <w:szCs w:val="18"/>
        </w:rPr>
        <w:t>Estimated full measure cost and incremental measure cost</w:t>
      </w:r>
    </w:p>
    <w:p w14:paraId="29871673" w14:textId="77777777" w:rsidR="00734349" w:rsidRPr="0060120B" w:rsidRDefault="00734349" w:rsidP="00C90EFB">
      <w:pPr>
        <w:numPr>
          <w:ilvl w:val="0"/>
          <w:numId w:val="11"/>
        </w:numPr>
        <w:rPr>
          <w:rFonts w:cs="Arial"/>
          <w:szCs w:val="18"/>
        </w:rPr>
      </w:pPr>
      <w:r w:rsidRPr="0060120B">
        <w:rPr>
          <w:rFonts w:cs="Arial"/>
          <w:szCs w:val="18"/>
        </w:rPr>
        <w:t>Preliminary savings calculations</w:t>
      </w:r>
    </w:p>
    <w:p w14:paraId="3E750455" w14:textId="77777777" w:rsidR="00734349" w:rsidRPr="0060120B" w:rsidRDefault="00734349" w:rsidP="00C90EFB">
      <w:pPr>
        <w:numPr>
          <w:ilvl w:val="0"/>
          <w:numId w:val="11"/>
        </w:numPr>
        <w:rPr>
          <w:rFonts w:cs="Arial"/>
          <w:szCs w:val="18"/>
        </w:rPr>
      </w:pPr>
      <w:r w:rsidRPr="0060120B">
        <w:rPr>
          <w:rFonts w:cs="Arial"/>
          <w:szCs w:val="18"/>
        </w:rPr>
        <w:t>Preliminary incentive payment estimates</w:t>
      </w:r>
    </w:p>
    <w:p w14:paraId="2A340074" w14:textId="77777777" w:rsidR="00734349" w:rsidRPr="0060120B" w:rsidRDefault="00734349" w:rsidP="00C90EFB">
      <w:pPr>
        <w:numPr>
          <w:ilvl w:val="0"/>
          <w:numId w:val="11"/>
        </w:numPr>
        <w:rPr>
          <w:rFonts w:cs="Arial"/>
          <w:szCs w:val="18"/>
        </w:rPr>
      </w:pPr>
      <w:r w:rsidRPr="0060120B">
        <w:rPr>
          <w:rFonts w:cs="Arial"/>
          <w:szCs w:val="18"/>
        </w:rPr>
        <w:t>A proposed M&amp;V plan</w:t>
      </w:r>
    </w:p>
    <w:p w14:paraId="4E9F0CEB" w14:textId="77777777" w:rsidR="004D3023" w:rsidRPr="002853DB" w:rsidRDefault="004D3023" w:rsidP="004D3023">
      <w:pPr>
        <w:rPr>
          <w:rFonts w:eastAsia="Calibri" w:cs="Arial"/>
          <w:b/>
          <w:bCs/>
          <w:szCs w:val="18"/>
        </w:rPr>
      </w:pPr>
      <w:r w:rsidRPr="002853DB">
        <w:rPr>
          <w:rFonts w:eastAsia="Calibri" w:cs="Arial"/>
          <w:b/>
          <w:bCs/>
          <w:szCs w:val="18"/>
        </w:rPr>
        <w:t>Non-IOU Supply</w:t>
      </w:r>
    </w:p>
    <w:p w14:paraId="46BF72E8" w14:textId="79004219" w:rsidR="004D3023" w:rsidRPr="0060120B" w:rsidRDefault="004D3023" w:rsidP="004D3023">
      <w:pPr>
        <w:rPr>
          <w:rFonts w:cs="Arial"/>
          <w:szCs w:val="18"/>
        </w:rPr>
      </w:pPr>
      <w:r w:rsidRPr="0060120B">
        <w:rPr>
          <w:rFonts w:cs="Arial"/>
          <w:szCs w:val="18"/>
        </w:rPr>
        <w:t xml:space="preserve">Evaluation requires assessment of “coincident savings”, which are savings associated with an energy efficiency measure that coincide with the period(s) the customer is purchasing energy from PG&amp;E or BEP, thus reducing the grid/system impact.  The </w:t>
      </w:r>
      <w:proofErr w:type="gramStart"/>
      <w:r w:rsidRPr="0060120B">
        <w:rPr>
          <w:rFonts w:cs="Arial"/>
          <w:szCs w:val="18"/>
        </w:rPr>
        <w:t>time period</w:t>
      </w:r>
      <w:proofErr w:type="gramEnd"/>
      <w:r w:rsidRPr="0060120B">
        <w:rPr>
          <w:rFonts w:cs="Arial"/>
          <w:szCs w:val="18"/>
        </w:rPr>
        <w:t xml:space="preserve"> is hourly for electricity and monthly for natural gas.</w:t>
      </w:r>
    </w:p>
    <w:p w14:paraId="39A7F876" w14:textId="77777777" w:rsidR="004D3023" w:rsidRPr="0060120B" w:rsidRDefault="004D3023" w:rsidP="004D3023">
      <w:pPr>
        <w:rPr>
          <w:rFonts w:cs="Arial"/>
          <w:szCs w:val="18"/>
        </w:rPr>
      </w:pPr>
      <w:r w:rsidRPr="0060120B">
        <w:rPr>
          <w:rFonts w:cs="Arial"/>
          <w:szCs w:val="18"/>
        </w:rPr>
        <w:t>Eligibility is determined based on two factors:</w:t>
      </w:r>
    </w:p>
    <w:p w14:paraId="7BF399F6" w14:textId="77777777" w:rsidR="004D3023" w:rsidRPr="0060120B" w:rsidRDefault="004D3023" w:rsidP="00C90EFB">
      <w:pPr>
        <w:numPr>
          <w:ilvl w:val="0"/>
          <w:numId w:val="12"/>
        </w:numPr>
        <w:rPr>
          <w:rFonts w:cs="Arial"/>
          <w:szCs w:val="18"/>
        </w:rPr>
      </w:pPr>
      <w:r w:rsidRPr="0060120B">
        <w:rPr>
          <w:rFonts w:cs="Arial"/>
          <w:szCs w:val="18"/>
        </w:rPr>
        <w:lastRenderedPageBreak/>
        <w:t>Does the customer pay the non-bypassable Public Purpose Program (PPP) surcharge on the electricity or gas subject to energy efficiency savings?</w:t>
      </w:r>
    </w:p>
    <w:p w14:paraId="4B665D11" w14:textId="77777777" w:rsidR="004D3023" w:rsidRPr="0060120B" w:rsidRDefault="004D3023" w:rsidP="00C90EFB">
      <w:pPr>
        <w:numPr>
          <w:ilvl w:val="0"/>
          <w:numId w:val="12"/>
        </w:numPr>
        <w:rPr>
          <w:rFonts w:cs="Arial"/>
          <w:szCs w:val="18"/>
        </w:rPr>
      </w:pPr>
      <w:r w:rsidRPr="0060120B">
        <w:rPr>
          <w:rFonts w:cs="Arial"/>
          <w:szCs w:val="18"/>
        </w:rPr>
        <w:t>Are there electric grid/gas system coincident savings?</w:t>
      </w:r>
    </w:p>
    <w:p w14:paraId="310D21D4" w14:textId="77777777" w:rsidR="004D3023" w:rsidRPr="0060120B" w:rsidRDefault="004D3023" w:rsidP="004D3023">
      <w:pPr>
        <w:rPr>
          <w:rFonts w:cs="Arial"/>
          <w:szCs w:val="18"/>
        </w:rPr>
      </w:pPr>
      <w:r w:rsidRPr="0060120B">
        <w:rPr>
          <w:rFonts w:cs="Arial"/>
          <w:szCs w:val="18"/>
        </w:rPr>
        <w:t>To qualify for energy efficiency incentives, the customer’s reduction in energy usage due to the energy efficiency measure, must always occur on the grid/system at times when the energy efficiency measure is operational, and its energy resource requirement is being met.</w:t>
      </w:r>
    </w:p>
    <w:p w14:paraId="5FD794E2" w14:textId="77777777" w:rsidR="004D3023" w:rsidRPr="00C6141C" w:rsidRDefault="004D3023" w:rsidP="00C6141C">
      <w:pPr>
        <w:rPr>
          <w:rFonts w:ascii="Calibri" w:eastAsia="Calibri" w:hAnsi="Calibri" w:cs="Calibri"/>
          <w:b/>
          <w:color w:val="808080" w:themeColor="background2" w:themeShade="80"/>
          <w:sz w:val="22"/>
        </w:rPr>
      </w:pPr>
      <w:r w:rsidRPr="002853DB">
        <w:rPr>
          <w:rFonts w:eastAsia="Calibri" w:cs="Arial"/>
          <w:b/>
          <w:bCs/>
          <w:szCs w:val="18"/>
        </w:rPr>
        <w:t>Minimum Customer or Project Size</w:t>
      </w:r>
    </w:p>
    <w:p w14:paraId="6C779E41" w14:textId="77777777" w:rsidR="004D3023" w:rsidRPr="0060120B" w:rsidRDefault="004D3023" w:rsidP="004D3023">
      <w:pPr>
        <w:rPr>
          <w:rFonts w:cs="Arial"/>
          <w:szCs w:val="18"/>
        </w:rPr>
      </w:pPr>
      <w:r w:rsidRPr="0060120B">
        <w:rPr>
          <w:rFonts w:cs="Arial"/>
          <w:szCs w:val="18"/>
        </w:rPr>
        <w:t>Currently, there are no incentive size limitations or usage threshold requirements to qualify for Program participation.</w:t>
      </w:r>
    </w:p>
    <w:p w14:paraId="2DEE3C06" w14:textId="77777777" w:rsidR="004D3023" w:rsidRPr="002853DB" w:rsidRDefault="004D3023" w:rsidP="004D3023">
      <w:pPr>
        <w:rPr>
          <w:rFonts w:eastAsia="Calibri" w:cs="Arial"/>
          <w:b/>
          <w:bCs/>
          <w:szCs w:val="18"/>
        </w:rPr>
      </w:pPr>
      <w:r w:rsidRPr="002853DB">
        <w:rPr>
          <w:rFonts w:eastAsia="Calibri" w:cs="Arial"/>
          <w:b/>
          <w:bCs/>
          <w:szCs w:val="18"/>
        </w:rPr>
        <w:t>Double Dipping</w:t>
      </w:r>
    </w:p>
    <w:p w14:paraId="27816C2D" w14:textId="77777777" w:rsidR="004D3023" w:rsidRPr="0060120B" w:rsidRDefault="004D3023" w:rsidP="004D3023">
      <w:pPr>
        <w:rPr>
          <w:rFonts w:cs="Arial"/>
          <w:szCs w:val="18"/>
        </w:rPr>
      </w:pPr>
      <w:r w:rsidRPr="0060120B">
        <w:rPr>
          <w:rFonts w:cs="Arial"/>
          <w:szCs w:val="18"/>
        </w:rPr>
        <w:t>The Program team will work with the customer to validate that it has not received incentives or services for the same energy efficiency technologies and measures that it is applying for with the program.</w:t>
      </w:r>
    </w:p>
    <w:p w14:paraId="2B1FC474" w14:textId="77777777" w:rsidR="004D3023" w:rsidRPr="0060120B" w:rsidRDefault="004D3023" w:rsidP="004D3023">
      <w:pPr>
        <w:rPr>
          <w:rFonts w:cs="Arial"/>
          <w:szCs w:val="18"/>
        </w:rPr>
      </w:pPr>
      <w:r w:rsidRPr="0060120B">
        <w:rPr>
          <w:rFonts w:cs="Arial"/>
          <w:szCs w:val="18"/>
        </w:rPr>
        <w:t>The customer Program Application provides the following statements that each participating Customer will validate:</w:t>
      </w:r>
    </w:p>
    <w:p w14:paraId="7CC06244" w14:textId="77777777" w:rsidR="004D3023" w:rsidRPr="0060120B" w:rsidRDefault="004D3023" w:rsidP="00C90EFB">
      <w:pPr>
        <w:numPr>
          <w:ilvl w:val="0"/>
          <w:numId w:val="13"/>
        </w:numPr>
        <w:rPr>
          <w:rFonts w:cs="Arial"/>
          <w:szCs w:val="18"/>
        </w:rPr>
      </w:pPr>
      <w:r w:rsidRPr="0060120B">
        <w:rPr>
          <w:rFonts w:cs="Arial"/>
          <w:szCs w:val="18"/>
        </w:rPr>
        <w:t xml:space="preserve">Customer understands that Customer cannot receive incentives for the same product, </w:t>
      </w:r>
      <w:proofErr w:type="gramStart"/>
      <w:r w:rsidRPr="0060120B">
        <w:rPr>
          <w:rFonts w:cs="Arial"/>
          <w:szCs w:val="18"/>
        </w:rPr>
        <w:t>equipment</w:t>
      </w:r>
      <w:proofErr w:type="gramEnd"/>
      <w:r w:rsidRPr="0060120B">
        <w:rPr>
          <w:rFonts w:cs="Arial"/>
          <w:szCs w:val="18"/>
        </w:rPr>
        <w:t xml:space="preserve"> or service from more than one California investor-owned utility or third-party Energy Efficiency program offering incentives for the same product, equipment, or service funded by the CPUC.</w:t>
      </w:r>
    </w:p>
    <w:p w14:paraId="7B86B985" w14:textId="77777777" w:rsidR="004D3023" w:rsidRPr="0060120B" w:rsidRDefault="004D3023" w:rsidP="00C90EFB">
      <w:pPr>
        <w:numPr>
          <w:ilvl w:val="0"/>
          <w:numId w:val="13"/>
        </w:numPr>
        <w:rPr>
          <w:rFonts w:cs="Arial"/>
          <w:szCs w:val="18"/>
        </w:rPr>
      </w:pPr>
      <w:r w:rsidRPr="0060120B">
        <w:rPr>
          <w:rFonts w:cs="Arial"/>
          <w:szCs w:val="18"/>
        </w:rPr>
        <w:t xml:space="preserve">Customer understands this prohibition applies three years prior to and three years after receiving the incentives for the same product, </w:t>
      </w:r>
      <w:proofErr w:type="gramStart"/>
      <w:r w:rsidRPr="0060120B">
        <w:rPr>
          <w:rFonts w:cs="Arial"/>
          <w:szCs w:val="18"/>
        </w:rPr>
        <w:t>equipment</w:t>
      </w:r>
      <w:proofErr w:type="gramEnd"/>
      <w:r w:rsidRPr="0060120B">
        <w:rPr>
          <w:rFonts w:cs="Arial"/>
          <w:szCs w:val="18"/>
        </w:rPr>
        <w:t xml:space="preserve"> or service.</w:t>
      </w:r>
    </w:p>
    <w:p w14:paraId="164F30A4" w14:textId="17EED22F" w:rsidR="004E1FC7" w:rsidRPr="004E1FC7" w:rsidRDefault="004E1FC7" w:rsidP="004E1FC7">
      <w:pPr>
        <w:pStyle w:val="Heading1"/>
        <w:rPr>
          <w:sz w:val="28"/>
          <w:szCs w:val="24"/>
        </w:rPr>
      </w:pPr>
      <w:bookmarkStart w:id="4" w:name="_Toc57654068"/>
      <w:r>
        <w:rPr>
          <w:sz w:val="28"/>
          <w:szCs w:val="24"/>
        </w:rPr>
        <w:t>3</w:t>
      </w:r>
      <w:r w:rsidRPr="004E1FC7">
        <w:rPr>
          <w:sz w:val="28"/>
          <w:szCs w:val="24"/>
        </w:rPr>
        <w:t xml:space="preserve">. </w:t>
      </w:r>
      <w:r w:rsidR="00647EF1">
        <w:rPr>
          <w:sz w:val="28"/>
          <w:szCs w:val="24"/>
        </w:rPr>
        <w:t>Contractor Eligibility Requirements</w:t>
      </w:r>
      <w:bookmarkEnd w:id="4"/>
    </w:p>
    <w:p w14:paraId="3E694A83" w14:textId="1F308701" w:rsidR="2023FBA3" w:rsidRPr="00B900E1" w:rsidRDefault="2023FBA3" w:rsidP="7C714425">
      <w:pPr>
        <w:rPr>
          <w:rFonts w:cs="Arial"/>
          <w:szCs w:val="18"/>
        </w:rPr>
      </w:pPr>
      <w:r w:rsidRPr="00B900E1">
        <w:rPr>
          <w:rFonts w:eastAsia="Arial" w:cs="Arial"/>
          <w:szCs w:val="18"/>
        </w:rPr>
        <w:t xml:space="preserve">The Program will operate in compliance with the workforce qualifications, certifications, </w:t>
      </w:r>
      <w:proofErr w:type="gramStart"/>
      <w:r w:rsidRPr="00B900E1">
        <w:rPr>
          <w:rFonts w:eastAsia="Arial" w:cs="Arial"/>
          <w:szCs w:val="18"/>
        </w:rPr>
        <w:t>standards</w:t>
      </w:r>
      <w:proofErr w:type="gramEnd"/>
      <w:r w:rsidRPr="00B900E1">
        <w:rPr>
          <w:rFonts w:eastAsia="Arial" w:cs="Arial"/>
          <w:szCs w:val="18"/>
        </w:rPr>
        <w:t xml:space="preserve"> and requirements set forth by the Workforce Standards as required by Decision 18-10-008. Customers will be notified of the workforce standard during initial engagement in the program. Customers will be required to accept understanding of the workforce standards on the enrollment agreement prior to ordering and installation of equipment. Customer will also verify that workforce standards were met as part of the project completion certificate that will be signed upon project completion. The workforce standards are described below. </w:t>
      </w:r>
    </w:p>
    <w:p w14:paraId="6807600B" w14:textId="5F2F4DFB" w:rsidR="2023FBA3" w:rsidRPr="00B900E1" w:rsidRDefault="2023FBA3" w:rsidP="00C90EFB">
      <w:pPr>
        <w:pStyle w:val="ListParagraph"/>
        <w:numPr>
          <w:ilvl w:val="0"/>
          <w:numId w:val="9"/>
        </w:numPr>
        <w:rPr>
          <w:rFonts w:eastAsiaTheme="minorEastAsia" w:cs="Arial"/>
          <w:szCs w:val="18"/>
        </w:rPr>
      </w:pPr>
      <w:r w:rsidRPr="00B900E1">
        <w:rPr>
          <w:rFonts w:eastAsia="Arial" w:cs="Arial"/>
          <w:szCs w:val="18"/>
        </w:rPr>
        <w:t>HVAC STANDARDS. For any non-residential project pursuant to this Agreement installing, modifying or maintaining a Heating Ventilation and Air Conditioning (“HVAC”) system or component with incentives valued at $3,000 or more, Implementer shall ensure that each worker or technician involved in the project, including all employees and agents of its subcontractors, meets at least one of the following workforce criteria:</w:t>
      </w:r>
    </w:p>
    <w:p w14:paraId="29C8CDD3" w14:textId="4C4756DF" w:rsidR="2023FBA3" w:rsidRPr="00B900E1" w:rsidRDefault="2023FBA3" w:rsidP="00C90EFB">
      <w:pPr>
        <w:pStyle w:val="ListParagraph"/>
        <w:numPr>
          <w:ilvl w:val="0"/>
          <w:numId w:val="8"/>
        </w:numPr>
        <w:rPr>
          <w:rFonts w:eastAsiaTheme="minorEastAsia" w:cs="Arial"/>
          <w:szCs w:val="18"/>
        </w:rPr>
      </w:pPr>
      <w:r w:rsidRPr="00B900E1">
        <w:rPr>
          <w:rFonts w:eastAsia="Arial" w:cs="Arial"/>
          <w:szCs w:val="18"/>
        </w:rPr>
        <w:t xml:space="preserve">Completed an accredited HVAC </w:t>
      </w:r>
      <w:proofErr w:type="gramStart"/>
      <w:r w:rsidRPr="00B900E1">
        <w:rPr>
          <w:rFonts w:eastAsia="Arial" w:cs="Arial"/>
          <w:szCs w:val="18"/>
        </w:rPr>
        <w:t>apprenticeship;</w:t>
      </w:r>
      <w:proofErr w:type="gramEnd"/>
      <w:r w:rsidRPr="00B900E1">
        <w:rPr>
          <w:rFonts w:eastAsia="Arial" w:cs="Arial"/>
          <w:szCs w:val="18"/>
        </w:rPr>
        <w:t xml:space="preserve"> </w:t>
      </w:r>
    </w:p>
    <w:p w14:paraId="504A2A37" w14:textId="4AFFAB50" w:rsidR="2023FBA3" w:rsidRPr="00B900E1" w:rsidRDefault="2023FBA3" w:rsidP="00C90EFB">
      <w:pPr>
        <w:pStyle w:val="ListParagraph"/>
        <w:numPr>
          <w:ilvl w:val="0"/>
          <w:numId w:val="8"/>
        </w:numPr>
        <w:rPr>
          <w:rFonts w:eastAsiaTheme="minorEastAsia" w:cs="Arial"/>
          <w:szCs w:val="18"/>
        </w:rPr>
      </w:pPr>
      <w:r w:rsidRPr="00B900E1">
        <w:rPr>
          <w:rFonts w:eastAsia="Arial" w:cs="Arial"/>
          <w:szCs w:val="18"/>
        </w:rPr>
        <w:t xml:space="preserve">Is enrolled in an accredited HVAC </w:t>
      </w:r>
      <w:proofErr w:type="gramStart"/>
      <w:r w:rsidRPr="00B900E1">
        <w:rPr>
          <w:rFonts w:eastAsia="Arial" w:cs="Arial"/>
          <w:szCs w:val="18"/>
        </w:rPr>
        <w:t>apprenticeship;</w:t>
      </w:r>
      <w:proofErr w:type="gramEnd"/>
    </w:p>
    <w:p w14:paraId="407BCD78" w14:textId="588186F1" w:rsidR="2023FBA3" w:rsidRPr="00B900E1" w:rsidRDefault="2023FBA3" w:rsidP="00C90EFB">
      <w:pPr>
        <w:pStyle w:val="ListParagraph"/>
        <w:numPr>
          <w:ilvl w:val="0"/>
          <w:numId w:val="8"/>
        </w:numPr>
        <w:rPr>
          <w:rFonts w:eastAsiaTheme="minorEastAsia" w:cs="Arial"/>
          <w:szCs w:val="18"/>
        </w:rPr>
      </w:pPr>
      <w:r w:rsidRPr="00B900E1">
        <w:rPr>
          <w:rFonts w:eastAsia="Arial" w:cs="Arial"/>
          <w:szCs w:val="18"/>
        </w:rPr>
        <w:t>Completed at least five years of work experience at the journey level as defined by the California Department of Industrial Relations, Title 8, Section 205, of the California Code of Regulations, passed a practical and written HVAC system installation competency test, and received credentialed training specific to the installation of the technology being installed; or</w:t>
      </w:r>
    </w:p>
    <w:p w14:paraId="4725BD80" w14:textId="49642E12" w:rsidR="2023FBA3" w:rsidRPr="00B900E1" w:rsidRDefault="2023FBA3" w:rsidP="00C90EFB">
      <w:pPr>
        <w:pStyle w:val="ListParagraph"/>
        <w:numPr>
          <w:ilvl w:val="0"/>
          <w:numId w:val="8"/>
        </w:numPr>
        <w:rPr>
          <w:rFonts w:eastAsiaTheme="minorEastAsia" w:cs="Arial"/>
          <w:szCs w:val="18"/>
        </w:rPr>
      </w:pPr>
      <w:r w:rsidRPr="00B900E1">
        <w:rPr>
          <w:rFonts w:eastAsia="Arial" w:cs="Arial"/>
          <w:szCs w:val="18"/>
        </w:rPr>
        <w:t xml:space="preserve">Has a C-20 HVAC contractor license issued by the California Contractor’s State Licensing </w:t>
      </w:r>
      <w:proofErr w:type="gramStart"/>
      <w:r w:rsidRPr="00B900E1">
        <w:rPr>
          <w:rFonts w:eastAsia="Arial" w:cs="Arial"/>
          <w:szCs w:val="18"/>
        </w:rPr>
        <w:t>Board.</w:t>
      </w:r>
      <w:proofErr w:type="gramEnd"/>
    </w:p>
    <w:p w14:paraId="78F12A90" w14:textId="667F9445" w:rsidR="2023FBA3" w:rsidRPr="00B900E1" w:rsidRDefault="2023FBA3" w:rsidP="7C714425">
      <w:pPr>
        <w:rPr>
          <w:rFonts w:cs="Arial"/>
          <w:szCs w:val="18"/>
        </w:rPr>
      </w:pPr>
      <w:r w:rsidRPr="00B900E1">
        <w:rPr>
          <w:rFonts w:eastAsia="Arial" w:cs="Arial"/>
          <w:szCs w:val="18"/>
        </w:rPr>
        <w:t>This standard shall not apply where the incentive is paid to any manufacturer, distributor, or retailer of HVAC equipment, unless the manufacturer, distributor, or retailer installs or contracts for the installation of the equipment.</w:t>
      </w:r>
    </w:p>
    <w:p w14:paraId="10CB3C36" w14:textId="54914412" w:rsidR="2023FBA3" w:rsidRPr="00B900E1" w:rsidRDefault="2023FBA3" w:rsidP="00C90EFB">
      <w:pPr>
        <w:pStyle w:val="ListParagraph"/>
        <w:numPr>
          <w:ilvl w:val="0"/>
          <w:numId w:val="9"/>
        </w:numPr>
        <w:rPr>
          <w:rFonts w:eastAsiaTheme="minorEastAsia" w:cs="Arial"/>
          <w:szCs w:val="18"/>
        </w:rPr>
      </w:pPr>
      <w:r w:rsidRPr="00B900E1">
        <w:rPr>
          <w:rFonts w:eastAsia="Arial" w:cs="Arial"/>
          <w:szCs w:val="18"/>
        </w:rPr>
        <w:t>ADVANCED LIGHTING CONTROLS STANDARDS. For any non-residential project involving installation, modification, or maintenance of lighting controls with incentives valued at $2,000 or more, Implementer shall ensure that all workers or technicians involved in the project, including those of its subcontractors are certified by the California Advanced Lighting Controls Training Program (“CALTP”).  This requirement shall not apply where the incentive is paid to a manufacturer, distributor, or retailer of lighting controls unless the manufacturer, distributor, or retailer installs or contracts for installation of the equipment.</w:t>
      </w:r>
    </w:p>
    <w:p w14:paraId="4ED40332" w14:textId="735124DB" w:rsidR="7C714425" w:rsidRDefault="7C714425" w:rsidP="7C714425"/>
    <w:p w14:paraId="68745BDC" w14:textId="53E5FD63" w:rsidR="004E1FC7" w:rsidRPr="004E1FC7" w:rsidRDefault="004E1FC7" w:rsidP="004E1FC7">
      <w:pPr>
        <w:pStyle w:val="Heading1"/>
        <w:rPr>
          <w:sz w:val="28"/>
          <w:szCs w:val="24"/>
        </w:rPr>
      </w:pPr>
      <w:bookmarkStart w:id="5" w:name="_Toc57654069"/>
      <w:r>
        <w:rPr>
          <w:sz w:val="28"/>
          <w:szCs w:val="24"/>
        </w:rPr>
        <w:lastRenderedPageBreak/>
        <w:t>4</w:t>
      </w:r>
      <w:r w:rsidRPr="004E1FC7">
        <w:rPr>
          <w:sz w:val="28"/>
          <w:szCs w:val="24"/>
        </w:rPr>
        <w:t xml:space="preserve">. </w:t>
      </w:r>
      <w:r w:rsidR="00647EF1">
        <w:rPr>
          <w:sz w:val="28"/>
          <w:szCs w:val="24"/>
        </w:rPr>
        <w:t>Participating Contractors, Manufacturers, Retailers, Distributors, and Partners</w:t>
      </w:r>
      <w:bookmarkEnd w:id="5"/>
    </w:p>
    <w:p w14:paraId="10FBE770" w14:textId="7E21562C" w:rsidR="00647EF1" w:rsidRDefault="00F01963" w:rsidP="00647EF1">
      <w:r>
        <w:t>Not applicable</w:t>
      </w:r>
    </w:p>
    <w:p w14:paraId="4FF87C98" w14:textId="76AC0797" w:rsidR="00647EF1" w:rsidRPr="004E1FC7" w:rsidRDefault="00647EF1" w:rsidP="00647EF1">
      <w:pPr>
        <w:pStyle w:val="Heading1"/>
        <w:rPr>
          <w:sz w:val="28"/>
          <w:szCs w:val="24"/>
        </w:rPr>
      </w:pPr>
      <w:bookmarkStart w:id="6" w:name="_Toc57654070"/>
      <w:r>
        <w:rPr>
          <w:sz w:val="28"/>
          <w:szCs w:val="24"/>
        </w:rPr>
        <w:t>5</w:t>
      </w:r>
      <w:r w:rsidRPr="004E1FC7">
        <w:rPr>
          <w:sz w:val="28"/>
          <w:szCs w:val="24"/>
        </w:rPr>
        <w:t xml:space="preserve">. </w:t>
      </w:r>
      <w:r>
        <w:rPr>
          <w:sz w:val="28"/>
          <w:szCs w:val="24"/>
        </w:rPr>
        <w:t>Additional Services</w:t>
      </w:r>
      <w:bookmarkEnd w:id="6"/>
    </w:p>
    <w:p w14:paraId="0232CE22" w14:textId="71DAB27A" w:rsidR="00647EF1" w:rsidRDefault="007B1147" w:rsidP="00647EF1">
      <w:r>
        <w:t>No additional services</w:t>
      </w:r>
    </w:p>
    <w:p w14:paraId="2B218AB9" w14:textId="577B0E84" w:rsidR="00647EF1" w:rsidRPr="004E1FC7" w:rsidRDefault="00647EF1" w:rsidP="00647EF1">
      <w:pPr>
        <w:pStyle w:val="Heading1"/>
        <w:rPr>
          <w:sz w:val="28"/>
          <w:szCs w:val="24"/>
        </w:rPr>
      </w:pPr>
      <w:bookmarkStart w:id="7" w:name="_Toc57654071"/>
      <w:r>
        <w:rPr>
          <w:sz w:val="28"/>
          <w:szCs w:val="24"/>
        </w:rPr>
        <w:t>6</w:t>
      </w:r>
      <w:r w:rsidRPr="004E1FC7">
        <w:rPr>
          <w:sz w:val="28"/>
          <w:szCs w:val="24"/>
        </w:rPr>
        <w:t xml:space="preserve">. </w:t>
      </w:r>
      <w:r>
        <w:rPr>
          <w:sz w:val="28"/>
          <w:szCs w:val="24"/>
        </w:rPr>
        <w:t>Audits</w:t>
      </w:r>
      <w:bookmarkEnd w:id="7"/>
    </w:p>
    <w:p w14:paraId="452CE11F" w14:textId="5D1FBC4F" w:rsidR="0092007F" w:rsidRDefault="0092007F" w:rsidP="00647EF1">
      <w:r>
        <w:t xml:space="preserve">Representatives from CLEAResult’s Engineering </w:t>
      </w:r>
      <w:r w:rsidR="00F84353">
        <w:t xml:space="preserve">&amp; </w:t>
      </w:r>
      <w:r>
        <w:t>Q</w:t>
      </w:r>
      <w:r w:rsidR="00F84353">
        <w:t xml:space="preserve">uality </w:t>
      </w:r>
      <w:r>
        <w:t>A</w:t>
      </w:r>
      <w:r w:rsidR="00F84353">
        <w:t>ssurance</w:t>
      </w:r>
      <w:r w:rsidR="00C21EF6">
        <w:t xml:space="preserve"> (QA) </w:t>
      </w:r>
      <w:r>
        <w:t>/</w:t>
      </w:r>
      <w:r w:rsidR="00C21EF6">
        <w:t xml:space="preserve"> </w:t>
      </w:r>
      <w:r>
        <w:t xml:space="preserve">Policy team </w:t>
      </w:r>
      <w:r w:rsidR="00AE4295">
        <w:t xml:space="preserve">will </w:t>
      </w:r>
      <w:r>
        <w:t xml:space="preserve">work closely with direct customer contacts on our program team to outline appropriate measure and baseline information and formulate cohesive strategies and scheduling for projects requiring M&amp;V plans, data, or monitoring. Clear standards and project scoping workbooks ensure consistent and comprehensive data capture during on-site scoping audits. </w:t>
      </w:r>
    </w:p>
    <w:p w14:paraId="14F7DD7B" w14:textId="2699F070" w:rsidR="00647EF1" w:rsidRDefault="003A3FF8" w:rsidP="00647EF1">
      <w:r w:rsidRPr="003A3FF8">
        <w:t>Facility assessments</w:t>
      </w:r>
      <w:r w:rsidR="008150CE">
        <w:t xml:space="preserve"> and </w:t>
      </w:r>
      <w:r w:rsidR="001144FF">
        <w:t xml:space="preserve">scoping </w:t>
      </w:r>
      <w:r w:rsidR="008150CE">
        <w:t>audits</w:t>
      </w:r>
      <w:r w:rsidRPr="003A3FF8">
        <w:t>, either in-person or virtual as conditions dictate and performed by a CLEAResult team member or partner with the appropriate clearances, will be tailored to the participant’s business needs, building characteristics and existing energy efficiency knowledge. Data gathered during these assessments allow CLEAResult to confirm recommended project potential, identify the appropriate incentive or energy management track, and increase program influence.</w:t>
      </w:r>
    </w:p>
    <w:p w14:paraId="534FEA98" w14:textId="62B24BB0" w:rsidR="00647EF1" w:rsidRPr="004A73EA" w:rsidRDefault="00647EF1" w:rsidP="004A73EA">
      <w:pPr>
        <w:pStyle w:val="Heading1"/>
        <w:rPr>
          <w:sz w:val="28"/>
          <w:szCs w:val="24"/>
        </w:rPr>
      </w:pPr>
      <w:bookmarkStart w:id="8" w:name="_Toc57654072"/>
      <w:r>
        <w:rPr>
          <w:sz w:val="28"/>
          <w:szCs w:val="24"/>
        </w:rPr>
        <w:t>7</w:t>
      </w:r>
      <w:r w:rsidRPr="004E1FC7">
        <w:rPr>
          <w:sz w:val="28"/>
          <w:szCs w:val="24"/>
        </w:rPr>
        <w:t xml:space="preserve">. </w:t>
      </w:r>
      <w:r>
        <w:rPr>
          <w:sz w:val="28"/>
          <w:szCs w:val="24"/>
        </w:rPr>
        <w:t>Sub-Program Quality Assurance Provisions</w:t>
      </w:r>
      <w:bookmarkEnd w:id="8"/>
    </w:p>
    <w:p w14:paraId="3BE7A5C1" w14:textId="5D1FBC4F" w:rsidR="00647EF1" w:rsidRDefault="00D91310" w:rsidP="00647EF1">
      <w:r>
        <w:t>CLEAResult representatives utilize standardized tools to facilitate clear customer or industry standard practice documentation. To proactively maintain a high level of quality, savings accuracy data and methodologies are tracked, and in-field verification of installation and post-M&amp;V results are confirmed as part of the QA process.</w:t>
      </w:r>
    </w:p>
    <w:p w14:paraId="44BFA243" w14:textId="5D1FBC4F" w:rsidR="0060081E" w:rsidRDefault="0060081E" w:rsidP="00647EF1">
      <w:r>
        <w:t>Prior to a narrative or project package submittal to the utility, CLEAResult’s Engineering QA</w:t>
      </w:r>
      <w:r w:rsidR="00C21EF6">
        <w:t xml:space="preserve"> </w:t>
      </w:r>
      <w:r>
        <w:t>/</w:t>
      </w:r>
      <w:r w:rsidR="00C21EF6">
        <w:t xml:space="preserve"> </w:t>
      </w:r>
      <w:r>
        <w:t>Policy team reviews measure categories, baseline methodologies, influence documentation, M&amp;V plan, calculation approach, and savings estimates/results to ensure proper documentation and calculation techniques have been employed. The language in the custom project narratives is appraised for clarity. During the post-installation phase, evaluations are performed to verify measures were installed as scoped, and to confirm continued adherence to applicable policy and regulatory rules. Internal checklists guarantee the use of uniform nomenclature and consistent packaging of pertinent project documentation</w:t>
      </w:r>
    </w:p>
    <w:p w14:paraId="778D2C81" w14:textId="7C9B1E63" w:rsidR="00647EF1" w:rsidRPr="004E1FC7" w:rsidRDefault="00647EF1" w:rsidP="00647EF1">
      <w:pPr>
        <w:pStyle w:val="Heading1"/>
        <w:rPr>
          <w:sz w:val="28"/>
          <w:szCs w:val="24"/>
        </w:rPr>
      </w:pPr>
      <w:bookmarkStart w:id="9" w:name="_Toc57654073"/>
      <w:r>
        <w:rPr>
          <w:sz w:val="28"/>
          <w:szCs w:val="24"/>
        </w:rPr>
        <w:t>8</w:t>
      </w:r>
      <w:r w:rsidRPr="004E1FC7">
        <w:rPr>
          <w:sz w:val="28"/>
          <w:szCs w:val="24"/>
        </w:rPr>
        <w:t xml:space="preserve">. </w:t>
      </w:r>
      <w:r>
        <w:rPr>
          <w:sz w:val="28"/>
          <w:szCs w:val="24"/>
        </w:rPr>
        <w:t>Other Program Metrics</w:t>
      </w:r>
      <w:bookmarkEnd w:id="9"/>
    </w:p>
    <w:p w14:paraId="595A427B" w14:textId="5D1FBC4F" w:rsidR="0ACD2604" w:rsidRDefault="0ACD2604" w:rsidP="1E205FE4">
      <w:r>
        <w:t xml:space="preserve">The program will be assessed </w:t>
      </w:r>
      <w:r w:rsidR="112D60E0">
        <w:t>by several measurable key performance indicators. These include the following:</w:t>
      </w:r>
    </w:p>
    <w:p w14:paraId="7325A699" w14:textId="5D1FBC4F" w:rsidR="112D60E0" w:rsidRDefault="112D60E0" w:rsidP="002260B5">
      <w:pPr>
        <w:pStyle w:val="ListParagraph"/>
        <w:numPr>
          <w:ilvl w:val="0"/>
          <w:numId w:val="14"/>
        </w:numPr>
        <w:rPr>
          <w:rFonts w:asciiTheme="minorHAnsi" w:eastAsiaTheme="minorEastAsia" w:hAnsiTheme="minorHAnsi"/>
          <w:szCs w:val="18"/>
        </w:rPr>
      </w:pPr>
      <w:r>
        <w:t>Savings Goal Attainment</w:t>
      </w:r>
    </w:p>
    <w:p w14:paraId="53E3C3AD" w14:textId="5D1FBC4F" w:rsidR="112D60E0" w:rsidRDefault="112D60E0" w:rsidP="002260B5">
      <w:pPr>
        <w:pStyle w:val="ListParagraph"/>
        <w:numPr>
          <w:ilvl w:val="0"/>
          <w:numId w:val="14"/>
        </w:numPr>
        <w:rPr>
          <w:rFonts w:asciiTheme="minorHAnsi" w:eastAsiaTheme="minorEastAsia" w:hAnsiTheme="minorHAnsi"/>
          <w:szCs w:val="18"/>
        </w:rPr>
      </w:pPr>
      <w:r>
        <w:t>Cost Effectiveness</w:t>
      </w:r>
    </w:p>
    <w:p w14:paraId="579FECD2" w14:textId="5D1FBC4F" w:rsidR="112D60E0" w:rsidRPr="005E68F1" w:rsidRDefault="112D60E0" w:rsidP="002260B5">
      <w:pPr>
        <w:pStyle w:val="ListParagraph"/>
        <w:numPr>
          <w:ilvl w:val="0"/>
          <w:numId w:val="14"/>
        </w:numPr>
        <w:rPr>
          <w:rFonts w:asciiTheme="minorHAnsi" w:eastAsiaTheme="minorEastAsia" w:hAnsiTheme="minorHAnsi"/>
          <w:szCs w:val="18"/>
        </w:rPr>
      </w:pPr>
      <w:r w:rsidRPr="005E68F1">
        <w:t>Program Data Quality</w:t>
      </w:r>
    </w:p>
    <w:p w14:paraId="274B09A3" w14:textId="5D1FBC4F" w:rsidR="112D60E0" w:rsidRPr="005E68F1" w:rsidRDefault="112D60E0" w:rsidP="002260B5">
      <w:pPr>
        <w:pStyle w:val="ListParagraph"/>
        <w:numPr>
          <w:ilvl w:val="0"/>
          <w:numId w:val="14"/>
        </w:numPr>
        <w:rPr>
          <w:rFonts w:asciiTheme="minorHAnsi" w:eastAsiaTheme="minorEastAsia" w:hAnsiTheme="minorHAnsi"/>
          <w:szCs w:val="18"/>
        </w:rPr>
      </w:pPr>
      <w:r w:rsidRPr="005E68F1">
        <w:t>Savings Forecast Accuracy</w:t>
      </w:r>
    </w:p>
    <w:p w14:paraId="79E9FE2B" w14:textId="5D1FBC4F" w:rsidR="112D60E0" w:rsidRPr="005E68F1" w:rsidRDefault="112D60E0" w:rsidP="002260B5">
      <w:pPr>
        <w:pStyle w:val="ListParagraph"/>
        <w:numPr>
          <w:ilvl w:val="0"/>
          <w:numId w:val="14"/>
        </w:numPr>
        <w:rPr>
          <w:rFonts w:asciiTheme="minorHAnsi" w:eastAsiaTheme="minorEastAsia" w:hAnsiTheme="minorHAnsi"/>
          <w:szCs w:val="18"/>
        </w:rPr>
      </w:pPr>
      <w:r w:rsidRPr="005E68F1">
        <w:t>Engineering Quality</w:t>
      </w:r>
    </w:p>
    <w:p w14:paraId="3B815EAE" w14:textId="5D1FBC4F" w:rsidR="112D60E0" w:rsidRPr="005E68F1" w:rsidRDefault="112D60E0" w:rsidP="002260B5">
      <w:pPr>
        <w:pStyle w:val="ListParagraph"/>
        <w:numPr>
          <w:ilvl w:val="0"/>
          <w:numId w:val="14"/>
        </w:numPr>
        <w:rPr>
          <w:rFonts w:asciiTheme="minorHAnsi" w:eastAsiaTheme="minorEastAsia" w:hAnsiTheme="minorHAnsi"/>
          <w:szCs w:val="18"/>
        </w:rPr>
      </w:pPr>
      <w:r w:rsidRPr="005E68F1">
        <w:t>Measure Installation Pass Rate</w:t>
      </w:r>
    </w:p>
    <w:p w14:paraId="0F6F2D9B" w14:textId="18D31CAA" w:rsidR="112D60E0" w:rsidRPr="005E68F1" w:rsidRDefault="112D60E0" w:rsidP="002260B5">
      <w:pPr>
        <w:pStyle w:val="ListParagraph"/>
        <w:numPr>
          <w:ilvl w:val="0"/>
          <w:numId w:val="14"/>
        </w:numPr>
        <w:rPr>
          <w:rFonts w:asciiTheme="minorHAnsi" w:eastAsiaTheme="minorEastAsia" w:hAnsiTheme="minorHAnsi"/>
          <w:szCs w:val="18"/>
        </w:rPr>
      </w:pPr>
      <w:r w:rsidRPr="005E68F1">
        <w:t>Customer Satisfaction</w:t>
      </w:r>
    </w:p>
    <w:p w14:paraId="75FF5988" w14:textId="0A37ED40" w:rsidR="001D5C81" w:rsidRPr="005E68F1" w:rsidRDefault="001D5C81" w:rsidP="002260B5">
      <w:pPr>
        <w:pStyle w:val="ListParagraph"/>
        <w:numPr>
          <w:ilvl w:val="0"/>
          <w:numId w:val="14"/>
        </w:numPr>
        <w:rPr>
          <w:rFonts w:asciiTheme="minorHAnsi" w:eastAsiaTheme="minorEastAsia" w:hAnsiTheme="minorHAnsi"/>
          <w:szCs w:val="18"/>
        </w:rPr>
      </w:pPr>
      <w:r w:rsidRPr="005E68F1">
        <w:t>Pipeline Quality</w:t>
      </w:r>
    </w:p>
    <w:p w14:paraId="1E956F91" w14:textId="507B6CCC" w:rsidR="001D5C81" w:rsidRPr="005E68F1" w:rsidRDefault="001D5C81" w:rsidP="002260B5">
      <w:pPr>
        <w:pStyle w:val="ListParagraph"/>
        <w:numPr>
          <w:ilvl w:val="0"/>
          <w:numId w:val="14"/>
        </w:numPr>
        <w:rPr>
          <w:rFonts w:asciiTheme="minorHAnsi" w:eastAsiaTheme="minorEastAsia" w:hAnsiTheme="minorHAnsi"/>
          <w:szCs w:val="18"/>
        </w:rPr>
      </w:pPr>
      <w:r w:rsidRPr="005E68F1">
        <w:t>Grid Resource</w:t>
      </w:r>
    </w:p>
    <w:p w14:paraId="66C681F4" w14:textId="6359CE89" w:rsidR="004E1FC7" w:rsidRPr="004E1FC7" w:rsidRDefault="112D60E0" w:rsidP="004E1FC7">
      <w:r w:rsidRPr="7E31E199">
        <w:t xml:space="preserve">Data supporting the measurement and </w:t>
      </w:r>
      <w:r w:rsidR="7D01F053" w:rsidRPr="7E31E199">
        <w:t xml:space="preserve">evaluation </w:t>
      </w:r>
      <w:r w:rsidRPr="7E31E199">
        <w:t xml:space="preserve">of these parameters will be </w:t>
      </w:r>
      <w:r w:rsidR="38C84430" w:rsidRPr="7E31E199">
        <w:t>stored in PG&amp;E’s Energy Insight platform.</w:t>
      </w:r>
    </w:p>
    <w:sectPr w:rsidR="004E1FC7" w:rsidRPr="004E1FC7" w:rsidSect="00862036">
      <w:headerReference w:type="default" r:id="rId13"/>
      <w:footerReference w:type="default" r:id="rId14"/>
      <w:pgSz w:w="12240" w:h="15840"/>
      <w:pgMar w:top="1224" w:right="1080" w:bottom="1584" w:left="1080" w:header="720" w:footer="12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78C00" w14:textId="77777777" w:rsidR="004F4BC0" w:rsidRDefault="004F4BC0" w:rsidP="00553B67">
      <w:pPr>
        <w:spacing w:line="240" w:lineRule="auto"/>
      </w:pPr>
      <w:r>
        <w:separator/>
      </w:r>
    </w:p>
  </w:endnote>
  <w:endnote w:type="continuationSeparator" w:id="0">
    <w:p w14:paraId="402329F6" w14:textId="77777777" w:rsidR="004F4BC0" w:rsidRDefault="004F4BC0" w:rsidP="00553B67">
      <w:pPr>
        <w:spacing w:line="240" w:lineRule="auto"/>
      </w:pPr>
      <w:r>
        <w:continuationSeparator/>
      </w:r>
    </w:p>
  </w:endnote>
  <w:endnote w:type="continuationNotice" w:id="1">
    <w:p w14:paraId="45792B90" w14:textId="77777777" w:rsidR="004F4BC0" w:rsidRDefault="004F4BC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96A6A" w14:textId="77777777" w:rsidR="007477C3" w:rsidRDefault="007477C3" w:rsidP="006743FB">
    <w:pPr>
      <w:pStyle w:val="Footer"/>
      <w:framePr w:wrap="around" w:vAnchor="text" w:hAnchor="margin" w:xAlign="right" w:y="1"/>
    </w:pPr>
    <w:r>
      <w:fldChar w:fldCharType="begin"/>
    </w:r>
    <w:r>
      <w:instrText xml:space="preserve">PAGE  </w:instrText>
    </w:r>
    <w:r>
      <w:fldChar w:fldCharType="separate"/>
    </w:r>
    <w:r>
      <w:rPr>
        <w:noProof/>
      </w:rPr>
      <w:t>6</w:t>
    </w:r>
    <w:r>
      <w:fldChar w:fldCharType="end"/>
    </w:r>
  </w:p>
  <w:p w14:paraId="02343C67" w14:textId="77777777" w:rsidR="007477C3" w:rsidRPr="00F16D00" w:rsidRDefault="007477C3" w:rsidP="00355E43">
    <w:pPr>
      <w:tabs>
        <w:tab w:val="left" w:pos="550"/>
        <w:tab w:val="left" w:pos="4360"/>
        <w:tab w:val="right" w:pos="10080"/>
      </w:tabs>
      <w:spacing w:line="23" w:lineRule="atLeast"/>
      <w:ind w:right="360"/>
      <w:jc w:val="right"/>
      <w:rPr>
        <w:color w:val="F50000" w:themeColor="accent6"/>
        <w:sz w:val="16"/>
        <w:szCs w:val="16"/>
      </w:rPr>
    </w:pPr>
    <w:r>
      <w:rPr>
        <w:noProof/>
        <w:color w:val="F50000" w:themeColor="accent6"/>
        <w:sz w:val="16"/>
        <w:szCs w:val="16"/>
      </w:rPr>
      <mc:AlternateContent>
        <mc:Choice Requires="wps">
          <w:drawing>
            <wp:anchor distT="0" distB="0" distL="114300" distR="114300" simplePos="0" relativeHeight="251658240" behindDoc="0" locked="0" layoutInCell="1" allowOverlap="1" wp14:anchorId="684177FC" wp14:editId="32A4F7EF">
              <wp:simplePos x="0" y="0"/>
              <wp:positionH relativeFrom="page">
                <wp:posOffset>4457700</wp:posOffset>
              </wp:positionH>
              <wp:positionV relativeFrom="page">
                <wp:posOffset>9418320</wp:posOffset>
              </wp:positionV>
              <wp:extent cx="2628900" cy="228600"/>
              <wp:effectExtent l="0" t="0" r="12700" b="0"/>
              <wp:wrapNone/>
              <wp:docPr id="4" name="Text Box 4"/>
              <wp:cNvGraphicFramePr/>
              <a:graphic xmlns:a="http://schemas.openxmlformats.org/drawingml/2006/main">
                <a:graphicData uri="http://schemas.microsoft.com/office/word/2010/wordprocessingShape">
                  <wps:wsp>
                    <wps:cNvSpPr txBox="1"/>
                    <wps:spPr>
                      <a:xfrm>
                        <a:off x="0" y="0"/>
                        <a:ext cx="26289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938899F" w14:textId="77777777" w:rsidR="007477C3" w:rsidRPr="00DA7027" w:rsidRDefault="007477C3" w:rsidP="0053066E">
                          <w:pPr>
                            <w:pStyle w:val="TaglineFooter"/>
                            <w:rPr>
                              <w:color w:val="EB391C"/>
                            </w:rPr>
                          </w:pPr>
                          <w:r w:rsidRPr="00DA7027">
                            <w:rPr>
                              <w:color w:val="EB391C"/>
                            </w:rPr>
                            <w:t>We change the way people use energy</w:t>
                          </w:r>
                          <w:r w:rsidRPr="00DA7027">
                            <w:rPr>
                              <w:color w:val="EB391C"/>
                              <w:vertAlign w:val="superscript"/>
                            </w:rPr>
                            <w:t>™</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177FC" id="_x0000_t202" coordsize="21600,21600" o:spt="202" path="m,l,21600r21600,l21600,xe">
              <v:stroke joinstyle="miter"/>
              <v:path gradientshapeok="t" o:connecttype="rect"/>
            </v:shapetype>
            <v:shape id="Text Box 4" o:spid="_x0000_s1026" type="#_x0000_t202" style="position:absolute;left:0;text-align:left;margin-left:351pt;margin-top:741.6pt;width:207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" filled="f" stroked="f">
              <v:textbox inset=",,0">
                <w:txbxContent>
                  <w:p w14:paraId="5938899F" w14:textId="77777777" w:rsidR="007477C3" w:rsidRPr="00DA7027" w:rsidRDefault="007477C3" w:rsidP="0053066E">
                    <w:pPr>
                      <w:pStyle w:val="TaglineFooter"/>
                      <w:rPr>
                        <w:color w:val="EB391C"/>
                      </w:rPr>
                    </w:pPr>
                    <w:r w:rsidRPr="00DA7027">
                      <w:rPr>
                        <w:color w:val="EB391C"/>
                      </w:rPr>
                      <w:t>We change the way people use energy</w:t>
                    </w:r>
                    <w:r w:rsidRPr="00DA7027">
                      <w:rPr>
                        <w:color w:val="EB391C"/>
                        <w:vertAlign w:val="superscript"/>
                      </w:rPr>
                      <w:t>™</w:t>
                    </w:r>
                  </w:p>
                </w:txbxContent>
              </v:textbox>
              <w10:wrap anchorx="page" anchory="page"/>
            </v:shape>
          </w:pict>
        </mc:Fallback>
      </mc:AlternateContent>
    </w:r>
    <w:r>
      <w:rPr>
        <w:noProof/>
        <w:color w:val="F50000" w:themeColor="accent6"/>
        <w:szCs w:val="16"/>
      </w:rPr>
      <w:drawing>
        <wp:anchor distT="0" distB="0" distL="114300" distR="114300" simplePos="0" relativeHeight="251658241" behindDoc="0" locked="1" layoutInCell="1" allowOverlap="1" wp14:anchorId="7DC84930" wp14:editId="07ACAD94">
          <wp:simplePos x="0" y="0"/>
          <wp:positionH relativeFrom="page">
            <wp:posOffset>648970</wp:posOffset>
          </wp:positionH>
          <wp:positionV relativeFrom="page">
            <wp:posOffset>9458325</wp:posOffset>
          </wp:positionV>
          <wp:extent cx="840740" cy="1085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_logo_rgb_red_0.92.png"/>
                  <pic:cNvPicPr/>
                </pic:nvPicPr>
                <pic:blipFill>
                  <a:blip r:embed="rId1">
                    <a:extLst>
                      <a:ext uri="{28A0092B-C50C-407E-A947-70E740481C1C}">
                        <a14:useLocalDpi xmlns:a14="http://schemas.microsoft.com/office/drawing/2010/main" val="0"/>
                      </a:ext>
                    </a:extLst>
                  </a:blip>
                  <a:stretch>
                    <a:fillRect/>
                  </a:stretch>
                </pic:blipFill>
                <pic:spPr>
                  <a:xfrm>
                    <a:off x="0" y="0"/>
                    <a:ext cx="840740" cy="1085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40C35" w14:textId="77777777" w:rsidR="004F4BC0" w:rsidRDefault="004F4BC0" w:rsidP="00553B67">
      <w:pPr>
        <w:spacing w:line="240" w:lineRule="auto"/>
      </w:pPr>
      <w:r>
        <w:separator/>
      </w:r>
    </w:p>
  </w:footnote>
  <w:footnote w:type="continuationSeparator" w:id="0">
    <w:p w14:paraId="5B307966" w14:textId="77777777" w:rsidR="004F4BC0" w:rsidRDefault="004F4BC0" w:rsidP="00553B67">
      <w:pPr>
        <w:spacing w:line="240" w:lineRule="auto"/>
      </w:pPr>
      <w:r>
        <w:continuationSeparator/>
      </w:r>
    </w:p>
  </w:footnote>
  <w:footnote w:type="continuationNotice" w:id="1">
    <w:p w14:paraId="4CAC08C8" w14:textId="77777777" w:rsidR="004F4BC0" w:rsidRDefault="004F4BC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98BD4" w14:textId="2BD35EF7" w:rsidR="007477C3" w:rsidRPr="00691194" w:rsidRDefault="00862036" w:rsidP="009345A0">
    <w:pPr>
      <w:pStyle w:val="EPageHeader"/>
      <w:jc w:val="both"/>
      <w:rPr>
        <w:color w:val="EB391C"/>
      </w:rPr>
    </w:pPr>
    <w:r>
      <w:rPr>
        <w:color w:val="EB391C"/>
      </w:rPr>
      <w:t>PG&amp;E BEP Program</w:t>
    </w:r>
    <w:r w:rsidR="007477C3" w:rsidRPr="00691194">
      <w:rPr>
        <w:color w:val="EB391C"/>
      </w:rPr>
      <w:tab/>
    </w:r>
    <w:r>
      <w:rPr>
        <w:color w:val="EB391C"/>
      </w:rPr>
      <w:t>December 2020</w:t>
    </w:r>
  </w:p>
  <w:p w14:paraId="589636CE" w14:textId="77777777" w:rsidR="007477C3" w:rsidRPr="00553B67" w:rsidRDefault="007477C3" w:rsidP="0055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hybridMultilevel"/>
    <w:tmpl w:val="80FE12F6"/>
    <w:lvl w:ilvl="0" w:tplc="8132EF50">
      <w:start w:val="1"/>
      <w:numFmt w:val="lowerLetter"/>
      <w:pStyle w:val="ListNumber2"/>
      <w:lvlText w:val="%1."/>
      <w:lvlJc w:val="left"/>
      <w:pPr>
        <w:ind w:left="1080" w:hanging="360"/>
      </w:pPr>
      <w:rPr>
        <w:rFonts w:hint="default"/>
        <w:color w:val="auto"/>
      </w:rPr>
    </w:lvl>
    <w:lvl w:ilvl="1" w:tplc="4ED24D06">
      <w:numFmt w:val="decimal"/>
      <w:lvlText w:val=""/>
      <w:lvlJc w:val="left"/>
    </w:lvl>
    <w:lvl w:ilvl="2" w:tplc="2FFC2DEA">
      <w:numFmt w:val="decimal"/>
      <w:lvlText w:val=""/>
      <w:lvlJc w:val="left"/>
    </w:lvl>
    <w:lvl w:ilvl="3" w:tplc="EFB2184C">
      <w:numFmt w:val="decimal"/>
      <w:lvlText w:val=""/>
      <w:lvlJc w:val="left"/>
    </w:lvl>
    <w:lvl w:ilvl="4" w:tplc="A2CCF1B0">
      <w:numFmt w:val="decimal"/>
      <w:lvlText w:val=""/>
      <w:lvlJc w:val="left"/>
    </w:lvl>
    <w:lvl w:ilvl="5" w:tplc="A6F44BFA">
      <w:numFmt w:val="decimal"/>
      <w:lvlText w:val=""/>
      <w:lvlJc w:val="left"/>
    </w:lvl>
    <w:lvl w:ilvl="6" w:tplc="20D4DF10">
      <w:numFmt w:val="decimal"/>
      <w:lvlText w:val=""/>
      <w:lvlJc w:val="left"/>
    </w:lvl>
    <w:lvl w:ilvl="7" w:tplc="13728002">
      <w:numFmt w:val="decimal"/>
      <w:lvlText w:val=""/>
      <w:lvlJc w:val="left"/>
    </w:lvl>
    <w:lvl w:ilvl="8" w:tplc="2CF2C418">
      <w:numFmt w:val="decimal"/>
      <w:lvlText w:val=""/>
      <w:lvlJc w:val="left"/>
    </w:lvl>
  </w:abstractNum>
  <w:abstractNum w:abstractNumId="1" w15:restartNumberingAfterBreak="0">
    <w:nsid w:val="FFFFFF82"/>
    <w:multiLevelType w:val="singleLevel"/>
    <w:tmpl w:val="A61AA2AC"/>
    <w:lvl w:ilvl="0">
      <w:start w:val="1"/>
      <w:numFmt w:val="bullet"/>
      <w:pStyle w:val="ListBullet3"/>
      <w:lvlText w:val=""/>
      <w:lvlJc w:val="left"/>
      <w:pPr>
        <w:ind w:left="1440" w:hanging="360"/>
      </w:pPr>
      <w:rPr>
        <w:rFonts w:ascii="Wingdings" w:hAnsi="Wingdings" w:hint="default"/>
        <w:color w:val="F4CE00"/>
      </w:rPr>
    </w:lvl>
  </w:abstractNum>
  <w:abstractNum w:abstractNumId="2" w15:restartNumberingAfterBreak="0">
    <w:nsid w:val="FFFFFF83"/>
    <w:multiLevelType w:val="singleLevel"/>
    <w:tmpl w:val="48961AE8"/>
    <w:lvl w:ilvl="0">
      <w:start w:val="1"/>
      <w:numFmt w:val="bullet"/>
      <w:pStyle w:val="ListBullet2"/>
      <w:lvlText w:val=""/>
      <w:lvlJc w:val="left"/>
      <w:pPr>
        <w:ind w:left="1080" w:hanging="360"/>
      </w:pPr>
      <w:rPr>
        <w:rFonts w:ascii="Wingdings" w:hAnsi="Wingdings" w:hint="default"/>
        <w:color w:val="92B7BC"/>
      </w:rPr>
    </w:lvl>
  </w:abstractNum>
  <w:abstractNum w:abstractNumId="3" w15:restartNumberingAfterBreak="0">
    <w:nsid w:val="FFFFFF88"/>
    <w:multiLevelType w:val="hybridMultilevel"/>
    <w:tmpl w:val="735890C0"/>
    <w:lvl w:ilvl="0" w:tplc="01AEBD0C">
      <w:start w:val="1"/>
      <w:numFmt w:val="decimal"/>
      <w:pStyle w:val="ListNumber"/>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DA09DD8">
      <w:numFmt w:val="decimal"/>
      <w:lvlText w:val=""/>
      <w:lvlJc w:val="left"/>
    </w:lvl>
    <w:lvl w:ilvl="2" w:tplc="EE18CEA0">
      <w:numFmt w:val="decimal"/>
      <w:lvlText w:val=""/>
      <w:lvlJc w:val="left"/>
    </w:lvl>
    <w:lvl w:ilvl="3" w:tplc="73DC29F8">
      <w:numFmt w:val="decimal"/>
      <w:lvlText w:val=""/>
      <w:lvlJc w:val="left"/>
    </w:lvl>
    <w:lvl w:ilvl="4" w:tplc="942CD66E">
      <w:numFmt w:val="decimal"/>
      <w:lvlText w:val=""/>
      <w:lvlJc w:val="left"/>
    </w:lvl>
    <w:lvl w:ilvl="5" w:tplc="CF161C22">
      <w:numFmt w:val="decimal"/>
      <w:lvlText w:val=""/>
      <w:lvlJc w:val="left"/>
    </w:lvl>
    <w:lvl w:ilvl="6" w:tplc="C840D236">
      <w:numFmt w:val="decimal"/>
      <w:lvlText w:val=""/>
      <w:lvlJc w:val="left"/>
    </w:lvl>
    <w:lvl w:ilvl="7" w:tplc="F2D0C8F4">
      <w:numFmt w:val="decimal"/>
      <w:lvlText w:val=""/>
      <w:lvlJc w:val="left"/>
    </w:lvl>
    <w:lvl w:ilvl="8" w:tplc="E6B8AD6C">
      <w:numFmt w:val="decimal"/>
      <w:lvlText w:val=""/>
      <w:lvlJc w:val="left"/>
    </w:lvl>
  </w:abstractNum>
  <w:abstractNum w:abstractNumId="4" w15:restartNumberingAfterBreak="0">
    <w:nsid w:val="FFFFFF89"/>
    <w:multiLevelType w:val="hybridMultilevel"/>
    <w:tmpl w:val="AFA24618"/>
    <w:lvl w:ilvl="0" w:tplc="FC7480D4">
      <w:start w:val="1"/>
      <w:numFmt w:val="bullet"/>
      <w:pStyle w:val="CParagraphBullets"/>
      <w:lvlText w:val=""/>
      <w:lvlJc w:val="left"/>
      <w:pPr>
        <w:ind w:left="720" w:hanging="360"/>
      </w:pPr>
      <w:rPr>
        <w:rFonts w:ascii="Wingdings" w:hAnsi="Wingdings" w:hint="default"/>
        <w:color w:val="007299"/>
      </w:rPr>
    </w:lvl>
    <w:lvl w:ilvl="1" w:tplc="DBC25796">
      <w:numFmt w:val="decimal"/>
      <w:lvlText w:val=""/>
      <w:lvlJc w:val="left"/>
    </w:lvl>
    <w:lvl w:ilvl="2" w:tplc="7F14B05A">
      <w:numFmt w:val="decimal"/>
      <w:lvlText w:val=""/>
      <w:lvlJc w:val="left"/>
    </w:lvl>
    <w:lvl w:ilvl="3" w:tplc="0866A3FC">
      <w:numFmt w:val="decimal"/>
      <w:lvlText w:val=""/>
      <w:lvlJc w:val="left"/>
    </w:lvl>
    <w:lvl w:ilvl="4" w:tplc="9DFE969A">
      <w:numFmt w:val="decimal"/>
      <w:lvlText w:val=""/>
      <w:lvlJc w:val="left"/>
    </w:lvl>
    <w:lvl w:ilvl="5" w:tplc="3998C81E">
      <w:numFmt w:val="decimal"/>
      <w:lvlText w:val=""/>
      <w:lvlJc w:val="left"/>
    </w:lvl>
    <w:lvl w:ilvl="6" w:tplc="E3C0BA2A">
      <w:numFmt w:val="decimal"/>
      <w:lvlText w:val=""/>
      <w:lvlJc w:val="left"/>
    </w:lvl>
    <w:lvl w:ilvl="7" w:tplc="6340EF00">
      <w:numFmt w:val="decimal"/>
      <w:lvlText w:val=""/>
      <w:lvlJc w:val="left"/>
    </w:lvl>
    <w:lvl w:ilvl="8" w:tplc="5F6E6220">
      <w:numFmt w:val="decimal"/>
      <w:lvlText w:val=""/>
      <w:lvlJc w:val="left"/>
    </w:lvl>
  </w:abstractNum>
  <w:abstractNum w:abstractNumId="5" w15:restartNumberingAfterBreak="0">
    <w:nsid w:val="01097597"/>
    <w:multiLevelType w:val="hybridMultilevel"/>
    <w:tmpl w:val="C55CE0D4"/>
    <w:lvl w:ilvl="0" w:tplc="01789ED0">
      <w:start w:val="1"/>
      <w:numFmt w:val="bullet"/>
      <w:pStyle w:val="ListBullet"/>
      <w:lvlText w:val=""/>
      <w:lvlJc w:val="left"/>
      <w:pPr>
        <w:ind w:left="720" w:hanging="360"/>
      </w:pPr>
      <w:rPr>
        <w:rFonts w:ascii="Wingdings" w:hAnsi="Wingdings" w:hint="default"/>
        <w:color w:val="EB3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82AE6"/>
    <w:multiLevelType w:val="hybridMultilevel"/>
    <w:tmpl w:val="CF8CAD20"/>
    <w:lvl w:ilvl="0" w:tplc="50A0A13A">
      <w:start w:val="1"/>
      <w:numFmt w:val="bullet"/>
      <w:pStyle w:val="Bullet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71CC0"/>
    <w:multiLevelType w:val="hybridMultilevel"/>
    <w:tmpl w:val="686430B4"/>
    <w:lvl w:ilvl="0" w:tplc="F4308F56">
      <w:start w:val="1"/>
      <w:numFmt w:val="lowerRoman"/>
      <w:lvlText w:val="%1."/>
      <w:lvlJc w:val="right"/>
      <w:pPr>
        <w:ind w:left="1080" w:hanging="360"/>
      </w:pPr>
    </w:lvl>
    <w:lvl w:ilvl="1" w:tplc="6CD48F76">
      <w:start w:val="1"/>
      <w:numFmt w:val="lowerLetter"/>
      <w:lvlText w:val="%2."/>
      <w:lvlJc w:val="left"/>
      <w:pPr>
        <w:ind w:left="1800" w:hanging="360"/>
      </w:pPr>
    </w:lvl>
    <w:lvl w:ilvl="2" w:tplc="3E40AA2E">
      <w:start w:val="1"/>
      <w:numFmt w:val="lowerRoman"/>
      <w:lvlText w:val="%3."/>
      <w:lvlJc w:val="right"/>
      <w:pPr>
        <w:ind w:left="2520" w:hanging="180"/>
      </w:pPr>
    </w:lvl>
    <w:lvl w:ilvl="3" w:tplc="4A6EBF04">
      <w:start w:val="1"/>
      <w:numFmt w:val="decimal"/>
      <w:lvlText w:val="%4."/>
      <w:lvlJc w:val="left"/>
      <w:pPr>
        <w:ind w:left="3240" w:hanging="360"/>
      </w:pPr>
    </w:lvl>
    <w:lvl w:ilvl="4" w:tplc="A244B03C">
      <w:start w:val="1"/>
      <w:numFmt w:val="lowerLetter"/>
      <w:lvlText w:val="%5."/>
      <w:lvlJc w:val="left"/>
      <w:pPr>
        <w:ind w:left="3960" w:hanging="360"/>
      </w:pPr>
    </w:lvl>
    <w:lvl w:ilvl="5" w:tplc="7838567C">
      <w:start w:val="1"/>
      <w:numFmt w:val="lowerRoman"/>
      <w:lvlText w:val="%6."/>
      <w:lvlJc w:val="right"/>
      <w:pPr>
        <w:ind w:left="4680" w:hanging="180"/>
      </w:pPr>
    </w:lvl>
    <w:lvl w:ilvl="6" w:tplc="4D04EAAA">
      <w:start w:val="1"/>
      <w:numFmt w:val="decimal"/>
      <w:lvlText w:val="%7."/>
      <w:lvlJc w:val="left"/>
      <w:pPr>
        <w:ind w:left="5400" w:hanging="360"/>
      </w:pPr>
    </w:lvl>
    <w:lvl w:ilvl="7" w:tplc="2E76AD52">
      <w:start w:val="1"/>
      <w:numFmt w:val="lowerLetter"/>
      <w:lvlText w:val="%8."/>
      <w:lvlJc w:val="left"/>
      <w:pPr>
        <w:ind w:left="6120" w:hanging="360"/>
      </w:pPr>
    </w:lvl>
    <w:lvl w:ilvl="8" w:tplc="CFDE1346">
      <w:start w:val="1"/>
      <w:numFmt w:val="lowerRoman"/>
      <w:lvlText w:val="%9."/>
      <w:lvlJc w:val="right"/>
      <w:pPr>
        <w:ind w:left="6840" w:hanging="180"/>
      </w:pPr>
    </w:lvl>
  </w:abstractNum>
  <w:abstractNum w:abstractNumId="8" w15:restartNumberingAfterBreak="0">
    <w:nsid w:val="19365FA5"/>
    <w:multiLevelType w:val="hybridMultilevel"/>
    <w:tmpl w:val="FFFFFFFF"/>
    <w:lvl w:ilvl="0" w:tplc="EFA2BB1A">
      <w:start w:val="1"/>
      <w:numFmt w:val="bullet"/>
      <w:lvlText w:val=""/>
      <w:lvlJc w:val="left"/>
      <w:pPr>
        <w:ind w:left="720" w:hanging="360"/>
      </w:pPr>
      <w:rPr>
        <w:rFonts w:ascii="Symbol" w:hAnsi="Symbol" w:hint="default"/>
      </w:rPr>
    </w:lvl>
    <w:lvl w:ilvl="1" w:tplc="58B0D748">
      <w:start w:val="1"/>
      <w:numFmt w:val="bullet"/>
      <w:lvlText w:val="o"/>
      <w:lvlJc w:val="left"/>
      <w:pPr>
        <w:ind w:left="1440" w:hanging="360"/>
      </w:pPr>
      <w:rPr>
        <w:rFonts w:ascii="Courier New" w:hAnsi="Courier New" w:hint="default"/>
      </w:rPr>
    </w:lvl>
    <w:lvl w:ilvl="2" w:tplc="92EE5154">
      <w:start w:val="1"/>
      <w:numFmt w:val="bullet"/>
      <w:lvlText w:val=""/>
      <w:lvlJc w:val="left"/>
      <w:pPr>
        <w:ind w:left="2160" w:hanging="360"/>
      </w:pPr>
      <w:rPr>
        <w:rFonts w:ascii="Wingdings" w:hAnsi="Wingdings" w:hint="default"/>
      </w:rPr>
    </w:lvl>
    <w:lvl w:ilvl="3" w:tplc="99E68BE2">
      <w:start w:val="1"/>
      <w:numFmt w:val="bullet"/>
      <w:lvlText w:val=""/>
      <w:lvlJc w:val="left"/>
      <w:pPr>
        <w:ind w:left="2880" w:hanging="360"/>
      </w:pPr>
      <w:rPr>
        <w:rFonts w:ascii="Symbol" w:hAnsi="Symbol" w:hint="default"/>
      </w:rPr>
    </w:lvl>
    <w:lvl w:ilvl="4" w:tplc="C6EC03E4">
      <w:start w:val="1"/>
      <w:numFmt w:val="bullet"/>
      <w:lvlText w:val="o"/>
      <w:lvlJc w:val="left"/>
      <w:pPr>
        <w:ind w:left="3600" w:hanging="360"/>
      </w:pPr>
      <w:rPr>
        <w:rFonts w:ascii="Courier New" w:hAnsi="Courier New" w:hint="default"/>
      </w:rPr>
    </w:lvl>
    <w:lvl w:ilvl="5" w:tplc="890C2DC6">
      <w:start w:val="1"/>
      <w:numFmt w:val="bullet"/>
      <w:lvlText w:val=""/>
      <w:lvlJc w:val="left"/>
      <w:pPr>
        <w:ind w:left="4320" w:hanging="360"/>
      </w:pPr>
      <w:rPr>
        <w:rFonts w:ascii="Wingdings" w:hAnsi="Wingdings" w:hint="default"/>
      </w:rPr>
    </w:lvl>
    <w:lvl w:ilvl="6" w:tplc="8A16E0AA">
      <w:start w:val="1"/>
      <w:numFmt w:val="bullet"/>
      <w:lvlText w:val=""/>
      <w:lvlJc w:val="left"/>
      <w:pPr>
        <w:ind w:left="5040" w:hanging="360"/>
      </w:pPr>
      <w:rPr>
        <w:rFonts w:ascii="Symbol" w:hAnsi="Symbol" w:hint="default"/>
      </w:rPr>
    </w:lvl>
    <w:lvl w:ilvl="7" w:tplc="8EB684B8">
      <w:start w:val="1"/>
      <w:numFmt w:val="bullet"/>
      <w:lvlText w:val="o"/>
      <w:lvlJc w:val="left"/>
      <w:pPr>
        <w:ind w:left="5760" w:hanging="360"/>
      </w:pPr>
      <w:rPr>
        <w:rFonts w:ascii="Courier New" w:hAnsi="Courier New" w:hint="default"/>
      </w:rPr>
    </w:lvl>
    <w:lvl w:ilvl="8" w:tplc="E73EDCB2">
      <w:start w:val="1"/>
      <w:numFmt w:val="bullet"/>
      <w:lvlText w:val=""/>
      <w:lvlJc w:val="left"/>
      <w:pPr>
        <w:ind w:left="6480" w:hanging="360"/>
      </w:pPr>
      <w:rPr>
        <w:rFonts w:ascii="Wingdings" w:hAnsi="Wingdings" w:hint="default"/>
      </w:rPr>
    </w:lvl>
  </w:abstractNum>
  <w:abstractNum w:abstractNumId="9" w15:restartNumberingAfterBreak="0">
    <w:nsid w:val="208E10C0"/>
    <w:multiLevelType w:val="hybridMultilevel"/>
    <w:tmpl w:val="A72E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85AA2"/>
    <w:multiLevelType w:val="hybridMultilevel"/>
    <w:tmpl w:val="98BA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8153B"/>
    <w:multiLevelType w:val="hybridMultilevel"/>
    <w:tmpl w:val="4F525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7A308FF"/>
    <w:multiLevelType w:val="hybridMultilevel"/>
    <w:tmpl w:val="6B24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87863"/>
    <w:multiLevelType w:val="hybridMultilevel"/>
    <w:tmpl w:val="9D74F272"/>
    <w:lvl w:ilvl="0" w:tplc="C4E631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714755"/>
    <w:multiLevelType w:val="hybridMultilevel"/>
    <w:tmpl w:val="A2587E50"/>
    <w:lvl w:ilvl="0" w:tplc="04090001">
      <w:start w:val="1"/>
      <w:numFmt w:val="bullet"/>
      <w:lvlText w:val=""/>
      <w:lvlJc w:val="left"/>
      <w:pPr>
        <w:ind w:left="720" w:hanging="360"/>
      </w:pPr>
      <w:rPr>
        <w:rFonts w:ascii="Symbol" w:hAnsi="Symbol" w:hint="default"/>
      </w:rPr>
    </w:lvl>
    <w:lvl w:ilvl="1" w:tplc="3E0CD9A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30511"/>
    <w:multiLevelType w:val="hybridMultilevel"/>
    <w:tmpl w:val="2E6A0CA4"/>
    <w:lvl w:ilvl="0" w:tplc="36D4D858">
      <w:start w:val="1"/>
      <w:numFmt w:val="lowerLetter"/>
      <w:lvlText w:val="%1."/>
      <w:lvlJc w:val="left"/>
      <w:pPr>
        <w:ind w:left="720" w:hanging="360"/>
      </w:pPr>
    </w:lvl>
    <w:lvl w:ilvl="1" w:tplc="3E6888C6">
      <w:start w:val="1"/>
      <w:numFmt w:val="lowerLetter"/>
      <w:lvlText w:val="%2."/>
      <w:lvlJc w:val="left"/>
      <w:pPr>
        <w:ind w:left="1440" w:hanging="360"/>
      </w:pPr>
    </w:lvl>
    <w:lvl w:ilvl="2" w:tplc="BD760E52">
      <w:start w:val="1"/>
      <w:numFmt w:val="lowerRoman"/>
      <w:lvlText w:val="%3."/>
      <w:lvlJc w:val="right"/>
      <w:pPr>
        <w:ind w:left="2160" w:hanging="180"/>
      </w:pPr>
    </w:lvl>
    <w:lvl w:ilvl="3" w:tplc="AA947424">
      <w:start w:val="1"/>
      <w:numFmt w:val="decimal"/>
      <w:lvlText w:val="%4."/>
      <w:lvlJc w:val="left"/>
      <w:pPr>
        <w:ind w:left="2880" w:hanging="360"/>
      </w:pPr>
    </w:lvl>
    <w:lvl w:ilvl="4" w:tplc="2240583A">
      <w:start w:val="1"/>
      <w:numFmt w:val="lowerLetter"/>
      <w:lvlText w:val="%5."/>
      <w:lvlJc w:val="left"/>
      <w:pPr>
        <w:ind w:left="3600" w:hanging="360"/>
      </w:pPr>
    </w:lvl>
    <w:lvl w:ilvl="5" w:tplc="1BEA2320">
      <w:start w:val="1"/>
      <w:numFmt w:val="lowerRoman"/>
      <w:lvlText w:val="%6."/>
      <w:lvlJc w:val="right"/>
      <w:pPr>
        <w:ind w:left="4320" w:hanging="180"/>
      </w:pPr>
    </w:lvl>
    <w:lvl w:ilvl="6" w:tplc="0BB0CDAE">
      <w:start w:val="1"/>
      <w:numFmt w:val="decimal"/>
      <w:lvlText w:val="%7."/>
      <w:lvlJc w:val="left"/>
      <w:pPr>
        <w:ind w:left="5040" w:hanging="360"/>
      </w:pPr>
    </w:lvl>
    <w:lvl w:ilvl="7" w:tplc="18304336">
      <w:start w:val="1"/>
      <w:numFmt w:val="lowerLetter"/>
      <w:lvlText w:val="%8."/>
      <w:lvlJc w:val="left"/>
      <w:pPr>
        <w:ind w:left="5760" w:hanging="360"/>
      </w:pPr>
    </w:lvl>
    <w:lvl w:ilvl="8" w:tplc="CE820FBC">
      <w:start w:val="1"/>
      <w:numFmt w:val="lowerRoman"/>
      <w:lvlText w:val="%9."/>
      <w:lvlJc w:val="right"/>
      <w:pPr>
        <w:ind w:left="6480" w:hanging="180"/>
      </w:pPr>
    </w:lvl>
  </w:abstractNum>
  <w:abstractNum w:abstractNumId="16" w15:restartNumberingAfterBreak="0">
    <w:nsid w:val="6922136F"/>
    <w:multiLevelType w:val="hybridMultilevel"/>
    <w:tmpl w:val="6390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 w:numId="8">
    <w:abstractNumId w:val="7"/>
  </w:num>
  <w:num w:numId="9">
    <w:abstractNumId w:val="15"/>
  </w:num>
  <w:num w:numId="10">
    <w:abstractNumId w:val="11"/>
  </w:num>
  <w:num w:numId="11">
    <w:abstractNumId w:val="13"/>
  </w:num>
  <w:num w:numId="12">
    <w:abstractNumId w:val="12"/>
  </w:num>
  <w:num w:numId="13">
    <w:abstractNumId w:val="14"/>
  </w:num>
  <w:num w:numId="14">
    <w:abstractNumId w:val="8"/>
  </w:num>
  <w:num w:numId="15">
    <w:abstractNumId w:val="10"/>
  </w:num>
  <w:num w:numId="16">
    <w:abstractNumId w:val="16"/>
  </w:num>
  <w:num w:numId="1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DA"/>
    <w:rsid w:val="00020A45"/>
    <w:rsid w:val="00021E83"/>
    <w:rsid w:val="00034072"/>
    <w:rsid w:val="0004287C"/>
    <w:rsid w:val="00043573"/>
    <w:rsid w:val="000447D3"/>
    <w:rsid w:val="00051158"/>
    <w:rsid w:val="00070D20"/>
    <w:rsid w:val="00082D05"/>
    <w:rsid w:val="000B058D"/>
    <w:rsid w:val="000B0C62"/>
    <w:rsid w:val="000B1919"/>
    <w:rsid w:val="000C3C33"/>
    <w:rsid w:val="000D0E05"/>
    <w:rsid w:val="000D45F4"/>
    <w:rsid w:val="000E2E9C"/>
    <w:rsid w:val="00100F20"/>
    <w:rsid w:val="00104153"/>
    <w:rsid w:val="00104C5E"/>
    <w:rsid w:val="001066DD"/>
    <w:rsid w:val="00113076"/>
    <w:rsid w:val="001144FF"/>
    <w:rsid w:val="0012364F"/>
    <w:rsid w:val="0012666A"/>
    <w:rsid w:val="00130239"/>
    <w:rsid w:val="00135111"/>
    <w:rsid w:val="001444C9"/>
    <w:rsid w:val="00150A51"/>
    <w:rsid w:val="0015231C"/>
    <w:rsid w:val="00163D47"/>
    <w:rsid w:val="00187418"/>
    <w:rsid w:val="001A0F5B"/>
    <w:rsid w:val="001A5325"/>
    <w:rsid w:val="001B733D"/>
    <w:rsid w:val="001D16E9"/>
    <w:rsid w:val="001D2FFA"/>
    <w:rsid w:val="001D4B4E"/>
    <w:rsid w:val="001D5C81"/>
    <w:rsid w:val="001D61A0"/>
    <w:rsid w:val="001E2BC6"/>
    <w:rsid w:val="001E5847"/>
    <w:rsid w:val="00204B18"/>
    <w:rsid w:val="00225906"/>
    <w:rsid w:val="002260B5"/>
    <w:rsid w:val="00235E98"/>
    <w:rsid w:val="00273671"/>
    <w:rsid w:val="00282C68"/>
    <w:rsid w:val="002853DB"/>
    <w:rsid w:val="00292C80"/>
    <w:rsid w:val="00295479"/>
    <w:rsid w:val="00296B14"/>
    <w:rsid w:val="002A40F9"/>
    <w:rsid w:val="002B5CC8"/>
    <w:rsid w:val="002C11DE"/>
    <w:rsid w:val="002E2212"/>
    <w:rsid w:val="002E5DBD"/>
    <w:rsid w:val="002F0792"/>
    <w:rsid w:val="002F14F5"/>
    <w:rsid w:val="002F246D"/>
    <w:rsid w:val="00301EDF"/>
    <w:rsid w:val="00307072"/>
    <w:rsid w:val="00315F38"/>
    <w:rsid w:val="003232E4"/>
    <w:rsid w:val="003237B5"/>
    <w:rsid w:val="00324814"/>
    <w:rsid w:val="0034405B"/>
    <w:rsid w:val="00350A62"/>
    <w:rsid w:val="00353AE5"/>
    <w:rsid w:val="00355E43"/>
    <w:rsid w:val="003678A1"/>
    <w:rsid w:val="0038233C"/>
    <w:rsid w:val="003A3FF8"/>
    <w:rsid w:val="003C1436"/>
    <w:rsid w:val="003C3069"/>
    <w:rsid w:val="003C5E84"/>
    <w:rsid w:val="003E6685"/>
    <w:rsid w:val="003F1839"/>
    <w:rsid w:val="003F53E9"/>
    <w:rsid w:val="00403F45"/>
    <w:rsid w:val="00410F4F"/>
    <w:rsid w:val="004173C1"/>
    <w:rsid w:val="00422FD5"/>
    <w:rsid w:val="0043280D"/>
    <w:rsid w:val="00441079"/>
    <w:rsid w:val="00444712"/>
    <w:rsid w:val="004629FC"/>
    <w:rsid w:val="004678F5"/>
    <w:rsid w:val="004774B2"/>
    <w:rsid w:val="0047782D"/>
    <w:rsid w:val="004A0980"/>
    <w:rsid w:val="004A204F"/>
    <w:rsid w:val="004A4F06"/>
    <w:rsid w:val="004A52DA"/>
    <w:rsid w:val="004A73EA"/>
    <w:rsid w:val="004B4516"/>
    <w:rsid w:val="004D3023"/>
    <w:rsid w:val="004D7318"/>
    <w:rsid w:val="004E1FC7"/>
    <w:rsid w:val="004E54CC"/>
    <w:rsid w:val="004E7DCF"/>
    <w:rsid w:val="004F1D13"/>
    <w:rsid w:val="004F4BC0"/>
    <w:rsid w:val="004F5930"/>
    <w:rsid w:val="00515E04"/>
    <w:rsid w:val="00523B09"/>
    <w:rsid w:val="0053066E"/>
    <w:rsid w:val="00537B19"/>
    <w:rsid w:val="00537EFA"/>
    <w:rsid w:val="00551E81"/>
    <w:rsid w:val="00553B67"/>
    <w:rsid w:val="00560924"/>
    <w:rsid w:val="005640A4"/>
    <w:rsid w:val="00572104"/>
    <w:rsid w:val="005825EB"/>
    <w:rsid w:val="00586632"/>
    <w:rsid w:val="00587A29"/>
    <w:rsid w:val="00596DF0"/>
    <w:rsid w:val="005A1187"/>
    <w:rsid w:val="005A489F"/>
    <w:rsid w:val="005B3635"/>
    <w:rsid w:val="005B4E03"/>
    <w:rsid w:val="005B50D9"/>
    <w:rsid w:val="005C563D"/>
    <w:rsid w:val="005D1A23"/>
    <w:rsid w:val="005D20F7"/>
    <w:rsid w:val="005D6B74"/>
    <w:rsid w:val="005E3298"/>
    <w:rsid w:val="005E68F1"/>
    <w:rsid w:val="005F0498"/>
    <w:rsid w:val="005F26EC"/>
    <w:rsid w:val="005F300F"/>
    <w:rsid w:val="005F3F43"/>
    <w:rsid w:val="0060081E"/>
    <w:rsid w:val="0060120B"/>
    <w:rsid w:val="006116D3"/>
    <w:rsid w:val="00623192"/>
    <w:rsid w:val="0062359F"/>
    <w:rsid w:val="00641472"/>
    <w:rsid w:val="00647EF1"/>
    <w:rsid w:val="00652CB2"/>
    <w:rsid w:val="00664413"/>
    <w:rsid w:val="00671D63"/>
    <w:rsid w:val="006743FB"/>
    <w:rsid w:val="00680708"/>
    <w:rsid w:val="006836F8"/>
    <w:rsid w:val="006858D6"/>
    <w:rsid w:val="006900AA"/>
    <w:rsid w:val="00691194"/>
    <w:rsid w:val="0069617E"/>
    <w:rsid w:val="00696AAA"/>
    <w:rsid w:val="006A60CF"/>
    <w:rsid w:val="006D0331"/>
    <w:rsid w:val="006D1A34"/>
    <w:rsid w:val="006E68D9"/>
    <w:rsid w:val="006F0DD0"/>
    <w:rsid w:val="006F2933"/>
    <w:rsid w:val="00712AD6"/>
    <w:rsid w:val="007145C4"/>
    <w:rsid w:val="00722C06"/>
    <w:rsid w:val="00723B96"/>
    <w:rsid w:val="007256AB"/>
    <w:rsid w:val="00726BA2"/>
    <w:rsid w:val="00734349"/>
    <w:rsid w:val="00740DE0"/>
    <w:rsid w:val="00745E30"/>
    <w:rsid w:val="0074743A"/>
    <w:rsid w:val="007477C3"/>
    <w:rsid w:val="00750DC5"/>
    <w:rsid w:val="00760355"/>
    <w:rsid w:val="0076500A"/>
    <w:rsid w:val="00782EE8"/>
    <w:rsid w:val="007833EF"/>
    <w:rsid w:val="007929C2"/>
    <w:rsid w:val="00797612"/>
    <w:rsid w:val="007A4EB5"/>
    <w:rsid w:val="007A6E9E"/>
    <w:rsid w:val="007B1147"/>
    <w:rsid w:val="007C3ED9"/>
    <w:rsid w:val="007D5456"/>
    <w:rsid w:val="007F4D2F"/>
    <w:rsid w:val="00803409"/>
    <w:rsid w:val="008149BE"/>
    <w:rsid w:val="008150CE"/>
    <w:rsid w:val="0081721C"/>
    <w:rsid w:val="00820F9B"/>
    <w:rsid w:val="0084448C"/>
    <w:rsid w:val="00855437"/>
    <w:rsid w:val="00862036"/>
    <w:rsid w:val="008712DE"/>
    <w:rsid w:val="008925B4"/>
    <w:rsid w:val="008936B5"/>
    <w:rsid w:val="00895E40"/>
    <w:rsid w:val="00897D68"/>
    <w:rsid w:val="008B266C"/>
    <w:rsid w:val="008C2BCC"/>
    <w:rsid w:val="008C38D5"/>
    <w:rsid w:val="00910811"/>
    <w:rsid w:val="00917294"/>
    <w:rsid w:val="0092007F"/>
    <w:rsid w:val="009345A0"/>
    <w:rsid w:val="00943F1B"/>
    <w:rsid w:val="00962513"/>
    <w:rsid w:val="00965B6E"/>
    <w:rsid w:val="009710E4"/>
    <w:rsid w:val="00980DD3"/>
    <w:rsid w:val="0099107B"/>
    <w:rsid w:val="00992FDD"/>
    <w:rsid w:val="0099368C"/>
    <w:rsid w:val="009A2E9F"/>
    <w:rsid w:val="009A5314"/>
    <w:rsid w:val="009B463C"/>
    <w:rsid w:val="009B57CC"/>
    <w:rsid w:val="009C4A50"/>
    <w:rsid w:val="009D6531"/>
    <w:rsid w:val="009D7588"/>
    <w:rsid w:val="009E2BB8"/>
    <w:rsid w:val="009E4FE7"/>
    <w:rsid w:val="009F303C"/>
    <w:rsid w:val="009F6C8A"/>
    <w:rsid w:val="00A02C36"/>
    <w:rsid w:val="00A12732"/>
    <w:rsid w:val="00A15261"/>
    <w:rsid w:val="00A33542"/>
    <w:rsid w:val="00A44637"/>
    <w:rsid w:val="00A447A0"/>
    <w:rsid w:val="00A55A1F"/>
    <w:rsid w:val="00A61032"/>
    <w:rsid w:val="00A81566"/>
    <w:rsid w:val="00A85A0B"/>
    <w:rsid w:val="00A95C0D"/>
    <w:rsid w:val="00A960DE"/>
    <w:rsid w:val="00AA0376"/>
    <w:rsid w:val="00AA4727"/>
    <w:rsid w:val="00AA6CA8"/>
    <w:rsid w:val="00AA77BC"/>
    <w:rsid w:val="00AB3BDB"/>
    <w:rsid w:val="00AC4FF2"/>
    <w:rsid w:val="00AC6788"/>
    <w:rsid w:val="00AD18E9"/>
    <w:rsid w:val="00AE31B6"/>
    <w:rsid w:val="00AE4295"/>
    <w:rsid w:val="00AE48FC"/>
    <w:rsid w:val="00B13D8E"/>
    <w:rsid w:val="00B15BAA"/>
    <w:rsid w:val="00B1634D"/>
    <w:rsid w:val="00B16682"/>
    <w:rsid w:val="00B17269"/>
    <w:rsid w:val="00B204EB"/>
    <w:rsid w:val="00B2680E"/>
    <w:rsid w:val="00B26C87"/>
    <w:rsid w:val="00B3225A"/>
    <w:rsid w:val="00B3386E"/>
    <w:rsid w:val="00B56F46"/>
    <w:rsid w:val="00B621EC"/>
    <w:rsid w:val="00B74172"/>
    <w:rsid w:val="00B803DD"/>
    <w:rsid w:val="00B8168C"/>
    <w:rsid w:val="00B83948"/>
    <w:rsid w:val="00B900E1"/>
    <w:rsid w:val="00BA0BBC"/>
    <w:rsid w:val="00BB2D4A"/>
    <w:rsid w:val="00BB3251"/>
    <w:rsid w:val="00BB5DC6"/>
    <w:rsid w:val="00BC4D67"/>
    <w:rsid w:val="00BE0D29"/>
    <w:rsid w:val="00BE22D5"/>
    <w:rsid w:val="00C04055"/>
    <w:rsid w:val="00C117EE"/>
    <w:rsid w:val="00C13E70"/>
    <w:rsid w:val="00C20388"/>
    <w:rsid w:val="00C21EF6"/>
    <w:rsid w:val="00C2294C"/>
    <w:rsid w:val="00C24D14"/>
    <w:rsid w:val="00C44200"/>
    <w:rsid w:val="00C443B2"/>
    <w:rsid w:val="00C5255D"/>
    <w:rsid w:val="00C57A00"/>
    <w:rsid w:val="00C6141C"/>
    <w:rsid w:val="00C72EB3"/>
    <w:rsid w:val="00C76942"/>
    <w:rsid w:val="00C772FB"/>
    <w:rsid w:val="00C83806"/>
    <w:rsid w:val="00C85A1B"/>
    <w:rsid w:val="00C90CE6"/>
    <w:rsid w:val="00C90EFB"/>
    <w:rsid w:val="00C95ADE"/>
    <w:rsid w:val="00CA1582"/>
    <w:rsid w:val="00CB09B6"/>
    <w:rsid w:val="00CB6D37"/>
    <w:rsid w:val="00CD6E3A"/>
    <w:rsid w:val="00D014A6"/>
    <w:rsid w:val="00D03498"/>
    <w:rsid w:val="00D06384"/>
    <w:rsid w:val="00D14ED2"/>
    <w:rsid w:val="00D26AF8"/>
    <w:rsid w:val="00D502B7"/>
    <w:rsid w:val="00D5230E"/>
    <w:rsid w:val="00D544B9"/>
    <w:rsid w:val="00D70794"/>
    <w:rsid w:val="00D87C98"/>
    <w:rsid w:val="00D91310"/>
    <w:rsid w:val="00DA5AC1"/>
    <w:rsid w:val="00DA69FC"/>
    <w:rsid w:val="00DA7027"/>
    <w:rsid w:val="00DB03C9"/>
    <w:rsid w:val="00DB7BB7"/>
    <w:rsid w:val="00DC2EC5"/>
    <w:rsid w:val="00DC5A24"/>
    <w:rsid w:val="00DD0B15"/>
    <w:rsid w:val="00DD4F75"/>
    <w:rsid w:val="00E05FCA"/>
    <w:rsid w:val="00E11E16"/>
    <w:rsid w:val="00E1345A"/>
    <w:rsid w:val="00E15D40"/>
    <w:rsid w:val="00E200B7"/>
    <w:rsid w:val="00E52EE0"/>
    <w:rsid w:val="00E71747"/>
    <w:rsid w:val="00E76F84"/>
    <w:rsid w:val="00E81769"/>
    <w:rsid w:val="00E8224A"/>
    <w:rsid w:val="00E8304A"/>
    <w:rsid w:val="00E86322"/>
    <w:rsid w:val="00E96CA6"/>
    <w:rsid w:val="00E97424"/>
    <w:rsid w:val="00EA0EEA"/>
    <w:rsid w:val="00EA6EB8"/>
    <w:rsid w:val="00EB47E4"/>
    <w:rsid w:val="00EC3E4A"/>
    <w:rsid w:val="00ED5522"/>
    <w:rsid w:val="00ED7B5E"/>
    <w:rsid w:val="00EF41D5"/>
    <w:rsid w:val="00F01963"/>
    <w:rsid w:val="00F021F4"/>
    <w:rsid w:val="00F079C7"/>
    <w:rsid w:val="00F12B0A"/>
    <w:rsid w:val="00F16D00"/>
    <w:rsid w:val="00F2069F"/>
    <w:rsid w:val="00F41B4E"/>
    <w:rsid w:val="00F84353"/>
    <w:rsid w:val="00FB29D6"/>
    <w:rsid w:val="00FB3C20"/>
    <w:rsid w:val="00FD3B9F"/>
    <w:rsid w:val="00FF2B9D"/>
    <w:rsid w:val="00FF546B"/>
    <w:rsid w:val="0748FE49"/>
    <w:rsid w:val="0ACD2604"/>
    <w:rsid w:val="112D60E0"/>
    <w:rsid w:val="16EBEE1E"/>
    <w:rsid w:val="1E205FE4"/>
    <w:rsid w:val="2023FBA3"/>
    <w:rsid w:val="3075F6BB"/>
    <w:rsid w:val="321DEE2B"/>
    <w:rsid w:val="38C84430"/>
    <w:rsid w:val="3AE0FFBC"/>
    <w:rsid w:val="4881032A"/>
    <w:rsid w:val="5AE5D91B"/>
    <w:rsid w:val="5EEEB8FE"/>
    <w:rsid w:val="686F5CF8"/>
    <w:rsid w:val="74B4E4B8"/>
    <w:rsid w:val="75842083"/>
    <w:rsid w:val="7C714425"/>
    <w:rsid w:val="7D01F053"/>
    <w:rsid w:val="7E31E1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3839AB"/>
  <w15:docId w15:val="{708BE598-774D-4052-A8A6-3F590AEC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 Normal"/>
    <w:qFormat/>
    <w:rsid w:val="00A85A0B"/>
    <w:pPr>
      <w:spacing w:before="100" w:after="0"/>
    </w:pPr>
    <w:rPr>
      <w:rFonts w:ascii="Arial" w:hAnsi="Arial"/>
      <w:sz w:val="18"/>
    </w:rPr>
  </w:style>
  <w:style w:type="paragraph" w:styleId="Heading1">
    <w:name w:val="heading 1"/>
    <w:aliases w:val="D. Heading 1"/>
    <w:basedOn w:val="Normal"/>
    <w:next w:val="Normal"/>
    <w:link w:val="Heading1Char"/>
    <w:uiPriority w:val="9"/>
    <w:qFormat/>
    <w:rsid w:val="00273671"/>
    <w:pPr>
      <w:keepNext/>
      <w:keepLines/>
      <w:spacing w:before="200"/>
      <w:outlineLvl w:val="0"/>
    </w:pPr>
    <w:rPr>
      <w:rFonts w:eastAsiaTheme="majorEastAsia" w:cstheme="majorBidi"/>
      <w:bCs/>
      <w:color w:val="EB391C"/>
      <w:sz w:val="32"/>
      <w:szCs w:val="28"/>
    </w:rPr>
  </w:style>
  <w:style w:type="paragraph" w:styleId="Heading2">
    <w:name w:val="heading 2"/>
    <w:aliases w:val="D. Heading 2"/>
    <w:basedOn w:val="Normal"/>
    <w:next w:val="Normal"/>
    <w:link w:val="Heading2Char"/>
    <w:uiPriority w:val="9"/>
    <w:unhideWhenUsed/>
    <w:qFormat/>
    <w:rsid w:val="00273671"/>
    <w:pPr>
      <w:keepNext/>
      <w:keepLines/>
      <w:spacing w:before="200"/>
      <w:outlineLvl w:val="1"/>
    </w:pPr>
    <w:rPr>
      <w:rFonts w:eastAsiaTheme="majorEastAsia" w:cstheme="majorBidi"/>
      <w:bCs/>
      <w:caps/>
      <w:color w:val="000000" w:themeColor="text1"/>
      <w:sz w:val="28"/>
      <w:szCs w:val="26"/>
    </w:rPr>
  </w:style>
  <w:style w:type="paragraph" w:styleId="Heading3">
    <w:name w:val="heading 3"/>
    <w:aliases w:val="D. Heading 3"/>
    <w:basedOn w:val="Normal"/>
    <w:next w:val="Normal"/>
    <w:link w:val="Heading3Char"/>
    <w:uiPriority w:val="9"/>
    <w:unhideWhenUsed/>
    <w:qFormat/>
    <w:rsid w:val="00273671"/>
    <w:pPr>
      <w:keepNext/>
      <w:keepLines/>
      <w:spacing w:before="200"/>
      <w:outlineLvl w:val="2"/>
    </w:pPr>
    <w:rPr>
      <w:rFonts w:eastAsiaTheme="majorEastAsia" w:cstheme="majorBidi"/>
      <w:b/>
      <w:bCs/>
      <w:caps/>
      <w:color w:val="7F7F7F" w:themeColor="text1" w:themeTint="80"/>
      <w:sz w:val="24"/>
    </w:rPr>
  </w:style>
  <w:style w:type="paragraph" w:styleId="Heading4">
    <w:name w:val="heading 4"/>
    <w:aliases w:val="D. Heading 4"/>
    <w:basedOn w:val="Normal"/>
    <w:next w:val="Normal"/>
    <w:link w:val="Heading4Char"/>
    <w:uiPriority w:val="9"/>
    <w:unhideWhenUsed/>
    <w:qFormat/>
    <w:rsid w:val="00273671"/>
    <w:pPr>
      <w:keepNext/>
      <w:keepLines/>
      <w:spacing w:before="200"/>
      <w:outlineLvl w:val="3"/>
    </w:pPr>
    <w:rPr>
      <w:rFonts w:eastAsiaTheme="majorEastAsia" w:cstheme="majorBidi"/>
      <w:b/>
      <w:bCs/>
      <w:i/>
      <w:iCs/>
      <w:color w:val="EB391C"/>
      <w:sz w:val="20"/>
      <w:u w:val="single"/>
    </w:rPr>
  </w:style>
  <w:style w:type="paragraph" w:styleId="Heading5">
    <w:name w:val="heading 5"/>
    <w:aliases w:val="D. Heading 5"/>
    <w:basedOn w:val="Normal"/>
    <w:next w:val="Normal"/>
    <w:link w:val="Heading5Char"/>
    <w:uiPriority w:val="9"/>
    <w:unhideWhenUsed/>
    <w:qFormat/>
    <w:rsid w:val="00295479"/>
    <w:pPr>
      <w:keepNext/>
      <w:keepLines/>
      <w:spacing w:before="20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B67"/>
    <w:pPr>
      <w:tabs>
        <w:tab w:val="center" w:pos="4680"/>
        <w:tab w:val="right" w:pos="9360"/>
      </w:tabs>
      <w:spacing w:line="240" w:lineRule="auto"/>
    </w:pPr>
  </w:style>
  <w:style w:type="character" w:customStyle="1" w:styleId="HeaderChar">
    <w:name w:val="Header Char"/>
    <w:basedOn w:val="DefaultParagraphFont"/>
    <w:link w:val="Header"/>
    <w:uiPriority w:val="99"/>
    <w:rsid w:val="00553B67"/>
  </w:style>
  <w:style w:type="paragraph" w:styleId="Footer">
    <w:name w:val="footer"/>
    <w:aliases w:val="p.1 Footer"/>
    <w:basedOn w:val="Normal"/>
    <w:link w:val="FooterChar"/>
    <w:uiPriority w:val="99"/>
    <w:unhideWhenUsed/>
    <w:rsid w:val="00992FDD"/>
    <w:pPr>
      <w:tabs>
        <w:tab w:val="center" w:pos="4680"/>
        <w:tab w:val="right" w:pos="9360"/>
      </w:tabs>
      <w:spacing w:line="240" w:lineRule="auto"/>
    </w:pPr>
    <w:rPr>
      <w:sz w:val="12"/>
    </w:rPr>
  </w:style>
  <w:style w:type="character" w:customStyle="1" w:styleId="FooterChar">
    <w:name w:val="Footer Char"/>
    <w:aliases w:val="p.1 Footer Char"/>
    <w:basedOn w:val="DefaultParagraphFont"/>
    <w:link w:val="Footer"/>
    <w:uiPriority w:val="99"/>
    <w:rsid w:val="00992FDD"/>
    <w:rPr>
      <w:rFonts w:ascii="Arial" w:hAnsi="Arial"/>
      <w:sz w:val="12"/>
    </w:rPr>
  </w:style>
  <w:style w:type="paragraph" w:styleId="BalloonText">
    <w:name w:val="Balloon Text"/>
    <w:basedOn w:val="Normal"/>
    <w:link w:val="BalloonTextChar"/>
    <w:uiPriority w:val="99"/>
    <w:semiHidden/>
    <w:unhideWhenUsed/>
    <w:rsid w:val="00553B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B67"/>
    <w:rPr>
      <w:rFonts w:ascii="Tahoma" w:hAnsi="Tahoma" w:cs="Tahoma"/>
      <w:sz w:val="16"/>
      <w:szCs w:val="16"/>
    </w:rPr>
  </w:style>
  <w:style w:type="character" w:customStyle="1" w:styleId="Heading1Char">
    <w:name w:val="Heading 1 Char"/>
    <w:aliases w:val="D. Heading 1 Char"/>
    <w:basedOn w:val="DefaultParagraphFont"/>
    <w:link w:val="Heading1"/>
    <w:uiPriority w:val="9"/>
    <w:rsid w:val="00273671"/>
    <w:rPr>
      <w:rFonts w:ascii="Arial" w:eastAsiaTheme="majorEastAsia" w:hAnsi="Arial" w:cstheme="majorBidi"/>
      <w:bCs/>
      <w:color w:val="EB391C"/>
      <w:sz w:val="32"/>
      <w:szCs w:val="28"/>
    </w:rPr>
  </w:style>
  <w:style w:type="paragraph" w:styleId="Title">
    <w:name w:val="Title"/>
    <w:aliases w:val="A. Title"/>
    <w:basedOn w:val="Normal"/>
    <w:next w:val="Normal"/>
    <w:link w:val="TitleChar"/>
    <w:uiPriority w:val="10"/>
    <w:qFormat/>
    <w:rsid w:val="00E71747"/>
    <w:pPr>
      <w:spacing w:before="0" w:after="300"/>
      <w:contextualSpacing/>
    </w:pPr>
    <w:rPr>
      <w:rFonts w:eastAsiaTheme="majorEastAsia" w:cstheme="majorBidi"/>
      <w:b/>
      <w:color w:val="EB391C"/>
      <w:spacing w:val="5"/>
      <w:kern w:val="28"/>
      <w:sz w:val="60"/>
      <w:szCs w:val="52"/>
    </w:rPr>
  </w:style>
  <w:style w:type="character" w:customStyle="1" w:styleId="TitleChar">
    <w:name w:val="Title Char"/>
    <w:aliases w:val="A. Title Char"/>
    <w:basedOn w:val="DefaultParagraphFont"/>
    <w:link w:val="Title"/>
    <w:uiPriority w:val="10"/>
    <w:rsid w:val="00E71747"/>
    <w:rPr>
      <w:rFonts w:ascii="Arial" w:eastAsiaTheme="majorEastAsia" w:hAnsi="Arial" w:cstheme="majorBidi"/>
      <w:b/>
      <w:color w:val="EB391C"/>
      <w:spacing w:val="5"/>
      <w:kern w:val="28"/>
      <w:sz w:val="60"/>
      <w:szCs w:val="52"/>
    </w:rPr>
  </w:style>
  <w:style w:type="paragraph" w:styleId="Subtitle">
    <w:name w:val="Subtitle"/>
    <w:basedOn w:val="Normal"/>
    <w:next w:val="Normal"/>
    <w:link w:val="SubtitleChar"/>
    <w:uiPriority w:val="11"/>
    <w:rsid w:val="00553B67"/>
    <w:pPr>
      <w:numPr>
        <w:ilvl w:val="1"/>
      </w:numPr>
      <w:spacing w:after="360"/>
    </w:pPr>
    <w:rPr>
      <w:rFonts w:eastAsiaTheme="majorEastAsia" w:cstheme="majorBidi"/>
      <w:iCs/>
      <w:spacing w:val="15"/>
      <w:sz w:val="32"/>
      <w:szCs w:val="24"/>
    </w:rPr>
  </w:style>
  <w:style w:type="character" w:customStyle="1" w:styleId="SubtitleChar">
    <w:name w:val="Subtitle Char"/>
    <w:basedOn w:val="DefaultParagraphFont"/>
    <w:link w:val="Subtitle"/>
    <w:uiPriority w:val="11"/>
    <w:rsid w:val="00553B67"/>
    <w:rPr>
      <w:rFonts w:ascii="Arial" w:eastAsiaTheme="majorEastAsia" w:hAnsi="Arial" w:cstheme="majorBidi"/>
      <w:iCs/>
      <w:spacing w:val="15"/>
      <w:sz w:val="32"/>
      <w:szCs w:val="24"/>
    </w:rPr>
  </w:style>
  <w:style w:type="paragraph" w:customStyle="1" w:styleId="ACoverDate">
    <w:name w:val="A. Cover: Date"/>
    <w:basedOn w:val="Normal"/>
    <w:link w:val="ACoverDateChar"/>
    <w:qFormat/>
    <w:rsid w:val="00C772FB"/>
    <w:pPr>
      <w:spacing w:after="200"/>
      <w:contextualSpacing/>
    </w:pPr>
    <w:rPr>
      <w:rFonts w:cs="Arial"/>
      <w:sz w:val="22"/>
      <w:szCs w:val="20"/>
    </w:rPr>
  </w:style>
  <w:style w:type="paragraph" w:customStyle="1" w:styleId="BTableofContents">
    <w:name w:val="B. Table of Contents"/>
    <w:basedOn w:val="Normal"/>
    <w:link w:val="BTableofContentsChar"/>
    <w:qFormat/>
    <w:rsid w:val="00E71747"/>
    <w:pPr>
      <w:spacing w:before="0" w:after="100"/>
    </w:pPr>
    <w:rPr>
      <w:rFonts w:cs="Arial"/>
      <w:b/>
      <w:color w:val="EB391C"/>
      <w:sz w:val="28"/>
      <w:szCs w:val="36"/>
    </w:rPr>
  </w:style>
  <w:style w:type="character" w:customStyle="1" w:styleId="ACoverDateChar">
    <w:name w:val="A. Cover: Date Char"/>
    <w:basedOn w:val="DefaultParagraphFont"/>
    <w:link w:val="ACoverDate"/>
    <w:rsid w:val="00C772FB"/>
    <w:rPr>
      <w:rFonts w:ascii="Arial" w:hAnsi="Arial" w:cs="Arial"/>
      <w:szCs w:val="20"/>
    </w:rPr>
  </w:style>
  <w:style w:type="paragraph" w:customStyle="1" w:styleId="p2Footer">
    <w:name w:val="p.2 Footer"/>
    <w:basedOn w:val="Footer"/>
    <w:link w:val="p2FooterChar"/>
    <w:rsid w:val="00A12732"/>
    <w:rPr>
      <w:i/>
      <w:sz w:val="14"/>
      <w:szCs w:val="14"/>
    </w:rPr>
  </w:style>
  <w:style w:type="character" w:customStyle="1" w:styleId="BTableofContentsChar">
    <w:name w:val="B. Table of Contents Char"/>
    <w:basedOn w:val="DefaultParagraphFont"/>
    <w:link w:val="BTableofContents"/>
    <w:rsid w:val="00E71747"/>
    <w:rPr>
      <w:rFonts w:ascii="Arial" w:hAnsi="Arial" w:cs="Arial"/>
      <w:b/>
      <w:color w:val="EB391C"/>
      <w:sz w:val="28"/>
      <w:szCs w:val="36"/>
    </w:rPr>
  </w:style>
  <w:style w:type="character" w:customStyle="1" w:styleId="Heading2Char">
    <w:name w:val="Heading 2 Char"/>
    <w:aliases w:val="D. Heading 2 Char"/>
    <w:basedOn w:val="DefaultParagraphFont"/>
    <w:link w:val="Heading2"/>
    <w:uiPriority w:val="9"/>
    <w:rsid w:val="00273671"/>
    <w:rPr>
      <w:rFonts w:ascii="Arial" w:eastAsiaTheme="majorEastAsia" w:hAnsi="Arial" w:cstheme="majorBidi"/>
      <w:bCs/>
      <w:caps/>
      <w:color w:val="000000" w:themeColor="text1"/>
      <w:sz w:val="28"/>
      <w:szCs w:val="26"/>
    </w:rPr>
  </w:style>
  <w:style w:type="character" w:customStyle="1" w:styleId="p2FooterChar">
    <w:name w:val="p.2 Footer Char"/>
    <w:basedOn w:val="FooterChar"/>
    <w:link w:val="p2Footer"/>
    <w:rsid w:val="00A12732"/>
    <w:rPr>
      <w:rFonts w:ascii="Arial" w:hAnsi="Arial"/>
      <w:i/>
      <w:sz w:val="14"/>
      <w:szCs w:val="14"/>
    </w:rPr>
  </w:style>
  <w:style w:type="paragraph" w:styleId="ListParagraph">
    <w:name w:val="List Paragraph"/>
    <w:aliases w:val="PECI Bullets (Content)"/>
    <w:basedOn w:val="Normal"/>
    <w:link w:val="ListParagraphChar"/>
    <w:uiPriority w:val="34"/>
    <w:qFormat/>
    <w:rsid w:val="004F1D13"/>
    <w:pPr>
      <w:ind w:left="720"/>
      <w:contextualSpacing/>
    </w:pPr>
  </w:style>
  <w:style w:type="paragraph" w:styleId="ListBullet">
    <w:name w:val="List Bullet"/>
    <w:aliases w:val="C. List Bullet"/>
    <w:basedOn w:val="Normal"/>
    <w:uiPriority w:val="99"/>
    <w:unhideWhenUsed/>
    <w:qFormat/>
    <w:rsid w:val="00980DD3"/>
    <w:pPr>
      <w:numPr>
        <w:numId w:val="6"/>
      </w:numPr>
      <w:tabs>
        <w:tab w:val="left" w:pos="576"/>
      </w:tabs>
      <w:spacing w:before="0"/>
      <w:contextualSpacing/>
    </w:pPr>
  </w:style>
  <w:style w:type="paragraph" w:styleId="ListBullet2">
    <w:name w:val="List Bullet 2"/>
    <w:aliases w:val="C. List Bullet 2"/>
    <w:basedOn w:val="Normal"/>
    <w:uiPriority w:val="99"/>
    <w:unhideWhenUsed/>
    <w:qFormat/>
    <w:rsid w:val="00980DD3"/>
    <w:pPr>
      <w:numPr>
        <w:numId w:val="2"/>
      </w:numPr>
      <w:tabs>
        <w:tab w:val="left" w:pos="936"/>
      </w:tabs>
      <w:spacing w:before="0"/>
      <w:ind w:left="936" w:hanging="216"/>
      <w:contextualSpacing/>
    </w:pPr>
  </w:style>
  <w:style w:type="character" w:customStyle="1" w:styleId="Heading3Char">
    <w:name w:val="Heading 3 Char"/>
    <w:aliases w:val="D. Heading 3 Char"/>
    <w:basedOn w:val="DefaultParagraphFont"/>
    <w:link w:val="Heading3"/>
    <w:uiPriority w:val="9"/>
    <w:rsid w:val="00273671"/>
    <w:rPr>
      <w:rFonts w:ascii="Arial" w:eastAsiaTheme="majorEastAsia" w:hAnsi="Arial" w:cstheme="majorBidi"/>
      <w:b/>
      <w:bCs/>
      <w:caps/>
      <w:color w:val="7F7F7F" w:themeColor="text1" w:themeTint="80"/>
      <w:sz w:val="24"/>
    </w:rPr>
  </w:style>
  <w:style w:type="character" w:customStyle="1" w:styleId="Heading4Char">
    <w:name w:val="Heading 4 Char"/>
    <w:aliases w:val="D. Heading 4 Char"/>
    <w:basedOn w:val="DefaultParagraphFont"/>
    <w:link w:val="Heading4"/>
    <w:uiPriority w:val="9"/>
    <w:rsid w:val="00273671"/>
    <w:rPr>
      <w:rFonts w:ascii="Arial" w:eastAsiaTheme="majorEastAsia" w:hAnsi="Arial" w:cstheme="majorBidi"/>
      <w:b/>
      <w:bCs/>
      <w:i/>
      <w:iCs/>
      <w:color w:val="EB391C"/>
      <w:sz w:val="20"/>
      <w:u w:val="single"/>
    </w:rPr>
  </w:style>
  <w:style w:type="paragraph" w:styleId="ListNumber">
    <w:name w:val="List Number"/>
    <w:aliases w:val="C. List Number"/>
    <w:basedOn w:val="Normal"/>
    <w:uiPriority w:val="99"/>
    <w:unhideWhenUsed/>
    <w:qFormat/>
    <w:rsid w:val="00A85A0B"/>
    <w:pPr>
      <w:numPr>
        <w:numId w:val="4"/>
      </w:numPr>
      <w:spacing w:before="0"/>
      <w:ind w:left="576" w:hanging="216"/>
      <w:contextualSpacing/>
    </w:pPr>
    <w:rPr>
      <w:lang w:val="en"/>
    </w:rPr>
  </w:style>
  <w:style w:type="paragraph" w:styleId="ListNumber2">
    <w:name w:val="List Number 2"/>
    <w:aliases w:val="C. List Number 2"/>
    <w:basedOn w:val="Normal"/>
    <w:uiPriority w:val="99"/>
    <w:unhideWhenUsed/>
    <w:qFormat/>
    <w:rsid w:val="00A85A0B"/>
    <w:pPr>
      <w:numPr>
        <w:numId w:val="5"/>
      </w:numPr>
      <w:tabs>
        <w:tab w:val="left" w:pos="936"/>
      </w:tabs>
      <w:spacing w:before="0"/>
      <w:contextualSpacing/>
    </w:pPr>
  </w:style>
  <w:style w:type="character" w:customStyle="1" w:styleId="Heading5Char">
    <w:name w:val="Heading 5 Char"/>
    <w:aliases w:val="D. Heading 5 Char"/>
    <w:basedOn w:val="DefaultParagraphFont"/>
    <w:link w:val="Heading5"/>
    <w:uiPriority w:val="9"/>
    <w:rsid w:val="00295479"/>
    <w:rPr>
      <w:rFonts w:ascii="Arial" w:eastAsiaTheme="majorEastAsia" w:hAnsi="Arial" w:cstheme="majorBidi"/>
      <w:b/>
      <w:i/>
      <w:color w:val="000000" w:themeColor="text1"/>
      <w:sz w:val="18"/>
    </w:rPr>
  </w:style>
  <w:style w:type="paragraph" w:styleId="TOCHeading">
    <w:name w:val="TOC Heading"/>
    <w:basedOn w:val="Heading1"/>
    <w:next w:val="Normal"/>
    <w:uiPriority w:val="39"/>
    <w:unhideWhenUsed/>
    <w:qFormat/>
    <w:rsid w:val="00E71747"/>
    <w:pPr>
      <w:spacing w:before="480"/>
      <w:outlineLvl w:val="9"/>
    </w:pPr>
    <w:rPr>
      <w:rFonts w:asciiTheme="majorHAnsi" w:hAnsiTheme="majorHAnsi"/>
      <w:sz w:val="28"/>
      <w:lang w:eastAsia="ja-JP"/>
    </w:rPr>
  </w:style>
  <w:style w:type="paragraph" w:styleId="TOC2">
    <w:name w:val="toc 2"/>
    <w:basedOn w:val="Normal"/>
    <w:next w:val="Normal"/>
    <w:autoRedefine/>
    <w:uiPriority w:val="39"/>
    <w:unhideWhenUsed/>
    <w:rsid w:val="00D03498"/>
    <w:pPr>
      <w:tabs>
        <w:tab w:val="left" w:leader="dot" w:pos="8640"/>
      </w:tabs>
      <w:spacing w:before="0"/>
      <w:ind w:left="187"/>
    </w:pPr>
    <w:rPr>
      <w:rFonts w:asciiTheme="minorHAnsi" w:hAnsiTheme="minorHAnsi" w:cstheme="minorHAnsi"/>
      <w:color w:val="000000" w:themeColor="text1"/>
      <w:sz w:val="22"/>
    </w:rPr>
  </w:style>
  <w:style w:type="paragraph" w:styleId="TOC3">
    <w:name w:val="toc 3"/>
    <w:basedOn w:val="Normal"/>
    <w:next w:val="Normal"/>
    <w:autoRedefine/>
    <w:uiPriority w:val="39"/>
    <w:unhideWhenUsed/>
    <w:rsid w:val="0081721C"/>
    <w:pPr>
      <w:tabs>
        <w:tab w:val="left" w:leader="dot" w:pos="8640"/>
      </w:tabs>
      <w:spacing w:before="0"/>
      <w:ind w:left="187"/>
    </w:pPr>
    <w:rPr>
      <w:rFonts w:asciiTheme="minorHAnsi" w:hAnsiTheme="minorHAnsi" w:cstheme="minorHAnsi"/>
      <w:sz w:val="22"/>
    </w:rPr>
  </w:style>
  <w:style w:type="character" w:styleId="Hyperlink">
    <w:name w:val="Hyperlink"/>
    <w:basedOn w:val="DefaultParagraphFont"/>
    <w:uiPriority w:val="99"/>
    <w:unhideWhenUsed/>
    <w:rsid w:val="001A5325"/>
    <w:rPr>
      <w:color w:val="007299" w:themeColor="hyperlink"/>
      <w:u w:val="single"/>
    </w:rPr>
  </w:style>
  <w:style w:type="paragraph" w:styleId="TOC1">
    <w:name w:val="toc 1"/>
    <w:basedOn w:val="Normal"/>
    <w:next w:val="Normal"/>
    <w:autoRedefine/>
    <w:uiPriority w:val="39"/>
    <w:unhideWhenUsed/>
    <w:rsid w:val="0081721C"/>
    <w:pPr>
      <w:tabs>
        <w:tab w:val="left" w:leader="dot" w:pos="8640"/>
      </w:tabs>
      <w:spacing w:before="120"/>
    </w:pPr>
    <w:rPr>
      <w:rFonts w:asciiTheme="minorHAnsi" w:hAnsiTheme="minorHAnsi" w:cstheme="minorHAnsi"/>
      <w:b/>
      <w:color w:val="054B56" w:themeColor="text2"/>
      <w:sz w:val="24"/>
      <w:szCs w:val="24"/>
    </w:rPr>
  </w:style>
  <w:style w:type="paragraph" w:styleId="ListBullet3">
    <w:name w:val="List Bullet 3"/>
    <w:aliases w:val="C. List Bullet 3"/>
    <w:basedOn w:val="Normal"/>
    <w:uiPriority w:val="99"/>
    <w:unhideWhenUsed/>
    <w:qFormat/>
    <w:rsid w:val="00980DD3"/>
    <w:pPr>
      <w:numPr>
        <w:numId w:val="3"/>
      </w:numPr>
      <w:tabs>
        <w:tab w:val="left" w:pos="1296"/>
      </w:tabs>
      <w:spacing w:before="0"/>
      <w:ind w:left="1296" w:hanging="216"/>
      <w:contextualSpacing/>
    </w:pPr>
  </w:style>
  <w:style w:type="paragraph" w:styleId="Quote">
    <w:name w:val="Quote"/>
    <w:basedOn w:val="Normal"/>
    <w:next w:val="Normal"/>
    <w:link w:val="QuoteChar"/>
    <w:uiPriority w:val="29"/>
    <w:rsid w:val="00DA69FC"/>
    <w:pPr>
      <w:pBdr>
        <w:top w:val="single" w:sz="12" w:space="10" w:color="08ACB9"/>
        <w:bottom w:val="single" w:sz="12" w:space="8" w:color="08ACB9"/>
      </w:pBdr>
    </w:pPr>
    <w:rPr>
      <w:iCs/>
      <w:color w:val="ACA095"/>
      <w:sz w:val="36"/>
    </w:rPr>
  </w:style>
  <w:style w:type="character" w:customStyle="1" w:styleId="QuoteChar">
    <w:name w:val="Quote Char"/>
    <w:basedOn w:val="DefaultParagraphFont"/>
    <w:link w:val="Quote"/>
    <w:uiPriority w:val="29"/>
    <w:rsid w:val="00DA69FC"/>
    <w:rPr>
      <w:rFonts w:ascii="Arial" w:hAnsi="Arial"/>
      <w:iCs/>
      <w:color w:val="ACA095"/>
      <w:sz w:val="36"/>
    </w:rPr>
  </w:style>
  <w:style w:type="paragraph" w:styleId="ListContinue">
    <w:name w:val="List Continue"/>
    <w:basedOn w:val="Normal"/>
    <w:uiPriority w:val="99"/>
    <w:unhideWhenUsed/>
    <w:rsid w:val="00CB09B6"/>
    <w:pPr>
      <w:spacing w:after="120"/>
      <w:ind w:left="360"/>
      <w:contextualSpacing/>
    </w:pPr>
  </w:style>
  <w:style w:type="paragraph" w:styleId="ListContinue2">
    <w:name w:val="List Continue 2"/>
    <w:basedOn w:val="Normal"/>
    <w:uiPriority w:val="99"/>
    <w:unhideWhenUsed/>
    <w:rsid w:val="00CB09B6"/>
    <w:pPr>
      <w:spacing w:after="120"/>
      <w:ind w:left="720"/>
      <w:contextualSpacing/>
    </w:pPr>
  </w:style>
  <w:style w:type="paragraph" w:styleId="List">
    <w:name w:val="List"/>
    <w:basedOn w:val="Normal"/>
    <w:uiPriority w:val="99"/>
    <w:unhideWhenUsed/>
    <w:rsid w:val="00CB09B6"/>
    <w:pPr>
      <w:ind w:left="360" w:hanging="360"/>
      <w:contextualSpacing/>
    </w:pPr>
  </w:style>
  <w:style w:type="paragraph" w:styleId="List2">
    <w:name w:val="List 2"/>
    <w:basedOn w:val="Normal"/>
    <w:uiPriority w:val="99"/>
    <w:unhideWhenUsed/>
    <w:rsid w:val="00CB09B6"/>
    <w:pPr>
      <w:ind w:left="720" w:hanging="360"/>
      <w:contextualSpacing/>
    </w:pPr>
  </w:style>
  <w:style w:type="table" w:styleId="TableGrid">
    <w:name w:val="Table Grid"/>
    <w:basedOn w:val="TableNormal"/>
    <w:uiPriority w:val="59"/>
    <w:rsid w:val="00740DE0"/>
    <w:pPr>
      <w:spacing w:after="0" w:line="240" w:lineRule="auto"/>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Caption">
    <w:name w:val="caption"/>
    <w:aliases w:val="C. Caption"/>
    <w:basedOn w:val="Normal"/>
    <w:next w:val="Normal"/>
    <w:link w:val="CaptionChar"/>
    <w:uiPriority w:val="35"/>
    <w:unhideWhenUsed/>
    <w:qFormat/>
    <w:rsid w:val="00DB7BB7"/>
    <w:pPr>
      <w:keepNext/>
      <w:framePr w:hSpace="72" w:vSpace="72" w:wrap="notBeside" w:vAnchor="text" w:hAnchor="margin" w:y="2607"/>
      <w:pBdr>
        <w:top w:val="single" w:sz="4" w:space="4" w:color="auto"/>
      </w:pBdr>
      <w:spacing w:after="60"/>
    </w:pPr>
    <w:rPr>
      <w:b/>
      <w:bCs/>
      <w:color w:val="404040"/>
      <w:sz w:val="16"/>
      <w:szCs w:val="18"/>
    </w:rPr>
  </w:style>
  <w:style w:type="paragraph" w:customStyle="1" w:styleId="TableTitleRow">
    <w:name w:val="Table Title Row"/>
    <w:link w:val="TableTitleRowChar"/>
    <w:rsid w:val="00C5255D"/>
    <w:pPr>
      <w:spacing w:after="0"/>
      <w:jc w:val="center"/>
    </w:pPr>
    <w:rPr>
      <w:rFonts w:ascii="Arial" w:hAnsi="Arial"/>
      <w:b/>
      <w:bCs/>
      <w:color w:val="FFFFFF" w:themeColor="background1"/>
      <w:sz w:val="16"/>
      <w:szCs w:val="16"/>
    </w:rPr>
  </w:style>
  <w:style w:type="paragraph" w:customStyle="1" w:styleId="CTableContent">
    <w:name w:val="C. Table Content"/>
    <w:link w:val="CTableContentChar"/>
    <w:qFormat/>
    <w:rsid w:val="0074743A"/>
    <w:pPr>
      <w:framePr w:hSpace="180" w:wrap="around" w:vAnchor="page" w:hAnchor="page" w:x="1153" w:y="6445"/>
      <w:spacing w:after="0" w:line="240" w:lineRule="auto"/>
    </w:pPr>
    <w:rPr>
      <w:rFonts w:ascii="Arial" w:hAnsi="Arial"/>
      <w:bCs/>
      <w:sz w:val="18"/>
      <w:szCs w:val="18"/>
    </w:rPr>
  </w:style>
  <w:style w:type="character" w:customStyle="1" w:styleId="CaptionChar">
    <w:name w:val="Caption Char"/>
    <w:aliases w:val="C. Caption Char"/>
    <w:basedOn w:val="DefaultParagraphFont"/>
    <w:link w:val="Caption"/>
    <w:uiPriority w:val="35"/>
    <w:rsid w:val="00DB7BB7"/>
    <w:rPr>
      <w:rFonts w:ascii="Arial" w:hAnsi="Arial"/>
      <w:b/>
      <w:bCs/>
      <w:color w:val="404040"/>
      <w:sz w:val="16"/>
      <w:szCs w:val="18"/>
    </w:rPr>
  </w:style>
  <w:style w:type="character" w:customStyle="1" w:styleId="TableTitleRowChar">
    <w:name w:val="Table Title Row Char"/>
    <w:basedOn w:val="CaptionChar"/>
    <w:link w:val="TableTitleRow"/>
    <w:rsid w:val="00C5255D"/>
    <w:rPr>
      <w:rFonts w:ascii="Arial" w:hAnsi="Arial"/>
      <w:b/>
      <w:bCs/>
      <w:color w:val="FFFFFF" w:themeColor="background1"/>
      <w:sz w:val="16"/>
      <w:szCs w:val="16"/>
    </w:rPr>
  </w:style>
  <w:style w:type="paragraph" w:customStyle="1" w:styleId="CFootnote">
    <w:name w:val="C. Footnote"/>
    <w:basedOn w:val="Normal"/>
    <w:link w:val="CFootnoteChar"/>
    <w:qFormat/>
    <w:rsid w:val="00A85A0B"/>
    <w:pPr>
      <w:spacing w:before="60" w:after="200"/>
    </w:pPr>
    <w:rPr>
      <w:i/>
      <w:sz w:val="14"/>
      <w:szCs w:val="14"/>
    </w:rPr>
  </w:style>
  <w:style w:type="character" w:customStyle="1" w:styleId="CTableContentChar">
    <w:name w:val="C. Table Content Char"/>
    <w:basedOn w:val="CaptionChar"/>
    <w:link w:val="CTableContent"/>
    <w:rsid w:val="0074743A"/>
    <w:rPr>
      <w:rFonts w:ascii="Arial" w:hAnsi="Arial"/>
      <w:b w:val="0"/>
      <w:bCs/>
      <w:color w:val="404040"/>
      <w:sz w:val="18"/>
      <w:szCs w:val="18"/>
    </w:rPr>
  </w:style>
  <w:style w:type="character" w:customStyle="1" w:styleId="CFootnoteChar">
    <w:name w:val="C. Footnote Char"/>
    <w:basedOn w:val="DefaultParagraphFont"/>
    <w:link w:val="CFootnote"/>
    <w:rsid w:val="00A85A0B"/>
    <w:rPr>
      <w:rFonts w:ascii="Arial" w:hAnsi="Arial"/>
      <w:i/>
      <w:sz w:val="14"/>
      <w:szCs w:val="14"/>
    </w:rPr>
  </w:style>
  <w:style w:type="paragraph" w:customStyle="1" w:styleId="EPageHeader">
    <w:name w:val="E. Page Header"/>
    <w:link w:val="EPageHeaderChar"/>
    <w:qFormat/>
    <w:rsid w:val="00225906"/>
    <w:pPr>
      <w:tabs>
        <w:tab w:val="right" w:pos="10080"/>
      </w:tabs>
      <w:spacing w:after="0" w:line="240" w:lineRule="auto"/>
    </w:pPr>
    <w:rPr>
      <w:rFonts w:ascii="Arial" w:hAnsi="Arial"/>
      <w:color w:val="054B56"/>
      <w:sz w:val="16"/>
      <w:szCs w:val="16"/>
      <w:lang w:eastAsia="ja-JP"/>
    </w:rPr>
  </w:style>
  <w:style w:type="character" w:customStyle="1" w:styleId="EPageHeaderChar">
    <w:name w:val="E. Page Header Char"/>
    <w:basedOn w:val="DefaultParagraphFont"/>
    <w:link w:val="EPageHeader"/>
    <w:rsid w:val="00225906"/>
    <w:rPr>
      <w:rFonts w:ascii="Arial" w:hAnsi="Arial"/>
      <w:color w:val="054B56"/>
      <w:sz w:val="16"/>
      <w:szCs w:val="16"/>
      <w:lang w:eastAsia="ja-JP"/>
    </w:rPr>
  </w:style>
  <w:style w:type="table" w:customStyle="1" w:styleId="CLEAResultTable">
    <w:name w:val="CLEAResult Table"/>
    <w:basedOn w:val="TableGrid1"/>
    <w:uiPriority w:val="99"/>
    <w:rsid w:val="00E05FCA"/>
    <w:pPr>
      <w:spacing w:after="0" w:line="240" w:lineRule="auto"/>
    </w:pPr>
    <w:rPr>
      <w:rFonts w:ascii="Arial" w:hAnsi="Arial"/>
      <w:sz w:val="20"/>
      <w:szCs w:val="16"/>
      <w:lang w:eastAsia="ja-JP"/>
    </w:rPr>
    <w:tblPr>
      <w:tblStyleRowBandSize w:val="1"/>
      <w:tblStyleColBandSize w:val="1"/>
      <w:tblBorders>
        <w:top w:val="single" w:sz="4" w:space="0" w:color="92B7BC"/>
        <w:left w:val="single" w:sz="4" w:space="0" w:color="92B7BC"/>
        <w:bottom w:val="single" w:sz="4" w:space="0" w:color="92B7BC"/>
        <w:right w:val="single" w:sz="4" w:space="0" w:color="92B7BC"/>
        <w:insideH w:val="single" w:sz="4" w:space="0" w:color="92B7BC"/>
        <w:insideV w:val="single" w:sz="4" w:space="0" w:color="92B7BC"/>
      </w:tblBorders>
      <w:tblCellMar>
        <w:top w:w="29" w:type="dxa"/>
        <w:left w:w="72" w:type="dxa"/>
        <w:bottom w:w="29" w:type="dxa"/>
        <w:right w:w="72" w:type="dxa"/>
      </w:tblCellMar>
    </w:tblPr>
    <w:tcPr>
      <w:shd w:val="clear" w:color="auto" w:fill="auto"/>
      <w:vAlign w:val="center"/>
    </w:tcPr>
    <w:tblStylePr w:type="firstRow">
      <w:pPr>
        <w:jc w:val="left"/>
      </w:pPr>
      <w:rPr>
        <w:b/>
        <w:color w:val="FFFFFF" w:themeColor="background1"/>
        <w:sz w:val="20"/>
      </w:rPr>
      <w:tblPr/>
      <w:tcPr>
        <w:shd w:val="clear" w:color="auto" w:fill="007299"/>
      </w:tcPr>
    </w:tblStylePr>
    <w:tblStylePr w:type="lastRow">
      <w:pPr>
        <w:jc w:val="center"/>
      </w:pPr>
      <w:rPr>
        <w:b/>
        <w:i w:val="0"/>
        <w:iCs/>
        <w:color w:val="000000" w:themeColor="text1"/>
      </w:rPr>
      <w:tblPr/>
      <w:tcPr>
        <w:shd w:val="clear" w:color="auto" w:fill="EFE9E5"/>
      </w:tcPr>
    </w:tblStylePr>
    <w:tblStylePr w:type="firstCol">
      <w:pPr>
        <w:jc w:val="center"/>
      </w:pPr>
      <w:tblPr/>
      <w:tcPr>
        <w:shd w:val="clear" w:color="auto" w:fill="F4CE00"/>
      </w:tcPr>
    </w:tblStylePr>
    <w:tblStylePr w:type="lastCol">
      <w:rPr>
        <w:b/>
        <w:i w:val="0"/>
        <w:iCs/>
      </w:rPr>
      <w:tblPr/>
      <w:tcPr>
        <w:shd w:val="clear" w:color="auto" w:fill="EFE9E5"/>
      </w:tcPr>
    </w:tblStylePr>
  </w:style>
  <w:style w:type="table" w:styleId="LightShading">
    <w:name w:val="Light Shading"/>
    <w:basedOn w:val="TableNormal"/>
    <w:uiPriority w:val="60"/>
    <w:rsid w:val="00070D2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9F6C8A"/>
    <w:pPr>
      <w:spacing w:after="0" w:line="240" w:lineRule="auto"/>
    </w:pPr>
    <w:tblPr>
      <w:tblStyleRowBandSize w:val="1"/>
      <w:tblStyleColBandSize w:val="1"/>
      <w:tblBorders>
        <w:top w:val="single" w:sz="8" w:space="0" w:color="054B56" w:themeColor="accent1"/>
        <w:left w:val="single" w:sz="8" w:space="0" w:color="054B56" w:themeColor="accent1"/>
        <w:bottom w:val="single" w:sz="8" w:space="0" w:color="054B56" w:themeColor="accent1"/>
        <w:right w:val="single" w:sz="8" w:space="0" w:color="054B56" w:themeColor="accent1"/>
      </w:tblBorders>
    </w:tblPr>
    <w:tblStylePr w:type="firstRow">
      <w:pPr>
        <w:spacing w:before="0" w:after="0" w:line="240" w:lineRule="auto"/>
      </w:pPr>
      <w:rPr>
        <w:b/>
        <w:bCs/>
        <w:color w:val="FFFFFF" w:themeColor="background1"/>
      </w:rPr>
      <w:tblPr/>
      <w:tcPr>
        <w:shd w:val="clear" w:color="auto" w:fill="054B56" w:themeFill="accent1"/>
      </w:tcPr>
    </w:tblStylePr>
    <w:tblStylePr w:type="lastRow">
      <w:pPr>
        <w:spacing w:before="0" w:after="0" w:line="240" w:lineRule="auto"/>
      </w:pPr>
      <w:rPr>
        <w:b/>
        <w:bCs/>
      </w:rPr>
      <w:tblPr/>
      <w:tcPr>
        <w:tcBorders>
          <w:top w:val="double" w:sz="6" w:space="0" w:color="054B56" w:themeColor="accent1"/>
          <w:left w:val="single" w:sz="8" w:space="0" w:color="054B56" w:themeColor="accent1"/>
          <w:bottom w:val="single" w:sz="8" w:space="0" w:color="054B56" w:themeColor="accent1"/>
          <w:right w:val="single" w:sz="8" w:space="0" w:color="054B56" w:themeColor="accent1"/>
        </w:tcBorders>
      </w:tcPr>
    </w:tblStylePr>
    <w:tblStylePr w:type="firstCol">
      <w:rPr>
        <w:b/>
        <w:bCs/>
      </w:rPr>
    </w:tblStylePr>
    <w:tblStylePr w:type="lastCol">
      <w:rPr>
        <w:b/>
        <w:bCs/>
      </w:rPr>
    </w:tblStylePr>
    <w:tblStylePr w:type="band1Vert">
      <w:tblPr/>
      <w:tcPr>
        <w:tcBorders>
          <w:top w:val="single" w:sz="8" w:space="0" w:color="054B56" w:themeColor="accent1"/>
          <w:left w:val="single" w:sz="8" w:space="0" w:color="054B56" w:themeColor="accent1"/>
          <w:bottom w:val="single" w:sz="8" w:space="0" w:color="054B56" w:themeColor="accent1"/>
          <w:right w:val="single" w:sz="8" w:space="0" w:color="054B56" w:themeColor="accent1"/>
        </w:tcBorders>
      </w:tcPr>
    </w:tblStylePr>
    <w:tblStylePr w:type="band1Horz">
      <w:tblPr/>
      <w:tcPr>
        <w:tcBorders>
          <w:top w:val="single" w:sz="8" w:space="0" w:color="054B56" w:themeColor="accent1"/>
          <w:left w:val="single" w:sz="8" w:space="0" w:color="054B56" w:themeColor="accent1"/>
          <w:bottom w:val="single" w:sz="8" w:space="0" w:color="054B56" w:themeColor="accent1"/>
          <w:right w:val="single" w:sz="8" w:space="0" w:color="054B56" w:themeColor="accent1"/>
        </w:tcBorders>
      </w:tcPr>
    </w:tblStylePr>
  </w:style>
  <w:style w:type="paragraph" w:customStyle="1" w:styleId="Table">
    <w:name w:val="Table"/>
    <w:basedOn w:val="Normal"/>
    <w:rsid w:val="00100F20"/>
    <w:pPr>
      <w:spacing w:line="240" w:lineRule="auto"/>
      <w:jc w:val="center"/>
    </w:pPr>
    <w:rPr>
      <w:sz w:val="16"/>
      <w:lang w:val="en"/>
    </w:rPr>
  </w:style>
  <w:style w:type="table" w:styleId="TableGrid1">
    <w:name w:val="Table Grid 1"/>
    <w:basedOn w:val="TableNormal"/>
    <w:uiPriority w:val="99"/>
    <w:semiHidden/>
    <w:unhideWhenUsed/>
    <w:rsid w:val="00740DE0"/>
    <w:pPr>
      <w:spacing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paragraph" w:customStyle="1" w:styleId="TaglineFooter">
    <w:name w:val="Tagline Footer"/>
    <w:rsid w:val="0053066E"/>
    <w:pPr>
      <w:spacing w:after="0"/>
      <w:jc w:val="right"/>
    </w:pPr>
    <w:rPr>
      <w:rFonts w:ascii="Arial" w:hAnsi="Arial"/>
      <w:color w:val="F50000"/>
      <w:sz w:val="16"/>
      <w:szCs w:val="16"/>
    </w:rPr>
  </w:style>
  <w:style w:type="paragraph" w:customStyle="1" w:styleId="CParagraphBullets">
    <w:name w:val="C. Paragraph Bullets"/>
    <w:basedOn w:val="ListBullet"/>
    <w:qFormat/>
    <w:rsid w:val="001D2FFA"/>
    <w:pPr>
      <w:numPr>
        <w:numId w:val="1"/>
      </w:numPr>
      <w:spacing w:before="100"/>
    </w:pPr>
  </w:style>
  <w:style w:type="paragraph" w:customStyle="1" w:styleId="1-CoverReportDetailsTitle">
    <w:name w:val="1-Cover: Report Details Title"/>
    <w:link w:val="1-CoverReportDetailsTitleChar"/>
    <w:rsid w:val="00B26C87"/>
    <w:pPr>
      <w:spacing w:before="200" w:after="300"/>
      <w:contextualSpacing/>
    </w:pPr>
    <w:rPr>
      <w:rFonts w:ascii="Arial" w:hAnsi="Arial" w:cs="Arial"/>
      <w:b/>
      <w:color w:val="007299"/>
      <w:szCs w:val="20"/>
    </w:rPr>
  </w:style>
  <w:style w:type="character" w:customStyle="1" w:styleId="1-CoverReportDetailsTitleChar">
    <w:name w:val="1-Cover: Report Details Title Char"/>
    <w:basedOn w:val="ACoverDateChar"/>
    <w:link w:val="1-CoverReportDetailsTitle"/>
    <w:rsid w:val="00B26C87"/>
    <w:rPr>
      <w:rFonts w:ascii="Arial" w:hAnsi="Arial" w:cs="Arial"/>
      <w:b/>
      <w:color w:val="007299"/>
      <w:szCs w:val="20"/>
    </w:rPr>
  </w:style>
  <w:style w:type="character" w:customStyle="1" w:styleId="ACoverDetailsChar">
    <w:name w:val="A. Cover: Details Char"/>
    <w:basedOn w:val="DefaultParagraphFont"/>
    <w:link w:val="ACoverDetails"/>
    <w:uiPriority w:val="1"/>
    <w:qFormat/>
    <w:rsid w:val="00B26C87"/>
  </w:style>
  <w:style w:type="paragraph" w:customStyle="1" w:styleId="ACoverDetails">
    <w:name w:val="A. Cover: Details"/>
    <w:basedOn w:val="Normal"/>
    <w:link w:val="ACoverDetailsChar"/>
    <w:uiPriority w:val="1"/>
    <w:qFormat/>
    <w:rsid w:val="00B26C87"/>
    <w:rPr>
      <w:rFonts w:asciiTheme="minorHAnsi" w:hAnsiTheme="minorHAnsi"/>
      <w:sz w:val="22"/>
    </w:rPr>
  </w:style>
  <w:style w:type="paragraph" w:styleId="TOC4">
    <w:name w:val="toc 4"/>
    <w:basedOn w:val="Normal"/>
    <w:next w:val="Normal"/>
    <w:autoRedefine/>
    <w:uiPriority w:val="39"/>
    <w:unhideWhenUsed/>
    <w:rsid w:val="0081721C"/>
    <w:pPr>
      <w:tabs>
        <w:tab w:val="left" w:leader="dot" w:pos="8640"/>
      </w:tabs>
      <w:spacing w:before="0"/>
      <w:ind w:left="187"/>
    </w:pPr>
    <w:rPr>
      <w:rFonts w:asciiTheme="minorHAnsi" w:hAnsiTheme="minorHAnsi" w:cstheme="minorHAnsi"/>
      <w:sz w:val="22"/>
      <w:szCs w:val="20"/>
    </w:rPr>
  </w:style>
  <w:style w:type="paragraph" w:styleId="TOC5">
    <w:name w:val="toc 5"/>
    <w:basedOn w:val="Normal"/>
    <w:next w:val="Normal"/>
    <w:autoRedefine/>
    <w:uiPriority w:val="39"/>
    <w:unhideWhenUsed/>
    <w:rsid w:val="0081721C"/>
    <w:pPr>
      <w:tabs>
        <w:tab w:val="left" w:leader="dot" w:pos="8640"/>
      </w:tabs>
      <w:spacing w:before="0"/>
      <w:ind w:left="187"/>
    </w:pPr>
    <w:rPr>
      <w:rFonts w:asciiTheme="minorHAnsi" w:hAnsiTheme="minorHAnsi" w:cstheme="minorHAnsi"/>
      <w:sz w:val="22"/>
      <w:szCs w:val="20"/>
    </w:rPr>
  </w:style>
  <w:style w:type="paragraph" w:styleId="TOC6">
    <w:name w:val="toc 6"/>
    <w:basedOn w:val="Normal"/>
    <w:next w:val="Normal"/>
    <w:autoRedefine/>
    <w:uiPriority w:val="39"/>
    <w:unhideWhenUsed/>
    <w:rsid w:val="0081721C"/>
    <w:pPr>
      <w:tabs>
        <w:tab w:val="left" w:leader="dot" w:pos="8640"/>
      </w:tabs>
      <w:spacing w:before="0"/>
      <w:ind w:left="187"/>
    </w:pPr>
    <w:rPr>
      <w:rFonts w:asciiTheme="minorHAnsi" w:hAnsiTheme="minorHAnsi" w:cstheme="minorHAnsi"/>
      <w:sz w:val="22"/>
      <w:szCs w:val="20"/>
    </w:rPr>
  </w:style>
  <w:style w:type="paragraph" w:styleId="TOC7">
    <w:name w:val="toc 7"/>
    <w:basedOn w:val="Normal"/>
    <w:next w:val="Normal"/>
    <w:autoRedefine/>
    <w:uiPriority w:val="39"/>
    <w:unhideWhenUsed/>
    <w:rsid w:val="0081721C"/>
    <w:pPr>
      <w:tabs>
        <w:tab w:val="left" w:leader="dot" w:pos="8640"/>
      </w:tabs>
      <w:spacing w:before="0"/>
      <w:ind w:left="187"/>
    </w:pPr>
    <w:rPr>
      <w:rFonts w:asciiTheme="minorHAnsi" w:hAnsiTheme="minorHAnsi" w:cstheme="minorHAnsi"/>
      <w:sz w:val="22"/>
      <w:szCs w:val="20"/>
    </w:rPr>
  </w:style>
  <w:style w:type="paragraph" w:styleId="TOC8">
    <w:name w:val="toc 8"/>
    <w:basedOn w:val="Normal"/>
    <w:next w:val="Normal"/>
    <w:autoRedefine/>
    <w:uiPriority w:val="39"/>
    <w:unhideWhenUsed/>
    <w:rsid w:val="0081721C"/>
    <w:pPr>
      <w:tabs>
        <w:tab w:val="left" w:leader="dot" w:pos="8640"/>
      </w:tabs>
      <w:spacing w:before="0"/>
      <w:ind w:left="187"/>
    </w:pPr>
    <w:rPr>
      <w:rFonts w:asciiTheme="minorHAnsi" w:hAnsiTheme="minorHAnsi" w:cstheme="minorHAnsi"/>
      <w:sz w:val="22"/>
      <w:szCs w:val="20"/>
    </w:rPr>
  </w:style>
  <w:style w:type="paragraph" w:styleId="TOC9">
    <w:name w:val="toc 9"/>
    <w:basedOn w:val="Normal"/>
    <w:next w:val="Normal"/>
    <w:autoRedefine/>
    <w:uiPriority w:val="39"/>
    <w:unhideWhenUsed/>
    <w:rsid w:val="0081721C"/>
    <w:pPr>
      <w:tabs>
        <w:tab w:val="left" w:pos="8640"/>
      </w:tabs>
      <w:spacing w:before="0"/>
      <w:ind w:left="187"/>
    </w:pPr>
    <w:rPr>
      <w:rFonts w:asciiTheme="minorHAnsi" w:hAnsiTheme="minorHAnsi" w:cstheme="minorHAnsi"/>
      <w:sz w:val="22"/>
      <w:szCs w:val="20"/>
    </w:rPr>
  </w:style>
  <w:style w:type="paragraph" w:customStyle="1" w:styleId="Default">
    <w:name w:val="Default"/>
    <w:rsid w:val="00DB03C9"/>
    <w:pPr>
      <w:autoSpaceDE w:val="0"/>
      <w:autoSpaceDN w:val="0"/>
      <w:adjustRightInd w:val="0"/>
      <w:spacing w:after="0" w:line="240" w:lineRule="auto"/>
    </w:pPr>
    <w:rPr>
      <w:rFonts w:ascii="Times New Roman" w:hAnsi="Times New Roman" w:cs="Times New Roman"/>
      <w:color w:val="000000"/>
      <w:sz w:val="24"/>
      <w:szCs w:val="24"/>
    </w:rPr>
  </w:style>
  <w:style w:type="table" w:styleId="ListTable3-Accent1">
    <w:name w:val="List Table 3 Accent 1"/>
    <w:basedOn w:val="TableNormal"/>
    <w:uiPriority w:val="48"/>
    <w:rsid w:val="00DB03C9"/>
    <w:pPr>
      <w:spacing w:after="0" w:line="240" w:lineRule="auto"/>
    </w:pPr>
    <w:tblPr>
      <w:tblStyleRowBandSize w:val="1"/>
      <w:tblStyleColBandSize w:val="1"/>
      <w:tblBorders>
        <w:top w:val="single" w:sz="4" w:space="0" w:color="054B56" w:themeColor="accent1"/>
        <w:left w:val="single" w:sz="4" w:space="0" w:color="054B56" w:themeColor="accent1"/>
        <w:bottom w:val="single" w:sz="4" w:space="0" w:color="054B56" w:themeColor="accent1"/>
        <w:right w:val="single" w:sz="4" w:space="0" w:color="054B56" w:themeColor="accent1"/>
      </w:tblBorders>
    </w:tblPr>
    <w:tblStylePr w:type="firstRow">
      <w:rPr>
        <w:b/>
        <w:bCs/>
        <w:color w:val="FFFFFF" w:themeColor="background1"/>
      </w:rPr>
      <w:tblPr/>
      <w:tcPr>
        <w:shd w:val="clear" w:color="auto" w:fill="054B56" w:themeFill="accent1"/>
      </w:tcPr>
    </w:tblStylePr>
    <w:tblStylePr w:type="lastRow">
      <w:rPr>
        <w:b/>
        <w:bCs/>
      </w:rPr>
      <w:tblPr/>
      <w:tcPr>
        <w:tcBorders>
          <w:top w:val="double" w:sz="4" w:space="0" w:color="054B5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4B56" w:themeColor="accent1"/>
          <w:right w:val="single" w:sz="4" w:space="0" w:color="054B56" w:themeColor="accent1"/>
        </w:tcBorders>
      </w:tcPr>
    </w:tblStylePr>
    <w:tblStylePr w:type="band1Horz">
      <w:tblPr/>
      <w:tcPr>
        <w:tcBorders>
          <w:top w:val="single" w:sz="4" w:space="0" w:color="054B56" w:themeColor="accent1"/>
          <w:bottom w:val="single" w:sz="4" w:space="0" w:color="054B5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4B56" w:themeColor="accent1"/>
          <w:left w:val="nil"/>
        </w:tcBorders>
      </w:tcPr>
    </w:tblStylePr>
    <w:tblStylePr w:type="swCell">
      <w:tblPr/>
      <w:tcPr>
        <w:tcBorders>
          <w:top w:val="double" w:sz="4" w:space="0" w:color="054B56" w:themeColor="accent1"/>
          <w:right w:val="nil"/>
        </w:tcBorders>
      </w:tcPr>
    </w:tblStylePr>
  </w:style>
  <w:style w:type="paragraph" w:styleId="FootnoteText">
    <w:name w:val="footnote text"/>
    <w:basedOn w:val="Normal"/>
    <w:link w:val="FootnoteTextChar"/>
    <w:unhideWhenUsed/>
    <w:rsid w:val="00DB03C9"/>
    <w:pPr>
      <w:spacing w:before="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B03C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B03C9"/>
    <w:rPr>
      <w:vertAlign w:val="superscript"/>
    </w:rPr>
  </w:style>
  <w:style w:type="character" w:styleId="FollowedHyperlink">
    <w:name w:val="FollowedHyperlink"/>
    <w:basedOn w:val="DefaultParagraphFont"/>
    <w:uiPriority w:val="99"/>
    <w:semiHidden/>
    <w:unhideWhenUsed/>
    <w:rsid w:val="00DB03C9"/>
    <w:rPr>
      <w:color w:val="92B7BC" w:themeColor="followedHyperlink"/>
      <w:u w:val="single"/>
    </w:rPr>
  </w:style>
  <w:style w:type="table" w:customStyle="1" w:styleId="TableGrid10">
    <w:name w:val="Table Grid1"/>
    <w:basedOn w:val="TableNormal"/>
    <w:next w:val="TableGrid"/>
    <w:uiPriority w:val="39"/>
    <w:rsid w:val="00DB03C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DB03C9"/>
    <w:pPr>
      <w:spacing w:before="0" w:after="180"/>
    </w:pPr>
    <w:rPr>
      <w:sz w:val="22"/>
    </w:rPr>
  </w:style>
  <w:style w:type="table" w:customStyle="1" w:styleId="TableGrid2">
    <w:name w:val="Table Grid2"/>
    <w:basedOn w:val="TableNormal"/>
    <w:next w:val="TableGrid"/>
    <w:uiPriority w:val="59"/>
    <w:rsid w:val="00DB03C9"/>
    <w:pPr>
      <w:spacing w:after="0" w:line="240" w:lineRule="auto"/>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CommentReference">
    <w:name w:val="annotation reference"/>
    <w:basedOn w:val="DefaultParagraphFont"/>
    <w:uiPriority w:val="99"/>
    <w:semiHidden/>
    <w:unhideWhenUsed/>
    <w:rsid w:val="00DB03C9"/>
    <w:rPr>
      <w:sz w:val="18"/>
      <w:szCs w:val="18"/>
    </w:rPr>
  </w:style>
  <w:style w:type="paragraph" w:styleId="CommentText">
    <w:name w:val="annotation text"/>
    <w:basedOn w:val="Normal"/>
    <w:link w:val="CommentTextChar"/>
    <w:uiPriority w:val="99"/>
    <w:semiHidden/>
    <w:unhideWhenUsed/>
    <w:rsid w:val="00DB03C9"/>
    <w:pPr>
      <w:spacing w:line="240" w:lineRule="auto"/>
    </w:pPr>
    <w:rPr>
      <w:sz w:val="24"/>
      <w:szCs w:val="24"/>
    </w:rPr>
  </w:style>
  <w:style w:type="character" w:customStyle="1" w:styleId="CommentTextChar">
    <w:name w:val="Comment Text Char"/>
    <w:basedOn w:val="DefaultParagraphFont"/>
    <w:link w:val="CommentText"/>
    <w:uiPriority w:val="99"/>
    <w:semiHidden/>
    <w:rsid w:val="00DB03C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DB03C9"/>
    <w:rPr>
      <w:b/>
      <w:bCs/>
      <w:sz w:val="20"/>
      <w:szCs w:val="20"/>
    </w:rPr>
  </w:style>
  <w:style w:type="character" w:customStyle="1" w:styleId="CommentSubjectChar">
    <w:name w:val="Comment Subject Char"/>
    <w:basedOn w:val="CommentTextChar"/>
    <w:link w:val="CommentSubject"/>
    <w:uiPriority w:val="99"/>
    <w:semiHidden/>
    <w:rsid w:val="00DB03C9"/>
    <w:rPr>
      <w:rFonts w:ascii="Arial" w:hAnsi="Arial"/>
      <w:b/>
      <w:bCs/>
      <w:sz w:val="20"/>
      <w:szCs w:val="20"/>
    </w:rPr>
  </w:style>
  <w:style w:type="paragraph" w:customStyle="1" w:styleId="CRNormalBody">
    <w:name w:val="CR_Normal Body"/>
    <w:basedOn w:val="Normal"/>
    <w:link w:val="CRNormalBodyChar"/>
    <w:qFormat/>
    <w:rsid w:val="00DB03C9"/>
    <w:pPr>
      <w:spacing w:before="120" w:after="100"/>
    </w:pPr>
    <w:rPr>
      <w:sz w:val="22"/>
      <w:szCs w:val="20"/>
      <w:lang w:val="en"/>
    </w:rPr>
  </w:style>
  <w:style w:type="paragraph" w:customStyle="1" w:styleId="BulletList">
    <w:name w:val="BulletList"/>
    <w:basedOn w:val="BalloonText"/>
    <w:link w:val="BulletListChar"/>
    <w:qFormat/>
    <w:rsid w:val="00DB03C9"/>
    <w:pPr>
      <w:widowControl w:val="0"/>
      <w:numPr>
        <w:numId w:val="7"/>
      </w:numPr>
      <w:overflowPunct w:val="0"/>
      <w:autoSpaceDE w:val="0"/>
      <w:autoSpaceDN w:val="0"/>
      <w:adjustRightInd w:val="0"/>
      <w:spacing w:before="0" w:line="276" w:lineRule="auto"/>
      <w:ind w:left="288" w:hanging="144"/>
      <w:textAlignment w:val="baseline"/>
    </w:pPr>
    <w:rPr>
      <w:rFonts w:ascii="Arial" w:eastAsia="Times New Roman" w:hAnsi="Arial" w:cs="Arial"/>
      <w:sz w:val="22"/>
      <w:szCs w:val="22"/>
    </w:rPr>
  </w:style>
  <w:style w:type="character" w:customStyle="1" w:styleId="BulletListChar">
    <w:name w:val="BulletList Char"/>
    <w:basedOn w:val="DefaultParagraphFont"/>
    <w:link w:val="BulletList"/>
    <w:rsid w:val="00DB03C9"/>
    <w:rPr>
      <w:rFonts w:ascii="Arial" w:eastAsia="Times New Roman" w:hAnsi="Arial" w:cs="Arial"/>
    </w:rPr>
  </w:style>
  <w:style w:type="character" w:customStyle="1" w:styleId="CRNormalBodyChar">
    <w:name w:val="CR_Normal Body Char"/>
    <w:basedOn w:val="DefaultParagraphFont"/>
    <w:link w:val="CRNormalBody"/>
    <w:rsid w:val="00DB03C9"/>
    <w:rPr>
      <w:rFonts w:ascii="Arial" w:hAnsi="Arial"/>
      <w:szCs w:val="20"/>
      <w:lang w:val="en"/>
    </w:rPr>
  </w:style>
  <w:style w:type="character" w:customStyle="1" w:styleId="ListParagraphChar">
    <w:name w:val="List Paragraph Char"/>
    <w:aliases w:val="PECI Bullets (Content) Char"/>
    <w:link w:val="ListParagraph"/>
    <w:uiPriority w:val="34"/>
    <w:rsid w:val="00DB03C9"/>
    <w:rPr>
      <w:rFonts w:ascii="Arial" w:hAnsi="Arial"/>
      <w:sz w:val="18"/>
    </w:rPr>
  </w:style>
  <w:style w:type="paragraph" w:customStyle="1" w:styleId="CRTableBullet1">
    <w:name w:val="CR_Table Bullet 1"/>
    <w:basedOn w:val="ListBullet"/>
    <w:qFormat/>
    <w:rsid w:val="00DB03C9"/>
    <w:pPr>
      <w:numPr>
        <w:numId w:val="0"/>
      </w:numPr>
      <w:spacing w:line="240" w:lineRule="auto"/>
      <w:ind w:left="1080" w:hanging="360"/>
    </w:pPr>
    <w:rPr>
      <w:rFonts w:eastAsia="Arial" w:cs="Times New Roman"/>
      <w:sz w:val="20"/>
      <w:szCs w:val="16"/>
    </w:rPr>
  </w:style>
  <w:style w:type="table" w:customStyle="1" w:styleId="TableGrid11">
    <w:name w:val="TableGrid1"/>
    <w:rsid w:val="00DB03C9"/>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rsid w:val="00DB03C9"/>
    <w:rPr>
      <w:color w:val="605E5C"/>
      <w:shd w:val="clear" w:color="auto" w:fill="E1DFDD"/>
    </w:rPr>
  </w:style>
  <w:style w:type="character" w:styleId="Mention">
    <w:name w:val="Mention"/>
    <w:basedOn w:val="DefaultParagraphFont"/>
    <w:uiPriority w:val="99"/>
    <w:unhideWhenUsed/>
    <w:rsid w:val="00DB03C9"/>
    <w:rPr>
      <w:color w:val="2B579A"/>
      <w:shd w:val="clear" w:color="auto" w:fill="E1DFDD"/>
    </w:rPr>
  </w:style>
  <w:style w:type="paragraph" w:styleId="Revision">
    <w:name w:val="Revision"/>
    <w:hidden/>
    <w:uiPriority w:val="99"/>
    <w:semiHidden/>
    <w:rsid w:val="00DB03C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3687">
      <w:bodyDiv w:val="1"/>
      <w:marLeft w:val="0"/>
      <w:marRight w:val="0"/>
      <w:marTop w:val="0"/>
      <w:marBottom w:val="0"/>
      <w:divBdr>
        <w:top w:val="none" w:sz="0" w:space="0" w:color="auto"/>
        <w:left w:val="none" w:sz="0" w:space="0" w:color="auto"/>
        <w:bottom w:val="none" w:sz="0" w:space="0" w:color="auto"/>
        <w:right w:val="none" w:sz="0" w:space="0" w:color="auto"/>
      </w:divBdr>
    </w:div>
    <w:div w:id="194315021">
      <w:bodyDiv w:val="1"/>
      <w:marLeft w:val="0"/>
      <w:marRight w:val="0"/>
      <w:marTop w:val="0"/>
      <w:marBottom w:val="0"/>
      <w:divBdr>
        <w:top w:val="none" w:sz="0" w:space="0" w:color="auto"/>
        <w:left w:val="none" w:sz="0" w:space="0" w:color="auto"/>
        <w:bottom w:val="none" w:sz="0" w:space="0" w:color="auto"/>
        <w:right w:val="none" w:sz="0" w:space="0" w:color="auto"/>
      </w:divBdr>
    </w:div>
    <w:div w:id="304701265">
      <w:bodyDiv w:val="1"/>
      <w:marLeft w:val="0"/>
      <w:marRight w:val="0"/>
      <w:marTop w:val="0"/>
      <w:marBottom w:val="0"/>
      <w:divBdr>
        <w:top w:val="none" w:sz="0" w:space="0" w:color="auto"/>
        <w:left w:val="none" w:sz="0" w:space="0" w:color="auto"/>
        <w:bottom w:val="none" w:sz="0" w:space="0" w:color="auto"/>
        <w:right w:val="none" w:sz="0" w:space="0" w:color="auto"/>
      </w:divBdr>
    </w:div>
    <w:div w:id="314532889">
      <w:bodyDiv w:val="1"/>
      <w:marLeft w:val="0"/>
      <w:marRight w:val="0"/>
      <w:marTop w:val="0"/>
      <w:marBottom w:val="0"/>
      <w:divBdr>
        <w:top w:val="none" w:sz="0" w:space="0" w:color="auto"/>
        <w:left w:val="none" w:sz="0" w:space="0" w:color="auto"/>
        <w:bottom w:val="none" w:sz="0" w:space="0" w:color="auto"/>
        <w:right w:val="none" w:sz="0" w:space="0" w:color="auto"/>
      </w:divBdr>
    </w:div>
    <w:div w:id="319239589">
      <w:bodyDiv w:val="1"/>
      <w:marLeft w:val="0"/>
      <w:marRight w:val="0"/>
      <w:marTop w:val="0"/>
      <w:marBottom w:val="0"/>
      <w:divBdr>
        <w:top w:val="none" w:sz="0" w:space="0" w:color="auto"/>
        <w:left w:val="none" w:sz="0" w:space="0" w:color="auto"/>
        <w:bottom w:val="none" w:sz="0" w:space="0" w:color="auto"/>
        <w:right w:val="none" w:sz="0" w:space="0" w:color="auto"/>
      </w:divBdr>
    </w:div>
    <w:div w:id="359017521">
      <w:bodyDiv w:val="1"/>
      <w:marLeft w:val="0"/>
      <w:marRight w:val="0"/>
      <w:marTop w:val="0"/>
      <w:marBottom w:val="0"/>
      <w:divBdr>
        <w:top w:val="none" w:sz="0" w:space="0" w:color="auto"/>
        <w:left w:val="none" w:sz="0" w:space="0" w:color="auto"/>
        <w:bottom w:val="none" w:sz="0" w:space="0" w:color="auto"/>
        <w:right w:val="none" w:sz="0" w:space="0" w:color="auto"/>
      </w:divBdr>
    </w:div>
    <w:div w:id="371805384">
      <w:bodyDiv w:val="1"/>
      <w:marLeft w:val="0"/>
      <w:marRight w:val="0"/>
      <w:marTop w:val="0"/>
      <w:marBottom w:val="0"/>
      <w:divBdr>
        <w:top w:val="none" w:sz="0" w:space="0" w:color="auto"/>
        <w:left w:val="none" w:sz="0" w:space="0" w:color="auto"/>
        <w:bottom w:val="none" w:sz="0" w:space="0" w:color="auto"/>
        <w:right w:val="none" w:sz="0" w:space="0" w:color="auto"/>
      </w:divBdr>
    </w:div>
    <w:div w:id="516965194">
      <w:bodyDiv w:val="1"/>
      <w:marLeft w:val="0"/>
      <w:marRight w:val="0"/>
      <w:marTop w:val="0"/>
      <w:marBottom w:val="0"/>
      <w:divBdr>
        <w:top w:val="none" w:sz="0" w:space="0" w:color="auto"/>
        <w:left w:val="none" w:sz="0" w:space="0" w:color="auto"/>
        <w:bottom w:val="none" w:sz="0" w:space="0" w:color="auto"/>
        <w:right w:val="none" w:sz="0" w:space="0" w:color="auto"/>
      </w:divBdr>
    </w:div>
    <w:div w:id="656416278">
      <w:bodyDiv w:val="1"/>
      <w:marLeft w:val="0"/>
      <w:marRight w:val="0"/>
      <w:marTop w:val="0"/>
      <w:marBottom w:val="0"/>
      <w:divBdr>
        <w:top w:val="none" w:sz="0" w:space="0" w:color="auto"/>
        <w:left w:val="none" w:sz="0" w:space="0" w:color="auto"/>
        <w:bottom w:val="none" w:sz="0" w:space="0" w:color="auto"/>
        <w:right w:val="none" w:sz="0" w:space="0" w:color="auto"/>
      </w:divBdr>
    </w:div>
    <w:div w:id="864059005">
      <w:bodyDiv w:val="1"/>
      <w:marLeft w:val="0"/>
      <w:marRight w:val="0"/>
      <w:marTop w:val="0"/>
      <w:marBottom w:val="0"/>
      <w:divBdr>
        <w:top w:val="none" w:sz="0" w:space="0" w:color="auto"/>
        <w:left w:val="none" w:sz="0" w:space="0" w:color="auto"/>
        <w:bottom w:val="none" w:sz="0" w:space="0" w:color="auto"/>
        <w:right w:val="none" w:sz="0" w:space="0" w:color="auto"/>
      </w:divBdr>
    </w:div>
    <w:div w:id="972056982">
      <w:bodyDiv w:val="1"/>
      <w:marLeft w:val="0"/>
      <w:marRight w:val="0"/>
      <w:marTop w:val="0"/>
      <w:marBottom w:val="0"/>
      <w:divBdr>
        <w:top w:val="none" w:sz="0" w:space="0" w:color="auto"/>
        <w:left w:val="none" w:sz="0" w:space="0" w:color="auto"/>
        <w:bottom w:val="none" w:sz="0" w:space="0" w:color="auto"/>
        <w:right w:val="none" w:sz="0" w:space="0" w:color="auto"/>
      </w:divBdr>
    </w:div>
    <w:div w:id="984819699">
      <w:bodyDiv w:val="1"/>
      <w:marLeft w:val="0"/>
      <w:marRight w:val="0"/>
      <w:marTop w:val="0"/>
      <w:marBottom w:val="0"/>
      <w:divBdr>
        <w:top w:val="none" w:sz="0" w:space="0" w:color="auto"/>
        <w:left w:val="none" w:sz="0" w:space="0" w:color="auto"/>
        <w:bottom w:val="none" w:sz="0" w:space="0" w:color="auto"/>
        <w:right w:val="none" w:sz="0" w:space="0" w:color="auto"/>
      </w:divBdr>
    </w:div>
    <w:div w:id="1036587987">
      <w:bodyDiv w:val="1"/>
      <w:marLeft w:val="0"/>
      <w:marRight w:val="0"/>
      <w:marTop w:val="0"/>
      <w:marBottom w:val="0"/>
      <w:divBdr>
        <w:top w:val="none" w:sz="0" w:space="0" w:color="auto"/>
        <w:left w:val="none" w:sz="0" w:space="0" w:color="auto"/>
        <w:bottom w:val="none" w:sz="0" w:space="0" w:color="auto"/>
        <w:right w:val="none" w:sz="0" w:space="0" w:color="auto"/>
      </w:divBdr>
      <w:divsChild>
        <w:div w:id="1690175306">
          <w:marLeft w:val="0"/>
          <w:marRight w:val="0"/>
          <w:marTop w:val="0"/>
          <w:marBottom w:val="0"/>
          <w:divBdr>
            <w:top w:val="none" w:sz="0" w:space="0" w:color="auto"/>
            <w:left w:val="none" w:sz="0" w:space="0" w:color="auto"/>
            <w:bottom w:val="none" w:sz="0" w:space="0" w:color="auto"/>
            <w:right w:val="none" w:sz="0" w:space="0" w:color="auto"/>
          </w:divBdr>
          <w:divsChild>
            <w:div w:id="53971092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41829270">
      <w:bodyDiv w:val="1"/>
      <w:marLeft w:val="0"/>
      <w:marRight w:val="0"/>
      <w:marTop w:val="0"/>
      <w:marBottom w:val="0"/>
      <w:divBdr>
        <w:top w:val="none" w:sz="0" w:space="0" w:color="auto"/>
        <w:left w:val="none" w:sz="0" w:space="0" w:color="auto"/>
        <w:bottom w:val="none" w:sz="0" w:space="0" w:color="auto"/>
        <w:right w:val="none" w:sz="0" w:space="0" w:color="auto"/>
      </w:divBdr>
    </w:div>
    <w:div w:id="1061321721">
      <w:bodyDiv w:val="1"/>
      <w:marLeft w:val="0"/>
      <w:marRight w:val="0"/>
      <w:marTop w:val="0"/>
      <w:marBottom w:val="0"/>
      <w:divBdr>
        <w:top w:val="none" w:sz="0" w:space="0" w:color="auto"/>
        <w:left w:val="none" w:sz="0" w:space="0" w:color="auto"/>
        <w:bottom w:val="none" w:sz="0" w:space="0" w:color="auto"/>
        <w:right w:val="none" w:sz="0" w:space="0" w:color="auto"/>
      </w:divBdr>
    </w:div>
    <w:div w:id="1109468580">
      <w:bodyDiv w:val="1"/>
      <w:marLeft w:val="0"/>
      <w:marRight w:val="0"/>
      <w:marTop w:val="0"/>
      <w:marBottom w:val="0"/>
      <w:divBdr>
        <w:top w:val="none" w:sz="0" w:space="0" w:color="auto"/>
        <w:left w:val="none" w:sz="0" w:space="0" w:color="auto"/>
        <w:bottom w:val="none" w:sz="0" w:space="0" w:color="auto"/>
        <w:right w:val="none" w:sz="0" w:space="0" w:color="auto"/>
      </w:divBdr>
    </w:div>
    <w:div w:id="1314916204">
      <w:bodyDiv w:val="1"/>
      <w:marLeft w:val="0"/>
      <w:marRight w:val="0"/>
      <w:marTop w:val="0"/>
      <w:marBottom w:val="0"/>
      <w:divBdr>
        <w:top w:val="none" w:sz="0" w:space="0" w:color="auto"/>
        <w:left w:val="none" w:sz="0" w:space="0" w:color="auto"/>
        <w:bottom w:val="none" w:sz="0" w:space="0" w:color="auto"/>
        <w:right w:val="none" w:sz="0" w:space="0" w:color="auto"/>
      </w:divBdr>
      <w:divsChild>
        <w:div w:id="1503396736">
          <w:marLeft w:val="0"/>
          <w:marRight w:val="0"/>
          <w:marTop w:val="0"/>
          <w:marBottom w:val="0"/>
          <w:divBdr>
            <w:top w:val="none" w:sz="0" w:space="0" w:color="auto"/>
            <w:left w:val="none" w:sz="0" w:space="0" w:color="auto"/>
            <w:bottom w:val="none" w:sz="0" w:space="0" w:color="auto"/>
            <w:right w:val="none" w:sz="0" w:space="0" w:color="auto"/>
          </w:divBdr>
          <w:divsChild>
            <w:div w:id="185553646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72412188">
      <w:bodyDiv w:val="1"/>
      <w:marLeft w:val="0"/>
      <w:marRight w:val="0"/>
      <w:marTop w:val="0"/>
      <w:marBottom w:val="0"/>
      <w:divBdr>
        <w:top w:val="none" w:sz="0" w:space="0" w:color="auto"/>
        <w:left w:val="none" w:sz="0" w:space="0" w:color="auto"/>
        <w:bottom w:val="none" w:sz="0" w:space="0" w:color="auto"/>
        <w:right w:val="none" w:sz="0" w:space="0" w:color="auto"/>
      </w:divBdr>
    </w:div>
    <w:div w:id="1406149348">
      <w:bodyDiv w:val="1"/>
      <w:marLeft w:val="0"/>
      <w:marRight w:val="0"/>
      <w:marTop w:val="0"/>
      <w:marBottom w:val="0"/>
      <w:divBdr>
        <w:top w:val="none" w:sz="0" w:space="0" w:color="auto"/>
        <w:left w:val="none" w:sz="0" w:space="0" w:color="auto"/>
        <w:bottom w:val="none" w:sz="0" w:space="0" w:color="auto"/>
        <w:right w:val="none" w:sz="0" w:space="0" w:color="auto"/>
      </w:divBdr>
    </w:div>
    <w:div w:id="1610164905">
      <w:bodyDiv w:val="1"/>
      <w:marLeft w:val="0"/>
      <w:marRight w:val="0"/>
      <w:marTop w:val="0"/>
      <w:marBottom w:val="0"/>
      <w:divBdr>
        <w:top w:val="none" w:sz="0" w:space="0" w:color="auto"/>
        <w:left w:val="none" w:sz="0" w:space="0" w:color="auto"/>
        <w:bottom w:val="none" w:sz="0" w:space="0" w:color="auto"/>
        <w:right w:val="none" w:sz="0" w:space="0" w:color="auto"/>
      </w:divBdr>
      <w:divsChild>
        <w:div w:id="1748259795">
          <w:marLeft w:val="0"/>
          <w:marRight w:val="0"/>
          <w:marTop w:val="0"/>
          <w:marBottom w:val="0"/>
          <w:divBdr>
            <w:top w:val="none" w:sz="0" w:space="0" w:color="auto"/>
            <w:left w:val="none" w:sz="0" w:space="0" w:color="auto"/>
            <w:bottom w:val="none" w:sz="0" w:space="0" w:color="auto"/>
            <w:right w:val="none" w:sz="0" w:space="0" w:color="auto"/>
          </w:divBdr>
          <w:divsChild>
            <w:div w:id="116975381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03509875">
      <w:bodyDiv w:val="1"/>
      <w:marLeft w:val="0"/>
      <w:marRight w:val="0"/>
      <w:marTop w:val="0"/>
      <w:marBottom w:val="0"/>
      <w:divBdr>
        <w:top w:val="none" w:sz="0" w:space="0" w:color="auto"/>
        <w:left w:val="none" w:sz="0" w:space="0" w:color="auto"/>
        <w:bottom w:val="none" w:sz="0" w:space="0" w:color="auto"/>
        <w:right w:val="none" w:sz="0" w:space="0" w:color="auto"/>
      </w:divBdr>
    </w:div>
    <w:div w:id="1710295247">
      <w:bodyDiv w:val="1"/>
      <w:marLeft w:val="0"/>
      <w:marRight w:val="0"/>
      <w:marTop w:val="0"/>
      <w:marBottom w:val="0"/>
      <w:divBdr>
        <w:top w:val="none" w:sz="0" w:space="0" w:color="auto"/>
        <w:left w:val="none" w:sz="0" w:space="0" w:color="auto"/>
        <w:bottom w:val="none" w:sz="0" w:space="0" w:color="auto"/>
        <w:right w:val="none" w:sz="0" w:space="0" w:color="auto"/>
      </w:divBdr>
      <w:divsChild>
        <w:div w:id="1844084080">
          <w:marLeft w:val="0"/>
          <w:marRight w:val="0"/>
          <w:marTop w:val="0"/>
          <w:marBottom w:val="0"/>
          <w:divBdr>
            <w:top w:val="none" w:sz="0" w:space="0" w:color="auto"/>
            <w:left w:val="none" w:sz="0" w:space="0" w:color="auto"/>
            <w:bottom w:val="none" w:sz="0" w:space="0" w:color="auto"/>
            <w:right w:val="none" w:sz="0" w:space="0" w:color="auto"/>
          </w:divBdr>
          <w:divsChild>
            <w:div w:id="211151286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72234389">
      <w:bodyDiv w:val="1"/>
      <w:marLeft w:val="0"/>
      <w:marRight w:val="0"/>
      <w:marTop w:val="0"/>
      <w:marBottom w:val="0"/>
      <w:divBdr>
        <w:top w:val="none" w:sz="0" w:space="0" w:color="auto"/>
        <w:left w:val="none" w:sz="0" w:space="0" w:color="auto"/>
        <w:bottom w:val="none" w:sz="0" w:space="0" w:color="auto"/>
        <w:right w:val="none" w:sz="0" w:space="0" w:color="auto"/>
      </w:divBdr>
    </w:div>
    <w:div w:id="1785348974">
      <w:bodyDiv w:val="1"/>
      <w:marLeft w:val="0"/>
      <w:marRight w:val="0"/>
      <w:marTop w:val="0"/>
      <w:marBottom w:val="0"/>
      <w:divBdr>
        <w:top w:val="none" w:sz="0" w:space="0" w:color="auto"/>
        <w:left w:val="none" w:sz="0" w:space="0" w:color="auto"/>
        <w:bottom w:val="none" w:sz="0" w:space="0" w:color="auto"/>
        <w:right w:val="none" w:sz="0" w:space="0" w:color="auto"/>
      </w:divBdr>
    </w:div>
    <w:div w:id="1803377865">
      <w:bodyDiv w:val="1"/>
      <w:marLeft w:val="0"/>
      <w:marRight w:val="0"/>
      <w:marTop w:val="0"/>
      <w:marBottom w:val="0"/>
      <w:divBdr>
        <w:top w:val="none" w:sz="0" w:space="0" w:color="auto"/>
        <w:left w:val="none" w:sz="0" w:space="0" w:color="auto"/>
        <w:bottom w:val="none" w:sz="0" w:space="0" w:color="auto"/>
        <w:right w:val="none" w:sz="0" w:space="0" w:color="auto"/>
      </w:divBdr>
    </w:div>
    <w:div w:id="1838686912">
      <w:bodyDiv w:val="1"/>
      <w:marLeft w:val="0"/>
      <w:marRight w:val="0"/>
      <w:marTop w:val="0"/>
      <w:marBottom w:val="0"/>
      <w:divBdr>
        <w:top w:val="none" w:sz="0" w:space="0" w:color="auto"/>
        <w:left w:val="none" w:sz="0" w:space="0" w:color="auto"/>
        <w:bottom w:val="none" w:sz="0" w:space="0" w:color="auto"/>
        <w:right w:val="none" w:sz="0" w:space="0" w:color="auto"/>
      </w:divBdr>
    </w:div>
    <w:div w:id="1898591993">
      <w:bodyDiv w:val="1"/>
      <w:marLeft w:val="0"/>
      <w:marRight w:val="0"/>
      <w:marTop w:val="0"/>
      <w:marBottom w:val="0"/>
      <w:divBdr>
        <w:top w:val="none" w:sz="0" w:space="0" w:color="auto"/>
        <w:left w:val="none" w:sz="0" w:space="0" w:color="auto"/>
        <w:bottom w:val="none" w:sz="0" w:space="0" w:color="auto"/>
        <w:right w:val="none" w:sz="0" w:space="0" w:color="auto"/>
      </w:divBdr>
    </w:div>
    <w:div w:id="197331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ge.com/pge_global/common/pdfs/save-energy-money/facility-improvements/custom-retrofit/Customized-Policy-Procedure-Manual_201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shima\Downloads\CR%20-%20Report%20Template%20-%20opt%201%20(1).dotx" TargetMode="External"/></Relationships>
</file>

<file path=word/theme/theme1.xml><?xml version="1.0" encoding="utf-8"?>
<a:theme xmlns:a="http://schemas.openxmlformats.org/drawingml/2006/main" name="CLEAResult_Business_Theme">
  <a:themeElements>
    <a:clrScheme name="CLEAResult Business Color Palette">
      <a:dk1>
        <a:sysClr val="windowText" lastClr="000000"/>
      </a:dk1>
      <a:lt1>
        <a:sysClr val="window" lastClr="FFFFFF"/>
      </a:lt1>
      <a:dk2>
        <a:srgbClr val="054B56"/>
      </a:dk2>
      <a:lt2>
        <a:srgbClr val="FFFFFF"/>
      </a:lt2>
      <a:accent1>
        <a:srgbClr val="054B56"/>
      </a:accent1>
      <a:accent2>
        <a:srgbClr val="007299"/>
      </a:accent2>
      <a:accent3>
        <a:srgbClr val="404040"/>
      </a:accent3>
      <a:accent4>
        <a:srgbClr val="92B7BC"/>
      </a:accent4>
      <a:accent5>
        <a:srgbClr val="EFE9E5"/>
      </a:accent5>
      <a:accent6>
        <a:srgbClr val="F50000"/>
      </a:accent6>
      <a:hlink>
        <a:srgbClr val="007299"/>
      </a:hlink>
      <a:folHlink>
        <a:srgbClr val="92B7B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7E4F3B8CF45241A70EFC062F69A44B" ma:contentTypeVersion="6" ma:contentTypeDescription="Create a new document." ma:contentTypeScope="" ma:versionID="36ef1d2f277390b76582fd2bb3196c58">
  <xsd:schema xmlns:xsd="http://www.w3.org/2001/XMLSchema" xmlns:xs="http://www.w3.org/2001/XMLSchema" xmlns:p="http://schemas.microsoft.com/office/2006/metadata/properties" xmlns:ns2="22b0ca75-ee67-4176-96c2-596a665bde98" xmlns:ns3="3bd57e9f-8dd8-4ae3-ba34-af53514a683b" targetNamespace="http://schemas.microsoft.com/office/2006/metadata/properties" ma:root="true" ma:fieldsID="75ba5179cfa442ae3785480823525684" ns2:_="" ns3:_="">
    <xsd:import namespace="22b0ca75-ee67-4176-96c2-596a665bde98"/>
    <xsd:import namespace="3bd57e9f-8dd8-4ae3-ba34-af53514a68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0ca75-ee67-4176-96c2-596a665bd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57e9f-8dd8-4ae3-ba34-af53514a68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FA2CF-12A6-4C97-8453-AD7BA4E45202}">
  <ds:schemaRefs>
    <ds:schemaRef ds:uri="http://www.w3.org/XML/1998/namespace"/>
    <ds:schemaRef ds:uri="22b0ca75-ee67-4176-96c2-596a665bde98"/>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3bd57e9f-8dd8-4ae3-ba34-af53514a683b"/>
    <ds:schemaRef ds:uri="http://purl.org/dc/terms/"/>
    <ds:schemaRef ds:uri="http://purl.org/dc/elements/1.1/"/>
  </ds:schemaRefs>
</ds:datastoreItem>
</file>

<file path=customXml/itemProps2.xml><?xml version="1.0" encoding="utf-8"?>
<ds:datastoreItem xmlns:ds="http://schemas.openxmlformats.org/officeDocument/2006/customXml" ds:itemID="{1D849ACF-E875-4F76-9C69-8522A704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0ca75-ee67-4176-96c2-596a665bde98"/>
    <ds:schemaRef ds:uri="3bd57e9f-8dd8-4ae3-ba34-af53514a6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E3B6AF-AD32-4FF2-8842-BE8C6B8E9CC3}">
  <ds:schemaRefs>
    <ds:schemaRef ds:uri="http://schemas.microsoft.com/sharepoint/v3/contenttype/forms"/>
  </ds:schemaRefs>
</ds:datastoreItem>
</file>

<file path=customXml/itemProps4.xml><?xml version="1.0" encoding="utf-8"?>
<ds:datastoreItem xmlns:ds="http://schemas.openxmlformats.org/officeDocument/2006/customXml" ds:itemID="{5CE72B2B-B46A-4741-8199-AB6A9F78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 Report Template - opt 1 (1)</Template>
  <TotalTime>43</TotalTime>
  <Pages>6</Pages>
  <Words>1773</Words>
  <Characters>10107</Characters>
  <Application>Microsoft Office Word</Application>
  <DocSecurity>0</DocSecurity>
  <Lines>84</Lines>
  <Paragraphs>23</Paragraphs>
  <ScaleCrop>false</ScaleCrop>
  <Company/>
  <LinksUpToDate>false</LinksUpToDate>
  <CharactersWithSpaces>11857</CharactersWithSpaces>
  <SharedDoc>false</SharedDoc>
  <HLinks>
    <vt:vector size="6" baseType="variant">
      <vt:variant>
        <vt:i4>6422651</vt:i4>
      </vt:variant>
      <vt:variant>
        <vt:i4>30</vt:i4>
      </vt:variant>
      <vt:variant>
        <vt:i4>0</vt:i4>
      </vt:variant>
      <vt:variant>
        <vt:i4>5</vt:i4>
      </vt:variant>
      <vt:variant>
        <vt:lpwstr>https://www.pge.com/pge_global/common/pdfs/save-energy-money/facility-improvements/custom-retrofit/Customized-Policy-Procedure-Manual_2019.pdf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CR-Report-Template-C+I</dc:title>
  <dc:subject/>
  <dc:creator>Michelle Tashima</dc:creator>
  <cp:keywords/>
  <cp:lastModifiedBy>Laura Freiburg-Slate</cp:lastModifiedBy>
  <cp:revision>109</cp:revision>
  <cp:lastPrinted>2013-11-21T01:22:00Z</cp:lastPrinted>
  <dcterms:created xsi:type="dcterms:W3CDTF">2020-10-26T18:51:00Z</dcterms:created>
  <dcterms:modified xsi:type="dcterms:W3CDTF">2020-12-01T02:41:00Z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0x010100857E4F3B8CF45241A70EFC062F69A44B</vt:lpwstr>
  </property>
</Properties>
</file>