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3CD9" w14:textId="77777777" w:rsidR="006D53E1" w:rsidRPr="00D172D5" w:rsidRDefault="006D53E1" w:rsidP="00FE6916">
      <w:pPr>
        <w:rPr>
          <w:color w:val="000000"/>
        </w:rPr>
      </w:pPr>
    </w:p>
    <w:p w14:paraId="2B254679" w14:textId="77777777" w:rsidR="006D53E1" w:rsidRDefault="006D53E1" w:rsidP="00FE6916">
      <w:pPr>
        <w:rPr>
          <w:color w:val="000000"/>
        </w:rPr>
      </w:pPr>
    </w:p>
    <w:p w14:paraId="28E93F1A" w14:textId="36AA149B" w:rsidR="001F5D85" w:rsidRPr="0037624A" w:rsidRDefault="00290438" w:rsidP="00290438">
      <w:pPr>
        <w:rPr>
          <w:color w:val="000000"/>
        </w:rPr>
      </w:pPr>
      <w:r>
        <w:rPr>
          <w:color w:val="000000"/>
        </w:rPr>
        <w:t>September 4</w:t>
      </w:r>
      <w:r w:rsidR="00361352">
        <w:rPr>
          <w:color w:val="000000"/>
        </w:rPr>
        <w:t>, 201</w:t>
      </w:r>
      <w:r>
        <w:rPr>
          <w:color w:val="000000"/>
        </w:rPr>
        <w:t>8</w:t>
      </w:r>
    </w:p>
    <w:p w14:paraId="17267FF8" w14:textId="77777777" w:rsidR="001F5D85" w:rsidRPr="0037624A" w:rsidRDefault="00505F2C" w:rsidP="00FE6916">
      <w:pPr>
        <w:tabs>
          <w:tab w:val="left" w:pos="8250"/>
        </w:tabs>
        <w:rPr>
          <w:color w:val="000000"/>
        </w:rPr>
      </w:pPr>
      <w:r>
        <w:rPr>
          <w:color w:val="000000"/>
        </w:rPr>
        <w:tab/>
      </w:r>
    </w:p>
    <w:p w14:paraId="3B08176C" w14:textId="7DF3A531" w:rsidR="001F5D85" w:rsidRPr="00BE1BD0" w:rsidRDefault="001F5D85" w:rsidP="00FE6916">
      <w:r w:rsidRPr="0037624A">
        <w:rPr>
          <w:b/>
          <w:color w:val="000000"/>
        </w:rPr>
        <w:t>Adv</w:t>
      </w:r>
      <w:r w:rsidRPr="00FC0F8C">
        <w:rPr>
          <w:b/>
          <w:color w:val="000000"/>
        </w:rPr>
        <w:t>ic</w:t>
      </w:r>
      <w:r w:rsidRPr="00FC0F8C">
        <w:rPr>
          <w:b/>
        </w:rPr>
        <w:t xml:space="preserve">e </w:t>
      </w:r>
      <w:r w:rsidR="00290438">
        <w:rPr>
          <w:b/>
        </w:rPr>
        <w:t>__________</w:t>
      </w:r>
      <w:r w:rsidR="00794E22" w:rsidRPr="00C54104">
        <w:rPr>
          <w:b/>
        </w:rPr>
        <w:t>-</w:t>
      </w:r>
      <w:r w:rsidR="009D58FB" w:rsidRPr="00C54104" w:rsidDel="00794E22">
        <w:rPr>
          <w:b/>
        </w:rPr>
        <w:t>E</w:t>
      </w:r>
    </w:p>
    <w:p w14:paraId="40776B44" w14:textId="574D302D" w:rsidR="001F5D85" w:rsidRPr="0037624A" w:rsidRDefault="001F5D85" w:rsidP="00FE6916">
      <w:pPr>
        <w:rPr>
          <w:color w:val="000000"/>
          <w:sz w:val="22"/>
        </w:rPr>
      </w:pPr>
      <w:r w:rsidRPr="0037624A">
        <w:rPr>
          <w:color w:val="000000"/>
          <w:sz w:val="22"/>
        </w:rPr>
        <w:t>(</w:t>
      </w:r>
      <w:r w:rsidR="009D58FB" w:rsidRPr="0037624A">
        <w:rPr>
          <w:color w:val="000000"/>
          <w:sz w:val="22"/>
        </w:rPr>
        <w:t>Pacific Gas a</w:t>
      </w:r>
      <w:r w:rsidR="0000663C">
        <w:rPr>
          <w:color w:val="000000"/>
          <w:sz w:val="22"/>
        </w:rPr>
        <w:t xml:space="preserve">nd Electric Company ID U 39 </w:t>
      </w:r>
      <w:r w:rsidR="009D58FB" w:rsidRPr="0037624A">
        <w:rPr>
          <w:color w:val="000000"/>
          <w:sz w:val="22"/>
        </w:rPr>
        <w:t>M</w:t>
      </w:r>
      <w:r w:rsidRPr="0037624A">
        <w:rPr>
          <w:color w:val="000000"/>
          <w:sz w:val="22"/>
        </w:rPr>
        <w:t>)</w:t>
      </w:r>
    </w:p>
    <w:p w14:paraId="405AF229" w14:textId="77777777" w:rsidR="001F5D85" w:rsidRPr="0037624A" w:rsidRDefault="001F5D85" w:rsidP="00FE6916">
      <w:pPr>
        <w:rPr>
          <w:color w:val="000000"/>
        </w:rPr>
      </w:pPr>
    </w:p>
    <w:p w14:paraId="7C08DC4B" w14:textId="77777777" w:rsidR="001F10C7" w:rsidRPr="0037624A" w:rsidRDefault="001F10C7" w:rsidP="00FE6916">
      <w:pPr>
        <w:rPr>
          <w:color w:val="000000"/>
        </w:rPr>
      </w:pPr>
    </w:p>
    <w:p w14:paraId="7AF81B6F" w14:textId="77777777" w:rsidR="001F10C7" w:rsidRPr="0037624A" w:rsidRDefault="001F10C7" w:rsidP="00FE6916">
      <w:pPr>
        <w:rPr>
          <w:color w:val="000000"/>
        </w:rPr>
      </w:pPr>
      <w:r w:rsidRPr="0037624A">
        <w:rPr>
          <w:color w:val="000000"/>
        </w:rPr>
        <w:t>Public Utilities Commission of the State of California</w:t>
      </w:r>
    </w:p>
    <w:p w14:paraId="1B416AA3" w14:textId="77777777" w:rsidR="001F10C7" w:rsidRPr="0037624A" w:rsidRDefault="001F10C7" w:rsidP="00FE6916">
      <w:pPr>
        <w:rPr>
          <w:color w:val="000000"/>
        </w:rPr>
      </w:pPr>
    </w:p>
    <w:p w14:paraId="37A4A5B0" w14:textId="31E38190" w:rsidR="001F5D85" w:rsidRPr="00FC0F8C" w:rsidRDefault="001F5D85" w:rsidP="00145380">
      <w:pPr>
        <w:ind w:left="1440" w:hanging="1440"/>
        <w:jc w:val="both"/>
        <w:rPr>
          <w:color w:val="000000"/>
        </w:rPr>
      </w:pPr>
      <w:r w:rsidRPr="0037624A">
        <w:rPr>
          <w:b/>
          <w:color w:val="000000"/>
          <w:u w:val="single"/>
        </w:rPr>
        <w:t>Subject:</w:t>
      </w:r>
      <w:r w:rsidR="00B65395" w:rsidRPr="0037624A">
        <w:rPr>
          <w:color w:val="000000"/>
        </w:rPr>
        <w:tab/>
      </w:r>
      <w:r w:rsidR="00FF4F38" w:rsidRPr="00FC0F8C">
        <w:rPr>
          <w:b/>
          <w:color w:val="000000"/>
        </w:rPr>
        <w:t>PG&amp;</w:t>
      </w:r>
      <w:r w:rsidR="00290438">
        <w:rPr>
          <w:b/>
          <w:color w:val="000000"/>
        </w:rPr>
        <w:t>E’s 2019</w:t>
      </w:r>
      <w:r w:rsidR="00FF4F38" w:rsidRPr="00FC0F8C">
        <w:rPr>
          <w:b/>
          <w:color w:val="000000"/>
        </w:rPr>
        <w:t xml:space="preserve"> Energy Efficiency </w:t>
      </w:r>
      <w:r w:rsidR="00373F78" w:rsidRPr="00FC0F8C">
        <w:rPr>
          <w:b/>
          <w:color w:val="000000"/>
        </w:rPr>
        <w:t xml:space="preserve">Annual Budget </w:t>
      </w:r>
      <w:r w:rsidR="00FF4F38" w:rsidRPr="00FC0F8C">
        <w:rPr>
          <w:b/>
          <w:color w:val="000000"/>
        </w:rPr>
        <w:t>Advice Letter</w:t>
      </w:r>
      <w:r w:rsidR="00AF7F4A" w:rsidRPr="00FC0F8C">
        <w:rPr>
          <w:b/>
          <w:color w:val="000000"/>
        </w:rPr>
        <w:t xml:space="preserve"> </w:t>
      </w:r>
      <w:r w:rsidR="00096C8C" w:rsidRPr="00FC0F8C">
        <w:rPr>
          <w:b/>
          <w:color w:val="000000"/>
        </w:rPr>
        <w:t>in Compliance w</w:t>
      </w:r>
      <w:r w:rsidR="00FF4F38" w:rsidRPr="00FC0F8C">
        <w:rPr>
          <w:b/>
          <w:color w:val="000000"/>
        </w:rPr>
        <w:t>ith Decision 1</w:t>
      </w:r>
      <w:r w:rsidR="00290438">
        <w:rPr>
          <w:b/>
          <w:color w:val="000000"/>
        </w:rPr>
        <w:t>8-05</w:t>
      </w:r>
      <w:r w:rsidR="00FF4F38" w:rsidRPr="00FC0F8C">
        <w:rPr>
          <w:b/>
          <w:color w:val="000000"/>
        </w:rPr>
        <w:t>-0</w:t>
      </w:r>
      <w:r w:rsidR="00290438">
        <w:rPr>
          <w:b/>
          <w:color w:val="000000"/>
        </w:rPr>
        <w:t>41</w:t>
      </w:r>
    </w:p>
    <w:p w14:paraId="430E1BA0" w14:textId="77777777" w:rsidR="00B83694" w:rsidRPr="00FC0F8C" w:rsidRDefault="00B83694" w:rsidP="00FE6916">
      <w:pPr>
        <w:rPr>
          <w:color w:val="000000"/>
        </w:rPr>
      </w:pPr>
    </w:p>
    <w:p w14:paraId="2444827A" w14:textId="20E910D2" w:rsidR="001F5D85" w:rsidRPr="00FC0F8C" w:rsidRDefault="00A656A3" w:rsidP="00FE6916">
      <w:pPr>
        <w:pStyle w:val="Heading1"/>
        <w:rPr>
          <w:color w:val="000000"/>
          <w:u w:val="none"/>
        </w:rPr>
      </w:pPr>
      <w:r w:rsidRPr="00FC0F8C">
        <w:rPr>
          <w:color w:val="000000"/>
          <w:u w:val="none"/>
        </w:rPr>
        <w:t>I.</w:t>
      </w:r>
      <w:r w:rsidRPr="00FC0F8C">
        <w:rPr>
          <w:color w:val="000000"/>
          <w:u w:val="none"/>
        </w:rPr>
        <w:tab/>
      </w:r>
      <w:r w:rsidR="001F5D85" w:rsidRPr="00FC0F8C">
        <w:rPr>
          <w:color w:val="000000"/>
          <w:u w:val="none"/>
        </w:rPr>
        <w:t>Purpose</w:t>
      </w:r>
    </w:p>
    <w:p w14:paraId="17EA0D6C" w14:textId="77777777" w:rsidR="00E62EDE" w:rsidRPr="00FC0F8C" w:rsidRDefault="00E62EDE" w:rsidP="00FE6916"/>
    <w:p w14:paraId="02958945" w14:textId="513A7994" w:rsidR="00E96728" w:rsidRPr="00FC0F8C" w:rsidRDefault="00E96728" w:rsidP="00260E01">
      <w:pPr>
        <w:jc w:val="both"/>
      </w:pPr>
      <w:r w:rsidRPr="00FC0F8C">
        <w:rPr>
          <w:color w:val="000000"/>
        </w:rPr>
        <w:t>Pacific Gas and Electric Company (PG&amp;E) hereby submits</w:t>
      </w:r>
      <w:r w:rsidR="00290438">
        <w:rPr>
          <w:color w:val="000000"/>
        </w:rPr>
        <w:t xml:space="preserve"> its 2019</w:t>
      </w:r>
      <w:r w:rsidRPr="00FC0F8C">
        <w:rPr>
          <w:color w:val="000000"/>
        </w:rPr>
        <w:t xml:space="preserve"> energy efficiency </w:t>
      </w:r>
      <w:r w:rsidR="00BE7EE2">
        <w:rPr>
          <w:color w:val="000000"/>
        </w:rPr>
        <w:t xml:space="preserve">(EE) </w:t>
      </w:r>
      <w:r w:rsidR="00290438">
        <w:rPr>
          <w:color w:val="000000"/>
        </w:rPr>
        <w:t>portfolio budget (2019</w:t>
      </w:r>
      <w:r w:rsidRPr="00FC0F8C">
        <w:rPr>
          <w:color w:val="000000"/>
        </w:rPr>
        <w:t xml:space="preserve"> EE Budget) by Tier 2 advice letter (AL) in compliance with</w:t>
      </w:r>
      <w:r w:rsidR="00926096">
        <w:rPr>
          <w:color w:val="000000"/>
        </w:rPr>
        <w:t xml:space="preserve"> </w:t>
      </w:r>
      <w:r w:rsidR="00926096" w:rsidRPr="00FC0F8C">
        <w:rPr>
          <w:color w:val="000000"/>
        </w:rPr>
        <w:t>the</w:t>
      </w:r>
      <w:r w:rsidR="00926096" w:rsidRPr="00FC0F8C">
        <w:rPr>
          <w:i/>
          <w:color w:val="000000"/>
        </w:rPr>
        <w:t xml:space="preserve"> Decision Re Energy Efficiency Goals for 2016 and Beyond and Energy Efficiency Rolling Portfolio Mechanics,</w:t>
      </w:r>
      <w:r w:rsidR="00926096" w:rsidRPr="00FC0F8C">
        <w:rPr>
          <w:color w:val="000000"/>
        </w:rPr>
        <w:t xml:space="preserve"> the “Rolling Portfolio</w:t>
      </w:r>
      <w:r w:rsidR="00926096">
        <w:rPr>
          <w:color w:val="000000"/>
        </w:rPr>
        <w:t xml:space="preserve"> decision</w:t>
      </w:r>
      <w:r w:rsidR="00926096" w:rsidRPr="00FC0F8C">
        <w:rPr>
          <w:color w:val="000000"/>
        </w:rPr>
        <w:t>”</w:t>
      </w:r>
      <w:r w:rsidR="00926096">
        <w:rPr>
          <w:color w:val="000000"/>
        </w:rPr>
        <w:t xml:space="preserve"> </w:t>
      </w:r>
      <w:r w:rsidR="00926096" w:rsidRPr="00FC0F8C">
        <w:rPr>
          <w:color w:val="000000"/>
        </w:rPr>
        <w:t>(D.15-10-028)</w:t>
      </w:r>
      <w:r w:rsidR="007E4BE2">
        <w:rPr>
          <w:color w:val="000000"/>
        </w:rPr>
        <w:t>,</w:t>
      </w:r>
      <w:r w:rsidR="00926096" w:rsidRPr="00FC0F8C">
        <w:rPr>
          <w:rStyle w:val="FootnoteReference"/>
          <w:color w:val="000000"/>
        </w:rPr>
        <w:footnoteReference w:id="2"/>
      </w:r>
      <w:r w:rsidR="00926096" w:rsidRPr="00FC0F8C">
        <w:rPr>
          <w:color w:val="000000"/>
        </w:rPr>
        <w:t xml:space="preserve"> </w:t>
      </w:r>
      <w:r w:rsidRPr="00FC0F8C">
        <w:rPr>
          <w:color w:val="000000"/>
        </w:rPr>
        <w:t>the</w:t>
      </w:r>
      <w:r w:rsidR="007D128F">
        <w:rPr>
          <w:color w:val="000000"/>
        </w:rPr>
        <w:t xml:space="preserve"> </w:t>
      </w:r>
      <w:r w:rsidR="007D128F">
        <w:rPr>
          <w:i/>
          <w:color w:val="000000"/>
        </w:rPr>
        <w:t>Decision Addressing Energy Efficiency Business Plans</w:t>
      </w:r>
      <w:r w:rsidR="0007452D">
        <w:rPr>
          <w:color w:val="000000"/>
        </w:rPr>
        <w:t xml:space="preserve"> </w:t>
      </w:r>
      <w:r w:rsidR="00290438">
        <w:rPr>
          <w:color w:val="000000"/>
        </w:rPr>
        <w:t>(D.18-05-041</w:t>
      </w:r>
      <w:r w:rsidRPr="00FC0F8C">
        <w:rPr>
          <w:color w:val="000000"/>
        </w:rPr>
        <w:t>)</w:t>
      </w:r>
      <w:r w:rsidR="007E4BE2">
        <w:rPr>
          <w:color w:val="000000"/>
        </w:rPr>
        <w:t>,</w:t>
      </w:r>
      <w:r w:rsidRPr="00FC0F8C">
        <w:rPr>
          <w:rStyle w:val="FootnoteReference"/>
          <w:color w:val="000000"/>
        </w:rPr>
        <w:footnoteReference w:id="3"/>
      </w:r>
      <w:r w:rsidRPr="00FC0F8C">
        <w:rPr>
          <w:color w:val="000000"/>
        </w:rPr>
        <w:t xml:space="preserve"> and guidance from the California Public Utilities Commission (CPUC or Commission) Energy Division </w:t>
      </w:r>
      <w:r w:rsidR="00944D95">
        <w:rPr>
          <w:color w:val="000000"/>
        </w:rPr>
        <w:t>(ED)</w:t>
      </w:r>
      <w:r w:rsidRPr="00FC0F8C">
        <w:rPr>
          <w:color w:val="000000"/>
        </w:rPr>
        <w:t xml:space="preserve"> staff (Staff</w:t>
      </w:r>
      <w:r w:rsidR="007D128F">
        <w:t>).</w:t>
      </w:r>
      <w:r w:rsidRPr="00FC0F8C">
        <w:rPr>
          <w:color w:val="000000"/>
        </w:rPr>
        <w:t xml:space="preserve">  </w:t>
      </w:r>
      <w:r w:rsidRPr="00FC0F8C">
        <w:t>This filing would not increase any current rate or charge, cause the withdrawal of service, or conflict with any rate schedule or rule.</w:t>
      </w:r>
    </w:p>
    <w:p w14:paraId="3DBFBDDC" w14:textId="77777777" w:rsidR="00E96728" w:rsidRPr="00FC0F8C" w:rsidRDefault="00E96728" w:rsidP="00260E01">
      <w:pPr>
        <w:jc w:val="both"/>
      </w:pPr>
    </w:p>
    <w:p w14:paraId="266EA77D" w14:textId="079D7B8A" w:rsidR="006C0888" w:rsidRDefault="00E96728" w:rsidP="00260E01">
      <w:pPr>
        <w:jc w:val="both"/>
        <w:rPr>
          <w:color w:val="000000"/>
        </w:rPr>
      </w:pPr>
      <w:r w:rsidRPr="00FC0F8C">
        <w:rPr>
          <w:color w:val="000000"/>
        </w:rPr>
        <w:t>PG&amp;E requests that the Co</w:t>
      </w:r>
      <w:r w:rsidR="00290438">
        <w:rPr>
          <w:color w:val="000000"/>
        </w:rPr>
        <w:t>mmission approve its 2019</w:t>
      </w:r>
      <w:r>
        <w:rPr>
          <w:color w:val="000000"/>
        </w:rPr>
        <w:t xml:space="preserve"> EE Budget, effective as of</w:t>
      </w:r>
      <w:r w:rsidR="00290438">
        <w:rPr>
          <w:color w:val="000000"/>
        </w:rPr>
        <w:t xml:space="preserve"> January 1, 2019</w:t>
      </w:r>
      <w:r w:rsidR="00281C35">
        <w:rPr>
          <w:color w:val="000000"/>
        </w:rPr>
        <w:t xml:space="preserve"> for PG&amp;E's </w:t>
      </w:r>
      <w:r>
        <w:rPr>
          <w:color w:val="000000"/>
        </w:rPr>
        <w:t>approved EE programs.</w:t>
      </w:r>
    </w:p>
    <w:p w14:paraId="7213991D" w14:textId="77777777" w:rsidR="00CC75AD" w:rsidRDefault="00CC75AD" w:rsidP="0000663C">
      <w:pPr>
        <w:jc w:val="both"/>
        <w:rPr>
          <w:color w:val="000000"/>
        </w:rPr>
      </w:pPr>
    </w:p>
    <w:p w14:paraId="1AF3DEC8" w14:textId="282A4BC2" w:rsidR="001F5D85" w:rsidRPr="0037624A" w:rsidRDefault="00A656A3" w:rsidP="0000663C">
      <w:pPr>
        <w:pStyle w:val="Heading1"/>
        <w:jc w:val="both"/>
        <w:rPr>
          <w:color w:val="000000"/>
        </w:rPr>
      </w:pPr>
      <w:r w:rsidRPr="00733FE8">
        <w:rPr>
          <w:color w:val="000000"/>
          <w:u w:val="none"/>
        </w:rPr>
        <w:t>II.</w:t>
      </w:r>
      <w:r w:rsidRPr="00733FE8">
        <w:rPr>
          <w:color w:val="000000"/>
          <w:u w:val="none"/>
        </w:rPr>
        <w:tab/>
      </w:r>
      <w:r w:rsidR="00C3387E">
        <w:rPr>
          <w:color w:val="000000"/>
          <w:u w:val="none"/>
        </w:rPr>
        <w:t xml:space="preserve">Background </w:t>
      </w:r>
    </w:p>
    <w:p w14:paraId="6A47B154" w14:textId="77777777" w:rsidR="00E3716D" w:rsidRPr="00567C4C" w:rsidRDefault="00E3716D" w:rsidP="00567C4C"/>
    <w:p w14:paraId="40BBCB02" w14:textId="26CCC29B" w:rsidR="00506644" w:rsidRPr="00FD3BF8" w:rsidRDefault="00506644" w:rsidP="00F31737">
      <w:pPr>
        <w:pStyle w:val="Heading2"/>
        <w:numPr>
          <w:ilvl w:val="0"/>
          <w:numId w:val="8"/>
        </w:numPr>
        <w:rPr>
          <w:color w:val="000000"/>
        </w:rPr>
      </w:pPr>
      <w:r w:rsidRPr="00FD3BF8">
        <w:t>Regulatory Requirements</w:t>
      </w:r>
    </w:p>
    <w:p w14:paraId="221BEA13" w14:textId="1671D17C" w:rsidR="00601D72" w:rsidRDefault="00601D72" w:rsidP="00601D72">
      <w:pPr>
        <w:overflowPunct/>
        <w:jc w:val="both"/>
        <w:textAlignment w:val="auto"/>
        <w:rPr>
          <w:rFonts w:cs="Arial"/>
          <w:color w:val="000000"/>
          <w:szCs w:val="24"/>
        </w:rPr>
      </w:pPr>
    </w:p>
    <w:p w14:paraId="7EA42AB5" w14:textId="1EE1615F" w:rsidR="00116C19" w:rsidRPr="00A164EF" w:rsidRDefault="00D4707E" w:rsidP="00601D72">
      <w:pPr>
        <w:overflowPunct/>
        <w:jc w:val="both"/>
        <w:textAlignment w:val="auto"/>
        <w:rPr>
          <w:rFonts w:cs="Arial"/>
          <w:color w:val="000000"/>
          <w:szCs w:val="24"/>
        </w:rPr>
      </w:pPr>
      <w:r w:rsidRPr="00A164EF">
        <w:rPr>
          <w:rFonts w:cs="Arial"/>
          <w:color w:val="000000"/>
          <w:szCs w:val="24"/>
        </w:rPr>
        <w:t xml:space="preserve">The Rolling Portfolio Decision </w:t>
      </w:r>
      <w:r w:rsidR="007E4BE2" w:rsidRPr="00A164EF">
        <w:rPr>
          <w:rFonts w:cs="Arial"/>
          <w:color w:val="000000"/>
          <w:szCs w:val="24"/>
        </w:rPr>
        <w:t>require</w:t>
      </w:r>
      <w:r w:rsidR="007E4BE2">
        <w:rPr>
          <w:rFonts w:cs="Arial"/>
          <w:color w:val="000000"/>
          <w:szCs w:val="24"/>
        </w:rPr>
        <w:t>s</w:t>
      </w:r>
      <w:r w:rsidR="007E4BE2" w:rsidRPr="00A164EF">
        <w:rPr>
          <w:rFonts w:cs="Arial"/>
          <w:color w:val="000000"/>
          <w:szCs w:val="24"/>
        </w:rPr>
        <w:t xml:space="preserve"> </w:t>
      </w:r>
      <w:r w:rsidR="00956EB6" w:rsidRPr="00A164EF">
        <w:rPr>
          <w:rFonts w:cs="Arial"/>
          <w:color w:val="000000"/>
          <w:szCs w:val="24"/>
        </w:rPr>
        <w:t xml:space="preserve">each program administrator </w:t>
      </w:r>
      <w:r w:rsidRPr="00A164EF">
        <w:rPr>
          <w:rFonts w:cs="Arial"/>
          <w:color w:val="000000"/>
          <w:szCs w:val="24"/>
        </w:rPr>
        <w:t>to file an advice letter</w:t>
      </w:r>
      <w:r w:rsidR="006174EC" w:rsidRPr="00A164EF">
        <w:t xml:space="preserve"> </w:t>
      </w:r>
      <w:r w:rsidR="00F8053B" w:rsidRPr="00A164EF">
        <w:t>with</w:t>
      </w:r>
      <w:r w:rsidR="006174EC" w:rsidRPr="00A164EF">
        <w:t xml:space="preserve"> a budget for the next calendar year’s </w:t>
      </w:r>
      <w:r w:rsidR="00635E66" w:rsidRPr="00A164EF">
        <w:t>EE</w:t>
      </w:r>
      <w:r w:rsidR="006174EC" w:rsidRPr="00A164EF">
        <w:t xml:space="preserve"> portfolio</w:t>
      </w:r>
      <w:r w:rsidRPr="00A164EF">
        <w:t xml:space="preserve"> </w:t>
      </w:r>
      <w:r w:rsidR="006174EC" w:rsidRPr="00A164EF">
        <w:rPr>
          <w:rFonts w:cs="Arial"/>
          <w:color w:val="000000"/>
          <w:szCs w:val="24"/>
        </w:rPr>
        <w:t>by the first business day of September each year</w:t>
      </w:r>
      <w:r w:rsidR="0082700C" w:rsidRPr="00A164EF">
        <w:rPr>
          <w:rFonts w:cs="Arial"/>
          <w:color w:val="000000"/>
          <w:szCs w:val="24"/>
        </w:rPr>
        <w:t>.</w:t>
      </w:r>
      <w:r w:rsidR="0082700C" w:rsidRPr="00A164EF">
        <w:rPr>
          <w:rStyle w:val="FootnoteReference"/>
          <w:rFonts w:cs="Arial"/>
          <w:color w:val="000000"/>
          <w:szCs w:val="24"/>
        </w:rPr>
        <w:footnoteReference w:id="4"/>
      </w:r>
      <w:r w:rsidR="00323F13" w:rsidRPr="00A164EF">
        <w:rPr>
          <w:rFonts w:cs="Arial"/>
          <w:color w:val="000000"/>
          <w:szCs w:val="24"/>
        </w:rPr>
        <w:t xml:space="preserve"> </w:t>
      </w:r>
      <w:r w:rsidR="00F449B2" w:rsidRPr="00A164EF">
        <w:rPr>
          <w:rFonts w:cs="Arial"/>
          <w:color w:val="000000"/>
          <w:szCs w:val="24"/>
        </w:rPr>
        <w:t xml:space="preserve"> </w:t>
      </w:r>
      <w:r w:rsidR="007E4BE2">
        <w:rPr>
          <w:rFonts w:cs="Arial"/>
          <w:color w:val="000000"/>
          <w:szCs w:val="24"/>
        </w:rPr>
        <w:t>D.15-10-028</w:t>
      </w:r>
      <w:r w:rsidR="00F449B2" w:rsidRPr="00A164EF">
        <w:rPr>
          <w:rFonts w:cs="Arial"/>
          <w:color w:val="000000"/>
          <w:szCs w:val="24"/>
        </w:rPr>
        <w:t xml:space="preserve"> </w:t>
      </w:r>
      <w:r w:rsidR="007E4BE2" w:rsidRPr="00A164EF">
        <w:rPr>
          <w:rFonts w:cs="Arial"/>
          <w:color w:val="000000"/>
          <w:szCs w:val="24"/>
        </w:rPr>
        <w:t>explain</w:t>
      </w:r>
      <w:r w:rsidR="007E4BE2">
        <w:rPr>
          <w:rFonts w:cs="Arial"/>
          <w:color w:val="000000"/>
          <w:szCs w:val="24"/>
        </w:rPr>
        <w:t>s</w:t>
      </w:r>
      <w:r w:rsidR="00F449B2" w:rsidRPr="00A164EF">
        <w:rPr>
          <w:rFonts w:cs="Arial"/>
          <w:color w:val="000000"/>
          <w:szCs w:val="24"/>
        </w:rPr>
        <w:t>:</w:t>
      </w:r>
    </w:p>
    <w:p w14:paraId="40F37923" w14:textId="77777777" w:rsidR="00116C19" w:rsidRPr="00A164EF" w:rsidRDefault="00116C19" w:rsidP="0000663C">
      <w:pPr>
        <w:overflowPunct/>
        <w:jc w:val="both"/>
        <w:textAlignment w:val="auto"/>
        <w:rPr>
          <w:rFonts w:cs="Arial"/>
          <w:color w:val="000000"/>
          <w:szCs w:val="24"/>
        </w:rPr>
      </w:pPr>
    </w:p>
    <w:p w14:paraId="12F314CE" w14:textId="3CD499B0" w:rsidR="008254B9" w:rsidRDefault="00956EB6" w:rsidP="00CC75AD">
      <w:pPr>
        <w:overflowPunct/>
        <w:ind w:left="720" w:right="720"/>
        <w:jc w:val="both"/>
        <w:textAlignment w:val="auto"/>
        <w:rPr>
          <w:rFonts w:cs="Arial"/>
          <w:color w:val="000000"/>
          <w:szCs w:val="24"/>
        </w:rPr>
      </w:pPr>
      <w:r w:rsidRPr="00A164EF">
        <w:rPr>
          <w:i/>
        </w:rPr>
        <w:t>The decision on the business plans will not establish a particular amount for cost recovery (for IOUs) or for transfers from IOUs (for CCAs) or for contracting purposes (for RENs). It will establish a “ballpark” figure for</w:t>
      </w:r>
      <w:r w:rsidR="00116C19" w:rsidRPr="00A164EF">
        <w:rPr>
          <w:rFonts w:cs="Arial"/>
          <w:i/>
          <w:szCs w:val="24"/>
        </w:rPr>
        <w:t xml:space="preserve"> </w:t>
      </w:r>
      <w:r w:rsidRPr="00A164EF">
        <w:rPr>
          <w:i/>
        </w:rPr>
        <w:lastRenderedPageBreak/>
        <w:t>spending for the life of the business plan. The annual advice letter filings, not the</w:t>
      </w:r>
      <w:r w:rsidR="00116C19" w:rsidRPr="00A164EF">
        <w:rPr>
          <w:rFonts w:cs="Arial"/>
          <w:i/>
          <w:szCs w:val="24"/>
        </w:rPr>
        <w:t xml:space="preserve"> </w:t>
      </w:r>
      <w:r w:rsidRPr="00A164EF">
        <w:rPr>
          <w:i/>
        </w:rPr>
        <w:t>business plans, will propose detailed budgets for cost recovery, transfer, and</w:t>
      </w:r>
      <w:r w:rsidR="00116C19" w:rsidRPr="00A164EF">
        <w:rPr>
          <w:rFonts w:cs="Arial"/>
          <w:i/>
          <w:szCs w:val="24"/>
        </w:rPr>
        <w:t xml:space="preserve"> </w:t>
      </w:r>
      <w:r w:rsidRPr="00A164EF">
        <w:rPr>
          <w:i/>
        </w:rPr>
        <w:t xml:space="preserve">contracting purposes. </w:t>
      </w:r>
    </w:p>
    <w:p w14:paraId="5E5A382A" w14:textId="1BFC0AD7" w:rsidR="0086687B" w:rsidRDefault="0086687B" w:rsidP="0000663C">
      <w:pPr>
        <w:overflowPunct/>
        <w:jc w:val="both"/>
        <w:textAlignment w:val="auto"/>
        <w:rPr>
          <w:rFonts w:cs="Arial"/>
          <w:color w:val="000000"/>
          <w:szCs w:val="24"/>
        </w:rPr>
      </w:pPr>
    </w:p>
    <w:p w14:paraId="6B9E6941" w14:textId="7BA17B20" w:rsidR="00116C19" w:rsidRPr="00E95E0E" w:rsidRDefault="00281C35" w:rsidP="0000663C">
      <w:pPr>
        <w:overflowPunct/>
        <w:jc w:val="both"/>
        <w:textAlignment w:val="auto"/>
        <w:rPr>
          <w:rFonts w:cs="Arial"/>
          <w:color w:val="000000"/>
          <w:szCs w:val="24"/>
        </w:rPr>
      </w:pPr>
      <w:r w:rsidRPr="006534E6">
        <w:rPr>
          <w:rFonts w:cs="Arial"/>
          <w:color w:val="000000"/>
          <w:szCs w:val="24"/>
        </w:rPr>
        <w:t xml:space="preserve">PG&amp;E's proposed budget </w:t>
      </w:r>
      <w:r w:rsidR="00947C8A" w:rsidRPr="00AA0D06">
        <w:rPr>
          <w:rFonts w:cs="Arial"/>
          <w:color w:val="000000"/>
          <w:szCs w:val="24"/>
        </w:rPr>
        <w:t>($350</w:t>
      </w:r>
      <w:r w:rsidR="00947C8A">
        <w:rPr>
          <w:rFonts w:cs="Arial"/>
          <w:color w:val="000000"/>
          <w:szCs w:val="24"/>
        </w:rPr>
        <w:t>,686,090</w:t>
      </w:r>
      <w:r w:rsidR="0005171F" w:rsidRPr="006534E6">
        <w:rPr>
          <w:rFonts w:cs="Arial"/>
          <w:color w:val="000000"/>
          <w:szCs w:val="24"/>
        </w:rPr>
        <w:t>)</w:t>
      </w:r>
      <w:r w:rsidR="0005171F" w:rsidRPr="0005171F">
        <w:rPr>
          <w:rFonts w:cs="Arial"/>
          <w:color w:val="000000"/>
          <w:szCs w:val="24"/>
        </w:rPr>
        <w:t xml:space="preserve"> </w:t>
      </w:r>
      <w:r>
        <w:rPr>
          <w:rFonts w:cs="Arial"/>
          <w:color w:val="000000"/>
          <w:szCs w:val="24"/>
        </w:rPr>
        <w:t xml:space="preserve">includes the </w:t>
      </w:r>
      <w:r w:rsidR="00A75F74">
        <w:rPr>
          <w:rFonts w:cs="Arial"/>
          <w:color w:val="000000"/>
          <w:szCs w:val="24"/>
        </w:rPr>
        <w:t xml:space="preserve">currently authorized </w:t>
      </w:r>
      <w:r>
        <w:rPr>
          <w:rFonts w:cs="Arial"/>
          <w:color w:val="000000"/>
          <w:szCs w:val="24"/>
        </w:rPr>
        <w:t>funding amounts for Marin Clean Energy (MCE) and the Bay Area Regional Energy Network</w:t>
      </w:r>
      <w:r w:rsidR="004D5A7A">
        <w:rPr>
          <w:rFonts w:cs="Arial"/>
          <w:color w:val="000000"/>
          <w:szCs w:val="24"/>
        </w:rPr>
        <w:t xml:space="preserve"> (BayREN)</w:t>
      </w:r>
      <w:r>
        <w:rPr>
          <w:rFonts w:cs="Arial"/>
          <w:color w:val="000000"/>
          <w:szCs w:val="24"/>
        </w:rPr>
        <w:t xml:space="preserve">.  </w:t>
      </w:r>
    </w:p>
    <w:p w14:paraId="6EF8A618" w14:textId="77777777" w:rsidR="008254B9" w:rsidRDefault="008254B9" w:rsidP="0000663C">
      <w:pPr>
        <w:overflowPunct/>
        <w:jc w:val="both"/>
        <w:textAlignment w:val="auto"/>
        <w:rPr>
          <w:rFonts w:cs="Arial"/>
          <w:color w:val="000000"/>
          <w:szCs w:val="24"/>
        </w:rPr>
      </w:pPr>
    </w:p>
    <w:p w14:paraId="50BC6069" w14:textId="3564CD78" w:rsidR="00A42BCA" w:rsidRDefault="002A34EA" w:rsidP="00A42BCA">
      <w:pPr>
        <w:overflowPunct/>
        <w:textAlignment w:val="auto"/>
        <w:rPr>
          <w:rFonts w:cs="Arial"/>
          <w:color w:val="000000"/>
          <w:szCs w:val="24"/>
        </w:rPr>
      </w:pPr>
      <w:r>
        <w:rPr>
          <w:color w:val="000000"/>
        </w:rPr>
        <w:t>T</w:t>
      </w:r>
      <w:r w:rsidRPr="00FC0F8C">
        <w:rPr>
          <w:color w:val="000000"/>
        </w:rPr>
        <w:t>he</w:t>
      </w:r>
      <w:r>
        <w:rPr>
          <w:color w:val="000000"/>
        </w:rPr>
        <w:t xml:space="preserve"> </w:t>
      </w:r>
      <w:r>
        <w:rPr>
          <w:i/>
          <w:color w:val="000000"/>
        </w:rPr>
        <w:t>Decision Addressing Energy Efficiency Business Plans</w:t>
      </w:r>
      <w:r>
        <w:rPr>
          <w:color w:val="000000"/>
        </w:rPr>
        <w:t xml:space="preserve"> (D.18-05-041</w:t>
      </w:r>
      <w:r w:rsidRPr="00FC0F8C">
        <w:rPr>
          <w:color w:val="000000"/>
        </w:rPr>
        <w:t>)</w:t>
      </w:r>
      <w:r w:rsidRPr="00FC0F8C">
        <w:rPr>
          <w:rStyle w:val="FootnoteReference"/>
          <w:color w:val="000000"/>
        </w:rPr>
        <w:footnoteReference w:id="5"/>
      </w:r>
      <w:r w:rsidR="00C55265">
        <w:rPr>
          <w:rFonts w:cs="Arial"/>
          <w:color w:val="000000"/>
          <w:szCs w:val="24"/>
        </w:rPr>
        <w:t xml:space="preserve">, issued </w:t>
      </w:r>
      <w:r>
        <w:rPr>
          <w:rFonts w:cs="Arial"/>
          <w:color w:val="000000"/>
          <w:szCs w:val="24"/>
        </w:rPr>
        <w:t>May 31, 2018, established September 4, 2018</w:t>
      </w:r>
      <w:r w:rsidR="00C55265">
        <w:rPr>
          <w:rFonts w:cs="Arial"/>
          <w:color w:val="000000"/>
          <w:szCs w:val="24"/>
        </w:rPr>
        <w:t xml:space="preserve"> as the deadline for the </w:t>
      </w:r>
      <w:r>
        <w:rPr>
          <w:rFonts w:cs="Arial"/>
          <w:color w:val="000000"/>
          <w:szCs w:val="24"/>
        </w:rPr>
        <w:t xml:space="preserve">2019 </w:t>
      </w:r>
      <w:r w:rsidR="00C55265">
        <w:rPr>
          <w:color w:val="000000"/>
        </w:rPr>
        <w:t>a</w:t>
      </w:r>
      <w:r w:rsidR="00C55265" w:rsidRPr="00405F9C">
        <w:rPr>
          <w:color w:val="000000"/>
        </w:rPr>
        <w:t xml:space="preserve">nnual </w:t>
      </w:r>
      <w:r w:rsidR="00C55265" w:rsidRPr="00B4241D">
        <w:rPr>
          <w:rFonts w:cs="Arial"/>
          <w:color w:val="000000"/>
          <w:szCs w:val="24"/>
        </w:rPr>
        <w:t xml:space="preserve">budget </w:t>
      </w:r>
      <w:r w:rsidR="00F3021F">
        <w:rPr>
          <w:rFonts w:cs="Arial"/>
          <w:color w:val="000000"/>
          <w:szCs w:val="24"/>
        </w:rPr>
        <w:t>AL</w:t>
      </w:r>
      <w:r w:rsidR="00C55265">
        <w:rPr>
          <w:rFonts w:cs="Arial"/>
          <w:color w:val="000000"/>
          <w:szCs w:val="24"/>
        </w:rPr>
        <w:t>s.</w:t>
      </w:r>
    </w:p>
    <w:p w14:paraId="00A6705F" w14:textId="7501B465" w:rsidR="00CC75AD" w:rsidRPr="00A164EF" w:rsidDel="00E279E5" w:rsidRDefault="00CC75AD" w:rsidP="00A42BCA">
      <w:pPr>
        <w:overflowPunct/>
        <w:jc w:val="both"/>
        <w:textAlignment w:val="auto"/>
        <w:rPr>
          <w:b/>
          <w:color w:val="000000"/>
        </w:rPr>
      </w:pPr>
    </w:p>
    <w:p w14:paraId="3738E1D8" w14:textId="60854502" w:rsidR="00D46857" w:rsidRPr="00A164EF" w:rsidRDefault="00766CC2" w:rsidP="00F31737">
      <w:pPr>
        <w:pStyle w:val="Heading2"/>
        <w:numPr>
          <w:ilvl w:val="0"/>
          <w:numId w:val="8"/>
        </w:numPr>
        <w:rPr>
          <w:color w:val="000000"/>
        </w:rPr>
      </w:pPr>
      <w:r w:rsidRPr="00A91DD1">
        <w:t>Fil</w:t>
      </w:r>
      <w:r w:rsidRPr="00E53834">
        <w:rPr>
          <w:color w:val="000000"/>
        </w:rPr>
        <w:t>ing</w:t>
      </w:r>
      <w:r w:rsidR="00466130" w:rsidRPr="00E53834">
        <w:rPr>
          <w:color w:val="000000"/>
        </w:rPr>
        <w:t xml:space="preserve"> </w:t>
      </w:r>
      <w:r w:rsidRPr="00E53834">
        <w:rPr>
          <w:color w:val="000000"/>
        </w:rPr>
        <w:t>R</w:t>
      </w:r>
      <w:r w:rsidR="00466130" w:rsidRPr="00E53834">
        <w:rPr>
          <w:color w:val="000000"/>
        </w:rPr>
        <w:t>equirements</w:t>
      </w:r>
    </w:p>
    <w:p w14:paraId="53A01BA9" w14:textId="0A98439D" w:rsidR="00D46857" w:rsidRPr="00A164EF" w:rsidRDefault="00D46857" w:rsidP="0000663C">
      <w:pPr>
        <w:jc w:val="both"/>
        <w:rPr>
          <w:color w:val="000000"/>
        </w:rPr>
      </w:pPr>
    </w:p>
    <w:p w14:paraId="272D4153" w14:textId="77777777" w:rsidR="00166733" w:rsidRDefault="00166733" w:rsidP="00166733">
      <w:pPr>
        <w:spacing w:after="240"/>
        <w:rPr>
          <w:rFonts w:eastAsia="Arial" w:cs="Arial"/>
        </w:rPr>
      </w:pPr>
      <w:r>
        <w:rPr>
          <w:rFonts w:eastAsia="Arial" w:cs="Arial"/>
        </w:rPr>
        <w:t>D.15-10-028 requires each EE Program Administrator (PA) to file a Tier 2 advice letter with the PA’s annual EE budget for the coming year in September of each year</w:t>
      </w:r>
      <w:r>
        <w:rPr>
          <w:rStyle w:val="FootnoteReference"/>
          <w:rFonts w:eastAsia="Arial" w:cs="Arial"/>
        </w:rPr>
        <w:footnoteReference w:id="6"/>
      </w:r>
      <w:r>
        <w:rPr>
          <w:rFonts w:eastAsia="Arial" w:cs="Arial"/>
        </w:rPr>
        <w:t xml:space="preserve"> and requires such advice letters to contain: </w:t>
      </w:r>
    </w:p>
    <w:p w14:paraId="0E2FD529" w14:textId="77777777" w:rsidR="00166733" w:rsidRDefault="00166733" w:rsidP="00F31737">
      <w:pPr>
        <w:numPr>
          <w:ilvl w:val="0"/>
          <w:numId w:val="12"/>
        </w:numPr>
        <w:spacing w:after="240"/>
        <w:rPr>
          <w:rFonts w:eastAsia="Arial" w:cs="Arial"/>
        </w:rPr>
      </w:pPr>
      <w:r>
        <w:rPr>
          <w:rFonts w:eastAsia="Arial" w:cs="Arial"/>
        </w:rPr>
        <w:t>Portfolio cost-effectiveness statement; and</w:t>
      </w:r>
    </w:p>
    <w:p w14:paraId="5C114EB9" w14:textId="77777777" w:rsidR="00166733" w:rsidRPr="00A16E7A" w:rsidRDefault="00166733" w:rsidP="00F31737">
      <w:pPr>
        <w:numPr>
          <w:ilvl w:val="0"/>
          <w:numId w:val="12"/>
        </w:numPr>
        <w:spacing w:after="240"/>
        <w:rPr>
          <w:rFonts w:eastAsia="Arial" w:cs="Arial"/>
        </w:rPr>
      </w:pPr>
      <w:r>
        <w:rPr>
          <w:rFonts w:eastAsia="Arial" w:cs="Arial"/>
        </w:rPr>
        <w:t>Application summary tables with forecast budgets and savings by sector and program/intervention.</w:t>
      </w:r>
    </w:p>
    <w:p w14:paraId="1F05FE54" w14:textId="7CFD7AD3" w:rsidR="00166733" w:rsidRDefault="00166733" w:rsidP="00166733">
      <w:pPr>
        <w:spacing w:after="240"/>
        <w:rPr>
          <w:rFonts w:eastAsia="Arial" w:cs="Arial"/>
        </w:rPr>
      </w:pPr>
      <w:r>
        <w:rPr>
          <w:rFonts w:eastAsia="Arial" w:cs="Arial"/>
        </w:rPr>
        <w:t>Furthermore, D.18-05-041 provided additional guidance to PAs in submitting Annual Budget Advice Letters (ABAL).  D.18-05-041 requires that the IOUs</w:t>
      </w:r>
      <w:r w:rsidR="007E4BE2">
        <w:rPr>
          <w:rFonts w:eastAsia="Arial" w:cs="Arial"/>
        </w:rPr>
        <w:t>’</w:t>
      </w:r>
      <w:r>
        <w:rPr>
          <w:rFonts w:eastAsia="Arial" w:cs="Arial"/>
        </w:rPr>
        <w:t xml:space="preserve"> ABAL</w:t>
      </w:r>
      <w:r w:rsidR="007E4BE2">
        <w:rPr>
          <w:rFonts w:eastAsia="Arial" w:cs="Arial"/>
        </w:rPr>
        <w:t>s</w:t>
      </w:r>
      <w:r>
        <w:rPr>
          <w:rFonts w:eastAsia="Arial" w:cs="Arial"/>
        </w:rPr>
        <w:t xml:space="preserve"> include the following:</w:t>
      </w:r>
    </w:p>
    <w:p w14:paraId="43FA9E4E" w14:textId="69492ACB" w:rsidR="00166733" w:rsidRDefault="00166733" w:rsidP="00F31737">
      <w:pPr>
        <w:numPr>
          <w:ilvl w:val="0"/>
          <w:numId w:val="13"/>
        </w:numPr>
        <w:spacing w:after="240"/>
        <w:rPr>
          <w:rFonts w:eastAsia="Arial" w:cs="Arial"/>
        </w:rPr>
      </w:pPr>
      <w:r>
        <w:rPr>
          <w:rFonts w:eastAsia="Arial" w:cs="Arial"/>
        </w:rPr>
        <w:t xml:space="preserve">A forecasted TRC that must meet or exceed 1.25, except during program years 2019-2022, when the forecasted TRC must meet or exceed 1.0; </w:t>
      </w:r>
    </w:p>
    <w:p w14:paraId="0097DC40" w14:textId="7F80A5A5" w:rsidR="00166733" w:rsidRDefault="00166733" w:rsidP="00F31737">
      <w:pPr>
        <w:numPr>
          <w:ilvl w:val="0"/>
          <w:numId w:val="13"/>
        </w:numPr>
        <w:spacing w:after="240"/>
        <w:rPr>
          <w:rFonts w:eastAsia="Arial" w:cs="Arial"/>
        </w:rPr>
      </w:pPr>
      <w:r>
        <w:rPr>
          <w:rFonts w:eastAsia="Arial" w:cs="Arial"/>
        </w:rPr>
        <w:t xml:space="preserve">Forecasted energy savings goals that must meet or exceed Commission established savings goals for each IOU; and </w:t>
      </w:r>
    </w:p>
    <w:p w14:paraId="5CE9226B" w14:textId="0C8BAE86" w:rsidR="00166733" w:rsidRDefault="00166733" w:rsidP="00F31737">
      <w:pPr>
        <w:numPr>
          <w:ilvl w:val="0"/>
          <w:numId w:val="13"/>
        </w:numPr>
        <w:spacing w:after="240"/>
        <w:rPr>
          <w:rFonts w:eastAsia="Arial" w:cs="Arial"/>
        </w:rPr>
      </w:pPr>
      <w:r>
        <w:rPr>
          <w:rFonts w:eastAsia="Arial" w:cs="Arial"/>
        </w:rPr>
        <w:t>A forecasted budget that must not exceed the PA’s annual budget in the approved business plans, or (if applicable) the revised annual budget in this ABAL.</w:t>
      </w:r>
      <w:r w:rsidRPr="004B22A2">
        <w:rPr>
          <w:rStyle w:val="FootnoteReference"/>
          <w:rFonts w:eastAsia="Arial" w:cs="Arial"/>
        </w:rPr>
        <w:t xml:space="preserve"> </w:t>
      </w:r>
      <w:r>
        <w:rPr>
          <w:rStyle w:val="FootnoteReference"/>
          <w:rFonts w:eastAsia="Arial" w:cs="Arial"/>
        </w:rPr>
        <w:footnoteReference w:id="7"/>
      </w:r>
    </w:p>
    <w:p w14:paraId="76DA524A" w14:textId="58C03660" w:rsidR="00166733" w:rsidRDefault="00166733" w:rsidP="00166733">
      <w:pPr>
        <w:spacing w:after="240"/>
        <w:rPr>
          <w:b/>
          <w:bCs/>
          <w:u w:val="single"/>
        </w:rPr>
      </w:pPr>
      <w:r w:rsidRPr="00D331AB">
        <w:rPr>
          <w:rFonts w:eastAsia="Arial" w:cs="Arial"/>
        </w:rPr>
        <w:t xml:space="preserve">If a PA’s ABAL submitted for program year 2019 through program year 2022 fails to meet the criteria above, the PA is to hold a workshop to explain why it failed to meet the above criteria to provide transparency of the challenges in meeting the criteria and </w:t>
      </w:r>
      <w:r w:rsidRPr="00D331AB">
        <w:rPr>
          <w:rFonts w:eastAsia="Arial" w:cs="Arial"/>
        </w:rPr>
        <w:lastRenderedPageBreak/>
        <w:t>potentially aid the PA in revising its business pl</w:t>
      </w:r>
      <w:r>
        <w:rPr>
          <w:rFonts w:eastAsia="Arial" w:cs="Arial"/>
        </w:rPr>
        <w:t>an pursuant to D.15-10-028 for C</w:t>
      </w:r>
      <w:r w:rsidRPr="00D331AB">
        <w:rPr>
          <w:rFonts w:eastAsia="Arial" w:cs="Arial"/>
        </w:rPr>
        <w:t>ommission approval.</w:t>
      </w:r>
    </w:p>
    <w:p w14:paraId="59753729" w14:textId="77777777" w:rsidR="00F41946" w:rsidRPr="00567C4C" w:rsidRDefault="00F41946" w:rsidP="00567C4C">
      <w:pPr>
        <w:overflowPunct/>
        <w:autoSpaceDE/>
        <w:autoSpaceDN/>
        <w:adjustRightInd/>
        <w:jc w:val="both"/>
        <w:textAlignment w:val="auto"/>
        <w:rPr>
          <w:b/>
          <w:color w:val="000000"/>
        </w:rPr>
      </w:pPr>
    </w:p>
    <w:p w14:paraId="483E25A7" w14:textId="466D9200" w:rsidR="00506644" w:rsidRPr="007F57DB" w:rsidRDefault="00766CC2" w:rsidP="00F31737">
      <w:pPr>
        <w:pStyle w:val="Heading2"/>
        <w:numPr>
          <w:ilvl w:val="0"/>
          <w:numId w:val="8"/>
        </w:numPr>
        <w:rPr>
          <w:color w:val="000000"/>
        </w:rPr>
      </w:pPr>
      <w:r w:rsidRPr="007F57DB">
        <w:rPr>
          <w:color w:val="000000"/>
        </w:rPr>
        <w:t xml:space="preserve">Contents of this Filing </w:t>
      </w:r>
    </w:p>
    <w:p w14:paraId="3AE42437" w14:textId="77777777" w:rsidR="00766CC2" w:rsidRDefault="00766CC2" w:rsidP="0000663C">
      <w:pPr>
        <w:jc w:val="both"/>
        <w:rPr>
          <w:b/>
          <w:color w:val="000000"/>
        </w:rPr>
      </w:pPr>
    </w:p>
    <w:p w14:paraId="73C95642" w14:textId="550A81D2" w:rsidR="00716811" w:rsidRPr="008E6649" w:rsidRDefault="00C55265" w:rsidP="0000663C">
      <w:pPr>
        <w:jc w:val="both"/>
        <w:rPr>
          <w:color w:val="000000"/>
        </w:rPr>
      </w:pPr>
      <w:r>
        <w:rPr>
          <w:color w:val="000000"/>
        </w:rPr>
        <w:t xml:space="preserve">PG&amp;E's advice letter is organized as follows: </w:t>
      </w:r>
    </w:p>
    <w:p w14:paraId="0DFF1465" w14:textId="77777777" w:rsidR="00716811" w:rsidRDefault="00716811" w:rsidP="0000663C">
      <w:pPr>
        <w:jc w:val="both"/>
        <w:rPr>
          <w:color w:val="000000"/>
        </w:rPr>
      </w:pPr>
    </w:p>
    <w:p w14:paraId="0DBE2842" w14:textId="77777777" w:rsidR="00716811" w:rsidRDefault="00716811" w:rsidP="00F31737">
      <w:pPr>
        <w:pStyle w:val="ListParagraph"/>
        <w:numPr>
          <w:ilvl w:val="0"/>
          <w:numId w:val="4"/>
        </w:numPr>
        <w:jc w:val="both"/>
        <w:rPr>
          <w:color w:val="000000"/>
        </w:rPr>
      </w:pPr>
      <w:r>
        <w:rPr>
          <w:color w:val="000000"/>
        </w:rPr>
        <w:t xml:space="preserve">Budget </w:t>
      </w:r>
    </w:p>
    <w:p w14:paraId="52339B14" w14:textId="77777777" w:rsidR="00716811" w:rsidRPr="008E6649" w:rsidRDefault="00716811" w:rsidP="00F31737">
      <w:pPr>
        <w:pStyle w:val="ListParagraph"/>
        <w:numPr>
          <w:ilvl w:val="0"/>
          <w:numId w:val="4"/>
        </w:numPr>
        <w:jc w:val="both"/>
        <w:rPr>
          <w:color w:val="000000"/>
        </w:rPr>
      </w:pPr>
      <w:r w:rsidRPr="008E6649">
        <w:rPr>
          <w:color w:val="000000"/>
        </w:rPr>
        <w:t xml:space="preserve">Goals </w:t>
      </w:r>
    </w:p>
    <w:p w14:paraId="20D13C90" w14:textId="3BC0F3C0" w:rsidR="00716811" w:rsidRDefault="00716811" w:rsidP="00F31737">
      <w:pPr>
        <w:pStyle w:val="ListParagraph"/>
        <w:numPr>
          <w:ilvl w:val="0"/>
          <w:numId w:val="4"/>
        </w:numPr>
        <w:jc w:val="both"/>
        <w:rPr>
          <w:color w:val="000000"/>
        </w:rPr>
      </w:pPr>
      <w:r w:rsidRPr="008E6649">
        <w:rPr>
          <w:color w:val="000000"/>
        </w:rPr>
        <w:t>Cost Effectiveness</w:t>
      </w:r>
    </w:p>
    <w:p w14:paraId="4644EF59" w14:textId="382FDE03" w:rsidR="003E12ED" w:rsidRDefault="003E12ED" w:rsidP="00F31737">
      <w:pPr>
        <w:pStyle w:val="ListParagraph"/>
        <w:numPr>
          <w:ilvl w:val="0"/>
          <w:numId w:val="4"/>
        </w:numPr>
        <w:jc w:val="both"/>
        <w:rPr>
          <w:color w:val="000000"/>
        </w:rPr>
      </w:pPr>
      <w:r>
        <w:rPr>
          <w:color w:val="000000"/>
        </w:rPr>
        <w:t>Metrics</w:t>
      </w:r>
    </w:p>
    <w:p w14:paraId="4BC0C590" w14:textId="640F73F3" w:rsidR="003E12ED" w:rsidRPr="00685585" w:rsidRDefault="00685585" w:rsidP="00685585">
      <w:pPr>
        <w:pStyle w:val="ListParagraph"/>
        <w:numPr>
          <w:ilvl w:val="0"/>
          <w:numId w:val="4"/>
        </w:numPr>
        <w:jc w:val="both"/>
        <w:rPr>
          <w:color w:val="000000"/>
        </w:rPr>
      </w:pPr>
      <w:r>
        <w:rPr>
          <w:color w:val="000000"/>
        </w:rPr>
        <w:t xml:space="preserve">Program and </w:t>
      </w:r>
      <w:r w:rsidR="003E12ED" w:rsidRPr="00685585">
        <w:rPr>
          <w:color w:val="000000"/>
        </w:rPr>
        <w:t>Portfolio Changes</w:t>
      </w:r>
    </w:p>
    <w:p w14:paraId="1F2C7835" w14:textId="77777777" w:rsidR="003E12ED" w:rsidRDefault="003E12ED" w:rsidP="00F31737">
      <w:pPr>
        <w:pStyle w:val="ListParagraph"/>
        <w:numPr>
          <w:ilvl w:val="0"/>
          <w:numId w:val="4"/>
        </w:numPr>
        <w:jc w:val="both"/>
        <w:rPr>
          <w:color w:val="000000"/>
        </w:rPr>
      </w:pPr>
      <w:r>
        <w:rPr>
          <w:color w:val="000000"/>
        </w:rPr>
        <w:t xml:space="preserve">Prior Years’ </w:t>
      </w:r>
      <w:r w:rsidRPr="008E6649">
        <w:rPr>
          <w:color w:val="000000"/>
        </w:rPr>
        <w:t>Unspent Funds</w:t>
      </w:r>
      <w:r w:rsidRPr="00E82D5C">
        <w:rPr>
          <w:color w:val="000000"/>
        </w:rPr>
        <w:t xml:space="preserve"> </w:t>
      </w:r>
    </w:p>
    <w:p w14:paraId="483E2BD0" w14:textId="246C5B2F" w:rsidR="003E12ED" w:rsidRDefault="003E12ED" w:rsidP="00F31737">
      <w:pPr>
        <w:pStyle w:val="ListParagraph"/>
        <w:numPr>
          <w:ilvl w:val="0"/>
          <w:numId w:val="4"/>
        </w:numPr>
        <w:jc w:val="both"/>
        <w:rPr>
          <w:color w:val="000000"/>
        </w:rPr>
      </w:pPr>
      <w:r>
        <w:rPr>
          <w:color w:val="000000"/>
        </w:rPr>
        <w:t>Fund Shifting</w:t>
      </w:r>
    </w:p>
    <w:p w14:paraId="2AD94376" w14:textId="3FCD99B2" w:rsidR="00716811" w:rsidRDefault="00716811" w:rsidP="00F31737">
      <w:pPr>
        <w:pStyle w:val="ListParagraph"/>
        <w:numPr>
          <w:ilvl w:val="0"/>
          <w:numId w:val="4"/>
        </w:numPr>
        <w:jc w:val="both"/>
        <w:rPr>
          <w:color w:val="000000"/>
        </w:rPr>
      </w:pPr>
      <w:r>
        <w:rPr>
          <w:color w:val="000000"/>
        </w:rPr>
        <w:t>Evaluation, Measurement &amp; Verification (EM&amp;V)</w:t>
      </w:r>
    </w:p>
    <w:p w14:paraId="4730D7FF" w14:textId="77777777" w:rsidR="00A9054B" w:rsidRDefault="00A9054B" w:rsidP="00A9054B">
      <w:pPr>
        <w:pStyle w:val="ListParagraph"/>
        <w:numPr>
          <w:ilvl w:val="0"/>
          <w:numId w:val="4"/>
        </w:numPr>
        <w:jc w:val="both"/>
        <w:rPr>
          <w:color w:val="000000"/>
        </w:rPr>
      </w:pPr>
      <w:r>
        <w:rPr>
          <w:color w:val="000000"/>
        </w:rPr>
        <w:t>Budget and Savings True-Ups</w:t>
      </w:r>
    </w:p>
    <w:p w14:paraId="71DFDF84" w14:textId="77777777" w:rsidR="00716811" w:rsidRDefault="00716811" w:rsidP="0000663C">
      <w:pPr>
        <w:jc w:val="both"/>
        <w:rPr>
          <w:color w:val="000000"/>
        </w:rPr>
      </w:pPr>
    </w:p>
    <w:p w14:paraId="63203DBD" w14:textId="67F0406C" w:rsidR="00A95CE1" w:rsidRDefault="00716811" w:rsidP="0000663C">
      <w:pPr>
        <w:jc w:val="both"/>
        <w:rPr>
          <w:color w:val="000000"/>
        </w:rPr>
      </w:pPr>
      <w:r>
        <w:rPr>
          <w:color w:val="000000"/>
        </w:rPr>
        <w:t xml:space="preserve">In addition to the information above, </w:t>
      </w:r>
      <w:r w:rsidR="00297510">
        <w:rPr>
          <w:color w:val="000000"/>
        </w:rPr>
        <w:t xml:space="preserve">PG&amp;E’s </w:t>
      </w:r>
      <w:r w:rsidR="00601D72">
        <w:rPr>
          <w:color w:val="000000"/>
        </w:rPr>
        <w:t>2</w:t>
      </w:r>
      <w:r w:rsidR="00601D72" w:rsidRPr="00CF5C4E">
        <w:rPr>
          <w:color w:val="000000"/>
        </w:rPr>
        <w:t>01</w:t>
      </w:r>
      <w:r w:rsidR="003E12ED">
        <w:rPr>
          <w:color w:val="000000"/>
        </w:rPr>
        <w:t>9</w:t>
      </w:r>
      <w:r w:rsidR="00601D72" w:rsidRPr="00CF5C4E">
        <w:rPr>
          <w:color w:val="000000"/>
        </w:rPr>
        <w:t xml:space="preserve"> </w:t>
      </w:r>
      <w:r w:rsidR="00766CC2" w:rsidRPr="00CF5C4E">
        <w:rPr>
          <w:color w:val="000000"/>
        </w:rPr>
        <w:t xml:space="preserve">EE </w:t>
      </w:r>
      <w:r w:rsidR="006D05E2">
        <w:rPr>
          <w:color w:val="000000"/>
        </w:rPr>
        <w:t>b</w:t>
      </w:r>
      <w:r w:rsidR="00766CC2" w:rsidRPr="00CF5C4E">
        <w:rPr>
          <w:color w:val="000000"/>
        </w:rPr>
        <w:t>udget</w:t>
      </w:r>
      <w:r w:rsidR="00766CC2">
        <w:rPr>
          <w:color w:val="000000"/>
        </w:rPr>
        <w:t xml:space="preserve"> </w:t>
      </w:r>
      <w:r w:rsidR="008F00D9">
        <w:rPr>
          <w:color w:val="000000"/>
        </w:rPr>
        <w:t>AL</w:t>
      </w:r>
      <w:r w:rsidR="00A95CE1">
        <w:rPr>
          <w:color w:val="000000"/>
        </w:rPr>
        <w:t xml:space="preserve"> includes </w:t>
      </w:r>
      <w:r w:rsidR="00F8053B">
        <w:rPr>
          <w:color w:val="000000"/>
        </w:rPr>
        <w:t>the following</w:t>
      </w:r>
      <w:r w:rsidR="00297510">
        <w:rPr>
          <w:color w:val="000000"/>
        </w:rPr>
        <w:t xml:space="preserve"> materials:</w:t>
      </w:r>
    </w:p>
    <w:p w14:paraId="6E51E660" w14:textId="6CA9E1AF" w:rsidR="00A5414F" w:rsidRDefault="009B6B42" w:rsidP="009B6B42">
      <w:pPr>
        <w:tabs>
          <w:tab w:val="left" w:pos="1770"/>
        </w:tabs>
        <w:jc w:val="both"/>
        <w:rPr>
          <w:color w:val="000000"/>
        </w:rPr>
      </w:pPr>
      <w:r>
        <w:rPr>
          <w:color w:val="000000"/>
        </w:rPr>
        <w:tab/>
      </w:r>
      <w:r w:rsidR="00297510">
        <w:rPr>
          <w:color w:val="000000"/>
        </w:rPr>
        <w:t xml:space="preserve"> </w:t>
      </w:r>
    </w:p>
    <w:p w14:paraId="64172C76" w14:textId="56FFE7B6" w:rsidR="00C97C61" w:rsidRPr="008660D4" w:rsidDel="00C3387E" w:rsidRDefault="00C97C61" w:rsidP="00F31737">
      <w:pPr>
        <w:pStyle w:val="ListParagraph"/>
        <w:numPr>
          <w:ilvl w:val="0"/>
          <w:numId w:val="3"/>
        </w:numPr>
        <w:jc w:val="both"/>
        <w:rPr>
          <w:color w:val="000000"/>
        </w:rPr>
      </w:pPr>
      <w:r w:rsidRPr="00740F34" w:rsidDel="00C3387E">
        <w:rPr>
          <w:color w:val="000000"/>
        </w:rPr>
        <w:t>Attach</w:t>
      </w:r>
      <w:r w:rsidRPr="009047D2" w:rsidDel="00C3387E">
        <w:rPr>
          <w:color w:val="000000"/>
        </w:rPr>
        <w:t>ment</w:t>
      </w:r>
      <w:r w:rsidRPr="008660D4" w:rsidDel="00C3387E">
        <w:rPr>
          <w:color w:val="000000"/>
        </w:rPr>
        <w:t>s</w:t>
      </w:r>
    </w:p>
    <w:p w14:paraId="379C02DE" w14:textId="13AF2EDD" w:rsidR="00C97C61" w:rsidRPr="008660D4" w:rsidDel="00C3387E" w:rsidRDefault="00C97C61" w:rsidP="00F31737">
      <w:pPr>
        <w:pStyle w:val="ListParagraph"/>
        <w:numPr>
          <w:ilvl w:val="1"/>
          <w:numId w:val="3"/>
        </w:numPr>
        <w:jc w:val="both"/>
        <w:rPr>
          <w:color w:val="000000"/>
        </w:rPr>
      </w:pPr>
      <w:r w:rsidRPr="008660D4" w:rsidDel="00C3387E">
        <w:rPr>
          <w:color w:val="000000"/>
        </w:rPr>
        <w:t xml:space="preserve">Attachment 1 </w:t>
      </w:r>
      <w:r w:rsidRPr="008660D4">
        <w:rPr>
          <w:color w:val="000000"/>
        </w:rPr>
        <w:t>–</w:t>
      </w:r>
      <w:r w:rsidRPr="008660D4" w:rsidDel="00C3387E">
        <w:rPr>
          <w:color w:val="000000"/>
        </w:rPr>
        <w:t xml:space="preserve"> </w:t>
      </w:r>
      <w:r w:rsidRPr="008660D4">
        <w:rPr>
          <w:color w:val="000000"/>
        </w:rPr>
        <w:t>CEDARS Filing Confirmation</w:t>
      </w:r>
    </w:p>
    <w:p w14:paraId="7726D377" w14:textId="7DE57221" w:rsidR="00C97C61" w:rsidRPr="008660D4" w:rsidDel="00C3387E" w:rsidRDefault="00C97C61" w:rsidP="00F31737">
      <w:pPr>
        <w:pStyle w:val="ListParagraph"/>
        <w:numPr>
          <w:ilvl w:val="1"/>
          <w:numId w:val="3"/>
        </w:numPr>
        <w:jc w:val="both"/>
        <w:rPr>
          <w:color w:val="000000"/>
        </w:rPr>
      </w:pPr>
      <w:r w:rsidRPr="008660D4" w:rsidDel="00C3387E">
        <w:rPr>
          <w:color w:val="000000"/>
        </w:rPr>
        <w:t xml:space="preserve">Attachment </w:t>
      </w:r>
      <w:r w:rsidR="00C04778" w:rsidRPr="008660D4">
        <w:rPr>
          <w:color w:val="000000"/>
        </w:rPr>
        <w:t>2</w:t>
      </w:r>
      <w:r w:rsidR="00C04778" w:rsidRPr="009047D2" w:rsidDel="00C3387E">
        <w:rPr>
          <w:color w:val="000000"/>
        </w:rPr>
        <w:t xml:space="preserve"> </w:t>
      </w:r>
      <w:r w:rsidRPr="008660D4">
        <w:rPr>
          <w:color w:val="000000"/>
        </w:rPr>
        <w:t>–</w:t>
      </w:r>
      <w:r w:rsidRPr="008660D4" w:rsidDel="00C3387E">
        <w:rPr>
          <w:color w:val="000000"/>
        </w:rPr>
        <w:t xml:space="preserve"> </w:t>
      </w:r>
      <w:r w:rsidR="003E12ED">
        <w:rPr>
          <w:color w:val="000000"/>
        </w:rPr>
        <w:t>TBD</w:t>
      </w:r>
    </w:p>
    <w:p w14:paraId="278B6DC0" w14:textId="4DFCC56B" w:rsidR="00C97C61" w:rsidRPr="008660D4" w:rsidDel="00C3387E" w:rsidRDefault="00C97C61" w:rsidP="00F31737">
      <w:pPr>
        <w:pStyle w:val="ListParagraph"/>
        <w:numPr>
          <w:ilvl w:val="1"/>
          <w:numId w:val="3"/>
        </w:numPr>
        <w:jc w:val="both"/>
        <w:rPr>
          <w:color w:val="000000"/>
        </w:rPr>
      </w:pPr>
      <w:r w:rsidRPr="008660D4">
        <w:rPr>
          <w:color w:val="000000"/>
        </w:rPr>
        <w:t xml:space="preserve">Attachment </w:t>
      </w:r>
      <w:r w:rsidR="00C04778" w:rsidRPr="008660D4">
        <w:rPr>
          <w:color w:val="000000"/>
        </w:rPr>
        <w:t>3</w:t>
      </w:r>
      <w:r w:rsidR="00C04778" w:rsidRPr="009047D2">
        <w:rPr>
          <w:color w:val="000000"/>
        </w:rPr>
        <w:t xml:space="preserve"> </w:t>
      </w:r>
      <w:r w:rsidRPr="008660D4">
        <w:rPr>
          <w:color w:val="000000"/>
        </w:rPr>
        <w:t xml:space="preserve">– </w:t>
      </w:r>
      <w:r w:rsidR="003E12ED">
        <w:rPr>
          <w:color w:val="000000"/>
        </w:rPr>
        <w:t>TBD</w:t>
      </w:r>
    </w:p>
    <w:p w14:paraId="1DA8CA3C" w14:textId="77777777" w:rsidR="003E12ED" w:rsidRDefault="00D545F0" w:rsidP="00F31737">
      <w:pPr>
        <w:pStyle w:val="ListParagraph"/>
        <w:numPr>
          <w:ilvl w:val="1"/>
          <w:numId w:val="3"/>
        </w:numPr>
        <w:jc w:val="both"/>
        <w:rPr>
          <w:color w:val="000000"/>
        </w:rPr>
      </w:pPr>
      <w:r w:rsidRPr="008660D4">
        <w:rPr>
          <w:color w:val="000000"/>
        </w:rPr>
        <w:t xml:space="preserve">Attachment </w:t>
      </w:r>
      <w:r w:rsidR="00C04778" w:rsidRPr="008660D4">
        <w:rPr>
          <w:color w:val="000000"/>
        </w:rPr>
        <w:t>4</w:t>
      </w:r>
      <w:r w:rsidR="00C04778" w:rsidRPr="009047D2">
        <w:rPr>
          <w:color w:val="000000"/>
        </w:rPr>
        <w:t xml:space="preserve"> </w:t>
      </w:r>
      <w:r w:rsidRPr="008660D4">
        <w:rPr>
          <w:color w:val="000000"/>
        </w:rPr>
        <w:t xml:space="preserve">– </w:t>
      </w:r>
      <w:r w:rsidR="003E12ED">
        <w:rPr>
          <w:color w:val="000000"/>
        </w:rPr>
        <w:t>TBD</w:t>
      </w:r>
    </w:p>
    <w:p w14:paraId="0F040485" w14:textId="63DE2216" w:rsidR="00F33FE4" w:rsidRPr="008660D4" w:rsidRDefault="003E12ED" w:rsidP="00F31737">
      <w:pPr>
        <w:pStyle w:val="ListParagraph"/>
        <w:numPr>
          <w:ilvl w:val="1"/>
          <w:numId w:val="3"/>
        </w:numPr>
        <w:jc w:val="both"/>
        <w:rPr>
          <w:color w:val="000000"/>
        </w:rPr>
      </w:pPr>
      <w:r>
        <w:rPr>
          <w:color w:val="000000"/>
        </w:rPr>
        <w:t>Attachment 5 – Sector Level Metrics: Progress to Date</w:t>
      </w:r>
      <w:r w:rsidR="00C97C61" w:rsidRPr="008660D4">
        <w:rPr>
          <w:color w:val="000000"/>
        </w:rPr>
        <w:t xml:space="preserve"> </w:t>
      </w:r>
    </w:p>
    <w:p w14:paraId="2838C1FF" w14:textId="7D4C265C" w:rsidR="00D545F0" w:rsidRPr="00812692" w:rsidRDefault="00D545F0" w:rsidP="007A0ADD">
      <w:pPr>
        <w:pStyle w:val="ListParagraph"/>
        <w:ind w:left="1440"/>
        <w:jc w:val="both"/>
        <w:rPr>
          <w:color w:val="000000"/>
        </w:rPr>
      </w:pPr>
    </w:p>
    <w:p w14:paraId="2E7A9637" w14:textId="77777777" w:rsidR="00F3021F" w:rsidRDefault="00F3021F" w:rsidP="0000663C">
      <w:pPr>
        <w:jc w:val="both"/>
        <w:rPr>
          <w:b/>
          <w:color w:val="000000"/>
        </w:rPr>
      </w:pPr>
    </w:p>
    <w:p w14:paraId="30AF0D08" w14:textId="3DC41233" w:rsidR="008E6649" w:rsidRDefault="008E6649" w:rsidP="0000663C">
      <w:pPr>
        <w:jc w:val="both"/>
        <w:rPr>
          <w:color w:val="000000"/>
        </w:rPr>
      </w:pPr>
      <w:r w:rsidRPr="00D46857" w:rsidDel="00716811">
        <w:rPr>
          <w:b/>
          <w:color w:val="000000"/>
        </w:rPr>
        <w:t>III.</w:t>
      </w:r>
      <w:r w:rsidRPr="00D46857" w:rsidDel="00716811">
        <w:rPr>
          <w:b/>
          <w:color w:val="000000"/>
        </w:rPr>
        <w:tab/>
      </w:r>
      <w:r w:rsidDel="00716811">
        <w:rPr>
          <w:b/>
          <w:color w:val="000000"/>
        </w:rPr>
        <w:t>Discussion</w:t>
      </w:r>
    </w:p>
    <w:p w14:paraId="5A1973DE" w14:textId="1BAA0B54" w:rsidR="00E3716D" w:rsidRDefault="00E3716D" w:rsidP="0000663C">
      <w:pPr>
        <w:jc w:val="both"/>
        <w:rPr>
          <w:color w:val="000000"/>
        </w:rPr>
      </w:pPr>
    </w:p>
    <w:p w14:paraId="67062287" w14:textId="2A78F1B7" w:rsidR="00E82D5C" w:rsidRPr="0031048F" w:rsidRDefault="00E82D5C" w:rsidP="00F31737">
      <w:pPr>
        <w:pStyle w:val="Heading2"/>
        <w:numPr>
          <w:ilvl w:val="0"/>
          <w:numId w:val="9"/>
        </w:numPr>
        <w:rPr>
          <w:color w:val="000000"/>
        </w:rPr>
      </w:pPr>
      <w:r w:rsidRPr="00A91DD1">
        <w:t>Budget</w:t>
      </w:r>
    </w:p>
    <w:p w14:paraId="4182FCDE" w14:textId="77777777" w:rsidR="009F55CB" w:rsidRPr="0031048F" w:rsidRDefault="009F55CB" w:rsidP="0031048F">
      <w:pPr>
        <w:pStyle w:val="ListParagraph"/>
        <w:ind w:left="1095"/>
        <w:jc w:val="both"/>
        <w:rPr>
          <w:b/>
          <w:color w:val="000000"/>
        </w:rPr>
      </w:pPr>
    </w:p>
    <w:p w14:paraId="12EF5888" w14:textId="3DC39BDF" w:rsidR="00235F2B" w:rsidRDefault="00235F2B" w:rsidP="00235F2B">
      <w:pPr>
        <w:overflowPunct/>
        <w:jc w:val="both"/>
        <w:textAlignment w:val="auto"/>
        <w:rPr>
          <w:color w:val="000000"/>
        </w:rPr>
      </w:pPr>
      <w:r w:rsidRPr="00506644">
        <w:rPr>
          <w:rFonts w:cs="Arial"/>
          <w:color w:val="000000"/>
          <w:szCs w:val="24"/>
        </w:rPr>
        <w:t>PG&amp;E’s total 201</w:t>
      </w:r>
      <w:r w:rsidR="001272FA">
        <w:rPr>
          <w:rFonts w:cs="Arial"/>
          <w:color w:val="000000"/>
          <w:szCs w:val="24"/>
        </w:rPr>
        <w:t>9</w:t>
      </w:r>
      <w:r w:rsidRPr="00506644">
        <w:rPr>
          <w:rFonts w:cs="Arial"/>
          <w:color w:val="000000"/>
          <w:szCs w:val="24"/>
        </w:rPr>
        <w:t xml:space="preserve"> EE </w:t>
      </w:r>
      <w:r w:rsidRPr="00AA1191">
        <w:rPr>
          <w:rFonts w:cs="Arial"/>
          <w:color w:val="000000"/>
          <w:szCs w:val="24"/>
        </w:rPr>
        <w:t>Budget of $</w:t>
      </w:r>
      <w:r w:rsidR="00DB2AED" w:rsidRPr="00AA1191">
        <w:rPr>
          <w:color w:val="000000"/>
        </w:rPr>
        <w:t>3</w:t>
      </w:r>
      <w:r w:rsidR="00947C8A" w:rsidRPr="00AA1191">
        <w:rPr>
          <w:color w:val="000000"/>
        </w:rPr>
        <w:t>5</w:t>
      </w:r>
      <w:r w:rsidR="00DB2AED" w:rsidRPr="00AA1191">
        <w:rPr>
          <w:color w:val="000000"/>
        </w:rPr>
        <w:t>0</w:t>
      </w:r>
      <w:r w:rsidRPr="00AA1191">
        <w:rPr>
          <w:rFonts w:cs="Arial"/>
          <w:color w:val="000000"/>
          <w:szCs w:val="24"/>
        </w:rPr>
        <w:t xml:space="preserve"> million is</w:t>
      </w:r>
      <w:r w:rsidR="001272FA" w:rsidRPr="00AA1191">
        <w:rPr>
          <w:rFonts w:eastAsia="Arial" w:cs="Arial"/>
        </w:rPr>
        <w:t xml:space="preserve"> designed</w:t>
      </w:r>
      <w:r w:rsidR="001272FA">
        <w:rPr>
          <w:rFonts w:eastAsia="Arial" w:cs="Arial"/>
        </w:rPr>
        <w:t xml:space="preserve"> to </w:t>
      </w:r>
      <w:r w:rsidR="001272FA" w:rsidRPr="007D5694">
        <w:rPr>
          <w:rFonts w:eastAsia="Arial" w:cs="Arial"/>
        </w:rPr>
        <w:t xml:space="preserve">optimize </w:t>
      </w:r>
      <w:r w:rsidR="001272FA">
        <w:rPr>
          <w:rFonts w:eastAsia="Arial" w:cs="Arial"/>
        </w:rPr>
        <w:t>each of the CPUC metrics, including but not limited to, cost-effectiveness, savings goals</w:t>
      </w:r>
      <w:r w:rsidR="001272FA" w:rsidRPr="007D5694">
        <w:rPr>
          <w:rFonts w:eastAsia="Arial" w:cs="Arial"/>
        </w:rPr>
        <w:t xml:space="preserve">, </w:t>
      </w:r>
      <w:r w:rsidR="001272FA">
        <w:rPr>
          <w:rFonts w:eastAsia="Arial" w:cs="Arial"/>
        </w:rPr>
        <w:t xml:space="preserve">and Commission mandated budget caps and targets. In addition, </w:t>
      </w:r>
      <w:r w:rsidR="002D18BE">
        <w:rPr>
          <w:rFonts w:eastAsia="Arial" w:cs="Arial"/>
        </w:rPr>
        <w:t>PG&amp;E</w:t>
      </w:r>
      <w:r w:rsidR="001272FA">
        <w:rPr>
          <w:rFonts w:eastAsia="Arial" w:cs="Arial"/>
        </w:rPr>
        <w:t xml:space="preserve">’s portfolio reflects known CPUC measure and program savings modifications for 2019 and portfolio design elements recommended in D.18-05-041. </w:t>
      </w:r>
      <w:r w:rsidR="001272FA" w:rsidRPr="1EF028A6">
        <w:rPr>
          <w:rFonts w:eastAsia="Arial" w:cs="Arial"/>
        </w:rPr>
        <w:t>To meet the Commission’s requirement</w:t>
      </w:r>
      <w:r w:rsidR="001272FA">
        <w:rPr>
          <w:rFonts w:eastAsia="Arial" w:cs="Arial"/>
        </w:rPr>
        <w:t>s</w:t>
      </w:r>
      <w:r w:rsidR="001272FA" w:rsidRPr="1EF028A6">
        <w:rPr>
          <w:rFonts w:eastAsia="Arial" w:cs="Arial"/>
        </w:rPr>
        <w:t xml:space="preserve">, </w:t>
      </w:r>
      <w:r w:rsidR="002D18BE">
        <w:rPr>
          <w:rFonts w:eastAsia="Arial" w:cs="Arial"/>
        </w:rPr>
        <w:t>PG&amp;E</w:t>
      </w:r>
      <w:r w:rsidR="001272FA">
        <w:rPr>
          <w:rFonts w:eastAsia="Arial" w:cs="Arial"/>
        </w:rPr>
        <w:t xml:space="preserve"> proposes significant modifications to its energy efficiency portfolio for 2019, as described herein.  These modifications focus on delivering a cost-effective portfolio while beginning the transition to the Commission’s new statewide and </w:t>
      </w:r>
      <w:r w:rsidR="002D18BE">
        <w:rPr>
          <w:rFonts w:eastAsia="Arial" w:cs="Arial"/>
        </w:rPr>
        <w:t>third-party model for energy efficiency, with</w:t>
      </w:r>
      <w:r>
        <w:rPr>
          <w:color w:val="000000"/>
        </w:rPr>
        <w:t xml:space="preserve"> adjustments to </w:t>
      </w:r>
      <w:r w:rsidR="001272FA">
        <w:rPr>
          <w:color w:val="000000"/>
        </w:rPr>
        <w:t>meet 2019</w:t>
      </w:r>
      <w:r w:rsidR="00601D72" w:rsidRPr="00601D72">
        <w:rPr>
          <w:color w:val="000000"/>
        </w:rPr>
        <w:t xml:space="preserve"> net goals.</w:t>
      </w:r>
      <w:r w:rsidR="00601D72">
        <w:rPr>
          <w:color w:val="000000"/>
        </w:rPr>
        <w:t xml:space="preserve"> </w:t>
      </w:r>
    </w:p>
    <w:p w14:paraId="2A218EE9" w14:textId="5240846D" w:rsidR="00DA3A95" w:rsidRDefault="00DA3A95" w:rsidP="00235F2B">
      <w:pPr>
        <w:overflowPunct/>
        <w:jc w:val="both"/>
        <w:textAlignment w:val="auto"/>
        <w:rPr>
          <w:rFonts w:cs="Arial"/>
          <w:color w:val="000000"/>
          <w:szCs w:val="24"/>
        </w:rPr>
      </w:pPr>
    </w:p>
    <w:p w14:paraId="4E4A1ADD" w14:textId="143F82D8" w:rsidR="002D18BE" w:rsidRDefault="002D18BE" w:rsidP="002D18BE">
      <w:pPr>
        <w:spacing w:after="240"/>
        <w:rPr>
          <w:rFonts w:eastAsia="Arial" w:cs="Arial"/>
        </w:rPr>
      </w:pPr>
      <w:r>
        <w:rPr>
          <w:rFonts w:eastAsia="Arial" w:cs="Arial"/>
        </w:rPr>
        <w:t xml:space="preserve">While PG&amp;E’s target cost-effectiveness is currently </w:t>
      </w:r>
      <w:r w:rsidRPr="00AA1191">
        <w:rPr>
          <w:rFonts w:eastAsia="Arial" w:cs="Arial"/>
        </w:rPr>
        <w:t xml:space="preserve">at </w:t>
      </w:r>
      <w:r w:rsidR="00F7228D" w:rsidRPr="00AA1191">
        <w:rPr>
          <w:rFonts w:eastAsia="Arial" w:cs="Arial"/>
        </w:rPr>
        <w:t>1.</w:t>
      </w:r>
      <w:r w:rsidR="00555D07" w:rsidRPr="00AA1191">
        <w:rPr>
          <w:rFonts w:eastAsia="Arial" w:cs="Arial"/>
        </w:rPr>
        <w:t>0</w:t>
      </w:r>
      <w:r w:rsidR="00947C8A" w:rsidRPr="00AA1191">
        <w:rPr>
          <w:rFonts w:eastAsia="Arial" w:cs="Arial"/>
        </w:rPr>
        <w:t>8</w:t>
      </w:r>
      <w:r w:rsidRPr="00AA1191">
        <w:rPr>
          <w:rFonts w:eastAsia="Arial" w:cs="Arial"/>
        </w:rPr>
        <w:t>, this mix</w:t>
      </w:r>
      <w:r>
        <w:rPr>
          <w:rFonts w:eastAsia="Arial" w:cs="Arial"/>
        </w:rPr>
        <w:t xml:space="preserve"> and resulting cost-effectiveness may change in 2019 as the Commission releases measure dispositions, </w:t>
      </w:r>
      <w:r>
        <w:rPr>
          <w:rFonts w:eastAsia="Arial" w:cs="Arial"/>
        </w:rPr>
        <w:lastRenderedPageBreak/>
        <w:t xml:space="preserve">DEER updates, and other key inputs which could reduce or improve portfolio savings and cost-effectiveness.  </w:t>
      </w:r>
    </w:p>
    <w:p w14:paraId="0AE41320" w14:textId="638B6139" w:rsidR="002D18BE" w:rsidRDefault="002D18BE" w:rsidP="002D18BE">
      <w:pPr>
        <w:spacing w:after="240"/>
        <w:rPr>
          <w:rFonts w:eastAsia="Arial" w:cs="Arial"/>
        </w:rPr>
      </w:pPr>
      <w:r>
        <w:rPr>
          <w:rFonts w:eastAsia="Arial" w:cs="Arial"/>
        </w:rPr>
        <w:t>Early notifications of such dispositions would assist PG&amp;E in responding to such changes. PG&amp;E is committed to working closely with the Commission to ensure that its measure and program forecasts utilize the most recent information, while also ensuring that customers, vendors, and PG&amp;E have sufficient certainty in making energy efficiency investment decisions. As cost</w:t>
      </w:r>
      <w:r w:rsidR="006F2447">
        <w:rPr>
          <w:rFonts w:eastAsia="Arial" w:cs="Arial"/>
        </w:rPr>
        <w:t>-</w:t>
      </w:r>
      <w:r>
        <w:rPr>
          <w:rFonts w:eastAsia="Arial" w:cs="Arial"/>
        </w:rPr>
        <w:t>effectiveness inputs change, PG&amp;E will continue to evaluate the available mix of measures and make portfolio adjustments as necessary. This may include, but is not limited to, fund shifting, measure and program elimination, and modifications to rebate levels.</w:t>
      </w:r>
    </w:p>
    <w:p w14:paraId="3E53D1DF" w14:textId="5407A715" w:rsidR="005F7F52" w:rsidRDefault="002D18BE" w:rsidP="002D18BE">
      <w:pPr>
        <w:overflowPunct/>
        <w:jc w:val="both"/>
        <w:textAlignment w:val="auto"/>
        <w:rPr>
          <w:rFonts w:cs="Arial"/>
          <w:color w:val="000000"/>
          <w:szCs w:val="24"/>
        </w:rPr>
      </w:pPr>
      <w:r>
        <w:rPr>
          <w:rFonts w:cs="Arial"/>
          <w:color w:val="000000"/>
          <w:szCs w:val="24"/>
        </w:rPr>
        <w:t>PG&amp;E</w:t>
      </w:r>
      <w:r w:rsidRPr="002D18BE">
        <w:rPr>
          <w:rFonts w:cs="Arial"/>
          <w:color w:val="000000"/>
          <w:szCs w:val="24"/>
        </w:rPr>
        <w:t xml:space="preserve"> is still in the proc</w:t>
      </w:r>
      <w:r>
        <w:rPr>
          <w:rFonts w:cs="Arial"/>
          <w:color w:val="000000"/>
          <w:szCs w:val="24"/>
        </w:rPr>
        <w:t xml:space="preserve">ess of </w:t>
      </w:r>
      <w:r w:rsidR="000C5FE3">
        <w:rPr>
          <w:rFonts w:cs="Arial"/>
          <w:color w:val="000000"/>
          <w:szCs w:val="24"/>
        </w:rPr>
        <w:t>developing a final forecast</w:t>
      </w:r>
      <w:r>
        <w:rPr>
          <w:rFonts w:cs="Arial"/>
          <w:color w:val="000000"/>
          <w:szCs w:val="24"/>
        </w:rPr>
        <w:t>. A</w:t>
      </w:r>
      <w:r w:rsidRPr="002D18BE">
        <w:rPr>
          <w:rFonts w:cs="Arial"/>
          <w:color w:val="000000"/>
          <w:szCs w:val="24"/>
        </w:rPr>
        <w:t>s such, the tables below do not reflect its final 2019 EE Portfolio Budget</w:t>
      </w:r>
      <w:r w:rsidR="00493CE8">
        <w:rPr>
          <w:rFonts w:cs="Arial"/>
          <w:color w:val="000000"/>
          <w:szCs w:val="24"/>
        </w:rPr>
        <w:t>.</w:t>
      </w:r>
      <w:r w:rsidR="005F7F52">
        <w:rPr>
          <w:rFonts w:cs="Arial"/>
          <w:color w:val="000000"/>
          <w:szCs w:val="24"/>
        </w:rPr>
        <w:t xml:space="preserve"> </w:t>
      </w:r>
      <w:r>
        <w:rPr>
          <w:rFonts w:cs="Arial"/>
          <w:color w:val="000000"/>
          <w:szCs w:val="24"/>
        </w:rPr>
        <w:t>Table 1</w:t>
      </w:r>
      <w:r w:rsidRPr="002D18BE">
        <w:rPr>
          <w:rFonts w:cs="Arial"/>
          <w:color w:val="000000"/>
          <w:szCs w:val="24"/>
        </w:rPr>
        <w:t xml:space="preserve"> below provides </w:t>
      </w:r>
      <w:r>
        <w:rPr>
          <w:rFonts w:cs="Arial"/>
          <w:color w:val="000000"/>
          <w:szCs w:val="24"/>
        </w:rPr>
        <w:t>PG&amp;E’s</w:t>
      </w:r>
      <w:r w:rsidR="00947C8A">
        <w:rPr>
          <w:rFonts w:cs="Arial"/>
          <w:color w:val="000000"/>
          <w:szCs w:val="24"/>
        </w:rPr>
        <w:t xml:space="preserve"> draft</w:t>
      </w:r>
      <w:r w:rsidRPr="002D18BE">
        <w:rPr>
          <w:rFonts w:cs="Arial"/>
          <w:color w:val="000000"/>
          <w:szCs w:val="24"/>
        </w:rPr>
        <w:t xml:space="preserve"> 2019 EE portfolio budget.  </w:t>
      </w:r>
    </w:p>
    <w:p w14:paraId="44A1ACCA" w14:textId="6BDFE878" w:rsidR="00947C8A" w:rsidRDefault="00947C8A" w:rsidP="002D18BE">
      <w:pPr>
        <w:overflowPunct/>
        <w:jc w:val="both"/>
        <w:textAlignment w:val="auto"/>
        <w:rPr>
          <w:rFonts w:cs="Arial"/>
          <w:color w:val="000000"/>
          <w:szCs w:val="24"/>
        </w:rPr>
      </w:pPr>
    </w:p>
    <w:p w14:paraId="07C17EE2" w14:textId="77777777" w:rsidR="00947C8A" w:rsidRPr="00AA0D06" w:rsidRDefault="00947C8A" w:rsidP="00947C8A">
      <w:pPr>
        <w:rPr>
          <w:rFonts w:cs="Arial"/>
          <w:color w:val="000000"/>
          <w:szCs w:val="24"/>
        </w:rPr>
      </w:pPr>
      <w:r w:rsidRPr="00AA0D06">
        <w:rPr>
          <w:rFonts w:cs="Arial"/>
          <w:color w:val="000000"/>
          <w:szCs w:val="24"/>
        </w:rPr>
        <w:t>PG&amp;E’s IDSM budget is $9M. Of this total IDSM budget, $8,452,079 is allocated to Demand Response IDSM which is not included in this 2019 EE annual budget filing. The remaining $547,921 allocated to the EE IDSM is distributed among the sector budgets in the table below.</w:t>
      </w:r>
    </w:p>
    <w:p w14:paraId="07E63257" w14:textId="77777777" w:rsidR="00947C8A" w:rsidRDefault="00947C8A" w:rsidP="002D18BE">
      <w:pPr>
        <w:overflowPunct/>
        <w:jc w:val="both"/>
        <w:textAlignment w:val="auto"/>
        <w:rPr>
          <w:rFonts w:cs="Arial"/>
          <w:color w:val="000000"/>
          <w:szCs w:val="24"/>
        </w:rPr>
      </w:pPr>
    </w:p>
    <w:p w14:paraId="2B94D933" w14:textId="77777777" w:rsidR="005F7F52" w:rsidRDefault="005F7F52" w:rsidP="002D18BE">
      <w:pPr>
        <w:overflowPunct/>
        <w:jc w:val="both"/>
        <w:textAlignment w:val="auto"/>
        <w:rPr>
          <w:rFonts w:cs="Arial"/>
          <w:color w:val="000000"/>
          <w:szCs w:val="24"/>
        </w:rPr>
      </w:pPr>
    </w:p>
    <w:p w14:paraId="01A05804" w14:textId="77777777" w:rsidR="00947C8A" w:rsidRDefault="00947C8A">
      <w:pPr>
        <w:overflowPunct/>
        <w:autoSpaceDE/>
        <w:autoSpaceDN/>
        <w:adjustRightInd/>
        <w:textAlignment w:val="auto"/>
        <w:rPr>
          <w:b/>
          <w:color w:val="000000"/>
        </w:rPr>
      </w:pPr>
      <w:r>
        <w:rPr>
          <w:b/>
          <w:color w:val="000000"/>
        </w:rPr>
        <w:br w:type="page"/>
      </w:r>
    </w:p>
    <w:p w14:paraId="351D423B" w14:textId="3E41E94F" w:rsidR="00235F2B" w:rsidRDefault="00235F2B" w:rsidP="00A91DD1">
      <w:pPr>
        <w:overflowPunct/>
        <w:autoSpaceDE/>
        <w:autoSpaceDN/>
        <w:adjustRightInd/>
        <w:jc w:val="center"/>
        <w:textAlignment w:val="auto"/>
        <w:rPr>
          <w:b/>
          <w:color w:val="000000"/>
        </w:rPr>
      </w:pPr>
      <w:r>
        <w:rPr>
          <w:b/>
          <w:color w:val="000000"/>
        </w:rPr>
        <w:lastRenderedPageBreak/>
        <w:t>Table 1: PG&amp;E Total 201</w:t>
      </w:r>
      <w:r w:rsidR="002D18BE">
        <w:rPr>
          <w:b/>
          <w:color w:val="000000"/>
        </w:rPr>
        <w:t>9</w:t>
      </w:r>
      <w:r>
        <w:rPr>
          <w:b/>
          <w:color w:val="000000"/>
        </w:rPr>
        <w:t xml:space="preserve"> Energy Efficiency Budgets</w:t>
      </w:r>
      <w:r w:rsidRPr="00A20508">
        <w:rPr>
          <w:rStyle w:val="FootnoteReference"/>
          <w:rFonts w:cs="Arial"/>
          <w:b/>
          <w:bCs/>
        </w:rPr>
        <w:footnoteReference w:id="8"/>
      </w:r>
    </w:p>
    <w:p w14:paraId="3E82A3EE" w14:textId="77777777" w:rsidR="00235F2B" w:rsidRDefault="00235F2B" w:rsidP="00235F2B">
      <w:pPr>
        <w:rPr>
          <w:b/>
          <w:color w:val="000000"/>
        </w:rPr>
      </w:pPr>
    </w:p>
    <w:tbl>
      <w:tblPr>
        <w:tblpPr w:leftFromText="180" w:rightFromText="180" w:vertAnchor="text" w:tblpXSpec="center" w:tblpY="1"/>
        <w:tblOverlap w:val="never"/>
        <w:tblW w:w="4906" w:type="pct"/>
        <w:tblLook w:val="04A0" w:firstRow="1" w:lastRow="0" w:firstColumn="1" w:lastColumn="0" w:noHBand="0" w:noVBand="1"/>
      </w:tblPr>
      <w:tblGrid>
        <w:gridCol w:w="6205"/>
        <w:gridCol w:w="2969"/>
      </w:tblGrid>
      <w:tr w:rsidR="00E07CC5" w:rsidRPr="00C33547" w14:paraId="172B12F3" w14:textId="53DEADCD" w:rsidTr="001407F7">
        <w:trPr>
          <w:trHeight w:val="350"/>
          <w:tblHeader/>
        </w:trPr>
        <w:tc>
          <w:tcPr>
            <w:tcW w:w="338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4D7BAC7" w14:textId="3E078400" w:rsidR="00E07CC5" w:rsidRPr="00A37C49" w:rsidRDefault="00E07CC5">
            <w:pPr>
              <w:overflowPunct/>
              <w:autoSpaceDE/>
              <w:autoSpaceDN/>
              <w:adjustRightInd/>
              <w:jc w:val="center"/>
              <w:textAlignment w:val="auto"/>
              <w:rPr>
                <w:rFonts w:cs="Arial"/>
                <w:b/>
                <w:bCs/>
                <w:sz w:val="20"/>
              </w:rPr>
            </w:pPr>
            <w:r w:rsidRPr="00A37C49">
              <w:rPr>
                <w:rFonts w:cs="Arial"/>
                <w:b/>
                <w:bCs/>
                <w:sz w:val="20"/>
              </w:rPr>
              <w:t>Program Name</w:t>
            </w:r>
          </w:p>
        </w:tc>
        <w:tc>
          <w:tcPr>
            <w:tcW w:w="1618" w:type="pct"/>
            <w:tcBorders>
              <w:top w:val="single" w:sz="4" w:space="0" w:color="auto"/>
              <w:left w:val="nil"/>
              <w:bottom w:val="single" w:sz="4" w:space="0" w:color="auto"/>
              <w:right w:val="single" w:sz="4" w:space="0" w:color="auto"/>
            </w:tcBorders>
            <w:shd w:val="clear" w:color="000000" w:fill="D9D9D9"/>
            <w:vAlign w:val="center"/>
          </w:tcPr>
          <w:p w14:paraId="20BE828B" w14:textId="0C1AC158" w:rsidR="00E07CC5" w:rsidRPr="00A37C49" w:rsidDel="00827124" w:rsidRDefault="0039076B" w:rsidP="00021334">
            <w:pPr>
              <w:overflowPunct/>
              <w:autoSpaceDE/>
              <w:autoSpaceDN/>
              <w:adjustRightInd/>
              <w:jc w:val="center"/>
              <w:textAlignment w:val="auto"/>
              <w:rPr>
                <w:rFonts w:cs="Arial"/>
                <w:b/>
                <w:bCs/>
                <w:sz w:val="20"/>
              </w:rPr>
            </w:pPr>
            <w:r>
              <w:rPr>
                <w:rFonts w:cs="Arial"/>
                <w:b/>
                <w:bCs/>
                <w:sz w:val="20"/>
              </w:rPr>
              <w:t>2019</w:t>
            </w:r>
            <w:r w:rsidR="00E07CC5" w:rsidRPr="00A37C49">
              <w:rPr>
                <w:rFonts w:cs="Arial"/>
                <w:b/>
                <w:bCs/>
                <w:sz w:val="20"/>
              </w:rPr>
              <w:t xml:space="preserve"> Budget ($)</w:t>
            </w:r>
          </w:p>
        </w:tc>
      </w:tr>
      <w:tr w:rsidR="00947C8A" w:rsidRPr="00C33547" w14:paraId="42B6E9F2" w14:textId="11BBE767"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6A82A1AE" w14:textId="77777777" w:rsidR="00947C8A" w:rsidRPr="00A37C49" w:rsidRDefault="00947C8A" w:rsidP="00947C8A">
            <w:pPr>
              <w:overflowPunct/>
              <w:autoSpaceDE/>
              <w:autoSpaceDN/>
              <w:adjustRightInd/>
              <w:ind w:left="288" w:right="288"/>
              <w:textAlignment w:val="auto"/>
              <w:rPr>
                <w:sz w:val="20"/>
              </w:rPr>
            </w:pPr>
            <w:r w:rsidRPr="00A37C49">
              <w:rPr>
                <w:sz w:val="20"/>
              </w:rPr>
              <w:t>Residential</w:t>
            </w:r>
          </w:p>
        </w:tc>
        <w:tc>
          <w:tcPr>
            <w:tcW w:w="1618" w:type="pct"/>
            <w:tcBorders>
              <w:top w:val="nil"/>
              <w:left w:val="nil"/>
              <w:bottom w:val="single" w:sz="4" w:space="0" w:color="auto"/>
              <w:right w:val="single" w:sz="4" w:space="0" w:color="auto"/>
            </w:tcBorders>
            <w:vAlign w:val="bottom"/>
          </w:tcPr>
          <w:p w14:paraId="70A91323" w14:textId="751DAFDB" w:rsidR="00947C8A" w:rsidRPr="00AA1191" w:rsidRDefault="00947C8A" w:rsidP="00AA1191">
            <w:pPr>
              <w:overflowPunct/>
              <w:autoSpaceDE/>
              <w:autoSpaceDN/>
              <w:adjustRightInd/>
              <w:jc w:val="center"/>
              <w:textAlignment w:val="auto"/>
              <w:rPr>
                <w:rFonts w:ascii="Calibri" w:hAnsi="Calibri"/>
                <w:color w:val="000000"/>
                <w:sz w:val="22"/>
                <w:szCs w:val="22"/>
                <w:highlight w:val="yellow"/>
              </w:rPr>
            </w:pPr>
            <w:r>
              <w:rPr>
                <w:rFonts w:ascii="Calibri" w:hAnsi="Calibri"/>
                <w:color w:val="000000"/>
                <w:sz w:val="22"/>
                <w:szCs w:val="22"/>
              </w:rPr>
              <w:t xml:space="preserve">93,422,237 </w:t>
            </w:r>
          </w:p>
        </w:tc>
      </w:tr>
      <w:tr w:rsidR="00947C8A" w:rsidRPr="00C33547" w14:paraId="7548D868" w14:textId="160AAD7D"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7E39C572" w14:textId="77777777" w:rsidR="00947C8A" w:rsidRPr="00A37C49" w:rsidRDefault="00947C8A" w:rsidP="00947C8A">
            <w:pPr>
              <w:overflowPunct/>
              <w:autoSpaceDE/>
              <w:autoSpaceDN/>
              <w:adjustRightInd/>
              <w:ind w:left="288" w:right="288"/>
              <w:textAlignment w:val="auto"/>
              <w:rPr>
                <w:rFonts w:cs="Arial"/>
                <w:sz w:val="20"/>
              </w:rPr>
            </w:pPr>
            <w:r w:rsidRPr="00A37C49">
              <w:rPr>
                <w:sz w:val="20"/>
              </w:rPr>
              <w:t>Commerci</w:t>
            </w:r>
            <w:r w:rsidRPr="00A37C49">
              <w:rPr>
                <w:rFonts w:cs="Arial"/>
                <w:sz w:val="20"/>
              </w:rPr>
              <w:t>al</w:t>
            </w:r>
          </w:p>
        </w:tc>
        <w:tc>
          <w:tcPr>
            <w:tcW w:w="1618" w:type="pct"/>
            <w:tcBorders>
              <w:top w:val="nil"/>
              <w:left w:val="nil"/>
              <w:bottom w:val="single" w:sz="4" w:space="0" w:color="auto"/>
              <w:right w:val="single" w:sz="4" w:space="0" w:color="auto"/>
            </w:tcBorders>
            <w:vAlign w:val="bottom"/>
          </w:tcPr>
          <w:p w14:paraId="32AE4976" w14:textId="0EF050D5" w:rsidR="00947C8A" w:rsidRPr="00AA1191" w:rsidRDefault="00947C8A" w:rsidP="00AA1191">
            <w:pPr>
              <w:overflowPunct/>
              <w:autoSpaceDE/>
              <w:autoSpaceDN/>
              <w:adjustRightInd/>
              <w:jc w:val="center"/>
              <w:textAlignment w:val="auto"/>
              <w:rPr>
                <w:rFonts w:ascii="Calibri" w:hAnsi="Calibri"/>
                <w:color w:val="000000"/>
                <w:sz w:val="22"/>
                <w:szCs w:val="22"/>
                <w:highlight w:val="yellow"/>
              </w:rPr>
            </w:pPr>
            <w:r>
              <w:rPr>
                <w:rFonts w:ascii="Calibri" w:hAnsi="Calibri"/>
                <w:color w:val="000000"/>
                <w:sz w:val="22"/>
                <w:szCs w:val="22"/>
              </w:rPr>
              <w:t xml:space="preserve">69,492,749 </w:t>
            </w:r>
          </w:p>
        </w:tc>
      </w:tr>
      <w:tr w:rsidR="00947C8A" w:rsidRPr="00C33547" w14:paraId="5E8DF72C" w14:textId="609AFEC5"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06A31255" w14:textId="77777777" w:rsidR="00947C8A" w:rsidRPr="00A37C49" w:rsidRDefault="00947C8A" w:rsidP="00947C8A">
            <w:pPr>
              <w:overflowPunct/>
              <w:autoSpaceDE/>
              <w:autoSpaceDN/>
              <w:adjustRightInd/>
              <w:ind w:left="288" w:right="288"/>
              <w:textAlignment w:val="auto"/>
              <w:rPr>
                <w:sz w:val="20"/>
              </w:rPr>
            </w:pPr>
            <w:r w:rsidRPr="00A37C49">
              <w:rPr>
                <w:sz w:val="20"/>
              </w:rPr>
              <w:t>Agricultural</w:t>
            </w:r>
          </w:p>
        </w:tc>
        <w:tc>
          <w:tcPr>
            <w:tcW w:w="1618" w:type="pct"/>
            <w:tcBorders>
              <w:top w:val="nil"/>
              <w:left w:val="nil"/>
              <w:bottom w:val="single" w:sz="4" w:space="0" w:color="auto"/>
              <w:right w:val="single" w:sz="4" w:space="0" w:color="auto"/>
            </w:tcBorders>
            <w:vAlign w:val="bottom"/>
          </w:tcPr>
          <w:p w14:paraId="352CB331" w14:textId="3459C0FD" w:rsidR="00947C8A" w:rsidRPr="00AA1191" w:rsidRDefault="00947C8A" w:rsidP="00AA1191">
            <w:pPr>
              <w:overflowPunct/>
              <w:autoSpaceDE/>
              <w:autoSpaceDN/>
              <w:adjustRightInd/>
              <w:jc w:val="center"/>
              <w:textAlignment w:val="auto"/>
              <w:rPr>
                <w:rFonts w:ascii="Calibri" w:hAnsi="Calibri"/>
                <w:color w:val="000000"/>
                <w:sz w:val="22"/>
                <w:szCs w:val="22"/>
                <w:highlight w:val="yellow"/>
              </w:rPr>
            </w:pPr>
            <w:r>
              <w:rPr>
                <w:rFonts w:ascii="Calibri" w:hAnsi="Calibri"/>
                <w:color w:val="000000"/>
                <w:sz w:val="22"/>
                <w:szCs w:val="22"/>
              </w:rPr>
              <w:t xml:space="preserve">14,925,609 </w:t>
            </w:r>
          </w:p>
        </w:tc>
      </w:tr>
      <w:tr w:rsidR="00947C8A" w:rsidRPr="00C33547" w14:paraId="0D4304C7" w14:textId="64EEFC7F"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0750390A" w14:textId="77777777" w:rsidR="00947C8A" w:rsidRPr="00A37C49" w:rsidRDefault="00947C8A" w:rsidP="00947C8A">
            <w:pPr>
              <w:overflowPunct/>
              <w:autoSpaceDE/>
              <w:autoSpaceDN/>
              <w:adjustRightInd/>
              <w:ind w:left="288" w:right="288"/>
              <w:textAlignment w:val="auto"/>
              <w:rPr>
                <w:rFonts w:cs="Arial"/>
                <w:sz w:val="20"/>
              </w:rPr>
            </w:pPr>
            <w:r w:rsidRPr="00A37C49">
              <w:rPr>
                <w:rFonts w:cs="Arial"/>
                <w:sz w:val="20"/>
              </w:rPr>
              <w:t>Industrial</w:t>
            </w:r>
          </w:p>
        </w:tc>
        <w:tc>
          <w:tcPr>
            <w:tcW w:w="1618" w:type="pct"/>
            <w:tcBorders>
              <w:top w:val="nil"/>
              <w:left w:val="nil"/>
              <w:bottom w:val="single" w:sz="4" w:space="0" w:color="auto"/>
              <w:right w:val="single" w:sz="4" w:space="0" w:color="auto"/>
            </w:tcBorders>
            <w:vAlign w:val="bottom"/>
          </w:tcPr>
          <w:p w14:paraId="3F598D12" w14:textId="724D79EE" w:rsidR="00947C8A" w:rsidRPr="00AA1191" w:rsidRDefault="00947C8A" w:rsidP="00AA1191">
            <w:pPr>
              <w:overflowPunct/>
              <w:autoSpaceDE/>
              <w:autoSpaceDN/>
              <w:adjustRightInd/>
              <w:jc w:val="center"/>
              <w:textAlignment w:val="auto"/>
              <w:rPr>
                <w:rFonts w:ascii="Calibri" w:hAnsi="Calibri"/>
                <w:color w:val="000000"/>
                <w:sz w:val="22"/>
                <w:szCs w:val="22"/>
                <w:highlight w:val="yellow"/>
              </w:rPr>
            </w:pPr>
            <w:r>
              <w:rPr>
                <w:rFonts w:ascii="Calibri" w:hAnsi="Calibri"/>
                <w:color w:val="000000"/>
                <w:sz w:val="22"/>
                <w:szCs w:val="22"/>
              </w:rPr>
              <w:t xml:space="preserve">27,326,902 </w:t>
            </w:r>
          </w:p>
        </w:tc>
      </w:tr>
      <w:tr w:rsidR="00947C8A" w:rsidRPr="00C33547" w14:paraId="30D4122E" w14:textId="3E93CFEF"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5F1AED1B" w14:textId="2CB66D7C" w:rsidR="00947C8A" w:rsidRPr="00A37C49" w:rsidRDefault="00947C8A" w:rsidP="00947C8A">
            <w:pPr>
              <w:overflowPunct/>
              <w:autoSpaceDE/>
              <w:autoSpaceDN/>
              <w:adjustRightInd/>
              <w:ind w:left="288" w:right="288"/>
              <w:textAlignment w:val="auto"/>
              <w:rPr>
                <w:sz w:val="20"/>
              </w:rPr>
            </w:pPr>
            <w:r>
              <w:rPr>
                <w:sz w:val="20"/>
              </w:rPr>
              <w:t>Public</w:t>
            </w:r>
          </w:p>
        </w:tc>
        <w:tc>
          <w:tcPr>
            <w:tcW w:w="1618" w:type="pct"/>
            <w:tcBorders>
              <w:top w:val="nil"/>
              <w:left w:val="nil"/>
              <w:bottom w:val="single" w:sz="4" w:space="0" w:color="auto"/>
              <w:right w:val="single" w:sz="4" w:space="0" w:color="auto"/>
            </w:tcBorders>
            <w:vAlign w:val="bottom"/>
          </w:tcPr>
          <w:p w14:paraId="479CD39F" w14:textId="214B9F5E" w:rsidR="00947C8A" w:rsidRPr="00AA1191" w:rsidRDefault="00947C8A" w:rsidP="00AA1191">
            <w:pPr>
              <w:overflowPunct/>
              <w:autoSpaceDE/>
              <w:autoSpaceDN/>
              <w:adjustRightInd/>
              <w:jc w:val="center"/>
              <w:textAlignment w:val="auto"/>
              <w:rPr>
                <w:rFonts w:ascii="Calibri" w:hAnsi="Calibri"/>
                <w:color w:val="000000"/>
                <w:sz w:val="22"/>
                <w:szCs w:val="22"/>
                <w:highlight w:val="yellow"/>
              </w:rPr>
            </w:pPr>
            <w:r>
              <w:rPr>
                <w:rFonts w:ascii="Calibri" w:hAnsi="Calibri"/>
                <w:color w:val="000000"/>
                <w:sz w:val="22"/>
                <w:szCs w:val="22"/>
              </w:rPr>
              <w:t xml:space="preserve">41,072,963 </w:t>
            </w:r>
          </w:p>
        </w:tc>
      </w:tr>
      <w:tr w:rsidR="00947C8A" w:rsidRPr="00C33547" w14:paraId="5C614D8F" w14:textId="36A3F10B"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52CA4E2B" w14:textId="77777777" w:rsidR="00947C8A" w:rsidRPr="00A37C49" w:rsidRDefault="00947C8A" w:rsidP="00947C8A">
            <w:pPr>
              <w:overflowPunct/>
              <w:autoSpaceDE/>
              <w:autoSpaceDN/>
              <w:adjustRightInd/>
              <w:ind w:left="288" w:right="288"/>
              <w:textAlignment w:val="auto"/>
              <w:rPr>
                <w:sz w:val="20"/>
              </w:rPr>
            </w:pPr>
            <w:r w:rsidRPr="00A37C49">
              <w:rPr>
                <w:sz w:val="20"/>
              </w:rPr>
              <w:t>Codes &amp; Standards</w:t>
            </w:r>
          </w:p>
        </w:tc>
        <w:tc>
          <w:tcPr>
            <w:tcW w:w="1618" w:type="pct"/>
            <w:tcBorders>
              <w:top w:val="nil"/>
              <w:left w:val="nil"/>
              <w:bottom w:val="single" w:sz="4" w:space="0" w:color="auto"/>
              <w:right w:val="single" w:sz="4" w:space="0" w:color="auto"/>
            </w:tcBorders>
            <w:vAlign w:val="bottom"/>
          </w:tcPr>
          <w:p w14:paraId="4A62FDED" w14:textId="6D2D8F05" w:rsidR="00947C8A" w:rsidRPr="00AA1191" w:rsidRDefault="00947C8A" w:rsidP="00AA1191">
            <w:pPr>
              <w:overflowPunct/>
              <w:autoSpaceDE/>
              <w:autoSpaceDN/>
              <w:adjustRightInd/>
              <w:jc w:val="center"/>
              <w:textAlignment w:val="auto"/>
              <w:rPr>
                <w:rFonts w:ascii="Calibri" w:hAnsi="Calibri"/>
                <w:color w:val="000000"/>
                <w:sz w:val="22"/>
                <w:szCs w:val="22"/>
                <w:highlight w:val="yellow"/>
              </w:rPr>
            </w:pPr>
            <w:r>
              <w:rPr>
                <w:rFonts w:ascii="Calibri" w:hAnsi="Calibri"/>
                <w:color w:val="000000"/>
                <w:sz w:val="22"/>
                <w:szCs w:val="22"/>
              </w:rPr>
              <w:t xml:space="preserve">20,840,235 </w:t>
            </w:r>
          </w:p>
        </w:tc>
      </w:tr>
      <w:tr w:rsidR="00947C8A" w:rsidRPr="00C33547" w14:paraId="6A034D34" w14:textId="241478FB"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1BE95D7D" w14:textId="2568C44A" w:rsidR="00947C8A" w:rsidRPr="00A37C49" w:rsidRDefault="00947C8A" w:rsidP="00947C8A">
            <w:pPr>
              <w:overflowPunct/>
              <w:autoSpaceDE/>
              <w:autoSpaceDN/>
              <w:adjustRightInd/>
              <w:ind w:left="288" w:right="288"/>
              <w:textAlignment w:val="auto"/>
              <w:rPr>
                <w:sz w:val="20"/>
              </w:rPr>
            </w:pPr>
            <w:r w:rsidRPr="00A37C49">
              <w:rPr>
                <w:sz w:val="20"/>
              </w:rPr>
              <w:t>Financing</w:t>
            </w:r>
            <w:r>
              <w:rPr>
                <w:sz w:val="20"/>
              </w:rPr>
              <w:t xml:space="preserve"> </w:t>
            </w:r>
          </w:p>
        </w:tc>
        <w:tc>
          <w:tcPr>
            <w:tcW w:w="1618" w:type="pct"/>
            <w:tcBorders>
              <w:top w:val="nil"/>
              <w:left w:val="nil"/>
              <w:bottom w:val="single" w:sz="4" w:space="0" w:color="auto"/>
              <w:right w:val="single" w:sz="4" w:space="0" w:color="auto"/>
            </w:tcBorders>
            <w:vAlign w:val="bottom"/>
          </w:tcPr>
          <w:p w14:paraId="4071FCBE" w14:textId="07D4A3AA" w:rsidR="00947C8A" w:rsidRPr="00AA1191" w:rsidRDefault="00947C8A" w:rsidP="00AA1191">
            <w:pPr>
              <w:overflowPunct/>
              <w:autoSpaceDE/>
              <w:autoSpaceDN/>
              <w:adjustRightInd/>
              <w:jc w:val="center"/>
              <w:textAlignment w:val="auto"/>
              <w:rPr>
                <w:rFonts w:ascii="Calibri" w:hAnsi="Calibri"/>
                <w:color w:val="000000"/>
                <w:sz w:val="22"/>
                <w:szCs w:val="22"/>
                <w:highlight w:val="yellow"/>
              </w:rPr>
            </w:pPr>
            <w:r>
              <w:rPr>
                <w:rFonts w:ascii="Calibri" w:hAnsi="Calibri"/>
                <w:color w:val="000000"/>
                <w:sz w:val="22"/>
                <w:szCs w:val="22"/>
              </w:rPr>
              <w:t xml:space="preserve">3,759,815 </w:t>
            </w:r>
          </w:p>
        </w:tc>
      </w:tr>
      <w:tr w:rsidR="00947C8A" w:rsidRPr="00C33547" w14:paraId="20F279DA" w14:textId="77777777"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tcPr>
          <w:p w14:paraId="3EF26A93" w14:textId="425042A3" w:rsidR="00947C8A" w:rsidRPr="00A37C49" w:rsidRDefault="00947C8A" w:rsidP="00947C8A">
            <w:pPr>
              <w:overflowPunct/>
              <w:autoSpaceDE/>
              <w:autoSpaceDN/>
              <w:adjustRightInd/>
              <w:ind w:left="288" w:right="288"/>
              <w:textAlignment w:val="auto"/>
              <w:rPr>
                <w:sz w:val="20"/>
              </w:rPr>
            </w:pPr>
            <w:r>
              <w:rPr>
                <w:sz w:val="20"/>
              </w:rPr>
              <w:t>OBF Loan Pool</w:t>
            </w:r>
          </w:p>
        </w:tc>
        <w:tc>
          <w:tcPr>
            <w:tcW w:w="1618" w:type="pct"/>
            <w:tcBorders>
              <w:top w:val="nil"/>
              <w:left w:val="nil"/>
              <w:bottom w:val="single" w:sz="4" w:space="0" w:color="auto"/>
              <w:right w:val="single" w:sz="4" w:space="0" w:color="auto"/>
            </w:tcBorders>
            <w:vAlign w:val="bottom"/>
          </w:tcPr>
          <w:p w14:paraId="74EF71ED" w14:textId="03975327" w:rsidR="00947C8A" w:rsidRPr="00AA1191" w:rsidRDefault="00947C8A" w:rsidP="00AA1191">
            <w:pPr>
              <w:overflowPunct/>
              <w:autoSpaceDE/>
              <w:autoSpaceDN/>
              <w:adjustRightInd/>
              <w:ind w:left="288" w:right="270"/>
              <w:jc w:val="center"/>
              <w:textAlignment w:val="auto"/>
              <w:rPr>
                <w:sz w:val="20"/>
                <w:highlight w:val="yellow"/>
              </w:rPr>
            </w:pPr>
            <w:r>
              <w:rPr>
                <w:rFonts w:ascii="Calibri" w:hAnsi="Calibri"/>
                <w:color w:val="000000"/>
                <w:sz w:val="22"/>
                <w:szCs w:val="22"/>
              </w:rPr>
              <w:t xml:space="preserve">13,500,000 </w:t>
            </w:r>
          </w:p>
        </w:tc>
      </w:tr>
      <w:tr w:rsidR="00947C8A" w:rsidRPr="00C33547" w14:paraId="2A848987" w14:textId="43F3966F"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1BB5AFF1" w14:textId="5F66FE40" w:rsidR="00947C8A" w:rsidRPr="00061DB4" w:rsidRDefault="00947C8A" w:rsidP="00947C8A">
            <w:pPr>
              <w:overflowPunct/>
              <w:autoSpaceDE/>
              <w:autoSpaceDN/>
              <w:adjustRightInd/>
              <w:ind w:left="288" w:right="288"/>
              <w:textAlignment w:val="auto"/>
              <w:rPr>
                <w:rFonts w:cs="Arial"/>
                <w:bCs/>
                <w:sz w:val="20"/>
              </w:rPr>
            </w:pPr>
            <w:r w:rsidRPr="00273400">
              <w:rPr>
                <w:sz w:val="20"/>
              </w:rPr>
              <w:t>Emerging Technologies</w:t>
            </w:r>
          </w:p>
        </w:tc>
        <w:tc>
          <w:tcPr>
            <w:tcW w:w="1618" w:type="pct"/>
            <w:tcBorders>
              <w:top w:val="nil"/>
              <w:left w:val="nil"/>
              <w:bottom w:val="single" w:sz="4" w:space="0" w:color="auto"/>
              <w:right w:val="single" w:sz="4" w:space="0" w:color="auto"/>
            </w:tcBorders>
            <w:vAlign w:val="bottom"/>
          </w:tcPr>
          <w:p w14:paraId="72DEEA47" w14:textId="5F5DC0F4" w:rsidR="00947C8A" w:rsidRPr="00AA1191" w:rsidRDefault="00947C8A" w:rsidP="00AA1191">
            <w:pPr>
              <w:overflowPunct/>
              <w:autoSpaceDE/>
              <w:autoSpaceDN/>
              <w:adjustRightInd/>
              <w:jc w:val="center"/>
              <w:textAlignment w:val="auto"/>
              <w:rPr>
                <w:rFonts w:ascii="Calibri" w:hAnsi="Calibri"/>
                <w:color w:val="000000"/>
                <w:sz w:val="22"/>
                <w:szCs w:val="22"/>
                <w:highlight w:val="yellow"/>
              </w:rPr>
            </w:pPr>
            <w:r>
              <w:rPr>
                <w:rFonts w:ascii="Calibri" w:hAnsi="Calibri"/>
                <w:color w:val="000000"/>
                <w:sz w:val="22"/>
                <w:szCs w:val="22"/>
              </w:rPr>
              <w:t xml:space="preserve">7,763,277 </w:t>
            </w:r>
          </w:p>
        </w:tc>
      </w:tr>
      <w:tr w:rsidR="00947C8A" w:rsidRPr="00C33547" w14:paraId="3BE3F70F" w14:textId="48A2CA69"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399CC008" w14:textId="5566C71F" w:rsidR="00947C8A" w:rsidRPr="00A37C49" w:rsidRDefault="00947C8A" w:rsidP="00947C8A">
            <w:pPr>
              <w:overflowPunct/>
              <w:autoSpaceDE/>
              <w:autoSpaceDN/>
              <w:adjustRightInd/>
              <w:ind w:left="288" w:right="288"/>
              <w:textAlignment w:val="auto"/>
              <w:rPr>
                <w:rFonts w:cs="Arial"/>
                <w:sz w:val="20"/>
              </w:rPr>
            </w:pPr>
            <w:r w:rsidRPr="00757311">
              <w:rPr>
                <w:rFonts w:cs="Arial"/>
                <w:sz w:val="20"/>
              </w:rPr>
              <w:t>Workforce Education &amp; Training</w:t>
            </w:r>
          </w:p>
        </w:tc>
        <w:tc>
          <w:tcPr>
            <w:tcW w:w="1618" w:type="pct"/>
            <w:tcBorders>
              <w:top w:val="nil"/>
              <w:left w:val="nil"/>
              <w:bottom w:val="single" w:sz="4" w:space="0" w:color="auto"/>
              <w:right w:val="single" w:sz="4" w:space="0" w:color="auto"/>
            </w:tcBorders>
            <w:vAlign w:val="bottom"/>
          </w:tcPr>
          <w:p w14:paraId="283C0805" w14:textId="2AC03CEA" w:rsidR="00947C8A" w:rsidRPr="00AA1191" w:rsidRDefault="00947C8A" w:rsidP="00AA1191">
            <w:pPr>
              <w:overflowPunct/>
              <w:autoSpaceDE/>
              <w:autoSpaceDN/>
              <w:adjustRightInd/>
              <w:jc w:val="center"/>
              <w:textAlignment w:val="auto"/>
              <w:rPr>
                <w:rFonts w:ascii="Calibri" w:hAnsi="Calibri"/>
                <w:color w:val="000000"/>
                <w:sz w:val="22"/>
                <w:szCs w:val="22"/>
                <w:highlight w:val="yellow"/>
              </w:rPr>
            </w:pPr>
            <w:r>
              <w:rPr>
                <w:rFonts w:ascii="Calibri" w:hAnsi="Calibri"/>
                <w:color w:val="000000"/>
                <w:sz w:val="22"/>
                <w:szCs w:val="22"/>
              </w:rPr>
              <w:t xml:space="preserve">9,736,955 </w:t>
            </w:r>
          </w:p>
        </w:tc>
      </w:tr>
      <w:tr w:rsidR="00947C8A" w:rsidRPr="00C33547" w14:paraId="75EAC079" w14:textId="42043066"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3389DFE7" w14:textId="28547678" w:rsidR="00947C8A" w:rsidRPr="00A37C49" w:rsidRDefault="00947C8A" w:rsidP="00947C8A">
            <w:pPr>
              <w:overflowPunct/>
              <w:autoSpaceDE/>
              <w:autoSpaceDN/>
              <w:adjustRightInd/>
              <w:ind w:left="288" w:right="288"/>
              <w:textAlignment w:val="auto"/>
              <w:rPr>
                <w:sz w:val="20"/>
              </w:rPr>
            </w:pPr>
            <w:r>
              <w:rPr>
                <w:b/>
                <w:sz w:val="20"/>
              </w:rPr>
              <w:t xml:space="preserve">Programs </w:t>
            </w:r>
            <w:r w:rsidRPr="00A37C49">
              <w:rPr>
                <w:b/>
                <w:sz w:val="20"/>
              </w:rPr>
              <w:t>Subtotal</w:t>
            </w:r>
          </w:p>
        </w:tc>
        <w:tc>
          <w:tcPr>
            <w:tcW w:w="1618" w:type="pct"/>
            <w:tcBorders>
              <w:top w:val="nil"/>
              <w:left w:val="nil"/>
              <w:bottom w:val="single" w:sz="4" w:space="0" w:color="auto"/>
              <w:right w:val="single" w:sz="4" w:space="0" w:color="auto"/>
            </w:tcBorders>
            <w:vAlign w:val="bottom"/>
          </w:tcPr>
          <w:p w14:paraId="35C1875B" w14:textId="2BEDA28B" w:rsidR="00947C8A" w:rsidRPr="00AA1191" w:rsidRDefault="00947C8A" w:rsidP="00AA1191">
            <w:pPr>
              <w:overflowPunct/>
              <w:autoSpaceDE/>
              <w:autoSpaceDN/>
              <w:adjustRightInd/>
              <w:ind w:left="288" w:right="270"/>
              <w:jc w:val="center"/>
              <w:textAlignment w:val="auto"/>
              <w:rPr>
                <w:rFonts w:cs="Arial"/>
                <w:sz w:val="20"/>
                <w:highlight w:val="yellow"/>
              </w:rPr>
            </w:pPr>
            <w:r w:rsidRPr="009F48AC">
              <w:rPr>
                <w:rFonts w:ascii="Calibri" w:hAnsi="Calibri"/>
                <w:b/>
                <w:color w:val="000000"/>
                <w:sz w:val="22"/>
                <w:szCs w:val="22"/>
              </w:rPr>
              <w:t xml:space="preserve">301,840,742 </w:t>
            </w:r>
          </w:p>
        </w:tc>
      </w:tr>
      <w:tr w:rsidR="00947C8A" w:rsidRPr="00C33547" w14:paraId="493A96A0" w14:textId="49DCBC85" w:rsidTr="00AA1191">
        <w:trPr>
          <w:trHeight w:val="300"/>
          <w:tblHeader/>
        </w:trPr>
        <w:tc>
          <w:tcPr>
            <w:tcW w:w="3382" w:type="pct"/>
            <w:tcBorders>
              <w:top w:val="nil"/>
              <w:left w:val="single" w:sz="4" w:space="0" w:color="auto"/>
              <w:bottom w:val="nil"/>
              <w:right w:val="single" w:sz="4" w:space="0" w:color="auto"/>
            </w:tcBorders>
            <w:shd w:val="clear" w:color="auto" w:fill="auto"/>
            <w:noWrap/>
            <w:vAlign w:val="center"/>
            <w:hideMark/>
          </w:tcPr>
          <w:p w14:paraId="2D697A1C" w14:textId="391A000F" w:rsidR="00947C8A" w:rsidRPr="00061DB4" w:rsidRDefault="00947C8A" w:rsidP="00AA1191">
            <w:pPr>
              <w:overflowPunct/>
              <w:autoSpaceDE/>
              <w:autoSpaceDN/>
              <w:adjustRightInd/>
              <w:ind w:left="288" w:right="288"/>
              <w:jc w:val="center"/>
              <w:textAlignment w:val="auto"/>
              <w:rPr>
                <w:sz w:val="20"/>
              </w:rPr>
            </w:pPr>
            <w:r w:rsidRPr="00061DB4">
              <w:rPr>
                <w:rFonts w:cs="Arial"/>
                <w:bCs/>
                <w:sz w:val="20"/>
              </w:rPr>
              <w:t>EM&amp;V (PG&amp;E only)</w:t>
            </w:r>
            <w:r w:rsidRPr="00061DB4">
              <w:rPr>
                <w:rStyle w:val="FootnoteReference"/>
                <w:rFonts w:cs="Arial"/>
                <w:bCs/>
                <w:sz w:val="20"/>
              </w:rPr>
              <w:footnoteReference w:id="9"/>
            </w:r>
          </w:p>
        </w:tc>
        <w:tc>
          <w:tcPr>
            <w:tcW w:w="1618" w:type="pct"/>
            <w:tcBorders>
              <w:top w:val="nil"/>
              <w:left w:val="nil"/>
              <w:bottom w:val="nil"/>
              <w:right w:val="single" w:sz="4" w:space="0" w:color="auto"/>
            </w:tcBorders>
            <w:vAlign w:val="bottom"/>
          </w:tcPr>
          <w:p w14:paraId="34390B9D" w14:textId="6F8A21BD" w:rsidR="00947C8A" w:rsidRPr="00AA1191" w:rsidRDefault="00947C8A" w:rsidP="00AA1191">
            <w:pPr>
              <w:overflowPunct/>
              <w:autoSpaceDE/>
              <w:autoSpaceDN/>
              <w:adjustRightInd/>
              <w:ind w:left="288" w:right="270"/>
              <w:jc w:val="center"/>
              <w:textAlignment w:val="auto"/>
              <w:rPr>
                <w:rFonts w:cs="Arial"/>
                <w:sz w:val="20"/>
                <w:highlight w:val="yellow"/>
              </w:rPr>
            </w:pPr>
            <w:r>
              <w:rPr>
                <w:rFonts w:ascii="Calibri" w:hAnsi="Calibri"/>
                <w:color w:val="000000"/>
                <w:sz w:val="22"/>
                <w:szCs w:val="22"/>
              </w:rPr>
              <w:t>12,576,698</w:t>
            </w:r>
          </w:p>
        </w:tc>
      </w:tr>
      <w:tr w:rsidR="00947C8A" w:rsidRPr="00C33547" w14:paraId="2803F809" w14:textId="1F69F34A" w:rsidTr="00AA1191">
        <w:trPr>
          <w:trHeight w:val="300"/>
          <w:tblHeader/>
        </w:trPr>
        <w:tc>
          <w:tcPr>
            <w:tcW w:w="3382"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7B1514A" w14:textId="587ED4EA" w:rsidR="00947C8A" w:rsidRPr="00757311" w:rsidRDefault="00947C8A" w:rsidP="00947C8A">
            <w:pPr>
              <w:overflowPunct/>
              <w:autoSpaceDE/>
              <w:autoSpaceDN/>
              <w:adjustRightInd/>
              <w:ind w:left="288" w:right="288"/>
              <w:textAlignment w:val="auto"/>
              <w:rPr>
                <w:rFonts w:cs="Arial"/>
                <w:sz w:val="20"/>
              </w:rPr>
            </w:pPr>
            <w:r>
              <w:rPr>
                <w:rFonts w:cs="Arial"/>
                <w:b/>
                <w:bCs/>
                <w:sz w:val="20"/>
              </w:rPr>
              <w:t>PG&amp;E Subtotal</w:t>
            </w:r>
          </w:p>
        </w:tc>
        <w:tc>
          <w:tcPr>
            <w:tcW w:w="1618" w:type="pct"/>
            <w:tcBorders>
              <w:top w:val="single" w:sz="4" w:space="0" w:color="auto"/>
              <w:left w:val="nil"/>
              <w:bottom w:val="double" w:sz="6" w:space="0" w:color="auto"/>
              <w:right w:val="single" w:sz="4" w:space="0" w:color="auto"/>
            </w:tcBorders>
            <w:vAlign w:val="bottom"/>
          </w:tcPr>
          <w:p w14:paraId="3EA732C7" w14:textId="213D46F3" w:rsidR="00947C8A" w:rsidRPr="00AA1191" w:rsidRDefault="00947C8A" w:rsidP="00AA1191">
            <w:pPr>
              <w:overflowPunct/>
              <w:autoSpaceDE/>
              <w:autoSpaceDN/>
              <w:adjustRightInd/>
              <w:ind w:left="288" w:right="270"/>
              <w:jc w:val="center"/>
              <w:textAlignment w:val="auto"/>
              <w:rPr>
                <w:sz w:val="20"/>
                <w:highlight w:val="yellow"/>
              </w:rPr>
            </w:pPr>
            <w:r w:rsidRPr="009F48AC">
              <w:rPr>
                <w:rFonts w:ascii="Calibri" w:hAnsi="Calibri"/>
                <w:b/>
                <w:color w:val="000000"/>
                <w:sz w:val="22"/>
                <w:szCs w:val="22"/>
              </w:rPr>
              <w:t xml:space="preserve">314,417,440 </w:t>
            </w:r>
          </w:p>
        </w:tc>
      </w:tr>
      <w:tr w:rsidR="00947C8A" w:rsidRPr="00C33547" w14:paraId="149C7AC8" w14:textId="046CB562" w:rsidTr="00AA1191">
        <w:trPr>
          <w:trHeight w:val="300"/>
          <w:tblHeader/>
        </w:trPr>
        <w:tc>
          <w:tcPr>
            <w:tcW w:w="3382" w:type="pct"/>
            <w:tcBorders>
              <w:top w:val="nil"/>
              <w:left w:val="single" w:sz="4" w:space="0" w:color="auto"/>
              <w:bottom w:val="single" w:sz="4" w:space="0" w:color="auto"/>
              <w:right w:val="single" w:sz="4" w:space="0" w:color="auto"/>
            </w:tcBorders>
            <w:shd w:val="clear" w:color="auto" w:fill="auto"/>
            <w:noWrap/>
            <w:vAlign w:val="center"/>
            <w:hideMark/>
          </w:tcPr>
          <w:p w14:paraId="3B4F3647" w14:textId="49E45CDD" w:rsidR="00947C8A" w:rsidRPr="00757311" w:rsidRDefault="00947C8A" w:rsidP="00947C8A">
            <w:pPr>
              <w:overflowPunct/>
              <w:autoSpaceDE/>
              <w:autoSpaceDN/>
              <w:adjustRightInd/>
              <w:ind w:left="288" w:right="288"/>
              <w:textAlignment w:val="auto"/>
              <w:rPr>
                <w:rFonts w:cs="Arial"/>
                <w:sz w:val="20"/>
              </w:rPr>
            </w:pPr>
            <w:r w:rsidRPr="00757311">
              <w:rPr>
                <w:rFonts w:cs="Arial"/>
                <w:sz w:val="20"/>
              </w:rPr>
              <w:t>BayREN</w:t>
            </w:r>
          </w:p>
        </w:tc>
        <w:tc>
          <w:tcPr>
            <w:tcW w:w="1618" w:type="pct"/>
            <w:tcBorders>
              <w:top w:val="single" w:sz="4" w:space="0" w:color="auto"/>
              <w:left w:val="nil"/>
              <w:bottom w:val="single" w:sz="4" w:space="0" w:color="auto"/>
              <w:right w:val="single" w:sz="4" w:space="0" w:color="auto"/>
            </w:tcBorders>
            <w:vAlign w:val="bottom"/>
          </w:tcPr>
          <w:p w14:paraId="59772786" w14:textId="46D79259" w:rsidR="00947C8A" w:rsidRPr="00AA1191" w:rsidRDefault="00947C8A" w:rsidP="00AA1191">
            <w:pPr>
              <w:overflowPunct/>
              <w:autoSpaceDE/>
              <w:autoSpaceDN/>
              <w:adjustRightInd/>
              <w:ind w:left="288" w:right="270"/>
              <w:jc w:val="center"/>
              <w:textAlignment w:val="auto"/>
              <w:rPr>
                <w:sz w:val="20"/>
                <w:highlight w:val="yellow"/>
              </w:rPr>
            </w:pPr>
            <w:r w:rsidRPr="009F48AC">
              <w:rPr>
                <w:rFonts w:ascii="Calibri" w:hAnsi="Calibri"/>
                <w:color w:val="000000"/>
                <w:sz w:val="22"/>
                <w:szCs w:val="22"/>
              </w:rPr>
              <w:t xml:space="preserve">24,661,620 </w:t>
            </w:r>
          </w:p>
        </w:tc>
      </w:tr>
      <w:tr w:rsidR="00947C8A" w:rsidRPr="00C33547" w14:paraId="36993215" w14:textId="37838200" w:rsidTr="00AA1191">
        <w:trPr>
          <w:trHeight w:val="300"/>
          <w:tblHeader/>
        </w:trPr>
        <w:tc>
          <w:tcPr>
            <w:tcW w:w="3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F03FA" w14:textId="4A2565A5" w:rsidR="00947C8A" w:rsidRPr="00757311" w:rsidRDefault="00947C8A" w:rsidP="00947C8A">
            <w:pPr>
              <w:overflowPunct/>
              <w:autoSpaceDE/>
              <w:autoSpaceDN/>
              <w:adjustRightInd/>
              <w:ind w:left="288" w:right="288"/>
              <w:textAlignment w:val="auto"/>
              <w:rPr>
                <w:rFonts w:cs="Arial"/>
                <w:b/>
                <w:bCs/>
                <w:sz w:val="20"/>
              </w:rPr>
            </w:pPr>
            <w:r>
              <w:rPr>
                <w:rFonts w:cs="Arial"/>
                <w:sz w:val="20"/>
              </w:rPr>
              <w:t>MCE</w:t>
            </w:r>
          </w:p>
        </w:tc>
        <w:tc>
          <w:tcPr>
            <w:tcW w:w="1618" w:type="pct"/>
            <w:tcBorders>
              <w:top w:val="nil"/>
              <w:left w:val="nil"/>
              <w:bottom w:val="single" w:sz="4" w:space="0" w:color="auto"/>
              <w:right w:val="single" w:sz="4" w:space="0" w:color="auto"/>
            </w:tcBorders>
            <w:vAlign w:val="bottom"/>
          </w:tcPr>
          <w:p w14:paraId="4B1F114B" w14:textId="57163167" w:rsidR="00947C8A" w:rsidRPr="00AA1191" w:rsidRDefault="00947C8A" w:rsidP="00AA1191">
            <w:pPr>
              <w:overflowPunct/>
              <w:autoSpaceDE/>
              <w:autoSpaceDN/>
              <w:adjustRightInd/>
              <w:ind w:left="288" w:right="270"/>
              <w:jc w:val="center"/>
              <w:textAlignment w:val="auto"/>
              <w:rPr>
                <w:b/>
                <w:sz w:val="20"/>
                <w:highlight w:val="yellow"/>
              </w:rPr>
            </w:pPr>
            <w:r>
              <w:rPr>
                <w:rFonts w:ascii="Calibri" w:hAnsi="Calibri"/>
                <w:color w:val="000000"/>
                <w:sz w:val="22"/>
                <w:szCs w:val="22"/>
              </w:rPr>
              <w:t xml:space="preserve">8,779,830 </w:t>
            </w:r>
          </w:p>
        </w:tc>
      </w:tr>
      <w:tr w:rsidR="00947C8A" w:rsidRPr="00C33547" w14:paraId="08AE3433" w14:textId="22B27EAF" w:rsidTr="00AA1191">
        <w:trPr>
          <w:trHeight w:val="315"/>
          <w:tblHeader/>
        </w:trPr>
        <w:tc>
          <w:tcPr>
            <w:tcW w:w="3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153D" w14:textId="03A96A2F" w:rsidR="00947C8A" w:rsidRPr="00757311" w:rsidRDefault="00947C8A" w:rsidP="00947C8A">
            <w:pPr>
              <w:overflowPunct/>
              <w:autoSpaceDE/>
              <w:autoSpaceDN/>
              <w:adjustRightInd/>
              <w:ind w:left="288" w:right="288"/>
              <w:textAlignment w:val="auto"/>
              <w:rPr>
                <w:rFonts w:cs="Arial"/>
                <w:b/>
                <w:bCs/>
                <w:sz w:val="20"/>
              </w:rPr>
            </w:pPr>
            <w:r>
              <w:rPr>
                <w:rFonts w:cs="Arial"/>
                <w:sz w:val="20"/>
              </w:rPr>
              <w:t>3C-REN</w:t>
            </w:r>
          </w:p>
        </w:tc>
        <w:tc>
          <w:tcPr>
            <w:tcW w:w="1618" w:type="pct"/>
            <w:tcBorders>
              <w:top w:val="nil"/>
              <w:left w:val="nil"/>
              <w:bottom w:val="single" w:sz="4" w:space="0" w:color="auto"/>
              <w:right w:val="single" w:sz="4" w:space="0" w:color="auto"/>
            </w:tcBorders>
            <w:vAlign w:val="bottom"/>
          </w:tcPr>
          <w:p w14:paraId="34B2CC87" w14:textId="09722ACA" w:rsidR="00947C8A" w:rsidRPr="00AA1191" w:rsidRDefault="00947C8A" w:rsidP="00AA1191">
            <w:pPr>
              <w:overflowPunct/>
              <w:autoSpaceDE/>
              <w:autoSpaceDN/>
              <w:adjustRightInd/>
              <w:ind w:left="288" w:right="270"/>
              <w:jc w:val="center"/>
              <w:textAlignment w:val="auto"/>
              <w:rPr>
                <w:b/>
                <w:sz w:val="20"/>
                <w:highlight w:val="yellow"/>
              </w:rPr>
            </w:pPr>
            <w:r>
              <w:rPr>
                <w:rFonts w:ascii="Calibri" w:hAnsi="Calibri"/>
                <w:color w:val="000000"/>
                <w:sz w:val="22"/>
                <w:szCs w:val="22"/>
              </w:rPr>
              <w:t xml:space="preserve">2,827,200 </w:t>
            </w:r>
          </w:p>
        </w:tc>
      </w:tr>
      <w:tr w:rsidR="00947C8A" w:rsidRPr="00C33547" w14:paraId="2BE35FDD" w14:textId="77777777" w:rsidTr="00AA1191">
        <w:trPr>
          <w:trHeight w:val="300"/>
          <w:tblHeader/>
        </w:trPr>
        <w:tc>
          <w:tcPr>
            <w:tcW w:w="3382" w:type="pct"/>
            <w:tcBorders>
              <w:top w:val="nil"/>
              <w:left w:val="single" w:sz="4" w:space="0" w:color="auto"/>
              <w:bottom w:val="double" w:sz="6" w:space="0" w:color="auto"/>
              <w:right w:val="single" w:sz="4" w:space="0" w:color="auto"/>
            </w:tcBorders>
            <w:shd w:val="clear" w:color="auto" w:fill="auto"/>
            <w:noWrap/>
            <w:vAlign w:val="center"/>
          </w:tcPr>
          <w:p w14:paraId="2E6D5F7B" w14:textId="299FDAF6" w:rsidR="00947C8A" w:rsidRPr="00757311" w:rsidRDefault="00947C8A" w:rsidP="00947C8A">
            <w:pPr>
              <w:overflowPunct/>
              <w:autoSpaceDE/>
              <w:autoSpaceDN/>
              <w:adjustRightInd/>
              <w:ind w:left="288" w:right="288"/>
              <w:textAlignment w:val="auto"/>
              <w:rPr>
                <w:rFonts w:cs="Arial"/>
                <w:sz w:val="20"/>
              </w:rPr>
            </w:pPr>
            <w:r w:rsidRPr="00757311">
              <w:rPr>
                <w:rFonts w:cs="Arial"/>
                <w:b/>
                <w:bCs/>
                <w:sz w:val="20"/>
              </w:rPr>
              <w:t>Subtotal Nonutility</w:t>
            </w:r>
          </w:p>
        </w:tc>
        <w:tc>
          <w:tcPr>
            <w:tcW w:w="1618" w:type="pct"/>
            <w:tcBorders>
              <w:top w:val="nil"/>
              <w:left w:val="nil"/>
              <w:bottom w:val="double" w:sz="6" w:space="0" w:color="auto"/>
              <w:right w:val="single" w:sz="4" w:space="0" w:color="auto"/>
            </w:tcBorders>
            <w:vAlign w:val="bottom"/>
          </w:tcPr>
          <w:p w14:paraId="34F4BC2A" w14:textId="7BE05036" w:rsidR="00947C8A" w:rsidRPr="00AA1191" w:rsidRDefault="00947C8A" w:rsidP="00AA1191">
            <w:pPr>
              <w:overflowPunct/>
              <w:autoSpaceDE/>
              <w:autoSpaceDN/>
              <w:adjustRightInd/>
              <w:ind w:left="288" w:right="270"/>
              <w:jc w:val="center"/>
              <w:textAlignment w:val="auto"/>
              <w:rPr>
                <w:sz w:val="20"/>
                <w:highlight w:val="yellow"/>
              </w:rPr>
            </w:pPr>
            <w:r w:rsidRPr="009F48AC">
              <w:rPr>
                <w:rFonts w:ascii="Calibri" w:hAnsi="Calibri"/>
                <w:b/>
                <w:color w:val="000000"/>
                <w:sz w:val="22"/>
                <w:szCs w:val="22"/>
              </w:rPr>
              <w:t xml:space="preserve">36,268,650 </w:t>
            </w:r>
          </w:p>
        </w:tc>
      </w:tr>
      <w:tr w:rsidR="00947C8A" w:rsidRPr="00C33547" w14:paraId="5DF20FB1" w14:textId="0A82AC12" w:rsidTr="00AA1191">
        <w:trPr>
          <w:trHeight w:val="300"/>
          <w:tblHeader/>
        </w:trPr>
        <w:tc>
          <w:tcPr>
            <w:tcW w:w="3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46A37" w14:textId="0CC4C9BC" w:rsidR="00947C8A" w:rsidRPr="00757311" w:rsidRDefault="00947C8A" w:rsidP="00947C8A">
            <w:pPr>
              <w:overflowPunct/>
              <w:autoSpaceDE/>
              <w:autoSpaceDN/>
              <w:adjustRightInd/>
              <w:ind w:left="288" w:right="288"/>
              <w:textAlignment w:val="auto"/>
              <w:rPr>
                <w:rFonts w:cs="Arial"/>
                <w:sz w:val="20"/>
              </w:rPr>
            </w:pPr>
            <w:r w:rsidRPr="00757311">
              <w:rPr>
                <w:rFonts w:cs="Arial"/>
                <w:b/>
                <w:bCs/>
                <w:sz w:val="20"/>
              </w:rPr>
              <w:t>Total EE Budget</w:t>
            </w:r>
          </w:p>
        </w:tc>
        <w:tc>
          <w:tcPr>
            <w:tcW w:w="1618" w:type="pct"/>
            <w:tcBorders>
              <w:top w:val="single" w:sz="4" w:space="0" w:color="auto"/>
              <w:left w:val="nil"/>
              <w:bottom w:val="single" w:sz="4" w:space="0" w:color="auto"/>
              <w:right w:val="single" w:sz="4" w:space="0" w:color="auto"/>
            </w:tcBorders>
            <w:vAlign w:val="bottom"/>
          </w:tcPr>
          <w:p w14:paraId="520FF6FE" w14:textId="677216BC" w:rsidR="00947C8A" w:rsidRPr="00AA1191" w:rsidRDefault="00947C8A" w:rsidP="00AA1191">
            <w:pPr>
              <w:overflowPunct/>
              <w:autoSpaceDE/>
              <w:autoSpaceDN/>
              <w:adjustRightInd/>
              <w:ind w:left="288" w:right="270"/>
              <w:jc w:val="center"/>
              <w:textAlignment w:val="auto"/>
              <w:rPr>
                <w:sz w:val="20"/>
                <w:highlight w:val="yellow"/>
              </w:rPr>
            </w:pPr>
            <w:r w:rsidRPr="002E406C">
              <w:rPr>
                <w:rFonts w:ascii="Calibri" w:hAnsi="Calibri"/>
                <w:b/>
                <w:color w:val="000000"/>
                <w:sz w:val="22"/>
                <w:szCs w:val="22"/>
              </w:rPr>
              <w:t xml:space="preserve">350,686,090 </w:t>
            </w:r>
          </w:p>
        </w:tc>
      </w:tr>
    </w:tbl>
    <w:p w14:paraId="3726B366" w14:textId="54B01113" w:rsidR="004B2F47" w:rsidRDefault="004B2F47" w:rsidP="00235F2B">
      <w:pPr>
        <w:rPr>
          <w:color w:val="000000"/>
        </w:rPr>
      </w:pPr>
    </w:p>
    <w:p w14:paraId="5A460A36" w14:textId="77777777" w:rsidR="00D615B0" w:rsidRDefault="00D615B0" w:rsidP="00235F2B">
      <w:pPr>
        <w:ind w:firstLine="720"/>
        <w:jc w:val="both"/>
        <w:rPr>
          <w:b/>
          <w:color w:val="000000"/>
        </w:rPr>
      </w:pPr>
    </w:p>
    <w:p w14:paraId="129CEE08" w14:textId="33FEAAFD" w:rsidR="00235F2B" w:rsidRPr="00CF0783" w:rsidRDefault="00235F2B" w:rsidP="00F31737">
      <w:pPr>
        <w:pStyle w:val="Heading2"/>
        <w:numPr>
          <w:ilvl w:val="0"/>
          <w:numId w:val="9"/>
        </w:numPr>
        <w:rPr>
          <w:color w:val="000000"/>
        </w:rPr>
      </w:pPr>
      <w:r w:rsidRPr="00E53834">
        <w:rPr>
          <w:color w:val="000000"/>
        </w:rPr>
        <w:t>Goals</w:t>
      </w:r>
    </w:p>
    <w:p w14:paraId="29646467" w14:textId="77777777" w:rsidR="00235F2B" w:rsidRDefault="00235F2B" w:rsidP="00235F2B">
      <w:pPr>
        <w:jc w:val="both"/>
        <w:rPr>
          <w:b/>
          <w:color w:val="000000"/>
          <w:u w:val="single"/>
        </w:rPr>
      </w:pPr>
    </w:p>
    <w:p w14:paraId="6A386740" w14:textId="4006841A" w:rsidR="007C3004" w:rsidRPr="007C3004" w:rsidRDefault="00235F2B" w:rsidP="007C3004">
      <w:pPr>
        <w:jc w:val="both"/>
        <w:rPr>
          <w:color w:val="000000"/>
        </w:rPr>
      </w:pPr>
      <w:r>
        <w:rPr>
          <w:color w:val="000000"/>
        </w:rPr>
        <w:t xml:space="preserve">PG&amp;E </w:t>
      </w:r>
      <w:r w:rsidR="007C3004">
        <w:rPr>
          <w:color w:val="000000"/>
        </w:rPr>
        <w:t xml:space="preserve">is still in the process of </w:t>
      </w:r>
      <w:r w:rsidR="00493CE8">
        <w:rPr>
          <w:rFonts w:cs="Arial"/>
          <w:color w:val="000000"/>
          <w:szCs w:val="24"/>
        </w:rPr>
        <w:t>developing a final forecast</w:t>
      </w:r>
      <w:r w:rsidR="007C3004">
        <w:rPr>
          <w:color w:val="000000"/>
        </w:rPr>
        <w:t>. A</w:t>
      </w:r>
      <w:r w:rsidR="007C32C2">
        <w:rPr>
          <w:color w:val="000000"/>
        </w:rPr>
        <w:t>s such, the table</w:t>
      </w:r>
      <w:r w:rsidR="007C3004" w:rsidRPr="007C3004">
        <w:rPr>
          <w:color w:val="000000"/>
        </w:rPr>
        <w:t xml:space="preserve"> below do</w:t>
      </w:r>
      <w:r w:rsidR="007C32C2">
        <w:rPr>
          <w:color w:val="000000"/>
        </w:rPr>
        <w:t>es</w:t>
      </w:r>
      <w:r w:rsidR="007C3004" w:rsidRPr="007C3004">
        <w:rPr>
          <w:color w:val="000000"/>
        </w:rPr>
        <w:t xml:space="preserve"> not reflect its final 2019 EE Portfolio Savings.</w:t>
      </w:r>
    </w:p>
    <w:p w14:paraId="10DDE263" w14:textId="77777777" w:rsidR="007C3004" w:rsidRPr="007C3004" w:rsidRDefault="007C3004" w:rsidP="007C3004">
      <w:pPr>
        <w:jc w:val="both"/>
        <w:rPr>
          <w:color w:val="000000"/>
        </w:rPr>
      </w:pPr>
    </w:p>
    <w:p w14:paraId="2AFB1F36" w14:textId="2AC7BB4E" w:rsidR="00235F2B" w:rsidRDefault="007C3004" w:rsidP="007C3004">
      <w:pPr>
        <w:jc w:val="both"/>
        <w:rPr>
          <w:color w:val="000000"/>
        </w:rPr>
      </w:pPr>
      <w:r>
        <w:rPr>
          <w:color w:val="000000"/>
        </w:rPr>
        <w:t>Table 2</w:t>
      </w:r>
      <w:r w:rsidRPr="007C3004">
        <w:rPr>
          <w:color w:val="000000"/>
        </w:rPr>
        <w:t xml:space="preserve"> below provides </w:t>
      </w:r>
      <w:r>
        <w:rPr>
          <w:color w:val="000000"/>
        </w:rPr>
        <w:t>PG&amp;E’s</w:t>
      </w:r>
      <w:r w:rsidRPr="007C3004">
        <w:rPr>
          <w:color w:val="000000"/>
        </w:rPr>
        <w:t xml:space="preserve"> forecast of energy savings and demand reduction for its 2019 EE portfolio. Note t</w:t>
      </w:r>
      <w:r w:rsidR="00061DB4">
        <w:rPr>
          <w:color w:val="000000"/>
        </w:rPr>
        <w:t>hat Codes and Standards and Low-</w:t>
      </w:r>
      <w:r w:rsidRPr="007C3004">
        <w:rPr>
          <w:color w:val="000000"/>
        </w:rPr>
        <w:t>Income Energy Savings Assistance Program</w:t>
      </w:r>
      <w:r w:rsidR="00061DB4">
        <w:rPr>
          <w:color w:val="000000"/>
        </w:rPr>
        <w:t xml:space="preserve"> (ESA)</w:t>
      </w:r>
      <w:r w:rsidRPr="007C3004">
        <w:rPr>
          <w:color w:val="000000"/>
        </w:rPr>
        <w:t xml:space="preserve"> are included in these figures.</w:t>
      </w:r>
    </w:p>
    <w:p w14:paraId="7D1C07DA" w14:textId="77777777" w:rsidR="007A518F" w:rsidRDefault="007A518F" w:rsidP="007C3004">
      <w:pPr>
        <w:jc w:val="both"/>
        <w:rPr>
          <w:color w:val="000000"/>
        </w:rPr>
      </w:pPr>
    </w:p>
    <w:p w14:paraId="2222BE09" w14:textId="77777777" w:rsidR="00947C8A" w:rsidRDefault="00947C8A">
      <w:pPr>
        <w:overflowPunct/>
        <w:autoSpaceDE/>
        <w:autoSpaceDN/>
        <w:adjustRightInd/>
        <w:textAlignment w:val="auto"/>
        <w:rPr>
          <w:b/>
          <w:color w:val="000000"/>
        </w:rPr>
      </w:pPr>
      <w:r>
        <w:rPr>
          <w:b/>
          <w:color w:val="000000"/>
        </w:rPr>
        <w:br w:type="page"/>
      </w:r>
    </w:p>
    <w:p w14:paraId="3D480451" w14:textId="30A41768" w:rsidR="00235F2B" w:rsidRDefault="00235F2B" w:rsidP="00235F2B">
      <w:pPr>
        <w:jc w:val="center"/>
        <w:rPr>
          <w:b/>
          <w:color w:val="000000"/>
        </w:rPr>
      </w:pPr>
      <w:r>
        <w:rPr>
          <w:b/>
          <w:color w:val="000000"/>
        </w:rPr>
        <w:lastRenderedPageBreak/>
        <w:t>Table 2: PG&amp;E Targets Compared to CPUC Goals</w:t>
      </w:r>
    </w:p>
    <w:p w14:paraId="0EDA67AD" w14:textId="77777777" w:rsidR="00235F2B" w:rsidRDefault="00235F2B" w:rsidP="00235F2B">
      <w:pPr>
        <w:rPr>
          <w:b/>
          <w:color w:val="000000"/>
        </w:rPr>
      </w:pPr>
      <w:r>
        <w:rPr>
          <w:b/>
          <w:color w:val="00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12"/>
        <w:gridCol w:w="2145"/>
        <w:gridCol w:w="1952"/>
        <w:gridCol w:w="2341"/>
      </w:tblGrid>
      <w:tr w:rsidR="00235F2B" w:rsidRPr="009D4C51" w14:paraId="042496B3" w14:textId="77777777" w:rsidTr="00A91DD1">
        <w:trPr>
          <w:trHeight w:val="621"/>
          <w:jc w:val="center"/>
        </w:trPr>
        <w:tc>
          <w:tcPr>
            <w:tcW w:w="1557" w:type="pct"/>
            <w:shd w:val="clear" w:color="auto" w:fill="D9D9D9" w:themeFill="background1" w:themeFillShade="D9"/>
            <w:tcMar>
              <w:top w:w="72" w:type="dxa"/>
              <w:left w:w="144" w:type="dxa"/>
              <w:bottom w:w="72" w:type="dxa"/>
              <w:right w:w="144" w:type="dxa"/>
            </w:tcMar>
            <w:hideMark/>
          </w:tcPr>
          <w:p w14:paraId="6BC81FED" w14:textId="77777777" w:rsidR="00235F2B" w:rsidRPr="00A91DD1" w:rsidRDefault="00235F2B" w:rsidP="00B3672C">
            <w:pPr>
              <w:rPr>
                <w:b/>
                <w:color w:val="000000"/>
                <w:sz w:val="20"/>
              </w:rPr>
            </w:pPr>
          </w:p>
        </w:tc>
        <w:tc>
          <w:tcPr>
            <w:tcW w:w="1147" w:type="pct"/>
            <w:shd w:val="clear" w:color="auto" w:fill="D9D9D9" w:themeFill="background1" w:themeFillShade="D9"/>
            <w:tcMar>
              <w:top w:w="72" w:type="dxa"/>
              <w:left w:w="144" w:type="dxa"/>
              <w:bottom w:w="72" w:type="dxa"/>
              <w:right w:w="144" w:type="dxa"/>
            </w:tcMar>
            <w:vAlign w:val="center"/>
            <w:hideMark/>
          </w:tcPr>
          <w:p w14:paraId="777DBD42" w14:textId="77777777" w:rsidR="00235F2B" w:rsidRPr="00A91DD1" w:rsidRDefault="00235F2B" w:rsidP="00A91DD1">
            <w:pPr>
              <w:jc w:val="center"/>
              <w:rPr>
                <w:b/>
                <w:color w:val="000000"/>
                <w:sz w:val="20"/>
              </w:rPr>
            </w:pPr>
            <w:r w:rsidRPr="00A91DD1">
              <w:rPr>
                <w:b/>
                <w:color w:val="000000"/>
                <w:sz w:val="20"/>
              </w:rPr>
              <w:t>Electric Savings (GWh/Year)</w:t>
            </w:r>
          </w:p>
        </w:tc>
        <w:tc>
          <w:tcPr>
            <w:tcW w:w="1044" w:type="pct"/>
            <w:shd w:val="clear" w:color="auto" w:fill="D9D9D9" w:themeFill="background1" w:themeFillShade="D9"/>
            <w:tcMar>
              <w:top w:w="72" w:type="dxa"/>
              <w:left w:w="144" w:type="dxa"/>
              <w:bottom w:w="72" w:type="dxa"/>
              <w:right w:w="144" w:type="dxa"/>
            </w:tcMar>
            <w:vAlign w:val="center"/>
            <w:hideMark/>
          </w:tcPr>
          <w:p w14:paraId="2DD2780D" w14:textId="6C12B4C3" w:rsidR="00235F2B" w:rsidRPr="00A91DD1" w:rsidRDefault="00233A46" w:rsidP="00A91DD1">
            <w:pPr>
              <w:jc w:val="center"/>
              <w:rPr>
                <w:b/>
                <w:color w:val="000000"/>
                <w:sz w:val="20"/>
              </w:rPr>
            </w:pPr>
            <w:r>
              <w:rPr>
                <w:b/>
                <w:color w:val="000000"/>
                <w:sz w:val="20"/>
              </w:rPr>
              <w:t xml:space="preserve">Peak Savings </w:t>
            </w:r>
            <w:r w:rsidR="002955C3" w:rsidRPr="00A91DD1">
              <w:rPr>
                <w:b/>
                <w:color w:val="000000"/>
                <w:sz w:val="20"/>
              </w:rPr>
              <w:t>(M</w:t>
            </w:r>
            <w:r w:rsidR="00235F2B" w:rsidRPr="00A91DD1">
              <w:rPr>
                <w:b/>
                <w:color w:val="000000"/>
                <w:sz w:val="20"/>
              </w:rPr>
              <w:t>W)</w:t>
            </w:r>
          </w:p>
        </w:tc>
        <w:tc>
          <w:tcPr>
            <w:tcW w:w="1252" w:type="pct"/>
            <w:shd w:val="clear" w:color="auto" w:fill="D9D9D9" w:themeFill="background1" w:themeFillShade="D9"/>
            <w:tcMar>
              <w:top w:w="72" w:type="dxa"/>
              <w:left w:w="144" w:type="dxa"/>
              <w:bottom w:w="72" w:type="dxa"/>
              <w:right w:w="144" w:type="dxa"/>
            </w:tcMar>
            <w:vAlign w:val="center"/>
            <w:hideMark/>
          </w:tcPr>
          <w:p w14:paraId="7E5453ED" w14:textId="77777777" w:rsidR="00235F2B" w:rsidRPr="00A91DD1" w:rsidRDefault="00235F2B" w:rsidP="00A91DD1">
            <w:pPr>
              <w:jc w:val="center"/>
              <w:rPr>
                <w:b/>
                <w:color w:val="000000"/>
                <w:sz w:val="20"/>
              </w:rPr>
            </w:pPr>
            <w:r w:rsidRPr="00A91DD1">
              <w:rPr>
                <w:b/>
                <w:color w:val="000000"/>
                <w:sz w:val="20"/>
              </w:rPr>
              <w:t>Gas Savings with interactive effects (MM Therms/Year)</w:t>
            </w:r>
          </w:p>
        </w:tc>
      </w:tr>
      <w:tr w:rsidR="00235F2B" w:rsidRPr="009D4C51" w14:paraId="02E62567" w14:textId="77777777" w:rsidTr="00A91DD1">
        <w:trPr>
          <w:trHeight w:val="296"/>
          <w:jc w:val="center"/>
        </w:trPr>
        <w:tc>
          <w:tcPr>
            <w:tcW w:w="5000" w:type="pct"/>
            <w:gridSpan w:val="4"/>
            <w:shd w:val="clear" w:color="auto" w:fill="auto"/>
            <w:tcMar>
              <w:top w:w="72" w:type="dxa"/>
              <w:left w:w="144" w:type="dxa"/>
              <w:bottom w:w="72" w:type="dxa"/>
              <w:right w:w="144" w:type="dxa"/>
            </w:tcMar>
            <w:vAlign w:val="center"/>
            <w:hideMark/>
          </w:tcPr>
          <w:p w14:paraId="0AB5FE36" w14:textId="319D9439" w:rsidR="00235F2B" w:rsidRPr="00A91DD1" w:rsidRDefault="00235F2B" w:rsidP="00A91DD1">
            <w:pPr>
              <w:ind w:left="270" w:hanging="270"/>
              <w:rPr>
                <w:b/>
                <w:color w:val="000000"/>
                <w:sz w:val="20"/>
              </w:rPr>
            </w:pPr>
            <w:r w:rsidRPr="00A91DD1">
              <w:rPr>
                <w:b/>
                <w:color w:val="000000"/>
                <w:sz w:val="20"/>
              </w:rPr>
              <w:t xml:space="preserve">Programs </w:t>
            </w:r>
          </w:p>
        </w:tc>
      </w:tr>
      <w:tr w:rsidR="00947C8A" w:rsidRPr="009D4C51" w14:paraId="19EEF80C" w14:textId="77777777" w:rsidTr="00A91DD1">
        <w:trPr>
          <w:trHeight w:val="233"/>
          <w:jc w:val="center"/>
        </w:trPr>
        <w:tc>
          <w:tcPr>
            <w:tcW w:w="1557" w:type="pct"/>
            <w:shd w:val="clear" w:color="auto" w:fill="auto"/>
            <w:tcMar>
              <w:top w:w="72" w:type="dxa"/>
              <w:left w:w="144" w:type="dxa"/>
              <w:bottom w:w="72" w:type="dxa"/>
              <w:right w:w="144" w:type="dxa"/>
            </w:tcMar>
            <w:vAlign w:val="bottom"/>
          </w:tcPr>
          <w:p w14:paraId="52359458" w14:textId="3DFE4358" w:rsidR="00947C8A" w:rsidRPr="00A91DD1" w:rsidRDefault="00947C8A" w:rsidP="00947C8A">
            <w:pPr>
              <w:ind w:left="270" w:hanging="270"/>
              <w:rPr>
                <w:color w:val="000000"/>
                <w:sz w:val="20"/>
              </w:rPr>
            </w:pPr>
            <w:r w:rsidRPr="00A91DD1">
              <w:rPr>
                <w:color w:val="000000"/>
                <w:sz w:val="20"/>
              </w:rPr>
              <w:t xml:space="preserve">CPUC </w:t>
            </w:r>
            <w:r>
              <w:rPr>
                <w:color w:val="000000"/>
                <w:sz w:val="20"/>
              </w:rPr>
              <w:t>2019</w:t>
            </w:r>
            <w:r w:rsidRPr="00A91DD1">
              <w:rPr>
                <w:color w:val="000000"/>
                <w:sz w:val="20"/>
              </w:rPr>
              <w:t xml:space="preserve"> Goals</w:t>
            </w:r>
            <w:r>
              <w:rPr>
                <w:rStyle w:val="FootnoteReference"/>
                <w:color w:val="000000"/>
                <w:sz w:val="20"/>
              </w:rPr>
              <w:footnoteReference w:id="10"/>
            </w:r>
          </w:p>
        </w:tc>
        <w:tc>
          <w:tcPr>
            <w:tcW w:w="1147" w:type="pct"/>
            <w:shd w:val="clear" w:color="auto" w:fill="auto"/>
            <w:tcMar>
              <w:top w:w="15" w:type="dxa"/>
              <w:left w:w="108" w:type="dxa"/>
              <w:bottom w:w="0" w:type="dxa"/>
              <w:right w:w="108" w:type="dxa"/>
            </w:tcMar>
            <w:vAlign w:val="bottom"/>
          </w:tcPr>
          <w:p w14:paraId="6C88C916" w14:textId="1EDF1286" w:rsidR="00947C8A" w:rsidRPr="00AA1191" w:rsidRDefault="00947C8A" w:rsidP="00947C8A">
            <w:pPr>
              <w:ind w:right="195"/>
              <w:jc w:val="right"/>
              <w:rPr>
                <w:color w:val="000000"/>
                <w:sz w:val="20"/>
                <w:highlight w:val="yellow"/>
              </w:rPr>
            </w:pPr>
            <w:r>
              <w:rPr>
                <w:color w:val="000000"/>
                <w:sz w:val="20"/>
              </w:rPr>
              <w:t>1079</w:t>
            </w:r>
          </w:p>
        </w:tc>
        <w:tc>
          <w:tcPr>
            <w:tcW w:w="1044" w:type="pct"/>
            <w:shd w:val="clear" w:color="auto" w:fill="auto"/>
            <w:tcMar>
              <w:top w:w="15" w:type="dxa"/>
              <w:left w:w="108" w:type="dxa"/>
              <w:bottom w:w="0" w:type="dxa"/>
              <w:right w:w="108" w:type="dxa"/>
            </w:tcMar>
            <w:vAlign w:val="bottom"/>
          </w:tcPr>
          <w:p w14:paraId="56974F05" w14:textId="6ED66B8E" w:rsidR="00947C8A" w:rsidRPr="00AA1191" w:rsidRDefault="00947C8A" w:rsidP="00947C8A">
            <w:pPr>
              <w:ind w:right="230"/>
              <w:jc w:val="right"/>
              <w:rPr>
                <w:color w:val="000000"/>
                <w:sz w:val="20"/>
                <w:highlight w:val="yellow"/>
              </w:rPr>
            </w:pPr>
            <w:r>
              <w:rPr>
                <w:color w:val="000000"/>
                <w:sz w:val="20"/>
              </w:rPr>
              <w:t>222</w:t>
            </w:r>
          </w:p>
        </w:tc>
        <w:tc>
          <w:tcPr>
            <w:tcW w:w="1252" w:type="pct"/>
            <w:shd w:val="clear" w:color="auto" w:fill="auto"/>
            <w:tcMar>
              <w:top w:w="15" w:type="dxa"/>
              <w:left w:w="108" w:type="dxa"/>
              <w:bottom w:w="0" w:type="dxa"/>
              <w:right w:w="108" w:type="dxa"/>
            </w:tcMar>
            <w:vAlign w:val="bottom"/>
          </w:tcPr>
          <w:p w14:paraId="05BF60BD" w14:textId="32E90E5D" w:rsidR="00947C8A" w:rsidRPr="00AA1191" w:rsidRDefault="00947C8A" w:rsidP="00947C8A">
            <w:pPr>
              <w:ind w:right="306"/>
              <w:jc w:val="right"/>
              <w:rPr>
                <w:color w:val="000000"/>
                <w:sz w:val="20"/>
                <w:highlight w:val="yellow"/>
              </w:rPr>
            </w:pPr>
            <w:r>
              <w:rPr>
                <w:color w:val="000000"/>
                <w:sz w:val="20"/>
              </w:rPr>
              <w:t>33</w:t>
            </w:r>
          </w:p>
        </w:tc>
      </w:tr>
      <w:tr w:rsidR="00947C8A" w:rsidRPr="009D4C51" w14:paraId="36CB2E0C" w14:textId="77777777" w:rsidTr="00A91DD1">
        <w:trPr>
          <w:trHeight w:val="116"/>
          <w:jc w:val="center"/>
        </w:trPr>
        <w:tc>
          <w:tcPr>
            <w:tcW w:w="1557" w:type="pct"/>
            <w:shd w:val="clear" w:color="auto" w:fill="auto"/>
            <w:tcMar>
              <w:top w:w="72" w:type="dxa"/>
              <w:left w:w="144" w:type="dxa"/>
              <w:bottom w:w="72" w:type="dxa"/>
              <w:right w:w="144" w:type="dxa"/>
            </w:tcMar>
            <w:vAlign w:val="bottom"/>
            <w:hideMark/>
          </w:tcPr>
          <w:p w14:paraId="7FAE9F79" w14:textId="23B9A6F8" w:rsidR="00947C8A" w:rsidRPr="00A91DD1" w:rsidRDefault="00947C8A" w:rsidP="00947C8A">
            <w:pPr>
              <w:ind w:left="270" w:hanging="270"/>
              <w:rPr>
                <w:color w:val="000000"/>
                <w:sz w:val="20"/>
              </w:rPr>
            </w:pPr>
            <w:r w:rsidRPr="00A91DD1">
              <w:rPr>
                <w:color w:val="000000"/>
                <w:sz w:val="20"/>
              </w:rPr>
              <w:t xml:space="preserve">PG&amp;E </w:t>
            </w:r>
            <w:r>
              <w:rPr>
                <w:color w:val="000000"/>
                <w:sz w:val="20"/>
              </w:rPr>
              <w:t>2019</w:t>
            </w:r>
            <w:r w:rsidRPr="00A91DD1">
              <w:rPr>
                <w:color w:val="000000"/>
                <w:sz w:val="20"/>
              </w:rPr>
              <w:t xml:space="preserve"> Targets</w:t>
            </w:r>
          </w:p>
        </w:tc>
        <w:tc>
          <w:tcPr>
            <w:tcW w:w="1147" w:type="pct"/>
            <w:shd w:val="clear" w:color="auto" w:fill="auto"/>
            <w:tcMar>
              <w:top w:w="15" w:type="dxa"/>
              <w:left w:w="108" w:type="dxa"/>
              <w:bottom w:w="0" w:type="dxa"/>
              <w:right w:w="108" w:type="dxa"/>
            </w:tcMar>
            <w:vAlign w:val="bottom"/>
          </w:tcPr>
          <w:p w14:paraId="6928F138" w14:textId="31D8CF4A" w:rsidR="00947C8A" w:rsidRPr="00AA1191" w:rsidRDefault="00947C8A" w:rsidP="00947C8A">
            <w:pPr>
              <w:ind w:right="195"/>
              <w:jc w:val="right"/>
              <w:rPr>
                <w:color w:val="000000"/>
                <w:sz w:val="20"/>
                <w:highlight w:val="yellow"/>
              </w:rPr>
            </w:pPr>
            <w:r>
              <w:rPr>
                <w:color w:val="000000"/>
                <w:sz w:val="20"/>
              </w:rPr>
              <w:t>1266</w:t>
            </w:r>
          </w:p>
        </w:tc>
        <w:tc>
          <w:tcPr>
            <w:tcW w:w="1044" w:type="pct"/>
            <w:shd w:val="clear" w:color="auto" w:fill="auto"/>
            <w:tcMar>
              <w:top w:w="15" w:type="dxa"/>
              <w:left w:w="108" w:type="dxa"/>
              <w:bottom w:w="0" w:type="dxa"/>
              <w:right w:w="108" w:type="dxa"/>
            </w:tcMar>
            <w:vAlign w:val="bottom"/>
          </w:tcPr>
          <w:p w14:paraId="62BAF2BE" w14:textId="65952AFD" w:rsidR="00947C8A" w:rsidRPr="00AA1191" w:rsidRDefault="00947C8A" w:rsidP="00947C8A">
            <w:pPr>
              <w:ind w:right="230"/>
              <w:jc w:val="right"/>
              <w:rPr>
                <w:color w:val="000000"/>
                <w:sz w:val="20"/>
                <w:highlight w:val="yellow"/>
              </w:rPr>
            </w:pPr>
            <w:r>
              <w:rPr>
                <w:color w:val="000000"/>
                <w:sz w:val="20"/>
              </w:rPr>
              <w:t>353</w:t>
            </w:r>
          </w:p>
        </w:tc>
        <w:tc>
          <w:tcPr>
            <w:tcW w:w="1252" w:type="pct"/>
            <w:shd w:val="clear" w:color="auto" w:fill="auto"/>
            <w:tcMar>
              <w:top w:w="15" w:type="dxa"/>
              <w:left w:w="108" w:type="dxa"/>
              <w:bottom w:w="0" w:type="dxa"/>
              <w:right w:w="108" w:type="dxa"/>
            </w:tcMar>
            <w:vAlign w:val="bottom"/>
          </w:tcPr>
          <w:p w14:paraId="38FF5776" w14:textId="269F1556" w:rsidR="00947C8A" w:rsidRPr="00AA1191" w:rsidRDefault="00947C8A" w:rsidP="00947C8A">
            <w:pPr>
              <w:ind w:right="306"/>
              <w:jc w:val="right"/>
              <w:rPr>
                <w:color w:val="000000"/>
                <w:sz w:val="20"/>
                <w:highlight w:val="yellow"/>
              </w:rPr>
            </w:pPr>
            <w:r>
              <w:rPr>
                <w:color w:val="000000"/>
                <w:sz w:val="20"/>
              </w:rPr>
              <w:t>36</w:t>
            </w:r>
          </w:p>
        </w:tc>
      </w:tr>
      <w:tr w:rsidR="00947C8A" w:rsidRPr="009D4C51" w14:paraId="06D0C068" w14:textId="77777777" w:rsidTr="00A91DD1">
        <w:trPr>
          <w:trHeight w:val="206"/>
          <w:jc w:val="center"/>
        </w:trPr>
        <w:tc>
          <w:tcPr>
            <w:tcW w:w="1557" w:type="pct"/>
            <w:shd w:val="clear" w:color="auto" w:fill="auto"/>
            <w:tcMar>
              <w:top w:w="72" w:type="dxa"/>
              <w:left w:w="144" w:type="dxa"/>
              <w:bottom w:w="72" w:type="dxa"/>
              <w:right w:w="144" w:type="dxa"/>
            </w:tcMar>
            <w:vAlign w:val="bottom"/>
            <w:hideMark/>
          </w:tcPr>
          <w:p w14:paraId="2BB25695" w14:textId="77777777" w:rsidR="00947C8A" w:rsidRPr="00A91DD1" w:rsidRDefault="00947C8A" w:rsidP="00947C8A">
            <w:pPr>
              <w:ind w:left="270" w:hanging="270"/>
              <w:rPr>
                <w:color w:val="000000"/>
                <w:sz w:val="20"/>
              </w:rPr>
            </w:pPr>
            <w:r w:rsidRPr="00A91DD1">
              <w:rPr>
                <w:i/>
                <w:color w:val="000000"/>
                <w:sz w:val="20"/>
              </w:rPr>
              <w:t>% of Goal</w:t>
            </w:r>
          </w:p>
        </w:tc>
        <w:tc>
          <w:tcPr>
            <w:tcW w:w="1147" w:type="pct"/>
            <w:shd w:val="clear" w:color="auto" w:fill="auto"/>
            <w:tcMar>
              <w:top w:w="15" w:type="dxa"/>
              <w:left w:w="108" w:type="dxa"/>
              <w:bottom w:w="0" w:type="dxa"/>
              <w:right w:w="108" w:type="dxa"/>
            </w:tcMar>
            <w:vAlign w:val="bottom"/>
          </w:tcPr>
          <w:p w14:paraId="73B04BE5" w14:textId="3364D9E2" w:rsidR="00947C8A" w:rsidRPr="00AA1191" w:rsidRDefault="00947C8A" w:rsidP="00947C8A">
            <w:pPr>
              <w:ind w:right="195"/>
              <w:jc w:val="right"/>
              <w:rPr>
                <w:i/>
                <w:color w:val="000000"/>
                <w:sz w:val="20"/>
                <w:highlight w:val="yellow"/>
              </w:rPr>
            </w:pPr>
            <w:r w:rsidRPr="00AA0D06">
              <w:rPr>
                <w:i/>
                <w:color w:val="000000"/>
                <w:sz w:val="20"/>
              </w:rPr>
              <w:t>11</w:t>
            </w:r>
            <w:r>
              <w:rPr>
                <w:i/>
                <w:color w:val="000000"/>
                <w:sz w:val="20"/>
              </w:rPr>
              <w:t>7</w:t>
            </w:r>
            <w:r w:rsidRPr="00AA0D06">
              <w:rPr>
                <w:i/>
                <w:color w:val="000000"/>
                <w:sz w:val="20"/>
              </w:rPr>
              <w:t>%</w:t>
            </w:r>
          </w:p>
        </w:tc>
        <w:tc>
          <w:tcPr>
            <w:tcW w:w="1044" w:type="pct"/>
            <w:shd w:val="clear" w:color="auto" w:fill="auto"/>
            <w:tcMar>
              <w:top w:w="15" w:type="dxa"/>
              <w:left w:w="108" w:type="dxa"/>
              <w:bottom w:w="0" w:type="dxa"/>
              <w:right w:w="108" w:type="dxa"/>
            </w:tcMar>
            <w:vAlign w:val="bottom"/>
          </w:tcPr>
          <w:p w14:paraId="4D5C921E" w14:textId="1E273D34" w:rsidR="00947C8A" w:rsidRPr="00AA1191" w:rsidRDefault="00947C8A" w:rsidP="00947C8A">
            <w:pPr>
              <w:ind w:right="230"/>
              <w:jc w:val="right"/>
              <w:rPr>
                <w:i/>
                <w:color w:val="000000"/>
                <w:sz w:val="20"/>
                <w:highlight w:val="yellow"/>
              </w:rPr>
            </w:pPr>
            <w:r>
              <w:rPr>
                <w:i/>
                <w:color w:val="000000"/>
                <w:sz w:val="20"/>
              </w:rPr>
              <w:t>159</w:t>
            </w:r>
            <w:r w:rsidRPr="00AA0D06">
              <w:rPr>
                <w:i/>
                <w:color w:val="000000"/>
                <w:sz w:val="20"/>
              </w:rPr>
              <w:t>%</w:t>
            </w:r>
          </w:p>
        </w:tc>
        <w:tc>
          <w:tcPr>
            <w:tcW w:w="1252" w:type="pct"/>
            <w:shd w:val="clear" w:color="auto" w:fill="auto"/>
            <w:tcMar>
              <w:top w:w="15" w:type="dxa"/>
              <w:left w:w="108" w:type="dxa"/>
              <w:bottom w:w="0" w:type="dxa"/>
              <w:right w:w="108" w:type="dxa"/>
            </w:tcMar>
            <w:vAlign w:val="bottom"/>
          </w:tcPr>
          <w:p w14:paraId="735E6189" w14:textId="23A2B820" w:rsidR="00947C8A" w:rsidRPr="00AA1191" w:rsidRDefault="00947C8A" w:rsidP="00947C8A">
            <w:pPr>
              <w:ind w:right="306"/>
              <w:jc w:val="right"/>
              <w:rPr>
                <w:i/>
                <w:color w:val="000000"/>
                <w:sz w:val="20"/>
                <w:highlight w:val="yellow"/>
              </w:rPr>
            </w:pPr>
            <w:r w:rsidRPr="00AA0D06">
              <w:rPr>
                <w:i/>
                <w:color w:val="000000"/>
                <w:sz w:val="20"/>
              </w:rPr>
              <w:t>10</w:t>
            </w:r>
            <w:r>
              <w:rPr>
                <w:i/>
                <w:color w:val="000000"/>
                <w:sz w:val="20"/>
              </w:rPr>
              <w:t>9</w:t>
            </w:r>
            <w:r w:rsidRPr="00AA0D06">
              <w:rPr>
                <w:i/>
                <w:color w:val="000000"/>
                <w:sz w:val="20"/>
              </w:rPr>
              <w:t>%</w:t>
            </w:r>
          </w:p>
        </w:tc>
      </w:tr>
    </w:tbl>
    <w:p w14:paraId="0AC6C1C3" w14:textId="77777777" w:rsidR="00C92CC5" w:rsidRDefault="00C92CC5" w:rsidP="00235F2B">
      <w:pPr>
        <w:rPr>
          <w:color w:val="000000"/>
        </w:rPr>
      </w:pPr>
    </w:p>
    <w:p w14:paraId="35FFC8D1" w14:textId="0E83B7EB" w:rsidR="00235F2B" w:rsidRPr="001877A7" w:rsidRDefault="00235F2B" w:rsidP="00F31737">
      <w:pPr>
        <w:pStyle w:val="Heading2"/>
        <w:numPr>
          <w:ilvl w:val="0"/>
          <w:numId w:val="9"/>
        </w:numPr>
        <w:rPr>
          <w:color w:val="000000"/>
        </w:rPr>
      </w:pPr>
      <w:r w:rsidRPr="00E53834">
        <w:rPr>
          <w:color w:val="000000"/>
        </w:rPr>
        <w:t xml:space="preserve">Cost-Effectiveness </w:t>
      </w:r>
      <w:r w:rsidRPr="00E53834">
        <w:rPr>
          <w:color w:val="000000"/>
        </w:rPr>
        <w:br/>
      </w:r>
    </w:p>
    <w:p w14:paraId="1C632156" w14:textId="7022181F" w:rsidR="007C32C2" w:rsidRPr="007C32C2" w:rsidRDefault="007C32C2" w:rsidP="007C32C2">
      <w:pPr>
        <w:rPr>
          <w:rFonts w:cs="Arial"/>
        </w:rPr>
      </w:pPr>
      <w:r>
        <w:rPr>
          <w:rFonts w:cs="Arial"/>
        </w:rPr>
        <w:t>PG&amp;E</w:t>
      </w:r>
      <w:r w:rsidRPr="007C32C2">
        <w:rPr>
          <w:rFonts w:cs="Arial"/>
        </w:rPr>
        <w:t xml:space="preserve"> is still in the process of </w:t>
      </w:r>
      <w:r w:rsidR="000C5FE3">
        <w:rPr>
          <w:rFonts w:cs="Arial"/>
        </w:rPr>
        <w:t>developing a final forecast</w:t>
      </w:r>
      <w:r>
        <w:rPr>
          <w:rFonts w:cs="Arial"/>
        </w:rPr>
        <w:t>. As such, the table</w:t>
      </w:r>
      <w:r w:rsidRPr="007C32C2">
        <w:rPr>
          <w:rFonts w:cs="Arial"/>
        </w:rPr>
        <w:t xml:space="preserve"> below do</w:t>
      </w:r>
      <w:r>
        <w:rPr>
          <w:rFonts w:cs="Arial"/>
        </w:rPr>
        <w:t>es</w:t>
      </w:r>
      <w:r w:rsidRPr="007C32C2">
        <w:rPr>
          <w:rFonts w:cs="Arial"/>
        </w:rPr>
        <w:t xml:space="preserve"> not reflect its final 2019 Total Resource Cost (TRC) test and Program Administrator Cost (PAC) test</w:t>
      </w:r>
      <w:r w:rsidR="006F2447">
        <w:rPr>
          <w:rFonts w:cs="Arial"/>
        </w:rPr>
        <w:t xml:space="preserve"> results.</w:t>
      </w:r>
    </w:p>
    <w:p w14:paraId="22029FA2" w14:textId="77777777" w:rsidR="007C32C2" w:rsidRPr="007C32C2" w:rsidRDefault="007C32C2" w:rsidP="007C32C2">
      <w:pPr>
        <w:rPr>
          <w:rFonts w:cs="Arial"/>
        </w:rPr>
      </w:pPr>
    </w:p>
    <w:p w14:paraId="4AC637EA" w14:textId="5506A100" w:rsidR="00F60E53" w:rsidRDefault="007C32C2" w:rsidP="007C32C2">
      <w:pPr>
        <w:rPr>
          <w:rFonts w:cs="Arial"/>
        </w:rPr>
      </w:pPr>
      <w:r>
        <w:rPr>
          <w:rFonts w:cs="Arial"/>
        </w:rPr>
        <w:t>Table 3</w:t>
      </w:r>
      <w:r w:rsidRPr="007C32C2">
        <w:rPr>
          <w:rFonts w:cs="Arial"/>
        </w:rPr>
        <w:t xml:space="preserve"> below provide</w:t>
      </w:r>
      <w:r>
        <w:rPr>
          <w:rFonts w:cs="Arial"/>
        </w:rPr>
        <w:t>s</w:t>
      </w:r>
      <w:r w:rsidRPr="007C32C2">
        <w:rPr>
          <w:rFonts w:cs="Arial"/>
        </w:rPr>
        <w:t xml:space="preserve"> the Total Resource Cost (TRC) test and Program Administrator Cost (PAC) test for its 2019 EE portfolio</w:t>
      </w:r>
      <w:r w:rsidR="005F7F52">
        <w:rPr>
          <w:rFonts w:cs="Arial"/>
        </w:rPr>
        <w:t>, excluding Codes and Standards. PG&amp;E does not yet have Codes and Standards benefits estimates in this draft stage, and thus the TRC and PAC results presented in Table 3 below for its total EE portfolio exclude Codes and Standards benefits and costs</w:t>
      </w:r>
      <w:r w:rsidRPr="007C32C2">
        <w:rPr>
          <w:rFonts w:cs="Arial"/>
        </w:rPr>
        <w:t>.</w:t>
      </w:r>
    </w:p>
    <w:p w14:paraId="1DA82ED1" w14:textId="77777777" w:rsidR="007C32C2" w:rsidRPr="002D0022" w:rsidRDefault="007C32C2" w:rsidP="007C32C2">
      <w:pPr>
        <w:rPr>
          <w:color w:val="000000"/>
        </w:rPr>
      </w:pPr>
    </w:p>
    <w:p w14:paraId="315BDCB5" w14:textId="7F4CC65D" w:rsidR="00F60E53" w:rsidRPr="009D4C51" w:rsidRDefault="00F60E53" w:rsidP="00A950FD">
      <w:pPr>
        <w:jc w:val="center"/>
        <w:rPr>
          <w:b/>
          <w:color w:val="000000"/>
        </w:rPr>
      </w:pPr>
      <w:r>
        <w:rPr>
          <w:b/>
          <w:color w:val="000000"/>
        </w:rPr>
        <w:t>Table 3: PG&amp;E 201</w:t>
      </w:r>
      <w:r w:rsidR="007C32C2">
        <w:rPr>
          <w:b/>
          <w:color w:val="000000"/>
        </w:rPr>
        <w:t>9</w:t>
      </w:r>
      <w:r>
        <w:rPr>
          <w:rStyle w:val="FootnoteReference"/>
          <w:b/>
          <w:color w:val="000000"/>
        </w:rPr>
        <w:footnoteReference w:id="11"/>
      </w:r>
      <w:r>
        <w:rPr>
          <w:b/>
          <w:color w:val="000000"/>
        </w:rPr>
        <w:t xml:space="preserve"> Cost-Effectiveness Results</w:t>
      </w:r>
    </w:p>
    <w:p w14:paraId="2C2ED748" w14:textId="77777777" w:rsidR="00F60E53" w:rsidRDefault="00F60E53" w:rsidP="00F60E53">
      <w:pPr>
        <w:rPr>
          <w:color w:val="000000"/>
        </w:rPr>
      </w:pPr>
    </w:p>
    <w:tbl>
      <w:tblPr>
        <w:tblW w:w="5005" w:type="pct"/>
        <w:tblInd w:w="-5" w:type="dxa"/>
        <w:tblLook w:val="04A0" w:firstRow="1" w:lastRow="0" w:firstColumn="1" w:lastColumn="0" w:noHBand="0" w:noVBand="1"/>
      </w:tblPr>
      <w:tblGrid>
        <w:gridCol w:w="6137"/>
        <w:gridCol w:w="1574"/>
        <w:gridCol w:w="1638"/>
      </w:tblGrid>
      <w:tr w:rsidR="00F60E53" w:rsidRPr="00534BCB" w14:paraId="5DFD3850" w14:textId="77777777" w:rsidTr="00AA1191">
        <w:trPr>
          <w:trHeight w:val="330"/>
        </w:trPr>
        <w:tc>
          <w:tcPr>
            <w:tcW w:w="3282" w:type="pc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C05C298" w14:textId="0458213F" w:rsidR="00F60E53" w:rsidRPr="00DE1E5E" w:rsidRDefault="00F60E53" w:rsidP="00DE1E5E">
            <w:pPr>
              <w:jc w:val="center"/>
              <w:rPr>
                <w:b/>
                <w:color w:val="000000"/>
                <w:sz w:val="20"/>
              </w:rPr>
            </w:pPr>
            <w:r w:rsidRPr="00DE1E5E">
              <w:rPr>
                <w:b/>
                <w:color w:val="000000"/>
                <w:sz w:val="20"/>
              </w:rPr>
              <w:t>Cost-Effectiveness Scenario</w:t>
            </w:r>
          </w:p>
        </w:tc>
        <w:tc>
          <w:tcPr>
            <w:tcW w:w="842"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407081A" w14:textId="06780422" w:rsidR="00F60E53" w:rsidRPr="00DE1E5E" w:rsidRDefault="007C32C2" w:rsidP="00DE1E5E">
            <w:pPr>
              <w:overflowPunct/>
              <w:autoSpaceDE/>
              <w:autoSpaceDN/>
              <w:adjustRightInd/>
              <w:jc w:val="center"/>
              <w:textAlignment w:val="auto"/>
              <w:rPr>
                <w:b/>
                <w:color w:val="000000"/>
                <w:sz w:val="20"/>
              </w:rPr>
            </w:pPr>
            <w:r>
              <w:rPr>
                <w:b/>
                <w:color w:val="000000"/>
                <w:sz w:val="20"/>
              </w:rPr>
              <w:t>2019</w:t>
            </w:r>
            <w:r w:rsidR="00F60E53" w:rsidRPr="00DE1E5E">
              <w:rPr>
                <w:b/>
                <w:color w:val="000000"/>
                <w:sz w:val="20"/>
              </w:rPr>
              <w:t xml:space="preserve"> TRC Forecast</w:t>
            </w:r>
          </w:p>
        </w:tc>
        <w:tc>
          <w:tcPr>
            <w:tcW w:w="876" w:type="pct"/>
            <w:tcBorders>
              <w:top w:val="single" w:sz="8" w:space="0" w:color="auto"/>
              <w:left w:val="nil"/>
              <w:bottom w:val="single" w:sz="4" w:space="0" w:color="auto"/>
              <w:right w:val="single" w:sz="8" w:space="0" w:color="auto"/>
            </w:tcBorders>
            <w:shd w:val="clear" w:color="auto" w:fill="D9D9D9" w:themeFill="background1" w:themeFillShade="D9"/>
          </w:tcPr>
          <w:p w14:paraId="3CCEA0D7" w14:textId="637E54DE" w:rsidR="00F60E53" w:rsidRPr="00DE1E5E" w:rsidRDefault="007C32C2" w:rsidP="00DE1E5E">
            <w:pPr>
              <w:overflowPunct/>
              <w:autoSpaceDE/>
              <w:autoSpaceDN/>
              <w:adjustRightInd/>
              <w:jc w:val="center"/>
              <w:textAlignment w:val="auto"/>
              <w:rPr>
                <w:b/>
                <w:color w:val="000000"/>
                <w:sz w:val="20"/>
              </w:rPr>
            </w:pPr>
            <w:r>
              <w:rPr>
                <w:b/>
                <w:color w:val="000000"/>
                <w:sz w:val="20"/>
              </w:rPr>
              <w:t>2019</w:t>
            </w:r>
            <w:r w:rsidR="00F60E53" w:rsidRPr="00DE1E5E">
              <w:rPr>
                <w:b/>
                <w:color w:val="000000"/>
                <w:sz w:val="20"/>
              </w:rPr>
              <w:t xml:space="preserve"> PAC Forecast</w:t>
            </w:r>
          </w:p>
        </w:tc>
      </w:tr>
      <w:tr w:rsidR="00947C8A" w:rsidRPr="00534BCB" w14:paraId="55C9F5A2" w14:textId="77777777" w:rsidTr="00AA1191">
        <w:trPr>
          <w:trHeight w:val="430"/>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63798" w14:textId="51A6304E" w:rsidR="00947C8A" w:rsidRPr="00DE1E5E" w:rsidRDefault="00947C8A" w:rsidP="00947C8A">
            <w:pPr>
              <w:overflowPunct/>
              <w:autoSpaceDE/>
              <w:autoSpaceDN/>
              <w:adjustRightInd/>
              <w:textAlignment w:val="auto"/>
              <w:rPr>
                <w:color w:val="000000"/>
                <w:sz w:val="20"/>
              </w:rPr>
            </w:pPr>
            <w:r w:rsidRPr="00DE1E5E">
              <w:rPr>
                <w:color w:val="000000"/>
                <w:sz w:val="20"/>
              </w:rPr>
              <w:t>Total Portf</w:t>
            </w:r>
            <w:r w:rsidRPr="00A91DD1">
              <w:rPr>
                <w:color w:val="000000"/>
                <w:sz w:val="20"/>
              </w:rPr>
              <w:t>olio with market effect</w:t>
            </w:r>
            <w:r>
              <w:rPr>
                <w:color w:val="000000"/>
                <w:sz w:val="20"/>
              </w:rPr>
              <w:t>s</w:t>
            </w:r>
            <w:r w:rsidRPr="00A950FD">
              <w:rPr>
                <w:color w:val="000000"/>
                <w:sz w:val="20"/>
              </w:rPr>
              <w:t xml:space="preserve"> </w:t>
            </w:r>
            <w:r w:rsidRPr="00DE1E5E">
              <w:rPr>
                <w:color w:val="000000"/>
                <w:sz w:val="20"/>
              </w:rPr>
              <w:t>and ESPI</w:t>
            </w:r>
            <w:r>
              <w:rPr>
                <w:color w:val="000000"/>
                <w:sz w:val="20"/>
              </w:rPr>
              <w:t>, excluding C&amp;S</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F9697" w14:textId="6704464F" w:rsidR="00947C8A" w:rsidRPr="00AA1191" w:rsidRDefault="00947C8A" w:rsidP="00947C8A">
            <w:pPr>
              <w:overflowPunct/>
              <w:autoSpaceDE/>
              <w:autoSpaceDN/>
              <w:adjustRightInd/>
              <w:ind w:left="-75" w:right="122" w:firstLine="75"/>
              <w:jc w:val="right"/>
              <w:textAlignment w:val="auto"/>
              <w:rPr>
                <w:color w:val="000000"/>
                <w:sz w:val="20"/>
                <w:highlight w:val="yellow"/>
              </w:rPr>
            </w:pPr>
            <w:r w:rsidRPr="002E406C">
              <w:rPr>
                <w:color w:val="000000"/>
                <w:sz w:val="20"/>
              </w:rPr>
              <w:t>1.08</w:t>
            </w:r>
          </w:p>
        </w:tc>
        <w:tc>
          <w:tcPr>
            <w:tcW w:w="876" w:type="pct"/>
            <w:tcBorders>
              <w:top w:val="single" w:sz="4" w:space="0" w:color="auto"/>
              <w:left w:val="single" w:sz="4" w:space="0" w:color="auto"/>
              <w:bottom w:val="single" w:sz="4" w:space="0" w:color="auto"/>
              <w:right w:val="single" w:sz="4" w:space="0" w:color="auto"/>
            </w:tcBorders>
            <w:vAlign w:val="center"/>
          </w:tcPr>
          <w:p w14:paraId="15F0E691" w14:textId="2A0A3804" w:rsidR="00947C8A" w:rsidRPr="00AA1191" w:rsidRDefault="00947C8A" w:rsidP="00947C8A">
            <w:pPr>
              <w:overflowPunct/>
              <w:autoSpaceDE/>
              <w:autoSpaceDN/>
              <w:adjustRightInd/>
              <w:ind w:right="180"/>
              <w:jc w:val="right"/>
              <w:textAlignment w:val="auto"/>
              <w:rPr>
                <w:color w:val="000000"/>
                <w:sz w:val="20"/>
                <w:highlight w:val="yellow"/>
              </w:rPr>
            </w:pPr>
            <w:r w:rsidRPr="002E406C">
              <w:rPr>
                <w:color w:val="000000"/>
                <w:sz w:val="20"/>
              </w:rPr>
              <w:t>1.</w:t>
            </w:r>
            <w:r>
              <w:rPr>
                <w:color w:val="000000"/>
                <w:sz w:val="20"/>
              </w:rPr>
              <w:t>50</w:t>
            </w:r>
          </w:p>
        </w:tc>
      </w:tr>
      <w:tr w:rsidR="00947C8A" w:rsidRPr="00534BCB" w14:paraId="33DE7D93" w14:textId="77777777" w:rsidTr="00AA1191">
        <w:trPr>
          <w:trHeight w:val="430"/>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F90E8" w14:textId="77777777" w:rsidR="00947C8A" w:rsidRPr="00DE1E5E" w:rsidRDefault="00947C8A" w:rsidP="00947C8A">
            <w:pPr>
              <w:overflowPunct/>
              <w:autoSpaceDE/>
              <w:autoSpaceDN/>
              <w:adjustRightInd/>
              <w:textAlignment w:val="auto"/>
              <w:rPr>
                <w:color w:val="000000"/>
                <w:sz w:val="20"/>
              </w:rPr>
            </w:pPr>
            <w:bookmarkStart w:id="0" w:name="_Hlk522038015"/>
            <w:r w:rsidRPr="00DE1E5E">
              <w:rPr>
                <w:color w:val="000000"/>
                <w:sz w:val="20"/>
              </w:rPr>
              <w:t>Total Portf</w:t>
            </w:r>
            <w:r w:rsidRPr="00A91DD1">
              <w:rPr>
                <w:color w:val="000000"/>
                <w:sz w:val="20"/>
              </w:rPr>
              <w:t>olio with market effect</w:t>
            </w:r>
            <w:r>
              <w:rPr>
                <w:color w:val="000000"/>
                <w:sz w:val="20"/>
              </w:rPr>
              <w:t>s</w:t>
            </w:r>
            <w:r w:rsidRPr="00A950FD">
              <w:rPr>
                <w:color w:val="000000"/>
                <w:sz w:val="20"/>
              </w:rPr>
              <w:t xml:space="preserve"> </w:t>
            </w:r>
            <w:r w:rsidRPr="00DE1E5E">
              <w:rPr>
                <w:color w:val="000000"/>
                <w:sz w:val="20"/>
              </w:rPr>
              <w:t>and ESPI</w:t>
            </w:r>
            <w:r>
              <w:rPr>
                <w:color w:val="000000"/>
                <w:sz w:val="20"/>
              </w:rPr>
              <w:t>, including C&amp;S</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6D325" w14:textId="0CDC14BC" w:rsidR="00947C8A" w:rsidRPr="00947C8A" w:rsidRDefault="00947C8A" w:rsidP="00947C8A">
            <w:pPr>
              <w:overflowPunct/>
              <w:autoSpaceDE/>
              <w:autoSpaceDN/>
              <w:adjustRightInd/>
              <w:ind w:left="-75" w:right="122" w:firstLine="75"/>
              <w:jc w:val="right"/>
              <w:textAlignment w:val="auto"/>
              <w:rPr>
                <w:color w:val="000000"/>
                <w:sz w:val="20"/>
                <w:highlight w:val="yellow"/>
              </w:rPr>
            </w:pPr>
            <w:r w:rsidRPr="009F48AC">
              <w:rPr>
                <w:color w:val="000000"/>
                <w:sz w:val="20"/>
              </w:rPr>
              <w:t>1.</w:t>
            </w:r>
            <w:r>
              <w:rPr>
                <w:color w:val="000000"/>
                <w:sz w:val="20"/>
              </w:rPr>
              <w:t>28</w:t>
            </w:r>
          </w:p>
        </w:tc>
        <w:tc>
          <w:tcPr>
            <w:tcW w:w="876" w:type="pct"/>
            <w:tcBorders>
              <w:top w:val="single" w:sz="4" w:space="0" w:color="auto"/>
              <w:left w:val="single" w:sz="4" w:space="0" w:color="auto"/>
              <w:bottom w:val="single" w:sz="4" w:space="0" w:color="auto"/>
              <w:right w:val="single" w:sz="4" w:space="0" w:color="auto"/>
            </w:tcBorders>
            <w:vAlign w:val="center"/>
          </w:tcPr>
          <w:p w14:paraId="564F1B7D" w14:textId="0ABB6873" w:rsidR="00947C8A" w:rsidRPr="00947C8A" w:rsidRDefault="00947C8A" w:rsidP="00947C8A">
            <w:pPr>
              <w:overflowPunct/>
              <w:autoSpaceDE/>
              <w:autoSpaceDN/>
              <w:adjustRightInd/>
              <w:ind w:right="180"/>
              <w:jc w:val="right"/>
              <w:textAlignment w:val="auto"/>
              <w:rPr>
                <w:color w:val="000000"/>
                <w:sz w:val="20"/>
                <w:highlight w:val="yellow"/>
              </w:rPr>
            </w:pPr>
            <w:r>
              <w:rPr>
                <w:color w:val="000000"/>
                <w:sz w:val="20"/>
              </w:rPr>
              <w:t>3.69</w:t>
            </w:r>
          </w:p>
        </w:tc>
      </w:tr>
      <w:bookmarkEnd w:id="0"/>
    </w:tbl>
    <w:p w14:paraId="2765E46B" w14:textId="77777777" w:rsidR="00F60E53" w:rsidRDefault="00F60E53" w:rsidP="004A14F1">
      <w:pPr>
        <w:rPr>
          <w:rFonts w:cs="Arial"/>
          <w:color w:val="000000"/>
        </w:rPr>
      </w:pPr>
    </w:p>
    <w:p w14:paraId="4FBE8172" w14:textId="77777777" w:rsidR="005F7F52" w:rsidRDefault="005F7F52" w:rsidP="00F60E53">
      <w:pPr>
        <w:jc w:val="both"/>
        <w:rPr>
          <w:color w:val="000000"/>
        </w:rPr>
      </w:pPr>
    </w:p>
    <w:p w14:paraId="5CED1C59" w14:textId="51D0BBB9" w:rsidR="00F60E53" w:rsidRPr="00C30FBA" w:rsidRDefault="00F60E53" w:rsidP="00F60E53">
      <w:pPr>
        <w:jc w:val="both"/>
        <w:rPr>
          <w:b/>
          <w:color w:val="000000"/>
        </w:rPr>
      </w:pPr>
      <w:r>
        <w:rPr>
          <w:color w:val="000000"/>
        </w:rPr>
        <w:t xml:space="preserve">TRC and PAC calculations include costs for: </w:t>
      </w:r>
      <w:r>
        <w:rPr>
          <w:b/>
          <w:color w:val="000000"/>
        </w:rPr>
        <w:t xml:space="preserve"> </w:t>
      </w:r>
    </w:p>
    <w:p w14:paraId="4056E118" w14:textId="4CCBBCB1" w:rsidR="00F60E53" w:rsidRPr="00680D69" w:rsidRDefault="00F60E53" w:rsidP="00F31737">
      <w:pPr>
        <w:numPr>
          <w:ilvl w:val="0"/>
          <w:numId w:val="1"/>
        </w:numPr>
        <w:jc w:val="both"/>
        <w:rPr>
          <w:b/>
          <w:color w:val="000000"/>
        </w:rPr>
      </w:pPr>
      <w:r>
        <w:rPr>
          <w:color w:val="000000"/>
        </w:rPr>
        <w:t>Resource and non-resource programs</w:t>
      </w:r>
      <w:r w:rsidR="00E80D4E">
        <w:rPr>
          <w:color w:val="000000"/>
        </w:rPr>
        <w:t xml:space="preserve">, including Financing </w:t>
      </w:r>
      <w:r w:rsidR="00F7228D">
        <w:rPr>
          <w:color w:val="000000"/>
        </w:rPr>
        <w:t>and OBF loan pool</w:t>
      </w:r>
    </w:p>
    <w:p w14:paraId="60062C09" w14:textId="05607014" w:rsidR="00F60E53" w:rsidRPr="00E80D4E" w:rsidRDefault="00F60E53" w:rsidP="00F31737">
      <w:pPr>
        <w:numPr>
          <w:ilvl w:val="0"/>
          <w:numId w:val="1"/>
        </w:numPr>
        <w:jc w:val="both"/>
        <w:rPr>
          <w:b/>
          <w:color w:val="000000"/>
        </w:rPr>
      </w:pPr>
      <w:r>
        <w:rPr>
          <w:color w:val="000000"/>
        </w:rPr>
        <w:t xml:space="preserve">PG&amp;E’s </w:t>
      </w:r>
      <w:r w:rsidRPr="00680D69">
        <w:rPr>
          <w:color w:val="000000"/>
        </w:rPr>
        <w:t xml:space="preserve">portion of Statewide </w:t>
      </w:r>
      <w:r w:rsidR="00E80D4E">
        <w:rPr>
          <w:color w:val="000000"/>
        </w:rPr>
        <w:t>DSM</w:t>
      </w:r>
      <w:r w:rsidRPr="00680D69">
        <w:rPr>
          <w:color w:val="000000"/>
        </w:rPr>
        <w:t>;</w:t>
      </w:r>
    </w:p>
    <w:p w14:paraId="5FB871F3" w14:textId="646EEE30" w:rsidR="00E80D4E" w:rsidRPr="00680D69" w:rsidRDefault="00E80D4E" w:rsidP="00F31737">
      <w:pPr>
        <w:numPr>
          <w:ilvl w:val="0"/>
          <w:numId w:val="1"/>
        </w:numPr>
        <w:jc w:val="both"/>
        <w:rPr>
          <w:b/>
          <w:color w:val="000000"/>
        </w:rPr>
      </w:pPr>
      <w:r>
        <w:rPr>
          <w:color w:val="000000"/>
        </w:rPr>
        <w:t>Workforce Education and Training (WE&amp;T)</w:t>
      </w:r>
    </w:p>
    <w:p w14:paraId="67D438B3" w14:textId="77777777" w:rsidR="00F60E53" w:rsidRPr="00680D69" w:rsidRDefault="00F60E53" w:rsidP="00F31737">
      <w:pPr>
        <w:numPr>
          <w:ilvl w:val="0"/>
          <w:numId w:val="1"/>
        </w:numPr>
        <w:jc w:val="both"/>
        <w:rPr>
          <w:b/>
          <w:color w:val="000000"/>
        </w:rPr>
      </w:pPr>
      <w:r w:rsidRPr="00680D69">
        <w:rPr>
          <w:color w:val="000000"/>
        </w:rPr>
        <w:t>EM&amp;V</w:t>
      </w:r>
      <w:r>
        <w:rPr>
          <w:color w:val="000000"/>
        </w:rPr>
        <w:t>; and</w:t>
      </w:r>
    </w:p>
    <w:p w14:paraId="5390064A" w14:textId="23A917F6" w:rsidR="00F60E53" w:rsidRPr="00E1708A" w:rsidRDefault="00F60E53" w:rsidP="00F31737">
      <w:pPr>
        <w:numPr>
          <w:ilvl w:val="0"/>
          <w:numId w:val="1"/>
        </w:numPr>
        <w:jc w:val="both"/>
        <w:rPr>
          <w:b/>
          <w:color w:val="000000"/>
        </w:rPr>
      </w:pPr>
      <w:r>
        <w:rPr>
          <w:color w:val="000000"/>
        </w:rPr>
        <w:t>An estimate</w:t>
      </w:r>
      <w:r w:rsidRPr="00680D69">
        <w:rPr>
          <w:color w:val="000000"/>
        </w:rPr>
        <w:t xml:space="preserve"> of $</w:t>
      </w:r>
      <w:r w:rsidR="00F7228D">
        <w:rPr>
          <w:color w:val="000000"/>
        </w:rPr>
        <w:t>17</w:t>
      </w:r>
      <w:r w:rsidRPr="00680D69">
        <w:rPr>
          <w:color w:val="000000"/>
        </w:rPr>
        <w:t xml:space="preserve"> million for PG&amp;E’s ESPI award </w:t>
      </w:r>
      <w:r w:rsidR="004D5A7A">
        <w:rPr>
          <w:color w:val="000000"/>
        </w:rPr>
        <w:t xml:space="preserve">in </w:t>
      </w:r>
      <w:r w:rsidRPr="00680D69">
        <w:rPr>
          <w:color w:val="000000"/>
        </w:rPr>
        <w:t>201</w:t>
      </w:r>
      <w:r w:rsidR="00E80D4E">
        <w:rPr>
          <w:color w:val="000000"/>
        </w:rPr>
        <w:t>9</w:t>
      </w:r>
      <w:r>
        <w:rPr>
          <w:color w:val="000000"/>
        </w:rPr>
        <w:t>.</w:t>
      </w:r>
    </w:p>
    <w:p w14:paraId="574E27DD" w14:textId="77777777" w:rsidR="00F60E53" w:rsidRDefault="00F60E53" w:rsidP="00F60E53">
      <w:pPr>
        <w:jc w:val="both"/>
        <w:rPr>
          <w:color w:val="000000"/>
        </w:rPr>
      </w:pPr>
    </w:p>
    <w:p w14:paraId="6C5C2119" w14:textId="77777777" w:rsidR="00F60E53" w:rsidRDefault="00F60E53" w:rsidP="00F60E53">
      <w:pPr>
        <w:jc w:val="both"/>
        <w:rPr>
          <w:color w:val="000000"/>
        </w:rPr>
      </w:pPr>
      <w:r>
        <w:rPr>
          <w:color w:val="000000"/>
        </w:rPr>
        <w:lastRenderedPageBreak/>
        <w:t>TRC and PAC calculations exclude:</w:t>
      </w:r>
    </w:p>
    <w:p w14:paraId="256EB7CA" w14:textId="03DDF5DF" w:rsidR="00F60E53" w:rsidRDefault="00534C8F" w:rsidP="00F31737">
      <w:pPr>
        <w:numPr>
          <w:ilvl w:val="0"/>
          <w:numId w:val="2"/>
        </w:numPr>
        <w:jc w:val="both"/>
        <w:rPr>
          <w:color w:val="000000"/>
        </w:rPr>
      </w:pPr>
      <w:r>
        <w:rPr>
          <w:color w:val="000000"/>
        </w:rPr>
        <w:t>Emerging Technologies (</w:t>
      </w:r>
      <w:r w:rsidR="00F60E53">
        <w:rPr>
          <w:color w:val="000000"/>
        </w:rPr>
        <w:t>ET</w:t>
      </w:r>
      <w:r>
        <w:rPr>
          <w:color w:val="000000"/>
        </w:rPr>
        <w:t>)</w:t>
      </w:r>
      <w:r w:rsidR="00F60E53">
        <w:rPr>
          <w:color w:val="000000"/>
        </w:rPr>
        <w:t xml:space="preserve"> program costs; </w:t>
      </w:r>
    </w:p>
    <w:p w14:paraId="3E2C7CC4" w14:textId="0EF47195" w:rsidR="00F7228D" w:rsidRDefault="00F7228D" w:rsidP="00F31737">
      <w:pPr>
        <w:numPr>
          <w:ilvl w:val="0"/>
          <w:numId w:val="2"/>
        </w:numPr>
        <w:jc w:val="both"/>
        <w:rPr>
          <w:color w:val="000000"/>
        </w:rPr>
      </w:pPr>
      <w:r>
        <w:rPr>
          <w:color w:val="000000"/>
        </w:rPr>
        <w:t>Statewide ME&amp;O costs;</w:t>
      </w:r>
    </w:p>
    <w:p w14:paraId="1751428E" w14:textId="5E2C578E" w:rsidR="002D0022" w:rsidRDefault="002D0022" w:rsidP="00F31737">
      <w:pPr>
        <w:numPr>
          <w:ilvl w:val="0"/>
          <w:numId w:val="2"/>
        </w:numPr>
        <w:jc w:val="both"/>
        <w:rPr>
          <w:color w:val="000000"/>
        </w:rPr>
      </w:pPr>
      <w:r>
        <w:rPr>
          <w:color w:val="000000"/>
        </w:rPr>
        <w:t>BayREN and MCE benefits and costs</w:t>
      </w:r>
      <w:r>
        <w:rPr>
          <w:rStyle w:val="FootnoteReference"/>
          <w:color w:val="000000"/>
        </w:rPr>
        <w:footnoteReference w:id="12"/>
      </w:r>
    </w:p>
    <w:p w14:paraId="238D9607" w14:textId="0293A095" w:rsidR="00F60E53" w:rsidRDefault="00F60E53" w:rsidP="00F31737">
      <w:pPr>
        <w:numPr>
          <w:ilvl w:val="0"/>
          <w:numId w:val="2"/>
        </w:numPr>
        <w:jc w:val="both"/>
        <w:rPr>
          <w:color w:val="000000"/>
        </w:rPr>
      </w:pPr>
      <w:r>
        <w:rPr>
          <w:color w:val="000000"/>
        </w:rPr>
        <w:t xml:space="preserve">Recoverable financing costs including credit enhancements approved for the Statewide Financing Pilots in D.13-09-044; and </w:t>
      </w:r>
    </w:p>
    <w:p w14:paraId="09C155A0" w14:textId="5DD93191" w:rsidR="00F60E53" w:rsidRDefault="00F60E53" w:rsidP="00F31737">
      <w:pPr>
        <w:numPr>
          <w:ilvl w:val="0"/>
          <w:numId w:val="2"/>
        </w:numPr>
        <w:jc w:val="both"/>
        <w:rPr>
          <w:color w:val="000000"/>
        </w:rPr>
      </w:pPr>
      <w:r>
        <w:rPr>
          <w:color w:val="000000"/>
        </w:rPr>
        <w:t>Energy Savings Assistance (ESA) program benefits and costs.</w:t>
      </w:r>
    </w:p>
    <w:p w14:paraId="49102356" w14:textId="1542EF6D" w:rsidR="009800E0" w:rsidRDefault="009800E0" w:rsidP="004A14F1">
      <w:pPr>
        <w:rPr>
          <w:rFonts w:cs="Arial"/>
          <w:color w:val="000000"/>
        </w:rPr>
      </w:pPr>
    </w:p>
    <w:p w14:paraId="43E7E896" w14:textId="4FD5BEEE" w:rsidR="00840425" w:rsidRDefault="00840425" w:rsidP="004A14F1">
      <w:pPr>
        <w:rPr>
          <w:rFonts w:cs="Arial"/>
          <w:color w:val="000000"/>
        </w:rPr>
      </w:pPr>
      <w:r>
        <w:rPr>
          <w:rFonts w:cs="Arial"/>
          <w:color w:val="000000"/>
        </w:rPr>
        <w:t xml:space="preserve">Table 4 below summarizes PG&amp;E’s draft 2019 ABAL budget and savings. </w:t>
      </w:r>
    </w:p>
    <w:p w14:paraId="1EF76E9F" w14:textId="77777777" w:rsidR="00840425" w:rsidRDefault="00840425" w:rsidP="004A14F1">
      <w:pPr>
        <w:rPr>
          <w:rFonts w:cs="Arial"/>
          <w:color w:val="000000"/>
        </w:rPr>
      </w:pPr>
    </w:p>
    <w:p w14:paraId="5C889C54" w14:textId="34272DCB" w:rsidR="00840425" w:rsidRPr="009D4C51" w:rsidRDefault="00840425" w:rsidP="00840425">
      <w:pPr>
        <w:jc w:val="center"/>
        <w:rPr>
          <w:b/>
          <w:color w:val="000000"/>
        </w:rPr>
      </w:pPr>
      <w:r>
        <w:rPr>
          <w:b/>
          <w:color w:val="000000"/>
        </w:rPr>
        <w:t>Table 4: PG&amp;E 2019 PY Budget_Savings</w:t>
      </w:r>
    </w:p>
    <w:p w14:paraId="716651F6" w14:textId="77777777" w:rsidR="00840425" w:rsidRDefault="00840425" w:rsidP="004A14F1">
      <w:pPr>
        <w:rPr>
          <w:rFonts w:cs="Arial"/>
          <w:color w:val="000000"/>
        </w:rPr>
      </w:pPr>
    </w:p>
    <w:p w14:paraId="6436F772" w14:textId="4F7B428A" w:rsidR="00840425" w:rsidRDefault="00840425" w:rsidP="004A14F1">
      <w:pPr>
        <w:rPr>
          <w:rFonts w:cs="Arial"/>
          <w:color w:val="000000"/>
        </w:rPr>
      </w:pPr>
      <w:r w:rsidRPr="00840425">
        <w:rPr>
          <w:noProof/>
        </w:rPr>
        <w:drawing>
          <wp:inline distT="0" distB="0" distL="0" distR="0" wp14:anchorId="508F3FB5" wp14:editId="69028ED6">
            <wp:extent cx="6459253" cy="534741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4772" cy="5351980"/>
                    </a:xfrm>
                    <a:prstGeom prst="rect">
                      <a:avLst/>
                    </a:prstGeom>
                    <a:noFill/>
                    <a:ln>
                      <a:noFill/>
                    </a:ln>
                  </pic:spPr>
                </pic:pic>
              </a:graphicData>
            </a:graphic>
          </wp:inline>
        </w:drawing>
      </w:r>
    </w:p>
    <w:p w14:paraId="4A066888" w14:textId="22B4B299" w:rsidR="00803B8C" w:rsidRPr="00285A1C" w:rsidRDefault="00803B8C" w:rsidP="00F31737">
      <w:pPr>
        <w:pStyle w:val="Heading2"/>
        <w:numPr>
          <w:ilvl w:val="0"/>
          <w:numId w:val="10"/>
        </w:numPr>
        <w:rPr>
          <w:rFonts w:cs="Arial"/>
          <w:color w:val="000000"/>
          <w:u w:val="single"/>
        </w:rPr>
      </w:pPr>
      <w:r w:rsidRPr="00A91DD1">
        <w:lastRenderedPageBreak/>
        <w:t>Current</w:t>
      </w:r>
      <w:r w:rsidR="00C6035D" w:rsidRPr="00A91DD1">
        <w:t xml:space="preserve"> Cost-Effectiveness</w:t>
      </w:r>
      <w:r w:rsidRPr="00A91DD1">
        <w:t xml:space="preserve"> Challenges</w:t>
      </w:r>
    </w:p>
    <w:p w14:paraId="6D955E26" w14:textId="77777777" w:rsidR="0044613F" w:rsidRDefault="0044613F" w:rsidP="00EB1D1E">
      <w:pPr>
        <w:rPr>
          <w:rFonts w:cs="Arial"/>
          <w:color w:val="000000"/>
        </w:rPr>
      </w:pPr>
    </w:p>
    <w:p w14:paraId="73C82B51" w14:textId="47FBD5A7" w:rsidR="001946A6" w:rsidRPr="00260E01" w:rsidRDefault="00E80D4E" w:rsidP="00260E01">
      <w:pPr>
        <w:jc w:val="both"/>
      </w:pPr>
      <w:r>
        <w:rPr>
          <w:rFonts w:cs="Arial"/>
          <w:color w:val="000000"/>
        </w:rPr>
        <w:t xml:space="preserve">As detailed in PG&amp;E’s 2018 ABAL, </w:t>
      </w:r>
      <w:r w:rsidR="003A454D">
        <w:rPr>
          <w:rFonts w:cs="Arial"/>
          <w:color w:val="000000"/>
        </w:rPr>
        <w:t xml:space="preserve">PG&amp;E </w:t>
      </w:r>
      <w:r w:rsidR="00D77842">
        <w:rPr>
          <w:rFonts w:cs="Arial"/>
          <w:color w:val="000000"/>
        </w:rPr>
        <w:t>currently</w:t>
      </w:r>
      <w:r w:rsidR="003A454D">
        <w:rPr>
          <w:rFonts w:cs="Arial"/>
          <w:color w:val="000000"/>
        </w:rPr>
        <w:t xml:space="preserve"> faces challenges in </w:t>
      </w:r>
      <w:r w:rsidR="00FC6C2F">
        <w:rPr>
          <w:rFonts w:cs="Arial"/>
          <w:color w:val="000000"/>
        </w:rPr>
        <w:t>forecasting a</w:t>
      </w:r>
      <w:r w:rsidR="000C5FE3">
        <w:rPr>
          <w:rFonts w:cs="Arial"/>
          <w:color w:val="000000"/>
        </w:rPr>
        <w:t>n</w:t>
      </w:r>
      <w:r w:rsidR="009800E0" w:rsidRPr="0057151A">
        <w:rPr>
          <w:rFonts w:cs="Arial"/>
          <w:color w:val="000000"/>
        </w:rPr>
        <w:t xml:space="preserve"> energy efficiency portfolio</w:t>
      </w:r>
      <w:r w:rsidR="000C5FE3">
        <w:rPr>
          <w:rFonts w:cs="Arial"/>
          <w:color w:val="000000"/>
        </w:rPr>
        <w:t xml:space="preserve"> that meets a 1.0 TRC</w:t>
      </w:r>
      <w:r w:rsidR="00A817FF">
        <w:rPr>
          <w:rFonts w:cs="Arial"/>
          <w:color w:val="000000"/>
        </w:rPr>
        <w:t xml:space="preserve">. </w:t>
      </w:r>
      <w:r w:rsidR="0049495F">
        <w:rPr>
          <w:rFonts w:cs="Arial"/>
          <w:color w:val="000000"/>
        </w:rPr>
        <w:t xml:space="preserve">While </w:t>
      </w:r>
      <w:r w:rsidR="0049495F">
        <w:t>PG&amp;E plans to im</w:t>
      </w:r>
      <w:r>
        <w:t>prove cost-effectiveness in 2019</w:t>
      </w:r>
      <w:r w:rsidR="0049495F">
        <w:t xml:space="preserve"> and beyond through portfolio modifications detailed in its Business Plan, challenges remain in forecasting a </w:t>
      </w:r>
      <w:r w:rsidR="000C5FE3">
        <w:t>1.0 TRC</w:t>
      </w:r>
      <w:r w:rsidR="0049495F">
        <w:t xml:space="preserve"> </w:t>
      </w:r>
      <w:r w:rsidR="00712C37">
        <w:t>due to certain structural aspects of California’s cost-effectiveness framework</w:t>
      </w:r>
      <w:r w:rsidR="0049495F">
        <w:t xml:space="preserve">. </w:t>
      </w:r>
      <w:r w:rsidR="002915D5">
        <w:t xml:space="preserve">In </w:t>
      </w:r>
      <w:r w:rsidR="003468EB">
        <w:t>addition,</w:t>
      </w:r>
      <w:r w:rsidR="002915D5">
        <w:t xml:space="preserve"> there also </w:t>
      </w:r>
      <w:r w:rsidR="000C5FE3">
        <w:t xml:space="preserve">exist recent </w:t>
      </w:r>
      <w:r w:rsidR="002915D5">
        <w:t>market-based challenges (e.g., changes to avoided costs)</w:t>
      </w:r>
      <w:r w:rsidR="004C319B">
        <w:t xml:space="preserve"> </w:t>
      </w:r>
      <w:r w:rsidR="000C5FE3">
        <w:t xml:space="preserve">that are </w:t>
      </w:r>
      <w:r w:rsidR="004C319B">
        <w:t>outside of EE industry control.</w:t>
      </w:r>
      <w:r w:rsidR="002271E4">
        <w:t xml:space="preserve"> T</w:t>
      </w:r>
      <w:r w:rsidR="004C319B">
        <w:t xml:space="preserve">he structural challenges with the cost-effectiveness framework </w:t>
      </w:r>
      <w:r w:rsidR="002271E4">
        <w:t>and</w:t>
      </w:r>
      <w:r w:rsidR="004C319B">
        <w:t xml:space="preserve"> market-based challenges are discussed in the following sections.</w:t>
      </w:r>
    </w:p>
    <w:p w14:paraId="0C2E01ED" w14:textId="77777777" w:rsidR="001946A6" w:rsidRDefault="001946A6" w:rsidP="00EB1D1E">
      <w:pPr>
        <w:rPr>
          <w:rFonts w:cs="Arial"/>
          <w:color w:val="000000"/>
        </w:rPr>
      </w:pPr>
    </w:p>
    <w:p w14:paraId="12BEF556" w14:textId="263BE744" w:rsidR="0049495F" w:rsidRPr="00A91DD1" w:rsidRDefault="0049495F" w:rsidP="00E03011">
      <w:pPr>
        <w:rPr>
          <w:rFonts w:cs="Arial"/>
          <w:b/>
          <w:color w:val="000000"/>
        </w:rPr>
      </w:pPr>
      <w:r w:rsidRPr="00A91DD1">
        <w:rPr>
          <w:rFonts w:cs="Arial"/>
          <w:b/>
          <w:color w:val="000000"/>
        </w:rPr>
        <w:t>Cost-Effectiveness Framework Challenges</w:t>
      </w:r>
    </w:p>
    <w:p w14:paraId="1BDAFD2D" w14:textId="125A6476" w:rsidR="003505DA" w:rsidRDefault="00EC633B" w:rsidP="007F57DB">
      <w:pPr>
        <w:jc w:val="both"/>
        <w:rPr>
          <w:rFonts w:cs="Arial"/>
          <w:color w:val="000000"/>
        </w:rPr>
      </w:pPr>
      <w:r>
        <w:t xml:space="preserve">Three examples within the cost-effectiveness framework demonstrate </w:t>
      </w:r>
      <w:r w:rsidRPr="00852CEB">
        <w:t xml:space="preserve">subjective rulesets </w:t>
      </w:r>
      <w:r w:rsidR="00251D4A">
        <w:t>for</w:t>
      </w:r>
      <w:r w:rsidRPr="00852CEB">
        <w:t xml:space="preserve"> cost-effectiveness inputs and the application of inputs that embody significant uncertainty</w:t>
      </w:r>
      <w:r>
        <w:t xml:space="preserve">. These examples are </w:t>
      </w:r>
      <w:r w:rsidR="004B63D0">
        <w:t xml:space="preserve">measure </w:t>
      </w:r>
      <w:r w:rsidR="00A45532">
        <w:t xml:space="preserve">cost definitions, </w:t>
      </w:r>
      <w:r w:rsidR="00A45532">
        <w:rPr>
          <w:rFonts w:cs="Arial"/>
          <w:color w:val="000000"/>
        </w:rPr>
        <w:t>net-to-gross (NTG) rules</w:t>
      </w:r>
      <w:r>
        <w:rPr>
          <w:rFonts w:cs="Arial"/>
          <w:color w:val="000000"/>
        </w:rPr>
        <w:t xml:space="preserve"> for </w:t>
      </w:r>
      <w:r w:rsidR="00E80D4E">
        <w:rPr>
          <w:rFonts w:cs="Arial"/>
          <w:color w:val="000000"/>
        </w:rPr>
        <w:t xml:space="preserve">disadvantaged communities (DAC) and </w:t>
      </w:r>
      <w:r>
        <w:rPr>
          <w:rFonts w:cs="Arial"/>
          <w:color w:val="000000"/>
        </w:rPr>
        <w:t xml:space="preserve">hard-to-reach </w:t>
      </w:r>
      <w:r w:rsidR="003505DA">
        <w:rPr>
          <w:rFonts w:cs="Arial"/>
          <w:color w:val="000000"/>
        </w:rPr>
        <w:t xml:space="preserve">(HTR) </w:t>
      </w:r>
      <w:r>
        <w:rPr>
          <w:rFonts w:cs="Arial"/>
          <w:color w:val="000000"/>
        </w:rPr>
        <w:t>applications</w:t>
      </w:r>
      <w:r w:rsidR="00A45532">
        <w:rPr>
          <w:rFonts w:cs="Arial"/>
          <w:color w:val="000000"/>
        </w:rPr>
        <w:t>, and the application of</w:t>
      </w:r>
      <w:r w:rsidR="00732A23">
        <w:rPr>
          <w:rFonts w:cs="Arial"/>
          <w:color w:val="000000"/>
        </w:rPr>
        <w:t xml:space="preserve"> uncertain</w:t>
      </w:r>
      <w:r w:rsidR="00A45532">
        <w:rPr>
          <w:rFonts w:cs="Arial"/>
          <w:color w:val="000000"/>
        </w:rPr>
        <w:t xml:space="preserve"> NTG </w:t>
      </w:r>
      <w:r w:rsidR="00732A23">
        <w:rPr>
          <w:rFonts w:cs="Arial"/>
          <w:color w:val="000000"/>
        </w:rPr>
        <w:t>estimates</w:t>
      </w:r>
      <w:r>
        <w:rPr>
          <w:rFonts w:cs="Arial"/>
          <w:color w:val="000000"/>
        </w:rPr>
        <w:t xml:space="preserve">. </w:t>
      </w:r>
      <w:r w:rsidR="004B63D0">
        <w:rPr>
          <w:rFonts w:cs="Arial"/>
          <w:color w:val="000000"/>
        </w:rPr>
        <w:t xml:space="preserve">Measure </w:t>
      </w:r>
      <w:r w:rsidR="003505DA">
        <w:rPr>
          <w:rFonts w:cs="Arial"/>
          <w:color w:val="000000"/>
        </w:rPr>
        <w:t xml:space="preserve">costs and NTG values are </w:t>
      </w:r>
      <w:r w:rsidR="003F389A">
        <w:rPr>
          <w:rFonts w:cs="Arial"/>
          <w:color w:val="000000"/>
        </w:rPr>
        <w:t>major</w:t>
      </w:r>
      <w:r w:rsidR="00067C7E">
        <w:rPr>
          <w:rFonts w:cs="Arial"/>
          <w:color w:val="000000"/>
        </w:rPr>
        <w:t xml:space="preserve"> drivers in the TRC calculation.</w:t>
      </w:r>
    </w:p>
    <w:p w14:paraId="26AFF4CE" w14:textId="77777777" w:rsidR="003505DA" w:rsidRDefault="003505DA" w:rsidP="00EE6E2F">
      <w:pPr>
        <w:rPr>
          <w:rFonts w:cs="Arial"/>
          <w:color w:val="000000"/>
        </w:rPr>
      </w:pPr>
    </w:p>
    <w:p w14:paraId="061FDAA4" w14:textId="0FA769C6" w:rsidR="0049495F" w:rsidRPr="00A91DD1" w:rsidRDefault="00EC633B" w:rsidP="007F57DB">
      <w:pPr>
        <w:pStyle w:val="PlainText"/>
        <w:jc w:val="both"/>
        <w:rPr>
          <w:rFonts w:cs="Arial"/>
          <w:color w:val="000000"/>
        </w:rPr>
      </w:pPr>
      <w:r w:rsidRPr="00A91DD1">
        <w:rPr>
          <w:rFonts w:ascii="Arial" w:hAnsi="Arial"/>
          <w:sz w:val="24"/>
        </w:rPr>
        <w:t xml:space="preserve">First, </w:t>
      </w:r>
      <w:r w:rsidR="004B63D0">
        <w:rPr>
          <w:rFonts w:ascii="Arial" w:hAnsi="Arial"/>
          <w:sz w:val="24"/>
        </w:rPr>
        <w:t>measure</w:t>
      </w:r>
      <w:r w:rsidR="004B63D0" w:rsidRPr="00A91DD1">
        <w:rPr>
          <w:rFonts w:ascii="Arial" w:hAnsi="Arial"/>
          <w:sz w:val="24"/>
        </w:rPr>
        <w:t xml:space="preserve"> </w:t>
      </w:r>
      <w:r w:rsidR="00067C7E" w:rsidRPr="00A91DD1">
        <w:rPr>
          <w:rFonts w:ascii="Arial" w:hAnsi="Arial"/>
          <w:sz w:val="24"/>
        </w:rPr>
        <w:t xml:space="preserve">costs </w:t>
      </w:r>
      <w:r w:rsidR="004B63D0">
        <w:rPr>
          <w:rFonts w:ascii="Arial" w:hAnsi="Arial"/>
          <w:sz w:val="24"/>
        </w:rPr>
        <w:t xml:space="preserve">often </w:t>
      </w:r>
      <w:r w:rsidR="0016702D">
        <w:rPr>
          <w:rFonts w:ascii="Arial" w:hAnsi="Arial"/>
          <w:sz w:val="24"/>
        </w:rPr>
        <w:t>encompass the cost to achieve</w:t>
      </w:r>
      <w:r w:rsidR="004B63D0" w:rsidRPr="00A91DD1">
        <w:rPr>
          <w:rFonts w:ascii="Arial" w:hAnsi="Arial"/>
          <w:sz w:val="24"/>
        </w:rPr>
        <w:t xml:space="preserve"> </w:t>
      </w:r>
      <w:r w:rsidRPr="00A91DD1">
        <w:rPr>
          <w:rFonts w:ascii="Arial" w:hAnsi="Arial"/>
          <w:sz w:val="24"/>
        </w:rPr>
        <w:t>both energy and non-energy benefits</w:t>
      </w:r>
      <w:r w:rsidR="00067C7E" w:rsidRPr="00A91DD1">
        <w:rPr>
          <w:rFonts w:ascii="Arial" w:hAnsi="Arial"/>
          <w:sz w:val="24"/>
        </w:rPr>
        <w:t xml:space="preserve"> in the TRC analysis.</w:t>
      </w:r>
      <w:r w:rsidRPr="00A91DD1">
        <w:rPr>
          <w:rFonts w:ascii="Arial" w:hAnsi="Arial"/>
          <w:sz w:val="24"/>
        </w:rPr>
        <w:t xml:space="preserve"> Including measure costs attributable to non-energy benefits such as comfort</w:t>
      </w:r>
      <w:r w:rsidR="001407F7">
        <w:rPr>
          <w:rFonts w:ascii="Arial" w:hAnsi="Arial"/>
          <w:sz w:val="24"/>
        </w:rPr>
        <w:t>, safety, increased home value,</w:t>
      </w:r>
      <w:r w:rsidRPr="00A91DD1">
        <w:rPr>
          <w:rFonts w:ascii="Arial" w:hAnsi="Arial"/>
          <w:sz w:val="24"/>
        </w:rPr>
        <w:t xml:space="preserve"> and other </w:t>
      </w:r>
      <w:r w:rsidR="001407F7">
        <w:rPr>
          <w:rFonts w:ascii="Arial" w:hAnsi="Arial"/>
          <w:sz w:val="24"/>
        </w:rPr>
        <w:t>benefits of modern EE programs</w:t>
      </w:r>
      <w:r w:rsidR="001407F7" w:rsidRPr="00A91DD1">
        <w:rPr>
          <w:rFonts w:ascii="Arial" w:hAnsi="Arial"/>
          <w:sz w:val="24"/>
        </w:rPr>
        <w:t xml:space="preserve"> </w:t>
      </w:r>
      <w:r w:rsidRPr="00A91DD1">
        <w:rPr>
          <w:rFonts w:ascii="Arial" w:hAnsi="Arial"/>
          <w:sz w:val="24"/>
        </w:rPr>
        <w:t xml:space="preserve">reduces </w:t>
      </w:r>
      <w:r w:rsidR="001407F7">
        <w:rPr>
          <w:rFonts w:ascii="Arial" w:hAnsi="Arial"/>
          <w:sz w:val="24"/>
        </w:rPr>
        <w:t>the TRC</w:t>
      </w:r>
      <w:r w:rsidR="004B63D0">
        <w:rPr>
          <w:rFonts w:ascii="Arial" w:hAnsi="Arial"/>
          <w:sz w:val="24"/>
        </w:rPr>
        <w:t xml:space="preserve">, especially </w:t>
      </w:r>
      <w:r w:rsidR="001407F7">
        <w:rPr>
          <w:rFonts w:ascii="Arial" w:hAnsi="Arial"/>
          <w:sz w:val="24"/>
        </w:rPr>
        <w:t xml:space="preserve">for programs and measures </w:t>
      </w:r>
      <w:r w:rsidR="004B63D0">
        <w:rPr>
          <w:rFonts w:ascii="Arial" w:hAnsi="Arial"/>
          <w:sz w:val="24"/>
        </w:rPr>
        <w:t>that achieve deep savings</w:t>
      </w:r>
      <w:r w:rsidR="001407F7">
        <w:rPr>
          <w:rFonts w:ascii="Arial" w:hAnsi="Arial"/>
          <w:sz w:val="24"/>
        </w:rPr>
        <w:t xml:space="preserve"> or for which immediate energy savings are an ancillary benefit, like Smart Thermostats and connected devices</w:t>
      </w:r>
      <w:r w:rsidRPr="00A91DD1">
        <w:rPr>
          <w:rFonts w:ascii="Arial" w:hAnsi="Arial"/>
          <w:sz w:val="24"/>
        </w:rPr>
        <w:t xml:space="preserve">. Second, the </w:t>
      </w:r>
      <w:r w:rsidR="003505DA" w:rsidRPr="00A91DD1">
        <w:rPr>
          <w:rFonts w:ascii="Arial" w:hAnsi="Arial"/>
          <w:sz w:val="24"/>
        </w:rPr>
        <w:t xml:space="preserve">rules for applying HTR NTG values are subjective and overly restrictive. </w:t>
      </w:r>
      <w:r w:rsidR="00B562A3" w:rsidRPr="00A91DD1">
        <w:rPr>
          <w:rFonts w:ascii="Arial" w:hAnsi="Arial"/>
          <w:sz w:val="24"/>
          <w:szCs w:val="20"/>
        </w:rPr>
        <w:t>As noted in Resolution G-3510 Finding 14,</w:t>
      </w:r>
      <w:r w:rsidR="00EB7373" w:rsidRPr="00A91DD1">
        <w:rPr>
          <w:rFonts w:ascii="Arial" w:hAnsi="Arial"/>
          <w:sz w:val="24"/>
        </w:rPr>
        <w:t xml:space="preserve"> the </w:t>
      </w:r>
      <w:r w:rsidR="00B562A3" w:rsidRPr="00A91DD1">
        <w:rPr>
          <w:rFonts w:ascii="Arial" w:hAnsi="Arial"/>
          <w:sz w:val="24"/>
          <w:szCs w:val="20"/>
        </w:rPr>
        <w:t>definition of hard-to-reach customers</w:t>
      </w:r>
      <w:r w:rsidR="00EB7373" w:rsidRPr="00A91DD1">
        <w:rPr>
          <w:rFonts w:ascii="Arial" w:hAnsi="Arial"/>
          <w:sz w:val="24"/>
        </w:rPr>
        <w:t xml:space="preserve"> and </w:t>
      </w:r>
      <w:r w:rsidR="00B562A3" w:rsidRPr="00A91DD1">
        <w:rPr>
          <w:rFonts w:ascii="Arial" w:hAnsi="Arial"/>
          <w:sz w:val="24"/>
          <w:szCs w:val="20"/>
        </w:rPr>
        <w:t>subsequent NTG assumptions for their projects warrants further study.</w:t>
      </w:r>
      <w:r w:rsidR="00873220">
        <w:rPr>
          <w:rStyle w:val="FootnoteReference"/>
          <w:rFonts w:ascii="Arial" w:hAnsi="Arial"/>
          <w:sz w:val="24"/>
          <w:szCs w:val="20"/>
        </w:rPr>
        <w:footnoteReference w:id="13"/>
      </w:r>
      <w:r w:rsidR="00B562A3" w:rsidRPr="00A91DD1">
        <w:rPr>
          <w:rFonts w:ascii="Arial" w:hAnsi="Arial"/>
          <w:sz w:val="24"/>
          <w:szCs w:val="20"/>
        </w:rPr>
        <w:t xml:space="preserve"> The current definition of </w:t>
      </w:r>
      <w:r w:rsidR="007539B8">
        <w:rPr>
          <w:rFonts w:ascii="Arial" w:hAnsi="Arial"/>
          <w:sz w:val="24"/>
          <w:szCs w:val="20"/>
        </w:rPr>
        <w:t>HTR</w:t>
      </w:r>
      <w:r w:rsidR="00B562A3" w:rsidRPr="00A91DD1">
        <w:rPr>
          <w:rFonts w:ascii="Arial" w:hAnsi="Arial"/>
          <w:sz w:val="24"/>
          <w:szCs w:val="20"/>
        </w:rPr>
        <w:t xml:space="preserve"> and its application to NTG assignments does</w:t>
      </w:r>
      <w:r w:rsidR="00EB7373" w:rsidRPr="00A91DD1">
        <w:rPr>
          <w:rFonts w:ascii="Arial" w:hAnsi="Arial"/>
          <w:sz w:val="24"/>
        </w:rPr>
        <w:t xml:space="preserve"> not appear to be based on a </w:t>
      </w:r>
      <w:r w:rsidR="00B562A3" w:rsidRPr="00A91DD1">
        <w:rPr>
          <w:rFonts w:ascii="Arial" w:hAnsi="Arial"/>
          <w:sz w:val="24"/>
          <w:szCs w:val="20"/>
        </w:rPr>
        <w:t xml:space="preserve">current nor </w:t>
      </w:r>
      <w:r w:rsidR="00EB7373" w:rsidRPr="00A91DD1">
        <w:rPr>
          <w:rFonts w:ascii="Arial" w:hAnsi="Arial"/>
          <w:sz w:val="24"/>
        </w:rPr>
        <w:t xml:space="preserve">comprehensive study of the impact of </w:t>
      </w:r>
      <w:r w:rsidR="00B562A3" w:rsidRPr="00A91DD1">
        <w:rPr>
          <w:rFonts w:ascii="Arial" w:hAnsi="Arial"/>
          <w:sz w:val="24"/>
          <w:szCs w:val="20"/>
        </w:rPr>
        <w:t>delivery type or customer demographics such as geography, socio-economic status, language, and other factors.</w:t>
      </w:r>
      <w:r w:rsidR="004B63D0">
        <w:rPr>
          <w:rFonts w:ascii="Arial" w:hAnsi="Arial"/>
          <w:sz w:val="24"/>
          <w:szCs w:val="20"/>
        </w:rPr>
        <w:t xml:space="preserve"> Currently NTG also does not consider DAC status or definitions.</w:t>
      </w:r>
      <w:r w:rsidR="003505DA" w:rsidRPr="00A91DD1">
        <w:rPr>
          <w:rFonts w:ascii="Arial" w:hAnsi="Arial"/>
          <w:sz w:val="24"/>
        </w:rPr>
        <w:t xml:space="preserve"> </w:t>
      </w:r>
      <w:r w:rsidR="004B63D0">
        <w:rPr>
          <w:rFonts w:ascii="Arial" w:hAnsi="Arial"/>
          <w:sz w:val="24"/>
        </w:rPr>
        <w:t xml:space="preserve">Because these customer segments (HTR and DAC) are often more expensive to serve, </w:t>
      </w:r>
      <w:r w:rsidR="000F46B4">
        <w:rPr>
          <w:rFonts w:ascii="Arial" w:hAnsi="Arial"/>
          <w:sz w:val="24"/>
        </w:rPr>
        <w:t xml:space="preserve">restricting these </w:t>
      </w:r>
      <w:r w:rsidR="004B63D0">
        <w:rPr>
          <w:rFonts w:ascii="Arial" w:hAnsi="Arial"/>
          <w:sz w:val="24"/>
        </w:rPr>
        <w:t>definitions further reduces TRC</w:t>
      </w:r>
      <w:r w:rsidR="006A5604">
        <w:rPr>
          <w:rFonts w:ascii="Arial" w:hAnsi="Arial"/>
          <w:sz w:val="24"/>
        </w:rPr>
        <w:t xml:space="preserve"> through higher implementation costs</w:t>
      </w:r>
      <w:r w:rsidR="000F46B4">
        <w:rPr>
          <w:rFonts w:ascii="Arial" w:hAnsi="Arial"/>
          <w:sz w:val="24"/>
        </w:rPr>
        <w:t xml:space="preserve"> and creates </w:t>
      </w:r>
      <w:r w:rsidR="004B63D0">
        <w:rPr>
          <w:rFonts w:ascii="Arial" w:hAnsi="Arial"/>
          <w:sz w:val="24"/>
        </w:rPr>
        <w:t xml:space="preserve">an additional barrier to achieve policy goals of expanding EE to these sectors. </w:t>
      </w:r>
      <w:r w:rsidR="003505DA" w:rsidRPr="00A91DD1">
        <w:rPr>
          <w:rFonts w:ascii="Arial" w:hAnsi="Arial"/>
          <w:sz w:val="24"/>
        </w:rPr>
        <w:t xml:space="preserve">Third, </w:t>
      </w:r>
      <w:r w:rsidR="00067C7E" w:rsidRPr="00A91DD1">
        <w:rPr>
          <w:rFonts w:ascii="Arial" w:hAnsi="Arial"/>
          <w:sz w:val="24"/>
        </w:rPr>
        <w:t xml:space="preserve">the </w:t>
      </w:r>
      <w:r w:rsidR="003505DA" w:rsidRPr="00A91DD1">
        <w:rPr>
          <w:rFonts w:ascii="Arial" w:hAnsi="Arial"/>
          <w:sz w:val="24"/>
        </w:rPr>
        <w:t xml:space="preserve">NTG estimates </w:t>
      </w:r>
      <w:r w:rsidR="00067C7E" w:rsidRPr="00A91DD1">
        <w:rPr>
          <w:rFonts w:ascii="Arial" w:hAnsi="Arial"/>
          <w:sz w:val="24"/>
        </w:rPr>
        <w:t>applied in the TRC calculation</w:t>
      </w:r>
      <w:r w:rsidR="003505DA" w:rsidRPr="00A91DD1">
        <w:rPr>
          <w:rFonts w:ascii="Arial" w:hAnsi="Arial"/>
          <w:sz w:val="24"/>
        </w:rPr>
        <w:t xml:space="preserve"> carry significant uncertainty from insufficient decision-making documentation, unreliable self-report evaluation methods, and other sources. The uncertainty of NTG estimates was discussed extensively at the Informal NTG Workshop (July 19, 2017, CPUC), where panelists and attendees discussed multiple sources of potential measurement bias and uncertainty.  </w:t>
      </w:r>
    </w:p>
    <w:p w14:paraId="0894C756" w14:textId="77777777" w:rsidR="0049495F" w:rsidRDefault="0049495F" w:rsidP="00EE6E2F"/>
    <w:p w14:paraId="7C41B860" w14:textId="71DE10A3" w:rsidR="00EE6E2F" w:rsidRDefault="001D0DF7" w:rsidP="007F57DB">
      <w:pPr>
        <w:jc w:val="both"/>
      </w:pPr>
      <w:r>
        <w:lastRenderedPageBreak/>
        <w:t xml:space="preserve">Another </w:t>
      </w:r>
      <w:r w:rsidR="00A817FF">
        <w:t xml:space="preserve">noteworthy </w:t>
      </w:r>
      <w:r w:rsidR="008D56FA">
        <w:t xml:space="preserve">challenge </w:t>
      </w:r>
      <w:r w:rsidR="00A817FF">
        <w:t xml:space="preserve">to forecasting </w:t>
      </w:r>
      <w:r w:rsidR="009137F1">
        <w:t xml:space="preserve">cost-effectiveness </w:t>
      </w:r>
      <w:r w:rsidR="0049495F">
        <w:t>within the existing framework</w:t>
      </w:r>
      <w:r w:rsidR="009137F1">
        <w:t xml:space="preserve"> </w:t>
      </w:r>
      <w:r w:rsidR="008D56FA">
        <w:t>is</w:t>
      </w:r>
      <w:r w:rsidR="008D56FA" w:rsidDel="009137F1">
        <w:t xml:space="preserve"> the</w:t>
      </w:r>
      <w:r w:rsidR="008D56FA">
        <w:t xml:space="preserve"> current</w:t>
      </w:r>
      <w:r>
        <w:t xml:space="preserve"> </w:t>
      </w:r>
      <w:r w:rsidR="00A817FF">
        <w:t>forecast</w:t>
      </w:r>
      <w:r>
        <w:t xml:space="preserve"> duration </w:t>
      </w:r>
      <w:r w:rsidR="004408D3">
        <w:t>of</w:t>
      </w:r>
      <w:r>
        <w:t xml:space="preserve"> a single year instead of multiple years.</w:t>
      </w:r>
      <w:r w:rsidR="008D56FA">
        <w:rPr>
          <w:rStyle w:val="FootnoteReference"/>
        </w:rPr>
        <w:footnoteReference w:id="14"/>
      </w:r>
      <w:r w:rsidR="00EF1914">
        <w:t xml:space="preserve"> M</w:t>
      </w:r>
      <w:r>
        <w:t xml:space="preserve">ulti-year programs that are currently under development </w:t>
      </w:r>
      <w:r w:rsidR="00EF1914">
        <w:t xml:space="preserve">may </w:t>
      </w:r>
      <w:r>
        <w:t xml:space="preserve">forecast </w:t>
      </w:r>
      <w:r w:rsidR="000F46B4">
        <w:t xml:space="preserve">first year </w:t>
      </w:r>
      <w:r>
        <w:t xml:space="preserve">costs but </w:t>
      </w:r>
      <w:r w:rsidR="000F46B4">
        <w:t>little to</w:t>
      </w:r>
      <w:r w:rsidR="00732DFD">
        <w:t xml:space="preserve"> no</w:t>
      </w:r>
      <w:r w:rsidR="00751226">
        <w:t xml:space="preserve"> </w:t>
      </w:r>
      <w:r>
        <w:t xml:space="preserve">benefits in the first year, </w:t>
      </w:r>
      <w:r w:rsidR="000F46B4">
        <w:t xml:space="preserve">negatively impacting </w:t>
      </w:r>
      <w:r w:rsidR="00430D48">
        <w:t>annual cost-effectiveness forecasts. For example</w:t>
      </w:r>
      <w:r w:rsidR="00430D48" w:rsidRPr="006E31A9">
        <w:t>,</w:t>
      </w:r>
      <w:r w:rsidR="00E35133" w:rsidRPr="006E31A9">
        <w:t xml:space="preserve"> </w:t>
      </w:r>
      <w:r w:rsidR="00EE6E2F" w:rsidRPr="003839C4">
        <w:t xml:space="preserve">PG&amp;E has multiple </w:t>
      </w:r>
      <w:r w:rsidR="009A1C95">
        <w:t xml:space="preserve">developing </w:t>
      </w:r>
      <w:r w:rsidR="00EE6E2F" w:rsidRPr="003839C4">
        <w:t xml:space="preserve">subprograms in its </w:t>
      </w:r>
      <w:r w:rsidR="00E80D4E" w:rsidRPr="003839C4">
        <w:t>2019</w:t>
      </w:r>
      <w:r w:rsidR="00E35133" w:rsidRPr="003839C4">
        <w:t xml:space="preserve"> </w:t>
      </w:r>
      <w:r w:rsidR="00E80D4E" w:rsidRPr="003839C4">
        <w:t>portfolio</w:t>
      </w:r>
      <w:r w:rsidR="00751226" w:rsidRPr="003839C4">
        <w:t xml:space="preserve"> </w:t>
      </w:r>
      <w:r w:rsidR="009A1C95">
        <w:t>that</w:t>
      </w:r>
      <w:r w:rsidR="00A87B2E" w:rsidRPr="006E31A9">
        <w:t xml:space="preserve"> include costs for 2019</w:t>
      </w:r>
      <w:r w:rsidR="00EE6E2F" w:rsidRPr="006E31A9">
        <w:t xml:space="preserve">, but </w:t>
      </w:r>
      <w:r w:rsidR="009A1C95">
        <w:t>little to</w:t>
      </w:r>
      <w:r w:rsidR="00751226" w:rsidRPr="006E31A9">
        <w:t xml:space="preserve"> </w:t>
      </w:r>
      <w:r w:rsidR="00EE6E2F" w:rsidRPr="006E31A9">
        <w:t>no benefits</w:t>
      </w:r>
      <w:r w:rsidR="009A1C95">
        <w:t xml:space="preserve"> in 2019</w:t>
      </w:r>
      <w:r w:rsidR="00EE6E2F" w:rsidRPr="006E31A9">
        <w:t xml:space="preserve">. </w:t>
      </w:r>
      <w:r w:rsidR="005A4FF8" w:rsidRPr="006E31A9">
        <w:t>Once</w:t>
      </w:r>
      <w:r w:rsidR="00EE6E2F" w:rsidRPr="006E31A9">
        <w:t xml:space="preserve"> these subprograms ramp</w:t>
      </w:r>
      <w:r w:rsidR="00DA2C1D" w:rsidRPr="00E657B0">
        <w:t xml:space="preserve"> up</w:t>
      </w:r>
      <w:r w:rsidR="00EE6E2F" w:rsidRPr="00E657B0">
        <w:t>, they</w:t>
      </w:r>
      <w:r w:rsidR="00EE6E2F">
        <w:t xml:space="preserve"> will deliver benefits</w:t>
      </w:r>
      <w:r w:rsidR="003C0F1F">
        <w:t xml:space="preserve"> beyond</w:t>
      </w:r>
      <w:r w:rsidR="00EE6E2F">
        <w:t xml:space="preserve"> </w:t>
      </w:r>
      <w:r w:rsidR="00E80D4E">
        <w:t>2019</w:t>
      </w:r>
      <w:r w:rsidR="005A4FF8">
        <w:t>, and contribute positively to</w:t>
      </w:r>
      <w:r w:rsidR="00DE7FE4">
        <w:t xml:space="preserve"> </w:t>
      </w:r>
      <w:r w:rsidR="00EE6E2F">
        <w:t xml:space="preserve">cost-effectiveness </w:t>
      </w:r>
      <w:r w:rsidR="005A4FF8">
        <w:t>forecasts</w:t>
      </w:r>
      <w:r w:rsidR="00EE6E2F">
        <w:t xml:space="preserve">. However, since </w:t>
      </w:r>
      <w:r w:rsidR="00667108">
        <w:t xml:space="preserve">the </w:t>
      </w:r>
      <w:r w:rsidR="009F433E">
        <w:t>complete</w:t>
      </w:r>
      <w:r w:rsidR="00667108">
        <w:t xml:space="preserve"> program benefits</w:t>
      </w:r>
      <w:r w:rsidR="00EE6E2F">
        <w:t xml:space="preserve"> </w:t>
      </w:r>
      <w:r w:rsidR="00667108">
        <w:t>are</w:t>
      </w:r>
      <w:r w:rsidR="00EE6E2F">
        <w:t xml:space="preserve"> not reflected in </w:t>
      </w:r>
      <w:r w:rsidR="00667108">
        <w:t>the first-year</w:t>
      </w:r>
      <w:r w:rsidR="00E80D4E">
        <w:t xml:space="preserve"> view, PG&amp;E’s 2019</w:t>
      </w:r>
      <w:r w:rsidR="00EE6E2F">
        <w:t xml:space="preserve"> cost-effectiveness </w:t>
      </w:r>
      <w:r w:rsidR="005A4FF8">
        <w:t>forecast is impacted</w:t>
      </w:r>
      <w:r w:rsidR="00EE6E2F">
        <w:t>.</w:t>
      </w:r>
      <w:r w:rsidR="00256A76">
        <w:t xml:space="preserve"> </w:t>
      </w:r>
    </w:p>
    <w:p w14:paraId="735F8F14" w14:textId="77777777" w:rsidR="001D0DF7" w:rsidRDefault="001D0DF7" w:rsidP="007F57DB">
      <w:pPr>
        <w:jc w:val="both"/>
        <w:rPr>
          <w:rFonts w:cs="Arial"/>
          <w:color w:val="000000"/>
        </w:rPr>
      </w:pPr>
    </w:p>
    <w:p w14:paraId="3F7A2B38" w14:textId="43BCE9B2" w:rsidR="001D0DF7" w:rsidRDefault="0049495F" w:rsidP="007F57DB">
      <w:pPr>
        <w:jc w:val="both"/>
      </w:pPr>
      <w:r>
        <w:rPr>
          <w:color w:val="000000"/>
        </w:rPr>
        <w:t>Lastly</w:t>
      </w:r>
      <w:r w:rsidR="00A817FF">
        <w:rPr>
          <w:color w:val="000000"/>
        </w:rPr>
        <w:t>, the</w:t>
      </w:r>
      <w:r w:rsidR="00432D2B">
        <w:rPr>
          <w:color w:val="000000"/>
        </w:rPr>
        <w:t xml:space="preserve"> energy savings goals that </w:t>
      </w:r>
      <w:r w:rsidR="001C1EAD">
        <w:rPr>
          <w:color w:val="000000"/>
        </w:rPr>
        <w:t>guide</w:t>
      </w:r>
      <w:r w:rsidR="00432D2B">
        <w:rPr>
          <w:color w:val="000000"/>
        </w:rPr>
        <w:t xml:space="preserve"> portfolio efforts do not fully reflect the cost-</w:t>
      </w:r>
      <w:r w:rsidR="00432D2B" w:rsidRPr="006E31A9">
        <w:rPr>
          <w:color w:val="000000"/>
        </w:rPr>
        <w:t xml:space="preserve">effectiveness standards the utilities are required to meet. </w:t>
      </w:r>
      <w:r w:rsidR="00432D2B" w:rsidRPr="003839C4">
        <w:rPr>
          <w:color w:val="000000"/>
        </w:rPr>
        <w:t>T</w:t>
      </w:r>
      <w:r w:rsidR="001D0DF7" w:rsidRPr="003839C4">
        <w:rPr>
          <w:color w:val="000000"/>
        </w:rPr>
        <w:t>he</w:t>
      </w:r>
      <w:r w:rsidR="001D0DF7" w:rsidRPr="003839C4" w:rsidDel="00AB7DFF">
        <w:rPr>
          <w:color w:val="000000"/>
        </w:rPr>
        <w:t xml:space="preserve"> </w:t>
      </w:r>
      <w:r w:rsidR="002204AF" w:rsidRPr="003839C4">
        <w:rPr>
          <w:color w:val="000000"/>
        </w:rPr>
        <w:t>201</w:t>
      </w:r>
      <w:r w:rsidR="006E31A9" w:rsidRPr="003839C4">
        <w:rPr>
          <w:color w:val="000000"/>
        </w:rPr>
        <w:t>8</w:t>
      </w:r>
      <w:r w:rsidR="002204AF" w:rsidRPr="003839C4">
        <w:rPr>
          <w:color w:val="000000"/>
        </w:rPr>
        <w:t xml:space="preserve"> Potential and Goals Study</w:t>
      </w:r>
      <w:r w:rsidR="001D0DF7" w:rsidRPr="003839C4">
        <w:t xml:space="preserve"> use</w:t>
      </w:r>
      <w:r w:rsidR="009137F1" w:rsidRPr="003839C4">
        <w:t>s</w:t>
      </w:r>
      <w:r w:rsidR="001D0DF7" w:rsidRPr="003839C4">
        <w:t xml:space="preserve"> a TRC threshold of 0.85 </w:t>
      </w:r>
      <w:r w:rsidR="009137F1" w:rsidRPr="003839C4">
        <w:t xml:space="preserve">to determine eligible </w:t>
      </w:r>
      <w:r w:rsidR="00BD57D4" w:rsidRPr="003839C4">
        <w:t xml:space="preserve">measures </w:t>
      </w:r>
      <w:r w:rsidR="009137F1" w:rsidRPr="003839C4">
        <w:t>for</w:t>
      </w:r>
      <w:r w:rsidR="00BD57D4" w:rsidRPr="003839C4">
        <w:t xml:space="preserve"> inclu</w:t>
      </w:r>
      <w:r w:rsidR="009137F1" w:rsidRPr="003839C4">
        <w:t>sion</w:t>
      </w:r>
      <w:r w:rsidR="00BD57D4" w:rsidRPr="003839C4">
        <w:t xml:space="preserve"> in the economic potential</w:t>
      </w:r>
      <w:r w:rsidR="001D0DF7" w:rsidRPr="003839C4">
        <w:t xml:space="preserve"> calculat</w:t>
      </w:r>
      <w:r w:rsidR="00BD57D4" w:rsidRPr="003839C4">
        <w:t>ion.</w:t>
      </w:r>
      <w:r w:rsidR="001D0DF7" w:rsidRPr="003839C4">
        <w:rPr>
          <w:rStyle w:val="FootnoteReference"/>
        </w:rPr>
        <w:footnoteReference w:id="15"/>
      </w:r>
      <w:r w:rsidR="001D0DF7" w:rsidRPr="006E31A9">
        <w:t xml:space="preserve"> </w:t>
      </w:r>
      <w:r w:rsidR="00432D2B" w:rsidRPr="006E31A9">
        <w:t>Depending on the average TRC of measures included in the study, the total energy savings</w:t>
      </w:r>
      <w:r w:rsidR="00432D2B">
        <w:t xml:space="preserve"> potential calculated may not align with portfolio offerings that are both realistic and enable a portfolio TRC of 1.0. </w:t>
      </w:r>
      <w:r w:rsidR="001D0DF7">
        <w:t xml:space="preserve">Thus, </w:t>
      </w:r>
      <w:r w:rsidR="00432D2B">
        <w:t xml:space="preserve">goals derived from </w:t>
      </w:r>
      <w:r w:rsidR="001D0DF7">
        <w:t xml:space="preserve">the study may inherently overstate the amount of </w:t>
      </w:r>
      <w:r w:rsidR="00BC30E6">
        <w:t xml:space="preserve">achievable </w:t>
      </w:r>
      <w:r w:rsidR="001D0DF7">
        <w:t>cost-effective energy savings.</w:t>
      </w:r>
      <w:r w:rsidR="0084234F">
        <w:t xml:space="preserve"> </w:t>
      </w:r>
    </w:p>
    <w:p w14:paraId="6B87BB2F" w14:textId="779E0C1E" w:rsidR="00A45532" w:rsidRDefault="00A45532" w:rsidP="00F07533">
      <w:pPr>
        <w:rPr>
          <w:i/>
          <w:color w:val="000000"/>
        </w:rPr>
      </w:pPr>
    </w:p>
    <w:p w14:paraId="4F8DB840" w14:textId="77777777" w:rsidR="001237FB" w:rsidRPr="00765C61" w:rsidRDefault="001237FB" w:rsidP="001237FB">
      <w:pPr>
        <w:rPr>
          <w:rFonts w:cs="Arial"/>
          <w:b/>
          <w:color w:val="000000"/>
        </w:rPr>
      </w:pPr>
      <w:r w:rsidRPr="00765C61">
        <w:rPr>
          <w:rFonts w:cs="Arial"/>
          <w:b/>
          <w:color w:val="000000"/>
        </w:rPr>
        <w:t>Market-Based Challenges</w:t>
      </w:r>
    </w:p>
    <w:p w14:paraId="0AE24F29" w14:textId="6F313D91" w:rsidR="001237FB" w:rsidRDefault="00A87B2E" w:rsidP="007F57DB">
      <w:pPr>
        <w:jc w:val="both"/>
        <w:rPr>
          <w:rFonts w:cs="Arial"/>
          <w:color w:val="000000"/>
        </w:rPr>
      </w:pPr>
      <w:r>
        <w:rPr>
          <w:rFonts w:cs="Arial"/>
          <w:color w:val="000000"/>
        </w:rPr>
        <w:t>Four</w:t>
      </w:r>
      <w:r w:rsidR="001237FB" w:rsidRPr="0057151A">
        <w:rPr>
          <w:rFonts w:cs="Arial"/>
          <w:color w:val="000000"/>
        </w:rPr>
        <w:t xml:space="preserve"> major </w:t>
      </w:r>
      <w:r w:rsidR="001237FB">
        <w:rPr>
          <w:rFonts w:cs="Arial"/>
          <w:color w:val="000000"/>
        </w:rPr>
        <w:t xml:space="preserve">market-based </w:t>
      </w:r>
      <w:r w:rsidR="001237FB" w:rsidRPr="0057151A">
        <w:rPr>
          <w:rFonts w:cs="Arial"/>
          <w:color w:val="000000"/>
        </w:rPr>
        <w:t xml:space="preserve">factors are driving diminished portfolio cost-effectiveness compared with previous years. The first factor is </w:t>
      </w:r>
      <w:r>
        <w:rPr>
          <w:rFonts w:cs="Arial"/>
          <w:color w:val="000000"/>
        </w:rPr>
        <w:t>the continued decrease in</w:t>
      </w:r>
      <w:r w:rsidR="001237FB" w:rsidRPr="00405F9C">
        <w:t xml:space="preserve"> avoided generation costs</w:t>
      </w:r>
      <w:r w:rsidR="001237FB" w:rsidRPr="0057151A">
        <w:rPr>
          <w:rFonts w:cs="Arial"/>
        </w:rPr>
        <w:t xml:space="preserve"> in the CET that hav</w:t>
      </w:r>
      <w:r w:rsidR="001237FB">
        <w:rPr>
          <w:rFonts w:cs="Arial"/>
        </w:rPr>
        <w:t xml:space="preserve">e resulted in a substantial decrease in </w:t>
      </w:r>
      <w:r w:rsidR="00E90CE7">
        <w:rPr>
          <w:rFonts w:cs="Arial"/>
        </w:rPr>
        <w:t xml:space="preserve">portfolio </w:t>
      </w:r>
      <w:r w:rsidR="001237FB">
        <w:rPr>
          <w:rFonts w:cs="Arial"/>
        </w:rPr>
        <w:t xml:space="preserve">benefits. </w:t>
      </w:r>
      <w:r>
        <w:rPr>
          <w:rFonts w:cs="Arial"/>
        </w:rPr>
        <w:t xml:space="preserve">Avoided cost trends that have heavily impacted portfolio cost-effectiveness include decreasing natural gas costs, high </w:t>
      </w:r>
      <w:r w:rsidR="00E90CE7">
        <w:rPr>
          <w:rFonts w:cs="Arial"/>
        </w:rPr>
        <w:t xml:space="preserve">electric </w:t>
      </w:r>
      <w:r>
        <w:rPr>
          <w:rFonts w:cs="Arial"/>
        </w:rPr>
        <w:t xml:space="preserve">capacity and transmission and distribution costs during summer peak hours, and a </w:t>
      </w:r>
      <w:r w:rsidR="00E90CE7">
        <w:rPr>
          <w:rFonts w:cs="Arial"/>
        </w:rPr>
        <w:t xml:space="preserve">significant </w:t>
      </w:r>
      <w:r>
        <w:rPr>
          <w:rFonts w:cs="Arial"/>
        </w:rPr>
        <w:t xml:space="preserve">drop in mid-day </w:t>
      </w:r>
      <w:r w:rsidR="00E90CE7">
        <w:rPr>
          <w:rFonts w:cs="Arial"/>
        </w:rPr>
        <w:t>avoided costs due to high saturation of renewable energy during that time</w:t>
      </w:r>
      <w:r>
        <w:rPr>
          <w:rFonts w:cs="Arial"/>
        </w:rPr>
        <w:t xml:space="preserve">. </w:t>
      </w:r>
      <w:r w:rsidR="001237FB">
        <w:rPr>
          <w:rFonts w:cs="Arial"/>
          <w:color w:val="000000"/>
        </w:rPr>
        <w:t>The greenhouse gas adder</w:t>
      </w:r>
      <w:r w:rsidR="001237FB" w:rsidRPr="00405F9C">
        <w:rPr>
          <w:color w:val="000000"/>
        </w:rPr>
        <w:t xml:space="preserve"> </w:t>
      </w:r>
      <w:r w:rsidR="001237FB">
        <w:rPr>
          <w:color w:val="000000"/>
        </w:rPr>
        <w:t xml:space="preserve">that </w:t>
      </w:r>
      <w:r>
        <w:rPr>
          <w:color w:val="000000"/>
        </w:rPr>
        <w:t xml:space="preserve">has been </w:t>
      </w:r>
      <w:r w:rsidR="001237FB">
        <w:rPr>
          <w:color w:val="000000"/>
        </w:rPr>
        <w:t xml:space="preserve">included </w:t>
      </w:r>
      <w:r w:rsidR="001237FB" w:rsidRPr="00405F9C">
        <w:rPr>
          <w:color w:val="000000"/>
        </w:rPr>
        <w:t>into th</w:t>
      </w:r>
      <w:r w:rsidR="001237FB" w:rsidRPr="00DB5760">
        <w:rPr>
          <w:color w:val="000000"/>
        </w:rPr>
        <w:t>e avoided cost calculat</w:t>
      </w:r>
      <w:r w:rsidR="001237FB">
        <w:rPr>
          <w:color w:val="000000"/>
        </w:rPr>
        <w:t>or</w:t>
      </w:r>
      <w:r w:rsidR="001237FB">
        <w:rPr>
          <w:rStyle w:val="FootnoteReference"/>
          <w:color w:val="000000"/>
        </w:rPr>
        <w:footnoteReference w:id="16"/>
      </w:r>
      <w:r w:rsidR="001237FB" w:rsidRPr="00DB5760">
        <w:rPr>
          <w:color w:val="000000"/>
        </w:rPr>
        <w:t xml:space="preserve"> </w:t>
      </w:r>
      <w:r>
        <w:rPr>
          <w:rFonts w:cs="Arial"/>
          <w:color w:val="000000"/>
        </w:rPr>
        <w:t>has</w:t>
      </w:r>
      <w:r w:rsidR="001237FB">
        <w:rPr>
          <w:rFonts w:cs="Arial"/>
          <w:color w:val="000000"/>
        </w:rPr>
        <w:t xml:space="preserve"> only partially ameliorate</w:t>
      </w:r>
      <w:r>
        <w:rPr>
          <w:rFonts w:cs="Arial"/>
          <w:color w:val="000000"/>
        </w:rPr>
        <w:t>d</w:t>
      </w:r>
      <w:r w:rsidR="001237FB">
        <w:rPr>
          <w:rFonts w:cs="Arial"/>
          <w:color w:val="000000"/>
        </w:rPr>
        <w:t xml:space="preserve"> the negative impact of the new avoided costs.</w:t>
      </w:r>
    </w:p>
    <w:p w14:paraId="27039E8E" w14:textId="77777777" w:rsidR="001237FB" w:rsidRDefault="001237FB" w:rsidP="007F57DB">
      <w:pPr>
        <w:jc w:val="both"/>
        <w:rPr>
          <w:rFonts w:cs="Arial"/>
        </w:rPr>
      </w:pPr>
    </w:p>
    <w:p w14:paraId="02C709E1" w14:textId="5D08992A" w:rsidR="00A17E8B" w:rsidRDefault="001237FB" w:rsidP="007F57DB">
      <w:pPr>
        <w:jc w:val="both"/>
        <w:rPr>
          <w:rFonts w:cs="Arial"/>
        </w:rPr>
      </w:pPr>
      <w:r>
        <w:rPr>
          <w:rFonts w:cs="Arial"/>
        </w:rPr>
        <w:t>The second major market-based factor driving diminished portfolio cost-effectiveness is</w:t>
      </w:r>
      <w:r w:rsidRPr="00405F9C">
        <w:t xml:space="preserve"> </w:t>
      </w:r>
      <w:r w:rsidRPr="00CF5288">
        <w:rPr>
          <w:rFonts w:cs="Arial"/>
        </w:rPr>
        <w:t xml:space="preserve">the transition from highly cost-effective, high-volume deemed </w:t>
      </w:r>
      <w:r>
        <w:rPr>
          <w:rFonts w:cs="Arial"/>
        </w:rPr>
        <w:t xml:space="preserve">“widget-based” </w:t>
      </w:r>
      <w:r w:rsidRPr="00CF5288">
        <w:rPr>
          <w:rFonts w:cs="Arial"/>
        </w:rPr>
        <w:t>measures</w:t>
      </w:r>
      <w:r>
        <w:rPr>
          <w:rFonts w:cs="Arial"/>
        </w:rPr>
        <w:t xml:space="preserve"> (e.g. compact fluorescent </w:t>
      </w:r>
      <w:r w:rsidR="009A1C95">
        <w:rPr>
          <w:rFonts w:cs="Arial"/>
        </w:rPr>
        <w:t>lamps</w:t>
      </w:r>
      <w:r>
        <w:rPr>
          <w:rFonts w:cs="Arial"/>
        </w:rPr>
        <w:t xml:space="preserve">) </w:t>
      </w:r>
      <w:r w:rsidRPr="00CF5288">
        <w:rPr>
          <w:rFonts w:cs="Arial"/>
        </w:rPr>
        <w:t>to more comprehensive and expensive projects</w:t>
      </w:r>
      <w:r>
        <w:rPr>
          <w:rFonts w:cs="Arial"/>
        </w:rPr>
        <w:t>. This transition has been fueled by changes in market and energy savings potential. PG&amp;E has capitalized on the most cost-effective “low-hanging fruit” measures in past years that are no longer viable due to market saturation,</w:t>
      </w:r>
      <w:r w:rsidR="009956AB">
        <w:rPr>
          <w:rFonts w:cs="Arial"/>
        </w:rPr>
        <w:t xml:space="preserve"> code updates,</w:t>
      </w:r>
      <w:r>
        <w:rPr>
          <w:rFonts w:cs="Arial"/>
        </w:rPr>
        <w:t xml:space="preserve"> reduced energy savings potential, and/or other market changes. The remaining savings opportunities are captured through multi-faceted progra</w:t>
      </w:r>
      <w:r w:rsidR="009956AB">
        <w:rPr>
          <w:rFonts w:cs="Arial"/>
        </w:rPr>
        <w:t>ms that often necessitate</w:t>
      </w:r>
      <w:r>
        <w:rPr>
          <w:rFonts w:cs="Arial"/>
        </w:rPr>
        <w:t xml:space="preserve"> higher implementation and/or measure costs</w:t>
      </w:r>
      <w:r w:rsidR="009956AB">
        <w:rPr>
          <w:rFonts w:cs="Arial"/>
        </w:rPr>
        <w:t>.</w:t>
      </w:r>
      <w:r w:rsidR="00A17E8B">
        <w:rPr>
          <w:rFonts w:cs="Arial"/>
        </w:rPr>
        <w:t xml:space="preserve"> </w:t>
      </w:r>
      <w:r w:rsidR="009956AB">
        <w:rPr>
          <w:rFonts w:cs="Arial"/>
        </w:rPr>
        <w:t>In particular,</w:t>
      </w:r>
      <w:r w:rsidR="00A17E8B">
        <w:rPr>
          <w:rFonts w:cs="Arial"/>
        </w:rPr>
        <w:t xml:space="preserve"> programs that target higher energy</w:t>
      </w:r>
      <w:r w:rsidR="00BE1410">
        <w:rPr>
          <w:rFonts w:cs="Arial"/>
        </w:rPr>
        <w:t>-</w:t>
      </w:r>
      <w:r w:rsidR="00A17E8B">
        <w:rPr>
          <w:rFonts w:cs="Arial"/>
        </w:rPr>
        <w:t xml:space="preserve">efficiency equipment and </w:t>
      </w:r>
      <w:r w:rsidR="00A17E8B">
        <w:rPr>
          <w:rFonts w:cs="Arial"/>
        </w:rPr>
        <w:lastRenderedPageBreak/>
        <w:t>practices, high product quality, and deeper retrofits</w:t>
      </w:r>
      <w:r w:rsidR="009956AB">
        <w:rPr>
          <w:rFonts w:cs="Arial"/>
        </w:rPr>
        <w:t xml:space="preserve"> drive a high degree of measure costs into the portfolio. However, measure costs are </w:t>
      </w:r>
      <w:r w:rsidR="009A1C95">
        <w:rPr>
          <w:rFonts w:cs="Arial"/>
        </w:rPr>
        <w:t xml:space="preserve">increasingly </w:t>
      </w:r>
      <w:r w:rsidR="009956AB">
        <w:rPr>
          <w:rFonts w:cs="Arial"/>
        </w:rPr>
        <w:t xml:space="preserve">associated with participant investments in benefits unrelated to direct energy savings. For example, customers report that about half of the benefits from participating in the deep home retrofit program Energy Upgrade California are </w:t>
      </w:r>
      <w:r w:rsidR="009A1C95">
        <w:rPr>
          <w:rFonts w:cs="Arial"/>
        </w:rPr>
        <w:t xml:space="preserve">not </w:t>
      </w:r>
      <w:r w:rsidR="009956AB">
        <w:rPr>
          <w:rFonts w:cs="Arial"/>
        </w:rPr>
        <w:t>energy related.</w:t>
      </w:r>
      <w:r w:rsidR="009956AB">
        <w:rPr>
          <w:rStyle w:val="FootnoteReference"/>
          <w:rFonts w:cs="Arial"/>
        </w:rPr>
        <w:footnoteReference w:id="17"/>
      </w:r>
      <w:r w:rsidR="009956AB">
        <w:rPr>
          <w:rFonts w:cs="Arial"/>
        </w:rPr>
        <w:t xml:space="preserve"> Even with the measure cost changes PG&amp;E is forecasting for </w:t>
      </w:r>
      <w:r w:rsidR="009A1C95">
        <w:rPr>
          <w:rFonts w:cs="Arial"/>
        </w:rPr>
        <w:t>2019</w:t>
      </w:r>
      <w:r w:rsidR="009956AB">
        <w:rPr>
          <w:rFonts w:cs="Arial"/>
        </w:rPr>
        <w:t xml:space="preserve">, measure costs are </w:t>
      </w:r>
      <w:r w:rsidR="009A1C95">
        <w:rPr>
          <w:rFonts w:cs="Arial"/>
        </w:rPr>
        <w:t xml:space="preserve">still </w:t>
      </w:r>
      <w:r w:rsidR="009956AB">
        <w:rPr>
          <w:rFonts w:cs="Arial"/>
        </w:rPr>
        <w:t>the most important driver of TRC.</w:t>
      </w:r>
    </w:p>
    <w:p w14:paraId="420B2CC4" w14:textId="77777777" w:rsidR="00A17E8B" w:rsidRDefault="00A17E8B" w:rsidP="007F57DB">
      <w:pPr>
        <w:jc w:val="both"/>
        <w:rPr>
          <w:rFonts w:cs="Arial"/>
        </w:rPr>
      </w:pPr>
    </w:p>
    <w:p w14:paraId="50E66C13" w14:textId="3F0C894D" w:rsidR="001237FB" w:rsidRDefault="00A17E8B" w:rsidP="007F57DB">
      <w:pPr>
        <w:jc w:val="both"/>
        <w:rPr>
          <w:rFonts w:cs="Arial"/>
        </w:rPr>
      </w:pPr>
      <w:r>
        <w:rPr>
          <w:rFonts w:cs="Arial"/>
        </w:rPr>
        <w:t xml:space="preserve">The third factor is an increase in program costs related to policy goals to support DAC, HTR, and Low-Income customers. This service comes with high costs, with </w:t>
      </w:r>
      <w:r w:rsidR="008A69F3">
        <w:rPr>
          <w:rFonts w:cs="Arial"/>
        </w:rPr>
        <w:t xml:space="preserve">recent research showing that </w:t>
      </w:r>
      <w:r>
        <w:rPr>
          <w:rFonts w:cs="Arial"/>
        </w:rPr>
        <w:t>EE program delivery to the Low-Income sector typic</w:t>
      </w:r>
      <w:r w:rsidR="008A69F3">
        <w:rPr>
          <w:rFonts w:cs="Arial"/>
        </w:rPr>
        <w:t>ally costs</w:t>
      </w:r>
      <w:r>
        <w:rPr>
          <w:rFonts w:cs="Arial"/>
        </w:rPr>
        <w:t xml:space="preserve"> three times as much as other sectors.</w:t>
      </w:r>
      <w:r>
        <w:rPr>
          <w:rStyle w:val="FootnoteReference"/>
          <w:rFonts w:cs="Arial"/>
        </w:rPr>
        <w:footnoteReference w:id="18"/>
      </w:r>
      <w:r w:rsidR="00A87B2E">
        <w:rPr>
          <w:rFonts w:cs="Arial"/>
        </w:rPr>
        <w:t xml:space="preserve"> </w:t>
      </w:r>
      <w:r>
        <w:rPr>
          <w:rFonts w:cs="Arial"/>
        </w:rPr>
        <w:t xml:space="preserve">PG&amp;E anticipates that the costs to serve these sectors will continue to </w:t>
      </w:r>
      <w:r w:rsidR="001E68AD">
        <w:rPr>
          <w:rFonts w:cs="Arial"/>
        </w:rPr>
        <w:t>remain high</w:t>
      </w:r>
      <w:r>
        <w:rPr>
          <w:rFonts w:cs="Arial"/>
        </w:rPr>
        <w:t>.</w:t>
      </w:r>
    </w:p>
    <w:p w14:paraId="202E1912" w14:textId="3D3D8EC4" w:rsidR="002A475C" w:rsidRDefault="002A475C" w:rsidP="007F57DB">
      <w:pPr>
        <w:jc w:val="both"/>
        <w:rPr>
          <w:rFonts w:cs="Arial"/>
        </w:rPr>
      </w:pPr>
    </w:p>
    <w:p w14:paraId="7D9ADB8D" w14:textId="2DE8C556" w:rsidR="002A475C" w:rsidRDefault="002A475C" w:rsidP="002A475C">
      <w:pPr>
        <w:jc w:val="both"/>
        <w:rPr>
          <w:rFonts w:cs="Arial"/>
        </w:rPr>
      </w:pPr>
      <w:r>
        <w:rPr>
          <w:rFonts w:cs="Arial"/>
        </w:rPr>
        <w:t>Finally, cost-effectiveness will continue to be impacted by the dynamic changes to</w:t>
      </w:r>
      <w:r w:rsidR="00CE5FF5">
        <w:rPr>
          <w:rFonts w:cs="Arial"/>
        </w:rPr>
        <w:t xml:space="preserve"> the</w:t>
      </w:r>
      <w:r>
        <w:rPr>
          <w:rFonts w:cs="Arial"/>
        </w:rPr>
        <w:t xml:space="preserve"> EE</w:t>
      </w:r>
      <w:r w:rsidR="00CE5FF5">
        <w:rPr>
          <w:rFonts w:cs="Arial"/>
        </w:rPr>
        <w:t xml:space="preserve"> landscape</w:t>
      </w:r>
      <w:r>
        <w:rPr>
          <w:rFonts w:cs="Arial"/>
        </w:rPr>
        <w:t xml:space="preserve">. </w:t>
      </w:r>
      <w:r w:rsidRPr="002A475C">
        <w:rPr>
          <w:rFonts w:cs="Arial"/>
        </w:rPr>
        <w:t>Meeting portfolio savings target</w:t>
      </w:r>
      <w:r>
        <w:rPr>
          <w:rFonts w:cs="Arial"/>
        </w:rPr>
        <w:t>s and SB 350 goals now requires not only m</w:t>
      </w:r>
      <w:r w:rsidRPr="002A475C">
        <w:rPr>
          <w:rFonts w:cs="Arial"/>
        </w:rPr>
        <w:t>ore holistic programs and less reliance on “widgets”</w:t>
      </w:r>
      <w:r>
        <w:rPr>
          <w:rFonts w:cs="Arial"/>
        </w:rPr>
        <w:t>, but the g</w:t>
      </w:r>
      <w:r w:rsidRPr="002A475C">
        <w:rPr>
          <w:rFonts w:cs="Arial"/>
        </w:rPr>
        <w:t>rowth of financing and pay-fo</w:t>
      </w:r>
      <w:r>
        <w:rPr>
          <w:rFonts w:cs="Arial"/>
        </w:rPr>
        <w:t>r-performance programs, l</w:t>
      </w:r>
      <w:r w:rsidRPr="002A475C">
        <w:rPr>
          <w:rFonts w:cs="Arial"/>
        </w:rPr>
        <w:t>everaging private investment with incentive dollars</w:t>
      </w:r>
      <w:r>
        <w:rPr>
          <w:rFonts w:cs="Arial"/>
        </w:rPr>
        <w:t>, rapidly d</w:t>
      </w:r>
      <w:r w:rsidRPr="002A475C">
        <w:rPr>
          <w:rFonts w:cs="Arial"/>
        </w:rPr>
        <w:t>eploying new technologies</w:t>
      </w:r>
      <w:r w:rsidR="009A1C95">
        <w:rPr>
          <w:rFonts w:cs="Arial"/>
        </w:rPr>
        <w:t xml:space="preserve"> like</w:t>
      </w:r>
      <w:r w:rsidRPr="002A475C">
        <w:rPr>
          <w:rFonts w:cs="Arial"/>
        </w:rPr>
        <w:t xml:space="preserve"> energy management systems</w:t>
      </w:r>
      <w:r>
        <w:rPr>
          <w:rFonts w:cs="Arial"/>
        </w:rPr>
        <w:t xml:space="preserve">, </w:t>
      </w:r>
      <w:r w:rsidR="001E68AD">
        <w:rPr>
          <w:rFonts w:cs="Arial"/>
        </w:rPr>
        <w:t>influencing</w:t>
      </w:r>
      <w:r>
        <w:rPr>
          <w:rFonts w:cs="Arial"/>
        </w:rPr>
        <w:t xml:space="preserve"> </w:t>
      </w:r>
      <w:r w:rsidRPr="002A475C">
        <w:rPr>
          <w:rFonts w:cs="Arial"/>
        </w:rPr>
        <w:t>markets</w:t>
      </w:r>
      <w:r w:rsidR="001E68AD">
        <w:rPr>
          <w:rFonts w:cs="Arial"/>
        </w:rPr>
        <w:t xml:space="preserve"> from the top</w:t>
      </w:r>
      <w:r>
        <w:rPr>
          <w:rFonts w:cs="Arial"/>
        </w:rPr>
        <w:t>, i</w:t>
      </w:r>
      <w:r w:rsidRPr="002A475C">
        <w:rPr>
          <w:rFonts w:cs="Arial"/>
        </w:rPr>
        <w:t>ntegration with other distributed energy resources</w:t>
      </w:r>
      <w:r>
        <w:rPr>
          <w:rFonts w:cs="Arial"/>
        </w:rPr>
        <w:t>, and i</w:t>
      </w:r>
      <w:r w:rsidRPr="002A475C">
        <w:rPr>
          <w:rFonts w:cs="Arial"/>
        </w:rPr>
        <w:t>nvestment in the workforce</w:t>
      </w:r>
      <w:r>
        <w:rPr>
          <w:rFonts w:cs="Arial"/>
        </w:rPr>
        <w:t xml:space="preserve">. </w:t>
      </w:r>
      <w:r w:rsidR="001E68AD">
        <w:rPr>
          <w:rFonts w:cs="Arial"/>
        </w:rPr>
        <w:t>In the absence of benefits attributed to these activities, these steps are</w:t>
      </w:r>
      <w:r>
        <w:rPr>
          <w:rFonts w:cs="Arial"/>
        </w:rPr>
        <w:t xml:space="preserve"> fundamentally at odds wit</w:t>
      </w:r>
      <w:r w:rsidR="001E68AD">
        <w:rPr>
          <w:rFonts w:cs="Arial"/>
        </w:rPr>
        <w:t xml:space="preserve">h those necessary to achieve a high portfolio </w:t>
      </w:r>
      <w:r>
        <w:rPr>
          <w:rFonts w:cs="Arial"/>
        </w:rPr>
        <w:t>TRC</w:t>
      </w:r>
      <w:r w:rsidR="001E68AD">
        <w:rPr>
          <w:rFonts w:cs="Arial"/>
        </w:rPr>
        <w:t xml:space="preserve">: </w:t>
      </w:r>
      <w:r>
        <w:rPr>
          <w:rFonts w:cs="Arial"/>
        </w:rPr>
        <w:t>a narrow</w:t>
      </w:r>
      <w:r w:rsidR="001E68AD">
        <w:rPr>
          <w:rFonts w:cs="Arial"/>
        </w:rPr>
        <w:t>ed</w:t>
      </w:r>
      <w:r>
        <w:rPr>
          <w:rFonts w:cs="Arial"/>
        </w:rPr>
        <w:t xml:space="preserve"> </w:t>
      </w:r>
      <w:r w:rsidR="001E68AD">
        <w:rPr>
          <w:rFonts w:cs="Arial"/>
        </w:rPr>
        <w:t>set of offerings</w:t>
      </w:r>
      <w:r>
        <w:rPr>
          <w:rFonts w:cs="Arial"/>
        </w:rPr>
        <w:t xml:space="preserve"> focused on low cost savings, established technologies, and easy-to-reach customers.</w:t>
      </w:r>
    </w:p>
    <w:p w14:paraId="5899A35B" w14:textId="42500D82" w:rsidR="00304868" w:rsidRDefault="00304868" w:rsidP="007F57DB">
      <w:pPr>
        <w:jc w:val="both"/>
        <w:rPr>
          <w:rFonts w:cs="Arial"/>
        </w:rPr>
      </w:pPr>
    </w:p>
    <w:p w14:paraId="775F0728" w14:textId="30D325E3" w:rsidR="00304868" w:rsidRDefault="00304868" w:rsidP="007F57DB">
      <w:pPr>
        <w:jc w:val="both"/>
        <w:rPr>
          <w:rFonts w:cs="Arial"/>
        </w:rPr>
      </w:pPr>
      <w:r>
        <w:rPr>
          <w:rFonts w:cs="Arial"/>
        </w:rPr>
        <w:t>PG&amp;E respectfully requests that the Commission act on the opportunities</w:t>
      </w:r>
      <w:r w:rsidR="0036077A">
        <w:rPr>
          <w:rFonts w:cs="Arial"/>
        </w:rPr>
        <w:t xml:space="preserve"> to improve </w:t>
      </w:r>
      <w:r w:rsidR="001E68AD">
        <w:rPr>
          <w:rFonts w:cs="Arial"/>
        </w:rPr>
        <w:t>TRC</w:t>
      </w:r>
      <w:r>
        <w:rPr>
          <w:rFonts w:cs="Arial"/>
        </w:rPr>
        <w:t>, which are detailed in the following section.</w:t>
      </w:r>
    </w:p>
    <w:p w14:paraId="6C2DE959" w14:textId="77777777" w:rsidR="008A156B" w:rsidRDefault="008A156B" w:rsidP="00F07533">
      <w:pPr>
        <w:rPr>
          <w:i/>
          <w:color w:val="000000"/>
        </w:rPr>
      </w:pPr>
    </w:p>
    <w:p w14:paraId="49E23E58" w14:textId="44EA0669" w:rsidR="00803B8C" w:rsidRPr="000D1F0A" w:rsidRDefault="00803B8C" w:rsidP="00F31737">
      <w:pPr>
        <w:pStyle w:val="Heading2"/>
        <w:numPr>
          <w:ilvl w:val="0"/>
          <w:numId w:val="10"/>
        </w:numPr>
        <w:rPr>
          <w:rFonts w:cs="Arial"/>
          <w:color w:val="000000"/>
          <w:u w:val="single"/>
        </w:rPr>
      </w:pPr>
      <w:r w:rsidRPr="002019E0">
        <w:t xml:space="preserve">Opportunities to Improve Portfolio </w:t>
      </w:r>
      <w:r w:rsidR="001E68AD">
        <w:t>TRC</w:t>
      </w:r>
    </w:p>
    <w:p w14:paraId="6112B9CF" w14:textId="77777777" w:rsidR="00EC633B" w:rsidRDefault="00EC633B" w:rsidP="00405F9C">
      <w:pPr>
        <w:rPr>
          <w:color w:val="000000"/>
        </w:rPr>
      </w:pPr>
    </w:p>
    <w:p w14:paraId="00B4918A" w14:textId="25DC2B1B" w:rsidR="009A49B8" w:rsidRDefault="000D4234" w:rsidP="00E64E3E">
      <w:pPr>
        <w:jc w:val="both"/>
        <w:rPr>
          <w:rFonts w:cs="Arial"/>
          <w:color w:val="000000"/>
        </w:rPr>
      </w:pPr>
      <w:r>
        <w:rPr>
          <w:rFonts w:cs="Arial"/>
          <w:color w:val="000000"/>
        </w:rPr>
        <w:t>PG&amp;E’s Business Plan proposed</w:t>
      </w:r>
      <w:r w:rsidR="009A49B8">
        <w:rPr>
          <w:rFonts w:cs="Arial"/>
          <w:color w:val="000000"/>
        </w:rPr>
        <w:t xml:space="preserve"> solutions to </w:t>
      </w:r>
      <w:r w:rsidR="009A1C95">
        <w:rPr>
          <w:rFonts w:cs="Arial"/>
          <w:color w:val="000000"/>
        </w:rPr>
        <w:t xml:space="preserve">both </w:t>
      </w:r>
      <w:r w:rsidR="00EC633B">
        <w:rPr>
          <w:color w:val="000000"/>
        </w:rPr>
        <w:t>address the challenges with cost-effectiveness identified above</w:t>
      </w:r>
      <w:r w:rsidR="009A49B8">
        <w:rPr>
          <w:rFonts w:cs="Arial"/>
          <w:color w:val="000000"/>
        </w:rPr>
        <w:t xml:space="preserve"> </w:t>
      </w:r>
      <w:r w:rsidR="00EC633B">
        <w:rPr>
          <w:rFonts w:cs="Arial"/>
          <w:color w:val="000000"/>
        </w:rPr>
        <w:t xml:space="preserve">and </w:t>
      </w:r>
      <w:r w:rsidR="009A49B8">
        <w:rPr>
          <w:rFonts w:cs="Arial"/>
          <w:color w:val="000000"/>
        </w:rPr>
        <w:t>improve</w:t>
      </w:r>
      <w:r w:rsidR="00803B8C">
        <w:rPr>
          <w:rFonts w:cs="Arial"/>
          <w:color w:val="000000"/>
        </w:rPr>
        <w:t xml:space="preserve"> the cost-effectiveness of EE portfolios moving forward.</w:t>
      </w:r>
      <w:r w:rsidR="00976C3D">
        <w:rPr>
          <w:rStyle w:val="FootnoteReference"/>
          <w:rFonts w:cs="Arial"/>
          <w:color w:val="000000"/>
        </w:rPr>
        <w:footnoteReference w:id="19"/>
      </w:r>
      <w:r>
        <w:rPr>
          <w:rFonts w:cs="Arial"/>
          <w:color w:val="000000"/>
        </w:rPr>
        <w:t xml:space="preserve"> PG&amp;E recommended that</w:t>
      </w:r>
      <w:r w:rsidR="00803B8C">
        <w:rPr>
          <w:rFonts w:cs="Arial"/>
          <w:color w:val="000000"/>
        </w:rPr>
        <w:t xml:space="preserve"> the Commission modify its current cost-effectiveness protocols to </w:t>
      </w:r>
      <w:r w:rsidR="009137F1">
        <w:rPr>
          <w:rFonts w:cs="Arial"/>
          <w:color w:val="000000"/>
        </w:rPr>
        <w:t>provide</w:t>
      </w:r>
      <w:r w:rsidR="00803B8C">
        <w:rPr>
          <w:rFonts w:cs="Arial"/>
          <w:color w:val="000000"/>
        </w:rPr>
        <w:t xml:space="preserve"> PAs </w:t>
      </w:r>
      <w:r w:rsidR="009137F1">
        <w:rPr>
          <w:rFonts w:cs="Arial"/>
          <w:color w:val="000000"/>
        </w:rPr>
        <w:t>with the</w:t>
      </w:r>
      <w:r w:rsidR="00803B8C">
        <w:rPr>
          <w:rFonts w:cs="Arial"/>
          <w:color w:val="000000"/>
        </w:rPr>
        <w:t xml:space="preserve"> ability to accelerate adoption of new technologies, support deep retrofits, and offer a broad portfolio of program</w:t>
      </w:r>
      <w:r>
        <w:rPr>
          <w:rFonts w:cs="Arial"/>
          <w:color w:val="000000"/>
        </w:rPr>
        <w:t xml:space="preserve">s. </w:t>
      </w:r>
    </w:p>
    <w:p w14:paraId="698917BC" w14:textId="3F9D7AB8" w:rsidR="001C75D7" w:rsidRDefault="001C75D7" w:rsidP="00E64E3E">
      <w:pPr>
        <w:jc w:val="both"/>
        <w:rPr>
          <w:rFonts w:cs="Arial"/>
          <w:color w:val="000000"/>
        </w:rPr>
      </w:pPr>
    </w:p>
    <w:p w14:paraId="1779ABBB" w14:textId="60442C9A" w:rsidR="001C75D7" w:rsidRDefault="001C75D7" w:rsidP="00E64E3E">
      <w:pPr>
        <w:jc w:val="both"/>
        <w:rPr>
          <w:rFonts w:cs="Arial"/>
          <w:color w:val="000000"/>
        </w:rPr>
      </w:pPr>
      <w:r>
        <w:rPr>
          <w:rFonts w:cs="Arial"/>
          <w:color w:val="000000"/>
        </w:rPr>
        <w:t>In addition to those recommendations from PG&amp;E’s Business Plan, PG&amp;E has outlined the following next steps to improve portfolio cost-effectiveness:</w:t>
      </w:r>
    </w:p>
    <w:p w14:paraId="53F2F686" w14:textId="77777777" w:rsidR="00E64E3E" w:rsidRDefault="00E64E3E" w:rsidP="00405F9C">
      <w:pPr>
        <w:rPr>
          <w:rFonts w:cs="Arial"/>
          <w:color w:val="000000"/>
        </w:rPr>
      </w:pPr>
    </w:p>
    <w:p w14:paraId="30B21944" w14:textId="48127D75" w:rsidR="00E64E3E" w:rsidRDefault="009A1C95" w:rsidP="001C75D7">
      <w:pPr>
        <w:pStyle w:val="ListParagraph"/>
        <w:numPr>
          <w:ilvl w:val="0"/>
          <w:numId w:val="30"/>
        </w:numPr>
        <w:jc w:val="both"/>
      </w:pPr>
      <w:r>
        <w:t xml:space="preserve">Update </w:t>
      </w:r>
      <w:r w:rsidR="001C75D7">
        <w:t>cost-effectiveness</w:t>
      </w:r>
      <w:r>
        <w:t xml:space="preserve"> inputs </w:t>
      </w:r>
      <w:r w:rsidR="001C75D7">
        <w:t>within the current policy framework</w:t>
      </w:r>
    </w:p>
    <w:p w14:paraId="7391D0ED" w14:textId="0863CE1E" w:rsidR="001C75D7" w:rsidRDefault="009A1C95" w:rsidP="001C75D7">
      <w:pPr>
        <w:pStyle w:val="ListParagraph"/>
        <w:numPr>
          <w:ilvl w:val="1"/>
          <w:numId w:val="30"/>
        </w:numPr>
        <w:jc w:val="both"/>
      </w:pPr>
      <w:r>
        <w:t xml:space="preserve">Drive out </w:t>
      </w:r>
      <w:r w:rsidR="001C75D7">
        <w:t>inaccurate and non-EE measure costs</w:t>
      </w:r>
    </w:p>
    <w:p w14:paraId="1FC1FF7E" w14:textId="3DB29043" w:rsidR="001C75D7" w:rsidRDefault="001C75D7" w:rsidP="001C75D7">
      <w:pPr>
        <w:pStyle w:val="ListParagraph"/>
        <w:numPr>
          <w:ilvl w:val="1"/>
          <w:numId w:val="30"/>
        </w:numPr>
        <w:jc w:val="both"/>
      </w:pPr>
      <w:r>
        <w:t xml:space="preserve">Update outdated NTG </w:t>
      </w:r>
      <w:r w:rsidR="009A1C95">
        <w:t xml:space="preserve">and EUL </w:t>
      </w:r>
      <w:r>
        <w:t>values</w:t>
      </w:r>
      <w:r w:rsidR="009A1C95">
        <w:t xml:space="preserve"> as appropriate</w:t>
      </w:r>
    </w:p>
    <w:p w14:paraId="70B17CF9" w14:textId="79EF0E9A" w:rsidR="001C75D7" w:rsidRDefault="001C75D7" w:rsidP="001C75D7">
      <w:pPr>
        <w:pStyle w:val="ListParagraph"/>
        <w:numPr>
          <w:ilvl w:val="1"/>
          <w:numId w:val="30"/>
        </w:numPr>
        <w:jc w:val="both"/>
      </w:pPr>
      <w:r>
        <w:t>Incorporate On-Bill Financing savings</w:t>
      </w:r>
    </w:p>
    <w:p w14:paraId="00433A0E" w14:textId="62C849CD" w:rsidR="001C75D7" w:rsidRDefault="001C75D7" w:rsidP="001C75D7">
      <w:pPr>
        <w:pStyle w:val="ListParagraph"/>
        <w:numPr>
          <w:ilvl w:val="0"/>
          <w:numId w:val="30"/>
        </w:numPr>
        <w:jc w:val="both"/>
      </w:pPr>
      <w:r>
        <w:t>Reduce non-incentive spending where needed</w:t>
      </w:r>
    </w:p>
    <w:p w14:paraId="38C41C7C" w14:textId="42B6E8D3" w:rsidR="001C75D7" w:rsidRDefault="001C75D7" w:rsidP="001C75D7">
      <w:pPr>
        <w:pStyle w:val="ListParagraph"/>
        <w:numPr>
          <w:ilvl w:val="0"/>
          <w:numId w:val="30"/>
        </w:numPr>
        <w:jc w:val="both"/>
      </w:pPr>
      <w:r>
        <w:t>Targeted program changes to existing programs</w:t>
      </w:r>
    </w:p>
    <w:p w14:paraId="7E0EB88C" w14:textId="2F01ADE1" w:rsidR="001C75D7" w:rsidRDefault="001C75D7" w:rsidP="001C75D7">
      <w:pPr>
        <w:pStyle w:val="ListParagraph"/>
        <w:numPr>
          <w:ilvl w:val="1"/>
          <w:numId w:val="30"/>
        </w:numPr>
        <w:jc w:val="both"/>
      </w:pPr>
      <w:r>
        <w:t>Focused direct install (DI)</w:t>
      </w:r>
    </w:p>
    <w:p w14:paraId="27F9B02C" w14:textId="0DBF5A6D" w:rsidR="001C75D7" w:rsidRDefault="001C75D7" w:rsidP="001C75D7">
      <w:pPr>
        <w:pStyle w:val="ListParagraph"/>
        <w:numPr>
          <w:ilvl w:val="0"/>
          <w:numId w:val="30"/>
        </w:numPr>
        <w:jc w:val="both"/>
      </w:pPr>
      <w:r>
        <w:t>Solicitation of new programs</w:t>
      </w:r>
    </w:p>
    <w:p w14:paraId="00FCB203" w14:textId="2102EB9F" w:rsidR="001C75D7" w:rsidRDefault="001E68AD" w:rsidP="001C75D7">
      <w:pPr>
        <w:pStyle w:val="ListParagraph"/>
        <w:numPr>
          <w:ilvl w:val="1"/>
          <w:numId w:val="30"/>
        </w:numPr>
        <w:jc w:val="both"/>
      </w:pPr>
      <w:r>
        <w:t xml:space="preserve">Assess opportunities for innovative </w:t>
      </w:r>
      <w:r w:rsidR="00947C8A">
        <w:t>third-party</w:t>
      </w:r>
      <w:r>
        <w:t xml:space="preserve"> solutions</w:t>
      </w:r>
    </w:p>
    <w:p w14:paraId="453184EF" w14:textId="379B98BB" w:rsidR="001C75D7" w:rsidRDefault="001C75D7" w:rsidP="001C75D7">
      <w:pPr>
        <w:pStyle w:val="ListParagraph"/>
        <w:numPr>
          <w:ilvl w:val="0"/>
          <w:numId w:val="30"/>
        </w:numPr>
        <w:jc w:val="both"/>
      </w:pPr>
      <w:r>
        <w:t>Phase III cost-effectiveness policy changes</w:t>
      </w:r>
    </w:p>
    <w:p w14:paraId="673F0051" w14:textId="39247AFE" w:rsidR="001C75D7" w:rsidRDefault="001C75D7" w:rsidP="001C75D7">
      <w:pPr>
        <w:pStyle w:val="ListParagraph"/>
        <w:numPr>
          <w:ilvl w:val="1"/>
          <w:numId w:val="30"/>
        </w:numPr>
        <w:jc w:val="both"/>
      </w:pPr>
      <w:r>
        <w:t>Market Transformation</w:t>
      </w:r>
    </w:p>
    <w:p w14:paraId="478F3AB0" w14:textId="19487AF7" w:rsidR="001C75D7" w:rsidRDefault="001C75D7" w:rsidP="001C75D7">
      <w:pPr>
        <w:pStyle w:val="ListParagraph"/>
        <w:numPr>
          <w:ilvl w:val="1"/>
          <w:numId w:val="30"/>
        </w:numPr>
        <w:jc w:val="both"/>
      </w:pPr>
      <w:r>
        <w:t>Accounting for “non-resource” programs that support larger state policy goals</w:t>
      </w:r>
    </w:p>
    <w:p w14:paraId="243AE29C" w14:textId="77777777" w:rsidR="007D4727" w:rsidRDefault="007D4727" w:rsidP="007D4727">
      <w:pPr>
        <w:pStyle w:val="ListParagraph"/>
        <w:numPr>
          <w:ilvl w:val="1"/>
          <w:numId w:val="30"/>
        </w:numPr>
        <w:jc w:val="both"/>
      </w:pPr>
      <w:r>
        <w:t>Determine the role of the PAC as a legitimate arm of the “Dual Test”</w:t>
      </w:r>
    </w:p>
    <w:p w14:paraId="0CA20F5B" w14:textId="516197A7" w:rsidR="001C75D7" w:rsidRDefault="001C75D7" w:rsidP="001C75D7">
      <w:pPr>
        <w:pStyle w:val="ListParagraph"/>
        <w:numPr>
          <w:ilvl w:val="1"/>
          <w:numId w:val="30"/>
        </w:numPr>
        <w:jc w:val="both"/>
      </w:pPr>
      <w:r>
        <w:t xml:space="preserve">Continued </w:t>
      </w:r>
      <w:r w:rsidR="007D4727">
        <w:t>vigilance over</w:t>
      </w:r>
      <w:r>
        <w:t xml:space="preserve"> cost-effectiveness inputs, </w:t>
      </w:r>
      <w:r w:rsidR="007D4727">
        <w:t xml:space="preserve">particularly </w:t>
      </w:r>
      <w:r>
        <w:t>measure costs</w:t>
      </w:r>
    </w:p>
    <w:p w14:paraId="3FD9F39B" w14:textId="2A881A90" w:rsidR="000633B8" w:rsidDel="004955AC" w:rsidRDefault="00086581" w:rsidP="00E55C97">
      <w:pPr>
        <w:overflowPunct/>
        <w:jc w:val="both"/>
        <w:textAlignment w:val="auto"/>
        <w:rPr>
          <w:b/>
          <w:color w:val="000000"/>
        </w:rPr>
      </w:pPr>
      <w:r w:rsidRPr="00086581">
        <w:rPr>
          <w:rFonts w:cs="Arial"/>
          <w:b/>
          <w:bCs/>
          <w:szCs w:val="24"/>
        </w:rPr>
        <w:tab/>
      </w:r>
      <w:r w:rsidR="00492E57" w:rsidRPr="00492E57">
        <w:rPr>
          <w:rFonts w:cs="Arial"/>
          <w:szCs w:val="21"/>
        </w:rPr>
        <w:t xml:space="preserve"> </w:t>
      </w:r>
    </w:p>
    <w:p w14:paraId="4868CCA0" w14:textId="77777777" w:rsidR="00500621" w:rsidRDefault="00500621" w:rsidP="00235F2B">
      <w:pPr>
        <w:rPr>
          <w:b/>
          <w:color w:val="000000"/>
        </w:rPr>
      </w:pPr>
    </w:p>
    <w:p w14:paraId="03873233" w14:textId="488E9F4E" w:rsidR="008E6649" w:rsidRPr="00740F34" w:rsidRDefault="00A46933" w:rsidP="00F31737">
      <w:pPr>
        <w:pStyle w:val="Heading2"/>
        <w:numPr>
          <w:ilvl w:val="0"/>
          <w:numId w:val="9"/>
        </w:numPr>
        <w:rPr>
          <w:color w:val="000000"/>
        </w:rPr>
      </w:pPr>
      <w:r w:rsidRPr="00A91DD1">
        <w:t>201</w:t>
      </w:r>
      <w:r w:rsidR="00E55C97">
        <w:rPr>
          <w:color w:val="000000"/>
        </w:rPr>
        <w:t>9</w:t>
      </w:r>
      <w:r>
        <w:rPr>
          <w:color w:val="000000"/>
        </w:rPr>
        <w:t xml:space="preserve"> </w:t>
      </w:r>
      <w:r w:rsidR="008E6649" w:rsidRPr="00740F34">
        <w:rPr>
          <w:color w:val="000000"/>
        </w:rPr>
        <w:t>Program</w:t>
      </w:r>
      <w:r w:rsidR="00685585">
        <w:rPr>
          <w:color w:val="000000"/>
        </w:rPr>
        <w:t xml:space="preserve"> and Portfolio</w:t>
      </w:r>
      <w:r>
        <w:rPr>
          <w:color w:val="000000"/>
        </w:rPr>
        <w:t xml:space="preserve"> Change</w:t>
      </w:r>
      <w:r w:rsidR="008E6649" w:rsidRPr="00740F34">
        <w:rPr>
          <w:color w:val="000000"/>
        </w:rPr>
        <w:t>s</w:t>
      </w:r>
    </w:p>
    <w:p w14:paraId="749D86CC" w14:textId="77777777" w:rsidR="008E6649" w:rsidRDefault="008E6649" w:rsidP="00150AC1">
      <w:pPr>
        <w:jc w:val="both"/>
        <w:rPr>
          <w:b/>
        </w:rPr>
      </w:pPr>
    </w:p>
    <w:p w14:paraId="666996CE" w14:textId="34F33064" w:rsidR="00D373D0" w:rsidRDefault="00F03F19" w:rsidP="001A03CC">
      <w:pPr>
        <w:jc w:val="both"/>
      </w:pPr>
      <w:r>
        <w:t>I</w:t>
      </w:r>
      <w:r w:rsidR="008E6649">
        <w:t>n this section, PG&amp;E identifies changes to PG&amp;E’s proposed programmatic activity in compliance with the R</w:t>
      </w:r>
      <w:r w:rsidR="00A90A86">
        <w:t xml:space="preserve">olling </w:t>
      </w:r>
      <w:r w:rsidR="008E6649">
        <w:t>P</w:t>
      </w:r>
      <w:r w:rsidR="00A90A86">
        <w:t>ortfolio</w:t>
      </w:r>
      <w:r w:rsidR="008E6649">
        <w:t xml:space="preserve"> Decision</w:t>
      </w:r>
      <w:r w:rsidR="003A7CCF">
        <w:rPr>
          <w:rStyle w:val="FootnoteReference"/>
        </w:rPr>
        <w:footnoteReference w:id="20"/>
      </w:r>
      <w:r w:rsidR="003A7CCF">
        <w:t xml:space="preserve"> </w:t>
      </w:r>
      <w:r w:rsidR="004F383A">
        <w:t>and Business Plan Decision.</w:t>
      </w:r>
      <w:r w:rsidR="004F383A">
        <w:rPr>
          <w:rStyle w:val="FootnoteReference"/>
        </w:rPr>
        <w:footnoteReference w:id="21"/>
      </w:r>
      <w:r w:rsidR="00F31737">
        <w:t xml:space="preserve"> </w:t>
      </w:r>
      <w:r w:rsidR="004F3C7A">
        <w:t>These changes reflect the substantial shifts necessary to achieve a higher TRC, including:</w:t>
      </w:r>
    </w:p>
    <w:p w14:paraId="70942E90" w14:textId="725980AA" w:rsidR="004F3C7A" w:rsidRDefault="004F3C7A" w:rsidP="004F3C7A">
      <w:pPr>
        <w:pStyle w:val="ListParagraph"/>
        <w:numPr>
          <w:ilvl w:val="0"/>
          <w:numId w:val="28"/>
        </w:numPr>
        <w:jc w:val="both"/>
      </w:pPr>
      <w:r>
        <w:t>Program closures/reductions to sunset or scale back low TRC programs in every sector</w:t>
      </w:r>
    </w:p>
    <w:p w14:paraId="665364ED" w14:textId="7F3E5527" w:rsidR="004F3C7A" w:rsidRDefault="004F3C7A" w:rsidP="004F3C7A">
      <w:pPr>
        <w:pStyle w:val="ListParagraph"/>
        <w:numPr>
          <w:ilvl w:val="0"/>
          <w:numId w:val="28"/>
        </w:numPr>
        <w:jc w:val="both"/>
      </w:pPr>
      <w:r>
        <w:t>Tightening contract and administrative spend</w:t>
      </w:r>
      <w:r w:rsidR="00B15BFD">
        <w:t xml:space="preserve"> through budget adjustments </w:t>
      </w:r>
    </w:p>
    <w:p w14:paraId="1CC9AAD8" w14:textId="77777777" w:rsidR="00B15BFD" w:rsidRDefault="00B15BFD" w:rsidP="00B15BFD">
      <w:pPr>
        <w:pStyle w:val="ListParagraph"/>
        <w:numPr>
          <w:ilvl w:val="0"/>
          <w:numId w:val="28"/>
        </w:numPr>
        <w:jc w:val="both"/>
      </w:pPr>
      <w:r>
        <w:t>Ramping up cost-effective deployment of On-Bill Financing (OBF)</w:t>
      </w:r>
    </w:p>
    <w:p w14:paraId="7DD1AEAF" w14:textId="462584C8" w:rsidR="004F3C7A" w:rsidRDefault="00681D6B" w:rsidP="004F3C7A">
      <w:pPr>
        <w:pStyle w:val="ListParagraph"/>
        <w:numPr>
          <w:ilvl w:val="0"/>
          <w:numId w:val="28"/>
        </w:numPr>
        <w:jc w:val="both"/>
      </w:pPr>
      <w:r>
        <w:t xml:space="preserve">Scrutinizing </w:t>
      </w:r>
      <w:r w:rsidR="004F3C7A">
        <w:t>measure costs by</w:t>
      </w:r>
      <w:r w:rsidR="0048323D">
        <w:t xml:space="preserve"> either</w:t>
      </w:r>
      <w:r w:rsidR="004F3C7A">
        <w:t xml:space="preserve"> removing measure costs not associated with energy savings</w:t>
      </w:r>
      <w:r w:rsidR="00A72252">
        <w:t xml:space="preserve"> </w:t>
      </w:r>
      <w:r w:rsidR="0048323D">
        <w:t>or</w:t>
      </w:r>
      <w:r w:rsidR="00A72252">
        <w:t xml:space="preserve"> improving custom measure cost accuracy</w:t>
      </w:r>
    </w:p>
    <w:p w14:paraId="48AF7C21" w14:textId="331A3783" w:rsidR="006F2889" w:rsidRDefault="006F2889" w:rsidP="004F3C7A">
      <w:pPr>
        <w:pStyle w:val="ListParagraph"/>
        <w:jc w:val="both"/>
      </w:pPr>
    </w:p>
    <w:p w14:paraId="1F9DE05A" w14:textId="2336B535" w:rsidR="001A03CC" w:rsidRPr="001A03CC" w:rsidRDefault="006F2889" w:rsidP="001A03CC">
      <w:pPr>
        <w:jc w:val="both"/>
      </w:pPr>
      <w:r>
        <w:t xml:space="preserve">These changes will result in a more focused portfolio that </w:t>
      </w:r>
      <w:r w:rsidR="007D4727">
        <w:t>balances</w:t>
      </w:r>
      <w:r>
        <w:t xml:space="preserve"> savings</w:t>
      </w:r>
      <w:r w:rsidR="007D4727">
        <w:t xml:space="preserve"> goals and cost-effectiveness</w:t>
      </w:r>
      <w:r>
        <w:t xml:space="preserve">. </w:t>
      </w:r>
    </w:p>
    <w:p w14:paraId="06B4A022" w14:textId="4437E5C5" w:rsidR="001A03CC" w:rsidRDefault="001A03CC" w:rsidP="001A03CC">
      <w:pPr>
        <w:jc w:val="both"/>
        <w:rPr>
          <w:color w:val="000000"/>
        </w:rPr>
      </w:pPr>
    </w:p>
    <w:p w14:paraId="7433D63D" w14:textId="627CEE67" w:rsidR="00A72252" w:rsidRPr="000D1F0A" w:rsidRDefault="00A72252" w:rsidP="00A72252">
      <w:pPr>
        <w:pStyle w:val="Heading2"/>
        <w:numPr>
          <w:ilvl w:val="0"/>
          <w:numId w:val="33"/>
        </w:numPr>
        <w:rPr>
          <w:rFonts w:cs="Arial"/>
          <w:color w:val="000000"/>
          <w:u w:val="single"/>
        </w:rPr>
      </w:pPr>
      <w:r>
        <w:t xml:space="preserve">Program Closures and Budget </w:t>
      </w:r>
      <w:r w:rsidR="00423292">
        <w:t>Adjustments</w:t>
      </w:r>
    </w:p>
    <w:p w14:paraId="2F7682FF" w14:textId="431D066D" w:rsidR="00A72252" w:rsidRDefault="00A72252" w:rsidP="001A03CC">
      <w:pPr>
        <w:jc w:val="both"/>
        <w:rPr>
          <w:color w:val="000000"/>
        </w:rPr>
      </w:pPr>
    </w:p>
    <w:p w14:paraId="118F9432" w14:textId="59E03B19" w:rsidR="00C7230B" w:rsidRPr="00765C61" w:rsidRDefault="00C7230B" w:rsidP="00C7230B">
      <w:pPr>
        <w:rPr>
          <w:rFonts w:cs="Arial"/>
          <w:b/>
          <w:color w:val="000000"/>
        </w:rPr>
      </w:pPr>
      <w:r>
        <w:rPr>
          <w:rFonts w:cs="Arial"/>
          <w:b/>
          <w:color w:val="000000"/>
        </w:rPr>
        <w:t>Program Closures</w:t>
      </w:r>
    </w:p>
    <w:p w14:paraId="5A6FFE1C" w14:textId="1025ECC0" w:rsidR="001A03CC" w:rsidRPr="001A03CC" w:rsidRDefault="001A03CC" w:rsidP="001A03CC">
      <w:pPr>
        <w:jc w:val="both"/>
        <w:rPr>
          <w:color w:val="000000"/>
        </w:rPr>
      </w:pPr>
      <w:r>
        <w:rPr>
          <w:color w:val="000000"/>
        </w:rPr>
        <w:t>PG&amp;E plans to sunset the following programs</w:t>
      </w:r>
      <w:r w:rsidR="00E657B0">
        <w:rPr>
          <w:color w:val="000000"/>
        </w:rPr>
        <w:t xml:space="preserve"> for 2019</w:t>
      </w:r>
      <w:r>
        <w:rPr>
          <w:color w:val="000000"/>
        </w:rPr>
        <w:t>:</w:t>
      </w:r>
    </w:p>
    <w:p w14:paraId="15745623" w14:textId="5E30950F" w:rsidR="001A03CC" w:rsidRPr="001A03CC" w:rsidRDefault="001A03CC" w:rsidP="001A03CC">
      <w:pPr>
        <w:pStyle w:val="ListParagraph"/>
        <w:numPr>
          <w:ilvl w:val="0"/>
          <w:numId w:val="17"/>
        </w:numPr>
        <w:ind w:left="720"/>
        <w:jc w:val="both"/>
        <w:rPr>
          <w:color w:val="000000"/>
        </w:rPr>
      </w:pPr>
      <w:r w:rsidRPr="001A03CC">
        <w:rPr>
          <w:color w:val="000000"/>
        </w:rPr>
        <w:t>LED Accelerator (Commercial, PGE210119)</w:t>
      </w:r>
    </w:p>
    <w:p w14:paraId="2B1927A6" w14:textId="559E08E1" w:rsidR="001A03CC" w:rsidRPr="001A03CC" w:rsidRDefault="001A03CC" w:rsidP="001A03CC">
      <w:pPr>
        <w:pStyle w:val="ListParagraph"/>
        <w:numPr>
          <w:ilvl w:val="0"/>
          <w:numId w:val="17"/>
        </w:numPr>
        <w:ind w:left="720"/>
        <w:jc w:val="both"/>
        <w:rPr>
          <w:color w:val="000000"/>
        </w:rPr>
      </w:pPr>
      <w:r w:rsidRPr="001A03CC">
        <w:rPr>
          <w:color w:val="000000"/>
        </w:rPr>
        <w:t>Light Industrial Energy Efficiency (Industrial, PGE210211)</w:t>
      </w:r>
    </w:p>
    <w:p w14:paraId="7F12E836" w14:textId="3069FED9" w:rsidR="001A03CC" w:rsidRPr="001A03CC" w:rsidRDefault="001A03CC" w:rsidP="001A03CC">
      <w:pPr>
        <w:pStyle w:val="ListParagraph"/>
        <w:numPr>
          <w:ilvl w:val="0"/>
          <w:numId w:val="17"/>
        </w:numPr>
        <w:ind w:left="720"/>
        <w:jc w:val="both"/>
        <w:rPr>
          <w:color w:val="000000"/>
        </w:rPr>
      </w:pPr>
      <w:r w:rsidRPr="001A03CC">
        <w:rPr>
          <w:color w:val="000000"/>
        </w:rPr>
        <w:t>California Wastewater Process Optimization (Industrial, PGE21025)</w:t>
      </w:r>
    </w:p>
    <w:p w14:paraId="136368D0" w14:textId="71B68D98" w:rsidR="001A03CC" w:rsidRPr="001A03CC" w:rsidRDefault="001A03CC" w:rsidP="001A03CC">
      <w:pPr>
        <w:pStyle w:val="ListParagraph"/>
        <w:numPr>
          <w:ilvl w:val="0"/>
          <w:numId w:val="17"/>
        </w:numPr>
        <w:ind w:left="720"/>
        <w:jc w:val="both"/>
        <w:rPr>
          <w:color w:val="000000"/>
        </w:rPr>
      </w:pPr>
      <w:r w:rsidRPr="001A03CC">
        <w:rPr>
          <w:color w:val="000000"/>
        </w:rPr>
        <w:t>Industrial Refrigeration Performance Plus (Agricultural, PGE21036)</w:t>
      </w:r>
    </w:p>
    <w:p w14:paraId="67B8BD84" w14:textId="5426DA87" w:rsidR="001A03CC" w:rsidRDefault="001A03CC" w:rsidP="001A03CC">
      <w:pPr>
        <w:pStyle w:val="ListParagraph"/>
        <w:numPr>
          <w:ilvl w:val="0"/>
          <w:numId w:val="17"/>
        </w:numPr>
        <w:ind w:left="720"/>
        <w:jc w:val="both"/>
        <w:rPr>
          <w:color w:val="000000"/>
        </w:rPr>
      </w:pPr>
      <w:r w:rsidRPr="001A03CC">
        <w:rPr>
          <w:color w:val="000000"/>
        </w:rPr>
        <w:lastRenderedPageBreak/>
        <w:t>Residential Upstream HVAC (Residential, Subprogram of PGE21006)</w:t>
      </w:r>
    </w:p>
    <w:p w14:paraId="719A4F59" w14:textId="4A542A04" w:rsidR="00A72252" w:rsidRPr="001A03CC" w:rsidRDefault="00A72252" w:rsidP="001A03CC">
      <w:pPr>
        <w:pStyle w:val="ListParagraph"/>
        <w:numPr>
          <w:ilvl w:val="0"/>
          <w:numId w:val="17"/>
        </w:numPr>
        <w:ind w:left="720"/>
        <w:jc w:val="both"/>
        <w:rPr>
          <w:color w:val="000000"/>
        </w:rPr>
      </w:pPr>
      <w:r>
        <w:rPr>
          <w:color w:val="000000"/>
        </w:rPr>
        <w:t>California Wastewater Process Optimization (Agricultural, PGE21025)</w:t>
      </w:r>
    </w:p>
    <w:p w14:paraId="4DC3BD42" w14:textId="77777777" w:rsidR="007D4727" w:rsidRDefault="007D4727" w:rsidP="001A03CC">
      <w:pPr>
        <w:jc w:val="both"/>
      </w:pPr>
    </w:p>
    <w:p w14:paraId="21F44BA1" w14:textId="3431AB52" w:rsidR="001A03CC" w:rsidRDefault="007D4727" w:rsidP="001A03CC">
      <w:pPr>
        <w:jc w:val="both"/>
        <w:rPr>
          <w:color w:val="000000"/>
        </w:rPr>
      </w:pPr>
      <w:r>
        <w:t xml:space="preserve">Note that </w:t>
      </w:r>
      <w:r>
        <w:rPr>
          <w:color w:val="000000"/>
        </w:rPr>
        <w:t>PG&amp;E has already sunset t</w:t>
      </w:r>
      <w:r w:rsidRPr="001A03CC">
        <w:rPr>
          <w:color w:val="000000"/>
        </w:rPr>
        <w:t xml:space="preserve">he Basic Path of Home Upgrade, Multifamily Energy Efficiency Rebate </w:t>
      </w:r>
      <w:r>
        <w:rPr>
          <w:color w:val="000000"/>
        </w:rPr>
        <w:t>(MFEER) incentives</w:t>
      </w:r>
      <w:r w:rsidRPr="001A03CC">
        <w:rPr>
          <w:color w:val="000000"/>
        </w:rPr>
        <w:t>, the Water Agency Partnerships, and the Code Compliance Incentive Pilot Program</w:t>
      </w:r>
      <w:r>
        <w:rPr>
          <w:color w:val="000000"/>
        </w:rPr>
        <w:t>,</w:t>
      </w:r>
      <w:r w:rsidRPr="001A03CC">
        <w:rPr>
          <w:color w:val="000000"/>
        </w:rPr>
        <w:t xml:space="preserve"> among others.</w:t>
      </w:r>
    </w:p>
    <w:p w14:paraId="35722287" w14:textId="77777777" w:rsidR="007D4727" w:rsidRDefault="007D4727" w:rsidP="00AA1191">
      <w:pPr>
        <w:rPr>
          <w:rFonts w:cs="Arial"/>
          <w:b/>
          <w:color w:val="000000"/>
        </w:rPr>
      </w:pPr>
    </w:p>
    <w:p w14:paraId="649273A8" w14:textId="3D245232" w:rsidR="00C7230B" w:rsidRPr="00AA1191" w:rsidRDefault="00C7230B" w:rsidP="00AA1191">
      <w:pPr>
        <w:rPr>
          <w:color w:val="000000"/>
        </w:rPr>
      </w:pPr>
      <w:r>
        <w:rPr>
          <w:rFonts w:cs="Arial"/>
          <w:b/>
          <w:color w:val="000000"/>
        </w:rPr>
        <w:t xml:space="preserve">Budget </w:t>
      </w:r>
      <w:r w:rsidRPr="00AA1191">
        <w:rPr>
          <w:rFonts w:cs="Arial"/>
          <w:b/>
          <w:color w:val="000000"/>
        </w:rPr>
        <w:t>Adjustments</w:t>
      </w:r>
    </w:p>
    <w:p w14:paraId="34061690" w14:textId="703AAF3E" w:rsidR="001A03CC" w:rsidRPr="00AA1191" w:rsidRDefault="001A03CC" w:rsidP="001A03CC">
      <w:pPr>
        <w:jc w:val="both"/>
        <w:rPr>
          <w:color w:val="000000"/>
        </w:rPr>
      </w:pPr>
      <w:r w:rsidRPr="00AA1191">
        <w:rPr>
          <w:color w:val="000000"/>
        </w:rPr>
        <w:t>PG&amp;E plans to make significant</w:t>
      </w:r>
      <w:r w:rsidR="00A72252" w:rsidRPr="00AA1191">
        <w:rPr>
          <w:color w:val="000000"/>
        </w:rPr>
        <w:t xml:space="preserve"> budget</w:t>
      </w:r>
      <w:r w:rsidRPr="00AA1191">
        <w:rPr>
          <w:color w:val="000000"/>
        </w:rPr>
        <w:t xml:space="preserve"> reductions in the following programs:</w:t>
      </w:r>
    </w:p>
    <w:p w14:paraId="3ABD6E1F" w14:textId="77777777" w:rsidR="001A03CC" w:rsidRPr="00AA1191" w:rsidRDefault="001A03CC" w:rsidP="001A03CC">
      <w:pPr>
        <w:pStyle w:val="ListParagraph"/>
        <w:numPr>
          <w:ilvl w:val="0"/>
          <w:numId w:val="22"/>
        </w:numPr>
        <w:jc w:val="both"/>
        <w:rPr>
          <w:color w:val="000000"/>
        </w:rPr>
      </w:pPr>
      <w:r w:rsidRPr="00AA1191">
        <w:rPr>
          <w:color w:val="000000"/>
        </w:rPr>
        <w:t>Air Conditioning Quality Care (Residential subprogram of PGE21006)</w:t>
      </w:r>
    </w:p>
    <w:p w14:paraId="6D009C28" w14:textId="1DD2FE15" w:rsidR="001A03CC" w:rsidRPr="00AA1191" w:rsidRDefault="001A03CC" w:rsidP="001A03CC">
      <w:pPr>
        <w:pStyle w:val="ListParagraph"/>
        <w:numPr>
          <w:ilvl w:val="0"/>
          <w:numId w:val="22"/>
        </w:numPr>
        <w:jc w:val="both"/>
        <w:rPr>
          <w:color w:val="000000"/>
        </w:rPr>
      </w:pPr>
      <w:r w:rsidRPr="00AA1191">
        <w:rPr>
          <w:color w:val="000000"/>
        </w:rPr>
        <w:t>Energy Upgrade California (Residential, PGE21004)</w:t>
      </w:r>
    </w:p>
    <w:p w14:paraId="12D738FA" w14:textId="77777777" w:rsidR="001A03CC" w:rsidRPr="00AA1191" w:rsidRDefault="001A03CC" w:rsidP="001A03CC">
      <w:pPr>
        <w:pStyle w:val="ListParagraph"/>
        <w:numPr>
          <w:ilvl w:val="0"/>
          <w:numId w:val="22"/>
        </w:numPr>
        <w:jc w:val="both"/>
        <w:rPr>
          <w:color w:val="000000"/>
        </w:rPr>
      </w:pPr>
      <w:r w:rsidRPr="00AA1191">
        <w:rPr>
          <w:color w:val="000000"/>
        </w:rPr>
        <w:t>Primary Lighting (Residential, PGE21041)</w:t>
      </w:r>
    </w:p>
    <w:p w14:paraId="4B738D10" w14:textId="5A16A0CD" w:rsidR="001A03CC" w:rsidRPr="00AA1191" w:rsidRDefault="001A03CC" w:rsidP="001A03CC">
      <w:pPr>
        <w:pStyle w:val="ListParagraph"/>
        <w:numPr>
          <w:ilvl w:val="1"/>
          <w:numId w:val="22"/>
        </w:numPr>
        <w:jc w:val="both"/>
        <w:rPr>
          <w:color w:val="000000"/>
        </w:rPr>
      </w:pPr>
      <w:r w:rsidRPr="00AA1191">
        <w:rPr>
          <w:color w:val="000000"/>
        </w:rPr>
        <w:t>Budget reduced due to sunset measures</w:t>
      </w:r>
      <w:r w:rsidR="00A42A59" w:rsidRPr="00AA1191">
        <w:rPr>
          <w:color w:val="000000"/>
        </w:rPr>
        <w:t xml:space="preserve"> </w:t>
      </w:r>
    </w:p>
    <w:p w14:paraId="5C76969B" w14:textId="77777777" w:rsidR="001A03CC" w:rsidRPr="00AA1191" w:rsidRDefault="001A03CC" w:rsidP="001A03CC">
      <w:pPr>
        <w:pStyle w:val="ListParagraph"/>
        <w:numPr>
          <w:ilvl w:val="0"/>
          <w:numId w:val="22"/>
        </w:numPr>
        <w:jc w:val="both"/>
        <w:rPr>
          <w:color w:val="000000"/>
        </w:rPr>
      </w:pPr>
      <w:r w:rsidRPr="00AA1191">
        <w:rPr>
          <w:color w:val="000000"/>
        </w:rPr>
        <w:t>Plug Load and Appliance Program (Residential, PGE21002)</w:t>
      </w:r>
    </w:p>
    <w:p w14:paraId="0A00CADF" w14:textId="3975A0A2" w:rsidR="001A03CC" w:rsidRPr="00AA1191" w:rsidRDefault="00481F58" w:rsidP="00481F58">
      <w:pPr>
        <w:pStyle w:val="ListParagraph"/>
        <w:numPr>
          <w:ilvl w:val="0"/>
          <w:numId w:val="23"/>
        </w:numPr>
        <w:jc w:val="both"/>
        <w:rPr>
          <w:color w:val="000000"/>
        </w:rPr>
      </w:pPr>
      <w:r w:rsidRPr="00AA1191">
        <w:rPr>
          <w:color w:val="000000"/>
        </w:rPr>
        <w:t xml:space="preserve">Commercial </w:t>
      </w:r>
      <w:r w:rsidR="00DE26D4" w:rsidRPr="00AA1191">
        <w:rPr>
          <w:color w:val="000000"/>
        </w:rPr>
        <w:t>Deemed Incentives (Commercial, PGE21012)</w:t>
      </w:r>
    </w:p>
    <w:p w14:paraId="70A0305B" w14:textId="7D039C22" w:rsidR="00DE26D4" w:rsidRPr="00DE26D4" w:rsidRDefault="00C7230B" w:rsidP="00481F58">
      <w:pPr>
        <w:pStyle w:val="ListParagraph"/>
        <w:numPr>
          <w:ilvl w:val="0"/>
          <w:numId w:val="23"/>
        </w:numPr>
        <w:jc w:val="both"/>
        <w:rPr>
          <w:color w:val="000000"/>
        </w:rPr>
      </w:pPr>
      <w:r w:rsidRPr="00AA1191">
        <w:rPr>
          <w:color w:val="000000"/>
        </w:rPr>
        <w:t>Local government partnership</w:t>
      </w:r>
      <w:r w:rsidR="00DE26D4" w:rsidRPr="00AA1191">
        <w:rPr>
          <w:color w:val="000000"/>
        </w:rPr>
        <w:t xml:space="preserve"> </w:t>
      </w:r>
      <w:r w:rsidRPr="00AA1191">
        <w:rPr>
          <w:color w:val="000000"/>
        </w:rPr>
        <w:t xml:space="preserve">(public sector) </w:t>
      </w:r>
      <w:r w:rsidR="0048323D" w:rsidRPr="00AA1191">
        <w:rPr>
          <w:color w:val="000000"/>
        </w:rPr>
        <w:t>program</w:t>
      </w:r>
      <w:r w:rsidR="00765C86">
        <w:rPr>
          <w:color w:val="000000"/>
        </w:rPr>
        <w:t xml:space="preserve"> contract adjustment review</w:t>
      </w:r>
    </w:p>
    <w:p w14:paraId="5B738056" w14:textId="38B55C46" w:rsidR="001A03CC" w:rsidRDefault="001A03CC" w:rsidP="001A03CC">
      <w:pPr>
        <w:jc w:val="both"/>
        <w:rPr>
          <w:color w:val="000000"/>
        </w:rPr>
      </w:pPr>
    </w:p>
    <w:p w14:paraId="790F4D56" w14:textId="3B09126D" w:rsidR="001A03CC" w:rsidRPr="001A03CC" w:rsidRDefault="00481F58" w:rsidP="001A03CC">
      <w:pPr>
        <w:jc w:val="both"/>
        <w:rPr>
          <w:color w:val="000000"/>
        </w:rPr>
      </w:pPr>
      <w:bookmarkStart w:id="1" w:name="_Hlk520814274"/>
      <w:bookmarkStart w:id="2" w:name="_Hlk520814289"/>
      <w:r>
        <w:rPr>
          <w:color w:val="000000"/>
        </w:rPr>
        <w:t>PG&amp;E plans to increase budgets for the following programs:</w:t>
      </w:r>
    </w:p>
    <w:bookmarkEnd w:id="1"/>
    <w:p w14:paraId="5496FFDC" w14:textId="2C5E7845" w:rsidR="00481F58" w:rsidRDefault="001A03CC" w:rsidP="00481F58">
      <w:pPr>
        <w:pStyle w:val="ListParagraph"/>
        <w:numPr>
          <w:ilvl w:val="0"/>
          <w:numId w:val="23"/>
        </w:numPr>
        <w:jc w:val="both"/>
        <w:rPr>
          <w:color w:val="000000"/>
        </w:rPr>
      </w:pPr>
      <w:r w:rsidRPr="00481F58">
        <w:rPr>
          <w:color w:val="000000"/>
        </w:rPr>
        <w:t>M</w:t>
      </w:r>
      <w:r w:rsidR="00481F58">
        <w:rPr>
          <w:color w:val="000000"/>
        </w:rPr>
        <w:t>iddle Income Direct Install (MID</w:t>
      </w:r>
      <w:r w:rsidRPr="00481F58">
        <w:rPr>
          <w:color w:val="000000"/>
        </w:rPr>
        <w:t>I</w:t>
      </w:r>
      <w:r w:rsidR="00481F58">
        <w:rPr>
          <w:color w:val="000000"/>
        </w:rPr>
        <w:t>)</w:t>
      </w:r>
      <w:r w:rsidRPr="00481F58">
        <w:rPr>
          <w:color w:val="000000"/>
        </w:rPr>
        <w:t xml:space="preserve"> (Residential, PGE210011</w:t>
      </w:r>
      <w:r w:rsidR="00481F58">
        <w:rPr>
          <w:color w:val="000000"/>
        </w:rPr>
        <w:t>)</w:t>
      </w:r>
    </w:p>
    <w:p w14:paraId="490FA5E8" w14:textId="3BB2A643" w:rsidR="00C7230B" w:rsidRPr="00E657B0" w:rsidRDefault="005D52E4" w:rsidP="00E657B0">
      <w:pPr>
        <w:pStyle w:val="ListParagraph"/>
        <w:numPr>
          <w:ilvl w:val="1"/>
          <w:numId w:val="23"/>
        </w:numPr>
        <w:jc w:val="both"/>
        <w:rPr>
          <w:color w:val="000000"/>
        </w:rPr>
      </w:pPr>
      <w:r w:rsidRPr="00E657B0">
        <w:rPr>
          <w:color w:val="000000"/>
        </w:rPr>
        <w:t>PG&amp;E has revamped MIDI and hopes to expand the program for moderate income, DAC and HTR customers.</w:t>
      </w:r>
    </w:p>
    <w:p w14:paraId="390287EA" w14:textId="5E010C73" w:rsidR="00481F58" w:rsidRDefault="00481F58" w:rsidP="00481F58">
      <w:pPr>
        <w:pStyle w:val="ListParagraph"/>
        <w:numPr>
          <w:ilvl w:val="0"/>
          <w:numId w:val="23"/>
        </w:numPr>
        <w:jc w:val="both"/>
        <w:rPr>
          <w:color w:val="000000"/>
        </w:rPr>
      </w:pPr>
      <w:r>
        <w:rPr>
          <w:color w:val="000000"/>
        </w:rPr>
        <w:t xml:space="preserve">Res Energy Fitness </w:t>
      </w:r>
    </w:p>
    <w:p w14:paraId="694776B6" w14:textId="113FE187" w:rsidR="00E657B0" w:rsidRPr="00AA1191" w:rsidRDefault="005D52E4" w:rsidP="00AA1191">
      <w:pPr>
        <w:pStyle w:val="ListParagraph"/>
        <w:numPr>
          <w:ilvl w:val="1"/>
          <w:numId w:val="23"/>
        </w:numPr>
        <w:jc w:val="both"/>
        <w:rPr>
          <w:color w:val="000000"/>
        </w:rPr>
      </w:pPr>
      <w:r w:rsidRPr="00E657B0">
        <w:rPr>
          <w:color w:val="000000"/>
        </w:rPr>
        <w:t>REF assists customers at risk for high user surcharges. PG&amp;E uses REF to test EE + DR technologies and load shifting options to support the TOU transition.</w:t>
      </w:r>
    </w:p>
    <w:p w14:paraId="183EC5B7" w14:textId="00E66B94" w:rsidR="001A03CC" w:rsidRDefault="001A03CC" w:rsidP="00481F58">
      <w:pPr>
        <w:pStyle w:val="ListParagraph"/>
        <w:numPr>
          <w:ilvl w:val="0"/>
          <w:numId w:val="23"/>
        </w:numPr>
        <w:jc w:val="both"/>
        <w:rPr>
          <w:color w:val="000000"/>
        </w:rPr>
      </w:pPr>
      <w:bookmarkStart w:id="3" w:name="_Hlk520814283"/>
      <w:r w:rsidRPr="00481F58">
        <w:rPr>
          <w:color w:val="000000"/>
        </w:rPr>
        <w:t>Res Pay for Performance</w:t>
      </w:r>
      <w:r w:rsidR="00180000">
        <w:rPr>
          <w:color w:val="000000"/>
        </w:rPr>
        <w:t xml:space="preserve"> (P4P)</w:t>
      </w:r>
      <w:r w:rsidRPr="00481F58">
        <w:rPr>
          <w:color w:val="000000"/>
        </w:rPr>
        <w:t xml:space="preserve"> (Residential, PGE210010)</w:t>
      </w:r>
    </w:p>
    <w:bookmarkEnd w:id="2"/>
    <w:bookmarkEnd w:id="3"/>
    <w:p w14:paraId="77528CB6" w14:textId="4217CBA1" w:rsidR="001C75D7" w:rsidRDefault="001C75D7" w:rsidP="001C75D7">
      <w:pPr>
        <w:numPr>
          <w:ilvl w:val="1"/>
          <w:numId w:val="23"/>
        </w:numPr>
        <w:jc w:val="both"/>
        <w:rPr>
          <w:color w:val="000000"/>
        </w:rPr>
      </w:pPr>
      <w:r w:rsidRPr="001C75D7">
        <w:rPr>
          <w:color w:val="000000"/>
        </w:rPr>
        <w:t>PG&amp;E anticipates at least four P4P aggregators in 2019 with two currently in the field.</w:t>
      </w:r>
    </w:p>
    <w:p w14:paraId="68C8595F" w14:textId="174B4208" w:rsidR="00075F70" w:rsidRPr="007C7A37" w:rsidRDefault="00180000" w:rsidP="00AA1191">
      <w:pPr>
        <w:numPr>
          <w:ilvl w:val="1"/>
          <w:numId w:val="23"/>
        </w:numPr>
        <w:jc w:val="both"/>
        <w:rPr>
          <w:color w:val="000000"/>
        </w:rPr>
      </w:pPr>
      <w:r>
        <w:rPr>
          <w:color w:val="000000"/>
        </w:rPr>
        <w:t>Res P4P can help EE become a competitive resource.</w:t>
      </w:r>
    </w:p>
    <w:p w14:paraId="012BC23F" w14:textId="77FA410F" w:rsidR="001C75D7" w:rsidRDefault="001C75D7" w:rsidP="001C75D7">
      <w:pPr>
        <w:numPr>
          <w:ilvl w:val="0"/>
          <w:numId w:val="23"/>
        </w:numPr>
        <w:jc w:val="both"/>
        <w:rPr>
          <w:color w:val="000000"/>
        </w:rPr>
      </w:pPr>
      <w:r>
        <w:rPr>
          <w:color w:val="000000"/>
        </w:rPr>
        <w:t>On-Bill Financing Non-Incentive Pathway (Finance, PGE21091)</w:t>
      </w:r>
    </w:p>
    <w:p w14:paraId="569EDDED" w14:textId="16596A12" w:rsidR="001C75D7" w:rsidRDefault="001C75D7" w:rsidP="001C75D7">
      <w:pPr>
        <w:numPr>
          <w:ilvl w:val="1"/>
          <w:numId w:val="23"/>
        </w:numPr>
        <w:jc w:val="both"/>
        <w:rPr>
          <w:color w:val="000000"/>
        </w:rPr>
      </w:pPr>
      <w:r>
        <w:rPr>
          <w:color w:val="000000"/>
        </w:rPr>
        <w:t>Heavy interest in OBF</w:t>
      </w:r>
      <w:r w:rsidR="00D04148">
        <w:rPr>
          <w:color w:val="000000"/>
        </w:rPr>
        <w:t xml:space="preserve"> Non-Incentive opportunities</w:t>
      </w:r>
      <w:r>
        <w:rPr>
          <w:color w:val="000000"/>
        </w:rPr>
        <w:t xml:space="preserve"> from large customers</w:t>
      </w:r>
    </w:p>
    <w:p w14:paraId="050186C9" w14:textId="183AAB14" w:rsidR="00C7230B" w:rsidRDefault="00C7230B" w:rsidP="00AA1191">
      <w:pPr>
        <w:ind w:left="1440"/>
        <w:jc w:val="both"/>
        <w:rPr>
          <w:color w:val="000000"/>
        </w:rPr>
      </w:pPr>
    </w:p>
    <w:p w14:paraId="2337C05B" w14:textId="00B98D20" w:rsidR="00C7230B" w:rsidRDefault="00C7230B" w:rsidP="00C7230B">
      <w:pPr>
        <w:rPr>
          <w:rFonts w:cs="Arial"/>
          <w:b/>
          <w:color w:val="000000"/>
        </w:rPr>
      </w:pPr>
      <w:r>
        <w:rPr>
          <w:rFonts w:cs="Arial"/>
          <w:b/>
          <w:color w:val="000000"/>
        </w:rPr>
        <w:t>Public Sector Programs</w:t>
      </w:r>
    </w:p>
    <w:p w14:paraId="56BBA116" w14:textId="3938B49D" w:rsidR="00C7230B" w:rsidRDefault="00C7230B" w:rsidP="00C7230B">
      <w:pPr>
        <w:rPr>
          <w:rFonts w:ascii="Calibri" w:hAnsi="Calibri"/>
          <w:sz w:val="22"/>
        </w:rPr>
      </w:pPr>
      <w:r>
        <w:t xml:space="preserve">The public sector has historically </w:t>
      </w:r>
      <w:r w:rsidR="00765C86">
        <w:t>faced cost-effectiveness challenges</w:t>
      </w:r>
      <w:r w:rsidR="008D706B">
        <w:t>; i</w:t>
      </w:r>
      <w:r w:rsidR="00626BA9">
        <w:t xml:space="preserve">ncreasing cost-effectiveness </w:t>
      </w:r>
      <w:r w:rsidR="008D706B">
        <w:t>has proven</w:t>
      </w:r>
      <w:r>
        <w:t xml:space="preserve"> </w:t>
      </w:r>
      <w:r w:rsidR="00626BA9">
        <w:t xml:space="preserve">difficult and costly for </w:t>
      </w:r>
      <w:r w:rsidR="008D706B">
        <w:t>these</w:t>
      </w:r>
      <w:r w:rsidR="00626BA9">
        <w:t xml:space="preserve"> programs</w:t>
      </w:r>
      <w:r w:rsidR="007C7A37">
        <w:t>. </w:t>
      </w:r>
      <w:r>
        <w:t xml:space="preserve">Through the 2019 ABAL </w:t>
      </w:r>
      <w:r w:rsidR="007C7A37">
        <w:t xml:space="preserve">forecasting </w:t>
      </w:r>
      <w:r>
        <w:t>process, extensive effort has been put forth</w:t>
      </w:r>
      <w:r w:rsidR="007C7A37">
        <w:t xml:space="preserve"> by PG&amp;E and its public-sector program implementers</w:t>
      </w:r>
      <w:r>
        <w:t xml:space="preserve"> to </w:t>
      </w:r>
      <w:r w:rsidR="007C7A37">
        <w:t xml:space="preserve">improve </w:t>
      </w:r>
      <w:r w:rsidR="008D706B">
        <w:t>the</w:t>
      </w:r>
      <w:r w:rsidR="00765C86">
        <w:t xml:space="preserve"> sector</w:t>
      </w:r>
      <w:r w:rsidR="008D706B">
        <w:t>’s</w:t>
      </w:r>
      <w:r w:rsidR="007C7A37">
        <w:t xml:space="preserve"> cost effectiveness.</w:t>
      </w:r>
      <w:r>
        <w:t xml:space="preserve"> </w:t>
      </w:r>
      <w:r w:rsidR="00F261DF">
        <w:t xml:space="preserve">Through those efforts the sector </w:t>
      </w:r>
      <w:r w:rsidR="008D706B">
        <w:t>has been</w:t>
      </w:r>
      <w:r w:rsidR="00F261DF">
        <w:t xml:space="preserve"> able to balance the use of non-resource funding with cost effectiveness while </w:t>
      </w:r>
      <w:r w:rsidR="008D706B">
        <w:t xml:space="preserve">still </w:t>
      </w:r>
      <w:r w:rsidR="00F261DF">
        <w:t>continuin</w:t>
      </w:r>
      <w:r w:rsidR="007E29BD">
        <w:t xml:space="preserve">g to serve </w:t>
      </w:r>
      <w:r w:rsidR="008D706B">
        <w:t>various</w:t>
      </w:r>
      <w:r w:rsidR="007E29BD">
        <w:t xml:space="preserve"> customer</w:t>
      </w:r>
      <w:r w:rsidR="00F261DF">
        <w:t xml:space="preserve"> needs</w:t>
      </w:r>
      <w:r>
        <w:t>.</w:t>
      </w:r>
    </w:p>
    <w:p w14:paraId="771FADC5" w14:textId="77777777" w:rsidR="00C7230B" w:rsidRDefault="00C7230B" w:rsidP="00C7230B"/>
    <w:p w14:paraId="155A442C" w14:textId="636D7096" w:rsidR="00C7230B" w:rsidRDefault="007C7A37" w:rsidP="00C7230B">
      <w:r>
        <w:t xml:space="preserve">PG&amp;E </w:t>
      </w:r>
      <w:r w:rsidR="00C7230B">
        <w:t xml:space="preserve">recognizes the importance </w:t>
      </w:r>
      <w:r w:rsidR="00FB72C6">
        <w:t xml:space="preserve">of </w:t>
      </w:r>
      <w:r w:rsidR="00C7230B">
        <w:t>building</w:t>
      </w:r>
      <w:r w:rsidR="00765C86">
        <w:t xml:space="preserve"> capacity to conduct energy-efficiency activities</w:t>
      </w:r>
      <w:r w:rsidR="00C7230B">
        <w:t xml:space="preserve"> </w:t>
      </w:r>
      <w:r>
        <w:t xml:space="preserve">in the public sector </w:t>
      </w:r>
      <w:r w:rsidR="00C7230B">
        <w:t>and has preserved some non-resource funds to allow local governments to continue their eff</w:t>
      </w:r>
      <w:r>
        <w:t>orts within their communities. </w:t>
      </w:r>
      <w:r w:rsidR="00C7230B">
        <w:t>The list of historic non-resource activities was refined to focu</w:t>
      </w:r>
      <w:r w:rsidR="00626BA9">
        <w:t>s on those that deliver benefits to</w:t>
      </w:r>
      <w:r w:rsidR="00C7230B">
        <w:t xml:space="preserve"> both local </w:t>
      </w:r>
      <w:r w:rsidR="00C7230B">
        <w:lastRenderedPageBreak/>
        <w:t xml:space="preserve">governments and </w:t>
      </w:r>
      <w:r>
        <w:t>PG&amp;E</w:t>
      </w:r>
      <w:r w:rsidR="00C7230B">
        <w:t>. </w:t>
      </w:r>
      <w:r w:rsidR="00626BA9">
        <w:t>P</w:t>
      </w:r>
      <w:r w:rsidR="00C7230B">
        <w:t xml:space="preserve">reserving funding and refining the scope </w:t>
      </w:r>
      <w:r w:rsidR="00626BA9">
        <w:t xml:space="preserve">of non-resource activities will </w:t>
      </w:r>
      <w:r w:rsidR="00C7230B">
        <w:t xml:space="preserve">continue to </w:t>
      </w:r>
      <w:r w:rsidR="00626BA9">
        <w:t>allow</w:t>
      </w:r>
      <w:r w:rsidR="00C7230B">
        <w:t xml:space="preserve"> capacity </w:t>
      </w:r>
      <w:r w:rsidR="00626BA9">
        <w:t xml:space="preserve">to be </w:t>
      </w:r>
      <w:r w:rsidR="00C7230B">
        <w:t>built within the communities</w:t>
      </w:r>
      <w:r w:rsidR="00765C86">
        <w:t xml:space="preserve"> for the pursuit of energy-efficiency</w:t>
      </w:r>
      <w:r w:rsidR="00C7230B">
        <w:t>.</w:t>
      </w:r>
    </w:p>
    <w:p w14:paraId="42F60B26" w14:textId="77777777" w:rsidR="00C7230B" w:rsidRDefault="00C7230B" w:rsidP="00C7230B"/>
    <w:p w14:paraId="74168F5D" w14:textId="42F2ECCA" w:rsidR="00C7230B" w:rsidRDefault="00C7230B" w:rsidP="00C7230B">
      <w:r>
        <w:t>To improve cost effectiveness</w:t>
      </w:r>
      <w:r w:rsidR="007C7A37">
        <w:t>,</w:t>
      </w:r>
      <w:r>
        <w:t xml:space="preserve"> </w:t>
      </w:r>
      <w:r w:rsidR="007C7A37">
        <w:t>PG&amp;E and its public-sector partners have</w:t>
      </w:r>
      <w:r>
        <w:t xml:space="preserve"> looked at both near</w:t>
      </w:r>
      <w:r w:rsidR="007C7A37">
        <w:t>-term and long-term adjustments. Near-</w:t>
      </w:r>
      <w:r>
        <w:t xml:space="preserve">term adjustments </w:t>
      </w:r>
      <w:r w:rsidR="007C7A37">
        <w:t>include</w:t>
      </w:r>
      <w:r>
        <w:t xml:space="preserve"> </w:t>
      </w:r>
      <w:r w:rsidR="007C7A37">
        <w:t xml:space="preserve">immediate program forecast </w:t>
      </w:r>
      <w:r>
        <w:t xml:space="preserve">refinements </w:t>
      </w:r>
      <w:r w:rsidR="007C7A37">
        <w:t>such as optimizing</w:t>
      </w:r>
      <w:r w:rsidR="00765C86">
        <w:t xml:space="preserve"> program</w:t>
      </w:r>
      <w:r>
        <w:t xml:space="preserve"> measure mix</w:t>
      </w:r>
      <w:r w:rsidR="007C7A37">
        <w:t xml:space="preserve">es </w:t>
      </w:r>
      <w:r>
        <w:t>and right-sizing contract budgets. </w:t>
      </w:r>
      <w:r w:rsidR="007C7A37">
        <w:t>Longer-</w:t>
      </w:r>
      <w:r>
        <w:t>term adjustments will require internal or external policy discussions or process modifications. </w:t>
      </w:r>
      <w:r w:rsidR="007C7A37">
        <w:t>TRC improvement opportunities</w:t>
      </w:r>
      <w:r w:rsidR="00626BA9">
        <w:t xml:space="preserve"> such as exploring Deemed Downstream delivery channels in place of Direct Install, where appropriate, </w:t>
      </w:r>
      <w:r>
        <w:t xml:space="preserve">require data and process set-up for both </w:t>
      </w:r>
      <w:r w:rsidR="007C7A37">
        <w:t>PG&amp;E</w:t>
      </w:r>
      <w:r>
        <w:t xml:space="preserve"> and </w:t>
      </w:r>
      <w:r w:rsidR="007C7A37">
        <w:t>the public-sector implementers. </w:t>
      </w:r>
    </w:p>
    <w:p w14:paraId="2086C578" w14:textId="77777777" w:rsidR="00C7230B" w:rsidRDefault="00C7230B" w:rsidP="00C7230B"/>
    <w:p w14:paraId="6D52489C" w14:textId="4F75CDF1" w:rsidR="00C7230B" w:rsidRDefault="00626BA9" w:rsidP="00C7230B">
      <w:r>
        <w:t xml:space="preserve">PG&amp;E intends to continue to encourage implementers to serve the HTR and DAC communities however possible. </w:t>
      </w:r>
      <w:r w:rsidR="00C7230B">
        <w:t>Implementers continue to receive a NTG benefit for serving custome</w:t>
      </w:r>
      <w:r>
        <w:t>rs that meet the HTR eligibility criteria</w:t>
      </w:r>
      <w:r w:rsidR="00C7230B">
        <w:t>.</w:t>
      </w:r>
      <w:r>
        <w:rPr>
          <w:rStyle w:val="FootnoteReference"/>
        </w:rPr>
        <w:footnoteReference w:id="22"/>
      </w:r>
      <w:r w:rsidR="00C7230B">
        <w:t xml:space="preserve"> HTR projects </w:t>
      </w:r>
      <w:r w:rsidR="000F46B4">
        <w:t>may</w:t>
      </w:r>
      <w:r w:rsidR="00C7230B">
        <w:t xml:space="preserve"> also </w:t>
      </w:r>
      <w:r w:rsidR="000F46B4">
        <w:t xml:space="preserve">be </w:t>
      </w:r>
      <w:r w:rsidR="00C7230B">
        <w:t>eligible for an incentive kicker further hel</w:t>
      </w:r>
      <w:r w:rsidR="007C7A37">
        <w:t>ping to drive projects into these communities.  </w:t>
      </w:r>
    </w:p>
    <w:p w14:paraId="08B87579" w14:textId="77777777" w:rsidR="00C7230B" w:rsidRDefault="00C7230B" w:rsidP="00C7230B"/>
    <w:p w14:paraId="277F4C8B" w14:textId="0FBBB4F7" w:rsidR="00C7230B" w:rsidRDefault="00C7230B" w:rsidP="00C7230B">
      <w:r>
        <w:t>Balancing the interests</w:t>
      </w:r>
      <w:r w:rsidR="00765C86">
        <w:t xml:space="preserve"> </w:t>
      </w:r>
      <w:r>
        <w:t xml:space="preserve">of community partners, for-profit implementers, </w:t>
      </w:r>
      <w:r w:rsidR="000F46B4">
        <w:t xml:space="preserve">ratepayers, </w:t>
      </w:r>
      <w:r>
        <w:t xml:space="preserve">the </w:t>
      </w:r>
      <w:r w:rsidR="007C7A37">
        <w:t>CPUC</w:t>
      </w:r>
      <w:r>
        <w:t xml:space="preserve">, </w:t>
      </w:r>
      <w:r w:rsidR="007C7A37">
        <w:t>PG&amp;E</w:t>
      </w:r>
      <w:r w:rsidR="00765C86">
        <w:t>, and associated stakeholders is a complex undertaking.</w:t>
      </w:r>
      <w:r>
        <w:t xml:space="preserve"> </w:t>
      </w:r>
      <w:r w:rsidR="00765C86">
        <w:t>PG&amp;E believes the public-sector component of this 2019 ABAL</w:t>
      </w:r>
      <w:r w:rsidR="007C7A37">
        <w:t xml:space="preserve"> </w:t>
      </w:r>
      <w:r w:rsidR="000F46B4">
        <w:t>thoughtfully balances the</w:t>
      </w:r>
      <w:r w:rsidR="00626BA9">
        <w:t xml:space="preserve"> </w:t>
      </w:r>
      <w:r>
        <w:t>benefit</w:t>
      </w:r>
      <w:r w:rsidR="000F46B4">
        <w:t>s</w:t>
      </w:r>
      <w:r>
        <w:t xml:space="preserve"> to all </w:t>
      </w:r>
      <w:r w:rsidR="007C7A37">
        <w:t>stakeholders.</w:t>
      </w:r>
    </w:p>
    <w:p w14:paraId="6967BF4B" w14:textId="77777777" w:rsidR="00C7230B" w:rsidRPr="001A03CC" w:rsidRDefault="00C7230B" w:rsidP="00C7230B">
      <w:pPr>
        <w:rPr>
          <w:color w:val="000000"/>
        </w:rPr>
      </w:pPr>
    </w:p>
    <w:p w14:paraId="5EC5796B" w14:textId="50768425" w:rsidR="00C7230B" w:rsidRPr="001C75D7" w:rsidRDefault="00C7230B" w:rsidP="00AA1191">
      <w:pPr>
        <w:jc w:val="both"/>
        <w:rPr>
          <w:color w:val="000000"/>
        </w:rPr>
      </w:pPr>
    </w:p>
    <w:p w14:paraId="768FB503" w14:textId="4E864872" w:rsidR="00B15BFD" w:rsidRDefault="00B15BFD" w:rsidP="00B15BFD">
      <w:pPr>
        <w:pStyle w:val="Heading2"/>
        <w:numPr>
          <w:ilvl w:val="0"/>
          <w:numId w:val="34"/>
        </w:numPr>
      </w:pPr>
      <w:r>
        <w:t xml:space="preserve">Ramping Up On-Bill Financing </w:t>
      </w:r>
    </w:p>
    <w:p w14:paraId="50AE1F12" w14:textId="3698454B" w:rsidR="00BE1410" w:rsidRDefault="00A9054B" w:rsidP="00AA1191">
      <w:r>
        <w:t>c</w:t>
      </w:r>
    </w:p>
    <w:p w14:paraId="7253AF91" w14:textId="5A830F60" w:rsidR="00BE1410" w:rsidRPr="00BE1410" w:rsidRDefault="00BE1410" w:rsidP="00AA1191">
      <w:pPr>
        <w:rPr>
          <w:rFonts w:ascii="Calibri" w:hAnsi="Calibri"/>
          <w:sz w:val="22"/>
        </w:rPr>
      </w:pPr>
      <w:r>
        <w:t>As described in PG&amp;E’s business plan, increas</w:t>
      </w:r>
      <w:r w:rsidR="00D04148">
        <w:t xml:space="preserve">ing the supply of, and access to, </w:t>
      </w:r>
      <w:r>
        <w:t>affordable capital for energy efficiency investments is a key change of the current program cycle.</w:t>
      </w:r>
      <w:r w:rsidR="00D04148">
        <w:rPr>
          <w:rStyle w:val="FootnoteReference"/>
        </w:rPr>
        <w:footnoteReference w:id="23"/>
      </w:r>
      <w:r>
        <w:t xml:space="preserve"> PG&amp;E pl</w:t>
      </w:r>
      <w:r w:rsidR="00D04148">
        <w:t>ans to modify the OBF</w:t>
      </w:r>
      <w:r>
        <w:t xml:space="preserve"> program caps and other parameters to ensure that the program can contribute a significant amount to our energy savings goals </w:t>
      </w:r>
      <w:r w:rsidR="00D04148">
        <w:t>and provide third-</w:t>
      </w:r>
      <w:r>
        <w:t>party implementers clear direction on how financing can be included into their program designs.</w:t>
      </w:r>
    </w:p>
    <w:p w14:paraId="0F833B4D" w14:textId="77777777" w:rsidR="00BE1410" w:rsidRDefault="00BE1410" w:rsidP="00AA1191">
      <w:pPr>
        <w:pStyle w:val="ListParagraph"/>
        <w:ind w:left="1080"/>
      </w:pPr>
    </w:p>
    <w:p w14:paraId="3886A28F" w14:textId="021F3811" w:rsidR="00BE1410" w:rsidRDefault="00BE1410" w:rsidP="00AA1191">
      <w:r>
        <w:t>PG&amp;E is currently modifying the OBF program to increase the program caps for</w:t>
      </w:r>
      <w:r w:rsidR="00D04148">
        <w:t xml:space="preserve"> standard loans through a petition for modification to D.</w:t>
      </w:r>
      <w:r>
        <w:t>09-09-047. In addition</w:t>
      </w:r>
      <w:r w:rsidR="00D04148">
        <w:t>,</w:t>
      </w:r>
      <w:r>
        <w:t xml:space="preserve"> PG&amp;E also plans to establish a new sub-program to OBF that would provide non-standard terms and conditions for large, highly cost-effective projects. Projects that can be forecast to have a TRC of 1.5 or higher, which do not fit well within the OBF program, would be eligible to negotiate terms and conditions with PG&amp;E for financing the project with funds from the EE portfolio and have the loan repaid through the PG&amp;E utility bill. Loans will still be provi</w:t>
      </w:r>
      <w:r w:rsidR="00D04148">
        <w:t>ded at 0% up to a maximum of 10-</w:t>
      </w:r>
      <w:r>
        <w:t>year terms</w:t>
      </w:r>
      <w:r w:rsidR="00D04148">
        <w:t>,</w:t>
      </w:r>
      <w:r>
        <w:t xml:space="preserve"> and the customer would not be eligible for other PG&amp;E incentives.</w:t>
      </w:r>
    </w:p>
    <w:p w14:paraId="763F0E76" w14:textId="599043BC" w:rsidR="00B15BFD" w:rsidRDefault="00B15BFD" w:rsidP="00AA1191"/>
    <w:p w14:paraId="0E836B60" w14:textId="77777777" w:rsidR="00A9054B" w:rsidRPr="00AA1191" w:rsidRDefault="00A9054B" w:rsidP="00AA1191"/>
    <w:p w14:paraId="2DC84837" w14:textId="02528291" w:rsidR="00423292" w:rsidRDefault="0048323D" w:rsidP="00B15BFD">
      <w:pPr>
        <w:pStyle w:val="Heading2"/>
        <w:numPr>
          <w:ilvl w:val="0"/>
          <w:numId w:val="34"/>
        </w:numPr>
      </w:pPr>
      <w:r>
        <w:t xml:space="preserve">Measure Cost </w:t>
      </w:r>
      <w:r w:rsidR="004A64A7">
        <w:t>Governance</w:t>
      </w:r>
    </w:p>
    <w:p w14:paraId="32679439" w14:textId="77777777" w:rsidR="00A9054B" w:rsidRPr="00A9054B" w:rsidRDefault="00A9054B" w:rsidP="00A9054B"/>
    <w:p w14:paraId="4C398259" w14:textId="4E319BE2" w:rsidR="001A03CC" w:rsidRDefault="00481F58" w:rsidP="001A03CC">
      <w:pPr>
        <w:jc w:val="both"/>
        <w:rPr>
          <w:color w:val="000000"/>
        </w:rPr>
      </w:pPr>
      <w:r>
        <w:rPr>
          <w:color w:val="000000"/>
        </w:rPr>
        <w:t xml:space="preserve">PG&amp;E has </w:t>
      </w:r>
      <w:r w:rsidR="008D706B">
        <w:rPr>
          <w:color w:val="000000"/>
        </w:rPr>
        <w:t>observed the propensity of certain programs to over-report measure costs</w:t>
      </w:r>
      <w:r w:rsidR="00EF653C">
        <w:rPr>
          <w:color w:val="000000"/>
        </w:rPr>
        <w:t xml:space="preserve">. Projects within these programs often struggle to itemize project costs, </w:t>
      </w:r>
      <w:r w:rsidR="00810A3F">
        <w:rPr>
          <w:color w:val="000000"/>
        </w:rPr>
        <w:t xml:space="preserve">instead opting to report significant quantities of non-EE costs </w:t>
      </w:r>
      <w:r w:rsidR="008D706B">
        <w:rPr>
          <w:color w:val="000000"/>
        </w:rPr>
        <w:t xml:space="preserve">at the detriment of TRC. </w:t>
      </w:r>
      <w:r w:rsidR="00810A3F">
        <w:rPr>
          <w:color w:val="000000"/>
        </w:rPr>
        <w:t xml:space="preserve">PG&amp;E </w:t>
      </w:r>
      <w:r w:rsidR="007E4BE2">
        <w:rPr>
          <w:color w:val="000000"/>
        </w:rPr>
        <w:t>plans to</w:t>
      </w:r>
      <w:r w:rsidR="00810A3F">
        <w:rPr>
          <w:color w:val="000000"/>
        </w:rPr>
        <w:t xml:space="preserve"> scrut</w:t>
      </w:r>
      <w:r w:rsidR="007E4BE2">
        <w:rPr>
          <w:color w:val="000000"/>
        </w:rPr>
        <w:t>inize</w:t>
      </w:r>
      <w:r w:rsidR="00810A3F">
        <w:rPr>
          <w:color w:val="000000"/>
        </w:rPr>
        <w:t xml:space="preserve"> measure costs and </w:t>
      </w:r>
      <w:r w:rsidR="007E4BE2">
        <w:rPr>
          <w:color w:val="000000"/>
        </w:rPr>
        <w:t>will work to exclude those costs that inappropriately inflate measure cost</w:t>
      </w:r>
      <w:r w:rsidR="000F46B4">
        <w:rPr>
          <w:color w:val="000000"/>
        </w:rPr>
        <w:t>, consistent with current policy</w:t>
      </w:r>
      <w:r w:rsidR="007E4BE2">
        <w:rPr>
          <w:color w:val="000000"/>
        </w:rPr>
        <w:t xml:space="preserve">. As a result, PG&amp;E </w:t>
      </w:r>
      <w:r w:rsidR="008D706B">
        <w:rPr>
          <w:color w:val="000000"/>
        </w:rPr>
        <w:t>is forecasting</w:t>
      </w:r>
      <w:r>
        <w:rPr>
          <w:color w:val="000000"/>
        </w:rPr>
        <w:t xml:space="preserve"> reduced measure costs for the following programs</w:t>
      </w:r>
      <w:r w:rsidR="001C75D7">
        <w:rPr>
          <w:color w:val="000000"/>
        </w:rPr>
        <w:t xml:space="preserve">, </w:t>
      </w:r>
      <w:r w:rsidR="004A64A7">
        <w:rPr>
          <w:color w:val="000000"/>
        </w:rPr>
        <w:t xml:space="preserve">in line with process evaluation findings, </w:t>
      </w:r>
      <w:r w:rsidR="001C75D7">
        <w:rPr>
          <w:color w:val="000000"/>
        </w:rPr>
        <w:t>due to</w:t>
      </w:r>
      <w:r w:rsidR="00A72252">
        <w:rPr>
          <w:color w:val="000000"/>
        </w:rPr>
        <w:t xml:space="preserve"> </w:t>
      </w:r>
      <w:r w:rsidR="001C75D7">
        <w:rPr>
          <w:color w:val="000000"/>
        </w:rPr>
        <w:t>substantial non-EE costs</w:t>
      </w:r>
      <w:r>
        <w:rPr>
          <w:color w:val="000000"/>
        </w:rPr>
        <w:t>:</w:t>
      </w:r>
    </w:p>
    <w:p w14:paraId="3073493D" w14:textId="77777777" w:rsidR="00481F58" w:rsidRDefault="00481F58" w:rsidP="00481F58">
      <w:pPr>
        <w:pStyle w:val="ListParagraph"/>
        <w:numPr>
          <w:ilvl w:val="0"/>
          <w:numId w:val="26"/>
        </w:numPr>
        <w:jc w:val="both"/>
        <w:rPr>
          <w:color w:val="000000"/>
        </w:rPr>
      </w:pPr>
      <w:r>
        <w:rPr>
          <w:color w:val="000000"/>
        </w:rPr>
        <w:t>Deep Retrofit programs, including:</w:t>
      </w:r>
    </w:p>
    <w:p w14:paraId="56A88BD0" w14:textId="77777777" w:rsidR="00481F58" w:rsidRDefault="001A03CC" w:rsidP="00481F58">
      <w:pPr>
        <w:pStyle w:val="ListParagraph"/>
        <w:numPr>
          <w:ilvl w:val="1"/>
          <w:numId w:val="26"/>
        </w:numPr>
        <w:jc w:val="both"/>
        <w:rPr>
          <w:color w:val="000000"/>
        </w:rPr>
      </w:pPr>
      <w:r w:rsidRPr="00481F58">
        <w:rPr>
          <w:color w:val="000000"/>
        </w:rPr>
        <w:t xml:space="preserve">Energy Upgrade California </w:t>
      </w:r>
      <w:r w:rsidR="00481F58" w:rsidRPr="00481F58">
        <w:rPr>
          <w:color w:val="000000"/>
        </w:rPr>
        <w:t xml:space="preserve">(Residential, </w:t>
      </w:r>
      <w:r w:rsidRPr="00481F58">
        <w:rPr>
          <w:color w:val="000000"/>
        </w:rPr>
        <w:t>PGE21004</w:t>
      </w:r>
      <w:r w:rsidR="00481F58" w:rsidRPr="00481F58">
        <w:rPr>
          <w:color w:val="000000"/>
        </w:rPr>
        <w:t>)</w:t>
      </w:r>
    </w:p>
    <w:p w14:paraId="7F69BEB3" w14:textId="3CD8725F" w:rsidR="00481F58" w:rsidRPr="00481F58" w:rsidRDefault="001A03CC" w:rsidP="00481F58">
      <w:pPr>
        <w:pStyle w:val="ListParagraph"/>
        <w:numPr>
          <w:ilvl w:val="1"/>
          <w:numId w:val="26"/>
        </w:numPr>
        <w:jc w:val="both"/>
        <w:rPr>
          <w:color w:val="000000"/>
        </w:rPr>
      </w:pPr>
      <w:r w:rsidRPr="00481F58">
        <w:rPr>
          <w:color w:val="000000"/>
        </w:rPr>
        <w:t xml:space="preserve">Multifamily Upgrade Program </w:t>
      </w:r>
      <w:r w:rsidR="00481F58" w:rsidRPr="00481F58">
        <w:rPr>
          <w:color w:val="000000"/>
        </w:rPr>
        <w:t>(Residential, PGE</w:t>
      </w:r>
      <w:r w:rsidRPr="00481F58">
        <w:rPr>
          <w:color w:val="000000"/>
        </w:rPr>
        <w:t>21003</w:t>
      </w:r>
      <w:r w:rsidR="00481F58" w:rsidRPr="00481F58">
        <w:rPr>
          <w:color w:val="000000"/>
        </w:rPr>
        <w:t>)</w:t>
      </w:r>
    </w:p>
    <w:p w14:paraId="4D1D5C15" w14:textId="60361660" w:rsidR="00481F58" w:rsidRDefault="00481F58" w:rsidP="001A03CC">
      <w:pPr>
        <w:pStyle w:val="ListParagraph"/>
        <w:numPr>
          <w:ilvl w:val="0"/>
          <w:numId w:val="25"/>
        </w:numPr>
        <w:ind w:left="720"/>
        <w:jc w:val="both"/>
        <w:rPr>
          <w:color w:val="000000"/>
        </w:rPr>
      </w:pPr>
      <w:r>
        <w:rPr>
          <w:color w:val="000000"/>
        </w:rPr>
        <w:t>New Construction programs, including:</w:t>
      </w:r>
    </w:p>
    <w:p w14:paraId="2492F737" w14:textId="1636B8CF" w:rsidR="00481F58" w:rsidRDefault="001A03CC" w:rsidP="00481F58">
      <w:pPr>
        <w:pStyle w:val="ListParagraph"/>
        <w:numPr>
          <w:ilvl w:val="1"/>
          <w:numId w:val="25"/>
        </w:numPr>
        <w:ind w:left="1440"/>
        <w:jc w:val="both"/>
        <w:rPr>
          <w:color w:val="000000"/>
        </w:rPr>
      </w:pPr>
      <w:r w:rsidRPr="00481F58">
        <w:rPr>
          <w:color w:val="000000"/>
        </w:rPr>
        <w:t xml:space="preserve">Residential New Construction </w:t>
      </w:r>
      <w:r w:rsidR="006A5604">
        <w:rPr>
          <w:color w:val="000000"/>
        </w:rPr>
        <w:t>(</w:t>
      </w:r>
      <w:r w:rsidRPr="00481F58">
        <w:rPr>
          <w:color w:val="000000"/>
        </w:rPr>
        <w:t>PGE21005</w:t>
      </w:r>
      <w:r w:rsidR="006A5604">
        <w:rPr>
          <w:color w:val="000000"/>
        </w:rPr>
        <w:t>)</w:t>
      </w:r>
    </w:p>
    <w:p w14:paraId="28703FE3" w14:textId="49E1D25F" w:rsidR="00481F58" w:rsidRDefault="001A03CC" w:rsidP="00481F58">
      <w:pPr>
        <w:pStyle w:val="ListParagraph"/>
        <w:numPr>
          <w:ilvl w:val="1"/>
          <w:numId w:val="25"/>
        </w:numPr>
        <w:ind w:left="1440"/>
        <w:jc w:val="both"/>
        <w:rPr>
          <w:color w:val="000000"/>
        </w:rPr>
      </w:pPr>
      <w:r w:rsidRPr="00481F58">
        <w:rPr>
          <w:color w:val="000000"/>
        </w:rPr>
        <w:t xml:space="preserve">California New Homes Multifamily </w:t>
      </w:r>
      <w:r w:rsidR="006A5604">
        <w:rPr>
          <w:color w:val="000000"/>
        </w:rPr>
        <w:t>(</w:t>
      </w:r>
      <w:r w:rsidRPr="00481F58">
        <w:rPr>
          <w:color w:val="000000"/>
        </w:rPr>
        <w:t>PGE21007</w:t>
      </w:r>
      <w:r w:rsidR="006A5604">
        <w:rPr>
          <w:color w:val="000000"/>
        </w:rPr>
        <w:t>)</w:t>
      </w:r>
    </w:p>
    <w:p w14:paraId="5205A563" w14:textId="4C5F6066" w:rsidR="00A72252" w:rsidRPr="00AA1191" w:rsidRDefault="001A03CC" w:rsidP="007E4BE2">
      <w:pPr>
        <w:pStyle w:val="ListParagraph"/>
        <w:numPr>
          <w:ilvl w:val="1"/>
          <w:numId w:val="25"/>
        </w:numPr>
        <w:ind w:left="1440"/>
        <w:jc w:val="both"/>
        <w:rPr>
          <w:color w:val="000000"/>
        </w:rPr>
      </w:pPr>
      <w:r w:rsidRPr="007E4BE2">
        <w:rPr>
          <w:color w:val="000000"/>
        </w:rPr>
        <w:t xml:space="preserve">Savings By Design </w:t>
      </w:r>
      <w:r w:rsidR="006A5604" w:rsidRPr="007E4BE2">
        <w:rPr>
          <w:color w:val="000000"/>
        </w:rPr>
        <w:t>(</w:t>
      </w:r>
      <w:r w:rsidRPr="007E4BE2">
        <w:rPr>
          <w:color w:val="000000"/>
        </w:rPr>
        <w:t>PGE211025</w:t>
      </w:r>
      <w:r w:rsidR="006A5604" w:rsidRPr="007E4BE2">
        <w:rPr>
          <w:color w:val="000000"/>
        </w:rPr>
        <w:t>)</w:t>
      </w:r>
    </w:p>
    <w:p w14:paraId="6D44AC49" w14:textId="77777777" w:rsidR="00481F58" w:rsidRDefault="00481F58" w:rsidP="00481F58">
      <w:pPr>
        <w:pStyle w:val="ListParagraph"/>
        <w:numPr>
          <w:ilvl w:val="0"/>
          <w:numId w:val="25"/>
        </w:numPr>
        <w:ind w:left="720"/>
        <w:jc w:val="both"/>
        <w:rPr>
          <w:color w:val="000000"/>
        </w:rPr>
      </w:pPr>
      <w:r>
        <w:rPr>
          <w:color w:val="000000"/>
        </w:rPr>
        <w:t>IALC Custom programs, including:</w:t>
      </w:r>
      <w:r w:rsidR="001A03CC" w:rsidRPr="00481F58">
        <w:rPr>
          <w:color w:val="000000"/>
        </w:rPr>
        <w:t xml:space="preserve"> </w:t>
      </w:r>
    </w:p>
    <w:p w14:paraId="6B38818E" w14:textId="61E63AFC" w:rsidR="00481F58" w:rsidRDefault="001A03CC" w:rsidP="00481F58">
      <w:pPr>
        <w:pStyle w:val="ListParagraph"/>
        <w:numPr>
          <w:ilvl w:val="1"/>
          <w:numId w:val="25"/>
        </w:numPr>
        <w:ind w:left="1440"/>
        <w:jc w:val="both"/>
        <w:rPr>
          <w:color w:val="000000"/>
        </w:rPr>
      </w:pPr>
      <w:r w:rsidRPr="00481F58">
        <w:rPr>
          <w:color w:val="000000"/>
        </w:rPr>
        <w:t xml:space="preserve">Agricultural Calculated Incentives </w:t>
      </w:r>
      <w:r w:rsidR="006A5604">
        <w:rPr>
          <w:color w:val="000000"/>
        </w:rPr>
        <w:t>(</w:t>
      </w:r>
      <w:r w:rsidRPr="00481F58">
        <w:rPr>
          <w:color w:val="000000"/>
        </w:rPr>
        <w:t>PGE21031</w:t>
      </w:r>
      <w:r w:rsidR="006A5604">
        <w:rPr>
          <w:color w:val="000000"/>
        </w:rPr>
        <w:t>)</w:t>
      </w:r>
    </w:p>
    <w:p w14:paraId="4543165D" w14:textId="644BBB67" w:rsidR="00481F58" w:rsidRDefault="001A03CC" w:rsidP="00481F58">
      <w:pPr>
        <w:pStyle w:val="ListParagraph"/>
        <w:numPr>
          <w:ilvl w:val="1"/>
          <w:numId w:val="25"/>
        </w:numPr>
        <w:ind w:left="1440"/>
        <w:jc w:val="both"/>
        <w:rPr>
          <w:color w:val="000000"/>
        </w:rPr>
      </w:pPr>
      <w:r w:rsidRPr="00481F58">
        <w:rPr>
          <w:color w:val="000000"/>
        </w:rPr>
        <w:t xml:space="preserve">Commercial Calculated Incentives </w:t>
      </w:r>
      <w:r w:rsidR="006A5604">
        <w:rPr>
          <w:color w:val="000000"/>
        </w:rPr>
        <w:t>(</w:t>
      </w:r>
      <w:r w:rsidRPr="00481F58">
        <w:rPr>
          <w:color w:val="000000"/>
        </w:rPr>
        <w:t>PGE21011</w:t>
      </w:r>
      <w:r w:rsidR="006A5604">
        <w:rPr>
          <w:color w:val="000000"/>
        </w:rPr>
        <w:t>)</w:t>
      </w:r>
    </w:p>
    <w:p w14:paraId="1CDFC14D" w14:textId="2F53A5E6" w:rsidR="001A03CC" w:rsidRPr="00481F58" w:rsidRDefault="001A03CC" w:rsidP="00481F58">
      <w:pPr>
        <w:pStyle w:val="ListParagraph"/>
        <w:numPr>
          <w:ilvl w:val="1"/>
          <w:numId w:val="25"/>
        </w:numPr>
        <w:ind w:left="1440"/>
        <w:jc w:val="both"/>
        <w:rPr>
          <w:color w:val="000000"/>
        </w:rPr>
      </w:pPr>
      <w:r w:rsidRPr="00481F58">
        <w:rPr>
          <w:color w:val="000000"/>
        </w:rPr>
        <w:t xml:space="preserve">Industrial Calculated Incentives </w:t>
      </w:r>
      <w:r w:rsidR="006A5604">
        <w:rPr>
          <w:color w:val="000000"/>
        </w:rPr>
        <w:t>(</w:t>
      </w:r>
      <w:r w:rsidRPr="00481F58">
        <w:rPr>
          <w:color w:val="000000"/>
        </w:rPr>
        <w:t>PGE21021</w:t>
      </w:r>
      <w:r w:rsidR="006A5604">
        <w:rPr>
          <w:color w:val="000000"/>
        </w:rPr>
        <w:t>)</w:t>
      </w:r>
    </w:p>
    <w:p w14:paraId="247CAB44" w14:textId="3E5B276F" w:rsidR="00A72252" w:rsidRDefault="00A72252" w:rsidP="00150AC1">
      <w:pPr>
        <w:jc w:val="both"/>
        <w:rPr>
          <w:color w:val="000000"/>
        </w:rPr>
      </w:pPr>
    </w:p>
    <w:p w14:paraId="3D26F490" w14:textId="520A45E8" w:rsidR="00AD0BF9" w:rsidRPr="00740F34" w:rsidRDefault="00AD0BF9" w:rsidP="00F31737">
      <w:pPr>
        <w:pStyle w:val="Heading2"/>
        <w:numPr>
          <w:ilvl w:val="0"/>
          <w:numId w:val="9"/>
        </w:numPr>
        <w:rPr>
          <w:color w:val="000000"/>
        </w:rPr>
      </w:pPr>
      <w:r w:rsidRPr="00B103F1">
        <w:t>EM&amp;V</w:t>
      </w:r>
    </w:p>
    <w:p w14:paraId="1A811F7E" w14:textId="77777777" w:rsidR="00AD0BF9" w:rsidRDefault="00AD0BF9" w:rsidP="00AD0BF9">
      <w:pPr>
        <w:jc w:val="both"/>
        <w:rPr>
          <w:color w:val="000000"/>
        </w:rPr>
      </w:pPr>
    </w:p>
    <w:p w14:paraId="66A1DCD1" w14:textId="0F7EE85D" w:rsidR="00AD0BF9" w:rsidRDefault="00013513" w:rsidP="00AD0BF9">
      <w:pPr>
        <w:jc w:val="both"/>
        <w:rPr>
          <w:color w:val="000000"/>
        </w:rPr>
      </w:pPr>
      <w:r>
        <w:rPr>
          <w:color w:val="000000"/>
        </w:rPr>
        <w:t xml:space="preserve">PG&amp;E proposes an EM&amp;V budget of </w:t>
      </w:r>
      <w:r w:rsidRPr="00AA1191">
        <w:rPr>
          <w:color w:val="000000"/>
        </w:rPr>
        <w:t>$</w:t>
      </w:r>
      <w:r w:rsidR="004E6D0C" w:rsidRPr="00AA1191">
        <w:rPr>
          <w:color w:val="000000"/>
        </w:rPr>
        <w:t>12,</w:t>
      </w:r>
      <w:r w:rsidR="0097625B" w:rsidRPr="00AA1191">
        <w:rPr>
          <w:color w:val="000000"/>
        </w:rPr>
        <w:t>576</w:t>
      </w:r>
      <w:r w:rsidR="004E6D0C" w:rsidRPr="00AA1191">
        <w:rPr>
          <w:color w:val="000000"/>
        </w:rPr>
        <w:t>,</w:t>
      </w:r>
      <w:r w:rsidR="0097625B" w:rsidRPr="00AA1191">
        <w:rPr>
          <w:color w:val="000000"/>
        </w:rPr>
        <w:t xml:space="preserve">698 </w:t>
      </w:r>
      <w:r w:rsidR="00AD0BF9" w:rsidRPr="00AA1191">
        <w:rPr>
          <w:color w:val="000000"/>
        </w:rPr>
        <w:t>consistent</w:t>
      </w:r>
      <w:r w:rsidR="00AD0BF9" w:rsidRPr="008F29E4">
        <w:rPr>
          <w:color w:val="000000"/>
        </w:rPr>
        <w:t xml:space="preserve"> with the 4% EM&amp;V budget cap, originally introduced in D.12-05-015 and subsequently upheld by the FA</w:t>
      </w:r>
      <w:r w:rsidR="00AD0BF9">
        <w:rPr>
          <w:color w:val="000000"/>
        </w:rPr>
        <w:t xml:space="preserve"> Decision, the R</w:t>
      </w:r>
      <w:r w:rsidR="00A90A86">
        <w:rPr>
          <w:color w:val="000000"/>
        </w:rPr>
        <w:t xml:space="preserve">olling </w:t>
      </w:r>
      <w:r w:rsidR="00AD0BF9">
        <w:rPr>
          <w:color w:val="000000"/>
        </w:rPr>
        <w:t>P</w:t>
      </w:r>
      <w:r w:rsidR="00A90A86">
        <w:rPr>
          <w:color w:val="000000"/>
        </w:rPr>
        <w:t>ortfolio</w:t>
      </w:r>
      <w:r w:rsidR="00AD0BF9">
        <w:rPr>
          <w:color w:val="000000"/>
        </w:rPr>
        <w:t xml:space="preserve"> Decision, and the Guidance Decision.</w:t>
      </w:r>
    </w:p>
    <w:p w14:paraId="6AA13908" w14:textId="77777777" w:rsidR="00AD0BF9" w:rsidRDefault="00AD0BF9" w:rsidP="00AD0BF9">
      <w:pPr>
        <w:jc w:val="both"/>
        <w:rPr>
          <w:color w:val="000000"/>
        </w:rPr>
      </w:pPr>
    </w:p>
    <w:p w14:paraId="4615D274" w14:textId="199980F6" w:rsidR="00AD0BF9" w:rsidRDefault="00AD0BF9" w:rsidP="00AD0BF9">
      <w:pPr>
        <w:jc w:val="both"/>
        <w:rPr>
          <w:color w:val="000000"/>
        </w:rPr>
      </w:pPr>
      <w:r>
        <w:rPr>
          <w:color w:val="000000"/>
        </w:rPr>
        <w:t xml:space="preserve">The Guidance Decision revises the allocation of EM&amp;V funds, beginning </w:t>
      </w:r>
      <w:r w:rsidRPr="00FC2544">
        <w:rPr>
          <w:color w:val="000000"/>
        </w:rPr>
        <w:t xml:space="preserve">after the </w:t>
      </w:r>
      <w:r>
        <w:rPr>
          <w:color w:val="000000"/>
        </w:rPr>
        <w:t>EE</w:t>
      </w:r>
      <w:r w:rsidRPr="00FC2544">
        <w:rPr>
          <w:color w:val="000000"/>
        </w:rPr>
        <w:t xml:space="preserve"> </w:t>
      </w:r>
      <w:r w:rsidR="000A6CD6">
        <w:rPr>
          <w:color w:val="000000"/>
        </w:rPr>
        <w:t>B</w:t>
      </w:r>
      <w:r w:rsidRPr="00FC2544">
        <w:rPr>
          <w:color w:val="000000"/>
        </w:rPr>
        <w:t xml:space="preserve">usiness </w:t>
      </w:r>
      <w:r w:rsidR="000A6CD6">
        <w:rPr>
          <w:color w:val="000000"/>
        </w:rPr>
        <w:t>P</w:t>
      </w:r>
      <w:r w:rsidRPr="00FC2544">
        <w:rPr>
          <w:color w:val="000000"/>
        </w:rPr>
        <w:t>lans are approved by the Commission</w:t>
      </w:r>
      <w:r>
        <w:rPr>
          <w:color w:val="000000"/>
        </w:rPr>
        <w:t>, to 60</w:t>
      </w:r>
      <w:r w:rsidR="003A2432">
        <w:rPr>
          <w:color w:val="000000"/>
        </w:rPr>
        <w:t>%</w:t>
      </w:r>
      <w:r>
        <w:rPr>
          <w:color w:val="000000"/>
        </w:rPr>
        <w:t xml:space="preserve"> reserved for Commission staff evaluation efforts and up to 40</w:t>
      </w:r>
      <w:r w:rsidR="003A2432">
        <w:rPr>
          <w:color w:val="000000"/>
        </w:rPr>
        <w:t>%</w:t>
      </w:r>
      <w:r>
        <w:rPr>
          <w:color w:val="000000"/>
        </w:rPr>
        <w:t xml:space="preserve"> for program administrators, to be further divided proportionally among utilities, community choice aggregators, and regional energy networks.”</w:t>
      </w:r>
      <w:r>
        <w:rPr>
          <w:rStyle w:val="FootnoteReference"/>
          <w:color w:val="000000"/>
        </w:rPr>
        <w:footnoteReference w:id="24"/>
      </w:r>
      <w:r>
        <w:rPr>
          <w:color w:val="000000"/>
        </w:rPr>
        <w:t xml:space="preserve"> </w:t>
      </w:r>
      <w:r w:rsidR="00685585">
        <w:rPr>
          <w:color w:val="000000"/>
        </w:rPr>
        <w:t>As a baseline,</w:t>
      </w:r>
      <w:r>
        <w:rPr>
          <w:color w:val="000000"/>
        </w:rPr>
        <w:t xml:space="preserve"> PG&amp;E</w:t>
      </w:r>
      <w:r w:rsidR="00DE0610">
        <w:rPr>
          <w:color w:val="000000"/>
        </w:rPr>
        <w:t xml:space="preserve"> </w:t>
      </w:r>
      <w:r w:rsidR="0040141A">
        <w:rPr>
          <w:color w:val="000000"/>
        </w:rPr>
        <w:t>has split</w:t>
      </w:r>
      <w:r>
        <w:rPr>
          <w:color w:val="000000"/>
        </w:rPr>
        <w:t xml:space="preserve"> its allocation of EM&amp;V funds </w:t>
      </w:r>
      <w:r w:rsidR="0040141A">
        <w:rPr>
          <w:color w:val="000000"/>
        </w:rPr>
        <w:t>72.5</w:t>
      </w:r>
      <w:r w:rsidR="003A2432">
        <w:rPr>
          <w:color w:val="000000"/>
        </w:rPr>
        <w:t>%</w:t>
      </w:r>
      <w:r w:rsidR="0040141A">
        <w:rPr>
          <w:color w:val="000000"/>
        </w:rPr>
        <w:t xml:space="preserve"> for the Commission and 27.5</w:t>
      </w:r>
      <w:r w:rsidR="003A2432">
        <w:rPr>
          <w:color w:val="000000"/>
        </w:rPr>
        <w:t>%</w:t>
      </w:r>
      <w:r w:rsidR="0040141A">
        <w:rPr>
          <w:color w:val="000000"/>
        </w:rPr>
        <w:t xml:space="preserve"> for </w:t>
      </w:r>
      <w:r w:rsidR="000A6CD6">
        <w:rPr>
          <w:color w:val="000000"/>
        </w:rPr>
        <w:t>PA</w:t>
      </w:r>
      <w:r w:rsidR="0040141A">
        <w:rPr>
          <w:color w:val="000000"/>
        </w:rPr>
        <w:t xml:space="preserve">s </w:t>
      </w:r>
      <w:r>
        <w:rPr>
          <w:color w:val="000000"/>
        </w:rPr>
        <w:t>based on Commission direction.</w:t>
      </w:r>
      <w:r>
        <w:rPr>
          <w:rStyle w:val="FootnoteReference"/>
          <w:color w:val="000000"/>
        </w:rPr>
        <w:footnoteReference w:id="25"/>
      </w:r>
      <w:r>
        <w:rPr>
          <w:color w:val="000000"/>
        </w:rPr>
        <w:t xml:space="preserve"> </w:t>
      </w:r>
    </w:p>
    <w:p w14:paraId="08F30350" w14:textId="797E9ABB" w:rsidR="00FA3125" w:rsidRPr="00FA3125" w:rsidRDefault="00FA3125" w:rsidP="00FA3125">
      <w:pPr>
        <w:jc w:val="both"/>
        <w:rPr>
          <w:color w:val="000000"/>
        </w:rPr>
      </w:pPr>
    </w:p>
    <w:p w14:paraId="5B3B31AE" w14:textId="046127FA" w:rsidR="00A9054B" w:rsidRDefault="00A9054B" w:rsidP="00A9054B">
      <w:pPr>
        <w:pStyle w:val="Heading2"/>
        <w:numPr>
          <w:ilvl w:val="0"/>
          <w:numId w:val="9"/>
        </w:numPr>
        <w:rPr>
          <w:color w:val="000000"/>
        </w:rPr>
      </w:pPr>
      <w:r>
        <w:rPr>
          <w:color w:val="000000"/>
        </w:rPr>
        <w:t>Budget and Savings True-Up</w:t>
      </w:r>
    </w:p>
    <w:p w14:paraId="1E4761BD" w14:textId="2168911D" w:rsidR="00A9054B" w:rsidRDefault="00A9054B" w:rsidP="00A9054B"/>
    <w:p w14:paraId="2EE53D61" w14:textId="0426131F" w:rsidR="00840425" w:rsidRDefault="00840425" w:rsidP="00A9054B">
      <w:r>
        <w:rPr>
          <w:rFonts w:cs="Arial"/>
        </w:rPr>
        <w:t>PG&amp;E</w:t>
      </w:r>
      <w:r w:rsidRPr="007C32C2">
        <w:rPr>
          <w:rFonts w:cs="Arial"/>
        </w:rPr>
        <w:t xml:space="preserve"> is still in the process of </w:t>
      </w:r>
      <w:r>
        <w:rPr>
          <w:rFonts w:cs="Arial"/>
        </w:rPr>
        <w:t>developing a final ABAL. As such, Table</w:t>
      </w:r>
      <w:r w:rsidR="00473CA3">
        <w:rPr>
          <w:rFonts w:cs="Arial"/>
        </w:rPr>
        <w:t>s</w:t>
      </w:r>
      <w:r>
        <w:rPr>
          <w:rFonts w:cs="Arial"/>
        </w:rPr>
        <w:t xml:space="preserve"> 5 through</w:t>
      </w:r>
      <w:r w:rsidR="00473CA3">
        <w:rPr>
          <w:rFonts w:cs="Arial"/>
        </w:rPr>
        <w:t xml:space="preserve"> 8 </w:t>
      </w:r>
      <w:r w:rsidRPr="007C32C2">
        <w:rPr>
          <w:rFonts w:cs="Arial"/>
        </w:rPr>
        <w:t xml:space="preserve">below do not </w:t>
      </w:r>
      <w:r>
        <w:rPr>
          <w:rFonts w:cs="Arial"/>
        </w:rPr>
        <w:t xml:space="preserve">necessarily </w:t>
      </w:r>
      <w:r w:rsidRPr="007C32C2">
        <w:rPr>
          <w:rFonts w:cs="Arial"/>
        </w:rPr>
        <w:t>reflect its final</w:t>
      </w:r>
      <w:r>
        <w:rPr>
          <w:rFonts w:cs="Arial"/>
        </w:rPr>
        <w:t xml:space="preserve"> budget and true-up tables.</w:t>
      </w:r>
      <w:r w:rsidR="00A9054B">
        <w:t xml:space="preserve"> </w:t>
      </w:r>
    </w:p>
    <w:p w14:paraId="44467520" w14:textId="77777777" w:rsidR="00840425" w:rsidRDefault="00840425" w:rsidP="00A9054B"/>
    <w:p w14:paraId="4393BC88" w14:textId="397B0F38" w:rsidR="00A9054B" w:rsidRDefault="00A9054B" w:rsidP="00A9054B">
      <w:r>
        <w:t>PG&amp;E has revised its forecasted budget and savings true-ups for the business plan duration through program year 2025. For program year 2018, PG&amp;E has updated the estimates to reflect its 2018 ABAL savings forecast and its most recent forecasted 2018 operating budget.</w:t>
      </w:r>
      <w:r>
        <w:rPr>
          <w:rStyle w:val="FootnoteReference"/>
        </w:rPr>
        <w:footnoteReference w:id="26"/>
      </w:r>
      <w:r>
        <w:t xml:space="preserve"> For program year 2019, PG&amp;E has updated estimates</w:t>
      </w:r>
      <w:r w:rsidR="00840425">
        <w:t xml:space="preserve"> to reflect its draft 2019 ABAL savings and budget forecast. For Program Years 2020 through 2025, PG&amp;E is keeping its forecasted </w:t>
      </w:r>
      <w:r w:rsidR="00473CA3">
        <w:t>portfolio budget and savings amounts from its Business Plan</w:t>
      </w:r>
      <w:r w:rsidR="00840425">
        <w:t>. PG&amp;E will reassess savings goals in future years based on solicitation progress and Potential Study updates, and will strive to achieve goals put forth in future Potential Study updates.</w:t>
      </w:r>
    </w:p>
    <w:p w14:paraId="3DA43C43" w14:textId="32F29669" w:rsidR="00840425" w:rsidRDefault="00840425" w:rsidP="00A9054B"/>
    <w:p w14:paraId="3DAE4A7B" w14:textId="77777777" w:rsidR="00840425" w:rsidRDefault="00840425" w:rsidP="00A9054B">
      <w:pPr>
        <w:sectPr w:rsidR="00840425" w:rsidSect="00145380">
          <w:headerReference w:type="default" r:id="rId12"/>
          <w:headerReference w:type="first" r:id="rId13"/>
          <w:pgSz w:w="12240" w:h="15840" w:code="1"/>
          <w:pgMar w:top="1440" w:right="1440" w:bottom="1440" w:left="1440" w:header="1008" w:footer="720" w:gutter="0"/>
          <w:cols w:space="720"/>
          <w:titlePg/>
          <w:docGrid w:linePitch="326"/>
        </w:sectPr>
      </w:pPr>
    </w:p>
    <w:p w14:paraId="7EAB8E51" w14:textId="77777777" w:rsidR="00840425" w:rsidRDefault="00840425" w:rsidP="00840425">
      <w:pPr>
        <w:jc w:val="both"/>
      </w:pPr>
    </w:p>
    <w:p w14:paraId="73D42108" w14:textId="57C0F926" w:rsidR="00840425" w:rsidRDefault="00840425" w:rsidP="00840425">
      <w:pPr>
        <w:jc w:val="both"/>
      </w:pPr>
    </w:p>
    <w:p w14:paraId="21231553" w14:textId="6F802932" w:rsidR="00840425" w:rsidRDefault="00840425" w:rsidP="00840425">
      <w:pPr>
        <w:jc w:val="both"/>
      </w:pPr>
    </w:p>
    <w:p w14:paraId="22B956EE" w14:textId="7177D55A" w:rsidR="00840425" w:rsidRDefault="00840425" w:rsidP="00840425">
      <w:pPr>
        <w:jc w:val="both"/>
      </w:pPr>
    </w:p>
    <w:p w14:paraId="1D40CD31" w14:textId="008D38F5" w:rsidR="00840425" w:rsidRDefault="00840425" w:rsidP="00840425">
      <w:pPr>
        <w:jc w:val="both"/>
      </w:pPr>
    </w:p>
    <w:p w14:paraId="2E163B3C" w14:textId="28A6FDD3" w:rsidR="00840425" w:rsidRPr="009D4C51" w:rsidRDefault="00840425" w:rsidP="00840425">
      <w:pPr>
        <w:jc w:val="center"/>
        <w:rPr>
          <w:b/>
          <w:color w:val="000000"/>
        </w:rPr>
      </w:pPr>
      <w:r>
        <w:rPr>
          <w:b/>
          <w:color w:val="000000"/>
        </w:rPr>
        <w:t>Table 5: PG&amp;E Budget True-Up</w:t>
      </w:r>
      <w:bookmarkStart w:id="6" w:name="_GoBack"/>
      <w:bookmarkEnd w:id="6"/>
    </w:p>
    <w:p w14:paraId="44CECA0C" w14:textId="77777777" w:rsidR="00840425" w:rsidRDefault="00840425" w:rsidP="00840425">
      <w:pPr>
        <w:jc w:val="both"/>
      </w:pPr>
    </w:p>
    <w:p w14:paraId="3BD78C89" w14:textId="1EA207D9" w:rsidR="00840425" w:rsidRDefault="0078516B" w:rsidP="00840425">
      <w:pPr>
        <w:jc w:val="both"/>
      </w:pPr>
      <w:r w:rsidRPr="0078516B">
        <w:drawing>
          <wp:inline distT="0" distB="0" distL="0" distR="0" wp14:anchorId="7FE3D9A8" wp14:editId="10F80AB0">
            <wp:extent cx="8536838" cy="4498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40470" cy="4500471"/>
                    </a:xfrm>
                    <a:prstGeom prst="rect">
                      <a:avLst/>
                    </a:prstGeom>
                    <a:noFill/>
                    <a:ln>
                      <a:noFill/>
                    </a:ln>
                  </pic:spPr>
                </pic:pic>
              </a:graphicData>
            </a:graphic>
          </wp:inline>
        </w:drawing>
      </w:r>
    </w:p>
    <w:p w14:paraId="165FCACA" w14:textId="2AE0BF0B" w:rsidR="00840425" w:rsidRDefault="00840425" w:rsidP="00840425">
      <w:pPr>
        <w:jc w:val="both"/>
      </w:pPr>
    </w:p>
    <w:p w14:paraId="0B0DCED5" w14:textId="07707017" w:rsidR="00840425" w:rsidRDefault="00840425" w:rsidP="00840425">
      <w:pPr>
        <w:jc w:val="both"/>
      </w:pPr>
    </w:p>
    <w:p w14:paraId="6A938B7B" w14:textId="5DA456D5" w:rsidR="00840425" w:rsidRPr="009D4C51" w:rsidRDefault="00840425" w:rsidP="00840425">
      <w:pPr>
        <w:jc w:val="center"/>
        <w:rPr>
          <w:b/>
          <w:color w:val="000000"/>
        </w:rPr>
      </w:pPr>
      <w:r>
        <w:rPr>
          <w:b/>
          <w:color w:val="000000"/>
        </w:rPr>
        <w:t>Table 6: PG&amp;E kWh True-Up</w:t>
      </w:r>
    </w:p>
    <w:p w14:paraId="7F88D621" w14:textId="1541507B" w:rsidR="00840425" w:rsidRDefault="00840425" w:rsidP="00840425">
      <w:pPr>
        <w:jc w:val="both"/>
      </w:pPr>
    </w:p>
    <w:p w14:paraId="57AEE61C" w14:textId="7D82AA2E" w:rsidR="00840425" w:rsidRDefault="00840425" w:rsidP="00840425">
      <w:pPr>
        <w:jc w:val="both"/>
      </w:pPr>
    </w:p>
    <w:p w14:paraId="18C7AF62" w14:textId="42EA048C" w:rsidR="00840425" w:rsidRDefault="00840425" w:rsidP="00840425">
      <w:pPr>
        <w:jc w:val="both"/>
      </w:pPr>
      <w:r w:rsidRPr="00840425">
        <w:rPr>
          <w:noProof/>
        </w:rPr>
        <w:drawing>
          <wp:inline distT="0" distB="0" distL="0" distR="0" wp14:anchorId="5C09C3FE" wp14:editId="0E34F77E">
            <wp:extent cx="8035268" cy="395556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38146" cy="3956985"/>
                    </a:xfrm>
                    <a:prstGeom prst="rect">
                      <a:avLst/>
                    </a:prstGeom>
                    <a:noFill/>
                    <a:ln>
                      <a:noFill/>
                    </a:ln>
                  </pic:spPr>
                </pic:pic>
              </a:graphicData>
            </a:graphic>
          </wp:inline>
        </w:drawing>
      </w:r>
    </w:p>
    <w:p w14:paraId="2D6483A4" w14:textId="77777777" w:rsidR="00840425" w:rsidRDefault="00840425">
      <w:pPr>
        <w:overflowPunct/>
        <w:autoSpaceDE/>
        <w:autoSpaceDN/>
        <w:adjustRightInd/>
        <w:textAlignment w:val="auto"/>
      </w:pPr>
      <w:r>
        <w:br w:type="page"/>
      </w:r>
    </w:p>
    <w:p w14:paraId="30978483" w14:textId="3073F935" w:rsidR="00840425" w:rsidRPr="009D4C51" w:rsidRDefault="00840425" w:rsidP="00840425">
      <w:pPr>
        <w:jc w:val="center"/>
        <w:rPr>
          <w:b/>
          <w:color w:val="000000"/>
        </w:rPr>
      </w:pPr>
      <w:r>
        <w:rPr>
          <w:b/>
          <w:color w:val="000000"/>
        </w:rPr>
        <w:lastRenderedPageBreak/>
        <w:t>Table 7: PG&amp;E kW True-Up</w:t>
      </w:r>
    </w:p>
    <w:p w14:paraId="2BEB713A" w14:textId="4B80CA68" w:rsidR="00840425" w:rsidRDefault="00840425">
      <w:pPr>
        <w:overflowPunct/>
        <w:autoSpaceDE/>
        <w:autoSpaceDN/>
        <w:adjustRightInd/>
        <w:textAlignment w:val="auto"/>
      </w:pPr>
      <w:r w:rsidRPr="00840425">
        <w:rPr>
          <w:noProof/>
        </w:rPr>
        <w:drawing>
          <wp:inline distT="0" distB="0" distL="0" distR="0" wp14:anchorId="5EB7051A" wp14:editId="4FA83F01">
            <wp:extent cx="7985094" cy="40812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9101" cy="4083295"/>
                    </a:xfrm>
                    <a:prstGeom prst="rect">
                      <a:avLst/>
                    </a:prstGeom>
                    <a:noFill/>
                    <a:ln>
                      <a:noFill/>
                    </a:ln>
                  </pic:spPr>
                </pic:pic>
              </a:graphicData>
            </a:graphic>
          </wp:inline>
        </w:drawing>
      </w:r>
    </w:p>
    <w:p w14:paraId="04C29984" w14:textId="00637FB6" w:rsidR="00840425" w:rsidRDefault="00840425">
      <w:pPr>
        <w:overflowPunct/>
        <w:autoSpaceDE/>
        <w:autoSpaceDN/>
        <w:adjustRightInd/>
        <w:textAlignment w:val="auto"/>
      </w:pPr>
    </w:p>
    <w:p w14:paraId="04271AB9" w14:textId="4659999D" w:rsidR="00840425" w:rsidRDefault="00840425">
      <w:pPr>
        <w:overflowPunct/>
        <w:autoSpaceDE/>
        <w:autoSpaceDN/>
        <w:adjustRightInd/>
        <w:textAlignment w:val="auto"/>
      </w:pPr>
    </w:p>
    <w:p w14:paraId="7666E816" w14:textId="77777777" w:rsidR="00840425" w:rsidRDefault="00840425">
      <w:pPr>
        <w:overflowPunct/>
        <w:autoSpaceDE/>
        <w:autoSpaceDN/>
        <w:adjustRightInd/>
        <w:textAlignment w:val="auto"/>
      </w:pPr>
    </w:p>
    <w:p w14:paraId="0B1470AA" w14:textId="04B23D51" w:rsidR="00840425" w:rsidRDefault="00840425" w:rsidP="00840425">
      <w:pPr>
        <w:jc w:val="both"/>
      </w:pPr>
    </w:p>
    <w:p w14:paraId="70FB1A2A" w14:textId="77777777" w:rsidR="00840425" w:rsidRDefault="00840425" w:rsidP="00840425">
      <w:pPr>
        <w:overflowPunct/>
        <w:autoSpaceDE/>
        <w:autoSpaceDN/>
        <w:adjustRightInd/>
        <w:textAlignment w:val="auto"/>
      </w:pPr>
      <w:r>
        <w:br w:type="page"/>
      </w:r>
    </w:p>
    <w:p w14:paraId="4EB11839" w14:textId="77777777" w:rsidR="00840425" w:rsidRDefault="00840425" w:rsidP="00840425">
      <w:pPr>
        <w:overflowPunct/>
        <w:autoSpaceDE/>
        <w:autoSpaceDN/>
        <w:adjustRightInd/>
        <w:textAlignment w:val="auto"/>
      </w:pPr>
    </w:p>
    <w:p w14:paraId="15B8189F" w14:textId="19EE3DCE" w:rsidR="00840425" w:rsidRPr="009D4C51" w:rsidRDefault="00840425" w:rsidP="00840425">
      <w:pPr>
        <w:jc w:val="center"/>
        <w:rPr>
          <w:b/>
          <w:color w:val="000000"/>
        </w:rPr>
      </w:pPr>
      <w:r>
        <w:rPr>
          <w:b/>
          <w:color w:val="000000"/>
        </w:rPr>
        <w:t>Table 8: PG&amp;E Therm True-Up</w:t>
      </w:r>
    </w:p>
    <w:p w14:paraId="13BECCCF" w14:textId="77777777" w:rsidR="00840425" w:rsidRDefault="00840425" w:rsidP="00840425">
      <w:pPr>
        <w:overflowPunct/>
        <w:autoSpaceDE/>
        <w:autoSpaceDN/>
        <w:adjustRightInd/>
        <w:textAlignment w:val="auto"/>
      </w:pPr>
    </w:p>
    <w:p w14:paraId="79F3792B" w14:textId="0748ED28" w:rsidR="00840425" w:rsidRDefault="00840425" w:rsidP="00840425">
      <w:pPr>
        <w:overflowPunct/>
        <w:autoSpaceDE/>
        <w:autoSpaceDN/>
        <w:adjustRightInd/>
        <w:textAlignment w:val="auto"/>
      </w:pPr>
      <w:r w:rsidRPr="00840425">
        <w:rPr>
          <w:noProof/>
        </w:rPr>
        <w:drawing>
          <wp:inline distT="0" distB="0" distL="0" distR="0" wp14:anchorId="38073B18" wp14:editId="35AC7FF6">
            <wp:extent cx="8229600" cy="34317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3431724"/>
                    </a:xfrm>
                    <a:prstGeom prst="rect">
                      <a:avLst/>
                    </a:prstGeom>
                    <a:noFill/>
                    <a:ln>
                      <a:noFill/>
                    </a:ln>
                  </pic:spPr>
                </pic:pic>
              </a:graphicData>
            </a:graphic>
          </wp:inline>
        </w:drawing>
      </w:r>
    </w:p>
    <w:p w14:paraId="0C68AE9D" w14:textId="6FC1EE06" w:rsidR="00840425" w:rsidRDefault="00840425" w:rsidP="00840425">
      <w:pPr>
        <w:overflowPunct/>
        <w:autoSpaceDE/>
        <w:autoSpaceDN/>
        <w:adjustRightInd/>
        <w:textAlignment w:val="auto"/>
      </w:pPr>
    </w:p>
    <w:p w14:paraId="7DD559FB" w14:textId="77777777" w:rsidR="00840425" w:rsidRDefault="00840425" w:rsidP="00840425">
      <w:pPr>
        <w:overflowPunct/>
        <w:autoSpaceDE/>
        <w:autoSpaceDN/>
        <w:adjustRightInd/>
        <w:textAlignment w:val="auto"/>
      </w:pPr>
    </w:p>
    <w:p w14:paraId="446EBFDD" w14:textId="3039747B" w:rsidR="00840425" w:rsidRDefault="00840425" w:rsidP="00840425">
      <w:pPr>
        <w:overflowPunct/>
        <w:autoSpaceDE/>
        <w:autoSpaceDN/>
        <w:adjustRightInd/>
        <w:textAlignment w:val="auto"/>
      </w:pPr>
    </w:p>
    <w:p w14:paraId="2736572B" w14:textId="77777777" w:rsidR="00840425" w:rsidRDefault="00840425" w:rsidP="00840425">
      <w:pPr>
        <w:overflowPunct/>
        <w:autoSpaceDE/>
        <w:autoSpaceDN/>
        <w:adjustRightInd/>
        <w:textAlignment w:val="auto"/>
        <w:sectPr w:rsidR="00840425" w:rsidSect="00840425">
          <w:pgSz w:w="15840" w:h="12240" w:orient="landscape" w:code="1"/>
          <w:pgMar w:top="1440" w:right="1440" w:bottom="1440" w:left="1440" w:header="1008" w:footer="720" w:gutter="0"/>
          <w:cols w:space="720"/>
          <w:titlePg/>
          <w:docGrid w:linePitch="326"/>
        </w:sectPr>
      </w:pPr>
    </w:p>
    <w:p w14:paraId="27A1F118" w14:textId="3B075AB9" w:rsidR="00AD0BF9" w:rsidRPr="008A0D80" w:rsidRDefault="00AD0BF9" w:rsidP="008A0D80">
      <w:pPr>
        <w:pStyle w:val="Heading2"/>
        <w:rPr>
          <w:u w:val="single"/>
        </w:rPr>
      </w:pPr>
      <w:r w:rsidRPr="008A0D80">
        <w:rPr>
          <w:u w:val="single"/>
        </w:rPr>
        <w:lastRenderedPageBreak/>
        <w:t>Protests</w:t>
      </w:r>
    </w:p>
    <w:p w14:paraId="0AAADB4C" w14:textId="77777777" w:rsidR="00AD0BF9" w:rsidRPr="0037624A" w:rsidRDefault="00AD0BF9" w:rsidP="00AD0BF9">
      <w:pPr>
        <w:rPr>
          <w:color w:val="000000"/>
        </w:rPr>
      </w:pPr>
    </w:p>
    <w:p w14:paraId="28DEFA8F" w14:textId="0C6B10D7" w:rsidR="008A0D80" w:rsidRPr="0037624A" w:rsidRDefault="008A0D80" w:rsidP="008A0D80">
      <w:pPr>
        <w:jc w:val="both"/>
        <w:rPr>
          <w:color w:val="000000"/>
        </w:rPr>
      </w:pPr>
      <w:r w:rsidRPr="0037624A">
        <w:rPr>
          <w:color w:val="000000"/>
        </w:rPr>
        <w:t xml:space="preserve">Anyone wishing to protest this filing may do so by letter sent via U.S. mail, facsimile or E-mail, no later than </w:t>
      </w:r>
      <w:r>
        <w:rPr>
          <w:color w:val="000000"/>
        </w:rPr>
        <w:t xml:space="preserve">September </w:t>
      </w:r>
      <w:r w:rsidR="00685585">
        <w:rPr>
          <w:color w:val="000000"/>
        </w:rPr>
        <w:t>24, 2018</w:t>
      </w:r>
      <w:r w:rsidRPr="0037624A">
        <w:rPr>
          <w:color w:val="000000"/>
        </w:rPr>
        <w:t>, which is 20 days after the date of this filing.  Protests must be submitted to:</w:t>
      </w:r>
    </w:p>
    <w:p w14:paraId="0D3EF706" w14:textId="77777777" w:rsidR="008A0D80" w:rsidRPr="0037624A" w:rsidRDefault="008A0D80" w:rsidP="008A0D80">
      <w:pPr>
        <w:rPr>
          <w:color w:val="000000"/>
        </w:rPr>
      </w:pPr>
    </w:p>
    <w:p w14:paraId="43976810" w14:textId="77777777" w:rsidR="008A0D80" w:rsidRPr="0037624A" w:rsidRDefault="008A0D80" w:rsidP="008A0D80">
      <w:pPr>
        <w:ind w:left="2700"/>
        <w:rPr>
          <w:color w:val="000000"/>
        </w:rPr>
      </w:pPr>
      <w:r w:rsidRPr="0037624A">
        <w:rPr>
          <w:color w:val="000000"/>
        </w:rPr>
        <w:t>CPUC Energy Division</w:t>
      </w:r>
    </w:p>
    <w:p w14:paraId="22800136" w14:textId="77777777" w:rsidR="008A0D80" w:rsidRPr="0037624A" w:rsidRDefault="008A0D80" w:rsidP="008A0D80">
      <w:pPr>
        <w:ind w:left="2700"/>
        <w:rPr>
          <w:color w:val="000000"/>
        </w:rPr>
      </w:pPr>
      <w:r w:rsidRPr="0037624A">
        <w:rPr>
          <w:color w:val="000000"/>
        </w:rPr>
        <w:t>ED</w:t>
      </w:r>
      <w:r>
        <w:rPr>
          <w:color w:val="000000"/>
        </w:rPr>
        <w:t xml:space="preserve"> </w:t>
      </w:r>
      <w:r w:rsidRPr="0037624A">
        <w:rPr>
          <w:color w:val="000000"/>
        </w:rPr>
        <w:t>Tariff</w:t>
      </w:r>
      <w:r>
        <w:rPr>
          <w:color w:val="000000"/>
        </w:rPr>
        <w:t xml:space="preserve"> </w:t>
      </w:r>
      <w:r w:rsidRPr="0037624A">
        <w:rPr>
          <w:color w:val="000000"/>
        </w:rPr>
        <w:t>Unit</w:t>
      </w:r>
    </w:p>
    <w:p w14:paraId="23BB2E77" w14:textId="77777777" w:rsidR="008A0D80" w:rsidRPr="0037624A" w:rsidRDefault="008A0D80" w:rsidP="008A0D80">
      <w:pPr>
        <w:ind w:left="2700"/>
        <w:rPr>
          <w:color w:val="000000"/>
        </w:rPr>
      </w:pPr>
      <w:r w:rsidRPr="0037624A">
        <w:rPr>
          <w:color w:val="000000"/>
        </w:rPr>
        <w:t>505 Van Ness Avenue, 4</w:t>
      </w:r>
      <w:r w:rsidRPr="0037624A">
        <w:rPr>
          <w:color w:val="000000"/>
          <w:vertAlign w:val="superscript"/>
        </w:rPr>
        <w:t>th</w:t>
      </w:r>
      <w:r w:rsidRPr="0037624A">
        <w:rPr>
          <w:color w:val="000000"/>
        </w:rPr>
        <w:t xml:space="preserve"> Floor</w:t>
      </w:r>
    </w:p>
    <w:p w14:paraId="5EF24765" w14:textId="77777777" w:rsidR="008A0D80" w:rsidRPr="0037624A" w:rsidRDefault="008A0D80" w:rsidP="008A0D80">
      <w:pPr>
        <w:ind w:left="2700"/>
        <w:rPr>
          <w:color w:val="000000"/>
        </w:rPr>
      </w:pPr>
      <w:r w:rsidRPr="0037624A">
        <w:rPr>
          <w:color w:val="000000"/>
        </w:rPr>
        <w:t>San Francisco, California  94102</w:t>
      </w:r>
    </w:p>
    <w:p w14:paraId="0FA9E86D" w14:textId="77777777" w:rsidR="008A0D80" w:rsidRPr="0037624A" w:rsidRDefault="008A0D80" w:rsidP="008A0D80">
      <w:pPr>
        <w:ind w:left="2700"/>
        <w:rPr>
          <w:color w:val="000000"/>
        </w:rPr>
      </w:pPr>
    </w:p>
    <w:p w14:paraId="0446654F" w14:textId="77777777" w:rsidR="008A0D80" w:rsidRPr="0037624A" w:rsidRDefault="008A0D80" w:rsidP="008A0D80">
      <w:pPr>
        <w:ind w:left="2700"/>
        <w:rPr>
          <w:color w:val="000000"/>
        </w:rPr>
      </w:pPr>
      <w:r w:rsidRPr="0037624A">
        <w:rPr>
          <w:color w:val="000000"/>
        </w:rPr>
        <w:t>Facsimile: (415) 703-2200</w:t>
      </w:r>
    </w:p>
    <w:p w14:paraId="1BA934A9" w14:textId="77777777" w:rsidR="008A0D80" w:rsidRPr="0037624A" w:rsidRDefault="008A0D80" w:rsidP="008A0D80">
      <w:pPr>
        <w:ind w:left="2700"/>
        <w:rPr>
          <w:color w:val="000000"/>
        </w:rPr>
      </w:pPr>
      <w:r w:rsidRPr="0037624A">
        <w:rPr>
          <w:color w:val="000000"/>
        </w:rPr>
        <w:t>E-mail: EDTariffUnit@cpuc.ca.gov</w:t>
      </w:r>
    </w:p>
    <w:p w14:paraId="4555EA45" w14:textId="77777777" w:rsidR="008A0D80" w:rsidRPr="0037624A" w:rsidRDefault="008A0D80" w:rsidP="008A0D80">
      <w:pPr>
        <w:rPr>
          <w:color w:val="000000"/>
        </w:rPr>
      </w:pPr>
    </w:p>
    <w:p w14:paraId="0C093FB9" w14:textId="77777777" w:rsidR="008A0D80" w:rsidRPr="0037624A" w:rsidRDefault="008A0D80" w:rsidP="008A0D80">
      <w:pPr>
        <w:jc w:val="both"/>
        <w:rPr>
          <w:color w:val="000000"/>
        </w:rPr>
      </w:pPr>
      <w:r w:rsidRPr="0037624A">
        <w:rPr>
          <w:color w:val="000000"/>
        </w:rPr>
        <w:t>Copies of protests also should be mailed to the attention of the Director, Energy Division, Room 4004, at the address shown above.</w:t>
      </w:r>
    </w:p>
    <w:p w14:paraId="59DE49D6" w14:textId="77777777" w:rsidR="008A0D80" w:rsidRPr="0037624A" w:rsidRDefault="008A0D80" w:rsidP="008A0D80">
      <w:pPr>
        <w:jc w:val="both"/>
        <w:rPr>
          <w:color w:val="000000"/>
        </w:rPr>
      </w:pPr>
    </w:p>
    <w:p w14:paraId="3FC38855" w14:textId="1E49F057" w:rsidR="008A0D80" w:rsidRPr="0037624A" w:rsidRDefault="008A0D80" w:rsidP="008A0D80">
      <w:pPr>
        <w:jc w:val="both"/>
        <w:rPr>
          <w:color w:val="000000"/>
        </w:rPr>
      </w:pPr>
      <w:r w:rsidRPr="0037624A">
        <w:rPr>
          <w:color w:val="000000"/>
        </w:rPr>
        <w:t xml:space="preserve">The protest shall also be sent to PG&amp;E either via </w:t>
      </w:r>
      <w:r w:rsidR="00F3021F">
        <w:rPr>
          <w:color w:val="000000"/>
        </w:rPr>
        <w:t>e</w:t>
      </w:r>
      <w:r w:rsidRPr="0037624A">
        <w:rPr>
          <w:color w:val="000000"/>
        </w:rPr>
        <w:t xml:space="preserve">-mail or U.S. mail (and by facsimile, if possible) at the address shown below on the same date it is mailed or delivered to the Commission: </w:t>
      </w:r>
    </w:p>
    <w:p w14:paraId="4B520CCE" w14:textId="77777777" w:rsidR="008A0D80" w:rsidRPr="0037624A" w:rsidRDefault="008A0D80" w:rsidP="008A0D80">
      <w:pPr>
        <w:rPr>
          <w:color w:val="000000"/>
        </w:rPr>
      </w:pPr>
    </w:p>
    <w:p w14:paraId="25C21234" w14:textId="77777777" w:rsidR="008A0D80" w:rsidRPr="0037624A" w:rsidRDefault="008A0D80" w:rsidP="008A0D80">
      <w:pPr>
        <w:ind w:left="2700"/>
        <w:rPr>
          <w:color w:val="000000"/>
        </w:rPr>
      </w:pPr>
      <w:r>
        <w:rPr>
          <w:color w:val="000000"/>
        </w:rPr>
        <w:t>Erik Jacobson</w:t>
      </w:r>
    </w:p>
    <w:p w14:paraId="214126CA" w14:textId="77777777" w:rsidR="008A0D80" w:rsidRDefault="008A0D80" w:rsidP="008A0D80">
      <w:pPr>
        <w:ind w:left="2700"/>
        <w:rPr>
          <w:color w:val="000000"/>
        </w:rPr>
      </w:pPr>
      <w:r>
        <w:rPr>
          <w:color w:val="000000"/>
        </w:rPr>
        <w:t>Director</w:t>
      </w:r>
      <w:r w:rsidRPr="0037624A">
        <w:rPr>
          <w:color w:val="000000"/>
        </w:rPr>
        <w:t>, Regulatory Relations</w:t>
      </w:r>
    </w:p>
    <w:p w14:paraId="5B79DB50" w14:textId="77777777" w:rsidR="008A0D80" w:rsidRPr="0037624A" w:rsidRDefault="008A0D80" w:rsidP="008A0D80">
      <w:pPr>
        <w:ind w:left="2700"/>
        <w:rPr>
          <w:color w:val="000000"/>
        </w:rPr>
      </w:pPr>
      <w:r w:rsidRPr="00113E07">
        <w:rPr>
          <w:color w:val="000000"/>
        </w:rPr>
        <w:t>c/o Megan Lawson</w:t>
      </w:r>
    </w:p>
    <w:p w14:paraId="6CDF7449" w14:textId="77777777" w:rsidR="008A0D80" w:rsidRPr="0037624A" w:rsidRDefault="008A0D80" w:rsidP="008A0D80">
      <w:pPr>
        <w:ind w:left="2700"/>
        <w:rPr>
          <w:color w:val="000000"/>
        </w:rPr>
      </w:pPr>
      <w:r w:rsidRPr="0037624A">
        <w:rPr>
          <w:color w:val="000000"/>
        </w:rPr>
        <w:t>Pacific Gas and Electric Company</w:t>
      </w:r>
    </w:p>
    <w:p w14:paraId="537D07C2" w14:textId="44DBC404" w:rsidR="008A0D80" w:rsidRPr="0037624A" w:rsidRDefault="008A0D80" w:rsidP="008A0D80">
      <w:pPr>
        <w:ind w:left="2700"/>
        <w:rPr>
          <w:color w:val="000000"/>
        </w:rPr>
      </w:pPr>
      <w:r>
        <w:rPr>
          <w:color w:val="000000"/>
        </w:rPr>
        <w:t>77 Beale Street, Mail Code B13U</w:t>
      </w:r>
    </w:p>
    <w:p w14:paraId="7E9F8540" w14:textId="77777777" w:rsidR="008A0D80" w:rsidRPr="0037624A" w:rsidRDefault="008A0D80" w:rsidP="008A0D80">
      <w:pPr>
        <w:ind w:left="2700"/>
        <w:rPr>
          <w:color w:val="000000"/>
        </w:rPr>
      </w:pPr>
      <w:r w:rsidRPr="0037624A">
        <w:rPr>
          <w:color w:val="000000"/>
        </w:rPr>
        <w:t>P.O. Box 770000</w:t>
      </w:r>
    </w:p>
    <w:p w14:paraId="48C7D80B" w14:textId="77777777" w:rsidR="008A0D80" w:rsidRPr="0037624A" w:rsidRDefault="008A0D80" w:rsidP="008A0D80">
      <w:pPr>
        <w:ind w:left="2700"/>
        <w:rPr>
          <w:color w:val="000000"/>
        </w:rPr>
      </w:pPr>
      <w:r w:rsidRPr="0037624A">
        <w:rPr>
          <w:color w:val="000000"/>
        </w:rPr>
        <w:t>San Francisco, California  94177</w:t>
      </w:r>
    </w:p>
    <w:p w14:paraId="35B7F823" w14:textId="77777777" w:rsidR="008A0D80" w:rsidRPr="0037624A" w:rsidRDefault="008A0D80" w:rsidP="008A0D80">
      <w:pPr>
        <w:ind w:left="2700"/>
        <w:rPr>
          <w:color w:val="000000"/>
        </w:rPr>
      </w:pPr>
    </w:p>
    <w:p w14:paraId="6DB71DE5" w14:textId="2C65DB8C" w:rsidR="008A0D80" w:rsidRPr="0037624A" w:rsidRDefault="008A0D80" w:rsidP="008A0D80">
      <w:pPr>
        <w:ind w:left="2700"/>
        <w:rPr>
          <w:color w:val="000000"/>
        </w:rPr>
      </w:pPr>
      <w:r w:rsidRPr="0037624A">
        <w:rPr>
          <w:color w:val="000000"/>
        </w:rPr>
        <w:t>Facsimile: (415) 973-</w:t>
      </w:r>
      <w:r>
        <w:rPr>
          <w:color w:val="000000"/>
        </w:rPr>
        <w:t>3582</w:t>
      </w:r>
    </w:p>
    <w:p w14:paraId="2502C976" w14:textId="77777777" w:rsidR="008A0D80" w:rsidRPr="00193EB3" w:rsidRDefault="008A0D80" w:rsidP="008A0D80">
      <w:pPr>
        <w:ind w:left="2700"/>
        <w:rPr>
          <w:color w:val="000000"/>
        </w:rPr>
      </w:pPr>
      <w:r w:rsidRPr="00193EB3">
        <w:rPr>
          <w:color w:val="000000"/>
        </w:rPr>
        <w:t xml:space="preserve">E-mail: </w:t>
      </w:r>
      <w:r w:rsidRPr="00DE4CF5">
        <w:rPr>
          <w:color w:val="000000"/>
        </w:rPr>
        <w:t>PGETariffs@pge.com</w:t>
      </w:r>
    </w:p>
    <w:p w14:paraId="76F783AA" w14:textId="77777777" w:rsidR="008A0D80" w:rsidRPr="0037624A" w:rsidRDefault="008A0D80" w:rsidP="008A0D80">
      <w:pPr>
        <w:ind w:left="2700"/>
        <w:rPr>
          <w:color w:val="000000"/>
        </w:rPr>
      </w:pPr>
    </w:p>
    <w:p w14:paraId="0F5F9CE4" w14:textId="77777777" w:rsidR="008A0D80" w:rsidRDefault="008A0D80" w:rsidP="008A0D80">
      <w:pPr>
        <w:jc w:val="both"/>
        <w:rPr>
          <w:color w:val="000000"/>
        </w:rPr>
      </w:pPr>
      <w:r w:rsidRPr="0037624A">
        <w:rPr>
          <w:color w:val="000000"/>
        </w:rPr>
        <w:t>Any person (including individuals, groups, or organizations) may protest or respond to an advice letter (G</w:t>
      </w:r>
      <w:r>
        <w:rPr>
          <w:color w:val="000000"/>
        </w:rPr>
        <w:t xml:space="preserve">eneral </w:t>
      </w:r>
      <w:r w:rsidRPr="0037624A">
        <w:rPr>
          <w:color w:val="000000"/>
        </w:rPr>
        <w:t>O</w:t>
      </w:r>
      <w:r>
        <w:rPr>
          <w:color w:val="000000"/>
        </w:rPr>
        <w:t>rder</w:t>
      </w:r>
      <w:r w:rsidRPr="0037624A">
        <w:rPr>
          <w:color w:val="000000"/>
        </w:rPr>
        <w:t xml:space="preserve"> 96-B, </w:t>
      </w:r>
      <w:r>
        <w:rPr>
          <w:color w:val="000000"/>
        </w:rPr>
        <w:t>Section</w:t>
      </w:r>
      <w:r w:rsidRPr="0037624A">
        <w:rPr>
          <w:color w:val="000000"/>
        </w:rPr>
        <w:t xml:space="preserve"> 7.4)</w:t>
      </w:r>
      <w:r>
        <w:rPr>
          <w:color w:val="000000"/>
        </w:rPr>
        <w:t>.</w:t>
      </w:r>
      <w:r w:rsidRPr="0037624A">
        <w:rPr>
          <w:color w:val="000000"/>
        </w:rPr>
        <w:t xml:space="preserve">  The protest shall contain the following information: specification of the advice letter protested; grounds for the protest; supporting factual information or legal argument; name, telephone number, postal address, and (where appropriate) e-mail address of the protestant; and statement that the protest was sent to the utility no later than the day on which the protest was submitted to the reviewing Industry Division (G</w:t>
      </w:r>
      <w:r>
        <w:rPr>
          <w:color w:val="000000"/>
        </w:rPr>
        <w:t xml:space="preserve">eneral </w:t>
      </w:r>
      <w:r w:rsidRPr="0037624A">
        <w:rPr>
          <w:color w:val="000000"/>
        </w:rPr>
        <w:t>O</w:t>
      </w:r>
      <w:r>
        <w:rPr>
          <w:color w:val="000000"/>
        </w:rPr>
        <w:t>rder</w:t>
      </w:r>
      <w:r w:rsidRPr="0037624A">
        <w:rPr>
          <w:color w:val="000000"/>
        </w:rPr>
        <w:t xml:space="preserve"> 96-B, </w:t>
      </w:r>
      <w:r>
        <w:rPr>
          <w:color w:val="000000"/>
        </w:rPr>
        <w:t>Section</w:t>
      </w:r>
      <w:r w:rsidRPr="0037624A">
        <w:rPr>
          <w:color w:val="000000"/>
        </w:rPr>
        <w:t xml:space="preserve"> 3.11).</w:t>
      </w:r>
    </w:p>
    <w:p w14:paraId="7F6A004F" w14:textId="77777777" w:rsidR="008A0D80" w:rsidRDefault="008A0D80" w:rsidP="008A0D80">
      <w:pPr>
        <w:jc w:val="both"/>
        <w:rPr>
          <w:color w:val="000000"/>
        </w:rPr>
      </w:pPr>
    </w:p>
    <w:p w14:paraId="4D220F47" w14:textId="62129EFB" w:rsidR="001F5D85" w:rsidRPr="008A0D80" w:rsidRDefault="001F5D85" w:rsidP="008A0D80">
      <w:pPr>
        <w:jc w:val="both"/>
        <w:rPr>
          <w:b/>
          <w:color w:val="000000"/>
          <w:u w:val="single"/>
        </w:rPr>
      </w:pPr>
      <w:r w:rsidRPr="008A0D80">
        <w:rPr>
          <w:b/>
          <w:u w:val="single"/>
        </w:rPr>
        <w:t>Effective Date</w:t>
      </w:r>
    </w:p>
    <w:p w14:paraId="2EB0E312" w14:textId="77777777" w:rsidR="001F5D85" w:rsidRPr="0037624A" w:rsidRDefault="001F5D85" w:rsidP="008E6649">
      <w:pPr>
        <w:rPr>
          <w:color w:val="000000"/>
        </w:rPr>
      </w:pPr>
    </w:p>
    <w:p w14:paraId="0ED86309" w14:textId="77D409D1" w:rsidR="008A0D80" w:rsidRDefault="001F5D85" w:rsidP="008A0D80">
      <w:pPr>
        <w:jc w:val="both"/>
        <w:rPr>
          <w:color w:val="000000"/>
        </w:rPr>
      </w:pPr>
      <w:r w:rsidRPr="008A0D80">
        <w:rPr>
          <w:color w:val="000000"/>
        </w:rPr>
        <w:lastRenderedPageBreak/>
        <w:t xml:space="preserve">PG&amp;E requests that this </w:t>
      </w:r>
      <w:r w:rsidR="00150AC1" w:rsidRPr="008A0D80">
        <w:rPr>
          <w:color w:val="000000"/>
        </w:rPr>
        <w:t xml:space="preserve">Tier 2 </w:t>
      </w:r>
      <w:r w:rsidRPr="008A0D80">
        <w:rPr>
          <w:color w:val="000000"/>
        </w:rPr>
        <w:t xml:space="preserve">advice filing become effective on </w:t>
      </w:r>
      <w:r w:rsidR="00F30A61" w:rsidRPr="008A0D80">
        <w:rPr>
          <w:color w:val="000000"/>
        </w:rPr>
        <w:t>January</w:t>
      </w:r>
      <w:r w:rsidR="00150AC1" w:rsidRPr="008A0D80">
        <w:rPr>
          <w:color w:val="000000"/>
        </w:rPr>
        <w:t xml:space="preserve"> </w:t>
      </w:r>
      <w:r w:rsidR="00F30A61" w:rsidRPr="008A0D80">
        <w:rPr>
          <w:color w:val="000000"/>
        </w:rPr>
        <w:t>1</w:t>
      </w:r>
      <w:r w:rsidR="008627CA" w:rsidRPr="008A0D80">
        <w:rPr>
          <w:color w:val="000000"/>
        </w:rPr>
        <w:t xml:space="preserve">, </w:t>
      </w:r>
      <w:r w:rsidR="00F31737">
        <w:rPr>
          <w:color w:val="000000"/>
        </w:rPr>
        <w:t>2019</w:t>
      </w:r>
      <w:r w:rsidR="00F30A61" w:rsidRPr="008A0D80">
        <w:rPr>
          <w:color w:val="000000"/>
        </w:rPr>
        <w:t>.</w:t>
      </w:r>
    </w:p>
    <w:p w14:paraId="4C7B5760" w14:textId="77777777" w:rsidR="008A0D80" w:rsidRDefault="008A0D80" w:rsidP="008A0D80">
      <w:pPr>
        <w:jc w:val="both"/>
        <w:rPr>
          <w:color w:val="000000"/>
        </w:rPr>
      </w:pPr>
    </w:p>
    <w:p w14:paraId="1431CA11" w14:textId="1E5C0D6A" w:rsidR="001F5D85" w:rsidRPr="008A0D80" w:rsidRDefault="001F5D85" w:rsidP="008A0D80">
      <w:pPr>
        <w:jc w:val="both"/>
        <w:rPr>
          <w:b/>
          <w:color w:val="000000"/>
          <w:u w:val="single"/>
        </w:rPr>
      </w:pPr>
      <w:r w:rsidRPr="008A0D80">
        <w:rPr>
          <w:b/>
          <w:u w:val="single"/>
        </w:rPr>
        <w:t>Notice</w:t>
      </w:r>
    </w:p>
    <w:p w14:paraId="5521AB2B" w14:textId="77777777" w:rsidR="001F5D85" w:rsidRPr="0037624A" w:rsidRDefault="001F5D85" w:rsidP="008E6649">
      <w:pPr>
        <w:rPr>
          <w:color w:val="000000"/>
        </w:rPr>
      </w:pPr>
    </w:p>
    <w:p w14:paraId="07B064EB" w14:textId="075B5E44" w:rsidR="0055571C" w:rsidRPr="0037624A" w:rsidRDefault="008759D8" w:rsidP="00150AC1">
      <w:pPr>
        <w:pStyle w:val="BodyText"/>
        <w:rPr>
          <w:color w:val="000000"/>
        </w:rPr>
      </w:pPr>
      <w:bookmarkStart w:id="7" w:name="OLE_LINK5"/>
      <w:bookmarkStart w:id="8" w:name="OLE_LINK6"/>
      <w:r w:rsidRPr="0037624A">
        <w:rPr>
          <w:color w:val="000000"/>
        </w:rPr>
        <w:t xml:space="preserve">In accordance with General Order 96-B, </w:t>
      </w:r>
      <w:r w:rsidR="00C77021">
        <w:rPr>
          <w:color w:val="000000"/>
        </w:rPr>
        <w:t>Se</w:t>
      </w:r>
      <w:r w:rsidR="00C77021" w:rsidRPr="00150AC1">
        <w:rPr>
          <w:color w:val="000000"/>
        </w:rPr>
        <w:t>ction</w:t>
      </w:r>
      <w:r w:rsidR="00193EB3" w:rsidRPr="00150AC1">
        <w:rPr>
          <w:color w:val="000000"/>
        </w:rPr>
        <w:t xml:space="preserve"> </w:t>
      </w:r>
      <w:r w:rsidR="00C77021" w:rsidRPr="00150AC1">
        <w:rPr>
          <w:color w:val="000000"/>
        </w:rPr>
        <w:t>IV</w:t>
      </w:r>
      <w:r w:rsidRPr="00150AC1">
        <w:rPr>
          <w:color w:val="000000"/>
        </w:rPr>
        <w:t>, a copy of this advice letter is being sent electronically and via U.S. mail to parties shown on the attached list and the parties on the service list</w:t>
      </w:r>
      <w:r w:rsidR="00E66501">
        <w:rPr>
          <w:color w:val="000000"/>
        </w:rPr>
        <w:t>s</w:t>
      </w:r>
      <w:r w:rsidRPr="00150AC1">
        <w:rPr>
          <w:color w:val="000000"/>
        </w:rPr>
        <w:t xml:space="preserve"> for </w:t>
      </w:r>
      <w:r w:rsidR="00150AC1" w:rsidRPr="00150AC1">
        <w:rPr>
          <w:color w:val="000000"/>
        </w:rPr>
        <w:t>R.13-11-005</w:t>
      </w:r>
      <w:r w:rsidR="00E66501">
        <w:rPr>
          <w:color w:val="000000"/>
        </w:rPr>
        <w:t xml:space="preserve">, </w:t>
      </w:r>
      <w:r w:rsidR="00E66501" w:rsidRPr="00E66501">
        <w:rPr>
          <w:color w:val="000000"/>
        </w:rPr>
        <w:t>A.17-01-013</w:t>
      </w:r>
      <w:r w:rsidR="004E495D">
        <w:rPr>
          <w:color w:val="000000"/>
        </w:rPr>
        <w:t xml:space="preserve"> et al</w:t>
      </w:r>
      <w:r w:rsidRPr="00150AC1">
        <w:rPr>
          <w:color w:val="000000"/>
        </w:rPr>
        <w:t xml:space="preserve">.  Address changes to the General Order 96-B service list should be directed to </w:t>
      </w:r>
      <w:r w:rsidR="00AC2853" w:rsidRPr="00150AC1">
        <w:rPr>
          <w:color w:val="000000"/>
        </w:rPr>
        <w:t>PG&amp;E at email address PGETariffs@pge.com</w:t>
      </w:r>
      <w:r w:rsidRPr="00150AC1">
        <w:rPr>
          <w:color w:val="000000"/>
        </w:rPr>
        <w:t>.  For changes to any other service list, please contact the Commission’s Proc</w:t>
      </w:r>
      <w:r w:rsidRPr="0037624A">
        <w:rPr>
          <w:color w:val="000000"/>
        </w:rPr>
        <w:t>ess Office at (415) 703-2021 or at Process</w:t>
      </w:r>
      <w:r w:rsidR="006208EC" w:rsidRPr="0037624A">
        <w:rPr>
          <w:color w:val="000000"/>
        </w:rPr>
        <w:t>_</w:t>
      </w:r>
      <w:r w:rsidRPr="0037624A">
        <w:rPr>
          <w:color w:val="000000"/>
        </w:rPr>
        <w:t xml:space="preserve">Office@cpuc.ca.gov.  Send all electronic approvals to PGETariffs@pge.com.  Advice letter filings can also be accessed electronically at: </w:t>
      </w:r>
      <w:r w:rsidR="001F5D85" w:rsidRPr="0037624A">
        <w:t>http://www.pge.com/tariffs</w:t>
      </w:r>
      <w:bookmarkEnd w:id="7"/>
      <w:bookmarkEnd w:id="8"/>
      <w:r w:rsidR="007B077A">
        <w:t>/.</w:t>
      </w:r>
    </w:p>
    <w:p w14:paraId="151C4C1D" w14:textId="77777777" w:rsidR="0055571C" w:rsidRPr="0037624A" w:rsidRDefault="0055571C" w:rsidP="008E6649">
      <w:pPr>
        <w:rPr>
          <w:color w:val="000000"/>
        </w:rPr>
      </w:pPr>
    </w:p>
    <w:p w14:paraId="79A0A59C" w14:textId="77777777" w:rsidR="0055571C" w:rsidRPr="0037624A" w:rsidRDefault="0055571C" w:rsidP="008E6649">
      <w:pPr>
        <w:rPr>
          <w:color w:val="000000"/>
        </w:rPr>
      </w:pPr>
    </w:p>
    <w:p w14:paraId="22FE50E7" w14:textId="77777777" w:rsidR="0055571C" w:rsidRDefault="00AE02D4" w:rsidP="008E6649">
      <w:pPr>
        <w:rPr>
          <w:color w:val="000000"/>
          <w:u w:val="single"/>
        </w:rPr>
      </w:pPr>
      <w:r>
        <w:rPr>
          <w:color w:val="000000"/>
          <w:u w:val="single"/>
        </w:rPr>
        <w:tab/>
      </w:r>
      <w:r>
        <w:rPr>
          <w:color w:val="000000"/>
          <w:u w:val="single"/>
        </w:rPr>
        <w:tab/>
        <w:t>/S/</w:t>
      </w:r>
      <w:r>
        <w:rPr>
          <w:color w:val="000000"/>
          <w:u w:val="single"/>
        </w:rPr>
        <w:tab/>
      </w:r>
      <w:r>
        <w:rPr>
          <w:color w:val="000000"/>
          <w:u w:val="single"/>
        </w:rPr>
        <w:tab/>
      </w:r>
      <w:r>
        <w:rPr>
          <w:color w:val="000000"/>
          <w:u w:val="single"/>
        </w:rPr>
        <w:tab/>
      </w:r>
    </w:p>
    <w:p w14:paraId="117271E2" w14:textId="77777777" w:rsidR="00AE02D4" w:rsidRPr="00AE02D4" w:rsidRDefault="00120425" w:rsidP="008E6649">
      <w:pPr>
        <w:rPr>
          <w:color w:val="000000"/>
        </w:rPr>
      </w:pPr>
      <w:r>
        <w:rPr>
          <w:color w:val="000000"/>
        </w:rPr>
        <w:t>Erik Jacobson</w:t>
      </w:r>
    </w:p>
    <w:p w14:paraId="6E8794E9" w14:textId="77777777" w:rsidR="001F5D85" w:rsidRPr="0037624A" w:rsidRDefault="00085268" w:rsidP="008E6649">
      <w:pPr>
        <w:rPr>
          <w:color w:val="000000"/>
        </w:rPr>
      </w:pPr>
      <w:r>
        <w:rPr>
          <w:color w:val="000000"/>
        </w:rPr>
        <w:t>Director</w:t>
      </w:r>
      <w:r w:rsidR="001F5D85" w:rsidRPr="0037624A">
        <w:rPr>
          <w:color w:val="000000"/>
        </w:rPr>
        <w:t>, Regulat</w:t>
      </w:r>
      <w:r w:rsidR="00135C8C" w:rsidRPr="0037624A">
        <w:rPr>
          <w:color w:val="000000"/>
        </w:rPr>
        <w:t>ory Relations</w:t>
      </w:r>
    </w:p>
    <w:p w14:paraId="6268961E" w14:textId="77777777" w:rsidR="001F5D85" w:rsidRDefault="001F5D85" w:rsidP="008E6649">
      <w:pPr>
        <w:rPr>
          <w:color w:val="000000"/>
        </w:rPr>
      </w:pPr>
    </w:p>
    <w:p w14:paraId="159600F1" w14:textId="77777777" w:rsidR="00F3021F" w:rsidRDefault="00F3021F" w:rsidP="008E6649">
      <w:pPr>
        <w:rPr>
          <w:color w:val="000000"/>
        </w:rPr>
      </w:pPr>
    </w:p>
    <w:p w14:paraId="36AECE08" w14:textId="77777777" w:rsidR="00F3021F" w:rsidRDefault="00F3021F" w:rsidP="008E6649">
      <w:pPr>
        <w:rPr>
          <w:color w:val="000000"/>
        </w:rPr>
      </w:pPr>
    </w:p>
    <w:p w14:paraId="494EBB35" w14:textId="4A0C45BA" w:rsidR="00EC5504" w:rsidRPr="0037624A" w:rsidRDefault="00EC5504" w:rsidP="008E6649">
      <w:pPr>
        <w:rPr>
          <w:color w:val="000000"/>
        </w:rPr>
      </w:pPr>
      <w:r>
        <w:rPr>
          <w:color w:val="000000"/>
        </w:rPr>
        <w:t>Attachments</w:t>
      </w:r>
    </w:p>
    <w:p w14:paraId="29DD5A6D" w14:textId="77777777" w:rsidR="00DF1D16" w:rsidRDefault="00DF1D16" w:rsidP="00F31737">
      <w:pPr>
        <w:pStyle w:val="ListParagraph"/>
        <w:numPr>
          <w:ilvl w:val="0"/>
          <w:numId w:val="3"/>
        </w:numPr>
        <w:rPr>
          <w:color w:val="000000"/>
        </w:rPr>
      </w:pPr>
      <w:r w:rsidDel="00C3387E">
        <w:rPr>
          <w:color w:val="000000"/>
        </w:rPr>
        <w:t>Attach</w:t>
      </w:r>
      <w:r w:rsidRPr="009047D2" w:rsidDel="00C3387E">
        <w:rPr>
          <w:color w:val="000000"/>
        </w:rPr>
        <w:t>ment</w:t>
      </w:r>
      <w:r w:rsidRPr="0010275E" w:rsidDel="00C3387E">
        <w:rPr>
          <w:color w:val="000000"/>
        </w:rPr>
        <w:t xml:space="preserve"> </w:t>
      </w:r>
      <w:r w:rsidRPr="008660D4" w:rsidDel="00C3387E">
        <w:rPr>
          <w:color w:val="000000"/>
        </w:rPr>
        <w:t xml:space="preserve">1 </w:t>
      </w:r>
      <w:r w:rsidRPr="008660D4">
        <w:rPr>
          <w:color w:val="000000"/>
        </w:rPr>
        <w:t>–</w:t>
      </w:r>
      <w:r w:rsidRPr="00740F34" w:rsidDel="00C3387E">
        <w:rPr>
          <w:color w:val="000000"/>
        </w:rPr>
        <w:t xml:space="preserve"> </w:t>
      </w:r>
      <w:r w:rsidRPr="00DD481E">
        <w:rPr>
          <w:color w:val="000000"/>
        </w:rPr>
        <w:t>CEDARS Filing Confirmation</w:t>
      </w:r>
    </w:p>
    <w:p w14:paraId="1096151C" w14:textId="3B397EA6" w:rsidR="00DF1D16" w:rsidRPr="00740F34" w:rsidDel="00C3387E" w:rsidRDefault="00DF1D16" w:rsidP="00F31737">
      <w:pPr>
        <w:pStyle w:val="ListParagraph"/>
        <w:numPr>
          <w:ilvl w:val="0"/>
          <w:numId w:val="3"/>
        </w:numPr>
        <w:rPr>
          <w:color w:val="000000"/>
        </w:rPr>
      </w:pPr>
      <w:r w:rsidRPr="00740F34" w:rsidDel="00C3387E">
        <w:rPr>
          <w:color w:val="000000"/>
        </w:rPr>
        <w:t xml:space="preserve">Attachment </w:t>
      </w:r>
      <w:r w:rsidR="00B01799">
        <w:rPr>
          <w:color w:val="000000"/>
        </w:rPr>
        <w:t>2</w:t>
      </w:r>
      <w:r w:rsidR="00B01799" w:rsidRPr="00740F34" w:rsidDel="00C3387E">
        <w:rPr>
          <w:color w:val="000000"/>
        </w:rPr>
        <w:t xml:space="preserve"> </w:t>
      </w:r>
      <w:r>
        <w:rPr>
          <w:color w:val="000000"/>
        </w:rPr>
        <w:t>–</w:t>
      </w:r>
      <w:r w:rsidRPr="00740F34" w:rsidDel="00C3387E">
        <w:rPr>
          <w:color w:val="000000"/>
        </w:rPr>
        <w:t xml:space="preserve"> </w:t>
      </w:r>
      <w:r w:rsidR="00F31737">
        <w:rPr>
          <w:color w:val="000000"/>
        </w:rPr>
        <w:t>TBD</w:t>
      </w:r>
    </w:p>
    <w:p w14:paraId="68B4818D" w14:textId="54E50556" w:rsidR="00DF1D16" w:rsidRPr="00740F34" w:rsidDel="00C3387E" w:rsidRDefault="00DF1D16" w:rsidP="00F31737">
      <w:pPr>
        <w:pStyle w:val="ListParagraph"/>
        <w:numPr>
          <w:ilvl w:val="0"/>
          <w:numId w:val="3"/>
        </w:numPr>
        <w:rPr>
          <w:color w:val="000000"/>
        </w:rPr>
      </w:pPr>
      <w:r>
        <w:rPr>
          <w:color w:val="000000"/>
        </w:rPr>
        <w:t xml:space="preserve">Attachment </w:t>
      </w:r>
      <w:r w:rsidR="00B01799">
        <w:rPr>
          <w:color w:val="000000"/>
        </w:rPr>
        <w:t xml:space="preserve">3 </w:t>
      </w:r>
      <w:r>
        <w:rPr>
          <w:color w:val="000000"/>
        </w:rPr>
        <w:t xml:space="preserve">– </w:t>
      </w:r>
      <w:r w:rsidR="00F31737">
        <w:rPr>
          <w:color w:val="000000"/>
        </w:rPr>
        <w:t>TBD</w:t>
      </w:r>
    </w:p>
    <w:p w14:paraId="36DCE04F" w14:textId="7431B0B6" w:rsidR="00D545F0" w:rsidRDefault="00DF1D16" w:rsidP="00F31737">
      <w:pPr>
        <w:pStyle w:val="ListParagraph"/>
        <w:numPr>
          <w:ilvl w:val="0"/>
          <w:numId w:val="3"/>
        </w:numPr>
        <w:rPr>
          <w:color w:val="000000"/>
        </w:rPr>
      </w:pPr>
      <w:r>
        <w:rPr>
          <w:color w:val="000000"/>
        </w:rPr>
        <w:t xml:space="preserve">Attachment </w:t>
      </w:r>
      <w:r w:rsidR="00B01799">
        <w:rPr>
          <w:color w:val="000000"/>
        </w:rPr>
        <w:t xml:space="preserve">4 </w:t>
      </w:r>
      <w:r>
        <w:rPr>
          <w:color w:val="000000"/>
        </w:rPr>
        <w:t xml:space="preserve">– </w:t>
      </w:r>
      <w:r w:rsidR="00F31737">
        <w:rPr>
          <w:color w:val="000000"/>
        </w:rPr>
        <w:t>TBD</w:t>
      </w:r>
    </w:p>
    <w:p w14:paraId="31551DD2" w14:textId="6253A722" w:rsidR="00F31737" w:rsidRDefault="00F31737" w:rsidP="00F31737">
      <w:pPr>
        <w:pStyle w:val="ListParagraph"/>
        <w:numPr>
          <w:ilvl w:val="0"/>
          <w:numId w:val="3"/>
        </w:numPr>
        <w:rPr>
          <w:color w:val="000000"/>
        </w:rPr>
      </w:pPr>
      <w:r>
        <w:rPr>
          <w:color w:val="000000"/>
        </w:rPr>
        <w:t>Attachment 5- Sector-level Metrics</w:t>
      </w:r>
    </w:p>
    <w:p w14:paraId="723660E8" w14:textId="3BD51F0B" w:rsidR="00E62EDE" w:rsidRPr="0038314A" w:rsidRDefault="00E62EDE" w:rsidP="000374A2">
      <w:pPr>
        <w:pStyle w:val="ListParagraph"/>
        <w:rPr>
          <w:color w:val="000000"/>
        </w:rPr>
      </w:pPr>
    </w:p>
    <w:p w14:paraId="6D416A34" w14:textId="77777777" w:rsidR="001F5D85" w:rsidRPr="0037624A" w:rsidRDefault="001F5D85" w:rsidP="008E6649">
      <w:pPr>
        <w:rPr>
          <w:color w:val="000000"/>
        </w:rPr>
      </w:pPr>
    </w:p>
    <w:p w14:paraId="4171F281" w14:textId="1AC1BF33" w:rsidR="009B6B42" w:rsidRDefault="00CB6EAA" w:rsidP="00E66775">
      <w:pPr>
        <w:ind w:left="720" w:hanging="720"/>
        <w:rPr>
          <w:color w:val="000000"/>
        </w:rPr>
      </w:pPr>
      <w:r>
        <w:rPr>
          <w:color w:val="000000"/>
        </w:rPr>
        <w:t>cc:</w:t>
      </w:r>
      <w:r>
        <w:rPr>
          <w:color w:val="000000"/>
        </w:rPr>
        <w:tab/>
      </w:r>
      <w:r w:rsidR="009B6B42">
        <w:rPr>
          <w:color w:val="000000"/>
        </w:rPr>
        <w:t xml:space="preserve">Peter </w:t>
      </w:r>
      <w:r w:rsidR="009B6B42" w:rsidRPr="009B6B42">
        <w:rPr>
          <w:color w:val="000000"/>
        </w:rPr>
        <w:t>Franzese</w:t>
      </w:r>
      <w:r w:rsidR="009B6B42">
        <w:rPr>
          <w:color w:val="000000"/>
        </w:rPr>
        <w:t>, Energy Division</w:t>
      </w:r>
    </w:p>
    <w:p w14:paraId="01C37C02" w14:textId="481383B5" w:rsidR="00C3387E" w:rsidRDefault="009B6B42" w:rsidP="00E66775">
      <w:pPr>
        <w:ind w:left="720" w:hanging="720"/>
        <w:rPr>
          <w:color w:val="000000"/>
        </w:rPr>
      </w:pPr>
      <w:r>
        <w:rPr>
          <w:color w:val="000000"/>
        </w:rPr>
        <w:tab/>
      </w:r>
      <w:r w:rsidR="001F5D85" w:rsidRPr="0037624A">
        <w:rPr>
          <w:color w:val="000000"/>
        </w:rPr>
        <w:t>Service List</w:t>
      </w:r>
      <w:r w:rsidR="0079078D">
        <w:rPr>
          <w:color w:val="000000"/>
        </w:rPr>
        <w:t xml:space="preserve"> </w:t>
      </w:r>
      <w:r w:rsidR="0079078D" w:rsidRPr="00150AC1">
        <w:rPr>
          <w:color w:val="000000"/>
        </w:rPr>
        <w:t>R.13-11-005</w:t>
      </w:r>
    </w:p>
    <w:p w14:paraId="631C2D52" w14:textId="682F753B" w:rsidR="00740F50" w:rsidRDefault="00740F50" w:rsidP="00E66775">
      <w:pPr>
        <w:ind w:left="720" w:hanging="720"/>
        <w:rPr>
          <w:color w:val="000000"/>
        </w:rPr>
      </w:pPr>
      <w:r>
        <w:rPr>
          <w:color w:val="000000"/>
        </w:rPr>
        <w:tab/>
        <w:t xml:space="preserve">Service List </w:t>
      </w:r>
      <w:r w:rsidRPr="00E66501">
        <w:rPr>
          <w:color w:val="000000"/>
        </w:rPr>
        <w:t>A.17-01-013</w:t>
      </w:r>
      <w:r>
        <w:rPr>
          <w:color w:val="000000"/>
        </w:rPr>
        <w:t xml:space="preserve"> </w:t>
      </w:r>
      <w:r w:rsidR="00E64E3E">
        <w:rPr>
          <w:color w:val="000000"/>
        </w:rPr>
        <w:t>et al.</w:t>
      </w:r>
    </w:p>
    <w:p w14:paraId="59BE686D" w14:textId="40170F7C" w:rsidR="00C3387E" w:rsidRDefault="00C3387E" w:rsidP="00740F50">
      <w:pPr>
        <w:ind w:left="720"/>
        <w:rPr>
          <w:color w:val="000000"/>
        </w:rPr>
      </w:pPr>
    </w:p>
    <w:sectPr w:rsidR="00C3387E" w:rsidSect="00145380">
      <w:pgSz w:w="12240" w:h="15840" w:code="1"/>
      <w:pgMar w:top="1440" w:right="1440" w:bottom="1440" w:left="1440" w:header="100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492C8" w14:textId="77777777" w:rsidR="00B95903" w:rsidRDefault="00B95903">
      <w:r>
        <w:separator/>
      </w:r>
    </w:p>
  </w:endnote>
  <w:endnote w:type="continuationSeparator" w:id="0">
    <w:p w14:paraId="1EDE4158" w14:textId="77777777" w:rsidR="00B95903" w:rsidRDefault="00B95903">
      <w:r>
        <w:continuationSeparator/>
      </w:r>
    </w:p>
  </w:endnote>
  <w:endnote w:type="continuationNotice" w:id="1">
    <w:p w14:paraId="1E14174F" w14:textId="77777777" w:rsidR="00B95903" w:rsidRDefault="00B95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altName w:val="Univers Condensed"/>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1502" w14:textId="77777777" w:rsidR="00B95903" w:rsidRDefault="00B95903">
      <w:r>
        <w:separator/>
      </w:r>
    </w:p>
  </w:footnote>
  <w:footnote w:type="continuationSeparator" w:id="0">
    <w:p w14:paraId="20A0CEE7" w14:textId="77777777" w:rsidR="00B95903" w:rsidRDefault="00B95903">
      <w:r>
        <w:continuationSeparator/>
      </w:r>
    </w:p>
  </w:footnote>
  <w:footnote w:type="continuationNotice" w:id="1">
    <w:p w14:paraId="0DC63009" w14:textId="77777777" w:rsidR="00B95903" w:rsidRDefault="00B95903"/>
  </w:footnote>
  <w:footnote w:id="2">
    <w:p w14:paraId="798BF96B" w14:textId="12A4F18F" w:rsidR="00EF653C" w:rsidRPr="00260E01" w:rsidRDefault="00EF653C" w:rsidP="00926096">
      <w:pPr>
        <w:pStyle w:val="FootnoteText"/>
        <w:ind w:left="270" w:hanging="270"/>
        <w:jc w:val="both"/>
        <w:rPr>
          <w:sz w:val="22"/>
          <w:szCs w:val="22"/>
        </w:rPr>
      </w:pPr>
      <w:r w:rsidRPr="00260E01">
        <w:rPr>
          <w:rStyle w:val="FootnoteReference"/>
          <w:sz w:val="22"/>
          <w:szCs w:val="22"/>
        </w:rPr>
        <w:footnoteRef/>
      </w:r>
      <w:r w:rsidRPr="00260E01">
        <w:rPr>
          <w:sz w:val="22"/>
          <w:szCs w:val="22"/>
        </w:rPr>
        <w:tab/>
        <w:t xml:space="preserve">D.15-10-028, Ordering Paragraph (OP) 4. </w:t>
      </w:r>
    </w:p>
  </w:footnote>
  <w:footnote w:id="3">
    <w:p w14:paraId="547398D1" w14:textId="40197A4C" w:rsidR="00EF653C" w:rsidRPr="00260E01" w:rsidRDefault="00EF653C"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t>D.</w:t>
      </w:r>
      <w:r>
        <w:rPr>
          <w:sz w:val="22"/>
          <w:szCs w:val="22"/>
        </w:rPr>
        <w:t>18-05-041</w:t>
      </w:r>
      <w:r w:rsidRPr="00260E01">
        <w:rPr>
          <w:sz w:val="22"/>
          <w:szCs w:val="22"/>
        </w:rPr>
        <w:t xml:space="preserve">, </w:t>
      </w:r>
      <w:r>
        <w:rPr>
          <w:sz w:val="22"/>
          <w:szCs w:val="22"/>
        </w:rPr>
        <w:t>OP</w:t>
      </w:r>
      <w:r w:rsidRPr="00260E01">
        <w:rPr>
          <w:sz w:val="22"/>
          <w:szCs w:val="22"/>
        </w:rPr>
        <w:t xml:space="preserve"> 4</w:t>
      </w:r>
      <w:r>
        <w:rPr>
          <w:sz w:val="22"/>
          <w:szCs w:val="22"/>
        </w:rPr>
        <w:t>1-47</w:t>
      </w:r>
      <w:r w:rsidRPr="00260E01">
        <w:rPr>
          <w:sz w:val="22"/>
          <w:szCs w:val="22"/>
        </w:rPr>
        <w:t xml:space="preserve">. </w:t>
      </w:r>
    </w:p>
  </w:footnote>
  <w:footnote w:id="4">
    <w:p w14:paraId="30F63D30" w14:textId="34BA45C6" w:rsidR="00EF653C" w:rsidRPr="00260E01" w:rsidRDefault="00EF653C"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t>D.15-10-028, OP 4.</w:t>
      </w:r>
    </w:p>
  </w:footnote>
  <w:footnote w:id="5">
    <w:p w14:paraId="410F943C" w14:textId="2C757CF1" w:rsidR="00EF653C" w:rsidRPr="00260E01" w:rsidRDefault="00EF653C" w:rsidP="002A34EA">
      <w:pPr>
        <w:pStyle w:val="FootnoteText"/>
        <w:ind w:left="270" w:hanging="270"/>
        <w:jc w:val="both"/>
        <w:rPr>
          <w:sz w:val="22"/>
          <w:szCs w:val="22"/>
        </w:rPr>
      </w:pPr>
      <w:r w:rsidRPr="00166733">
        <w:rPr>
          <w:rStyle w:val="FootnoteReference"/>
          <w:szCs w:val="22"/>
        </w:rPr>
        <w:footnoteRef/>
      </w:r>
      <w:r>
        <w:rPr>
          <w:szCs w:val="22"/>
        </w:rPr>
        <w:t xml:space="preserve"> </w:t>
      </w:r>
      <w:r w:rsidRPr="00166733">
        <w:rPr>
          <w:szCs w:val="22"/>
        </w:rPr>
        <w:t xml:space="preserve"> D.18-05-041, Ordering Paragraph (OP) 41-47. </w:t>
      </w:r>
    </w:p>
  </w:footnote>
  <w:footnote w:id="6">
    <w:p w14:paraId="3093CA02" w14:textId="1FD9205F" w:rsidR="00EF653C" w:rsidRDefault="00EF653C" w:rsidP="00166733">
      <w:pPr>
        <w:pStyle w:val="FootnoteText"/>
      </w:pPr>
      <w:r>
        <w:rPr>
          <w:rStyle w:val="FootnoteReference"/>
        </w:rPr>
        <w:footnoteRef/>
      </w:r>
      <w:r>
        <w:t xml:space="preserve"> </w:t>
      </w:r>
      <w:r>
        <w:rPr>
          <w:i/>
        </w:rPr>
        <w:t xml:space="preserve"> </w:t>
      </w:r>
      <w:r>
        <w:t xml:space="preserve">D.15-10-028, OP 4. </w:t>
      </w:r>
    </w:p>
  </w:footnote>
  <w:footnote w:id="7">
    <w:p w14:paraId="30B98293" w14:textId="6F9561C1" w:rsidR="00EF653C" w:rsidRDefault="00EF653C" w:rsidP="00166733">
      <w:pPr>
        <w:pStyle w:val="FootnoteText"/>
      </w:pPr>
      <w:r>
        <w:rPr>
          <w:rStyle w:val="FootnoteReference"/>
        </w:rPr>
        <w:footnoteRef/>
      </w:r>
      <w:r>
        <w:t xml:space="preserve">  D.18-05-041, p. 133</w:t>
      </w:r>
    </w:p>
  </w:footnote>
  <w:footnote w:id="8">
    <w:p w14:paraId="60018AC0" w14:textId="32470065" w:rsidR="00EF653C" w:rsidRPr="00260E01" w:rsidRDefault="00EF653C" w:rsidP="002E376F">
      <w:pPr>
        <w:pStyle w:val="FootnoteText"/>
        <w:ind w:left="274" w:hanging="274"/>
        <w:contextualSpacing/>
        <w:jc w:val="both"/>
        <w:rPr>
          <w:rFonts w:cs="Arial"/>
          <w:sz w:val="22"/>
          <w:szCs w:val="22"/>
        </w:rPr>
      </w:pPr>
      <w:r w:rsidRPr="00260E01">
        <w:rPr>
          <w:rStyle w:val="FootnoteReference"/>
          <w:sz w:val="22"/>
          <w:szCs w:val="22"/>
        </w:rPr>
        <w:footnoteRef/>
      </w:r>
      <w:r>
        <w:rPr>
          <w:rFonts w:cs="Arial"/>
          <w:sz w:val="22"/>
          <w:szCs w:val="22"/>
        </w:rPr>
        <w:t xml:space="preserve">  </w:t>
      </w:r>
      <w:r w:rsidRPr="00AA1191">
        <w:t>Statewide Marketing, Education and Outreach (SW ME&amp;O) is requested in a separate Commission proceeding and is not reflected in the Total EE Budget. The portion of SW ME&amp;O allocated to EE is reflected in PG&amp;E's cost-effectiveness calculations.</w:t>
      </w:r>
      <w:r w:rsidRPr="00260E01">
        <w:rPr>
          <w:color w:val="000000"/>
          <w:sz w:val="22"/>
          <w:szCs w:val="22"/>
        </w:rPr>
        <w:t xml:space="preserve"> </w:t>
      </w:r>
    </w:p>
  </w:footnote>
  <w:footnote w:id="9">
    <w:p w14:paraId="358109EE" w14:textId="68E6EA2C" w:rsidR="00947C8A" w:rsidRDefault="00947C8A" w:rsidP="00AA1191">
      <w:pPr>
        <w:pStyle w:val="FootnoteText"/>
        <w:ind w:left="270" w:hanging="270"/>
        <w:contextualSpacing/>
        <w:jc w:val="both"/>
      </w:pPr>
      <w:r>
        <w:rPr>
          <w:rStyle w:val="FootnoteReference"/>
        </w:rPr>
        <w:footnoteRef/>
      </w:r>
      <w:r>
        <w:t xml:space="preserve">   BayREN, MCE, and 3C-REN’s budgets include EM&amp;V</w:t>
      </w:r>
    </w:p>
  </w:footnote>
  <w:footnote w:id="10">
    <w:p w14:paraId="0856E34A" w14:textId="77777777" w:rsidR="00947C8A" w:rsidRDefault="00947C8A" w:rsidP="00947C8A">
      <w:pPr>
        <w:pStyle w:val="FootnoteText"/>
      </w:pPr>
      <w:r>
        <w:rPr>
          <w:rStyle w:val="FootnoteReference"/>
        </w:rPr>
        <w:footnoteRef/>
      </w:r>
      <w:r>
        <w:t xml:space="preserve">    Goals shown include ESA and Codes and Standards, per D.17-09-025.</w:t>
      </w:r>
    </w:p>
    <w:p w14:paraId="5E6A6826" w14:textId="3409A894" w:rsidR="00947C8A" w:rsidRDefault="00947C8A">
      <w:pPr>
        <w:pStyle w:val="FootnoteText"/>
      </w:pPr>
    </w:p>
  </w:footnote>
  <w:footnote w:id="11">
    <w:p w14:paraId="59535EB8" w14:textId="594C3C23" w:rsidR="00EF653C" w:rsidRPr="007C32C2" w:rsidRDefault="00EF653C" w:rsidP="00260E01">
      <w:pPr>
        <w:pStyle w:val="FootnoteText"/>
        <w:ind w:left="270" w:hanging="270"/>
        <w:jc w:val="both"/>
        <w:rPr>
          <w:rFonts w:cs="Arial"/>
          <w:color w:val="FF0000"/>
          <w:sz w:val="22"/>
          <w:szCs w:val="22"/>
        </w:rPr>
      </w:pPr>
      <w:r w:rsidRPr="00260E01">
        <w:rPr>
          <w:rStyle w:val="FootnoteReference"/>
          <w:sz w:val="22"/>
          <w:szCs w:val="22"/>
        </w:rPr>
        <w:footnoteRef/>
      </w:r>
      <w:r w:rsidRPr="002D512A">
        <w:rPr>
          <w:rFonts w:cs="Arial"/>
          <w:iCs/>
          <w:sz w:val="22"/>
          <w:szCs w:val="22"/>
        </w:rPr>
        <w:tab/>
      </w:r>
      <w:r w:rsidRPr="00AA1191">
        <w:t>The 2019 CET User Interface from CEDARS was used to calculate cost-effectiveness.</w:t>
      </w:r>
      <w:r>
        <w:rPr>
          <w:sz w:val="22"/>
          <w:szCs w:val="22"/>
        </w:rPr>
        <w:t xml:space="preserve"> </w:t>
      </w:r>
    </w:p>
  </w:footnote>
  <w:footnote w:id="12">
    <w:p w14:paraId="6627D3F3" w14:textId="29822FD1" w:rsidR="00EF653C" w:rsidRPr="00260E01" w:rsidRDefault="00EF653C" w:rsidP="00260E01">
      <w:pPr>
        <w:pStyle w:val="FootnoteText"/>
        <w:tabs>
          <w:tab w:val="left" w:pos="270"/>
        </w:tabs>
        <w:ind w:left="270" w:hanging="270"/>
        <w:jc w:val="both"/>
        <w:rPr>
          <w:sz w:val="22"/>
          <w:szCs w:val="22"/>
        </w:rPr>
      </w:pPr>
      <w:r w:rsidRPr="00260E01">
        <w:rPr>
          <w:rStyle w:val="FootnoteReference"/>
          <w:sz w:val="22"/>
          <w:szCs w:val="22"/>
        </w:rPr>
        <w:footnoteRef/>
      </w:r>
      <w:r w:rsidRPr="00260E01">
        <w:rPr>
          <w:sz w:val="22"/>
          <w:szCs w:val="22"/>
        </w:rPr>
        <w:t xml:space="preserve"> </w:t>
      </w:r>
      <w:r w:rsidRPr="00260E01">
        <w:rPr>
          <w:sz w:val="22"/>
          <w:szCs w:val="22"/>
        </w:rPr>
        <w:tab/>
      </w:r>
      <w:r w:rsidRPr="00AA1191">
        <w:t>BayREN and MCE costs (including EM&amp;V) are excluded.</w:t>
      </w:r>
      <w:r w:rsidRPr="00260E01">
        <w:rPr>
          <w:sz w:val="22"/>
          <w:szCs w:val="22"/>
        </w:rPr>
        <w:t xml:space="preserve"> </w:t>
      </w:r>
    </w:p>
  </w:footnote>
  <w:footnote w:id="13">
    <w:p w14:paraId="6EE592EF" w14:textId="5AC59EFF" w:rsidR="00EF653C" w:rsidRPr="00260E01" w:rsidRDefault="00EF653C"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 xml:space="preserve"> </w:t>
      </w:r>
      <w:r w:rsidRPr="00260E01">
        <w:rPr>
          <w:sz w:val="22"/>
          <w:szCs w:val="22"/>
        </w:rPr>
        <w:tab/>
      </w:r>
      <w:r w:rsidRPr="00AA1191">
        <w:rPr>
          <w:szCs w:val="22"/>
        </w:rPr>
        <w:t>Resolution G-3510, Finding 14.</w:t>
      </w:r>
    </w:p>
  </w:footnote>
  <w:footnote w:id="14">
    <w:p w14:paraId="54B0BFD0" w14:textId="735616E5" w:rsidR="00EF653C" w:rsidRPr="00260E01" w:rsidRDefault="00EF653C"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r>
      <w:r w:rsidRPr="00AA1191">
        <w:rPr>
          <w:szCs w:val="22"/>
        </w:rPr>
        <w:t xml:space="preserve">Prior to the Rolling Portfolio, PAs forecasted 3-year portfolio cycles, which allowed for a longer-term view of cost-effectiveness projections. </w:t>
      </w:r>
    </w:p>
  </w:footnote>
  <w:footnote w:id="15">
    <w:p w14:paraId="452719F4" w14:textId="237B370A" w:rsidR="00EF653C" w:rsidRPr="00260E01" w:rsidRDefault="00EF653C"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 xml:space="preserve"> </w:t>
      </w:r>
      <w:r w:rsidRPr="00260E01">
        <w:rPr>
          <w:sz w:val="22"/>
          <w:szCs w:val="22"/>
        </w:rPr>
        <w:tab/>
      </w:r>
      <w:r w:rsidRPr="00AA1191">
        <w:t>Energy Efficiency Potential and Goals Study for 2015 and Beyond, p. v. (Update to 2018 reference)</w:t>
      </w:r>
    </w:p>
  </w:footnote>
  <w:footnote w:id="16">
    <w:p w14:paraId="0B83AEB9" w14:textId="3EBC62E0" w:rsidR="00EF653C" w:rsidRPr="00260E01" w:rsidRDefault="00EF653C"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 xml:space="preserve"> </w:t>
      </w:r>
      <w:r w:rsidRPr="00AA1191">
        <w:rPr>
          <w:szCs w:val="22"/>
        </w:rPr>
        <w:tab/>
        <w:t>D.17-08-022</w:t>
      </w:r>
    </w:p>
  </w:footnote>
  <w:footnote w:id="17">
    <w:p w14:paraId="4CD700A5" w14:textId="77777777" w:rsidR="00EF653C" w:rsidRDefault="00EF653C" w:rsidP="009956AB">
      <w:pPr>
        <w:pStyle w:val="FootnoteText"/>
      </w:pPr>
      <w:r>
        <w:rPr>
          <w:rStyle w:val="FootnoteReference"/>
        </w:rPr>
        <w:footnoteRef/>
      </w:r>
      <w:r>
        <w:t xml:space="preserve"> a. </w:t>
      </w:r>
      <w:r w:rsidRPr="009956AB">
        <w:rPr>
          <w:i/>
          <w:iCs/>
        </w:rPr>
        <w:t>PG&amp;E Whole House Program: Marketing and Targeting Analysis. Opinion Dynamics Corporation, 2014. CALMAC ID: PGE0302.05</w:t>
      </w:r>
      <w:r>
        <w:t xml:space="preserve"> b. </w:t>
      </w:r>
      <w:r w:rsidRPr="008F4DEF">
        <w:rPr>
          <w:i/>
          <w:iCs/>
        </w:rPr>
        <w:t>Energy Upgrade California – Home Upgrade Program Process Evaluation 2014-2015</w:t>
      </w:r>
      <w:r w:rsidRPr="008F4DEF">
        <w:t>, EMI Consulting, 2015. CALMAC ID: PGE0389.01</w:t>
      </w:r>
      <w:r>
        <w:t xml:space="preserve">, </w:t>
      </w:r>
      <w:r w:rsidRPr="008F4DEF">
        <w:t xml:space="preserve"> </w:t>
      </w:r>
      <w:r w:rsidRPr="008F4DEF">
        <w:rPr>
          <w:i/>
          <w:iCs/>
        </w:rPr>
        <w:t xml:space="preserve"> </w:t>
      </w:r>
    </w:p>
  </w:footnote>
  <w:footnote w:id="18">
    <w:p w14:paraId="5ABC77FC" w14:textId="712BC5E6" w:rsidR="00EF653C" w:rsidRDefault="00EF653C">
      <w:pPr>
        <w:pStyle w:val="FootnoteText"/>
      </w:pPr>
      <w:r>
        <w:rPr>
          <w:rStyle w:val="FootnoteReference"/>
        </w:rPr>
        <w:footnoteRef/>
      </w:r>
      <w:r>
        <w:t xml:space="preserve"> </w:t>
      </w:r>
      <w:r w:rsidRPr="00A17E8B">
        <w:t>The Cost of Saving Electricity Through Energy Efficiency Programs Funded by Utility Customers: 2009–2015. I. Hoffman et al. (LBNL, 2018).</w:t>
      </w:r>
    </w:p>
  </w:footnote>
  <w:footnote w:id="19">
    <w:p w14:paraId="4CE2E23E" w14:textId="39B72C55" w:rsidR="00EF653C" w:rsidRPr="00260E01" w:rsidRDefault="00EF653C"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 xml:space="preserve"> </w:t>
      </w:r>
      <w:r w:rsidRPr="00260E01">
        <w:rPr>
          <w:sz w:val="22"/>
          <w:szCs w:val="22"/>
        </w:rPr>
        <w:tab/>
      </w:r>
      <w:r w:rsidRPr="00AA1191">
        <w:rPr>
          <w:szCs w:val="22"/>
        </w:rPr>
        <w:t xml:space="preserve">PG&amp;E’s Business Plan, Portfolio Overview chapter, pp. 45-47. Response of Pacific Gas and Electric Company (U 39 M) to Comments on Attachment A of the Scoping Memo and Ruling and to Attachment B Questions, pp. 12-13. </w:t>
      </w:r>
    </w:p>
  </w:footnote>
  <w:footnote w:id="20">
    <w:p w14:paraId="2F129D51" w14:textId="77777777" w:rsidR="00EF653C" w:rsidRPr="00260E01" w:rsidRDefault="00EF653C"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r>
      <w:r w:rsidRPr="00AA1191">
        <w:rPr>
          <w:szCs w:val="22"/>
        </w:rPr>
        <w:t>D.15-10-028, p. 60.</w:t>
      </w:r>
    </w:p>
  </w:footnote>
  <w:footnote w:id="21">
    <w:p w14:paraId="782A0BCE" w14:textId="71951453" w:rsidR="00EF653C" w:rsidRDefault="00EF653C" w:rsidP="00AA1191">
      <w:pPr>
        <w:pStyle w:val="FootnoteText"/>
        <w:tabs>
          <w:tab w:val="right" w:pos="9360"/>
        </w:tabs>
      </w:pPr>
      <w:r>
        <w:rPr>
          <w:rStyle w:val="FootnoteReference"/>
        </w:rPr>
        <w:footnoteRef/>
      </w:r>
      <w:r>
        <w:t xml:space="preserve">  D.18-05-041</w:t>
      </w:r>
      <w:r>
        <w:tab/>
      </w:r>
    </w:p>
  </w:footnote>
  <w:footnote w:id="22">
    <w:p w14:paraId="0BE165C5" w14:textId="26ED472E" w:rsidR="00EF653C" w:rsidRDefault="00EF653C">
      <w:pPr>
        <w:pStyle w:val="FootnoteText"/>
      </w:pPr>
      <w:r>
        <w:rPr>
          <w:rStyle w:val="FootnoteReference"/>
        </w:rPr>
        <w:footnoteRef/>
      </w:r>
      <w:r>
        <w:t xml:space="preserve"> Hard-to-reach eligibility criteria defined in D.18-05-041, Findings of Fact (FOF) 14</w:t>
      </w:r>
    </w:p>
  </w:footnote>
  <w:footnote w:id="23">
    <w:p w14:paraId="68A92179" w14:textId="312C8790" w:rsidR="00EF653C" w:rsidRDefault="00EF653C">
      <w:pPr>
        <w:pStyle w:val="FootnoteText"/>
      </w:pPr>
      <w:r>
        <w:rPr>
          <w:rStyle w:val="FootnoteReference"/>
        </w:rPr>
        <w:footnoteRef/>
      </w:r>
      <w:r>
        <w:t xml:space="preserve"> </w:t>
      </w:r>
      <w:r w:rsidRPr="002E406C">
        <w:rPr>
          <w:szCs w:val="22"/>
        </w:rPr>
        <w:t xml:space="preserve">PG&amp;E’s Business Plan, </w:t>
      </w:r>
      <w:r>
        <w:rPr>
          <w:szCs w:val="22"/>
        </w:rPr>
        <w:t>Finance</w:t>
      </w:r>
      <w:r w:rsidRPr="002E406C">
        <w:rPr>
          <w:szCs w:val="22"/>
        </w:rPr>
        <w:t xml:space="preserve"> chapter, </w:t>
      </w:r>
      <w:r>
        <w:rPr>
          <w:szCs w:val="22"/>
        </w:rPr>
        <w:t>p.2</w:t>
      </w:r>
      <w:r w:rsidRPr="002E406C">
        <w:rPr>
          <w:szCs w:val="22"/>
        </w:rPr>
        <w:t>.</w:t>
      </w:r>
    </w:p>
  </w:footnote>
  <w:footnote w:id="24">
    <w:p w14:paraId="6E549411" w14:textId="6A5F9003" w:rsidR="00EF653C" w:rsidRPr="00260E01" w:rsidRDefault="00EF653C" w:rsidP="00260E01">
      <w:pPr>
        <w:pStyle w:val="FootnoteText"/>
        <w:ind w:left="270" w:hanging="270"/>
        <w:jc w:val="both"/>
        <w:rPr>
          <w:sz w:val="22"/>
          <w:szCs w:val="22"/>
        </w:rPr>
      </w:pPr>
      <w:r w:rsidRPr="00260E01">
        <w:rPr>
          <w:rStyle w:val="FootnoteReference"/>
          <w:sz w:val="22"/>
          <w:szCs w:val="22"/>
        </w:rPr>
        <w:footnoteRef/>
      </w:r>
      <w:r w:rsidRPr="00260E01">
        <w:rPr>
          <w:sz w:val="22"/>
          <w:szCs w:val="22"/>
        </w:rPr>
        <w:tab/>
        <w:t>Guidance Decision, OP 16.</w:t>
      </w:r>
    </w:p>
  </w:footnote>
  <w:footnote w:id="25">
    <w:p w14:paraId="3DC14F41" w14:textId="2D129BE9" w:rsidR="00EF653C" w:rsidRPr="00260E01" w:rsidRDefault="00EF653C" w:rsidP="00260E01">
      <w:pPr>
        <w:pStyle w:val="FootnoteText"/>
        <w:tabs>
          <w:tab w:val="left" w:pos="0"/>
        </w:tabs>
        <w:ind w:left="270" w:hanging="270"/>
        <w:jc w:val="both"/>
        <w:rPr>
          <w:sz w:val="22"/>
          <w:szCs w:val="22"/>
        </w:rPr>
      </w:pPr>
      <w:r w:rsidRPr="00260E01">
        <w:rPr>
          <w:rStyle w:val="FootnoteReference"/>
          <w:sz w:val="22"/>
          <w:szCs w:val="22"/>
        </w:rPr>
        <w:footnoteRef/>
      </w:r>
      <w:r w:rsidRPr="00260E01">
        <w:rPr>
          <w:sz w:val="22"/>
          <w:szCs w:val="22"/>
        </w:rPr>
        <w:tab/>
        <w:t>Consistent with PG&amp;E’s 2015 funding proposal (approved in PG&amp;E Advice Letter 3541-G-C/4550-E-C), PG&amp;E proposes to apply the split to the EM&amp;V budget, and then add the benefits burdens amount to PG&amp;E’s portion of the EM&amp;V budget to align with recorded expenditures.</w:t>
      </w:r>
    </w:p>
  </w:footnote>
  <w:footnote w:id="26">
    <w:p w14:paraId="2FCEB2F4" w14:textId="6663A54C" w:rsidR="00A9054B" w:rsidRDefault="00A9054B" w:rsidP="00A9054B">
      <w:pPr>
        <w:pStyle w:val="FootnoteText"/>
        <w:ind w:left="270" w:hanging="270"/>
      </w:pPr>
      <w:r>
        <w:rPr>
          <w:rStyle w:val="FootnoteReference"/>
        </w:rPr>
        <w:footnoteRef/>
      </w:r>
      <w:r>
        <w:t xml:space="preserve">  </w:t>
      </w:r>
      <w:r>
        <w:rPr>
          <w:sz w:val="22"/>
          <w:szCs w:val="22"/>
        </w:rPr>
        <w:t xml:space="preserve">The PG&amp;E </w:t>
      </w:r>
      <w:r w:rsidRPr="00A9054B">
        <w:rPr>
          <w:sz w:val="22"/>
          <w:szCs w:val="22"/>
        </w:rPr>
        <w:t>2018 operating budget</w:t>
      </w:r>
      <w:r>
        <w:rPr>
          <w:sz w:val="22"/>
          <w:szCs w:val="22"/>
        </w:rPr>
        <w:t xml:space="preserve"> forecast in the budget true-up table is PG&amp;E’s most up-to-date estimate of its 2018 budget given best available data to date. Consequently, this 2018 forecasted operating budget will differ from PG&amp;E’s 2018 ABAL budget filed on September 1,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Layout w:type="fixed"/>
      <w:tblLook w:val="0000" w:firstRow="0" w:lastRow="0" w:firstColumn="0" w:lastColumn="0" w:noHBand="0" w:noVBand="0"/>
    </w:tblPr>
    <w:tblGrid>
      <w:gridCol w:w="3168"/>
      <w:gridCol w:w="2700"/>
      <w:gridCol w:w="3654"/>
    </w:tblGrid>
    <w:tr w:rsidR="00EF653C" w14:paraId="3FA1F737" w14:textId="77777777" w:rsidTr="009B6B42">
      <w:tc>
        <w:tcPr>
          <w:tcW w:w="3168" w:type="dxa"/>
          <w:tcBorders>
            <w:top w:val="nil"/>
            <w:left w:val="nil"/>
            <w:bottom w:val="nil"/>
            <w:right w:val="nil"/>
          </w:tcBorders>
        </w:tcPr>
        <w:p w14:paraId="3FDD7EDF" w14:textId="47DBAD08" w:rsidR="00EF653C" w:rsidRPr="00A70FA6" w:rsidRDefault="00EF653C" w:rsidP="00E96728">
          <w:pPr>
            <w:pStyle w:val="Header"/>
          </w:pPr>
          <w:r w:rsidRPr="00A70FA6">
            <w:t>Advice 3881-G/5137-E</w:t>
          </w:r>
        </w:p>
      </w:tc>
      <w:tc>
        <w:tcPr>
          <w:tcW w:w="2700" w:type="dxa"/>
          <w:tcBorders>
            <w:top w:val="nil"/>
            <w:left w:val="nil"/>
            <w:bottom w:val="nil"/>
            <w:right w:val="nil"/>
          </w:tcBorders>
        </w:tcPr>
        <w:p w14:paraId="2F591245" w14:textId="75081B2D" w:rsidR="00EF653C" w:rsidRDefault="00EF653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8516B">
            <w:rPr>
              <w:rStyle w:val="PageNumber"/>
              <w:noProof/>
            </w:rPr>
            <w:t>17</w:t>
          </w:r>
          <w:r>
            <w:rPr>
              <w:rStyle w:val="PageNumber"/>
            </w:rPr>
            <w:fldChar w:fldCharType="end"/>
          </w:r>
          <w:r>
            <w:rPr>
              <w:rStyle w:val="PageNumber"/>
            </w:rPr>
            <w:t xml:space="preserve"> -</w:t>
          </w:r>
        </w:p>
      </w:tc>
      <w:tc>
        <w:tcPr>
          <w:tcW w:w="3654" w:type="dxa"/>
          <w:tcBorders>
            <w:top w:val="nil"/>
            <w:left w:val="nil"/>
            <w:bottom w:val="nil"/>
            <w:right w:val="nil"/>
          </w:tcBorders>
        </w:tcPr>
        <w:p w14:paraId="071EB211" w14:textId="24731186" w:rsidR="00EF653C" w:rsidRDefault="00EF653C" w:rsidP="00540963">
          <w:pPr>
            <w:pStyle w:val="Header"/>
            <w:jc w:val="right"/>
          </w:pPr>
          <w:r>
            <w:t>September 1, 2017</w:t>
          </w:r>
        </w:p>
      </w:tc>
    </w:tr>
  </w:tbl>
  <w:sdt>
    <w:sdtPr>
      <w:id w:val="1898083007"/>
      <w:docPartObj>
        <w:docPartGallery w:val="Watermarks"/>
        <w:docPartUnique/>
      </w:docPartObj>
    </w:sdtPr>
    <w:sdtEndPr/>
    <w:sdtContent>
      <w:p w14:paraId="4395C5EF" w14:textId="739F1263" w:rsidR="00EF653C" w:rsidRDefault="00B95903">
        <w:pPr>
          <w:pStyle w:val="Header"/>
        </w:pPr>
        <w:r>
          <w:rPr>
            <w:noProof/>
          </w:rPr>
          <w:pict w14:anchorId="55F23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63D72A34" w14:textId="77777777" w:rsidR="00EF653C" w:rsidRDefault="00EF6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665"/>
      <w:tblW w:w="10908" w:type="dxa"/>
      <w:tblLayout w:type="fixed"/>
      <w:tblLook w:val="0000" w:firstRow="0" w:lastRow="0" w:firstColumn="0" w:lastColumn="0" w:noHBand="0" w:noVBand="0"/>
    </w:tblPr>
    <w:tblGrid>
      <w:gridCol w:w="6048"/>
      <w:gridCol w:w="1980"/>
      <w:gridCol w:w="2880"/>
    </w:tblGrid>
    <w:tr w:rsidR="00EF653C" w:rsidRPr="001F10C7" w14:paraId="530A370B" w14:textId="77777777" w:rsidTr="009347DE">
      <w:tc>
        <w:tcPr>
          <w:tcW w:w="6048" w:type="dxa"/>
        </w:tcPr>
        <w:p w14:paraId="189E86D4" w14:textId="61B5EF9E" w:rsidR="00EF653C" w:rsidRDefault="00EF653C" w:rsidP="001F5D85">
          <w:bookmarkStart w:id="4" w:name="OLE_LINK1"/>
          <w:bookmarkStart w:id="5" w:name="OLE_LINK2"/>
          <w:r>
            <w:rPr>
              <w:noProof/>
            </w:rPr>
            <w:drawing>
              <wp:inline distT="0" distB="0" distL="0" distR="0" wp14:anchorId="5655C18F" wp14:editId="40D13060">
                <wp:extent cx="1597025" cy="422910"/>
                <wp:effectExtent l="0" t="0" r="3175" b="0"/>
                <wp:docPr id="4" name="Picture 4" descr="pgenotag167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otag167_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422910"/>
                        </a:xfrm>
                        <a:prstGeom prst="rect">
                          <a:avLst/>
                        </a:prstGeom>
                        <a:noFill/>
                        <a:ln>
                          <a:noFill/>
                        </a:ln>
                      </pic:spPr>
                    </pic:pic>
                  </a:graphicData>
                </a:graphic>
              </wp:inline>
            </w:drawing>
          </w:r>
        </w:p>
        <w:p w14:paraId="1BB65E70" w14:textId="6C6E4A11" w:rsidR="00EF653C" w:rsidRPr="002A34EA" w:rsidRDefault="00EF653C" w:rsidP="002A34EA">
          <w:pPr>
            <w:tabs>
              <w:tab w:val="left" w:pos="4173"/>
            </w:tabs>
            <w:rPr>
              <w:b/>
            </w:rPr>
          </w:pPr>
          <w:r>
            <w:tab/>
          </w:r>
          <w:r w:rsidRPr="002A34EA">
            <w:rPr>
              <w:b/>
              <w:color w:val="FF0000"/>
            </w:rPr>
            <w:t>DRAFT</w:t>
          </w:r>
        </w:p>
      </w:tc>
      <w:tc>
        <w:tcPr>
          <w:tcW w:w="1980" w:type="dxa"/>
        </w:tcPr>
        <w:p w14:paraId="14A736AE" w14:textId="77777777" w:rsidR="00EF653C" w:rsidRPr="00E36DCF" w:rsidRDefault="00EF653C" w:rsidP="00316A32">
          <w:pPr>
            <w:pStyle w:val="Header"/>
            <w:spacing w:before="600"/>
            <w:ind w:leftChars="38" w:left="91"/>
            <w:rPr>
              <w:rFonts w:ascii="Univers Condensed" w:hAnsi="Univers Condensed"/>
              <w:b/>
              <w:sz w:val="16"/>
              <w:szCs w:val="16"/>
            </w:rPr>
          </w:pPr>
          <w:r>
            <w:rPr>
              <w:rFonts w:ascii="Univers Condensed" w:hAnsi="Univers Condensed"/>
              <w:b/>
              <w:sz w:val="16"/>
              <w:szCs w:val="16"/>
            </w:rPr>
            <w:t>Erik Jacobson</w:t>
          </w:r>
        </w:p>
        <w:p w14:paraId="6DE96582" w14:textId="77777777" w:rsidR="00EF653C" w:rsidRDefault="00EF653C" w:rsidP="00316A32">
          <w:pPr>
            <w:ind w:leftChars="38" w:left="91"/>
            <w:rPr>
              <w:rFonts w:ascii="Univers Condensed" w:hAnsi="Univers Condensed"/>
              <w:sz w:val="15"/>
            </w:rPr>
          </w:pPr>
          <w:r>
            <w:rPr>
              <w:rFonts w:ascii="Univers Condensed" w:hAnsi="Univers Condensed"/>
              <w:sz w:val="15"/>
            </w:rPr>
            <w:t>Director</w:t>
          </w:r>
        </w:p>
        <w:p w14:paraId="2DE82430" w14:textId="77777777" w:rsidR="00EF653C" w:rsidRDefault="00EF653C" w:rsidP="00316A32">
          <w:pPr>
            <w:ind w:leftChars="38" w:left="91"/>
          </w:pPr>
          <w:r>
            <w:rPr>
              <w:rFonts w:ascii="Univers Condensed" w:hAnsi="Univers Condensed"/>
              <w:sz w:val="15"/>
            </w:rPr>
            <w:t>Regulatory Relations</w:t>
          </w:r>
        </w:p>
      </w:tc>
      <w:tc>
        <w:tcPr>
          <w:tcW w:w="2880" w:type="dxa"/>
        </w:tcPr>
        <w:p w14:paraId="3DC117EF" w14:textId="77777777" w:rsidR="00EF653C" w:rsidRPr="00CA1AE8" w:rsidRDefault="00EF653C" w:rsidP="00CA1AE8">
          <w:pPr>
            <w:pStyle w:val="Header"/>
            <w:spacing w:before="600"/>
            <w:rPr>
              <w:rFonts w:ascii="Univers Condensed" w:hAnsi="Univers Condensed"/>
              <w:sz w:val="15"/>
            </w:rPr>
          </w:pPr>
          <w:r w:rsidRPr="00CA1AE8">
            <w:rPr>
              <w:rFonts w:ascii="Univers Condensed" w:hAnsi="Univers Condensed"/>
              <w:sz w:val="15"/>
            </w:rPr>
            <w:t>Pacific Gas and Electric Company</w:t>
          </w:r>
        </w:p>
        <w:p w14:paraId="33C00524" w14:textId="615426F7" w:rsidR="00EF653C" w:rsidRDefault="00EF653C" w:rsidP="00CA1AE8">
          <w:pPr>
            <w:pStyle w:val="Header"/>
            <w:rPr>
              <w:rFonts w:ascii="Univers Condensed" w:hAnsi="Univers Condensed"/>
              <w:sz w:val="15"/>
            </w:rPr>
          </w:pPr>
          <w:r>
            <w:rPr>
              <w:rFonts w:ascii="Univers Condensed" w:hAnsi="Univers Condensed"/>
              <w:sz w:val="15"/>
            </w:rPr>
            <w:t>77 Beale St., Mail Code B13U</w:t>
          </w:r>
        </w:p>
        <w:p w14:paraId="6891FD55" w14:textId="77777777" w:rsidR="00EF653C" w:rsidRDefault="00EF653C" w:rsidP="00CA1AE8">
          <w:pPr>
            <w:pStyle w:val="Header"/>
            <w:rPr>
              <w:rFonts w:ascii="Univers Condensed" w:hAnsi="Univers Condensed"/>
              <w:sz w:val="15"/>
            </w:rPr>
          </w:pPr>
          <w:r>
            <w:rPr>
              <w:rFonts w:ascii="Univers Condensed" w:hAnsi="Univers Condensed"/>
              <w:sz w:val="15"/>
            </w:rPr>
            <w:t>P.O. Box 770000</w:t>
          </w:r>
        </w:p>
        <w:p w14:paraId="43B09C1E" w14:textId="77777777" w:rsidR="00EF653C" w:rsidRDefault="00EF653C" w:rsidP="00D678CA">
          <w:pPr>
            <w:pStyle w:val="Header"/>
            <w:rPr>
              <w:rFonts w:ascii="Univers Condensed" w:hAnsi="Univers Condensed"/>
              <w:sz w:val="15"/>
            </w:rPr>
          </w:pPr>
          <w:r>
            <w:rPr>
              <w:rFonts w:ascii="Univers Condensed" w:hAnsi="Univers Condensed"/>
              <w:sz w:val="15"/>
            </w:rPr>
            <w:t>San Francisco, CA  94177</w:t>
          </w:r>
        </w:p>
        <w:p w14:paraId="6961F680" w14:textId="77777777" w:rsidR="00EF653C" w:rsidRDefault="00EF653C" w:rsidP="00D678CA">
          <w:pPr>
            <w:pStyle w:val="Header"/>
            <w:rPr>
              <w:rFonts w:ascii="Univers Condensed" w:hAnsi="Univers Condensed"/>
              <w:sz w:val="15"/>
            </w:rPr>
          </w:pPr>
        </w:p>
        <w:p w14:paraId="6E3A70E7" w14:textId="75826CE0" w:rsidR="00EF653C" w:rsidRPr="001F10C7" w:rsidRDefault="00EF653C" w:rsidP="00316A32">
          <w:pPr>
            <w:ind w:leftChars="-9" w:left="-22"/>
            <w:rPr>
              <w:rFonts w:ascii="Univers Condensed" w:hAnsi="Univers Condensed"/>
              <w:sz w:val="15"/>
              <w:lang w:val="fr-FR"/>
            </w:rPr>
          </w:pPr>
          <w:r>
            <w:rPr>
              <w:rFonts w:ascii="Univers Condensed" w:hAnsi="Univers Condensed"/>
              <w:sz w:val="15"/>
              <w:lang w:val="fr-FR"/>
            </w:rPr>
            <w:t>Fax: 415-973-3582</w:t>
          </w:r>
        </w:p>
      </w:tc>
    </w:tr>
    <w:bookmarkEnd w:id="4"/>
    <w:bookmarkEnd w:id="5"/>
  </w:tbl>
  <w:p w14:paraId="49EE74D7" w14:textId="77777777" w:rsidR="00EF653C" w:rsidRPr="001F10C7" w:rsidRDefault="00EF653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CAD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445D8"/>
    <w:multiLevelType w:val="hybridMultilevel"/>
    <w:tmpl w:val="67A81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027D9"/>
    <w:multiLevelType w:val="hybridMultilevel"/>
    <w:tmpl w:val="72441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D7908"/>
    <w:multiLevelType w:val="hybridMultilevel"/>
    <w:tmpl w:val="F4002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54D9F"/>
    <w:multiLevelType w:val="hybridMultilevel"/>
    <w:tmpl w:val="0DAA75D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0E935D5A"/>
    <w:multiLevelType w:val="hybridMultilevel"/>
    <w:tmpl w:val="0CA0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2F4"/>
    <w:multiLevelType w:val="hybridMultilevel"/>
    <w:tmpl w:val="B8A8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D4875"/>
    <w:multiLevelType w:val="hybridMultilevel"/>
    <w:tmpl w:val="F47A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A6647"/>
    <w:multiLevelType w:val="hybridMultilevel"/>
    <w:tmpl w:val="2A349A5E"/>
    <w:lvl w:ilvl="0" w:tplc="F420F5D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B4FEC"/>
    <w:multiLevelType w:val="hybridMultilevel"/>
    <w:tmpl w:val="C8E8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30A4C"/>
    <w:multiLevelType w:val="hybridMultilevel"/>
    <w:tmpl w:val="82F0CA36"/>
    <w:lvl w:ilvl="0" w:tplc="F420F5D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635D3"/>
    <w:multiLevelType w:val="hybridMultilevel"/>
    <w:tmpl w:val="1CE024D4"/>
    <w:lvl w:ilvl="0" w:tplc="242AA104">
      <w:start w:val="1"/>
      <w:numFmt w:val="bullet"/>
      <w:lvlText w:val=""/>
      <w:lvlJc w:val="left"/>
      <w:pPr>
        <w:tabs>
          <w:tab w:val="num" w:pos="720"/>
        </w:tabs>
        <w:ind w:left="720" w:hanging="360"/>
      </w:pPr>
      <w:rPr>
        <w:rFonts w:ascii="Wingdings" w:hAnsi="Wingdings" w:hint="default"/>
      </w:rPr>
    </w:lvl>
    <w:lvl w:ilvl="1" w:tplc="8790203E">
      <w:start w:val="1"/>
      <w:numFmt w:val="bullet"/>
      <w:lvlText w:val=""/>
      <w:lvlJc w:val="left"/>
      <w:pPr>
        <w:tabs>
          <w:tab w:val="num" w:pos="1440"/>
        </w:tabs>
        <w:ind w:left="1440" w:hanging="360"/>
      </w:pPr>
      <w:rPr>
        <w:rFonts w:ascii="Wingdings" w:hAnsi="Wingdings" w:hint="default"/>
      </w:rPr>
    </w:lvl>
    <w:lvl w:ilvl="2" w:tplc="45FAFC64" w:tentative="1">
      <w:start w:val="1"/>
      <w:numFmt w:val="bullet"/>
      <w:lvlText w:val=""/>
      <w:lvlJc w:val="left"/>
      <w:pPr>
        <w:tabs>
          <w:tab w:val="num" w:pos="2160"/>
        </w:tabs>
        <w:ind w:left="2160" w:hanging="360"/>
      </w:pPr>
      <w:rPr>
        <w:rFonts w:ascii="Wingdings" w:hAnsi="Wingdings" w:hint="default"/>
      </w:rPr>
    </w:lvl>
    <w:lvl w:ilvl="3" w:tplc="55DC3722" w:tentative="1">
      <w:start w:val="1"/>
      <w:numFmt w:val="bullet"/>
      <w:lvlText w:val=""/>
      <w:lvlJc w:val="left"/>
      <w:pPr>
        <w:tabs>
          <w:tab w:val="num" w:pos="2880"/>
        </w:tabs>
        <w:ind w:left="2880" w:hanging="360"/>
      </w:pPr>
      <w:rPr>
        <w:rFonts w:ascii="Wingdings" w:hAnsi="Wingdings" w:hint="default"/>
      </w:rPr>
    </w:lvl>
    <w:lvl w:ilvl="4" w:tplc="5C244EB6" w:tentative="1">
      <w:start w:val="1"/>
      <w:numFmt w:val="bullet"/>
      <w:lvlText w:val=""/>
      <w:lvlJc w:val="left"/>
      <w:pPr>
        <w:tabs>
          <w:tab w:val="num" w:pos="3600"/>
        </w:tabs>
        <w:ind w:left="3600" w:hanging="360"/>
      </w:pPr>
      <w:rPr>
        <w:rFonts w:ascii="Wingdings" w:hAnsi="Wingdings" w:hint="default"/>
      </w:rPr>
    </w:lvl>
    <w:lvl w:ilvl="5" w:tplc="229C0AF4" w:tentative="1">
      <w:start w:val="1"/>
      <w:numFmt w:val="bullet"/>
      <w:lvlText w:val=""/>
      <w:lvlJc w:val="left"/>
      <w:pPr>
        <w:tabs>
          <w:tab w:val="num" w:pos="4320"/>
        </w:tabs>
        <w:ind w:left="4320" w:hanging="360"/>
      </w:pPr>
      <w:rPr>
        <w:rFonts w:ascii="Wingdings" w:hAnsi="Wingdings" w:hint="default"/>
      </w:rPr>
    </w:lvl>
    <w:lvl w:ilvl="6" w:tplc="AE543B2A" w:tentative="1">
      <w:start w:val="1"/>
      <w:numFmt w:val="bullet"/>
      <w:lvlText w:val=""/>
      <w:lvlJc w:val="left"/>
      <w:pPr>
        <w:tabs>
          <w:tab w:val="num" w:pos="5040"/>
        </w:tabs>
        <w:ind w:left="5040" w:hanging="360"/>
      </w:pPr>
      <w:rPr>
        <w:rFonts w:ascii="Wingdings" w:hAnsi="Wingdings" w:hint="default"/>
      </w:rPr>
    </w:lvl>
    <w:lvl w:ilvl="7" w:tplc="3F086602" w:tentative="1">
      <w:start w:val="1"/>
      <w:numFmt w:val="bullet"/>
      <w:lvlText w:val=""/>
      <w:lvlJc w:val="left"/>
      <w:pPr>
        <w:tabs>
          <w:tab w:val="num" w:pos="5760"/>
        </w:tabs>
        <w:ind w:left="5760" w:hanging="360"/>
      </w:pPr>
      <w:rPr>
        <w:rFonts w:ascii="Wingdings" w:hAnsi="Wingdings" w:hint="default"/>
      </w:rPr>
    </w:lvl>
    <w:lvl w:ilvl="8" w:tplc="E7845F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62EDE"/>
    <w:multiLevelType w:val="hybridMultilevel"/>
    <w:tmpl w:val="3B8A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45FBC"/>
    <w:multiLevelType w:val="hybridMultilevel"/>
    <w:tmpl w:val="72441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6B264D"/>
    <w:multiLevelType w:val="hybridMultilevel"/>
    <w:tmpl w:val="4746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76EC4"/>
    <w:multiLevelType w:val="hybridMultilevel"/>
    <w:tmpl w:val="63DA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3775F"/>
    <w:multiLevelType w:val="hybridMultilevel"/>
    <w:tmpl w:val="A688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70DEF"/>
    <w:multiLevelType w:val="hybridMultilevel"/>
    <w:tmpl w:val="11A65740"/>
    <w:lvl w:ilvl="0" w:tplc="04090001">
      <w:start w:val="1"/>
      <w:numFmt w:val="bullet"/>
      <w:lvlText w:val=""/>
      <w:lvlJc w:val="left"/>
      <w:pPr>
        <w:ind w:left="720" w:hanging="360"/>
      </w:pPr>
      <w:rPr>
        <w:rFonts w:ascii="Symbol" w:hAnsi="Symbol" w:hint="default"/>
      </w:rPr>
    </w:lvl>
    <w:lvl w:ilvl="1" w:tplc="9C26D0D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21426"/>
    <w:multiLevelType w:val="hybridMultilevel"/>
    <w:tmpl w:val="4B0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C64E5"/>
    <w:multiLevelType w:val="hybridMultilevel"/>
    <w:tmpl w:val="DCB4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A22A6"/>
    <w:multiLevelType w:val="hybridMultilevel"/>
    <w:tmpl w:val="E4369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E4B2C"/>
    <w:multiLevelType w:val="hybridMultilevel"/>
    <w:tmpl w:val="53CC21A0"/>
    <w:lvl w:ilvl="0" w:tplc="F420F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87858"/>
    <w:multiLevelType w:val="hybridMultilevel"/>
    <w:tmpl w:val="3A68F582"/>
    <w:lvl w:ilvl="0" w:tplc="1C4E2AE8">
      <w:start w:val="1"/>
      <w:numFmt w:val="bullet"/>
      <w:lvlText w:val=""/>
      <w:lvlJc w:val="left"/>
      <w:pPr>
        <w:tabs>
          <w:tab w:val="num" w:pos="720"/>
        </w:tabs>
        <w:ind w:left="720" w:hanging="360"/>
      </w:pPr>
      <w:rPr>
        <w:rFonts w:ascii="Wingdings" w:hAnsi="Wingdings" w:hint="default"/>
      </w:rPr>
    </w:lvl>
    <w:lvl w:ilvl="1" w:tplc="8DD0E496">
      <w:start w:val="1"/>
      <w:numFmt w:val="bullet"/>
      <w:lvlText w:val=""/>
      <w:lvlJc w:val="left"/>
      <w:pPr>
        <w:tabs>
          <w:tab w:val="num" w:pos="1440"/>
        </w:tabs>
        <w:ind w:left="1440" w:hanging="360"/>
      </w:pPr>
      <w:rPr>
        <w:rFonts w:ascii="Wingdings" w:hAnsi="Wingdings" w:hint="default"/>
      </w:rPr>
    </w:lvl>
    <w:lvl w:ilvl="2" w:tplc="F9A25A76" w:tentative="1">
      <w:start w:val="1"/>
      <w:numFmt w:val="bullet"/>
      <w:lvlText w:val=""/>
      <w:lvlJc w:val="left"/>
      <w:pPr>
        <w:tabs>
          <w:tab w:val="num" w:pos="2160"/>
        </w:tabs>
        <w:ind w:left="2160" w:hanging="360"/>
      </w:pPr>
      <w:rPr>
        <w:rFonts w:ascii="Wingdings" w:hAnsi="Wingdings" w:hint="default"/>
      </w:rPr>
    </w:lvl>
    <w:lvl w:ilvl="3" w:tplc="BD66A39C" w:tentative="1">
      <w:start w:val="1"/>
      <w:numFmt w:val="bullet"/>
      <w:lvlText w:val=""/>
      <w:lvlJc w:val="left"/>
      <w:pPr>
        <w:tabs>
          <w:tab w:val="num" w:pos="2880"/>
        </w:tabs>
        <w:ind w:left="2880" w:hanging="360"/>
      </w:pPr>
      <w:rPr>
        <w:rFonts w:ascii="Wingdings" w:hAnsi="Wingdings" w:hint="default"/>
      </w:rPr>
    </w:lvl>
    <w:lvl w:ilvl="4" w:tplc="00C4DB52" w:tentative="1">
      <w:start w:val="1"/>
      <w:numFmt w:val="bullet"/>
      <w:lvlText w:val=""/>
      <w:lvlJc w:val="left"/>
      <w:pPr>
        <w:tabs>
          <w:tab w:val="num" w:pos="3600"/>
        </w:tabs>
        <w:ind w:left="3600" w:hanging="360"/>
      </w:pPr>
      <w:rPr>
        <w:rFonts w:ascii="Wingdings" w:hAnsi="Wingdings" w:hint="default"/>
      </w:rPr>
    </w:lvl>
    <w:lvl w:ilvl="5" w:tplc="6C3464C8" w:tentative="1">
      <w:start w:val="1"/>
      <w:numFmt w:val="bullet"/>
      <w:lvlText w:val=""/>
      <w:lvlJc w:val="left"/>
      <w:pPr>
        <w:tabs>
          <w:tab w:val="num" w:pos="4320"/>
        </w:tabs>
        <w:ind w:left="4320" w:hanging="360"/>
      </w:pPr>
      <w:rPr>
        <w:rFonts w:ascii="Wingdings" w:hAnsi="Wingdings" w:hint="default"/>
      </w:rPr>
    </w:lvl>
    <w:lvl w:ilvl="6" w:tplc="CE680E94" w:tentative="1">
      <w:start w:val="1"/>
      <w:numFmt w:val="bullet"/>
      <w:lvlText w:val=""/>
      <w:lvlJc w:val="left"/>
      <w:pPr>
        <w:tabs>
          <w:tab w:val="num" w:pos="5040"/>
        </w:tabs>
        <w:ind w:left="5040" w:hanging="360"/>
      </w:pPr>
      <w:rPr>
        <w:rFonts w:ascii="Wingdings" w:hAnsi="Wingdings" w:hint="default"/>
      </w:rPr>
    </w:lvl>
    <w:lvl w:ilvl="7" w:tplc="C50CD868" w:tentative="1">
      <w:start w:val="1"/>
      <w:numFmt w:val="bullet"/>
      <w:lvlText w:val=""/>
      <w:lvlJc w:val="left"/>
      <w:pPr>
        <w:tabs>
          <w:tab w:val="num" w:pos="5760"/>
        </w:tabs>
        <w:ind w:left="5760" w:hanging="360"/>
      </w:pPr>
      <w:rPr>
        <w:rFonts w:ascii="Wingdings" w:hAnsi="Wingdings" w:hint="default"/>
      </w:rPr>
    </w:lvl>
    <w:lvl w:ilvl="8" w:tplc="9EB4EE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1C6238"/>
    <w:multiLevelType w:val="hybridMultilevel"/>
    <w:tmpl w:val="7A78DEC2"/>
    <w:lvl w:ilvl="0" w:tplc="5C744C54">
      <w:start w:val="1"/>
      <w:numFmt w:val="bullet"/>
      <w:lvlText w:val=""/>
      <w:lvlJc w:val="left"/>
      <w:pPr>
        <w:tabs>
          <w:tab w:val="num" w:pos="720"/>
        </w:tabs>
        <w:ind w:left="720" w:hanging="360"/>
      </w:pPr>
      <w:rPr>
        <w:rFonts w:ascii="Wingdings" w:hAnsi="Wingdings" w:hint="default"/>
      </w:rPr>
    </w:lvl>
    <w:lvl w:ilvl="1" w:tplc="C61A6984">
      <w:start w:val="1"/>
      <w:numFmt w:val="bullet"/>
      <w:lvlText w:val=""/>
      <w:lvlJc w:val="left"/>
      <w:pPr>
        <w:tabs>
          <w:tab w:val="num" w:pos="1440"/>
        </w:tabs>
        <w:ind w:left="1440" w:hanging="360"/>
      </w:pPr>
      <w:rPr>
        <w:rFonts w:ascii="Wingdings" w:hAnsi="Wingdings" w:hint="default"/>
      </w:rPr>
    </w:lvl>
    <w:lvl w:ilvl="2" w:tplc="883C0BEC" w:tentative="1">
      <w:start w:val="1"/>
      <w:numFmt w:val="bullet"/>
      <w:lvlText w:val=""/>
      <w:lvlJc w:val="left"/>
      <w:pPr>
        <w:tabs>
          <w:tab w:val="num" w:pos="2160"/>
        </w:tabs>
        <w:ind w:left="2160" w:hanging="360"/>
      </w:pPr>
      <w:rPr>
        <w:rFonts w:ascii="Wingdings" w:hAnsi="Wingdings" w:hint="default"/>
      </w:rPr>
    </w:lvl>
    <w:lvl w:ilvl="3" w:tplc="C10C948E" w:tentative="1">
      <w:start w:val="1"/>
      <w:numFmt w:val="bullet"/>
      <w:lvlText w:val=""/>
      <w:lvlJc w:val="left"/>
      <w:pPr>
        <w:tabs>
          <w:tab w:val="num" w:pos="2880"/>
        </w:tabs>
        <w:ind w:left="2880" w:hanging="360"/>
      </w:pPr>
      <w:rPr>
        <w:rFonts w:ascii="Wingdings" w:hAnsi="Wingdings" w:hint="default"/>
      </w:rPr>
    </w:lvl>
    <w:lvl w:ilvl="4" w:tplc="A8984500" w:tentative="1">
      <w:start w:val="1"/>
      <w:numFmt w:val="bullet"/>
      <w:lvlText w:val=""/>
      <w:lvlJc w:val="left"/>
      <w:pPr>
        <w:tabs>
          <w:tab w:val="num" w:pos="3600"/>
        </w:tabs>
        <w:ind w:left="3600" w:hanging="360"/>
      </w:pPr>
      <w:rPr>
        <w:rFonts w:ascii="Wingdings" w:hAnsi="Wingdings" w:hint="default"/>
      </w:rPr>
    </w:lvl>
    <w:lvl w:ilvl="5" w:tplc="8040AC6E" w:tentative="1">
      <w:start w:val="1"/>
      <w:numFmt w:val="bullet"/>
      <w:lvlText w:val=""/>
      <w:lvlJc w:val="left"/>
      <w:pPr>
        <w:tabs>
          <w:tab w:val="num" w:pos="4320"/>
        </w:tabs>
        <w:ind w:left="4320" w:hanging="360"/>
      </w:pPr>
      <w:rPr>
        <w:rFonts w:ascii="Wingdings" w:hAnsi="Wingdings" w:hint="default"/>
      </w:rPr>
    </w:lvl>
    <w:lvl w:ilvl="6" w:tplc="766C863C" w:tentative="1">
      <w:start w:val="1"/>
      <w:numFmt w:val="bullet"/>
      <w:lvlText w:val=""/>
      <w:lvlJc w:val="left"/>
      <w:pPr>
        <w:tabs>
          <w:tab w:val="num" w:pos="5040"/>
        </w:tabs>
        <w:ind w:left="5040" w:hanging="360"/>
      </w:pPr>
      <w:rPr>
        <w:rFonts w:ascii="Wingdings" w:hAnsi="Wingdings" w:hint="default"/>
      </w:rPr>
    </w:lvl>
    <w:lvl w:ilvl="7" w:tplc="205E135A" w:tentative="1">
      <w:start w:val="1"/>
      <w:numFmt w:val="bullet"/>
      <w:lvlText w:val=""/>
      <w:lvlJc w:val="left"/>
      <w:pPr>
        <w:tabs>
          <w:tab w:val="num" w:pos="5760"/>
        </w:tabs>
        <w:ind w:left="5760" w:hanging="360"/>
      </w:pPr>
      <w:rPr>
        <w:rFonts w:ascii="Wingdings" w:hAnsi="Wingdings" w:hint="default"/>
      </w:rPr>
    </w:lvl>
    <w:lvl w:ilvl="8" w:tplc="B0C87D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8008C4"/>
    <w:multiLevelType w:val="hybridMultilevel"/>
    <w:tmpl w:val="72441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5A3B0E"/>
    <w:multiLevelType w:val="hybridMultilevel"/>
    <w:tmpl w:val="901E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8559B"/>
    <w:multiLevelType w:val="hybridMultilevel"/>
    <w:tmpl w:val="CD12DF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2033874"/>
    <w:multiLevelType w:val="hybridMultilevel"/>
    <w:tmpl w:val="FD46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A769D"/>
    <w:multiLevelType w:val="hybridMultilevel"/>
    <w:tmpl w:val="747C2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A7589"/>
    <w:multiLevelType w:val="hybridMultilevel"/>
    <w:tmpl w:val="6A8E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13972"/>
    <w:multiLevelType w:val="hybridMultilevel"/>
    <w:tmpl w:val="3706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21795"/>
    <w:multiLevelType w:val="hybridMultilevel"/>
    <w:tmpl w:val="E0269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DB3EEF"/>
    <w:multiLevelType w:val="hybridMultilevel"/>
    <w:tmpl w:val="2FBA8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B3BFA"/>
    <w:multiLevelType w:val="hybridMultilevel"/>
    <w:tmpl w:val="72441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472B58"/>
    <w:multiLevelType w:val="hybridMultilevel"/>
    <w:tmpl w:val="2FC89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6"/>
  </w:num>
  <w:num w:numId="3">
    <w:abstractNumId w:val="27"/>
  </w:num>
  <w:num w:numId="4">
    <w:abstractNumId w:val="9"/>
  </w:num>
  <w:num w:numId="5">
    <w:abstractNumId w:val="0"/>
  </w:num>
  <w:num w:numId="6">
    <w:abstractNumId w:val="14"/>
  </w:num>
  <w:num w:numId="7">
    <w:abstractNumId w:val="17"/>
  </w:num>
  <w:num w:numId="8">
    <w:abstractNumId w:val="21"/>
  </w:num>
  <w:num w:numId="9">
    <w:abstractNumId w:val="10"/>
  </w:num>
  <w:num w:numId="10">
    <w:abstractNumId w:val="33"/>
  </w:num>
  <w:num w:numId="11">
    <w:abstractNumId w:val="13"/>
  </w:num>
  <w:num w:numId="12">
    <w:abstractNumId w:val="19"/>
  </w:num>
  <w:num w:numId="13">
    <w:abstractNumId w:val="4"/>
  </w:num>
  <w:num w:numId="14">
    <w:abstractNumId w:val="7"/>
  </w:num>
  <w:num w:numId="15">
    <w:abstractNumId w:val="18"/>
  </w:num>
  <w:num w:numId="16">
    <w:abstractNumId w:val="5"/>
  </w:num>
  <w:num w:numId="17">
    <w:abstractNumId w:val="31"/>
  </w:num>
  <w:num w:numId="18">
    <w:abstractNumId w:val="25"/>
  </w:num>
  <w:num w:numId="19">
    <w:abstractNumId w:val="28"/>
  </w:num>
  <w:num w:numId="20">
    <w:abstractNumId w:val="1"/>
  </w:num>
  <w:num w:numId="21">
    <w:abstractNumId w:val="20"/>
  </w:num>
  <w:num w:numId="22">
    <w:abstractNumId w:val="12"/>
  </w:num>
  <w:num w:numId="23">
    <w:abstractNumId w:val="30"/>
  </w:num>
  <w:num w:numId="24">
    <w:abstractNumId w:val="16"/>
  </w:num>
  <w:num w:numId="25">
    <w:abstractNumId w:val="26"/>
  </w:num>
  <w:num w:numId="26">
    <w:abstractNumId w:val="32"/>
  </w:num>
  <w:num w:numId="27">
    <w:abstractNumId w:val="34"/>
  </w:num>
  <w:num w:numId="28">
    <w:abstractNumId w:val="15"/>
  </w:num>
  <w:num w:numId="29">
    <w:abstractNumId w:val="22"/>
  </w:num>
  <w:num w:numId="30">
    <w:abstractNumId w:val="3"/>
  </w:num>
  <w:num w:numId="31">
    <w:abstractNumId w:val="11"/>
  </w:num>
  <w:num w:numId="32">
    <w:abstractNumId w:val="23"/>
  </w:num>
  <w:num w:numId="33">
    <w:abstractNumId w:val="24"/>
  </w:num>
  <w:num w:numId="34">
    <w:abstractNumId w:val="2"/>
  </w:num>
  <w:num w:numId="3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36"/>
    <w:rsid w:val="000000C6"/>
    <w:rsid w:val="00000178"/>
    <w:rsid w:val="00000553"/>
    <w:rsid w:val="00000803"/>
    <w:rsid w:val="00000B5E"/>
    <w:rsid w:val="00001EDA"/>
    <w:rsid w:val="00002313"/>
    <w:rsid w:val="0000386E"/>
    <w:rsid w:val="00003CB1"/>
    <w:rsid w:val="0000437A"/>
    <w:rsid w:val="000045F8"/>
    <w:rsid w:val="00004BC1"/>
    <w:rsid w:val="000050C2"/>
    <w:rsid w:val="00005B84"/>
    <w:rsid w:val="00006103"/>
    <w:rsid w:val="0000663C"/>
    <w:rsid w:val="00006937"/>
    <w:rsid w:val="00007072"/>
    <w:rsid w:val="00007A74"/>
    <w:rsid w:val="00007D6B"/>
    <w:rsid w:val="00011406"/>
    <w:rsid w:val="00011702"/>
    <w:rsid w:val="0001220F"/>
    <w:rsid w:val="00012500"/>
    <w:rsid w:val="0001324F"/>
    <w:rsid w:val="00013513"/>
    <w:rsid w:val="00013B0B"/>
    <w:rsid w:val="00013FEA"/>
    <w:rsid w:val="00014B45"/>
    <w:rsid w:val="000150B2"/>
    <w:rsid w:val="00016234"/>
    <w:rsid w:val="0001652B"/>
    <w:rsid w:val="00017204"/>
    <w:rsid w:val="00021334"/>
    <w:rsid w:val="000219D3"/>
    <w:rsid w:val="00021B81"/>
    <w:rsid w:val="000234C2"/>
    <w:rsid w:val="000236DF"/>
    <w:rsid w:val="0002503D"/>
    <w:rsid w:val="00025091"/>
    <w:rsid w:val="00025D03"/>
    <w:rsid w:val="00030AC1"/>
    <w:rsid w:val="00031D72"/>
    <w:rsid w:val="000335FD"/>
    <w:rsid w:val="00033D1E"/>
    <w:rsid w:val="00033EAA"/>
    <w:rsid w:val="000351D8"/>
    <w:rsid w:val="00035559"/>
    <w:rsid w:val="000368B6"/>
    <w:rsid w:val="000374A2"/>
    <w:rsid w:val="00041E25"/>
    <w:rsid w:val="00043426"/>
    <w:rsid w:val="00043B62"/>
    <w:rsid w:val="00043EDB"/>
    <w:rsid w:val="00043F92"/>
    <w:rsid w:val="00044467"/>
    <w:rsid w:val="00050247"/>
    <w:rsid w:val="00051381"/>
    <w:rsid w:val="0005171F"/>
    <w:rsid w:val="00051E1E"/>
    <w:rsid w:val="00052D1B"/>
    <w:rsid w:val="00052E71"/>
    <w:rsid w:val="00054829"/>
    <w:rsid w:val="00055039"/>
    <w:rsid w:val="00056498"/>
    <w:rsid w:val="0005708A"/>
    <w:rsid w:val="00057296"/>
    <w:rsid w:val="000572C5"/>
    <w:rsid w:val="00057C35"/>
    <w:rsid w:val="00057C39"/>
    <w:rsid w:val="00060910"/>
    <w:rsid w:val="000611B5"/>
    <w:rsid w:val="00061814"/>
    <w:rsid w:val="00061822"/>
    <w:rsid w:val="00061DB4"/>
    <w:rsid w:val="000633B8"/>
    <w:rsid w:val="000650BA"/>
    <w:rsid w:val="00065780"/>
    <w:rsid w:val="00066100"/>
    <w:rsid w:val="00067C7E"/>
    <w:rsid w:val="0007051D"/>
    <w:rsid w:val="00070DFF"/>
    <w:rsid w:val="0007238B"/>
    <w:rsid w:val="0007452D"/>
    <w:rsid w:val="00074733"/>
    <w:rsid w:val="00075F70"/>
    <w:rsid w:val="00076A07"/>
    <w:rsid w:val="00076A44"/>
    <w:rsid w:val="00076EC3"/>
    <w:rsid w:val="00077139"/>
    <w:rsid w:val="00080EFC"/>
    <w:rsid w:val="000811E2"/>
    <w:rsid w:val="000817A2"/>
    <w:rsid w:val="00082A29"/>
    <w:rsid w:val="00082F0A"/>
    <w:rsid w:val="00082F8C"/>
    <w:rsid w:val="00083553"/>
    <w:rsid w:val="000837FA"/>
    <w:rsid w:val="00084BEE"/>
    <w:rsid w:val="00085268"/>
    <w:rsid w:val="00085598"/>
    <w:rsid w:val="000858C5"/>
    <w:rsid w:val="00085A7A"/>
    <w:rsid w:val="00086581"/>
    <w:rsid w:val="00086AE8"/>
    <w:rsid w:val="00086CFB"/>
    <w:rsid w:val="0008720A"/>
    <w:rsid w:val="0009054E"/>
    <w:rsid w:val="00090B2D"/>
    <w:rsid w:val="0009275E"/>
    <w:rsid w:val="0009311D"/>
    <w:rsid w:val="0009333F"/>
    <w:rsid w:val="00094951"/>
    <w:rsid w:val="0009531E"/>
    <w:rsid w:val="00095B46"/>
    <w:rsid w:val="00096C8C"/>
    <w:rsid w:val="00096F0D"/>
    <w:rsid w:val="0009798C"/>
    <w:rsid w:val="000A0024"/>
    <w:rsid w:val="000A08A2"/>
    <w:rsid w:val="000A0ADE"/>
    <w:rsid w:val="000A19AB"/>
    <w:rsid w:val="000A28B4"/>
    <w:rsid w:val="000A2AB1"/>
    <w:rsid w:val="000A408F"/>
    <w:rsid w:val="000A44F8"/>
    <w:rsid w:val="000A5484"/>
    <w:rsid w:val="000A5732"/>
    <w:rsid w:val="000A5F00"/>
    <w:rsid w:val="000A6337"/>
    <w:rsid w:val="000A6C9F"/>
    <w:rsid w:val="000A6CD6"/>
    <w:rsid w:val="000A6FCD"/>
    <w:rsid w:val="000B031A"/>
    <w:rsid w:val="000B0BB6"/>
    <w:rsid w:val="000B0BDD"/>
    <w:rsid w:val="000B0C61"/>
    <w:rsid w:val="000B252A"/>
    <w:rsid w:val="000B27D5"/>
    <w:rsid w:val="000B29F8"/>
    <w:rsid w:val="000B2ED1"/>
    <w:rsid w:val="000B2FCF"/>
    <w:rsid w:val="000B3390"/>
    <w:rsid w:val="000B38B9"/>
    <w:rsid w:val="000B3F5E"/>
    <w:rsid w:val="000B4003"/>
    <w:rsid w:val="000B406F"/>
    <w:rsid w:val="000B43BE"/>
    <w:rsid w:val="000B4404"/>
    <w:rsid w:val="000B4FAC"/>
    <w:rsid w:val="000B62BB"/>
    <w:rsid w:val="000B78BA"/>
    <w:rsid w:val="000C18C4"/>
    <w:rsid w:val="000C2603"/>
    <w:rsid w:val="000C27D9"/>
    <w:rsid w:val="000C3AAA"/>
    <w:rsid w:val="000C494E"/>
    <w:rsid w:val="000C5890"/>
    <w:rsid w:val="000C5FE3"/>
    <w:rsid w:val="000C6AEF"/>
    <w:rsid w:val="000C75D8"/>
    <w:rsid w:val="000D0D6C"/>
    <w:rsid w:val="000D0E71"/>
    <w:rsid w:val="000D1326"/>
    <w:rsid w:val="000D1F0A"/>
    <w:rsid w:val="000D207F"/>
    <w:rsid w:val="000D4234"/>
    <w:rsid w:val="000D4364"/>
    <w:rsid w:val="000D4562"/>
    <w:rsid w:val="000D55E6"/>
    <w:rsid w:val="000D6E9D"/>
    <w:rsid w:val="000D6F9A"/>
    <w:rsid w:val="000D7E8F"/>
    <w:rsid w:val="000E2320"/>
    <w:rsid w:val="000E257E"/>
    <w:rsid w:val="000E2757"/>
    <w:rsid w:val="000E27CC"/>
    <w:rsid w:val="000E2CE0"/>
    <w:rsid w:val="000E35CB"/>
    <w:rsid w:val="000E3BA4"/>
    <w:rsid w:val="000E4237"/>
    <w:rsid w:val="000E45FC"/>
    <w:rsid w:val="000E4630"/>
    <w:rsid w:val="000E49D6"/>
    <w:rsid w:val="000E4CC6"/>
    <w:rsid w:val="000E630C"/>
    <w:rsid w:val="000F0C37"/>
    <w:rsid w:val="000F0D80"/>
    <w:rsid w:val="000F20D2"/>
    <w:rsid w:val="000F46B4"/>
    <w:rsid w:val="000F488C"/>
    <w:rsid w:val="000F4C80"/>
    <w:rsid w:val="000F606B"/>
    <w:rsid w:val="000F6D68"/>
    <w:rsid w:val="000F7649"/>
    <w:rsid w:val="00100EEA"/>
    <w:rsid w:val="001014EB"/>
    <w:rsid w:val="00102735"/>
    <w:rsid w:val="0010275E"/>
    <w:rsid w:val="001044E9"/>
    <w:rsid w:val="00104FBD"/>
    <w:rsid w:val="0010582E"/>
    <w:rsid w:val="00106639"/>
    <w:rsid w:val="00106FF2"/>
    <w:rsid w:val="001074DF"/>
    <w:rsid w:val="00107753"/>
    <w:rsid w:val="001077D3"/>
    <w:rsid w:val="001079C2"/>
    <w:rsid w:val="00107C42"/>
    <w:rsid w:val="00107CA5"/>
    <w:rsid w:val="0011071F"/>
    <w:rsid w:val="00110851"/>
    <w:rsid w:val="00112C46"/>
    <w:rsid w:val="00112C8C"/>
    <w:rsid w:val="00113C8B"/>
    <w:rsid w:val="00113D19"/>
    <w:rsid w:val="00113E07"/>
    <w:rsid w:val="00114645"/>
    <w:rsid w:val="001150B0"/>
    <w:rsid w:val="00115A06"/>
    <w:rsid w:val="00116620"/>
    <w:rsid w:val="00116C19"/>
    <w:rsid w:val="00117B03"/>
    <w:rsid w:val="00120425"/>
    <w:rsid w:val="00121306"/>
    <w:rsid w:val="001215D2"/>
    <w:rsid w:val="00121BA4"/>
    <w:rsid w:val="0012323F"/>
    <w:rsid w:val="001237FB"/>
    <w:rsid w:val="00124993"/>
    <w:rsid w:val="00126B24"/>
    <w:rsid w:val="001272FA"/>
    <w:rsid w:val="001276CE"/>
    <w:rsid w:val="00130312"/>
    <w:rsid w:val="001317DE"/>
    <w:rsid w:val="0013194C"/>
    <w:rsid w:val="00132347"/>
    <w:rsid w:val="00132712"/>
    <w:rsid w:val="001334AF"/>
    <w:rsid w:val="001337E7"/>
    <w:rsid w:val="001342CA"/>
    <w:rsid w:val="00134C40"/>
    <w:rsid w:val="00135110"/>
    <w:rsid w:val="00135B8F"/>
    <w:rsid w:val="00135C8C"/>
    <w:rsid w:val="001365E1"/>
    <w:rsid w:val="001367B7"/>
    <w:rsid w:val="00136BD9"/>
    <w:rsid w:val="0013756F"/>
    <w:rsid w:val="0013760B"/>
    <w:rsid w:val="0013762A"/>
    <w:rsid w:val="001400CE"/>
    <w:rsid w:val="001407F7"/>
    <w:rsid w:val="00141257"/>
    <w:rsid w:val="00141631"/>
    <w:rsid w:val="001428C3"/>
    <w:rsid w:val="00142F5C"/>
    <w:rsid w:val="0014345C"/>
    <w:rsid w:val="0014379E"/>
    <w:rsid w:val="00145380"/>
    <w:rsid w:val="00145802"/>
    <w:rsid w:val="001471E5"/>
    <w:rsid w:val="001474CF"/>
    <w:rsid w:val="00147A9C"/>
    <w:rsid w:val="00147E8E"/>
    <w:rsid w:val="001500D1"/>
    <w:rsid w:val="00150AC1"/>
    <w:rsid w:val="00151D6F"/>
    <w:rsid w:val="001524A2"/>
    <w:rsid w:val="00152DB4"/>
    <w:rsid w:val="00152E9F"/>
    <w:rsid w:val="001541BB"/>
    <w:rsid w:val="00154E6A"/>
    <w:rsid w:val="001551DF"/>
    <w:rsid w:val="001557DD"/>
    <w:rsid w:val="00156018"/>
    <w:rsid w:val="001571AF"/>
    <w:rsid w:val="001610BE"/>
    <w:rsid w:val="00161D0A"/>
    <w:rsid w:val="00162154"/>
    <w:rsid w:val="00162767"/>
    <w:rsid w:val="001629EC"/>
    <w:rsid w:val="001635A1"/>
    <w:rsid w:val="0016374B"/>
    <w:rsid w:val="00164CD6"/>
    <w:rsid w:val="001658E2"/>
    <w:rsid w:val="00166733"/>
    <w:rsid w:val="00166A7B"/>
    <w:rsid w:val="00166BF7"/>
    <w:rsid w:val="0016702D"/>
    <w:rsid w:val="001704B0"/>
    <w:rsid w:val="0017167D"/>
    <w:rsid w:val="001724BF"/>
    <w:rsid w:val="00174C98"/>
    <w:rsid w:val="00175891"/>
    <w:rsid w:val="00176BD4"/>
    <w:rsid w:val="00176EB2"/>
    <w:rsid w:val="00177805"/>
    <w:rsid w:val="00180000"/>
    <w:rsid w:val="001815E2"/>
    <w:rsid w:val="00181DCD"/>
    <w:rsid w:val="0018233C"/>
    <w:rsid w:val="00183C39"/>
    <w:rsid w:val="00183DEA"/>
    <w:rsid w:val="0018421E"/>
    <w:rsid w:val="00184424"/>
    <w:rsid w:val="00185856"/>
    <w:rsid w:val="00186D77"/>
    <w:rsid w:val="00187599"/>
    <w:rsid w:val="001877A7"/>
    <w:rsid w:val="00187AA5"/>
    <w:rsid w:val="00190A2C"/>
    <w:rsid w:val="00191691"/>
    <w:rsid w:val="001929ED"/>
    <w:rsid w:val="00192A6E"/>
    <w:rsid w:val="00193EB3"/>
    <w:rsid w:val="001946A6"/>
    <w:rsid w:val="00194753"/>
    <w:rsid w:val="00194E9F"/>
    <w:rsid w:val="001953F2"/>
    <w:rsid w:val="001971A8"/>
    <w:rsid w:val="001979A0"/>
    <w:rsid w:val="00197B79"/>
    <w:rsid w:val="001A0280"/>
    <w:rsid w:val="001A03CC"/>
    <w:rsid w:val="001A3787"/>
    <w:rsid w:val="001A3A72"/>
    <w:rsid w:val="001A47A4"/>
    <w:rsid w:val="001A55D5"/>
    <w:rsid w:val="001A6E83"/>
    <w:rsid w:val="001B0BF4"/>
    <w:rsid w:val="001B0C0C"/>
    <w:rsid w:val="001B0EFA"/>
    <w:rsid w:val="001B164D"/>
    <w:rsid w:val="001B1D1A"/>
    <w:rsid w:val="001B251F"/>
    <w:rsid w:val="001B3D75"/>
    <w:rsid w:val="001B46CE"/>
    <w:rsid w:val="001B546A"/>
    <w:rsid w:val="001B6714"/>
    <w:rsid w:val="001B7AC3"/>
    <w:rsid w:val="001B7C37"/>
    <w:rsid w:val="001C0238"/>
    <w:rsid w:val="001C0E5A"/>
    <w:rsid w:val="001C14BE"/>
    <w:rsid w:val="001C1EAD"/>
    <w:rsid w:val="001C245A"/>
    <w:rsid w:val="001C2844"/>
    <w:rsid w:val="001C319C"/>
    <w:rsid w:val="001C534D"/>
    <w:rsid w:val="001C5D6B"/>
    <w:rsid w:val="001C60AE"/>
    <w:rsid w:val="001C662E"/>
    <w:rsid w:val="001C6940"/>
    <w:rsid w:val="001C75D7"/>
    <w:rsid w:val="001D07B1"/>
    <w:rsid w:val="001D0A1D"/>
    <w:rsid w:val="001D0DF7"/>
    <w:rsid w:val="001D1581"/>
    <w:rsid w:val="001D17ED"/>
    <w:rsid w:val="001D1C9E"/>
    <w:rsid w:val="001D203A"/>
    <w:rsid w:val="001D204F"/>
    <w:rsid w:val="001D2CD0"/>
    <w:rsid w:val="001D3B62"/>
    <w:rsid w:val="001D4C63"/>
    <w:rsid w:val="001D6E55"/>
    <w:rsid w:val="001D6FB5"/>
    <w:rsid w:val="001E171F"/>
    <w:rsid w:val="001E1DFF"/>
    <w:rsid w:val="001E2FD8"/>
    <w:rsid w:val="001E323B"/>
    <w:rsid w:val="001E33D1"/>
    <w:rsid w:val="001E3BB1"/>
    <w:rsid w:val="001E4D5C"/>
    <w:rsid w:val="001E655A"/>
    <w:rsid w:val="001E68AD"/>
    <w:rsid w:val="001E6B20"/>
    <w:rsid w:val="001E70BC"/>
    <w:rsid w:val="001F10C7"/>
    <w:rsid w:val="001F14DF"/>
    <w:rsid w:val="001F3C0A"/>
    <w:rsid w:val="001F3FEB"/>
    <w:rsid w:val="001F4B98"/>
    <w:rsid w:val="001F5697"/>
    <w:rsid w:val="001F5A17"/>
    <w:rsid w:val="001F5AFA"/>
    <w:rsid w:val="001F5D85"/>
    <w:rsid w:val="001F61EF"/>
    <w:rsid w:val="0020040C"/>
    <w:rsid w:val="00200B91"/>
    <w:rsid w:val="00200BFC"/>
    <w:rsid w:val="00200C3B"/>
    <w:rsid w:val="00200EEE"/>
    <w:rsid w:val="002010EF"/>
    <w:rsid w:val="002016E5"/>
    <w:rsid w:val="002019E0"/>
    <w:rsid w:val="00201E04"/>
    <w:rsid w:val="0020312F"/>
    <w:rsid w:val="00203ACD"/>
    <w:rsid w:val="00203F10"/>
    <w:rsid w:val="00205079"/>
    <w:rsid w:val="00205371"/>
    <w:rsid w:val="00205BDB"/>
    <w:rsid w:val="0020644D"/>
    <w:rsid w:val="0020797C"/>
    <w:rsid w:val="00207D5E"/>
    <w:rsid w:val="00210BE1"/>
    <w:rsid w:val="00210ECF"/>
    <w:rsid w:val="0021107E"/>
    <w:rsid w:val="0021269F"/>
    <w:rsid w:val="00212756"/>
    <w:rsid w:val="00212D30"/>
    <w:rsid w:val="00217C3E"/>
    <w:rsid w:val="002204AF"/>
    <w:rsid w:val="002205D7"/>
    <w:rsid w:val="0022064B"/>
    <w:rsid w:val="00221901"/>
    <w:rsid w:val="00221D97"/>
    <w:rsid w:val="002239DA"/>
    <w:rsid w:val="00223D8C"/>
    <w:rsid w:val="0022543B"/>
    <w:rsid w:val="002271E4"/>
    <w:rsid w:val="0022735C"/>
    <w:rsid w:val="002273AE"/>
    <w:rsid w:val="002301C8"/>
    <w:rsid w:val="0023030B"/>
    <w:rsid w:val="00230867"/>
    <w:rsid w:val="00231F12"/>
    <w:rsid w:val="00232690"/>
    <w:rsid w:val="002337F9"/>
    <w:rsid w:val="00233A46"/>
    <w:rsid w:val="00233FD0"/>
    <w:rsid w:val="00234336"/>
    <w:rsid w:val="00235D4C"/>
    <w:rsid w:val="00235F2B"/>
    <w:rsid w:val="00236563"/>
    <w:rsid w:val="0023681C"/>
    <w:rsid w:val="00236B63"/>
    <w:rsid w:val="00236BF7"/>
    <w:rsid w:val="0024149D"/>
    <w:rsid w:val="00241647"/>
    <w:rsid w:val="0024297E"/>
    <w:rsid w:val="002445D3"/>
    <w:rsid w:val="00244F55"/>
    <w:rsid w:val="0024525B"/>
    <w:rsid w:val="00246D49"/>
    <w:rsid w:val="002476FF"/>
    <w:rsid w:val="0024772B"/>
    <w:rsid w:val="00247980"/>
    <w:rsid w:val="00250407"/>
    <w:rsid w:val="00250854"/>
    <w:rsid w:val="00251C50"/>
    <w:rsid w:val="00251D4A"/>
    <w:rsid w:val="00251DEF"/>
    <w:rsid w:val="0025311D"/>
    <w:rsid w:val="00253B1E"/>
    <w:rsid w:val="0025401B"/>
    <w:rsid w:val="00254930"/>
    <w:rsid w:val="00254D32"/>
    <w:rsid w:val="00255F0C"/>
    <w:rsid w:val="00256342"/>
    <w:rsid w:val="00256759"/>
    <w:rsid w:val="00256A76"/>
    <w:rsid w:val="002571A2"/>
    <w:rsid w:val="002574A1"/>
    <w:rsid w:val="002576D3"/>
    <w:rsid w:val="002609B6"/>
    <w:rsid w:val="00260E01"/>
    <w:rsid w:val="0026156F"/>
    <w:rsid w:val="00262D3E"/>
    <w:rsid w:val="0026330F"/>
    <w:rsid w:val="00263415"/>
    <w:rsid w:val="002634E9"/>
    <w:rsid w:val="00264852"/>
    <w:rsid w:val="00264B30"/>
    <w:rsid w:val="00264FF6"/>
    <w:rsid w:val="00265005"/>
    <w:rsid w:val="002652C2"/>
    <w:rsid w:val="00265F52"/>
    <w:rsid w:val="0026616D"/>
    <w:rsid w:val="00266317"/>
    <w:rsid w:val="00266477"/>
    <w:rsid w:val="002669F0"/>
    <w:rsid w:val="00266A4E"/>
    <w:rsid w:val="00266C48"/>
    <w:rsid w:val="00267072"/>
    <w:rsid w:val="00267DB8"/>
    <w:rsid w:val="00270465"/>
    <w:rsid w:val="00270EC0"/>
    <w:rsid w:val="00272F61"/>
    <w:rsid w:val="00273400"/>
    <w:rsid w:val="00273842"/>
    <w:rsid w:val="00273DF2"/>
    <w:rsid w:val="00274A1F"/>
    <w:rsid w:val="002750B1"/>
    <w:rsid w:val="00276344"/>
    <w:rsid w:val="002763AD"/>
    <w:rsid w:val="00277226"/>
    <w:rsid w:val="0027737B"/>
    <w:rsid w:val="002773DE"/>
    <w:rsid w:val="00280B69"/>
    <w:rsid w:val="00280B8F"/>
    <w:rsid w:val="002811E9"/>
    <w:rsid w:val="0028125B"/>
    <w:rsid w:val="00281C35"/>
    <w:rsid w:val="00281F12"/>
    <w:rsid w:val="0028218F"/>
    <w:rsid w:val="002824A1"/>
    <w:rsid w:val="0028275F"/>
    <w:rsid w:val="002836EC"/>
    <w:rsid w:val="00283881"/>
    <w:rsid w:val="0028408B"/>
    <w:rsid w:val="002843D2"/>
    <w:rsid w:val="00284E80"/>
    <w:rsid w:val="00285A1C"/>
    <w:rsid w:val="00286DF2"/>
    <w:rsid w:val="00290438"/>
    <w:rsid w:val="00291216"/>
    <w:rsid w:val="002915D5"/>
    <w:rsid w:val="00291C02"/>
    <w:rsid w:val="00292BBC"/>
    <w:rsid w:val="00293E8B"/>
    <w:rsid w:val="002945E9"/>
    <w:rsid w:val="002946EB"/>
    <w:rsid w:val="002955C3"/>
    <w:rsid w:val="00296594"/>
    <w:rsid w:val="0029667B"/>
    <w:rsid w:val="002967CB"/>
    <w:rsid w:val="002967FC"/>
    <w:rsid w:val="00297510"/>
    <w:rsid w:val="002A1959"/>
    <w:rsid w:val="002A1DF5"/>
    <w:rsid w:val="002A243A"/>
    <w:rsid w:val="002A2D7F"/>
    <w:rsid w:val="002A34EA"/>
    <w:rsid w:val="002A3E87"/>
    <w:rsid w:val="002A475C"/>
    <w:rsid w:val="002A56B7"/>
    <w:rsid w:val="002A5924"/>
    <w:rsid w:val="002A6EA4"/>
    <w:rsid w:val="002A6FE2"/>
    <w:rsid w:val="002B0375"/>
    <w:rsid w:val="002B0C87"/>
    <w:rsid w:val="002B17B5"/>
    <w:rsid w:val="002B2411"/>
    <w:rsid w:val="002B2951"/>
    <w:rsid w:val="002B2D2E"/>
    <w:rsid w:val="002B36BD"/>
    <w:rsid w:val="002B39A9"/>
    <w:rsid w:val="002B3A39"/>
    <w:rsid w:val="002B3BDF"/>
    <w:rsid w:val="002B3D74"/>
    <w:rsid w:val="002B437B"/>
    <w:rsid w:val="002B5223"/>
    <w:rsid w:val="002B5488"/>
    <w:rsid w:val="002B5B5A"/>
    <w:rsid w:val="002B7392"/>
    <w:rsid w:val="002C1197"/>
    <w:rsid w:val="002C1310"/>
    <w:rsid w:val="002C171C"/>
    <w:rsid w:val="002C23DF"/>
    <w:rsid w:val="002C25D4"/>
    <w:rsid w:val="002C3148"/>
    <w:rsid w:val="002C3A4D"/>
    <w:rsid w:val="002C4027"/>
    <w:rsid w:val="002C475A"/>
    <w:rsid w:val="002C561C"/>
    <w:rsid w:val="002C647C"/>
    <w:rsid w:val="002C6CE5"/>
    <w:rsid w:val="002C73E0"/>
    <w:rsid w:val="002C7AC6"/>
    <w:rsid w:val="002C7B7E"/>
    <w:rsid w:val="002D0022"/>
    <w:rsid w:val="002D0602"/>
    <w:rsid w:val="002D18BE"/>
    <w:rsid w:val="002D2070"/>
    <w:rsid w:val="002D21BC"/>
    <w:rsid w:val="002D2652"/>
    <w:rsid w:val="002D2F86"/>
    <w:rsid w:val="002D31F3"/>
    <w:rsid w:val="002D3A16"/>
    <w:rsid w:val="002D45DE"/>
    <w:rsid w:val="002D464A"/>
    <w:rsid w:val="002D4F98"/>
    <w:rsid w:val="002D512A"/>
    <w:rsid w:val="002D57BE"/>
    <w:rsid w:val="002D5922"/>
    <w:rsid w:val="002D5BFB"/>
    <w:rsid w:val="002D5E6E"/>
    <w:rsid w:val="002D713A"/>
    <w:rsid w:val="002E185C"/>
    <w:rsid w:val="002E1A6D"/>
    <w:rsid w:val="002E1F1E"/>
    <w:rsid w:val="002E28C1"/>
    <w:rsid w:val="002E2E6F"/>
    <w:rsid w:val="002E376F"/>
    <w:rsid w:val="002E3F86"/>
    <w:rsid w:val="002E4582"/>
    <w:rsid w:val="002E5338"/>
    <w:rsid w:val="002E5BD7"/>
    <w:rsid w:val="002E6536"/>
    <w:rsid w:val="002E6B2B"/>
    <w:rsid w:val="002E79C4"/>
    <w:rsid w:val="002E7F7B"/>
    <w:rsid w:val="002F0002"/>
    <w:rsid w:val="002F0106"/>
    <w:rsid w:val="002F0B1C"/>
    <w:rsid w:val="002F13CD"/>
    <w:rsid w:val="002F2075"/>
    <w:rsid w:val="002F3158"/>
    <w:rsid w:val="002F3707"/>
    <w:rsid w:val="002F384F"/>
    <w:rsid w:val="002F3DA5"/>
    <w:rsid w:val="002F4C62"/>
    <w:rsid w:val="002F4C66"/>
    <w:rsid w:val="002F68F0"/>
    <w:rsid w:val="002F7906"/>
    <w:rsid w:val="003001EE"/>
    <w:rsid w:val="0030092B"/>
    <w:rsid w:val="00300D16"/>
    <w:rsid w:val="0030153F"/>
    <w:rsid w:val="003031EE"/>
    <w:rsid w:val="003034BF"/>
    <w:rsid w:val="00303EFF"/>
    <w:rsid w:val="00303F6F"/>
    <w:rsid w:val="00304868"/>
    <w:rsid w:val="00305224"/>
    <w:rsid w:val="00306336"/>
    <w:rsid w:val="00306EE0"/>
    <w:rsid w:val="0030725F"/>
    <w:rsid w:val="00307330"/>
    <w:rsid w:val="003079A5"/>
    <w:rsid w:val="00310487"/>
    <w:rsid w:val="0031048F"/>
    <w:rsid w:val="003107DB"/>
    <w:rsid w:val="00311DAF"/>
    <w:rsid w:val="00313C98"/>
    <w:rsid w:val="00316A32"/>
    <w:rsid w:val="0031762E"/>
    <w:rsid w:val="00320F40"/>
    <w:rsid w:val="00321339"/>
    <w:rsid w:val="003214BE"/>
    <w:rsid w:val="00322404"/>
    <w:rsid w:val="003239A5"/>
    <w:rsid w:val="00323F13"/>
    <w:rsid w:val="003240F4"/>
    <w:rsid w:val="00324E71"/>
    <w:rsid w:val="00325E0E"/>
    <w:rsid w:val="00325F6C"/>
    <w:rsid w:val="00326600"/>
    <w:rsid w:val="0033052F"/>
    <w:rsid w:val="00330C2C"/>
    <w:rsid w:val="003313E5"/>
    <w:rsid w:val="00331813"/>
    <w:rsid w:val="00331ACF"/>
    <w:rsid w:val="00331B4A"/>
    <w:rsid w:val="00332D08"/>
    <w:rsid w:val="00333C36"/>
    <w:rsid w:val="00333C86"/>
    <w:rsid w:val="003343E0"/>
    <w:rsid w:val="003344AB"/>
    <w:rsid w:val="00335650"/>
    <w:rsid w:val="00335737"/>
    <w:rsid w:val="0033598A"/>
    <w:rsid w:val="00335F2A"/>
    <w:rsid w:val="00336005"/>
    <w:rsid w:val="003360BB"/>
    <w:rsid w:val="003373BB"/>
    <w:rsid w:val="003406DD"/>
    <w:rsid w:val="00340EB8"/>
    <w:rsid w:val="00343616"/>
    <w:rsid w:val="00343C11"/>
    <w:rsid w:val="003442E0"/>
    <w:rsid w:val="00345453"/>
    <w:rsid w:val="00345C00"/>
    <w:rsid w:val="003466DB"/>
    <w:rsid w:val="00346893"/>
    <w:rsid w:val="003468EB"/>
    <w:rsid w:val="0034765A"/>
    <w:rsid w:val="00347F0B"/>
    <w:rsid w:val="003505DA"/>
    <w:rsid w:val="00350A1C"/>
    <w:rsid w:val="003511B8"/>
    <w:rsid w:val="00351391"/>
    <w:rsid w:val="0035399F"/>
    <w:rsid w:val="003540FD"/>
    <w:rsid w:val="00355251"/>
    <w:rsid w:val="00355680"/>
    <w:rsid w:val="003558C4"/>
    <w:rsid w:val="00356042"/>
    <w:rsid w:val="003570BB"/>
    <w:rsid w:val="00357352"/>
    <w:rsid w:val="0035770C"/>
    <w:rsid w:val="00357FED"/>
    <w:rsid w:val="0036040D"/>
    <w:rsid w:val="0036077A"/>
    <w:rsid w:val="00360852"/>
    <w:rsid w:val="00361352"/>
    <w:rsid w:val="00361F47"/>
    <w:rsid w:val="00361FAF"/>
    <w:rsid w:val="00362DCF"/>
    <w:rsid w:val="00362E44"/>
    <w:rsid w:val="003635BA"/>
    <w:rsid w:val="00363636"/>
    <w:rsid w:val="0036435F"/>
    <w:rsid w:val="00365D67"/>
    <w:rsid w:val="0036685F"/>
    <w:rsid w:val="003676E0"/>
    <w:rsid w:val="003677B0"/>
    <w:rsid w:val="00367D00"/>
    <w:rsid w:val="003702AA"/>
    <w:rsid w:val="003724F8"/>
    <w:rsid w:val="00372A44"/>
    <w:rsid w:val="0037389F"/>
    <w:rsid w:val="00373F78"/>
    <w:rsid w:val="003746AF"/>
    <w:rsid w:val="00374969"/>
    <w:rsid w:val="00374A15"/>
    <w:rsid w:val="0037624A"/>
    <w:rsid w:val="00376790"/>
    <w:rsid w:val="00376BB0"/>
    <w:rsid w:val="0038062F"/>
    <w:rsid w:val="0038068E"/>
    <w:rsid w:val="00381F22"/>
    <w:rsid w:val="00382252"/>
    <w:rsid w:val="00382A1E"/>
    <w:rsid w:val="0038314A"/>
    <w:rsid w:val="003839C4"/>
    <w:rsid w:val="00384F88"/>
    <w:rsid w:val="00385F44"/>
    <w:rsid w:val="00387086"/>
    <w:rsid w:val="003870B1"/>
    <w:rsid w:val="00387B58"/>
    <w:rsid w:val="003901C9"/>
    <w:rsid w:val="0039076B"/>
    <w:rsid w:val="00390DAA"/>
    <w:rsid w:val="003913AE"/>
    <w:rsid w:val="003929BE"/>
    <w:rsid w:val="00392BBF"/>
    <w:rsid w:val="0039461E"/>
    <w:rsid w:val="003950AA"/>
    <w:rsid w:val="00395A9D"/>
    <w:rsid w:val="0039635E"/>
    <w:rsid w:val="00396509"/>
    <w:rsid w:val="00396EF6"/>
    <w:rsid w:val="00397E60"/>
    <w:rsid w:val="003A0395"/>
    <w:rsid w:val="003A09F2"/>
    <w:rsid w:val="003A2223"/>
    <w:rsid w:val="003A2432"/>
    <w:rsid w:val="003A316D"/>
    <w:rsid w:val="003A3435"/>
    <w:rsid w:val="003A34CC"/>
    <w:rsid w:val="003A422F"/>
    <w:rsid w:val="003A454D"/>
    <w:rsid w:val="003A4B20"/>
    <w:rsid w:val="003A4DBE"/>
    <w:rsid w:val="003A5303"/>
    <w:rsid w:val="003A59C0"/>
    <w:rsid w:val="003A5AC5"/>
    <w:rsid w:val="003A6810"/>
    <w:rsid w:val="003A6972"/>
    <w:rsid w:val="003A7323"/>
    <w:rsid w:val="003A77B5"/>
    <w:rsid w:val="003A7CCF"/>
    <w:rsid w:val="003A7D0D"/>
    <w:rsid w:val="003A7EC0"/>
    <w:rsid w:val="003B0AD1"/>
    <w:rsid w:val="003B1E7E"/>
    <w:rsid w:val="003B1F7D"/>
    <w:rsid w:val="003B244E"/>
    <w:rsid w:val="003B363D"/>
    <w:rsid w:val="003B36BA"/>
    <w:rsid w:val="003B3C8C"/>
    <w:rsid w:val="003B40B8"/>
    <w:rsid w:val="003B5C23"/>
    <w:rsid w:val="003C0F1F"/>
    <w:rsid w:val="003C1700"/>
    <w:rsid w:val="003C2E52"/>
    <w:rsid w:val="003C2E9B"/>
    <w:rsid w:val="003C2F46"/>
    <w:rsid w:val="003C42E0"/>
    <w:rsid w:val="003C5484"/>
    <w:rsid w:val="003C677D"/>
    <w:rsid w:val="003C697D"/>
    <w:rsid w:val="003C6D6F"/>
    <w:rsid w:val="003C71F2"/>
    <w:rsid w:val="003C73A0"/>
    <w:rsid w:val="003C7BC7"/>
    <w:rsid w:val="003C7D66"/>
    <w:rsid w:val="003D0486"/>
    <w:rsid w:val="003D069B"/>
    <w:rsid w:val="003D1075"/>
    <w:rsid w:val="003D1479"/>
    <w:rsid w:val="003D1ADB"/>
    <w:rsid w:val="003D25B7"/>
    <w:rsid w:val="003D35C7"/>
    <w:rsid w:val="003D3921"/>
    <w:rsid w:val="003D3B01"/>
    <w:rsid w:val="003D3D2C"/>
    <w:rsid w:val="003D47EA"/>
    <w:rsid w:val="003D5551"/>
    <w:rsid w:val="003E0442"/>
    <w:rsid w:val="003E07B5"/>
    <w:rsid w:val="003E12ED"/>
    <w:rsid w:val="003E2B09"/>
    <w:rsid w:val="003E3285"/>
    <w:rsid w:val="003E51B2"/>
    <w:rsid w:val="003E520C"/>
    <w:rsid w:val="003E5F06"/>
    <w:rsid w:val="003E60C9"/>
    <w:rsid w:val="003E6212"/>
    <w:rsid w:val="003E6312"/>
    <w:rsid w:val="003E6CA4"/>
    <w:rsid w:val="003E772A"/>
    <w:rsid w:val="003F021C"/>
    <w:rsid w:val="003F1A01"/>
    <w:rsid w:val="003F1E6B"/>
    <w:rsid w:val="003F36CC"/>
    <w:rsid w:val="003F389A"/>
    <w:rsid w:val="003F3E84"/>
    <w:rsid w:val="003F4964"/>
    <w:rsid w:val="003F52DB"/>
    <w:rsid w:val="003F5609"/>
    <w:rsid w:val="003F5E84"/>
    <w:rsid w:val="003F5E9E"/>
    <w:rsid w:val="003F6F17"/>
    <w:rsid w:val="003F7387"/>
    <w:rsid w:val="003F7E06"/>
    <w:rsid w:val="00400BB9"/>
    <w:rsid w:val="0040141A"/>
    <w:rsid w:val="00401DC5"/>
    <w:rsid w:val="00402DDE"/>
    <w:rsid w:val="0040351D"/>
    <w:rsid w:val="00403ABB"/>
    <w:rsid w:val="00404136"/>
    <w:rsid w:val="004057F2"/>
    <w:rsid w:val="004059B4"/>
    <w:rsid w:val="00405F9C"/>
    <w:rsid w:val="00406798"/>
    <w:rsid w:val="00407849"/>
    <w:rsid w:val="00407D04"/>
    <w:rsid w:val="00410767"/>
    <w:rsid w:val="00410D46"/>
    <w:rsid w:val="00412228"/>
    <w:rsid w:val="00412659"/>
    <w:rsid w:val="004140E4"/>
    <w:rsid w:val="00415DA9"/>
    <w:rsid w:val="00416639"/>
    <w:rsid w:val="00417072"/>
    <w:rsid w:val="0041718E"/>
    <w:rsid w:val="00417962"/>
    <w:rsid w:val="00420B90"/>
    <w:rsid w:val="00421756"/>
    <w:rsid w:val="00422621"/>
    <w:rsid w:val="00422D02"/>
    <w:rsid w:val="00423292"/>
    <w:rsid w:val="0042476C"/>
    <w:rsid w:val="0042480A"/>
    <w:rsid w:val="00424E1F"/>
    <w:rsid w:val="004256FF"/>
    <w:rsid w:val="004264B4"/>
    <w:rsid w:val="0042718B"/>
    <w:rsid w:val="00427DCE"/>
    <w:rsid w:val="00430709"/>
    <w:rsid w:val="00430A86"/>
    <w:rsid w:val="00430D48"/>
    <w:rsid w:val="00430DC3"/>
    <w:rsid w:val="00430EDC"/>
    <w:rsid w:val="004315F5"/>
    <w:rsid w:val="00431C9F"/>
    <w:rsid w:val="004324B6"/>
    <w:rsid w:val="00432679"/>
    <w:rsid w:val="00432D2B"/>
    <w:rsid w:val="00433B85"/>
    <w:rsid w:val="004343B5"/>
    <w:rsid w:val="004351BA"/>
    <w:rsid w:val="00435ED9"/>
    <w:rsid w:val="00435EEA"/>
    <w:rsid w:val="00437412"/>
    <w:rsid w:val="00437DEB"/>
    <w:rsid w:val="00440395"/>
    <w:rsid w:val="004408D3"/>
    <w:rsid w:val="00440AAF"/>
    <w:rsid w:val="00440CEA"/>
    <w:rsid w:val="00441082"/>
    <w:rsid w:val="0044289E"/>
    <w:rsid w:val="004428F5"/>
    <w:rsid w:val="00442D84"/>
    <w:rsid w:val="004430C1"/>
    <w:rsid w:val="004435D5"/>
    <w:rsid w:val="00443D75"/>
    <w:rsid w:val="0044613F"/>
    <w:rsid w:val="00446442"/>
    <w:rsid w:val="00446CAB"/>
    <w:rsid w:val="00447152"/>
    <w:rsid w:val="00447605"/>
    <w:rsid w:val="00447A1D"/>
    <w:rsid w:val="004504E5"/>
    <w:rsid w:val="004509F9"/>
    <w:rsid w:val="00450F18"/>
    <w:rsid w:val="004516F6"/>
    <w:rsid w:val="004525F9"/>
    <w:rsid w:val="0045271C"/>
    <w:rsid w:val="004536BE"/>
    <w:rsid w:val="0045387B"/>
    <w:rsid w:val="00454AD2"/>
    <w:rsid w:val="004554C3"/>
    <w:rsid w:val="00455CD2"/>
    <w:rsid w:val="00456568"/>
    <w:rsid w:val="00456AF3"/>
    <w:rsid w:val="0045774B"/>
    <w:rsid w:val="00460307"/>
    <w:rsid w:val="004612B2"/>
    <w:rsid w:val="00461B9D"/>
    <w:rsid w:val="00461FCD"/>
    <w:rsid w:val="0046333C"/>
    <w:rsid w:val="00463FC3"/>
    <w:rsid w:val="0046402C"/>
    <w:rsid w:val="00465D7D"/>
    <w:rsid w:val="00466111"/>
    <w:rsid w:val="00466130"/>
    <w:rsid w:val="004667D6"/>
    <w:rsid w:val="00466864"/>
    <w:rsid w:val="00466927"/>
    <w:rsid w:val="00466DFD"/>
    <w:rsid w:val="004702AA"/>
    <w:rsid w:val="00471348"/>
    <w:rsid w:val="00473B26"/>
    <w:rsid w:val="00473CA3"/>
    <w:rsid w:val="00473E7B"/>
    <w:rsid w:val="00475554"/>
    <w:rsid w:val="004758EA"/>
    <w:rsid w:val="004763AE"/>
    <w:rsid w:val="004764BE"/>
    <w:rsid w:val="00476698"/>
    <w:rsid w:val="00476BD5"/>
    <w:rsid w:val="00477CBC"/>
    <w:rsid w:val="00480785"/>
    <w:rsid w:val="00480BD7"/>
    <w:rsid w:val="00481F58"/>
    <w:rsid w:val="004829BA"/>
    <w:rsid w:val="00482D65"/>
    <w:rsid w:val="0048323D"/>
    <w:rsid w:val="004834ED"/>
    <w:rsid w:val="00483BD7"/>
    <w:rsid w:val="00484613"/>
    <w:rsid w:val="00484A3D"/>
    <w:rsid w:val="00484CC2"/>
    <w:rsid w:val="004860A6"/>
    <w:rsid w:val="0049127C"/>
    <w:rsid w:val="00491621"/>
    <w:rsid w:val="0049184A"/>
    <w:rsid w:val="00491983"/>
    <w:rsid w:val="00492E57"/>
    <w:rsid w:val="00493CB9"/>
    <w:rsid w:val="00493CE8"/>
    <w:rsid w:val="0049495F"/>
    <w:rsid w:val="004955AC"/>
    <w:rsid w:val="00495F0B"/>
    <w:rsid w:val="004960E1"/>
    <w:rsid w:val="004A06BC"/>
    <w:rsid w:val="004A14F1"/>
    <w:rsid w:val="004A27E3"/>
    <w:rsid w:val="004A30D6"/>
    <w:rsid w:val="004A401B"/>
    <w:rsid w:val="004A4BA8"/>
    <w:rsid w:val="004A52C9"/>
    <w:rsid w:val="004A56B5"/>
    <w:rsid w:val="004A5A5F"/>
    <w:rsid w:val="004A6137"/>
    <w:rsid w:val="004A61EE"/>
    <w:rsid w:val="004A64A7"/>
    <w:rsid w:val="004A64B3"/>
    <w:rsid w:val="004A6E0D"/>
    <w:rsid w:val="004A6F50"/>
    <w:rsid w:val="004A7839"/>
    <w:rsid w:val="004A7B14"/>
    <w:rsid w:val="004A7BBF"/>
    <w:rsid w:val="004A7EDD"/>
    <w:rsid w:val="004B115A"/>
    <w:rsid w:val="004B1AB3"/>
    <w:rsid w:val="004B24FE"/>
    <w:rsid w:val="004B2AEF"/>
    <w:rsid w:val="004B2F47"/>
    <w:rsid w:val="004B44DB"/>
    <w:rsid w:val="004B5724"/>
    <w:rsid w:val="004B5FEB"/>
    <w:rsid w:val="004B60E0"/>
    <w:rsid w:val="004B63D0"/>
    <w:rsid w:val="004B7CE7"/>
    <w:rsid w:val="004C02EF"/>
    <w:rsid w:val="004C1009"/>
    <w:rsid w:val="004C1098"/>
    <w:rsid w:val="004C2722"/>
    <w:rsid w:val="004C319B"/>
    <w:rsid w:val="004C4277"/>
    <w:rsid w:val="004C4715"/>
    <w:rsid w:val="004C4B29"/>
    <w:rsid w:val="004C55CE"/>
    <w:rsid w:val="004C55FB"/>
    <w:rsid w:val="004C5DBE"/>
    <w:rsid w:val="004C6857"/>
    <w:rsid w:val="004C77A9"/>
    <w:rsid w:val="004D00C4"/>
    <w:rsid w:val="004D2011"/>
    <w:rsid w:val="004D231B"/>
    <w:rsid w:val="004D242C"/>
    <w:rsid w:val="004D296E"/>
    <w:rsid w:val="004D2F8F"/>
    <w:rsid w:val="004D334A"/>
    <w:rsid w:val="004D3F78"/>
    <w:rsid w:val="004D445A"/>
    <w:rsid w:val="004D5527"/>
    <w:rsid w:val="004D5A7A"/>
    <w:rsid w:val="004D611C"/>
    <w:rsid w:val="004D7403"/>
    <w:rsid w:val="004D7B02"/>
    <w:rsid w:val="004D7D55"/>
    <w:rsid w:val="004E03CD"/>
    <w:rsid w:val="004E0D2B"/>
    <w:rsid w:val="004E32A5"/>
    <w:rsid w:val="004E356E"/>
    <w:rsid w:val="004E379F"/>
    <w:rsid w:val="004E3813"/>
    <w:rsid w:val="004E384B"/>
    <w:rsid w:val="004E3B36"/>
    <w:rsid w:val="004E4204"/>
    <w:rsid w:val="004E495D"/>
    <w:rsid w:val="004E4C54"/>
    <w:rsid w:val="004E5017"/>
    <w:rsid w:val="004E63DB"/>
    <w:rsid w:val="004E6925"/>
    <w:rsid w:val="004E6D0C"/>
    <w:rsid w:val="004F04C9"/>
    <w:rsid w:val="004F11B0"/>
    <w:rsid w:val="004F1524"/>
    <w:rsid w:val="004F2BBA"/>
    <w:rsid w:val="004F2E83"/>
    <w:rsid w:val="004F308A"/>
    <w:rsid w:val="004F383A"/>
    <w:rsid w:val="004F3C7A"/>
    <w:rsid w:val="004F442C"/>
    <w:rsid w:val="004F50EB"/>
    <w:rsid w:val="004F5699"/>
    <w:rsid w:val="004F587A"/>
    <w:rsid w:val="004F5CAC"/>
    <w:rsid w:val="004F6ED8"/>
    <w:rsid w:val="004F721D"/>
    <w:rsid w:val="004F73B9"/>
    <w:rsid w:val="004F7463"/>
    <w:rsid w:val="004F7B17"/>
    <w:rsid w:val="004F7EC4"/>
    <w:rsid w:val="00500307"/>
    <w:rsid w:val="00500621"/>
    <w:rsid w:val="00501314"/>
    <w:rsid w:val="005014EE"/>
    <w:rsid w:val="0050183C"/>
    <w:rsid w:val="00501DD2"/>
    <w:rsid w:val="00502195"/>
    <w:rsid w:val="00503B28"/>
    <w:rsid w:val="00505216"/>
    <w:rsid w:val="00505BCB"/>
    <w:rsid w:val="00505CEB"/>
    <w:rsid w:val="00505F2C"/>
    <w:rsid w:val="005060A0"/>
    <w:rsid w:val="00506644"/>
    <w:rsid w:val="0050712E"/>
    <w:rsid w:val="00507245"/>
    <w:rsid w:val="00507C6D"/>
    <w:rsid w:val="0051109B"/>
    <w:rsid w:val="00512D92"/>
    <w:rsid w:val="0051309B"/>
    <w:rsid w:val="00513970"/>
    <w:rsid w:val="00513AA9"/>
    <w:rsid w:val="00515B75"/>
    <w:rsid w:val="00515BFD"/>
    <w:rsid w:val="005176D5"/>
    <w:rsid w:val="005209A8"/>
    <w:rsid w:val="00521597"/>
    <w:rsid w:val="00521EE5"/>
    <w:rsid w:val="00522532"/>
    <w:rsid w:val="0052287D"/>
    <w:rsid w:val="00522C25"/>
    <w:rsid w:val="00523CC1"/>
    <w:rsid w:val="00524229"/>
    <w:rsid w:val="005245AA"/>
    <w:rsid w:val="005246F3"/>
    <w:rsid w:val="00524A17"/>
    <w:rsid w:val="005253EF"/>
    <w:rsid w:val="00525836"/>
    <w:rsid w:val="005265C1"/>
    <w:rsid w:val="00526818"/>
    <w:rsid w:val="00527A0F"/>
    <w:rsid w:val="00531141"/>
    <w:rsid w:val="00531C28"/>
    <w:rsid w:val="00532220"/>
    <w:rsid w:val="005328E7"/>
    <w:rsid w:val="005339AA"/>
    <w:rsid w:val="00534BCB"/>
    <w:rsid w:val="00534C8F"/>
    <w:rsid w:val="00534CBF"/>
    <w:rsid w:val="00534E1B"/>
    <w:rsid w:val="00535936"/>
    <w:rsid w:val="005377E9"/>
    <w:rsid w:val="00540963"/>
    <w:rsid w:val="00541643"/>
    <w:rsid w:val="00541699"/>
    <w:rsid w:val="005419D1"/>
    <w:rsid w:val="00541BC7"/>
    <w:rsid w:val="005426EE"/>
    <w:rsid w:val="0054272D"/>
    <w:rsid w:val="005437D9"/>
    <w:rsid w:val="0054543E"/>
    <w:rsid w:val="005457E3"/>
    <w:rsid w:val="005473BE"/>
    <w:rsid w:val="00547FB4"/>
    <w:rsid w:val="00551F4A"/>
    <w:rsid w:val="00552852"/>
    <w:rsid w:val="005528C8"/>
    <w:rsid w:val="005529B9"/>
    <w:rsid w:val="005549E0"/>
    <w:rsid w:val="0055571C"/>
    <w:rsid w:val="0055575A"/>
    <w:rsid w:val="005559D2"/>
    <w:rsid w:val="00555D07"/>
    <w:rsid w:val="00556EC2"/>
    <w:rsid w:val="00557686"/>
    <w:rsid w:val="00560A35"/>
    <w:rsid w:val="00560C31"/>
    <w:rsid w:val="00561A75"/>
    <w:rsid w:val="0056250E"/>
    <w:rsid w:val="00562D35"/>
    <w:rsid w:val="00563312"/>
    <w:rsid w:val="005634AB"/>
    <w:rsid w:val="00566A72"/>
    <w:rsid w:val="005673E0"/>
    <w:rsid w:val="00567C4C"/>
    <w:rsid w:val="00567E28"/>
    <w:rsid w:val="005700B7"/>
    <w:rsid w:val="00570621"/>
    <w:rsid w:val="0057080D"/>
    <w:rsid w:val="0057151A"/>
    <w:rsid w:val="00574A3D"/>
    <w:rsid w:val="00575560"/>
    <w:rsid w:val="00576481"/>
    <w:rsid w:val="00577682"/>
    <w:rsid w:val="00577B98"/>
    <w:rsid w:val="00580545"/>
    <w:rsid w:val="00580778"/>
    <w:rsid w:val="00581841"/>
    <w:rsid w:val="0058185E"/>
    <w:rsid w:val="00581930"/>
    <w:rsid w:val="00581EE6"/>
    <w:rsid w:val="00582637"/>
    <w:rsid w:val="00583C3F"/>
    <w:rsid w:val="0058433E"/>
    <w:rsid w:val="0058434E"/>
    <w:rsid w:val="00584592"/>
    <w:rsid w:val="00584AC1"/>
    <w:rsid w:val="005851EF"/>
    <w:rsid w:val="00585839"/>
    <w:rsid w:val="00587FF8"/>
    <w:rsid w:val="005902E4"/>
    <w:rsid w:val="00590426"/>
    <w:rsid w:val="005907F4"/>
    <w:rsid w:val="005908E2"/>
    <w:rsid w:val="00590AC3"/>
    <w:rsid w:val="00590AF4"/>
    <w:rsid w:val="00591C4E"/>
    <w:rsid w:val="00591EC7"/>
    <w:rsid w:val="005920D5"/>
    <w:rsid w:val="00592C8F"/>
    <w:rsid w:val="00593412"/>
    <w:rsid w:val="005937DE"/>
    <w:rsid w:val="00593AA8"/>
    <w:rsid w:val="00593B08"/>
    <w:rsid w:val="00593DA6"/>
    <w:rsid w:val="00594339"/>
    <w:rsid w:val="005943B8"/>
    <w:rsid w:val="00595A21"/>
    <w:rsid w:val="00596C5C"/>
    <w:rsid w:val="00596E8F"/>
    <w:rsid w:val="00597EC0"/>
    <w:rsid w:val="005A02DD"/>
    <w:rsid w:val="005A080D"/>
    <w:rsid w:val="005A09FE"/>
    <w:rsid w:val="005A0ACF"/>
    <w:rsid w:val="005A20B5"/>
    <w:rsid w:val="005A4FF8"/>
    <w:rsid w:val="005A5481"/>
    <w:rsid w:val="005A62C1"/>
    <w:rsid w:val="005A6D86"/>
    <w:rsid w:val="005A7306"/>
    <w:rsid w:val="005A7B0F"/>
    <w:rsid w:val="005A7BB5"/>
    <w:rsid w:val="005A7CF5"/>
    <w:rsid w:val="005B0294"/>
    <w:rsid w:val="005B0E3D"/>
    <w:rsid w:val="005B0E49"/>
    <w:rsid w:val="005B1C4D"/>
    <w:rsid w:val="005B1E0F"/>
    <w:rsid w:val="005B33F8"/>
    <w:rsid w:val="005B3971"/>
    <w:rsid w:val="005B47A2"/>
    <w:rsid w:val="005B599C"/>
    <w:rsid w:val="005B5AF3"/>
    <w:rsid w:val="005B64DF"/>
    <w:rsid w:val="005C0E10"/>
    <w:rsid w:val="005C105D"/>
    <w:rsid w:val="005C1BC0"/>
    <w:rsid w:val="005C1F87"/>
    <w:rsid w:val="005C230B"/>
    <w:rsid w:val="005C43FA"/>
    <w:rsid w:val="005C49E8"/>
    <w:rsid w:val="005C4C04"/>
    <w:rsid w:val="005C4C4B"/>
    <w:rsid w:val="005C5A2E"/>
    <w:rsid w:val="005C61DA"/>
    <w:rsid w:val="005C642B"/>
    <w:rsid w:val="005C67FF"/>
    <w:rsid w:val="005C6C38"/>
    <w:rsid w:val="005C7188"/>
    <w:rsid w:val="005C76E3"/>
    <w:rsid w:val="005C7B08"/>
    <w:rsid w:val="005D1202"/>
    <w:rsid w:val="005D1242"/>
    <w:rsid w:val="005D23F8"/>
    <w:rsid w:val="005D32C6"/>
    <w:rsid w:val="005D36A2"/>
    <w:rsid w:val="005D446A"/>
    <w:rsid w:val="005D5178"/>
    <w:rsid w:val="005D52E4"/>
    <w:rsid w:val="005D5808"/>
    <w:rsid w:val="005D676C"/>
    <w:rsid w:val="005D719A"/>
    <w:rsid w:val="005D785F"/>
    <w:rsid w:val="005E0BCD"/>
    <w:rsid w:val="005E0ED7"/>
    <w:rsid w:val="005E1618"/>
    <w:rsid w:val="005E1EEF"/>
    <w:rsid w:val="005E3142"/>
    <w:rsid w:val="005E3BD6"/>
    <w:rsid w:val="005E3F11"/>
    <w:rsid w:val="005E465E"/>
    <w:rsid w:val="005E47D7"/>
    <w:rsid w:val="005E4B10"/>
    <w:rsid w:val="005E587E"/>
    <w:rsid w:val="005E5AE2"/>
    <w:rsid w:val="005E6D11"/>
    <w:rsid w:val="005E7BF1"/>
    <w:rsid w:val="005F0536"/>
    <w:rsid w:val="005F09EB"/>
    <w:rsid w:val="005F1FCC"/>
    <w:rsid w:val="005F281C"/>
    <w:rsid w:val="005F4461"/>
    <w:rsid w:val="005F4FF1"/>
    <w:rsid w:val="005F5129"/>
    <w:rsid w:val="005F555E"/>
    <w:rsid w:val="005F55FF"/>
    <w:rsid w:val="005F5A22"/>
    <w:rsid w:val="005F5B63"/>
    <w:rsid w:val="005F7122"/>
    <w:rsid w:val="005F79A4"/>
    <w:rsid w:val="005F7F52"/>
    <w:rsid w:val="00600D16"/>
    <w:rsid w:val="00600DD3"/>
    <w:rsid w:val="0060101C"/>
    <w:rsid w:val="006011C1"/>
    <w:rsid w:val="00601D72"/>
    <w:rsid w:val="006023F1"/>
    <w:rsid w:val="0060336C"/>
    <w:rsid w:val="00603AFF"/>
    <w:rsid w:val="00604561"/>
    <w:rsid w:val="00604743"/>
    <w:rsid w:val="00604857"/>
    <w:rsid w:val="00604902"/>
    <w:rsid w:val="00604946"/>
    <w:rsid w:val="006050C9"/>
    <w:rsid w:val="0060513A"/>
    <w:rsid w:val="0060524A"/>
    <w:rsid w:val="00606E5D"/>
    <w:rsid w:val="0060759F"/>
    <w:rsid w:val="006104BD"/>
    <w:rsid w:val="006104C4"/>
    <w:rsid w:val="006109B1"/>
    <w:rsid w:val="006116C8"/>
    <w:rsid w:val="00611E86"/>
    <w:rsid w:val="00612B11"/>
    <w:rsid w:val="006149F2"/>
    <w:rsid w:val="00614E68"/>
    <w:rsid w:val="00615466"/>
    <w:rsid w:val="00615E83"/>
    <w:rsid w:val="00616B7E"/>
    <w:rsid w:val="006174EC"/>
    <w:rsid w:val="00617D10"/>
    <w:rsid w:val="00617DA8"/>
    <w:rsid w:val="00620554"/>
    <w:rsid w:val="006208EC"/>
    <w:rsid w:val="00621D82"/>
    <w:rsid w:val="00621F7C"/>
    <w:rsid w:val="006224E5"/>
    <w:rsid w:val="00622F67"/>
    <w:rsid w:val="006231EC"/>
    <w:rsid w:val="00624182"/>
    <w:rsid w:val="006242B3"/>
    <w:rsid w:val="00625544"/>
    <w:rsid w:val="00626069"/>
    <w:rsid w:val="00626152"/>
    <w:rsid w:val="00626707"/>
    <w:rsid w:val="00626AC3"/>
    <w:rsid w:val="00626BA9"/>
    <w:rsid w:val="006271F1"/>
    <w:rsid w:val="006271F6"/>
    <w:rsid w:val="00630036"/>
    <w:rsid w:val="00630660"/>
    <w:rsid w:val="00631583"/>
    <w:rsid w:val="0063173A"/>
    <w:rsid w:val="006318B6"/>
    <w:rsid w:val="00631988"/>
    <w:rsid w:val="00631E5F"/>
    <w:rsid w:val="0063202C"/>
    <w:rsid w:val="0063424E"/>
    <w:rsid w:val="00634637"/>
    <w:rsid w:val="00634D24"/>
    <w:rsid w:val="0063580F"/>
    <w:rsid w:val="00635E66"/>
    <w:rsid w:val="00636606"/>
    <w:rsid w:val="00636D0F"/>
    <w:rsid w:val="00637440"/>
    <w:rsid w:val="0064045B"/>
    <w:rsid w:val="006409A2"/>
    <w:rsid w:val="00641730"/>
    <w:rsid w:val="006417E6"/>
    <w:rsid w:val="006424A7"/>
    <w:rsid w:val="006425B0"/>
    <w:rsid w:val="00643D9F"/>
    <w:rsid w:val="006453F4"/>
    <w:rsid w:val="00645427"/>
    <w:rsid w:val="00645D06"/>
    <w:rsid w:val="00645F85"/>
    <w:rsid w:val="0064605F"/>
    <w:rsid w:val="006469D6"/>
    <w:rsid w:val="006500D0"/>
    <w:rsid w:val="00650797"/>
    <w:rsid w:val="006507E5"/>
    <w:rsid w:val="006510B3"/>
    <w:rsid w:val="00651E13"/>
    <w:rsid w:val="00652244"/>
    <w:rsid w:val="00652AF8"/>
    <w:rsid w:val="00653484"/>
    <w:rsid w:val="006534E6"/>
    <w:rsid w:val="00653E4C"/>
    <w:rsid w:val="00654A48"/>
    <w:rsid w:val="00654ED7"/>
    <w:rsid w:val="00655B9D"/>
    <w:rsid w:val="0065628C"/>
    <w:rsid w:val="00660088"/>
    <w:rsid w:val="00661F9E"/>
    <w:rsid w:val="0066295E"/>
    <w:rsid w:val="00663A64"/>
    <w:rsid w:val="00664A06"/>
    <w:rsid w:val="00665119"/>
    <w:rsid w:val="00665CC2"/>
    <w:rsid w:val="00665EF5"/>
    <w:rsid w:val="00666EAD"/>
    <w:rsid w:val="00667108"/>
    <w:rsid w:val="00667DBA"/>
    <w:rsid w:val="00670C3F"/>
    <w:rsid w:val="006712FC"/>
    <w:rsid w:val="00671438"/>
    <w:rsid w:val="0067157E"/>
    <w:rsid w:val="00671B97"/>
    <w:rsid w:val="00671EDE"/>
    <w:rsid w:val="006737D8"/>
    <w:rsid w:val="00673E28"/>
    <w:rsid w:val="006760FC"/>
    <w:rsid w:val="006762F5"/>
    <w:rsid w:val="0067765A"/>
    <w:rsid w:val="006777DE"/>
    <w:rsid w:val="00677B84"/>
    <w:rsid w:val="0068020C"/>
    <w:rsid w:val="00680393"/>
    <w:rsid w:val="00680A9A"/>
    <w:rsid w:val="00680D69"/>
    <w:rsid w:val="00681554"/>
    <w:rsid w:val="00681D6B"/>
    <w:rsid w:val="00682620"/>
    <w:rsid w:val="0068542A"/>
    <w:rsid w:val="00685585"/>
    <w:rsid w:val="00686C8E"/>
    <w:rsid w:val="00687663"/>
    <w:rsid w:val="006905C5"/>
    <w:rsid w:val="00690794"/>
    <w:rsid w:val="00690B6D"/>
    <w:rsid w:val="006928F6"/>
    <w:rsid w:val="0069339D"/>
    <w:rsid w:val="006937E2"/>
    <w:rsid w:val="00693A57"/>
    <w:rsid w:val="00694497"/>
    <w:rsid w:val="00694883"/>
    <w:rsid w:val="006952F3"/>
    <w:rsid w:val="00695F34"/>
    <w:rsid w:val="00696670"/>
    <w:rsid w:val="00696D74"/>
    <w:rsid w:val="006A07B9"/>
    <w:rsid w:val="006A0B40"/>
    <w:rsid w:val="006A2B7F"/>
    <w:rsid w:val="006A40FD"/>
    <w:rsid w:val="006A49B3"/>
    <w:rsid w:val="006A5604"/>
    <w:rsid w:val="006A6482"/>
    <w:rsid w:val="006A648F"/>
    <w:rsid w:val="006A6550"/>
    <w:rsid w:val="006A6987"/>
    <w:rsid w:val="006A762C"/>
    <w:rsid w:val="006A76F6"/>
    <w:rsid w:val="006A7A0B"/>
    <w:rsid w:val="006A7AB1"/>
    <w:rsid w:val="006B0A69"/>
    <w:rsid w:val="006B137A"/>
    <w:rsid w:val="006B1584"/>
    <w:rsid w:val="006B19F1"/>
    <w:rsid w:val="006B1AC0"/>
    <w:rsid w:val="006B2340"/>
    <w:rsid w:val="006B4BA4"/>
    <w:rsid w:val="006B508E"/>
    <w:rsid w:val="006B54DA"/>
    <w:rsid w:val="006B55CD"/>
    <w:rsid w:val="006B5D35"/>
    <w:rsid w:val="006B5E4B"/>
    <w:rsid w:val="006B651D"/>
    <w:rsid w:val="006B6789"/>
    <w:rsid w:val="006B70E7"/>
    <w:rsid w:val="006B78D6"/>
    <w:rsid w:val="006C0888"/>
    <w:rsid w:val="006C0C6F"/>
    <w:rsid w:val="006C23AD"/>
    <w:rsid w:val="006C33DC"/>
    <w:rsid w:val="006C376E"/>
    <w:rsid w:val="006C3DD1"/>
    <w:rsid w:val="006C3EAB"/>
    <w:rsid w:val="006C61C6"/>
    <w:rsid w:val="006C66FE"/>
    <w:rsid w:val="006C741D"/>
    <w:rsid w:val="006C7618"/>
    <w:rsid w:val="006C7734"/>
    <w:rsid w:val="006C7885"/>
    <w:rsid w:val="006D0061"/>
    <w:rsid w:val="006D025E"/>
    <w:rsid w:val="006D05E2"/>
    <w:rsid w:val="006D0AB2"/>
    <w:rsid w:val="006D0D91"/>
    <w:rsid w:val="006D1480"/>
    <w:rsid w:val="006D2A26"/>
    <w:rsid w:val="006D3CE0"/>
    <w:rsid w:val="006D48B4"/>
    <w:rsid w:val="006D53E1"/>
    <w:rsid w:val="006D5A94"/>
    <w:rsid w:val="006D6DC7"/>
    <w:rsid w:val="006D7489"/>
    <w:rsid w:val="006D7A1D"/>
    <w:rsid w:val="006D7B1C"/>
    <w:rsid w:val="006E0971"/>
    <w:rsid w:val="006E1803"/>
    <w:rsid w:val="006E2052"/>
    <w:rsid w:val="006E2F1B"/>
    <w:rsid w:val="006E2FAF"/>
    <w:rsid w:val="006E31A9"/>
    <w:rsid w:val="006E35B4"/>
    <w:rsid w:val="006E4293"/>
    <w:rsid w:val="006E4ABF"/>
    <w:rsid w:val="006E56E8"/>
    <w:rsid w:val="006E5D66"/>
    <w:rsid w:val="006E6FCF"/>
    <w:rsid w:val="006E7406"/>
    <w:rsid w:val="006E767A"/>
    <w:rsid w:val="006F0058"/>
    <w:rsid w:val="006F012D"/>
    <w:rsid w:val="006F0687"/>
    <w:rsid w:val="006F0BE6"/>
    <w:rsid w:val="006F1533"/>
    <w:rsid w:val="006F195F"/>
    <w:rsid w:val="006F1A3B"/>
    <w:rsid w:val="006F2447"/>
    <w:rsid w:val="006F2513"/>
    <w:rsid w:val="006F2889"/>
    <w:rsid w:val="006F3F8C"/>
    <w:rsid w:val="006F4062"/>
    <w:rsid w:val="006F407B"/>
    <w:rsid w:val="006F4104"/>
    <w:rsid w:val="006F478D"/>
    <w:rsid w:val="006F4836"/>
    <w:rsid w:val="006F4C65"/>
    <w:rsid w:val="006F54D6"/>
    <w:rsid w:val="006F58FE"/>
    <w:rsid w:val="006F5B1C"/>
    <w:rsid w:val="006F5F68"/>
    <w:rsid w:val="006F6E14"/>
    <w:rsid w:val="00705CDF"/>
    <w:rsid w:val="00710C9B"/>
    <w:rsid w:val="00710CDB"/>
    <w:rsid w:val="007115A9"/>
    <w:rsid w:val="00711A3E"/>
    <w:rsid w:val="00711FFD"/>
    <w:rsid w:val="00712616"/>
    <w:rsid w:val="00712C37"/>
    <w:rsid w:val="007130F5"/>
    <w:rsid w:val="007148FB"/>
    <w:rsid w:val="00714F35"/>
    <w:rsid w:val="00715DC0"/>
    <w:rsid w:val="007166A1"/>
    <w:rsid w:val="00716811"/>
    <w:rsid w:val="0071701B"/>
    <w:rsid w:val="007172AC"/>
    <w:rsid w:val="007203A9"/>
    <w:rsid w:val="00722AA7"/>
    <w:rsid w:val="00724850"/>
    <w:rsid w:val="007248D3"/>
    <w:rsid w:val="00724CBB"/>
    <w:rsid w:val="00730DFB"/>
    <w:rsid w:val="007319B5"/>
    <w:rsid w:val="007324FB"/>
    <w:rsid w:val="00732A23"/>
    <w:rsid w:val="00732DFD"/>
    <w:rsid w:val="00733787"/>
    <w:rsid w:val="00733DDB"/>
    <w:rsid w:val="00733DE0"/>
    <w:rsid w:val="00733FE8"/>
    <w:rsid w:val="0073496F"/>
    <w:rsid w:val="00735377"/>
    <w:rsid w:val="00735620"/>
    <w:rsid w:val="00735624"/>
    <w:rsid w:val="007366E0"/>
    <w:rsid w:val="007369BD"/>
    <w:rsid w:val="007370F5"/>
    <w:rsid w:val="00737350"/>
    <w:rsid w:val="007405B1"/>
    <w:rsid w:val="007409DE"/>
    <w:rsid w:val="00740F50"/>
    <w:rsid w:val="00741649"/>
    <w:rsid w:val="0074249E"/>
    <w:rsid w:val="00742EB4"/>
    <w:rsid w:val="00743594"/>
    <w:rsid w:val="00743ABE"/>
    <w:rsid w:val="00743D88"/>
    <w:rsid w:val="0074496D"/>
    <w:rsid w:val="007458A7"/>
    <w:rsid w:val="00745A84"/>
    <w:rsid w:val="00746D1B"/>
    <w:rsid w:val="00747339"/>
    <w:rsid w:val="0074747D"/>
    <w:rsid w:val="00747BC8"/>
    <w:rsid w:val="00750114"/>
    <w:rsid w:val="00750D48"/>
    <w:rsid w:val="00751226"/>
    <w:rsid w:val="007521F4"/>
    <w:rsid w:val="00752CCC"/>
    <w:rsid w:val="00752D88"/>
    <w:rsid w:val="007537B9"/>
    <w:rsid w:val="007539B8"/>
    <w:rsid w:val="00753F25"/>
    <w:rsid w:val="00753FC3"/>
    <w:rsid w:val="00754F01"/>
    <w:rsid w:val="00755395"/>
    <w:rsid w:val="0075665B"/>
    <w:rsid w:val="00756AF8"/>
    <w:rsid w:val="00757241"/>
    <w:rsid w:val="00757311"/>
    <w:rsid w:val="00757464"/>
    <w:rsid w:val="00757DE1"/>
    <w:rsid w:val="00757E46"/>
    <w:rsid w:val="00760324"/>
    <w:rsid w:val="00761491"/>
    <w:rsid w:val="00761B0C"/>
    <w:rsid w:val="0076226D"/>
    <w:rsid w:val="00762D44"/>
    <w:rsid w:val="00763B5A"/>
    <w:rsid w:val="00764069"/>
    <w:rsid w:val="007654F4"/>
    <w:rsid w:val="00765C86"/>
    <w:rsid w:val="00766616"/>
    <w:rsid w:val="00766CC2"/>
    <w:rsid w:val="007706F2"/>
    <w:rsid w:val="00770723"/>
    <w:rsid w:val="007707BB"/>
    <w:rsid w:val="00771691"/>
    <w:rsid w:val="00772068"/>
    <w:rsid w:val="007726A8"/>
    <w:rsid w:val="00772E97"/>
    <w:rsid w:val="0077373A"/>
    <w:rsid w:val="0077469A"/>
    <w:rsid w:val="00774B23"/>
    <w:rsid w:val="00774B45"/>
    <w:rsid w:val="007762B0"/>
    <w:rsid w:val="007768AA"/>
    <w:rsid w:val="00777454"/>
    <w:rsid w:val="00781B33"/>
    <w:rsid w:val="00781B83"/>
    <w:rsid w:val="00783075"/>
    <w:rsid w:val="0078334F"/>
    <w:rsid w:val="00783363"/>
    <w:rsid w:val="007834EA"/>
    <w:rsid w:val="00784447"/>
    <w:rsid w:val="00784541"/>
    <w:rsid w:val="0078516B"/>
    <w:rsid w:val="007859D0"/>
    <w:rsid w:val="00786323"/>
    <w:rsid w:val="007873CB"/>
    <w:rsid w:val="007875FA"/>
    <w:rsid w:val="00787DEC"/>
    <w:rsid w:val="0079078D"/>
    <w:rsid w:val="00791264"/>
    <w:rsid w:val="00792E71"/>
    <w:rsid w:val="007937E4"/>
    <w:rsid w:val="00793FCB"/>
    <w:rsid w:val="00794B1F"/>
    <w:rsid w:val="00794E22"/>
    <w:rsid w:val="007953BF"/>
    <w:rsid w:val="007953DF"/>
    <w:rsid w:val="0079553A"/>
    <w:rsid w:val="007960D0"/>
    <w:rsid w:val="00796670"/>
    <w:rsid w:val="0079737B"/>
    <w:rsid w:val="007A0ADD"/>
    <w:rsid w:val="007A13CC"/>
    <w:rsid w:val="007A3037"/>
    <w:rsid w:val="007A31F0"/>
    <w:rsid w:val="007A518F"/>
    <w:rsid w:val="007A5BBB"/>
    <w:rsid w:val="007A5DCB"/>
    <w:rsid w:val="007A6901"/>
    <w:rsid w:val="007A78F4"/>
    <w:rsid w:val="007B077A"/>
    <w:rsid w:val="007B0D08"/>
    <w:rsid w:val="007B11A7"/>
    <w:rsid w:val="007B1944"/>
    <w:rsid w:val="007B3123"/>
    <w:rsid w:val="007B41B3"/>
    <w:rsid w:val="007B4205"/>
    <w:rsid w:val="007B567D"/>
    <w:rsid w:val="007B58CE"/>
    <w:rsid w:val="007B594C"/>
    <w:rsid w:val="007B6EB5"/>
    <w:rsid w:val="007B7BE5"/>
    <w:rsid w:val="007B7E57"/>
    <w:rsid w:val="007C099B"/>
    <w:rsid w:val="007C0DAD"/>
    <w:rsid w:val="007C1E30"/>
    <w:rsid w:val="007C3004"/>
    <w:rsid w:val="007C32C2"/>
    <w:rsid w:val="007C355E"/>
    <w:rsid w:val="007C4AA2"/>
    <w:rsid w:val="007C525E"/>
    <w:rsid w:val="007C5338"/>
    <w:rsid w:val="007C57CC"/>
    <w:rsid w:val="007C6045"/>
    <w:rsid w:val="007C651A"/>
    <w:rsid w:val="007C7A37"/>
    <w:rsid w:val="007D054B"/>
    <w:rsid w:val="007D128F"/>
    <w:rsid w:val="007D212A"/>
    <w:rsid w:val="007D4727"/>
    <w:rsid w:val="007D592F"/>
    <w:rsid w:val="007D6387"/>
    <w:rsid w:val="007D7809"/>
    <w:rsid w:val="007E1149"/>
    <w:rsid w:val="007E299E"/>
    <w:rsid w:val="007E29BD"/>
    <w:rsid w:val="007E3904"/>
    <w:rsid w:val="007E3F57"/>
    <w:rsid w:val="007E4BE2"/>
    <w:rsid w:val="007E50D5"/>
    <w:rsid w:val="007E61D9"/>
    <w:rsid w:val="007E7522"/>
    <w:rsid w:val="007E7A6C"/>
    <w:rsid w:val="007F039B"/>
    <w:rsid w:val="007F06FF"/>
    <w:rsid w:val="007F0D54"/>
    <w:rsid w:val="007F1A2A"/>
    <w:rsid w:val="007F1F6A"/>
    <w:rsid w:val="007F2A62"/>
    <w:rsid w:val="007F2FAB"/>
    <w:rsid w:val="007F3786"/>
    <w:rsid w:val="007F4E3E"/>
    <w:rsid w:val="007F5431"/>
    <w:rsid w:val="007F57C5"/>
    <w:rsid w:val="007F57DB"/>
    <w:rsid w:val="007F672E"/>
    <w:rsid w:val="007F6F94"/>
    <w:rsid w:val="007F79E3"/>
    <w:rsid w:val="007F7BC8"/>
    <w:rsid w:val="007F7C3E"/>
    <w:rsid w:val="008003EB"/>
    <w:rsid w:val="00800694"/>
    <w:rsid w:val="00800FF9"/>
    <w:rsid w:val="0080193D"/>
    <w:rsid w:val="00801A60"/>
    <w:rsid w:val="00801F8A"/>
    <w:rsid w:val="008023C3"/>
    <w:rsid w:val="00802726"/>
    <w:rsid w:val="00802A20"/>
    <w:rsid w:val="00802CDC"/>
    <w:rsid w:val="00802F89"/>
    <w:rsid w:val="00803649"/>
    <w:rsid w:val="00803B8C"/>
    <w:rsid w:val="00803D18"/>
    <w:rsid w:val="00803D4B"/>
    <w:rsid w:val="00804000"/>
    <w:rsid w:val="00804936"/>
    <w:rsid w:val="00805908"/>
    <w:rsid w:val="00805A03"/>
    <w:rsid w:val="00807B2B"/>
    <w:rsid w:val="00807B86"/>
    <w:rsid w:val="00807BA7"/>
    <w:rsid w:val="00807BB2"/>
    <w:rsid w:val="00810A3F"/>
    <w:rsid w:val="0081257A"/>
    <w:rsid w:val="00812692"/>
    <w:rsid w:val="00812909"/>
    <w:rsid w:val="00814613"/>
    <w:rsid w:val="008161B9"/>
    <w:rsid w:val="0081741B"/>
    <w:rsid w:val="0082018A"/>
    <w:rsid w:val="00820F89"/>
    <w:rsid w:val="00821062"/>
    <w:rsid w:val="0082308E"/>
    <w:rsid w:val="00824B27"/>
    <w:rsid w:val="008252C7"/>
    <w:rsid w:val="008254B9"/>
    <w:rsid w:val="00826D33"/>
    <w:rsid w:val="0082700C"/>
    <w:rsid w:val="00827124"/>
    <w:rsid w:val="00827F5D"/>
    <w:rsid w:val="00830BD9"/>
    <w:rsid w:val="00830F01"/>
    <w:rsid w:val="00831936"/>
    <w:rsid w:val="00831A99"/>
    <w:rsid w:val="00831B21"/>
    <w:rsid w:val="00831BC4"/>
    <w:rsid w:val="00831D6B"/>
    <w:rsid w:val="00832908"/>
    <w:rsid w:val="00832FF8"/>
    <w:rsid w:val="008333E9"/>
    <w:rsid w:val="00833FD2"/>
    <w:rsid w:val="00834DCD"/>
    <w:rsid w:val="008351CA"/>
    <w:rsid w:val="008377BA"/>
    <w:rsid w:val="0083784E"/>
    <w:rsid w:val="00840425"/>
    <w:rsid w:val="008404DE"/>
    <w:rsid w:val="00840784"/>
    <w:rsid w:val="0084234F"/>
    <w:rsid w:val="00842C00"/>
    <w:rsid w:val="00842EE8"/>
    <w:rsid w:val="0084539A"/>
    <w:rsid w:val="00845A72"/>
    <w:rsid w:val="00845FA8"/>
    <w:rsid w:val="008460EB"/>
    <w:rsid w:val="0084685B"/>
    <w:rsid w:val="00851422"/>
    <w:rsid w:val="008520E0"/>
    <w:rsid w:val="00852907"/>
    <w:rsid w:val="0085361F"/>
    <w:rsid w:val="008538FD"/>
    <w:rsid w:val="008542A4"/>
    <w:rsid w:val="00855D83"/>
    <w:rsid w:val="0085620A"/>
    <w:rsid w:val="00856391"/>
    <w:rsid w:val="0085681D"/>
    <w:rsid w:val="00857011"/>
    <w:rsid w:val="008608A9"/>
    <w:rsid w:val="00861365"/>
    <w:rsid w:val="0086192B"/>
    <w:rsid w:val="008627CA"/>
    <w:rsid w:val="00862D32"/>
    <w:rsid w:val="00864BB2"/>
    <w:rsid w:val="00864F4D"/>
    <w:rsid w:val="008660D4"/>
    <w:rsid w:val="0086687B"/>
    <w:rsid w:val="00866C1C"/>
    <w:rsid w:val="00866E49"/>
    <w:rsid w:val="00866FCA"/>
    <w:rsid w:val="00866FF6"/>
    <w:rsid w:val="0087071B"/>
    <w:rsid w:val="00871FC7"/>
    <w:rsid w:val="00873040"/>
    <w:rsid w:val="00873220"/>
    <w:rsid w:val="008733DC"/>
    <w:rsid w:val="00874DA8"/>
    <w:rsid w:val="008754D1"/>
    <w:rsid w:val="008759D8"/>
    <w:rsid w:val="0087632C"/>
    <w:rsid w:val="0087650C"/>
    <w:rsid w:val="00876543"/>
    <w:rsid w:val="00876D26"/>
    <w:rsid w:val="00877660"/>
    <w:rsid w:val="00877716"/>
    <w:rsid w:val="0088215A"/>
    <w:rsid w:val="00885BDB"/>
    <w:rsid w:val="008860AE"/>
    <w:rsid w:val="0088711D"/>
    <w:rsid w:val="008874DB"/>
    <w:rsid w:val="00890A7C"/>
    <w:rsid w:val="008914D9"/>
    <w:rsid w:val="0089156F"/>
    <w:rsid w:val="008916C0"/>
    <w:rsid w:val="0089319C"/>
    <w:rsid w:val="0089378C"/>
    <w:rsid w:val="0089415E"/>
    <w:rsid w:val="00896436"/>
    <w:rsid w:val="00896EEE"/>
    <w:rsid w:val="008A018E"/>
    <w:rsid w:val="008A0D80"/>
    <w:rsid w:val="008A156B"/>
    <w:rsid w:val="008A2C2D"/>
    <w:rsid w:val="008A2EE9"/>
    <w:rsid w:val="008A5BDC"/>
    <w:rsid w:val="008A5EA4"/>
    <w:rsid w:val="008A60C3"/>
    <w:rsid w:val="008A61C2"/>
    <w:rsid w:val="008A69F3"/>
    <w:rsid w:val="008A7FE8"/>
    <w:rsid w:val="008B0F7C"/>
    <w:rsid w:val="008B1583"/>
    <w:rsid w:val="008B3514"/>
    <w:rsid w:val="008B3E88"/>
    <w:rsid w:val="008B59EC"/>
    <w:rsid w:val="008B61B4"/>
    <w:rsid w:val="008B6453"/>
    <w:rsid w:val="008B66E7"/>
    <w:rsid w:val="008C1C2B"/>
    <w:rsid w:val="008C21B2"/>
    <w:rsid w:val="008C25A8"/>
    <w:rsid w:val="008C2615"/>
    <w:rsid w:val="008C274E"/>
    <w:rsid w:val="008C2829"/>
    <w:rsid w:val="008C487A"/>
    <w:rsid w:val="008C5B25"/>
    <w:rsid w:val="008C7300"/>
    <w:rsid w:val="008C7EE5"/>
    <w:rsid w:val="008D0AB4"/>
    <w:rsid w:val="008D0FF4"/>
    <w:rsid w:val="008D15EC"/>
    <w:rsid w:val="008D2037"/>
    <w:rsid w:val="008D24DD"/>
    <w:rsid w:val="008D24FB"/>
    <w:rsid w:val="008D2568"/>
    <w:rsid w:val="008D30AA"/>
    <w:rsid w:val="008D3EDD"/>
    <w:rsid w:val="008D46C6"/>
    <w:rsid w:val="008D4D43"/>
    <w:rsid w:val="008D5204"/>
    <w:rsid w:val="008D54E7"/>
    <w:rsid w:val="008D56FA"/>
    <w:rsid w:val="008D5FC6"/>
    <w:rsid w:val="008D6315"/>
    <w:rsid w:val="008D634E"/>
    <w:rsid w:val="008D65D6"/>
    <w:rsid w:val="008D6811"/>
    <w:rsid w:val="008D7026"/>
    <w:rsid w:val="008D706B"/>
    <w:rsid w:val="008D7FB5"/>
    <w:rsid w:val="008E01A0"/>
    <w:rsid w:val="008E0774"/>
    <w:rsid w:val="008E085F"/>
    <w:rsid w:val="008E0A95"/>
    <w:rsid w:val="008E0D8D"/>
    <w:rsid w:val="008E14A2"/>
    <w:rsid w:val="008E1581"/>
    <w:rsid w:val="008E221A"/>
    <w:rsid w:val="008E3958"/>
    <w:rsid w:val="008E5060"/>
    <w:rsid w:val="008E5AD2"/>
    <w:rsid w:val="008E651E"/>
    <w:rsid w:val="008E6649"/>
    <w:rsid w:val="008E6D76"/>
    <w:rsid w:val="008E7568"/>
    <w:rsid w:val="008E7AB5"/>
    <w:rsid w:val="008F00D9"/>
    <w:rsid w:val="008F0C7F"/>
    <w:rsid w:val="008F0F21"/>
    <w:rsid w:val="008F1151"/>
    <w:rsid w:val="008F27BF"/>
    <w:rsid w:val="008F29E4"/>
    <w:rsid w:val="008F3616"/>
    <w:rsid w:val="008F3CA1"/>
    <w:rsid w:val="008F447F"/>
    <w:rsid w:val="008F44C7"/>
    <w:rsid w:val="008F4DEF"/>
    <w:rsid w:val="008F592E"/>
    <w:rsid w:val="008F5BD0"/>
    <w:rsid w:val="008F5DCC"/>
    <w:rsid w:val="008F7577"/>
    <w:rsid w:val="008F78A2"/>
    <w:rsid w:val="009005A8"/>
    <w:rsid w:val="00901E74"/>
    <w:rsid w:val="009021C1"/>
    <w:rsid w:val="009022E4"/>
    <w:rsid w:val="00902794"/>
    <w:rsid w:val="009032DD"/>
    <w:rsid w:val="009047D2"/>
    <w:rsid w:val="00905A4B"/>
    <w:rsid w:val="00906B4D"/>
    <w:rsid w:val="00907826"/>
    <w:rsid w:val="009101E8"/>
    <w:rsid w:val="00910386"/>
    <w:rsid w:val="00911794"/>
    <w:rsid w:val="00911D0F"/>
    <w:rsid w:val="00911D24"/>
    <w:rsid w:val="00912137"/>
    <w:rsid w:val="00912A69"/>
    <w:rsid w:val="009137F1"/>
    <w:rsid w:val="00913BFD"/>
    <w:rsid w:val="00913D90"/>
    <w:rsid w:val="009141D9"/>
    <w:rsid w:val="00914469"/>
    <w:rsid w:val="009149EB"/>
    <w:rsid w:val="0091524F"/>
    <w:rsid w:val="009158C1"/>
    <w:rsid w:val="00915A11"/>
    <w:rsid w:val="00915C5B"/>
    <w:rsid w:val="00915FE6"/>
    <w:rsid w:val="009161D3"/>
    <w:rsid w:val="00916505"/>
    <w:rsid w:val="00916D75"/>
    <w:rsid w:val="00917062"/>
    <w:rsid w:val="00917B4A"/>
    <w:rsid w:val="00917D7B"/>
    <w:rsid w:val="00917E85"/>
    <w:rsid w:val="00917EAD"/>
    <w:rsid w:val="00917EBB"/>
    <w:rsid w:val="009205CD"/>
    <w:rsid w:val="0092083A"/>
    <w:rsid w:val="00921A11"/>
    <w:rsid w:val="00921C8D"/>
    <w:rsid w:val="00921F05"/>
    <w:rsid w:val="009221E2"/>
    <w:rsid w:val="0092271B"/>
    <w:rsid w:val="0092293C"/>
    <w:rsid w:val="0092368E"/>
    <w:rsid w:val="00923CF6"/>
    <w:rsid w:val="00924EB8"/>
    <w:rsid w:val="00925731"/>
    <w:rsid w:val="00925EE8"/>
    <w:rsid w:val="00926096"/>
    <w:rsid w:val="00926B44"/>
    <w:rsid w:val="0092710D"/>
    <w:rsid w:val="00927210"/>
    <w:rsid w:val="009314FF"/>
    <w:rsid w:val="00931622"/>
    <w:rsid w:val="00932615"/>
    <w:rsid w:val="009336B2"/>
    <w:rsid w:val="009340A5"/>
    <w:rsid w:val="0093476F"/>
    <w:rsid w:val="009347DE"/>
    <w:rsid w:val="00935853"/>
    <w:rsid w:val="009366D8"/>
    <w:rsid w:val="009405ED"/>
    <w:rsid w:val="00940DEF"/>
    <w:rsid w:val="00941051"/>
    <w:rsid w:val="009419DF"/>
    <w:rsid w:val="00941B36"/>
    <w:rsid w:val="00942C6A"/>
    <w:rsid w:val="00942FE1"/>
    <w:rsid w:val="009439D7"/>
    <w:rsid w:val="00943EC6"/>
    <w:rsid w:val="00944053"/>
    <w:rsid w:val="00944499"/>
    <w:rsid w:val="00944B02"/>
    <w:rsid w:val="00944C24"/>
    <w:rsid w:val="00944D95"/>
    <w:rsid w:val="00945AD6"/>
    <w:rsid w:val="00945B24"/>
    <w:rsid w:val="00945C36"/>
    <w:rsid w:val="00945D8B"/>
    <w:rsid w:val="00947C8A"/>
    <w:rsid w:val="009506CE"/>
    <w:rsid w:val="00950C43"/>
    <w:rsid w:val="00950E03"/>
    <w:rsid w:val="00951838"/>
    <w:rsid w:val="0095281F"/>
    <w:rsid w:val="00952B69"/>
    <w:rsid w:val="009549F9"/>
    <w:rsid w:val="0095524B"/>
    <w:rsid w:val="00956EB6"/>
    <w:rsid w:val="00957AEC"/>
    <w:rsid w:val="00960238"/>
    <w:rsid w:val="00961A0C"/>
    <w:rsid w:val="009626A2"/>
    <w:rsid w:val="00962A06"/>
    <w:rsid w:val="00962B29"/>
    <w:rsid w:val="00965ECF"/>
    <w:rsid w:val="0096709B"/>
    <w:rsid w:val="009704E7"/>
    <w:rsid w:val="00970917"/>
    <w:rsid w:val="00971B3F"/>
    <w:rsid w:val="00971ED0"/>
    <w:rsid w:val="009724B6"/>
    <w:rsid w:val="00972ABA"/>
    <w:rsid w:val="00972D00"/>
    <w:rsid w:val="009730F5"/>
    <w:rsid w:val="0097346B"/>
    <w:rsid w:val="00973B16"/>
    <w:rsid w:val="00973C16"/>
    <w:rsid w:val="00974422"/>
    <w:rsid w:val="00975B2F"/>
    <w:rsid w:val="0097625B"/>
    <w:rsid w:val="00976C3D"/>
    <w:rsid w:val="009778CA"/>
    <w:rsid w:val="009800E0"/>
    <w:rsid w:val="00980AC8"/>
    <w:rsid w:val="00981C9B"/>
    <w:rsid w:val="00982BCD"/>
    <w:rsid w:val="0098356A"/>
    <w:rsid w:val="009873D1"/>
    <w:rsid w:val="0099037F"/>
    <w:rsid w:val="009904E3"/>
    <w:rsid w:val="00992674"/>
    <w:rsid w:val="00994037"/>
    <w:rsid w:val="009943C7"/>
    <w:rsid w:val="009943FF"/>
    <w:rsid w:val="009948FB"/>
    <w:rsid w:val="009956AB"/>
    <w:rsid w:val="00995AEA"/>
    <w:rsid w:val="00996168"/>
    <w:rsid w:val="009967F9"/>
    <w:rsid w:val="00996C3D"/>
    <w:rsid w:val="009A0076"/>
    <w:rsid w:val="009A10D8"/>
    <w:rsid w:val="009A1349"/>
    <w:rsid w:val="009A1AB2"/>
    <w:rsid w:val="009A1C95"/>
    <w:rsid w:val="009A2051"/>
    <w:rsid w:val="009A2343"/>
    <w:rsid w:val="009A237A"/>
    <w:rsid w:val="009A3BC6"/>
    <w:rsid w:val="009A49B8"/>
    <w:rsid w:val="009A578D"/>
    <w:rsid w:val="009A5AA8"/>
    <w:rsid w:val="009A5F9F"/>
    <w:rsid w:val="009A6300"/>
    <w:rsid w:val="009A6A16"/>
    <w:rsid w:val="009A7300"/>
    <w:rsid w:val="009B024D"/>
    <w:rsid w:val="009B0896"/>
    <w:rsid w:val="009B0B0F"/>
    <w:rsid w:val="009B2A30"/>
    <w:rsid w:val="009B39B3"/>
    <w:rsid w:val="009B3AEC"/>
    <w:rsid w:val="009B4203"/>
    <w:rsid w:val="009B462D"/>
    <w:rsid w:val="009B4A3E"/>
    <w:rsid w:val="009B6B42"/>
    <w:rsid w:val="009B727F"/>
    <w:rsid w:val="009B742D"/>
    <w:rsid w:val="009B756B"/>
    <w:rsid w:val="009B7EB7"/>
    <w:rsid w:val="009C05A3"/>
    <w:rsid w:val="009C0A59"/>
    <w:rsid w:val="009C18F8"/>
    <w:rsid w:val="009C2AAA"/>
    <w:rsid w:val="009C38FF"/>
    <w:rsid w:val="009C3A14"/>
    <w:rsid w:val="009C47F6"/>
    <w:rsid w:val="009C48C7"/>
    <w:rsid w:val="009C4B40"/>
    <w:rsid w:val="009C54AA"/>
    <w:rsid w:val="009C6055"/>
    <w:rsid w:val="009C634B"/>
    <w:rsid w:val="009C6D30"/>
    <w:rsid w:val="009D18AD"/>
    <w:rsid w:val="009D273C"/>
    <w:rsid w:val="009D3831"/>
    <w:rsid w:val="009D408F"/>
    <w:rsid w:val="009D4C51"/>
    <w:rsid w:val="009D58FB"/>
    <w:rsid w:val="009D6350"/>
    <w:rsid w:val="009D6833"/>
    <w:rsid w:val="009D69A3"/>
    <w:rsid w:val="009D759B"/>
    <w:rsid w:val="009E1235"/>
    <w:rsid w:val="009E1D9A"/>
    <w:rsid w:val="009E31FD"/>
    <w:rsid w:val="009E3690"/>
    <w:rsid w:val="009E60D8"/>
    <w:rsid w:val="009E6B45"/>
    <w:rsid w:val="009E6E35"/>
    <w:rsid w:val="009E7459"/>
    <w:rsid w:val="009E7CFD"/>
    <w:rsid w:val="009F0A83"/>
    <w:rsid w:val="009F0BEB"/>
    <w:rsid w:val="009F0FBB"/>
    <w:rsid w:val="009F1827"/>
    <w:rsid w:val="009F2D49"/>
    <w:rsid w:val="009F2E5B"/>
    <w:rsid w:val="009F433E"/>
    <w:rsid w:val="009F524A"/>
    <w:rsid w:val="009F55CB"/>
    <w:rsid w:val="009F5B1B"/>
    <w:rsid w:val="009F5EBC"/>
    <w:rsid w:val="009F66AE"/>
    <w:rsid w:val="009F72A5"/>
    <w:rsid w:val="009F7808"/>
    <w:rsid w:val="00A00E99"/>
    <w:rsid w:val="00A01318"/>
    <w:rsid w:val="00A01B1D"/>
    <w:rsid w:val="00A01BCB"/>
    <w:rsid w:val="00A022CA"/>
    <w:rsid w:val="00A02809"/>
    <w:rsid w:val="00A03A79"/>
    <w:rsid w:val="00A053C2"/>
    <w:rsid w:val="00A07D3B"/>
    <w:rsid w:val="00A07D8C"/>
    <w:rsid w:val="00A1018C"/>
    <w:rsid w:val="00A11855"/>
    <w:rsid w:val="00A12067"/>
    <w:rsid w:val="00A12766"/>
    <w:rsid w:val="00A14376"/>
    <w:rsid w:val="00A14989"/>
    <w:rsid w:val="00A152E1"/>
    <w:rsid w:val="00A15AC8"/>
    <w:rsid w:val="00A15C9F"/>
    <w:rsid w:val="00A164EF"/>
    <w:rsid w:val="00A16B25"/>
    <w:rsid w:val="00A17E8B"/>
    <w:rsid w:val="00A20508"/>
    <w:rsid w:val="00A207A3"/>
    <w:rsid w:val="00A20970"/>
    <w:rsid w:val="00A20D83"/>
    <w:rsid w:val="00A22766"/>
    <w:rsid w:val="00A2291C"/>
    <w:rsid w:val="00A23047"/>
    <w:rsid w:val="00A23DA7"/>
    <w:rsid w:val="00A24A75"/>
    <w:rsid w:val="00A24BE5"/>
    <w:rsid w:val="00A25014"/>
    <w:rsid w:val="00A25BFA"/>
    <w:rsid w:val="00A2606D"/>
    <w:rsid w:val="00A26C47"/>
    <w:rsid w:val="00A27394"/>
    <w:rsid w:val="00A30BFE"/>
    <w:rsid w:val="00A30D52"/>
    <w:rsid w:val="00A31415"/>
    <w:rsid w:val="00A3141F"/>
    <w:rsid w:val="00A32E26"/>
    <w:rsid w:val="00A337F6"/>
    <w:rsid w:val="00A34B6B"/>
    <w:rsid w:val="00A3595E"/>
    <w:rsid w:val="00A37B61"/>
    <w:rsid w:val="00A37C49"/>
    <w:rsid w:val="00A408D0"/>
    <w:rsid w:val="00A40AF7"/>
    <w:rsid w:val="00A42072"/>
    <w:rsid w:val="00A42A59"/>
    <w:rsid w:val="00A42BCA"/>
    <w:rsid w:val="00A433EB"/>
    <w:rsid w:val="00A44A9B"/>
    <w:rsid w:val="00A44BB1"/>
    <w:rsid w:val="00A45532"/>
    <w:rsid w:val="00A46933"/>
    <w:rsid w:val="00A4710A"/>
    <w:rsid w:val="00A509B6"/>
    <w:rsid w:val="00A50D31"/>
    <w:rsid w:val="00A51974"/>
    <w:rsid w:val="00A519FC"/>
    <w:rsid w:val="00A51C89"/>
    <w:rsid w:val="00A51F5F"/>
    <w:rsid w:val="00A52772"/>
    <w:rsid w:val="00A53B18"/>
    <w:rsid w:val="00A53B78"/>
    <w:rsid w:val="00A5414F"/>
    <w:rsid w:val="00A54B65"/>
    <w:rsid w:val="00A5655C"/>
    <w:rsid w:val="00A56EE3"/>
    <w:rsid w:val="00A572C2"/>
    <w:rsid w:val="00A57692"/>
    <w:rsid w:val="00A5782C"/>
    <w:rsid w:val="00A57870"/>
    <w:rsid w:val="00A5795B"/>
    <w:rsid w:val="00A60444"/>
    <w:rsid w:val="00A60B29"/>
    <w:rsid w:val="00A613DA"/>
    <w:rsid w:val="00A6188E"/>
    <w:rsid w:val="00A619CB"/>
    <w:rsid w:val="00A6378B"/>
    <w:rsid w:val="00A656A3"/>
    <w:rsid w:val="00A66286"/>
    <w:rsid w:val="00A66DF9"/>
    <w:rsid w:val="00A66E19"/>
    <w:rsid w:val="00A67967"/>
    <w:rsid w:val="00A67E06"/>
    <w:rsid w:val="00A707AB"/>
    <w:rsid w:val="00A709CC"/>
    <w:rsid w:val="00A70C42"/>
    <w:rsid w:val="00A70FA6"/>
    <w:rsid w:val="00A71157"/>
    <w:rsid w:val="00A71ACC"/>
    <w:rsid w:val="00A72252"/>
    <w:rsid w:val="00A73944"/>
    <w:rsid w:val="00A74582"/>
    <w:rsid w:val="00A74DEA"/>
    <w:rsid w:val="00A7515E"/>
    <w:rsid w:val="00A754B3"/>
    <w:rsid w:val="00A75F74"/>
    <w:rsid w:val="00A76C78"/>
    <w:rsid w:val="00A7708C"/>
    <w:rsid w:val="00A77DF1"/>
    <w:rsid w:val="00A80DC8"/>
    <w:rsid w:val="00A817FF"/>
    <w:rsid w:val="00A81F36"/>
    <w:rsid w:val="00A82D37"/>
    <w:rsid w:val="00A836E9"/>
    <w:rsid w:val="00A8378B"/>
    <w:rsid w:val="00A8486D"/>
    <w:rsid w:val="00A86214"/>
    <w:rsid w:val="00A87929"/>
    <w:rsid w:val="00A87B2E"/>
    <w:rsid w:val="00A9054B"/>
    <w:rsid w:val="00A90923"/>
    <w:rsid w:val="00A90A86"/>
    <w:rsid w:val="00A913E3"/>
    <w:rsid w:val="00A91A74"/>
    <w:rsid w:val="00A91DD1"/>
    <w:rsid w:val="00A91E45"/>
    <w:rsid w:val="00A92004"/>
    <w:rsid w:val="00A94B04"/>
    <w:rsid w:val="00A950FD"/>
    <w:rsid w:val="00A95CE1"/>
    <w:rsid w:val="00A97126"/>
    <w:rsid w:val="00A97899"/>
    <w:rsid w:val="00AA0137"/>
    <w:rsid w:val="00AA01A3"/>
    <w:rsid w:val="00AA055D"/>
    <w:rsid w:val="00AA08FC"/>
    <w:rsid w:val="00AA1191"/>
    <w:rsid w:val="00AA1326"/>
    <w:rsid w:val="00AA150E"/>
    <w:rsid w:val="00AA1CAD"/>
    <w:rsid w:val="00AA2322"/>
    <w:rsid w:val="00AA2E40"/>
    <w:rsid w:val="00AA39D5"/>
    <w:rsid w:val="00AA59D0"/>
    <w:rsid w:val="00AA6517"/>
    <w:rsid w:val="00AA6D44"/>
    <w:rsid w:val="00AA6DEA"/>
    <w:rsid w:val="00AA7EA2"/>
    <w:rsid w:val="00AB0B1B"/>
    <w:rsid w:val="00AB1653"/>
    <w:rsid w:val="00AB1AF1"/>
    <w:rsid w:val="00AB1BEF"/>
    <w:rsid w:val="00AB1EF8"/>
    <w:rsid w:val="00AB36E0"/>
    <w:rsid w:val="00AB4B04"/>
    <w:rsid w:val="00AB4E7C"/>
    <w:rsid w:val="00AB654A"/>
    <w:rsid w:val="00AB6FA4"/>
    <w:rsid w:val="00AB7124"/>
    <w:rsid w:val="00AB7D9F"/>
    <w:rsid w:val="00AB7DFF"/>
    <w:rsid w:val="00AC069E"/>
    <w:rsid w:val="00AC0A64"/>
    <w:rsid w:val="00AC0D91"/>
    <w:rsid w:val="00AC15C5"/>
    <w:rsid w:val="00AC2173"/>
    <w:rsid w:val="00AC2853"/>
    <w:rsid w:val="00AC2A6F"/>
    <w:rsid w:val="00AC2D81"/>
    <w:rsid w:val="00AC3040"/>
    <w:rsid w:val="00AC36B0"/>
    <w:rsid w:val="00AC41E8"/>
    <w:rsid w:val="00AC432C"/>
    <w:rsid w:val="00AC5BFD"/>
    <w:rsid w:val="00AC6896"/>
    <w:rsid w:val="00AC6913"/>
    <w:rsid w:val="00AC6FE2"/>
    <w:rsid w:val="00AD03C6"/>
    <w:rsid w:val="00AD0BF9"/>
    <w:rsid w:val="00AD18AE"/>
    <w:rsid w:val="00AD237C"/>
    <w:rsid w:val="00AD3D81"/>
    <w:rsid w:val="00AD41CD"/>
    <w:rsid w:val="00AD47A9"/>
    <w:rsid w:val="00AD5094"/>
    <w:rsid w:val="00AD5762"/>
    <w:rsid w:val="00AD5B47"/>
    <w:rsid w:val="00AD6525"/>
    <w:rsid w:val="00AD740C"/>
    <w:rsid w:val="00AE01A0"/>
    <w:rsid w:val="00AE02D4"/>
    <w:rsid w:val="00AE091C"/>
    <w:rsid w:val="00AE199C"/>
    <w:rsid w:val="00AE1B5E"/>
    <w:rsid w:val="00AE1BD1"/>
    <w:rsid w:val="00AE1FDC"/>
    <w:rsid w:val="00AE2056"/>
    <w:rsid w:val="00AE233A"/>
    <w:rsid w:val="00AE2498"/>
    <w:rsid w:val="00AE2613"/>
    <w:rsid w:val="00AE3784"/>
    <w:rsid w:val="00AE3D0C"/>
    <w:rsid w:val="00AE4FCD"/>
    <w:rsid w:val="00AE5215"/>
    <w:rsid w:val="00AE58C3"/>
    <w:rsid w:val="00AE5B1C"/>
    <w:rsid w:val="00AE74FE"/>
    <w:rsid w:val="00AF01A1"/>
    <w:rsid w:val="00AF04F8"/>
    <w:rsid w:val="00AF128F"/>
    <w:rsid w:val="00AF19B6"/>
    <w:rsid w:val="00AF1C99"/>
    <w:rsid w:val="00AF2283"/>
    <w:rsid w:val="00AF24EB"/>
    <w:rsid w:val="00AF3793"/>
    <w:rsid w:val="00AF4F1E"/>
    <w:rsid w:val="00AF524C"/>
    <w:rsid w:val="00AF713C"/>
    <w:rsid w:val="00AF7E27"/>
    <w:rsid w:val="00AF7F4A"/>
    <w:rsid w:val="00B001AF"/>
    <w:rsid w:val="00B01666"/>
    <w:rsid w:val="00B01799"/>
    <w:rsid w:val="00B01886"/>
    <w:rsid w:val="00B02CB4"/>
    <w:rsid w:val="00B037E8"/>
    <w:rsid w:val="00B038D9"/>
    <w:rsid w:val="00B041D4"/>
    <w:rsid w:val="00B05937"/>
    <w:rsid w:val="00B06B58"/>
    <w:rsid w:val="00B0755D"/>
    <w:rsid w:val="00B0768E"/>
    <w:rsid w:val="00B076AA"/>
    <w:rsid w:val="00B103F1"/>
    <w:rsid w:val="00B106C6"/>
    <w:rsid w:val="00B11484"/>
    <w:rsid w:val="00B1239B"/>
    <w:rsid w:val="00B12D61"/>
    <w:rsid w:val="00B149B4"/>
    <w:rsid w:val="00B14C5D"/>
    <w:rsid w:val="00B1566B"/>
    <w:rsid w:val="00B15BFD"/>
    <w:rsid w:val="00B15EB9"/>
    <w:rsid w:val="00B16387"/>
    <w:rsid w:val="00B17F50"/>
    <w:rsid w:val="00B2172E"/>
    <w:rsid w:val="00B21962"/>
    <w:rsid w:val="00B23993"/>
    <w:rsid w:val="00B23FAC"/>
    <w:rsid w:val="00B244BC"/>
    <w:rsid w:val="00B24E11"/>
    <w:rsid w:val="00B256F1"/>
    <w:rsid w:val="00B25A83"/>
    <w:rsid w:val="00B25F67"/>
    <w:rsid w:val="00B2762E"/>
    <w:rsid w:val="00B30838"/>
    <w:rsid w:val="00B30D6D"/>
    <w:rsid w:val="00B32ECD"/>
    <w:rsid w:val="00B337D7"/>
    <w:rsid w:val="00B33AA2"/>
    <w:rsid w:val="00B33B9B"/>
    <w:rsid w:val="00B34B99"/>
    <w:rsid w:val="00B35BCD"/>
    <w:rsid w:val="00B3672C"/>
    <w:rsid w:val="00B3694C"/>
    <w:rsid w:val="00B36A12"/>
    <w:rsid w:val="00B37796"/>
    <w:rsid w:val="00B37829"/>
    <w:rsid w:val="00B37A64"/>
    <w:rsid w:val="00B40DE1"/>
    <w:rsid w:val="00B41181"/>
    <w:rsid w:val="00B433A0"/>
    <w:rsid w:val="00B44713"/>
    <w:rsid w:val="00B45DD1"/>
    <w:rsid w:val="00B47B56"/>
    <w:rsid w:val="00B47CF4"/>
    <w:rsid w:val="00B50407"/>
    <w:rsid w:val="00B51C70"/>
    <w:rsid w:val="00B520C1"/>
    <w:rsid w:val="00B52671"/>
    <w:rsid w:val="00B531DC"/>
    <w:rsid w:val="00B538A7"/>
    <w:rsid w:val="00B53A13"/>
    <w:rsid w:val="00B54A5E"/>
    <w:rsid w:val="00B555C9"/>
    <w:rsid w:val="00B557B0"/>
    <w:rsid w:val="00B559B7"/>
    <w:rsid w:val="00B562A3"/>
    <w:rsid w:val="00B56F69"/>
    <w:rsid w:val="00B56FFA"/>
    <w:rsid w:val="00B57D71"/>
    <w:rsid w:val="00B604CE"/>
    <w:rsid w:val="00B608B4"/>
    <w:rsid w:val="00B60E58"/>
    <w:rsid w:val="00B62F9A"/>
    <w:rsid w:val="00B63207"/>
    <w:rsid w:val="00B6357A"/>
    <w:rsid w:val="00B64F71"/>
    <w:rsid w:val="00B65395"/>
    <w:rsid w:val="00B65D40"/>
    <w:rsid w:val="00B66019"/>
    <w:rsid w:val="00B6689E"/>
    <w:rsid w:val="00B679FE"/>
    <w:rsid w:val="00B70C90"/>
    <w:rsid w:val="00B712D3"/>
    <w:rsid w:val="00B71CF7"/>
    <w:rsid w:val="00B71F7B"/>
    <w:rsid w:val="00B72E35"/>
    <w:rsid w:val="00B73224"/>
    <w:rsid w:val="00B7372E"/>
    <w:rsid w:val="00B73A3A"/>
    <w:rsid w:val="00B73E8F"/>
    <w:rsid w:val="00B7476C"/>
    <w:rsid w:val="00B74FF7"/>
    <w:rsid w:val="00B75933"/>
    <w:rsid w:val="00B76846"/>
    <w:rsid w:val="00B771B4"/>
    <w:rsid w:val="00B77300"/>
    <w:rsid w:val="00B7739F"/>
    <w:rsid w:val="00B77D2D"/>
    <w:rsid w:val="00B77E4F"/>
    <w:rsid w:val="00B81698"/>
    <w:rsid w:val="00B83694"/>
    <w:rsid w:val="00B83A8E"/>
    <w:rsid w:val="00B83B28"/>
    <w:rsid w:val="00B84105"/>
    <w:rsid w:val="00B84173"/>
    <w:rsid w:val="00B857C4"/>
    <w:rsid w:val="00B85877"/>
    <w:rsid w:val="00B873D8"/>
    <w:rsid w:val="00B8740E"/>
    <w:rsid w:val="00B87863"/>
    <w:rsid w:val="00B9000F"/>
    <w:rsid w:val="00B904CD"/>
    <w:rsid w:val="00B909A1"/>
    <w:rsid w:val="00B90B4B"/>
    <w:rsid w:val="00B90ED7"/>
    <w:rsid w:val="00B91C5A"/>
    <w:rsid w:val="00B92876"/>
    <w:rsid w:val="00B9287A"/>
    <w:rsid w:val="00B93191"/>
    <w:rsid w:val="00B93D60"/>
    <w:rsid w:val="00B93E47"/>
    <w:rsid w:val="00B93F90"/>
    <w:rsid w:val="00B94504"/>
    <w:rsid w:val="00B94C08"/>
    <w:rsid w:val="00B94F70"/>
    <w:rsid w:val="00B95903"/>
    <w:rsid w:val="00B9642C"/>
    <w:rsid w:val="00B9690A"/>
    <w:rsid w:val="00B96C36"/>
    <w:rsid w:val="00B9709B"/>
    <w:rsid w:val="00B97E0B"/>
    <w:rsid w:val="00BA237C"/>
    <w:rsid w:val="00BA2D8E"/>
    <w:rsid w:val="00BA36E5"/>
    <w:rsid w:val="00BA47A2"/>
    <w:rsid w:val="00BA4976"/>
    <w:rsid w:val="00BA4A3F"/>
    <w:rsid w:val="00BA6008"/>
    <w:rsid w:val="00BA66CB"/>
    <w:rsid w:val="00BA7603"/>
    <w:rsid w:val="00BA7795"/>
    <w:rsid w:val="00BA7C24"/>
    <w:rsid w:val="00BB0363"/>
    <w:rsid w:val="00BB16B3"/>
    <w:rsid w:val="00BB175C"/>
    <w:rsid w:val="00BB2E44"/>
    <w:rsid w:val="00BB3431"/>
    <w:rsid w:val="00BB3BF5"/>
    <w:rsid w:val="00BB3C10"/>
    <w:rsid w:val="00BB421F"/>
    <w:rsid w:val="00BB5FA7"/>
    <w:rsid w:val="00BB6D9B"/>
    <w:rsid w:val="00BB6F65"/>
    <w:rsid w:val="00BB7EC6"/>
    <w:rsid w:val="00BC08AB"/>
    <w:rsid w:val="00BC3098"/>
    <w:rsid w:val="00BC30E6"/>
    <w:rsid w:val="00BC47C4"/>
    <w:rsid w:val="00BC4E73"/>
    <w:rsid w:val="00BC563C"/>
    <w:rsid w:val="00BC5A69"/>
    <w:rsid w:val="00BC5BAA"/>
    <w:rsid w:val="00BC5CA2"/>
    <w:rsid w:val="00BC5D88"/>
    <w:rsid w:val="00BC5FCB"/>
    <w:rsid w:val="00BC713E"/>
    <w:rsid w:val="00BC738B"/>
    <w:rsid w:val="00BD0127"/>
    <w:rsid w:val="00BD1216"/>
    <w:rsid w:val="00BD1386"/>
    <w:rsid w:val="00BD1590"/>
    <w:rsid w:val="00BD275D"/>
    <w:rsid w:val="00BD2B6A"/>
    <w:rsid w:val="00BD39F7"/>
    <w:rsid w:val="00BD57D4"/>
    <w:rsid w:val="00BD58D7"/>
    <w:rsid w:val="00BD5CE9"/>
    <w:rsid w:val="00BD5EEC"/>
    <w:rsid w:val="00BD617D"/>
    <w:rsid w:val="00BD68EB"/>
    <w:rsid w:val="00BD6AD5"/>
    <w:rsid w:val="00BD730D"/>
    <w:rsid w:val="00BD7350"/>
    <w:rsid w:val="00BE036E"/>
    <w:rsid w:val="00BE06B3"/>
    <w:rsid w:val="00BE1410"/>
    <w:rsid w:val="00BE1BD0"/>
    <w:rsid w:val="00BE1BDF"/>
    <w:rsid w:val="00BE1EFF"/>
    <w:rsid w:val="00BE30BF"/>
    <w:rsid w:val="00BE3D10"/>
    <w:rsid w:val="00BE48B5"/>
    <w:rsid w:val="00BE635C"/>
    <w:rsid w:val="00BE645C"/>
    <w:rsid w:val="00BE7EE2"/>
    <w:rsid w:val="00BF132E"/>
    <w:rsid w:val="00BF173A"/>
    <w:rsid w:val="00BF1A38"/>
    <w:rsid w:val="00BF295A"/>
    <w:rsid w:val="00BF39CA"/>
    <w:rsid w:val="00BF5811"/>
    <w:rsid w:val="00BF5A8C"/>
    <w:rsid w:val="00BF5AB9"/>
    <w:rsid w:val="00BF6D01"/>
    <w:rsid w:val="00BF7C6F"/>
    <w:rsid w:val="00C005B0"/>
    <w:rsid w:val="00C006EE"/>
    <w:rsid w:val="00C007C2"/>
    <w:rsid w:val="00C01C2F"/>
    <w:rsid w:val="00C023BF"/>
    <w:rsid w:val="00C030D2"/>
    <w:rsid w:val="00C03316"/>
    <w:rsid w:val="00C04127"/>
    <w:rsid w:val="00C0416C"/>
    <w:rsid w:val="00C0456D"/>
    <w:rsid w:val="00C04778"/>
    <w:rsid w:val="00C04A4B"/>
    <w:rsid w:val="00C06890"/>
    <w:rsid w:val="00C07423"/>
    <w:rsid w:val="00C100B8"/>
    <w:rsid w:val="00C1016C"/>
    <w:rsid w:val="00C105CE"/>
    <w:rsid w:val="00C10668"/>
    <w:rsid w:val="00C10CEB"/>
    <w:rsid w:val="00C11074"/>
    <w:rsid w:val="00C111D9"/>
    <w:rsid w:val="00C11B6F"/>
    <w:rsid w:val="00C12620"/>
    <w:rsid w:val="00C126C4"/>
    <w:rsid w:val="00C12C3E"/>
    <w:rsid w:val="00C15195"/>
    <w:rsid w:val="00C153DD"/>
    <w:rsid w:val="00C1630B"/>
    <w:rsid w:val="00C16926"/>
    <w:rsid w:val="00C172E5"/>
    <w:rsid w:val="00C174C7"/>
    <w:rsid w:val="00C177CF"/>
    <w:rsid w:val="00C17BAE"/>
    <w:rsid w:val="00C2001C"/>
    <w:rsid w:val="00C209FA"/>
    <w:rsid w:val="00C20E0B"/>
    <w:rsid w:val="00C21188"/>
    <w:rsid w:val="00C234AC"/>
    <w:rsid w:val="00C24184"/>
    <w:rsid w:val="00C24BFB"/>
    <w:rsid w:val="00C2515A"/>
    <w:rsid w:val="00C25769"/>
    <w:rsid w:val="00C27063"/>
    <w:rsid w:val="00C2739C"/>
    <w:rsid w:val="00C27506"/>
    <w:rsid w:val="00C27F5C"/>
    <w:rsid w:val="00C30FBA"/>
    <w:rsid w:val="00C31A33"/>
    <w:rsid w:val="00C33173"/>
    <w:rsid w:val="00C33547"/>
    <w:rsid w:val="00C3387E"/>
    <w:rsid w:val="00C33C90"/>
    <w:rsid w:val="00C34464"/>
    <w:rsid w:val="00C34FFD"/>
    <w:rsid w:val="00C35BE4"/>
    <w:rsid w:val="00C35CCB"/>
    <w:rsid w:val="00C3665B"/>
    <w:rsid w:val="00C379DF"/>
    <w:rsid w:val="00C40C41"/>
    <w:rsid w:val="00C40CD5"/>
    <w:rsid w:val="00C40E4C"/>
    <w:rsid w:val="00C41B5C"/>
    <w:rsid w:val="00C428EC"/>
    <w:rsid w:val="00C42C62"/>
    <w:rsid w:val="00C432FC"/>
    <w:rsid w:val="00C43516"/>
    <w:rsid w:val="00C44AB1"/>
    <w:rsid w:val="00C45D38"/>
    <w:rsid w:val="00C461D9"/>
    <w:rsid w:val="00C472E3"/>
    <w:rsid w:val="00C51D91"/>
    <w:rsid w:val="00C52766"/>
    <w:rsid w:val="00C5331C"/>
    <w:rsid w:val="00C54104"/>
    <w:rsid w:val="00C54B1A"/>
    <w:rsid w:val="00C55265"/>
    <w:rsid w:val="00C5568A"/>
    <w:rsid w:val="00C55BF5"/>
    <w:rsid w:val="00C56475"/>
    <w:rsid w:val="00C57CB9"/>
    <w:rsid w:val="00C57F19"/>
    <w:rsid w:val="00C57FBB"/>
    <w:rsid w:val="00C600FE"/>
    <w:rsid w:val="00C6035D"/>
    <w:rsid w:val="00C65622"/>
    <w:rsid w:val="00C656D3"/>
    <w:rsid w:val="00C66110"/>
    <w:rsid w:val="00C669A7"/>
    <w:rsid w:val="00C669CC"/>
    <w:rsid w:val="00C67639"/>
    <w:rsid w:val="00C7084F"/>
    <w:rsid w:val="00C70DC5"/>
    <w:rsid w:val="00C7230B"/>
    <w:rsid w:val="00C725E8"/>
    <w:rsid w:val="00C735CF"/>
    <w:rsid w:val="00C746F0"/>
    <w:rsid w:val="00C74E86"/>
    <w:rsid w:val="00C7664E"/>
    <w:rsid w:val="00C7674D"/>
    <w:rsid w:val="00C77021"/>
    <w:rsid w:val="00C80E09"/>
    <w:rsid w:val="00C80EA1"/>
    <w:rsid w:val="00C81770"/>
    <w:rsid w:val="00C8277B"/>
    <w:rsid w:val="00C828F0"/>
    <w:rsid w:val="00C82FD2"/>
    <w:rsid w:val="00C83AF6"/>
    <w:rsid w:val="00C84A52"/>
    <w:rsid w:val="00C84D18"/>
    <w:rsid w:val="00C8591E"/>
    <w:rsid w:val="00C86BC8"/>
    <w:rsid w:val="00C875D7"/>
    <w:rsid w:val="00C907D9"/>
    <w:rsid w:val="00C90C6D"/>
    <w:rsid w:val="00C91BD0"/>
    <w:rsid w:val="00C92CC5"/>
    <w:rsid w:val="00C92D93"/>
    <w:rsid w:val="00C934C6"/>
    <w:rsid w:val="00C93533"/>
    <w:rsid w:val="00C93883"/>
    <w:rsid w:val="00C93BC1"/>
    <w:rsid w:val="00C947ED"/>
    <w:rsid w:val="00C94B96"/>
    <w:rsid w:val="00C95E9D"/>
    <w:rsid w:val="00C96BF9"/>
    <w:rsid w:val="00C973A7"/>
    <w:rsid w:val="00C97C61"/>
    <w:rsid w:val="00CA1AE8"/>
    <w:rsid w:val="00CA1B26"/>
    <w:rsid w:val="00CA28AE"/>
    <w:rsid w:val="00CA372A"/>
    <w:rsid w:val="00CA52F9"/>
    <w:rsid w:val="00CA622C"/>
    <w:rsid w:val="00CA64A7"/>
    <w:rsid w:val="00CA6F92"/>
    <w:rsid w:val="00CA7BBF"/>
    <w:rsid w:val="00CB0478"/>
    <w:rsid w:val="00CB1230"/>
    <w:rsid w:val="00CB15D3"/>
    <w:rsid w:val="00CB1893"/>
    <w:rsid w:val="00CB1971"/>
    <w:rsid w:val="00CB1EC2"/>
    <w:rsid w:val="00CB35B2"/>
    <w:rsid w:val="00CB449B"/>
    <w:rsid w:val="00CB4867"/>
    <w:rsid w:val="00CB5F1E"/>
    <w:rsid w:val="00CB645A"/>
    <w:rsid w:val="00CB69E9"/>
    <w:rsid w:val="00CB6EAA"/>
    <w:rsid w:val="00CB72EB"/>
    <w:rsid w:val="00CB73D1"/>
    <w:rsid w:val="00CB7AD8"/>
    <w:rsid w:val="00CB7B69"/>
    <w:rsid w:val="00CC109F"/>
    <w:rsid w:val="00CC1110"/>
    <w:rsid w:val="00CC2B04"/>
    <w:rsid w:val="00CC3076"/>
    <w:rsid w:val="00CC3FCC"/>
    <w:rsid w:val="00CC4593"/>
    <w:rsid w:val="00CC54D2"/>
    <w:rsid w:val="00CC698B"/>
    <w:rsid w:val="00CC75AD"/>
    <w:rsid w:val="00CD02DD"/>
    <w:rsid w:val="00CD030A"/>
    <w:rsid w:val="00CD0E1D"/>
    <w:rsid w:val="00CD261B"/>
    <w:rsid w:val="00CD3CB8"/>
    <w:rsid w:val="00CD46D2"/>
    <w:rsid w:val="00CD47A3"/>
    <w:rsid w:val="00CD58F8"/>
    <w:rsid w:val="00CD593C"/>
    <w:rsid w:val="00CD5AD6"/>
    <w:rsid w:val="00CD5CC2"/>
    <w:rsid w:val="00CD6680"/>
    <w:rsid w:val="00CD689F"/>
    <w:rsid w:val="00CD77D2"/>
    <w:rsid w:val="00CD780A"/>
    <w:rsid w:val="00CE0FA7"/>
    <w:rsid w:val="00CE100D"/>
    <w:rsid w:val="00CE12D4"/>
    <w:rsid w:val="00CE1823"/>
    <w:rsid w:val="00CE3A3D"/>
    <w:rsid w:val="00CE5A21"/>
    <w:rsid w:val="00CE5FF5"/>
    <w:rsid w:val="00CE69C0"/>
    <w:rsid w:val="00CE6C36"/>
    <w:rsid w:val="00CE6D43"/>
    <w:rsid w:val="00CE763E"/>
    <w:rsid w:val="00CF0783"/>
    <w:rsid w:val="00CF1B72"/>
    <w:rsid w:val="00CF272E"/>
    <w:rsid w:val="00CF2F7B"/>
    <w:rsid w:val="00CF3718"/>
    <w:rsid w:val="00CF47CD"/>
    <w:rsid w:val="00CF503D"/>
    <w:rsid w:val="00CF5288"/>
    <w:rsid w:val="00CF5C4E"/>
    <w:rsid w:val="00CF6E19"/>
    <w:rsid w:val="00CF7456"/>
    <w:rsid w:val="00D00039"/>
    <w:rsid w:val="00D016DE"/>
    <w:rsid w:val="00D02397"/>
    <w:rsid w:val="00D02654"/>
    <w:rsid w:val="00D027D4"/>
    <w:rsid w:val="00D039C8"/>
    <w:rsid w:val="00D03BAC"/>
    <w:rsid w:val="00D04148"/>
    <w:rsid w:val="00D043A4"/>
    <w:rsid w:val="00D04DBE"/>
    <w:rsid w:val="00D053BF"/>
    <w:rsid w:val="00D05952"/>
    <w:rsid w:val="00D05F45"/>
    <w:rsid w:val="00D06356"/>
    <w:rsid w:val="00D07037"/>
    <w:rsid w:val="00D12197"/>
    <w:rsid w:val="00D128C3"/>
    <w:rsid w:val="00D12EF1"/>
    <w:rsid w:val="00D1374F"/>
    <w:rsid w:val="00D142E4"/>
    <w:rsid w:val="00D15948"/>
    <w:rsid w:val="00D15C3B"/>
    <w:rsid w:val="00D16075"/>
    <w:rsid w:val="00D16F45"/>
    <w:rsid w:val="00D172D5"/>
    <w:rsid w:val="00D17A92"/>
    <w:rsid w:val="00D22088"/>
    <w:rsid w:val="00D2237A"/>
    <w:rsid w:val="00D2468C"/>
    <w:rsid w:val="00D246D3"/>
    <w:rsid w:val="00D24C30"/>
    <w:rsid w:val="00D25468"/>
    <w:rsid w:val="00D25482"/>
    <w:rsid w:val="00D268CC"/>
    <w:rsid w:val="00D274E2"/>
    <w:rsid w:val="00D27505"/>
    <w:rsid w:val="00D2786D"/>
    <w:rsid w:val="00D30399"/>
    <w:rsid w:val="00D3064E"/>
    <w:rsid w:val="00D30916"/>
    <w:rsid w:val="00D30ADE"/>
    <w:rsid w:val="00D3178D"/>
    <w:rsid w:val="00D31886"/>
    <w:rsid w:val="00D325AF"/>
    <w:rsid w:val="00D32DDF"/>
    <w:rsid w:val="00D32E8C"/>
    <w:rsid w:val="00D33C11"/>
    <w:rsid w:val="00D33DC2"/>
    <w:rsid w:val="00D347F9"/>
    <w:rsid w:val="00D34B95"/>
    <w:rsid w:val="00D36390"/>
    <w:rsid w:val="00D37070"/>
    <w:rsid w:val="00D37249"/>
    <w:rsid w:val="00D373D0"/>
    <w:rsid w:val="00D40C8B"/>
    <w:rsid w:val="00D40D49"/>
    <w:rsid w:val="00D413AA"/>
    <w:rsid w:val="00D4229A"/>
    <w:rsid w:val="00D42D7E"/>
    <w:rsid w:val="00D4340B"/>
    <w:rsid w:val="00D43C39"/>
    <w:rsid w:val="00D44309"/>
    <w:rsid w:val="00D44683"/>
    <w:rsid w:val="00D44DCC"/>
    <w:rsid w:val="00D46247"/>
    <w:rsid w:val="00D464CE"/>
    <w:rsid w:val="00D46857"/>
    <w:rsid w:val="00D4707E"/>
    <w:rsid w:val="00D4737F"/>
    <w:rsid w:val="00D4738A"/>
    <w:rsid w:val="00D5047E"/>
    <w:rsid w:val="00D51000"/>
    <w:rsid w:val="00D51877"/>
    <w:rsid w:val="00D51A73"/>
    <w:rsid w:val="00D51FAD"/>
    <w:rsid w:val="00D522C0"/>
    <w:rsid w:val="00D52701"/>
    <w:rsid w:val="00D52BEE"/>
    <w:rsid w:val="00D53D9E"/>
    <w:rsid w:val="00D54424"/>
    <w:rsid w:val="00D545F0"/>
    <w:rsid w:val="00D54810"/>
    <w:rsid w:val="00D55FB5"/>
    <w:rsid w:val="00D563DC"/>
    <w:rsid w:val="00D56F5B"/>
    <w:rsid w:val="00D57395"/>
    <w:rsid w:val="00D5772B"/>
    <w:rsid w:val="00D57AC7"/>
    <w:rsid w:val="00D57C67"/>
    <w:rsid w:val="00D60680"/>
    <w:rsid w:val="00D607C8"/>
    <w:rsid w:val="00D61122"/>
    <w:rsid w:val="00D6121E"/>
    <w:rsid w:val="00D615B0"/>
    <w:rsid w:val="00D62705"/>
    <w:rsid w:val="00D6376D"/>
    <w:rsid w:val="00D64EE8"/>
    <w:rsid w:val="00D668D1"/>
    <w:rsid w:val="00D67438"/>
    <w:rsid w:val="00D678CA"/>
    <w:rsid w:val="00D7032A"/>
    <w:rsid w:val="00D7046D"/>
    <w:rsid w:val="00D70B05"/>
    <w:rsid w:val="00D71F3E"/>
    <w:rsid w:val="00D729C9"/>
    <w:rsid w:val="00D72A5A"/>
    <w:rsid w:val="00D747E7"/>
    <w:rsid w:val="00D74A79"/>
    <w:rsid w:val="00D76216"/>
    <w:rsid w:val="00D7694B"/>
    <w:rsid w:val="00D76EE1"/>
    <w:rsid w:val="00D776E4"/>
    <w:rsid w:val="00D77842"/>
    <w:rsid w:val="00D77AF7"/>
    <w:rsid w:val="00D80659"/>
    <w:rsid w:val="00D81CBE"/>
    <w:rsid w:val="00D81FEC"/>
    <w:rsid w:val="00D82A83"/>
    <w:rsid w:val="00D8341F"/>
    <w:rsid w:val="00D85099"/>
    <w:rsid w:val="00D85166"/>
    <w:rsid w:val="00D85224"/>
    <w:rsid w:val="00D8539E"/>
    <w:rsid w:val="00D857F2"/>
    <w:rsid w:val="00D87AF3"/>
    <w:rsid w:val="00D87E48"/>
    <w:rsid w:val="00D925DF"/>
    <w:rsid w:val="00D933A8"/>
    <w:rsid w:val="00D93E78"/>
    <w:rsid w:val="00D94695"/>
    <w:rsid w:val="00D95909"/>
    <w:rsid w:val="00D95C1B"/>
    <w:rsid w:val="00D96176"/>
    <w:rsid w:val="00D96285"/>
    <w:rsid w:val="00D96704"/>
    <w:rsid w:val="00D96C58"/>
    <w:rsid w:val="00D976B1"/>
    <w:rsid w:val="00D97871"/>
    <w:rsid w:val="00DA0E11"/>
    <w:rsid w:val="00DA2C1D"/>
    <w:rsid w:val="00DA3135"/>
    <w:rsid w:val="00DA350B"/>
    <w:rsid w:val="00DA3A95"/>
    <w:rsid w:val="00DA3B92"/>
    <w:rsid w:val="00DA3BF2"/>
    <w:rsid w:val="00DA3C30"/>
    <w:rsid w:val="00DA4159"/>
    <w:rsid w:val="00DA4AD1"/>
    <w:rsid w:val="00DA5A50"/>
    <w:rsid w:val="00DA6B46"/>
    <w:rsid w:val="00DA6DA1"/>
    <w:rsid w:val="00DA6ED2"/>
    <w:rsid w:val="00DB00AF"/>
    <w:rsid w:val="00DB0552"/>
    <w:rsid w:val="00DB069A"/>
    <w:rsid w:val="00DB0AE0"/>
    <w:rsid w:val="00DB10B9"/>
    <w:rsid w:val="00DB1198"/>
    <w:rsid w:val="00DB1258"/>
    <w:rsid w:val="00DB131B"/>
    <w:rsid w:val="00DB1986"/>
    <w:rsid w:val="00DB1AEF"/>
    <w:rsid w:val="00DB2AED"/>
    <w:rsid w:val="00DB375F"/>
    <w:rsid w:val="00DB4273"/>
    <w:rsid w:val="00DB5760"/>
    <w:rsid w:val="00DB6086"/>
    <w:rsid w:val="00DB64C0"/>
    <w:rsid w:val="00DB67FA"/>
    <w:rsid w:val="00DB7DB0"/>
    <w:rsid w:val="00DC1362"/>
    <w:rsid w:val="00DC17CE"/>
    <w:rsid w:val="00DC2C01"/>
    <w:rsid w:val="00DC3278"/>
    <w:rsid w:val="00DC7074"/>
    <w:rsid w:val="00DC7751"/>
    <w:rsid w:val="00DD03D3"/>
    <w:rsid w:val="00DD0A98"/>
    <w:rsid w:val="00DD1E9D"/>
    <w:rsid w:val="00DD2467"/>
    <w:rsid w:val="00DD33EF"/>
    <w:rsid w:val="00DD481E"/>
    <w:rsid w:val="00DD49D0"/>
    <w:rsid w:val="00DD4EA5"/>
    <w:rsid w:val="00DD5138"/>
    <w:rsid w:val="00DD51EC"/>
    <w:rsid w:val="00DD7473"/>
    <w:rsid w:val="00DD7647"/>
    <w:rsid w:val="00DE032A"/>
    <w:rsid w:val="00DE0610"/>
    <w:rsid w:val="00DE0889"/>
    <w:rsid w:val="00DE1A35"/>
    <w:rsid w:val="00DE1E5E"/>
    <w:rsid w:val="00DE26D4"/>
    <w:rsid w:val="00DE2744"/>
    <w:rsid w:val="00DE3119"/>
    <w:rsid w:val="00DE3793"/>
    <w:rsid w:val="00DE4805"/>
    <w:rsid w:val="00DE4CF5"/>
    <w:rsid w:val="00DE729F"/>
    <w:rsid w:val="00DE7FE4"/>
    <w:rsid w:val="00DF04B0"/>
    <w:rsid w:val="00DF0892"/>
    <w:rsid w:val="00DF0930"/>
    <w:rsid w:val="00DF1B54"/>
    <w:rsid w:val="00DF1D16"/>
    <w:rsid w:val="00DF2B63"/>
    <w:rsid w:val="00DF4354"/>
    <w:rsid w:val="00DF478C"/>
    <w:rsid w:val="00DF570A"/>
    <w:rsid w:val="00DF7532"/>
    <w:rsid w:val="00DF7821"/>
    <w:rsid w:val="00E006D5"/>
    <w:rsid w:val="00E00990"/>
    <w:rsid w:val="00E00E5A"/>
    <w:rsid w:val="00E015E2"/>
    <w:rsid w:val="00E02151"/>
    <w:rsid w:val="00E02B91"/>
    <w:rsid w:val="00E03011"/>
    <w:rsid w:val="00E0377A"/>
    <w:rsid w:val="00E04B01"/>
    <w:rsid w:val="00E04EC1"/>
    <w:rsid w:val="00E05185"/>
    <w:rsid w:val="00E068A4"/>
    <w:rsid w:val="00E07CC5"/>
    <w:rsid w:val="00E118AA"/>
    <w:rsid w:val="00E11E0C"/>
    <w:rsid w:val="00E14254"/>
    <w:rsid w:val="00E161F7"/>
    <w:rsid w:val="00E1622B"/>
    <w:rsid w:val="00E16EFA"/>
    <w:rsid w:val="00E1708A"/>
    <w:rsid w:val="00E17461"/>
    <w:rsid w:val="00E174AC"/>
    <w:rsid w:val="00E20A55"/>
    <w:rsid w:val="00E20FB1"/>
    <w:rsid w:val="00E21180"/>
    <w:rsid w:val="00E21AB9"/>
    <w:rsid w:val="00E220BA"/>
    <w:rsid w:val="00E22DB8"/>
    <w:rsid w:val="00E238C4"/>
    <w:rsid w:val="00E24A4C"/>
    <w:rsid w:val="00E24F8F"/>
    <w:rsid w:val="00E26ACF"/>
    <w:rsid w:val="00E26BFF"/>
    <w:rsid w:val="00E279E5"/>
    <w:rsid w:val="00E27A22"/>
    <w:rsid w:val="00E27FAE"/>
    <w:rsid w:val="00E302D5"/>
    <w:rsid w:val="00E31285"/>
    <w:rsid w:val="00E312B0"/>
    <w:rsid w:val="00E3180B"/>
    <w:rsid w:val="00E34587"/>
    <w:rsid w:val="00E35133"/>
    <w:rsid w:val="00E35F21"/>
    <w:rsid w:val="00E3639F"/>
    <w:rsid w:val="00E36B9D"/>
    <w:rsid w:val="00E3716D"/>
    <w:rsid w:val="00E40130"/>
    <w:rsid w:val="00E40732"/>
    <w:rsid w:val="00E408EB"/>
    <w:rsid w:val="00E415B3"/>
    <w:rsid w:val="00E41907"/>
    <w:rsid w:val="00E41F3D"/>
    <w:rsid w:val="00E42371"/>
    <w:rsid w:val="00E42425"/>
    <w:rsid w:val="00E4254B"/>
    <w:rsid w:val="00E432E6"/>
    <w:rsid w:val="00E43C89"/>
    <w:rsid w:val="00E4443D"/>
    <w:rsid w:val="00E453EB"/>
    <w:rsid w:val="00E45D7B"/>
    <w:rsid w:val="00E5126A"/>
    <w:rsid w:val="00E52CD0"/>
    <w:rsid w:val="00E53256"/>
    <w:rsid w:val="00E53834"/>
    <w:rsid w:val="00E54BEB"/>
    <w:rsid w:val="00E5532D"/>
    <w:rsid w:val="00E55C97"/>
    <w:rsid w:val="00E55EDF"/>
    <w:rsid w:val="00E57557"/>
    <w:rsid w:val="00E576EF"/>
    <w:rsid w:val="00E579DF"/>
    <w:rsid w:val="00E6025D"/>
    <w:rsid w:val="00E60539"/>
    <w:rsid w:val="00E61C50"/>
    <w:rsid w:val="00E61C7C"/>
    <w:rsid w:val="00E625BE"/>
    <w:rsid w:val="00E62EDE"/>
    <w:rsid w:val="00E63555"/>
    <w:rsid w:val="00E64E3E"/>
    <w:rsid w:val="00E657B0"/>
    <w:rsid w:val="00E66501"/>
    <w:rsid w:val="00E66775"/>
    <w:rsid w:val="00E66DAC"/>
    <w:rsid w:val="00E71069"/>
    <w:rsid w:val="00E710E1"/>
    <w:rsid w:val="00E71201"/>
    <w:rsid w:val="00E716F6"/>
    <w:rsid w:val="00E722BE"/>
    <w:rsid w:val="00E724CC"/>
    <w:rsid w:val="00E72724"/>
    <w:rsid w:val="00E72D78"/>
    <w:rsid w:val="00E73FA3"/>
    <w:rsid w:val="00E74342"/>
    <w:rsid w:val="00E77665"/>
    <w:rsid w:val="00E8004D"/>
    <w:rsid w:val="00E80D4E"/>
    <w:rsid w:val="00E81172"/>
    <w:rsid w:val="00E8119A"/>
    <w:rsid w:val="00E82D5C"/>
    <w:rsid w:val="00E82ECD"/>
    <w:rsid w:val="00E831CA"/>
    <w:rsid w:val="00E83717"/>
    <w:rsid w:val="00E83F64"/>
    <w:rsid w:val="00E85A7B"/>
    <w:rsid w:val="00E86505"/>
    <w:rsid w:val="00E865B3"/>
    <w:rsid w:val="00E87A0E"/>
    <w:rsid w:val="00E9052A"/>
    <w:rsid w:val="00E907E3"/>
    <w:rsid w:val="00E90CE7"/>
    <w:rsid w:val="00E90DDD"/>
    <w:rsid w:val="00E917ED"/>
    <w:rsid w:val="00E91CB8"/>
    <w:rsid w:val="00E9251E"/>
    <w:rsid w:val="00E92CA3"/>
    <w:rsid w:val="00E92CCB"/>
    <w:rsid w:val="00E92F93"/>
    <w:rsid w:val="00E93685"/>
    <w:rsid w:val="00E94C94"/>
    <w:rsid w:val="00E95E0E"/>
    <w:rsid w:val="00E96566"/>
    <w:rsid w:val="00E96728"/>
    <w:rsid w:val="00E96A18"/>
    <w:rsid w:val="00E96FE0"/>
    <w:rsid w:val="00EA00BD"/>
    <w:rsid w:val="00EA055A"/>
    <w:rsid w:val="00EA08BE"/>
    <w:rsid w:val="00EA100E"/>
    <w:rsid w:val="00EA1990"/>
    <w:rsid w:val="00EA25F4"/>
    <w:rsid w:val="00EA35BC"/>
    <w:rsid w:val="00EA3D30"/>
    <w:rsid w:val="00EA4DA9"/>
    <w:rsid w:val="00EA4E1B"/>
    <w:rsid w:val="00EA5C27"/>
    <w:rsid w:val="00EA5C3B"/>
    <w:rsid w:val="00EA68AD"/>
    <w:rsid w:val="00EA7B3F"/>
    <w:rsid w:val="00EB1115"/>
    <w:rsid w:val="00EB1D1E"/>
    <w:rsid w:val="00EB2536"/>
    <w:rsid w:val="00EB384F"/>
    <w:rsid w:val="00EB3D02"/>
    <w:rsid w:val="00EB43B1"/>
    <w:rsid w:val="00EB4E7D"/>
    <w:rsid w:val="00EB5E37"/>
    <w:rsid w:val="00EB6C53"/>
    <w:rsid w:val="00EB7373"/>
    <w:rsid w:val="00EC1350"/>
    <w:rsid w:val="00EC1970"/>
    <w:rsid w:val="00EC1B51"/>
    <w:rsid w:val="00EC22CD"/>
    <w:rsid w:val="00EC23DC"/>
    <w:rsid w:val="00EC2530"/>
    <w:rsid w:val="00EC2E3B"/>
    <w:rsid w:val="00EC3170"/>
    <w:rsid w:val="00EC3A1A"/>
    <w:rsid w:val="00EC4306"/>
    <w:rsid w:val="00EC441C"/>
    <w:rsid w:val="00EC548B"/>
    <w:rsid w:val="00EC5491"/>
    <w:rsid w:val="00EC5504"/>
    <w:rsid w:val="00EC5E74"/>
    <w:rsid w:val="00EC633B"/>
    <w:rsid w:val="00EC6AA7"/>
    <w:rsid w:val="00ED08CD"/>
    <w:rsid w:val="00ED0CCB"/>
    <w:rsid w:val="00ED1624"/>
    <w:rsid w:val="00ED2A80"/>
    <w:rsid w:val="00ED37A2"/>
    <w:rsid w:val="00ED4E8C"/>
    <w:rsid w:val="00ED5D97"/>
    <w:rsid w:val="00EE03C5"/>
    <w:rsid w:val="00EE07DE"/>
    <w:rsid w:val="00EE0C9D"/>
    <w:rsid w:val="00EE184E"/>
    <w:rsid w:val="00EE1DCC"/>
    <w:rsid w:val="00EE4332"/>
    <w:rsid w:val="00EE4D9F"/>
    <w:rsid w:val="00EE51C7"/>
    <w:rsid w:val="00EE532B"/>
    <w:rsid w:val="00EE591A"/>
    <w:rsid w:val="00EE5C64"/>
    <w:rsid w:val="00EE5E2B"/>
    <w:rsid w:val="00EE6804"/>
    <w:rsid w:val="00EE6D20"/>
    <w:rsid w:val="00EE6E2F"/>
    <w:rsid w:val="00EE75A6"/>
    <w:rsid w:val="00EE7937"/>
    <w:rsid w:val="00EE7A03"/>
    <w:rsid w:val="00EF0293"/>
    <w:rsid w:val="00EF0C3B"/>
    <w:rsid w:val="00EF1914"/>
    <w:rsid w:val="00EF1C2B"/>
    <w:rsid w:val="00EF2C98"/>
    <w:rsid w:val="00EF3FF2"/>
    <w:rsid w:val="00EF4BAE"/>
    <w:rsid w:val="00EF5ACA"/>
    <w:rsid w:val="00EF653C"/>
    <w:rsid w:val="00EF723D"/>
    <w:rsid w:val="00EF78F4"/>
    <w:rsid w:val="00EF79E7"/>
    <w:rsid w:val="00EF7AC1"/>
    <w:rsid w:val="00F0023D"/>
    <w:rsid w:val="00F02003"/>
    <w:rsid w:val="00F0202B"/>
    <w:rsid w:val="00F0356D"/>
    <w:rsid w:val="00F0386C"/>
    <w:rsid w:val="00F03D22"/>
    <w:rsid w:val="00F03F19"/>
    <w:rsid w:val="00F040EC"/>
    <w:rsid w:val="00F04A52"/>
    <w:rsid w:val="00F05B2A"/>
    <w:rsid w:val="00F05D55"/>
    <w:rsid w:val="00F07381"/>
    <w:rsid w:val="00F07533"/>
    <w:rsid w:val="00F10339"/>
    <w:rsid w:val="00F10487"/>
    <w:rsid w:val="00F104F4"/>
    <w:rsid w:val="00F10BEA"/>
    <w:rsid w:val="00F1312C"/>
    <w:rsid w:val="00F1358A"/>
    <w:rsid w:val="00F13E62"/>
    <w:rsid w:val="00F13F85"/>
    <w:rsid w:val="00F14103"/>
    <w:rsid w:val="00F14EE2"/>
    <w:rsid w:val="00F150A5"/>
    <w:rsid w:val="00F15876"/>
    <w:rsid w:val="00F15885"/>
    <w:rsid w:val="00F161C5"/>
    <w:rsid w:val="00F17C09"/>
    <w:rsid w:val="00F2036F"/>
    <w:rsid w:val="00F20520"/>
    <w:rsid w:val="00F20585"/>
    <w:rsid w:val="00F20BD8"/>
    <w:rsid w:val="00F21736"/>
    <w:rsid w:val="00F2262C"/>
    <w:rsid w:val="00F233BC"/>
    <w:rsid w:val="00F23A8E"/>
    <w:rsid w:val="00F25765"/>
    <w:rsid w:val="00F26134"/>
    <w:rsid w:val="00F2614E"/>
    <w:rsid w:val="00F261DF"/>
    <w:rsid w:val="00F27A56"/>
    <w:rsid w:val="00F3021F"/>
    <w:rsid w:val="00F30A61"/>
    <w:rsid w:val="00F30CED"/>
    <w:rsid w:val="00F31737"/>
    <w:rsid w:val="00F3193D"/>
    <w:rsid w:val="00F3271E"/>
    <w:rsid w:val="00F32869"/>
    <w:rsid w:val="00F332B6"/>
    <w:rsid w:val="00F33FE4"/>
    <w:rsid w:val="00F343FB"/>
    <w:rsid w:val="00F36507"/>
    <w:rsid w:val="00F40CAD"/>
    <w:rsid w:val="00F40D2F"/>
    <w:rsid w:val="00F416CA"/>
    <w:rsid w:val="00F41946"/>
    <w:rsid w:val="00F420A7"/>
    <w:rsid w:val="00F4246E"/>
    <w:rsid w:val="00F43D40"/>
    <w:rsid w:val="00F43E17"/>
    <w:rsid w:val="00F4447F"/>
    <w:rsid w:val="00F449B2"/>
    <w:rsid w:val="00F44FC4"/>
    <w:rsid w:val="00F453E6"/>
    <w:rsid w:val="00F46355"/>
    <w:rsid w:val="00F50B19"/>
    <w:rsid w:val="00F5157B"/>
    <w:rsid w:val="00F519AD"/>
    <w:rsid w:val="00F51B8A"/>
    <w:rsid w:val="00F524FE"/>
    <w:rsid w:val="00F53599"/>
    <w:rsid w:val="00F53CC1"/>
    <w:rsid w:val="00F53D5D"/>
    <w:rsid w:val="00F54980"/>
    <w:rsid w:val="00F54CB8"/>
    <w:rsid w:val="00F55F8D"/>
    <w:rsid w:val="00F57892"/>
    <w:rsid w:val="00F60DF9"/>
    <w:rsid w:val="00F60E53"/>
    <w:rsid w:val="00F612E9"/>
    <w:rsid w:val="00F61750"/>
    <w:rsid w:val="00F618E5"/>
    <w:rsid w:val="00F637BA"/>
    <w:rsid w:val="00F63BE2"/>
    <w:rsid w:val="00F63ECC"/>
    <w:rsid w:val="00F6476B"/>
    <w:rsid w:val="00F6556F"/>
    <w:rsid w:val="00F65C7E"/>
    <w:rsid w:val="00F6663C"/>
    <w:rsid w:val="00F66EBF"/>
    <w:rsid w:val="00F67500"/>
    <w:rsid w:val="00F700DF"/>
    <w:rsid w:val="00F700FB"/>
    <w:rsid w:val="00F70CEE"/>
    <w:rsid w:val="00F7228D"/>
    <w:rsid w:val="00F7273B"/>
    <w:rsid w:val="00F727AE"/>
    <w:rsid w:val="00F73615"/>
    <w:rsid w:val="00F73F16"/>
    <w:rsid w:val="00F74D05"/>
    <w:rsid w:val="00F762AC"/>
    <w:rsid w:val="00F76AB9"/>
    <w:rsid w:val="00F77572"/>
    <w:rsid w:val="00F775C8"/>
    <w:rsid w:val="00F802FF"/>
    <w:rsid w:val="00F8053B"/>
    <w:rsid w:val="00F81438"/>
    <w:rsid w:val="00F81C1A"/>
    <w:rsid w:val="00F822D5"/>
    <w:rsid w:val="00F83E43"/>
    <w:rsid w:val="00F854D7"/>
    <w:rsid w:val="00F9019A"/>
    <w:rsid w:val="00F904BF"/>
    <w:rsid w:val="00F9053D"/>
    <w:rsid w:val="00F9100E"/>
    <w:rsid w:val="00F912BB"/>
    <w:rsid w:val="00F91A34"/>
    <w:rsid w:val="00F91ACE"/>
    <w:rsid w:val="00F91B35"/>
    <w:rsid w:val="00F922B0"/>
    <w:rsid w:val="00F93215"/>
    <w:rsid w:val="00F9524F"/>
    <w:rsid w:val="00F9639B"/>
    <w:rsid w:val="00F975CE"/>
    <w:rsid w:val="00FA00FD"/>
    <w:rsid w:val="00FA030F"/>
    <w:rsid w:val="00FA0BB4"/>
    <w:rsid w:val="00FA3125"/>
    <w:rsid w:val="00FA356F"/>
    <w:rsid w:val="00FA37EC"/>
    <w:rsid w:val="00FA3879"/>
    <w:rsid w:val="00FA3BBB"/>
    <w:rsid w:val="00FA4324"/>
    <w:rsid w:val="00FA4DDF"/>
    <w:rsid w:val="00FA5AF8"/>
    <w:rsid w:val="00FA6F83"/>
    <w:rsid w:val="00FA71BD"/>
    <w:rsid w:val="00FA76CC"/>
    <w:rsid w:val="00FA7E21"/>
    <w:rsid w:val="00FB0105"/>
    <w:rsid w:val="00FB1353"/>
    <w:rsid w:val="00FB1835"/>
    <w:rsid w:val="00FB1DAB"/>
    <w:rsid w:val="00FB4499"/>
    <w:rsid w:val="00FB4A7F"/>
    <w:rsid w:val="00FB6D6B"/>
    <w:rsid w:val="00FB6DDA"/>
    <w:rsid w:val="00FB72C6"/>
    <w:rsid w:val="00FB77EF"/>
    <w:rsid w:val="00FC0ED5"/>
    <w:rsid w:val="00FC0F8C"/>
    <w:rsid w:val="00FC2219"/>
    <w:rsid w:val="00FC2544"/>
    <w:rsid w:val="00FC2CEC"/>
    <w:rsid w:val="00FC2F2E"/>
    <w:rsid w:val="00FC30FE"/>
    <w:rsid w:val="00FC5758"/>
    <w:rsid w:val="00FC5792"/>
    <w:rsid w:val="00FC6B0B"/>
    <w:rsid w:val="00FC6C2F"/>
    <w:rsid w:val="00FC7637"/>
    <w:rsid w:val="00FD04A4"/>
    <w:rsid w:val="00FD0DAD"/>
    <w:rsid w:val="00FD16D4"/>
    <w:rsid w:val="00FD1BD9"/>
    <w:rsid w:val="00FD276E"/>
    <w:rsid w:val="00FD27D7"/>
    <w:rsid w:val="00FD2870"/>
    <w:rsid w:val="00FD28F6"/>
    <w:rsid w:val="00FD2961"/>
    <w:rsid w:val="00FD2A94"/>
    <w:rsid w:val="00FD3BF8"/>
    <w:rsid w:val="00FD3D08"/>
    <w:rsid w:val="00FD5B60"/>
    <w:rsid w:val="00FD5D01"/>
    <w:rsid w:val="00FD65AD"/>
    <w:rsid w:val="00FD6C88"/>
    <w:rsid w:val="00FD79C2"/>
    <w:rsid w:val="00FD7A27"/>
    <w:rsid w:val="00FE02B3"/>
    <w:rsid w:val="00FE0676"/>
    <w:rsid w:val="00FE1590"/>
    <w:rsid w:val="00FE24A6"/>
    <w:rsid w:val="00FE28A0"/>
    <w:rsid w:val="00FE2958"/>
    <w:rsid w:val="00FE2ED6"/>
    <w:rsid w:val="00FE337F"/>
    <w:rsid w:val="00FE34C1"/>
    <w:rsid w:val="00FE39A1"/>
    <w:rsid w:val="00FE3DF5"/>
    <w:rsid w:val="00FE4308"/>
    <w:rsid w:val="00FE491C"/>
    <w:rsid w:val="00FE4DD6"/>
    <w:rsid w:val="00FE505D"/>
    <w:rsid w:val="00FE54BC"/>
    <w:rsid w:val="00FE62CB"/>
    <w:rsid w:val="00FE6916"/>
    <w:rsid w:val="00FE6B37"/>
    <w:rsid w:val="00FF03BB"/>
    <w:rsid w:val="00FF0626"/>
    <w:rsid w:val="00FF0677"/>
    <w:rsid w:val="00FF0F93"/>
    <w:rsid w:val="00FF109E"/>
    <w:rsid w:val="00FF1A3C"/>
    <w:rsid w:val="00FF208B"/>
    <w:rsid w:val="00FF2377"/>
    <w:rsid w:val="00FF2D1D"/>
    <w:rsid w:val="00FF3FE7"/>
    <w:rsid w:val="00FF425E"/>
    <w:rsid w:val="00FF4DAB"/>
    <w:rsid w:val="00FF4F38"/>
    <w:rsid w:val="00FF6506"/>
    <w:rsid w:val="00FF6C3D"/>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07339D"/>
  <w15:docId w15:val="{16ADB766-C872-4690-BA6E-52C05D4B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rsid w:val="001A03C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color w:val="000000"/>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fn,fn Char Char,ft"/>
    <w:basedOn w:val="Normal"/>
    <w:link w:val="FootnoteTextChar"/>
    <w:rPr>
      <w:sz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
    <w:qFormat/>
    <w:rPr>
      <w:vertAlign w:val="superscript"/>
    </w:rPr>
  </w:style>
  <w:style w:type="character" w:styleId="Hyperlink">
    <w:name w:val="Hyperlink"/>
    <w:rPr>
      <w:color w:val="0000FF"/>
      <w:u w:val="single"/>
    </w:rPr>
  </w:style>
  <w:style w:type="paragraph" w:styleId="BalloonText">
    <w:name w:val="Balloon Text"/>
    <w:basedOn w:val="Normal"/>
    <w:semiHidden/>
    <w:rsid w:val="00B93F90"/>
    <w:rPr>
      <w:rFonts w:ascii="Tahoma" w:hAnsi="Tahoma" w:cs="Tahoma"/>
      <w:sz w:val="16"/>
      <w:szCs w:val="16"/>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 Char"/>
    <w:link w:val="FootnoteText"/>
    <w:rsid w:val="00390DAA"/>
    <w:rPr>
      <w:rFonts w:ascii="Arial" w:hAnsi="Arial"/>
    </w:rPr>
  </w:style>
  <w:style w:type="paragraph" w:styleId="NoSpacing">
    <w:name w:val="No Spacing"/>
    <w:uiPriority w:val="1"/>
    <w:qFormat/>
    <w:rsid w:val="00025D03"/>
    <w:rPr>
      <w:rFonts w:ascii="Calibri" w:eastAsia="Calibri" w:hAnsi="Calibri"/>
      <w:sz w:val="22"/>
      <w:szCs w:val="22"/>
    </w:rPr>
  </w:style>
  <w:style w:type="paragraph" w:styleId="EndnoteText">
    <w:name w:val="endnote text"/>
    <w:basedOn w:val="Normal"/>
    <w:link w:val="EndnoteTextChar"/>
    <w:uiPriority w:val="99"/>
    <w:unhideWhenUsed/>
    <w:rsid w:val="00025D03"/>
    <w:pPr>
      <w:overflowPunct/>
      <w:autoSpaceDE/>
      <w:autoSpaceDN/>
      <w:adjustRightInd/>
      <w:textAlignment w:val="auto"/>
    </w:pPr>
    <w:rPr>
      <w:rFonts w:ascii="Calibri" w:eastAsia="Calibri" w:hAnsi="Calibri"/>
      <w:sz w:val="20"/>
    </w:rPr>
  </w:style>
  <w:style w:type="character" w:customStyle="1" w:styleId="EndnoteTextChar">
    <w:name w:val="Endnote Text Char"/>
    <w:link w:val="EndnoteText"/>
    <w:uiPriority w:val="99"/>
    <w:rsid w:val="00025D03"/>
    <w:rPr>
      <w:rFonts w:ascii="Calibri" w:eastAsia="Calibri" w:hAnsi="Calibri"/>
    </w:rPr>
  </w:style>
  <w:style w:type="character" w:styleId="EndnoteReference">
    <w:name w:val="endnote reference"/>
    <w:uiPriority w:val="99"/>
    <w:unhideWhenUsed/>
    <w:rsid w:val="00025D03"/>
    <w:rPr>
      <w:vertAlign w:val="superscript"/>
    </w:rPr>
  </w:style>
  <w:style w:type="character" w:styleId="CommentReference">
    <w:name w:val="annotation reference"/>
    <w:uiPriority w:val="99"/>
    <w:rsid w:val="00EE51C7"/>
    <w:rPr>
      <w:sz w:val="16"/>
      <w:szCs w:val="16"/>
    </w:rPr>
  </w:style>
  <w:style w:type="paragraph" w:styleId="CommentText">
    <w:name w:val="annotation text"/>
    <w:basedOn w:val="Normal"/>
    <w:link w:val="CommentTextChar"/>
    <w:uiPriority w:val="99"/>
    <w:rsid w:val="00EE51C7"/>
    <w:rPr>
      <w:sz w:val="20"/>
    </w:rPr>
  </w:style>
  <w:style w:type="character" w:customStyle="1" w:styleId="CommentTextChar">
    <w:name w:val="Comment Text Char"/>
    <w:link w:val="CommentText"/>
    <w:uiPriority w:val="99"/>
    <w:rsid w:val="00EE51C7"/>
    <w:rPr>
      <w:rFonts w:ascii="Arial" w:hAnsi="Arial"/>
    </w:rPr>
  </w:style>
  <w:style w:type="paragraph" w:styleId="CommentSubject">
    <w:name w:val="annotation subject"/>
    <w:basedOn w:val="CommentText"/>
    <w:next w:val="CommentText"/>
    <w:link w:val="CommentSubjectChar"/>
    <w:rsid w:val="00EE51C7"/>
    <w:rPr>
      <w:b/>
      <w:bCs/>
    </w:rPr>
  </w:style>
  <w:style w:type="character" w:customStyle="1" w:styleId="CommentSubjectChar">
    <w:name w:val="Comment Subject Char"/>
    <w:link w:val="CommentSubject"/>
    <w:rsid w:val="00EE51C7"/>
    <w:rPr>
      <w:rFonts w:ascii="Arial" w:hAnsi="Arial"/>
      <w:b/>
      <w:bCs/>
    </w:rPr>
  </w:style>
  <w:style w:type="paragraph" w:styleId="ListParagraph">
    <w:name w:val="List Paragraph"/>
    <w:basedOn w:val="Normal"/>
    <w:uiPriority w:val="34"/>
    <w:qFormat/>
    <w:rsid w:val="003702AA"/>
    <w:pPr>
      <w:ind w:left="720"/>
      <w:contextualSpacing/>
    </w:pPr>
  </w:style>
  <w:style w:type="table" w:styleId="TableGrid">
    <w:name w:val="Table Grid"/>
    <w:basedOn w:val="TableNormal"/>
    <w:rsid w:val="006C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6B63"/>
    <w:pPr>
      <w:autoSpaceDE w:val="0"/>
      <w:autoSpaceDN w:val="0"/>
      <w:adjustRightInd w:val="0"/>
    </w:pPr>
    <w:rPr>
      <w:rFonts w:ascii="Book Antiqua" w:hAnsi="Book Antiqua" w:cs="Book Antiqua"/>
      <w:color w:val="000000"/>
      <w:sz w:val="24"/>
      <w:szCs w:val="24"/>
    </w:rPr>
  </w:style>
  <w:style w:type="paragraph" w:styleId="Revision">
    <w:name w:val="Revision"/>
    <w:hidden/>
    <w:uiPriority w:val="99"/>
    <w:semiHidden/>
    <w:rsid w:val="00094951"/>
    <w:rPr>
      <w:rFonts w:ascii="Arial" w:hAnsi="Arial"/>
      <w:sz w:val="24"/>
    </w:rPr>
  </w:style>
  <w:style w:type="character" w:customStyle="1" w:styleId="Heading1Char">
    <w:name w:val="Heading 1 Char"/>
    <w:basedOn w:val="DefaultParagraphFont"/>
    <w:link w:val="Heading1"/>
    <w:rsid w:val="00D43C39"/>
    <w:rPr>
      <w:rFonts w:ascii="Arial" w:hAnsi="Arial"/>
      <w:b/>
      <w:sz w:val="24"/>
      <w:u w:val="single"/>
    </w:rPr>
  </w:style>
  <w:style w:type="paragraph" w:styleId="ListBullet">
    <w:name w:val="List Bullet"/>
    <w:basedOn w:val="Normal"/>
    <w:rsid w:val="006A648F"/>
    <w:pPr>
      <w:numPr>
        <w:numId w:val="5"/>
      </w:numPr>
      <w:contextualSpacing/>
    </w:pPr>
  </w:style>
  <w:style w:type="paragraph" w:styleId="Subtitle">
    <w:name w:val="Subtitle"/>
    <w:basedOn w:val="Normal"/>
    <w:next w:val="Normal"/>
    <w:link w:val="SubtitleChar"/>
    <w:qFormat/>
    <w:rsid w:val="00B33AA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33AA2"/>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uiPriority w:val="99"/>
    <w:unhideWhenUsed/>
    <w:rsid w:val="00917B4A"/>
    <w:pPr>
      <w:overflowPunct/>
      <w:autoSpaceDE/>
      <w:autoSpaceDN/>
      <w:adjustRightInd/>
      <w:textAlignment w:val="auto"/>
    </w:pPr>
    <w:rPr>
      <w:rFonts w:ascii="Calibri" w:hAnsi="Calibri"/>
      <w:sz w:val="22"/>
      <w:szCs w:val="21"/>
    </w:rPr>
  </w:style>
  <w:style w:type="character" w:customStyle="1" w:styleId="PlainTextChar">
    <w:name w:val="Plain Text Char"/>
    <w:basedOn w:val="DefaultParagraphFont"/>
    <w:link w:val="PlainText"/>
    <w:uiPriority w:val="99"/>
    <w:rsid w:val="00917B4A"/>
    <w:rPr>
      <w:rFonts w:ascii="Calibri" w:hAnsi="Calibri"/>
      <w:sz w:val="22"/>
      <w:szCs w:val="21"/>
    </w:rPr>
  </w:style>
  <w:style w:type="character" w:customStyle="1" w:styleId="Heading3Char">
    <w:name w:val="Heading 3 Char"/>
    <w:basedOn w:val="DefaultParagraphFont"/>
    <w:link w:val="Heading3"/>
    <w:semiHidden/>
    <w:rsid w:val="001A03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F4DEF"/>
    <w:pPr>
      <w:overflowPunct/>
      <w:autoSpaceDE/>
      <w:autoSpaceDN/>
      <w:adjustRightInd/>
      <w:spacing w:before="100" w:beforeAutospacing="1" w:after="100" w:afterAutospacing="1"/>
      <w:textAlignment w:val="auto"/>
    </w:pPr>
    <w:rPr>
      <w:rFonts w:ascii="Times New Roman" w:hAnsi="Times New Roman"/>
      <w:szCs w:val="24"/>
    </w:rPr>
  </w:style>
  <w:style w:type="character" w:styleId="UnresolvedMention">
    <w:name w:val="Unresolved Mention"/>
    <w:basedOn w:val="DefaultParagraphFont"/>
    <w:uiPriority w:val="99"/>
    <w:semiHidden/>
    <w:unhideWhenUsed/>
    <w:rsid w:val="00392B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779">
      <w:bodyDiv w:val="1"/>
      <w:marLeft w:val="0"/>
      <w:marRight w:val="0"/>
      <w:marTop w:val="0"/>
      <w:marBottom w:val="0"/>
      <w:divBdr>
        <w:top w:val="none" w:sz="0" w:space="0" w:color="auto"/>
        <w:left w:val="none" w:sz="0" w:space="0" w:color="auto"/>
        <w:bottom w:val="none" w:sz="0" w:space="0" w:color="auto"/>
        <w:right w:val="none" w:sz="0" w:space="0" w:color="auto"/>
      </w:divBdr>
    </w:div>
    <w:div w:id="27801725">
      <w:bodyDiv w:val="1"/>
      <w:marLeft w:val="0"/>
      <w:marRight w:val="0"/>
      <w:marTop w:val="0"/>
      <w:marBottom w:val="0"/>
      <w:divBdr>
        <w:top w:val="none" w:sz="0" w:space="0" w:color="auto"/>
        <w:left w:val="none" w:sz="0" w:space="0" w:color="auto"/>
        <w:bottom w:val="none" w:sz="0" w:space="0" w:color="auto"/>
        <w:right w:val="none" w:sz="0" w:space="0" w:color="auto"/>
      </w:divBdr>
    </w:div>
    <w:div w:id="38167409">
      <w:bodyDiv w:val="1"/>
      <w:marLeft w:val="0"/>
      <w:marRight w:val="0"/>
      <w:marTop w:val="0"/>
      <w:marBottom w:val="0"/>
      <w:divBdr>
        <w:top w:val="none" w:sz="0" w:space="0" w:color="auto"/>
        <w:left w:val="none" w:sz="0" w:space="0" w:color="auto"/>
        <w:bottom w:val="none" w:sz="0" w:space="0" w:color="auto"/>
        <w:right w:val="none" w:sz="0" w:space="0" w:color="auto"/>
      </w:divBdr>
    </w:div>
    <w:div w:id="38434919">
      <w:bodyDiv w:val="1"/>
      <w:marLeft w:val="0"/>
      <w:marRight w:val="0"/>
      <w:marTop w:val="0"/>
      <w:marBottom w:val="0"/>
      <w:divBdr>
        <w:top w:val="none" w:sz="0" w:space="0" w:color="auto"/>
        <w:left w:val="none" w:sz="0" w:space="0" w:color="auto"/>
        <w:bottom w:val="none" w:sz="0" w:space="0" w:color="auto"/>
        <w:right w:val="none" w:sz="0" w:space="0" w:color="auto"/>
      </w:divBdr>
    </w:div>
    <w:div w:id="65961873">
      <w:bodyDiv w:val="1"/>
      <w:marLeft w:val="0"/>
      <w:marRight w:val="0"/>
      <w:marTop w:val="0"/>
      <w:marBottom w:val="0"/>
      <w:divBdr>
        <w:top w:val="none" w:sz="0" w:space="0" w:color="auto"/>
        <w:left w:val="none" w:sz="0" w:space="0" w:color="auto"/>
        <w:bottom w:val="none" w:sz="0" w:space="0" w:color="auto"/>
        <w:right w:val="none" w:sz="0" w:space="0" w:color="auto"/>
      </w:divBdr>
      <w:divsChild>
        <w:div w:id="2022581984">
          <w:marLeft w:val="1166"/>
          <w:marRight w:val="0"/>
          <w:marTop w:val="200"/>
          <w:marBottom w:val="0"/>
          <w:divBdr>
            <w:top w:val="none" w:sz="0" w:space="0" w:color="auto"/>
            <w:left w:val="none" w:sz="0" w:space="0" w:color="auto"/>
            <w:bottom w:val="none" w:sz="0" w:space="0" w:color="auto"/>
            <w:right w:val="none" w:sz="0" w:space="0" w:color="auto"/>
          </w:divBdr>
        </w:div>
      </w:divsChild>
    </w:div>
    <w:div w:id="117992074">
      <w:bodyDiv w:val="1"/>
      <w:marLeft w:val="0"/>
      <w:marRight w:val="0"/>
      <w:marTop w:val="0"/>
      <w:marBottom w:val="0"/>
      <w:divBdr>
        <w:top w:val="none" w:sz="0" w:space="0" w:color="auto"/>
        <w:left w:val="none" w:sz="0" w:space="0" w:color="auto"/>
        <w:bottom w:val="none" w:sz="0" w:space="0" w:color="auto"/>
        <w:right w:val="none" w:sz="0" w:space="0" w:color="auto"/>
      </w:divBdr>
      <w:divsChild>
        <w:div w:id="1997109016">
          <w:marLeft w:val="1166"/>
          <w:marRight w:val="0"/>
          <w:marTop w:val="200"/>
          <w:marBottom w:val="0"/>
          <w:divBdr>
            <w:top w:val="none" w:sz="0" w:space="0" w:color="auto"/>
            <w:left w:val="none" w:sz="0" w:space="0" w:color="auto"/>
            <w:bottom w:val="none" w:sz="0" w:space="0" w:color="auto"/>
            <w:right w:val="none" w:sz="0" w:space="0" w:color="auto"/>
          </w:divBdr>
        </w:div>
      </w:divsChild>
    </w:div>
    <w:div w:id="124741813">
      <w:bodyDiv w:val="1"/>
      <w:marLeft w:val="0"/>
      <w:marRight w:val="0"/>
      <w:marTop w:val="0"/>
      <w:marBottom w:val="0"/>
      <w:divBdr>
        <w:top w:val="none" w:sz="0" w:space="0" w:color="auto"/>
        <w:left w:val="none" w:sz="0" w:space="0" w:color="auto"/>
        <w:bottom w:val="none" w:sz="0" w:space="0" w:color="auto"/>
        <w:right w:val="none" w:sz="0" w:space="0" w:color="auto"/>
      </w:divBdr>
    </w:div>
    <w:div w:id="136652346">
      <w:bodyDiv w:val="1"/>
      <w:marLeft w:val="0"/>
      <w:marRight w:val="0"/>
      <w:marTop w:val="0"/>
      <w:marBottom w:val="0"/>
      <w:divBdr>
        <w:top w:val="none" w:sz="0" w:space="0" w:color="auto"/>
        <w:left w:val="none" w:sz="0" w:space="0" w:color="auto"/>
        <w:bottom w:val="none" w:sz="0" w:space="0" w:color="auto"/>
        <w:right w:val="none" w:sz="0" w:space="0" w:color="auto"/>
      </w:divBdr>
    </w:div>
    <w:div w:id="148177307">
      <w:bodyDiv w:val="1"/>
      <w:marLeft w:val="0"/>
      <w:marRight w:val="0"/>
      <w:marTop w:val="0"/>
      <w:marBottom w:val="0"/>
      <w:divBdr>
        <w:top w:val="none" w:sz="0" w:space="0" w:color="auto"/>
        <w:left w:val="none" w:sz="0" w:space="0" w:color="auto"/>
        <w:bottom w:val="none" w:sz="0" w:space="0" w:color="auto"/>
        <w:right w:val="none" w:sz="0" w:space="0" w:color="auto"/>
      </w:divBdr>
    </w:div>
    <w:div w:id="213934273">
      <w:bodyDiv w:val="1"/>
      <w:marLeft w:val="0"/>
      <w:marRight w:val="0"/>
      <w:marTop w:val="0"/>
      <w:marBottom w:val="0"/>
      <w:divBdr>
        <w:top w:val="none" w:sz="0" w:space="0" w:color="auto"/>
        <w:left w:val="none" w:sz="0" w:space="0" w:color="auto"/>
        <w:bottom w:val="none" w:sz="0" w:space="0" w:color="auto"/>
        <w:right w:val="none" w:sz="0" w:space="0" w:color="auto"/>
      </w:divBdr>
    </w:div>
    <w:div w:id="221673607">
      <w:bodyDiv w:val="1"/>
      <w:marLeft w:val="0"/>
      <w:marRight w:val="0"/>
      <w:marTop w:val="0"/>
      <w:marBottom w:val="0"/>
      <w:divBdr>
        <w:top w:val="none" w:sz="0" w:space="0" w:color="auto"/>
        <w:left w:val="none" w:sz="0" w:space="0" w:color="auto"/>
        <w:bottom w:val="none" w:sz="0" w:space="0" w:color="auto"/>
        <w:right w:val="none" w:sz="0" w:space="0" w:color="auto"/>
      </w:divBdr>
    </w:div>
    <w:div w:id="243685718">
      <w:bodyDiv w:val="1"/>
      <w:marLeft w:val="0"/>
      <w:marRight w:val="0"/>
      <w:marTop w:val="0"/>
      <w:marBottom w:val="0"/>
      <w:divBdr>
        <w:top w:val="none" w:sz="0" w:space="0" w:color="auto"/>
        <w:left w:val="none" w:sz="0" w:space="0" w:color="auto"/>
        <w:bottom w:val="none" w:sz="0" w:space="0" w:color="auto"/>
        <w:right w:val="none" w:sz="0" w:space="0" w:color="auto"/>
      </w:divBdr>
    </w:div>
    <w:div w:id="267739111">
      <w:bodyDiv w:val="1"/>
      <w:marLeft w:val="0"/>
      <w:marRight w:val="0"/>
      <w:marTop w:val="0"/>
      <w:marBottom w:val="0"/>
      <w:divBdr>
        <w:top w:val="none" w:sz="0" w:space="0" w:color="auto"/>
        <w:left w:val="none" w:sz="0" w:space="0" w:color="auto"/>
        <w:bottom w:val="none" w:sz="0" w:space="0" w:color="auto"/>
        <w:right w:val="none" w:sz="0" w:space="0" w:color="auto"/>
      </w:divBdr>
    </w:div>
    <w:div w:id="282884616">
      <w:bodyDiv w:val="1"/>
      <w:marLeft w:val="0"/>
      <w:marRight w:val="0"/>
      <w:marTop w:val="0"/>
      <w:marBottom w:val="0"/>
      <w:divBdr>
        <w:top w:val="none" w:sz="0" w:space="0" w:color="auto"/>
        <w:left w:val="none" w:sz="0" w:space="0" w:color="auto"/>
        <w:bottom w:val="none" w:sz="0" w:space="0" w:color="auto"/>
        <w:right w:val="none" w:sz="0" w:space="0" w:color="auto"/>
      </w:divBdr>
    </w:div>
    <w:div w:id="298151161">
      <w:bodyDiv w:val="1"/>
      <w:marLeft w:val="0"/>
      <w:marRight w:val="0"/>
      <w:marTop w:val="0"/>
      <w:marBottom w:val="0"/>
      <w:divBdr>
        <w:top w:val="none" w:sz="0" w:space="0" w:color="auto"/>
        <w:left w:val="none" w:sz="0" w:space="0" w:color="auto"/>
        <w:bottom w:val="none" w:sz="0" w:space="0" w:color="auto"/>
        <w:right w:val="none" w:sz="0" w:space="0" w:color="auto"/>
      </w:divBdr>
    </w:div>
    <w:div w:id="304547162">
      <w:bodyDiv w:val="1"/>
      <w:marLeft w:val="0"/>
      <w:marRight w:val="0"/>
      <w:marTop w:val="0"/>
      <w:marBottom w:val="0"/>
      <w:divBdr>
        <w:top w:val="none" w:sz="0" w:space="0" w:color="auto"/>
        <w:left w:val="none" w:sz="0" w:space="0" w:color="auto"/>
        <w:bottom w:val="none" w:sz="0" w:space="0" w:color="auto"/>
        <w:right w:val="none" w:sz="0" w:space="0" w:color="auto"/>
      </w:divBdr>
    </w:div>
    <w:div w:id="320618941">
      <w:bodyDiv w:val="1"/>
      <w:marLeft w:val="0"/>
      <w:marRight w:val="0"/>
      <w:marTop w:val="0"/>
      <w:marBottom w:val="0"/>
      <w:divBdr>
        <w:top w:val="none" w:sz="0" w:space="0" w:color="auto"/>
        <w:left w:val="none" w:sz="0" w:space="0" w:color="auto"/>
        <w:bottom w:val="none" w:sz="0" w:space="0" w:color="auto"/>
        <w:right w:val="none" w:sz="0" w:space="0" w:color="auto"/>
      </w:divBdr>
    </w:div>
    <w:div w:id="326516753">
      <w:bodyDiv w:val="1"/>
      <w:marLeft w:val="0"/>
      <w:marRight w:val="0"/>
      <w:marTop w:val="0"/>
      <w:marBottom w:val="0"/>
      <w:divBdr>
        <w:top w:val="none" w:sz="0" w:space="0" w:color="auto"/>
        <w:left w:val="none" w:sz="0" w:space="0" w:color="auto"/>
        <w:bottom w:val="none" w:sz="0" w:space="0" w:color="auto"/>
        <w:right w:val="none" w:sz="0" w:space="0" w:color="auto"/>
      </w:divBdr>
    </w:div>
    <w:div w:id="405688983">
      <w:bodyDiv w:val="1"/>
      <w:marLeft w:val="0"/>
      <w:marRight w:val="0"/>
      <w:marTop w:val="0"/>
      <w:marBottom w:val="0"/>
      <w:divBdr>
        <w:top w:val="none" w:sz="0" w:space="0" w:color="auto"/>
        <w:left w:val="none" w:sz="0" w:space="0" w:color="auto"/>
        <w:bottom w:val="none" w:sz="0" w:space="0" w:color="auto"/>
        <w:right w:val="none" w:sz="0" w:space="0" w:color="auto"/>
      </w:divBdr>
    </w:div>
    <w:div w:id="448281905">
      <w:bodyDiv w:val="1"/>
      <w:marLeft w:val="0"/>
      <w:marRight w:val="0"/>
      <w:marTop w:val="0"/>
      <w:marBottom w:val="0"/>
      <w:divBdr>
        <w:top w:val="none" w:sz="0" w:space="0" w:color="auto"/>
        <w:left w:val="none" w:sz="0" w:space="0" w:color="auto"/>
        <w:bottom w:val="none" w:sz="0" w:space="0" w:color="auto"/>
        <w:right w:val="none" w:sz="0" w:space="0" w:color="auto"/>
      </w:divBdr>
    </w:div>
    <w:div w:id="456219174">
      <w:bodyDiv w:val="1"/>
      <w:marLeft w:val="0"/>
      <w:marRight w:val="0"/>
      <w:marTop w:val="0"/>
      <w:marBottom w:val="0"/>
      <w:divBdr>
        <w:top w:val="none" w:sz="0" w:space="0" w:color="auto"/>
        <w:left w:val="none" w:sz="0" w:space="0" w:color="auto"/>
        <w:bottom w:val="none" w:sz="0" w:space="0" w:color="auto"/>
        <w:right w:val="none" w:sz="0" w:space="0" w:color="auto"/>
      </w:divBdr>
    </w:div>
    <w:div w:id="521743328">
      <w:bodyDiv w:val="1"/>
      <w:marLeft w:val="0"/>
      <w:marRight w:val="0"/>
      <w:marTop w:val="0"/>
      <w:marBottom w:val="0"/>
      <w:divBdr>
        <w:top w:val="none" w:sz="0" w:space="0" w:color="auto"/>
        <w:left w:val="none" w:sz="0" w:space="0" w:color="auto"/>
        <w:bottom w:val="none" w:sz="0" w:space="0" w:color="auto"/>
        <w:right w:val="none" w:sz="0" w:space="0" w:color="auto"/>
      </w:divBdr>
    </w:div>
    <w:div w:id="523326542">
      <w:bodyDiv w:val="1"/>
      <w:marLeft w:val="0"/>
      <w:marRight w:val="0"/>
      <w:marTop w:val="0"/>
      <w:marBottom w:val="0"/>
      <w:divBdr>
        <w:top w:val="none" w:sz="0" w:space="0" w:color="auto"/>
        <w:left w:val="none" w:sz="0" w:space="0" w:color="auto"/>
        <w:bottom w:val="none" w:sz="0" w:space="0" w:color="auto"/>
        <w:right w:val="none" w:sz="0" w:space="0" w:color="auto"/>
      </w:divBdr>
    </w:div>
    <w:div w:id="549997442">
      <w:bodyDiv w:val="1"/>
      <w:marLeft w:val="0"/>
      <w:marRight w:val="0"/>
      <w:marTop w:val="0"/>
      <w:marBottom w:val="0"/>
      <w:divBdr>
        <w:top w:val="none" w:sz="0" w:space="0" w:color="auto"/>
        <w:left w:val="none" w:sz="0" w:space="0" w:color="auto"/>
        <w:bottom w:val="none" w:sz="0" w:space="0" w:color="auto"/>
        <w:right w:val="none" w:sz="0" w:space="0" w:color="auto"/>
      </w:divBdr>
    </w:div>
    <w:div w:id="553736895">
      <w:bodyDiv w:val="1"/>
      <w:marLeft w:val="0"/>
      <w:marRight w:val="0"/>
      <w:marTop w:val="0"/>
      <w:marBottom w:val="0"/>
      <w:divBdr>
        <w:top w:val="none" w:sz="0" w:space="0" w:color="auto"/>
        <w:left w:val="none" w:sz="0" w:space="0" w:color="auto"/>
        <w:bottom w:val="none" w:sz="0" w:space="0" w:color="auto"/>
        <w:right w:val="none" w:sz="0" w:space="0" w:color="auto"/>
      </w:divBdr>
    </w:div>
    <w:div w:id="557934779">
      <w:bodyDiv w:val="1"/>
      <w:marLeft w:val="0"/>
      <w:marRight w:val="0"/>
      <w:marTop w:val="0"/>
      <w:marBottom w:val="0"/>
      <w:divBdr>
        <w:top w:val="none" w:sz="0" w:space="0" w:color="auto"/>
        <w:left w:val="none" w:sz="0" w:space="0" w:color="auto"/>
        <w:bottom w:val="none" w:sz="0" w:space="0" w:color="auto"/>
        <w:right w:val="none" w:sz="0" w:space="0" w:color="auto"/>
      </w:divBdr>
    </w:div>
    <w:div w:id="585577948">
      <w:bodyDiv w:val="1"/>
      <w:marLeft w:val="0"/>
      <w:marRight w:val="0"/>
      <w:marTop w:val="0"/>
      <w:marBottom w:val="0"/>
      <w:divBdr>
        <w:top w:val="none" w:sz="0" w:space="0" w:color="auto"/>
        <w:left w:val="none" w:sz="0" w:space="0" w:color="auto"/>
        <w:bottom w:val="none" w:sz="0" w:space="0" w:color="auto"/>
        <w:right w:val="none" w:sz="0" w:space="0" w:color="auto"/>
      </w:divBdr>
    </w:div>
    <w:div w:id="593712823">
      <w:bodyDiv w:val="1"/>
      <w:marLeft w:val="0"/>
      <w:marRight w:val="0"/>
      <w:marTop w:val="0"/>
      <w:marBottom w:val="0"/>
      <w:divBdr>
        <w:top w:val="none" w:sz="0" w:space="0" w:color="auto"/>
        <w:left w:val="none" w:sz="0" w:space="0" w:color="auto"/>
        <w:bottom w:val="none" w:sz="0" w:space="0" w:color="auto"/>
        <w:right w:val="none" w:sz="0" w:space="0" w:color="auto"/>
      </w:divBdr>
    </w:div>
    <w:div w:id="595292019">
      <w:bodyDiv w:val="1"/>
      <w:marLeft w:val="0"/>
      <w:marRight w:val="0"/>
      <w:marTop w:val="0"/>
      <w:marBottom w:val="0"/>
      <w:divBdr>
        <w:top w:val="none" w:sz="0" w:space="0" w:color="auto"/>
        <w:left w:val="none" w:sz="0" w:space="0" w:color="auto"/>
        <w:bottom w:val="none" w:sz="0" w:space="0" w:color="auto"/>
        <w:right w:val="none" w:sz="0" w:space="0" w:color="auto"/>
      </w:divBdr>
    </w:div>
    <w:div w:id="635187413">
      <w:bodyDiv w:val="1"/>
      <w:marLeft w:val="0"/>
      <w:marRight w:val="0"/>
      <w:marTop w:val="0"/>
      <w:marBottom w:val="0"/>
      <w:divBdr>
        <w:top w:val="none" w:sz="0" w:space="0" w:color="auto"/>
        <w:left w:val="none" w:sz="0" w:space="0" w:color="auto"/>
        <w:bottom w:val="none" w:sz="0" w:space="0" w:color="auto"/>
        <w:right w:val="none" w:sz="0" w:space="0" w:color="auto"/>
      </w:divBdr>
    </w:div>
    <w:div w:id="640887098">
      <w:bodyDiv w:val="1"/>
      <w:marLeft w:val="0"/>
      <w:marRight w:val="0"/>
      <w:marTop w:val="0"/>
      <w:marBottom w:val="0"/>
      <w:divBdr>
        <w:top w:val="none" w:sz="0" w:space="0" w:color="auto"/>
        <w:left w:val="none" w:sz="0" w:space="0" w:color="auto"/>
        <w:bottom w:val="none" w:sz="0" w:space="0" w:color="auto"/>
        <w:right w:val="none" w:sz="0" w:space="0" w:color="auto"/>
      </w:divBdr>
    </w:div>
    <w:div w:id="644747736">
      <w:bodyDiv w:val="1"/>
      <w:marLeft w:val="0"/>
      <w:marRight w:val="0"/>
      <w:marTop w:val="0"/>
      <w:marBottom w:val="0"/>
      <w:divBdr>
        <w:top w:val="none" w:sz="0" w:space="0" w:color="auto"/>
        <w:left w:val="none" w:sz="0" w:space="0" w:color="auto"/>
        <w:bottom w:val="none" w:sz="0" w:space="0" w:color="auto"/>
        <w:right w:val="none" w:sz="0" w:space="0" w:color="auto"/>
      </w:divBdr>
    </w:div>
    <w:div w:id="734547331">
      <w:bodyDiv w:val="1"/>
      <w:marLeft w:val="0"/>
      <w:marRight w:val="0"/>
      <w:marTop w:val="0"/>
      <w:marBottom w:val="0"/>
      <w:divBdr>
        <w:top w:val="none" w:sz="0" w:space="0" w:color="auto"/>
        <w:left w:val="none" w:sz="0" w:space="0" w:color="auto"/>
        <w:bottom w:val="none" w:sz="0" w:space="0" w:color="auto"/>
        <w:right w:val="none" w:sz="0" w:space="0" w:color="auto"/>
      </w:divBdr>
    </w:div>
    <w:div w:id="800658687">
      <w:bodyDiv w:val="1"/>
      <w:marLeft w:val="0"/>
      <w:marRight w:val="0"/>
      <w:marTop w:val="0"/>
      <w:marBottom w:val="0"/>
      <w:divBdr>
        <w:top w:val="none" w:sz="0" w:space="0" w:color="auto"/>
        <w:left w:val="none" w:sz="0" w:space="0" w:color="auto"/>
        <w:bottom w:val="none" w:sz="0" w:space="0" w:color="auto"/>
        <w:right w:val="none" w:sz="0" w:space="0" w:color="auto"/>
      </w:divBdr>
    </w:div>
    <w:div w:id="810950507">
      <w:bodyDiv w:val="1"/>
      <w:marLeft w:val="0"/>
      <w:marRight w:val="0"/>
      <w:marTop w:val="0"/>
      <w:marBottom w:val="0"/>
      <w:divBdr>
        <w:top w:val="none" w:sz="0" w:space="0" w:color="auto"/>
        <w:left w:val="none" w:sz="0" w:space="0" w:color="auto"/>
        <w:bottom w:val="none" w:sz="0" w:space="0" w:color="auto"/>
        <w:right w:val="none" w:sz="0" w:space="0" w:color="auto"/>
      </w:divBdr>
      <w:divsChild>
        <w:div w:id="2067489660">
          <w:marLeft w:val="1166"/>
          <w:marRight w:val="0"/>
          <w:marTop w:val="200"/>
          <w:marBottom w:val="0"/>
          <w:divBdr>
            <w:top w:val="none" w:sz="0" w:space="0" w:color="auto"/>
            <w:left w:val="none" w:sz="0" w:space="0" w:color="auto"/>
            <w:bottom w:val="none" w:sz="0" w:space="0" w:color="auto"/>
            <w:right w:val="none" w:sz="0" w:space="0" w:color="auto"/>
          </w:divBdr>
        </w:div>
      </w:divsChild>
    </w:div>
    <w:div w:id="835070277">
      <w:bodyDiv w:val="1"/>
      <w:marLeft w:val="0"/>
      <w:marRight w:val="0"/>
      <w:marTop w:val="0"/>
      <w:marBottom w:val="0"/>
      <w:divBdr>
        <w:top w:val="none" w:sz="0" w:space="0" w:color="auto"/>
        <w:left w:val="none" w:sz="0" w:space="0" w:color="auto"/>
        <w:bottom w:val="none" w:sz="0" w:space="0" w:color="auto"/>
        <w:right w:val="none" w:sz="0" w:space="0" w:color="auto"/>
      </w:divBdr>
    </w:div>
    <w:div w:id="842554336">
      <w:bodyDiv w:val="1"/>
      <w:marLeft w:val="0"/>
      <w:marRight w:val="0"/>
      <w:marTop w:val="0"/>
      <w:marBottom w:val="0"/>
      <w:divBdr>
        <w:top w:val="none" w:sz="0" w:space="0" w:color="auto"/>
        <w:left w:val="none" w:sz="0" w:space="0" w:color="auto"/>
        <w:bottom w:val="none" w:sz="0" w:space="0" w:color="auto"/>
        <w:right w:val="none" w:sz="0" w:space="0" w:color="auto"/>
      </w:divBdr>
    </w:div>
    <w:div w:id="871457483">
      <w:bodyDiv w:val="1"/>
      <w:marLeft w:val="0"/>
      <w:marRight w:val="0"/>
      <w:marTop w:val="0"/>
      <w:marBottom w:val="0"/>
      <w:divBdr>
        <w:top w:val="none" w:sz="0" w:space="0" w:color="auto"/>
        <w:left w:val="none" w:sz="0" w:space="0" w:color="auto"/>
        <w:bottom w:val="none" w:sz="0" w:space="0" w:color="auto"/>
        <w:right w:val="none" w:sz="0" w:space="0" w:color="auto"/>
      </w:divBdr>
    </w:div>
    <w:div w:id="928000194">
      <w:bodyDiv w:val="1"/>
      <w:marLeft w:val="0"/>
      <w:marRight w:val="0"/>
      <w:marTop w:val="0"/>
      <w:marBottom w:val="0"/>
      <w:divBdr>
        <w:top w:val="none" w:sz="0" w:space="0" w:color="auto"/>
        <w:left w:val="none" w:sz="0" w:space="0" w:color="auto"/>
        <w:bottom w:val="none" w:sz="0" w:space="0" w:color="auto"/>
        <w:right w:val="none" w:sz="0" w:space="0" w:color="auto"/>
      </w:divBdr>
    </w:div>
    <w:div w:id="955798383">
      <w:bodyDiv w:val="1"/>
      <w:marLeft w:val="0"/>
      <w:marRight w:val="0"/>
      <w:marTop w:val="0"/>
      <w:marBottom w:val="0"/>
      <w:divBdr>
        <w:top w:val="none" w:sz="0" w:space="0" w:color="auto"/>
        <w:left w:val="none" w:sz="0" w:space="0" w:color="auto"/>
        <w:bottom w:val="none" w:sz="0" w:space="0" w:color="auto"/>
        <w:right w:val="none" w:sz="0" w:space="0" w:color="auto"/>
      </w:divBdr>
    </w:div>
    <w:div w:id="975069974">
      <w:bodyDiv w:val="1"/>
      <w:marLeft w:val="0"/>
      <w:marRight w:val="0"/>
      <w:marTop w:val="0"/>
      <w:marBottom w:val="0"/>
      <w:divBdr>
        <w:top w:val="none" w:sz="0" w:space="0" w:color="auto"/>
        <w:left w:val="none" w:sz="0" w:space="0" w:color="auto"/>
        <w:bottom w:val="none" w:sz="0" w:space="0" w:color="auto"/>
        <w:right w:val="none" w:sz="0" w:space="0" w:color="auto"/>
      </w:divBdr>
    </w:div>
    <w:div w:id="980304256">
      <w:bodyDiv w:val="1"/>
      <w:marLeft w:val="0"/>
      <w:marRight w:val="0"/>
      <w:marTop w:val="0"/>
      <w:marBottom w:val="0"/>
      <w:divBdr>
        <w:top w:val="none" w:sz="0" w:space="0" w:color="auto"/>
        <w:left w:val="none" w:sz="0" w:space="0" w:color="auto"/>
        <w:bottom w:val="none" w:sz="0" w:space="0" w:color="auto"/>
        <w:right w:val="none" w:sz="0" w:space="0" w:color="auto"/>
      </w:divBdr>
    </w:div>
    <w:div w:id="1002591158">
      <w:bodyDiv w:val="1"/>
      <w:marLeft w:val="0"/>
      <w:marRight w:val="0"/>
      <w:marTop w:val="0"/>
      <w:marBottom w:val="0"/>
      <w:divBdr>
        <w:top w:val="none" w:sz="0" w:space="0" w:color="auto"/>
        <w:left w:val="none" w:sz="0" w:space="0" w:color="auto"/>
        <w:bottom w:val="none" w:sz="0" w:space="0" w:color="auto"/>
        <w:right w:val="none" w:sz="0" w:space="0" w:color="auto"/>
      </w:divBdr>
    </w:div>
    <w:div w:id="1083377761">
      <w:bodyDiv w:val="1"/>
      <w:marLeft w:val="0"/>
      <w:marRight w:val="0"/>
      <w:marTop w:val="0"/>
      <w:marBottom w:val="0"/>
      <w:divBdr>
        <w:top w:val="none" w:sz="0" w:space="0" w:color="auto"/>
        <w:left w:val="none" w:sz="0" w:space="0" w:color="auto"/>
        <w:bottom w:val="none" w:sz="0" w:space="0" w:color="auto"/>
        <w:right w:val="none" w:sz="0" w:space="0" w:color="auto"/>
      </w:divBdr>
    </w:div>
    <w:div w:id="1101949710">
      <w:bodyDiv w:val="1"/>
      <w:marLeft w:val="0"/>
      <w:marRight w:val="0"/>
      <w:marTop w:val="0"/>
      <w:marBottom w:val="0"/>
      <w:divBdr>
        <w:top w:val="none" w:sz="0" w:space="0" w:color="auto"/>
        <w:left w:val="none" w:sz="0" w:space="0" w:color="auto"/>
        <w:bottom w:val="none" w:sz="0" w:space="0" w:color="auto"/>
        <w:right w:val="none" w:sz="0" w:space="0" w:color="auto"/>
      </w:divBdr>
    </w:div>
    <w:div w:id="1129278769">
      <w:bodyDiv w:val="1"/>
      <w:marLeft w:val="0"/>
      <w:marRight w:val="0"/>
      <w:marTop w:val="0"/>
      <w:marBottom w:val="0"/>
      <w:divBdr>
        <w:top w:val="none" w:sz="0" w:space="0" w:color="auto"/>
        <w:left w:val="none" w:sz="0" w:space="0" w:color="auto"/>
        <w:bottom w:val="none" w:sz="0" w:space="0" w:color="auto"/>
        <w:right w:val="none" w:sz="0" w:space="0" w:color="auto"/>
      </w:divBdr>
    </w:div>
    <w:div w:id="1131559711">
      <w:bodyDiv w:val="1"/>
      <w:marLeft w:val="0"/>
      <w:marRight w:val="0"/>
      <w:marTop w:val="0"/>
      <w:marBottom w:val="0"/>
      <w:divBdr>
        <w:top w:val="none" w:sz="0" w:space="0" w:color="auto"/>
        <w:left w:val="none" w:sz="0" w:space="0" w:color="auto"/>
        <w:bottom w:val="none" w:sz="0" w:space="0" w:color="auto"/>
        <w:right w:val="none" w:sz="0" w:space="0" w:color="auto"/>
      </w:divBdr>
    </w:div>
    <w:div w:id="1174228979">
      <w:bodyDiv w:val="1"/>
      <w:marLeft w:val="0"/>
      <w:marRight w:val="0"/>
      <w:marTop w:val="0"/>
      <w:marBottom w:val="0"/>
      <w:divBdr>
        <w:top w:val="none" w:sz="0" w:space="0" w:color="auto"/>
        <w:left w:val="none" w:sz="0" w:space="0" w:color="auto"/>
        <w:bottom w:val="none" w:sz="0" w:space="0" w:color="auto"/>
        <w:right w:val="none" w:sz="0" w:space="0" w:color="auto"/>
      </w:divBdr>
    </w:div>
    <w:div w:id="1212696413">
      <w:bodyDiv w:val="1"/>
      <w:marLeft w:val="0"/>
      <w:marRight w:val="0"/>
      <w:marTop w:val="0"/>
      <w:marBottom w:val="0"/>
      <w:divBdr>
        <w:top w:val="none" w:sz="0" w:space="0" w:color="auto"/>
        <w:left w:val="none" w:sz="0" w:space="0" w:color="auto"/>
        <w:bottom w:val="none" w:sz="0" w:space="0" w:color="auto"/>
        <w:right w:val="none" w:sz="0" w:space="0" w:color="auto"/>
      </w:divBdr>
    </w:div>
    <w:div w:id="1265966095">
      <w:bodyDiv w:val="1"/>
      <w:marLeft w:val="0"/>
      <w:marRight w:val="0"/>
      <w:marTop w:val="0"/>
      <w:marBottom w:val="0"/>
      <w:divBdr>
        <w:top w:val="none" w:sz="0" w:space="0" w:color="auto"/>
        <w:left w:val="none" w:sz="0" w:space="0" w:color="auto"/>
        <w:bottom w:val="none" w:sz="0" w:space="0" w:color="auto"/>
        <w:right w:val="none" w:sz="0" w:space="0" w:color="auto"/>
      </w:divBdr>
    </w:div>
    <w:div w:id="1307664597">
      <w:bodyDiv w:val="1"/>
      <w:marLeft w:val="0"/>
      <w:marRight w:val="0"/>
      <w:marTop w:val="0"/>
      <w:marBottom w:val="0"/>
      <w:divBdr>
        <w:top w:val="none" w:sz="0" w:space="0" w:color="auto"/>
        <w:left w:val="none" w:sz="0" w:space="0" w:color="auto"/>
        <w:bottom w:val="none" w:sz="0" w:space="0" w:color="auto"/>
        <w:right w:val="none" w:sz="0" w:space="0" w:color="auto"/>
      </w:divBdr>
    </w:div>
    <w:div w:id="1324893078">
      <w:bodyDiv w:val="1"/>
      <w:marLeft w:val="0"/>
      <w:marRight w:val="0"/>
      <w:marTop w:val="0"/>
      <w:marBottom w:val="0"/>
      <w:divBdr>
        <w:top w:val="none" w:sz="0" w:space="0" w:color="auto"/>
        <w:left w:val="none" w:sz="0" w:space="0" w:color="auto"/>
        <w:bottom w:val="none" w:sz="0" w:space="0" w:color="auto"/>
        <w:right w:val="none" w:sz="0" w:space="0" w:color="auto"/>
      </w:divBdr>
    </w:div>
    <w:div w:id="1328365139">
      <w:bodyDiv w:val="1"/>
      <w:marLeft w:val="0"/>
      <w:marRight w:val="0"/>
      <w:marTop w:val="0"/>
      <w:marBottom w:val="0"/>
      <w:divBdr>
        <w:top w:val="none" w:sz="0" w:space="0" w:color="auto"/>
        <w:left w:val="none" w:sz="0" w:space="0" w:color="auto"/>
        <w:bottom w:val="none" w:sz="0" w:space="0" w:color="auto"/>
        <w:right w:val="none" w:sz="0" w:space="0" w:color="auto"/>
      </w:divBdr>
    </w:div>
    <w:div w:id="1337659916">
      <w:bodyDiv w:val="1"/>
      <w:marLeft w:val="0"/>
      <w:marRight w:val="0"/>
      <w:marTop w:val="0"/>
      <w:marBottom w:val="0"/>
      <w:divBdr>
        <w:top w:val="none" w:sz="0" w:space="0" w:color="auto"/>
        <w:left w:val="none" w:sz="0" w:space="0" w:color="auto"/>
        <w:bottom w:val="none" w:sz="0" w:space="0" w:color="auto"/>
        <w:right w:val="none" w:sz="0" w:space="0" w:color="auto"/>
      </w:divBdr>
    </w:div>
    <w:div w:id="1352562789">
      <w:bodyDiv w:val="1"/>
      <w:marLeft w:val="0"/>
      <w:marRight w:val="0"/>
      <w:marTop w:val="0"/>
      <w:marBottom w:val="0"/>
      <w:divBdr>
        <w:top w:val="none" w:sz="0" w:space="0" w:color="auto"/>
        <w:left w:val="none" w:sz="0" w:space="0" w:color="auto"/>
        <w:bottom w:val="none" w:sz="0" w:space="0" w:color="auto"/>
        <w:right w:val="none" w:sz="0" w:space="0" w:color="auto"/>
      </w:divBdr>
    </w:div>
    <w:div w:id="1352879511">
      <w:bodyDiv w:val="1"/>
      <w:marLeft w:val="0"/>
      <w:marRight w:val="0"/>
      <w:marTop w:val="0"/>
      <w:marBottom w:val="0"/>
      <w:divBdr>
        <w:top w:val="none" w:sz="0" w:space="0" w:color="auto"/>
        <w:left w:val="none" w:sz="0" w:space="0" w:color="auto"/>
        <w:bottom w:val="none" w:sz="0" w:space="0" w:color="auto"/>
        <w:right w:val="none" w:sz="0" w:space="0" w:color="auto"/>
      </w:divBdr>
    </w:div>
    <w:div w:id="1363215342">
      <w:bodyDiv w:val="1"/>
      <w:marLeft w:val="0"/>
      <w:marRight w:val="0"/>
      <w:marTop w:val="0"/>
      <w:marBottom w:val="0"/>
      <w:divBdr>
        <w:top w:val="none" w:sz="0" w:space="0" w:color="auto"/>
        <w:left w:val="none" w:sz="0" w:space="0" w:color="auto"/>
        <w:bottom w:val="none" w:sz="0" w:space="0" w:color="auto"/>
        <w:right w:val="none" w:sz="0" w:space="0" w:color="auto"/>
      </w:divBdr>
    </w:div>
    <w:div w:id="1382678636">
      <w:bodyDiv w:val="1"/>
      <w:marLeft w:val="0"/>
      <w:marRight w:val="0"/>
      <w:marTop w:val="0"/>
      <w:marBottom w:val="0"/>
      <w:divBdr>
        <w:top w:val="none" w:sz="0" w:space="0" w:color="auto"/>
        <w:left w:val="none" w:sz="0" w:space="0" w:color="auto"/>
        <w:bottom w:val="none" w:sz="0" w:space="0" w:color="auto"/>
        <w:right w:val="none" w:sz="0" w:space="0" w:color="auto"/>
      </w:divBdr>
    </w:div>
    <w:div w:id="1384981460">
      <w:bodyDiv w:val="1"/>
      <w:marLeft w:val="0"/>
      <w:marRight w:val="0"/>
      <w:marTop w:val="0"/>
      <w:marBottom w:val="0"/>
      <w:divBdr>
        <w:top w:val="none" w:sz="0" w:space="0" w:color="auto"/>
        <w:left w:val="none" w:sz="0" w:space="0" w:color="auto"/>
        <w:bottom w:val="none" w:sz="0" w:space="0" w:color="auto"/>
        <w:right w:val="none" w:sz="0" w:space="0" w:color="auto"/>
      </w:divBdr>
    </w:div>
    <w:div w:id="1395547908">
      <w:bodyDiv w:val="1"/>
      <w:marLeft w:val="0"/>
      <w:marRight w:val="0"/>
      <w:marTop w:val="0"/>
      <w:marBottom w:val="0"/>
      <w:divBdr>
        <w:top w:val="none" w:sz="0" w:space="0" w:color="auto"/>
        <w:left w:val="none" w:sz="0" w:space="0" w:color="auto"/>
        <w:bottom w:val="none" w:sz="0" w:space="0" w:color="auto"/>
        <w:right w:val="none" w:sz="0" w:space="0" w:color="auto"/>
      </w:divBdr>
    </w:div>
    <w:div w:id="1485465123">
      <w:bodyDiv w:val="1"/>
      <w:marLeft w:val="0"/>
      <w:marRight w:val="0"/>
      <w:marTop w:val="0"/>
      <w:marBottom w:val="0"/>
      <w:divBdr>
        <w:top w:val="none" w:sz="0" w:space="0" w:color="auto"/>
        <w:left w:val="none" w:sz="0" w:space="0" w:color="auto"/>
        <w:bottom w:val="none" w:sz="0" w:space="0" w:color="auto"/>
        <w:right w:val="none" w:sz="0" w:space="0" w:color="auto"/>
      </w:divBdr>
      <w:divsChild>
        <w:div w:id="2130926400">
          <w:marLeft w:val="1166"/>
          <w:marRight w:val="0"/>
          <w:marTop w:val="200"/>
          <w:marBottom w:val="0"/>
          <w:divBdr>
            <w:top w:val="none" w:sz="0" w:space="0" w:color="auto"/>
            <w:left w:val="none" w:sz="0" w:space="0" w:color="auto"/>
            <w:bottom w:val="none" w:sz="0" w:space="0" w:color="auto"/>
            <w:right w:val="none" w:sz="0" w:space="0" w:color="auto"/>
          </w:divBdr>
        </w:div>
      </w:divsChild>
    </w:div>
    <w:div w:id="1489205826">
      <w:bodyDiv w:val="1"/>
      <w:marLeft w:val="0"/>
      <w:marRight w:val="0"/>
      <w:marTop w:val="0"/>
      <w:marBottom w:val="0"/>
      <w:divBdr>
        <w:top w:val="none" w:sz="0" w:space="0" w:color="auto"/>
        <w:left w:val="none" w:sz="0" w:space="0" w:color="auto"/>
        <w:bottom w:val="none" w:sz="0" w:space="0" w:color="auto"/>
        <w:right w:val="none" w:sz="0" w:space="0" w:color="auto"/>
      </w:divBdr>
    </w:div>
    <w:div w:id="1578900019">
      <w:bodyDiv w:val="1"/>
      <w:marLeft w:val="0"/>
      <w:marRight w:val="0"/>
      <w:marTop w:val="0"/>
      <w:marBottom w:val="0"/>
      <w:divBdr>
        <w:top w:val="none" w:sz="0" w:space="0" w:color="auto"/>
        <w:left w:val="none" w:sz="0" w:space="0" w:color="auto"/>
        <w:bottom w:val="none" w:sz="0" w:space="0" w:color="auto"/>
        <w:right w:val="none" w:sz="0" w:space="0" w:color="auto"/>
      </w:divBdr>
    </w:div>
    <w:div w:id="1629581356">
      <w:bodyDiv w:val="1"/>
      <w:marLeft w:val="0"/>
      <w:marRight w:val="0"/>
      <w:marTop w:val="0"/>
      <w:marBottom w:val="0"/>
      <w:divBdr>
        <w:top w:val="none" w:sz="0" w:space="0" w:color="auto"/>
        <w:left w:val="none" w:sz="0" w:space="0" w:color="auto"/>
        <w:bottom w:val="none" w:sz="0" w:space="0" w:color="auto"/>
        <w:right w:val="none" w:sz="0" w:space="0" w:color="auto"/>
      </w:divBdr>
    </w:div>
    <w:div w:id="1659572051">
      <w:bodyDiv w:val="1"/>
      <w:marLeft w:val="0"/>
      <w:marRight w:val="0"/>
      <w:marTop w:val="0"/>
      <w:marBottom w:val="0"/>
      <w:divBdr>
        <w:top w:val="none" w:sz="0" w:space="0" w:color="auto"/>
        <w:left w:val="none" w:sz="0" w:space="0" w:color="auto"/>
        <w:bottom w:val="none" w:sz="0" w:space="0" w:color="auto"/>
        <w:right w:val="none" w:sz="0" w:space="0" w:color="auto"/>
      </w:divBdr>
    </w:div>
    <w:div w:id="1675843179">
      <w:bodyDiv w:val="1"/>
      <w:marLeft w:val="0"/>
      <w:marRight w:val="0"/>
      <w:marTop w:val="0"/>
      <w:marBottom w:val="0"/>
      <w:divBdr>
        <w:top w:val="none" w:sz="0" w:space="0" w:color="auto"/>
        <w:left w:val="none" w:sz="0" w:space="0" w:color="auto"/>
        <w:bottom w:val="none" w:sz="0" w:space="0" w:color="auto"/>
        <w:right w:val="none" w:sz="0" w:space="0" w:color="auto"/>
      </w:divBdr>
    </w:div>
    <w:div w:id="1731075018">
      <w:bodyDiv w:val="1"/>
      <w:marLeft w:val="0"/>
      <w:marRight w:val="0"/>
      <w:marTop w:val="0"/>
      <w:marBottom w:val="0"/>
      <w:divBdr>
        <w:top w:val="none" w:sz="0" w:space="0" w:color="auto"/>
        <w:left w:val="none" w:sz="0" w:space="0" w:color="auto"/>
        <w:bottom w:val="none" w:sz="0" w:space="0" w:color="auto"/>
        <w:right w:val="none" w:sz="0" w:space="0" w:color="auto"/>
      </w:divBdr>
    </w:div>
    <w:div w:id="1736859657">
      <w:bodyDiv w:val="1"/>
      <w:marLeft w:val="0"/>
      <w:marRight w:val="0"/>
      <w:marTop w:val="0"/>
      <w:marBottom w:val="0"/>
      <w:divBdr>
        <w:top w:val="none" w:sz="0" w:space="0" w:color="auto"/>
        <w:left w:val="none" w:sz="0" w:space="0" w:color="auto"/>
        <w:bottom w:val="none" w:sz="0" w:space="0" w:color="auto"/>
        <w:right w:val="none" w:sz="0" w:space="0" w:color="auto"/>
      </w:divBdr>
    </w:div>
    <w:div w:id="1783063251">
      <w:bodyDiv w:val="1"/>
      <w:marLeft w:val="0"/>
      <w:marRight w:val="0"/>
      <w:marTop w:val="0"/>
      <w:marBottom w:val="0"/>
      <w:divBdr>
        <w:top w:val="none" w:sz="0" w:space="0" w:color="auto"/>
        <w:left w:val="none" w:sz="0" w:space="0" w:color="auto"/>
        <w:bottom w:val="none" w:sz="0" w:space="0" w:color="auto"/>
        <w:right w:val="none" w:sz="0" w:space="0" w:color="auto"/>
      </w:divBdr>
    </w:div>
    <w:div w:id="1838299195">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94653607">
      <w:bodyDiv w:val="1"/>
      <w:marLeft w:val="0"/>
      <w:marRight w:val="0"/>
      <w:marTop w:val="0"/>
      <w:marBottom w:val="0"/>
      <w:divBdr>
        <w:top w:val="none" w:sz="0" w:space="0" w:color="auto"/>
        <w:left w:val="none" w:sz="0" w:space="0" w:color="auto"/>
        <w:bottom w:val="none" w:sz="0" w:space="0" w:color="auto"/>
        <w:right w:val="none" w:sz="0" w:space="0" w:color="auto"/>
      </w:divBdr>
    </w:div>
    <w:div w:id="1895460750">
      <w:bodyDiv w:val="1"/>
      <w:marLeft w:val="0"/>
      <w:marRight w:val="0"/>
      <w:marTop w:val="0"/>
      <w:marBottom w:val="0"/>
      <w:divBdr>
        <w:top w:val="none" w:sz="0" w:space="0" w:color="auto"/>
        <w:left w:val="none" w:sz="0" w:space="0" w:color="auto"/>
        <w:bottom w:val="none" w:sz="0" w:space="0" w:color="auto"/>
        <w:right w:val="none" w:sz="0" w:space="0" w:color="auto"/>
      </w:divBdr>
    </w:div>
    <w:div w:id="1905948046">
      <w:bodyDiv w:val="1"/>
      <w:marLeft w:val="0"/>
      <w:marRight w:val="0"/>
      <w:marTop w:val="0"/>
      <w:marBottom w:val="0"/>
      <w:divBdr>
        <w:top w:val="none" w:sz="0" w:space="0" w:color="auto"/>
        <w:left w:val="none" w:sz="0" w:space="0" w:color="auto"/>
        <w:bottom w:val="none" w:sz="0" w:space="0" w:color="auto"/>
        <w:right w:val="none" w:sz="0" w:space="0" w:color="auto"/>
      </w:divBdr>
    </w:div>
    <w:div w:id="1938711818">
      <w:bodyDiv w:val="1"/>
      <w:marLeft w:val="0"/>
      <w:marRight w:val="0"/>
      <w:marTop w:val="0"/>
      <w:marBottom w:val="0"/>
      <w:divBdr>
        <w:top w:val="none" w:sz="0" w:space="0" w:color="auto"/>
        <w:left w:val="none" w:sz="0" w:space="0" w:color="auto"/>
        <w:bottom w:val="none" w:sz="0" w:space="0" w:color="auto"/>
        <w:right w:val="none" w:sz="0" w:space="0" w:color="auto"/>
      </w:divBdr>
    </w:div>
    <w:div w:id="1983927911">
      <w:bodyDiv w:val="1"/>
      <w:marLeft w:val="0"/>
      <w:marRight w:val="0"/>
      <w:marTop w:val="0"/>
      <w:marBottom w:val="0"/>
      <w:divBdr>
        <w:top w:val="none" w:sz="0" w:space="0" w:color="auto"/>
        <w:left w:val="none" w:sz="0" w:space="0" w:color="auto"/>
        <w:bottom w:val="none" w:sz="0" w:space="0" w:color="auto"/>
        <w:right w:val="none" w:sz="0" w:space="0" w:color="auto"/>
      </w:divBdr>
    </w:div>
    <w:div w:id="2099058073">
      <w:bodyDiv w:val="1"/>
      <w:marLeft w:val="0"/>
      <w:marRight w:val="0"/>
      <w:marTop w:val="0"/>
      <w:marBottom w:val="0"/>
      <w:divBdr>
        <w:top w:val="none" w:sz="0" w:space="0" w:color="auto"/>
        <w:left w:val="none" w:sz="0" w:space="0" w:color="auto"/>
        <w:bottom w:val="none" w:sz="0" w:space="0" w:color="auto"/>
        <w:right w:val="none" w:sz="0" w:space="0" w:color="auto"/>
      </w:divBdr>
      <w:divsChild>
        <w:div w:id="797992333">
          <w:marLeft w:val="1166"/>
          <w:marRight w:val="0"/>
          <w:marTop w:val="0"/>
          <w:marBottom w:val="120"/>
          <w:divBdr>
            <w:top w:val="none" w:sz="0" w:space="0" w:color="auto"/>
            <w:left w:val="none" w:sz="0" w:space="0" w:color="auto"/>
            <w:bottom w:val="none" w:sz="0" w:space="0" w:color="auto"/>
            <w:right w:val="none" w:sz="0" w:space="0" w:color="auto"/>
          </w:divBdr>
        </w:div>
        <w:div w:id="1577858004">
          <w:marLeft w:val="1166"/>
          <w:marRight w:val="0"/>
          <w:marTop w:val="0"/>
          <w:marBottom w:val="120"/>
          <w:divBdr>
            <w:top w:val="none" w:sz="0" w:space="0" w:color="auto"/>
            <w:left w:val="none" w:sz="0" w:space="0" w:color="auto"/>
            <w:bottom w:val="none" w:sz="0" w:space="0" w:color="auto"/>
            <w:right w:val="none" w:sz="0" w:space="0" w:color="auto"/>
          </w:divBdr>
        </w:div>
        <w:div w:id="1301380265">
          <w:marLeft w:val="1166"/>
          <w:marRight w:val="0"/>
          <w:marTop w:val="0"/>
          <w:marBottom w:val="120"/>
          <w:divBdr>
            <w:top w:val="none" w:sz="0" w:space="0" w:color="auto"/>
            <w:left w:val="none" w:sz="0" w:space="0" w:color="auto"/>
            <w:bottom w:val="none" w:sz="0" w:space="0" w:color="auto"/>
            <w:right w:val="none" w:sz="0" w:space="0" w:color="auto"/>
          </w:divBdr>
        </w:div>
        <w:div w:id="1208377743">
          <w:marLeft w:val="1166"/>
          <w:marRight w:val="0"/>
          <w:marTop w:val="0"/>
          <w:marBottom w:val="120"/>
          <w:divBdr>
            <w:top w:val="none" w:sz="0" w:space="0" w:color="auto"/>
            <w:left w:val="none" w:sz="0" w:space="0" w:color="auto"/>
            <w:bottom w:val="none" w:sz="0" w:space="0" w:color="auto"/>
            <w:right w:val="none" w:sz="0" w:space="0" w:color="auto"/>
          </w:divBdr>
        </w:div>
        <w:div w:id="1927230320">
          <w:marLeft w:val="1166"/>
          <w:marRight w:val="0"/>
          <w:marTop w:val="0"/>
          <w:marBottom w:val="120"/>
          <w:divBdr>
            <w:top w:val="none" w:sz="0" w:space="0" w:color="auto"/>
            <w:left w:val="none" w:sz="0" w:space="0" w:color="auto"/>
            <w:bottom w:val="none" w:sz="0" w:space="0" w:color="auto"/>
            <w:right w:val="none" w:sz="0" w:space="0" w:color="auto"/>
          </w:divBdr>
        </w:div>
        <w:div w:id="830484764">
          <w:marLeft w:val="1166"/>
          <w:marRight w:val="0"/>
          <w:marTop w:val="0"/>
          <w:marBottom w:val="120"/>
          <w:divBdr>
            <w:top w:val="none" w:sz="0" w:space="0" w:color="auto"/>
            <w:left w:val="none" w:sz="0" w:space="0" w:color="auto"/>
            <w:bottom w:val="none" w:sz="0" w:space="0" w:color="auto"/>
            <w:right w:val="none" w:sz="0" w:space="0" w:color="auto"/>
          </w:divBdr>
        </w:div>
        <w:div w:id="429470310">
          <w:marLeft w:val="1166"/>
          <w:marRight w:val="0"/>
          <w:marTop w:val="0"/>
          <w:marBottom w:val="160"/>
          <w:divBdr>
            <w:top w:val="none" w:sz="0" w:space="0" w:color="auto"/>
            <w:left w:val="none" w:sz="0" w:space="0" w:color="auto"/>
            <w:bottom w:val="none" w:sz="0" w:space="0" w:color="auto"/>
            <w:right w:val="none" w:sz="0" w:space="0" w:color="auto"/>
          </w:divBdr>
        </w:div>
      </w:divsChild>
    </w:div>
    <w:div w:id="2130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F202987152C4789DC56ECF5F20C28" ma:contentTypeVersion="0" ma:contentTypeDescription="Create a new document." ma:contentTypeScope="" ma:versionID="aac6c95cf421dc3d85da8aca4b634f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1044-154C-4BDC-A588-77F8FE88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00B6CC-E82A-4B4A-8049-451FF2DD083F}">
  <ds:schemaRefs>
    <ds:schemaRef ds:uri="http://schemas.microsoft.com/sharepoint/v3/contenttype/forms"/>
  </ds:schemaRefs>
</ds:datastoreItem>
</file>

<file path=customXml/itemProps3.xml><?xml version="1.0" encoding="utf-8"?>
<ds:datastoreItem xmlns:ds="http://schemas.openxmlformats.org/officeDocument/2006/customXml" ds:itemID="{016362EE-8170-402A-85BF-EE6573AEE7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73DC15-1561-4830-8392-8EFCED22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4363</Words>
  <Characters>24870</Characters>
  <Application>Microsoft Office Word</Application>
  <DocSecurity>0</DocSecurity>
  <PresentationFormat>14|.DOCX</PresentationFormat>
  <Lines>207</Lines>
  <Paragraphs>58</Paragraphs>
  <ScaleCrop>false</ScaleCrop>
  <HeadingPairs>
    <vt:vector size="2" baseType="variant">
      <vt:variant>
        <vt:lpstr>Title</vt:lpstr>
      </vt:variant>
      <vt:variant>
        <vt:i4>1</vt:i4>
      </vt:variant>
    </vt:vector>
  </HeadingPairs>
  <TitlesOfParts>
    <vt:vector size="1" baseType="lpstr">
      <vt:lpstr>Date</vt:lpstr>
    </vt:vector>
  </TitlesOfParts>
  <Company>PG&amp;E</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Jason D. Kwan</dc:creator>
  <cp:lastModifiedBy>Roecks, Jennifer</cp:lastModifiedBy>
  <cp:revision>2</cp:revision>
  <cp:lastPrinted>2017-09-01T00:35:00Z</cp:lastPrinted>
  <dcterms:created xsi:type="dcterms:W3CDTF">2018-08-20T20:11:00Z</dcterms:created>
  <dcterms:modified xsi:type="dcterms:W3CDTF">2018-08-20T20:11:00Z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0x010100255F202987152C4789DC56ECF5F20C28</vt:lpwstr>
  </property>
</Properties>
</file>