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7600500" w:displacedByCustomXml="next"/>
    <w:bookmarkEnd w:id="0" w:displacedByCustomXml="next"/>
    <w:sdt>
      <w:sdtPr>
        <w:id w:val="-1940584206"/>
        <w:docPartObj>
          <w:docPartGallery w:val="Cover Pages"/>
          <w:docPartUnique/>
        </w:docPartObj>
      </w:sdtPr>
      <w:sdtEndPr/>
      <w:sdtContent>
        <w:p w14:paraId="19B2ACE3" w14:textId="3319EAA6" w:rsidR="0035211E" w:rsidRDefault="004F126D">
          <w:r>
            <w:rPr>
              <w:noProof/>
            </w:rPr>
            <w:drawing>
              <wp:anchor distT="0" distB="0" distL="114300" distR="114300" simplePos="0" relativeHeight="251662336" behindDoc="0" locked="0" layoutInCell="1" allowOverlap="1" wp14:anchorId="2764DE40" wp14:editId="7255AE14">
                <wp:simplePos x="0" y="0"/>
                <wp:positionH relativeFrom="margin">
                  <wp:align>center</wp:align>
                </wp:positionH>
                <wp:positionV relativeFrom="margin">
                  <wp:posOffset>176212</wp:posOffset>
                </wp:positionV>
                <wp:extent cx="1554480" cy="1601184"/>
                <wp:effectExtent l="0" t="0" r="762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EW_Logo_0720_O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480" cy="1601184"/>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35211E" w14:paraId="5436BA9E" w14:textId="77777777" w:rsidTr="00035AD1">
            <w:sdt>
              <w:sdtPr>
                <w:rPr>
                  <w:color w:val="2F5496" w:themeColor="accent1" w:themeShade="BF"/>
                  <w:sz w:val="40"/>
                  <w:szCs w:val="40"/>
                </w:rPr>
                <w:alias w:val="Company"/>
                <w:id w:val="13406915"/>
                <w:placeholder>
                  <w:docPart w:val="94F8C88984B640AB89678949911C4B95"/>
                </w:placeholder>
                <w:dataBinding w:prefixMappings="xmlns:ns0='http://schemas.openxmlformats.org/officeDocument/2006/extended-properties'" w:xpath="/ns0:Properties[1]/ns0:Company[1]" w:storeItemID="{6668398D-A668-4E3E-A5EB-62B293D839F1}"/>
                <w:text/>
              </w:sdtPr>
              <w:sdtEndPr/>
              <w:sdtContent>
                <w:tc>
                  <w:tcPr>
                    <w:tcW w:w="7476" w:type="dxa"/>
                    <w:tcMar>
                      <w:top w:w="216" w:type="dxa"/>
                      <w:left w:w="115" w:type="dxa"/>
                      <w:bottom w:w="216" w:type="dxa"/>
                      <w:right w:w="115" w:type="dxa"/>
                    </w:tcMar>
                  </w:tcPr>
                  <w:p w14:paraId="769F3164" w14:textId="406A3719" w:rsidR="0035211E" w:rsidRDefault="0035211E">
                    <w:pPr>
                      <w:pStyle w:val="NoSpacing"/>
                      <w:rPr>
                        <w:color w:val="2F5496" w:themeColor="accent1" w:themeShade="BF"/>
                        <w:sz w:val="24"/>
                      </w:rPr>
                    </w:pPr>
                    <w:r w:rsidRPr="00830BE9">
                      <w:rPr>
                        <w:color w:val="2F5496" w:themeColor="accent1" w:themeShade="BF"/>
                        <w:sz w:val="40"/>
                        <w:szCs w:val="40"/>
                      </w:rPr>
                      <w:t>Central California Energy Watch</w:t>
                    </w:r>
                    <w:r w:rsidR="00035AD1" w:rsidRPr="00830BE9">
                      <w:rPr>
                        <w:color w:val="2F5496" w:themeColor="accent1" w:themeShade="BF"/>
                        <w:sz w:val="40"/>
                        <w:szCs w:val="40"/>
                      </w:rPr>
                      <w:t xml:space="preserve"> (CCEW)</w:t>
                    </w:r>
                  </w:p>
                </w:tc>
              </w:sdtContent>
            </w:sdt>
          </w:tr>
          <w:tr w:rsidR="0035211E" w14:paraId="335DE06A" w14:textId="77777777" w:rsidTr="00035AD1">
            <w:tc>
              <w:tcPr>
                <w:tcW w:w="7476" w:type="dxa"/>
              </w:tcPr>
              <w:sdt>
                <w:sdtPr>
                  <w:rPr>
                    <w:rFonts w:asciiTheme="majorHAnsi" w:eastAsiaTheme="majorEastAsia" w:hAnsiTheme="majorHAnsi" w:cstheme="majorBidi"/>
                    <w:color w:val="4472C4" w:themeColor="accent1"/>
                    <w:sz w:val="72"/>
                    <w:szCs w:val="72"/>
                  </w:rPr>
                  <w:alias w:val="Title"/>
                  <w:id w:val="13406919"/>
                  <w:placeholder>
                    <w:docPart w:val="216D04224C2C4D3DA2CD301E9E388CC2"/>
                  </w:placeholder>
                  <w:dataBinding w:prefixMappings="xmlns:ns0='http://schemas.openxmlformats.org/package/2006/metadata/core-properties' xmlns:ns1='http://purl.org/dc/elements/1.1/'" w:xpath="/ns0:coreProperties[1]/ns1:title[1]" w:storeItemID="{6C3C8BC8-F283-45AE-878A-BAB7291924A1}"/>
                  <w:text/>
                </w:sdtPr>
                <w:sdtEndPr/>
                <w:sdtContent>
                  <w:p w14:paraId="52A231D0" w14:textId="56396403" w:rsidR="0035211E" w:rsidRDefault="00035AD1">
                    <w:pPr>
                      <w:pStyle w:val="NoSpacing"/>
                      <w:spacing w:line="216" w:lineRule="auto"/>
                      <w:rPr>
                        <w:rFonts w:asciiTheme="majorHAnsi" w:eastAsiaTheme="majorEastAsia" w:hAnsiTheme="majorHAnsi" w:cstheme="majorBidi"/>
                        <w:color w:val="4472C4" w:themeColor="accent1"/>
                        <w:sz w:val="88"/>
                        <w:szCs w:val="88"/>
                      </w:rPr>
                    </w:pPr>
                    <w:r w:rsidRPr="00830BE9">
                      <w:rPr>
                        <w:rFonts w:asciiTheme="majorHAnsi" w:eastAsiaTheme="majorEastAsia" w:hAnsiTheme="majorHAnsi" w:cstheme="majorBidi"/>
                        <w:color w:val="4472C4" w:themeColor="accent1"/>
                        <w:sz w:val="72"/>
                        <w:szCs w:val="72"/>
                      </w:rPr>
                      <w:t>Implementation Plan</w:t>
                    </w:r>
                  </w:p>
                </w:sdtContent>
              </w:sdt>
            </w:tc>
          </w:tr>
          <w:tr w:rsidR="0035211E" w14:paraId="7A1D244C" w14:textId="77777777" w:rsidTr="00035AD1">
            <w:sdt>
              <w:sdtPr>
                <w:rPr>
                  <w:color w:val="2F5496" w:themeColor="accent1" w:themeShade="BF"/>
                  <w:sz w:val="36"/>
                  <w:szCs w:val="36"/>
                </w:rPr>
                <w:alias w:val="Subtitle"/>
                <w:id w:val="13406923"/>
                <w:placeholder>
                  <w:docPart w:val="3F22B253B0C74958BE8DDD9BD4A8E612"/>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337712E8" w14:textId="36688DC2" w:rsidR="0035211E" w:rsidRDefault="00F24EDB">
                    <w:pPr>
                      <w:pStyle w:val="NoSpacing"/>
                      <w:rPr>
                        <w:color w:val="2F5496" w:themeColor="accent1" w:themeShade="BF"/>
                        <w:sz w:val="24"/>
                      </w:rPr>
                    </w:pPr>
                    <w:r w:rsidRPr="00F24EDB">
                      <w:rPr>
                        <w:color w:val="2F5496" w:themeColor="accent1" w:themeShade="BF"/>
                        <w:sz w:val="36"/>
                        <w:szCs w:val="36"/>
                      </w:rPr>
                      <w:t>San Joaquin Valley Clean Energy Organization</w:t>
                    </w:r>
                  </w:p>
                </w:tc>
              </w:sdtContent>
            </w:sdt>
          </w:tr>
        </w:tbl>
        <w:p w14:paraId="36D80E8B" w14:textId="34A4D8B2" w:rsidR="0035211E" w:rsidRDefault="004F126D">
          <w:pPr>
            <w:rPr>
              <w:rFonts w:asciiTheme="majorHAnsi" w:eastAsiaTheme="majorEastAsia" w:hAnsiTheme="majorHAnsi" w:cstheme="majorBidi"/>
              <w:color w:val="2F5496" w:themeColor="accent1" w:themeShade="BF"/>
              <w:sz w:val="32"/>
              <w:szCs w:val="32"/>
            </w:rPr>
          </w:pPr>
          <w:r>
            <w:rPr>
              <w:noProof/>
            </w:rPr>
            <mc:AlternateContent>
              <mc:Choice Requires="wps">
                <w:drawing>
                  <wp:anchor distT="0" distB="0" distL="114300" distR="114300" simplePos="0" relativeHeight="251660288" behindDoc="0" locked="0" layoutInCell="1" allowOverlap="1" wp14:anchorId="6D95801D" wp14:editId="2DE522A1">
                    <wp:simplePos x="0" y="0"/>
                    <wp:positionH relativeFrom="column">
                      <wp:posOffset>671513</wp:posOffset>
                    </wp:positionH>
                    <wp:positionV relativeFrom="paragraph">
                      <wp:posOffset>2033588</wp:posOffset>
                    </wp:positionV>
                    <wp:extent cx="4224020" cy="2152650"/>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4224020" cy="2152650"/>
                            </a:xfrm>
                            <a:prstGeom prst="rect">
                              <a:avLst/>
                            </a:prstGeom>
                            <a:solidFill>
                              <a:schemeClr val="lt1"/>
                            </a:solidFill>
                            <a:ln w="6350">
                              <a:noFill/>
                            </a:ln>
                          </wps:spPr>
                          <wps:txbx>
                            <w:txbxContent>
                              <w:p w14:paraId="5329BB2D" w14:textId="4CF04E04" w:rsidR="00830BE9" w:rsidRDefault="00830BE9" w:rsidP="004F126D">
                                <w:pPr>
                                  <w:pStyle w:val="Heading1"/>
                                  <w:rPr>
                                    <w:b/>
                                    <w:bCs/>
                                    <w:sz w:val="56"/>
                                    <w:szCs w:val="56"/>
                                  </w:rPr>
                                </w:pPr>
                                <w:bookmarkStart w:id="1" w:name="_Hlk47600529"/>
                                <w:bookmarkStart w:id="2" w:name="_Toc47615325"/>
                                <w:bookmarkStart w:id="3" w:name="_Toc47615340"/>
                                <w:bookmarkStart w:id="4" w:name="_Toc47615349"/>
                                <w:bookmarkStart w:id="5" w:name="_Toc47619441"/>
                                <w:bookmarkStart w:id="6" w:name="_Toc47619615"/>
                                <w:bookmarkEnd w:id="1"/>
                                <w:r w:rsidRPr="004F126D">
                                  <w:rPr>
                                    <w:b/>
                                    <w:bCs/>
                                    <w:sz w:val="56"/>
                                    <w:szCs w:val="56"/>
                                  </w:rPr>
                                  <w:t>IMPLEMENTATION PLAN</w:t>
                                </w:r>
                                <w:bookmarkEnd w:id="2"/>
                                <w:bookmarkEnd w:id="3"/>
                                <w:bookmarkEnd w:id="4"/>
                                <w:bookmarkEnd w:id="5"/>
                                <w:bookmarkEnd w:id="6"/>
                              </w:p>
                              <w:p w14:paraId="39EDD2BC" w14:textId="786E4898" w:rsidR="004F126D" w:rsidRPr="004F126D" w:rsidRDefault="004F126D" w:rsidP="004F126D">
                                <w:pPr>
                                  <w:pStyle w:val="Heading1"/>
                                  <w:rPr>
                                    <w:b/>
                                    <w:bCs/>
                                  </w:rPr>
                                </w:pPr>
                                <w:bookmarkStart w:id="7" w:name="_Toc47615326"/>
                                <w:bookmarkStart w:id="8" w:name="_Toc47615341"/>
                                <w:bookmarkStart w:id="9" w:name="_Toc47615350"/>
                                <w:bookmarkStart w:id="10" w:name="_Toc47619442"/>
                                <w:bookmarkStart w:id="11" w:name="_Toc47619616"/>
                                <w:r w:rsidRPr="004F126D">
                                  <w:rPr>
                                    <w:b/>
                                    <w:bCs/>
                                  </w:rPr>
                                  <w:t>San Joaquin Valley Clean Energy Organization</w:t>
                                </w:r>
                                <w:bookmarkEnd w:id="7"/>
                                <w:bookmarkEnd w:id="8"/>
                                <w:bookmarkEnd w:id="9"/>
                                <w:bookmarkEnd w:id="10"/>
                                <w:bookmarkEnd w:id="11"/>
                              </w:p>
                              <w:p w14:paraId="028A2820" w14:textId="39281E93" w:rsidR="00F24EDB" w:rsidRDefault="00F24EDB" w:rsidP="00830BE9">
                                <w:pPr>
                                  <w:spacing w:after="0"/>
                                </w:pPr>
                                <w:r>
                                  <w:t>4747 N. First Street, Suite 140</w:t>
                                </w:r>
                              </w:p>
                              <w:p w14:paraId="1E558EE3" w14:textId="430D8EFE" w:rsidR="00F24EDB" w:rsidRDefault="00F24EDB" w:rsidP="00830BE9">
                                <w:pPr>
                                  <w:spacing w:after="0"/>
                                </w:pPr>
                                <w:r>
                                  <w:t>Fresno, CA  93726</w:t>
                                </w:r>
                              </w:p>
                              <w:p w14:paraId="7A3387AD" w14:textId="482A36FE" w:rsidR="00F24EDB" w:rsidRDefault="00F24EDB" w:rsidP="00830BE9">
                                <w:pPr>
                                  <w:spacing w:after="0"/>
                                </w:pPr>
                                <w:r>
                                  <w:t>Courtney B. Kalashian, Executive Director</w:t>
                                </w:r>
                              </w:p>
                              <w:p w14:paraId="168C8066" w14:textId="7EE2B56A" w:rsidR="00F24EDB" w:rsidRPr="00F24EDB" w:rsidRDefault="00F24EDB" w:rsidP="00830BE9">
                                <w:pPr>
                                  <w:spacing w:after="0"/>
                                </w:pPr>
                                <w:r>
                                  <w:t>ckalashian@pesc.com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95801D" id="_x0000_t202" coordsize="21600,21600" o:spt="202" path="m,l,21600r21600,l21600,xe">
                    <v:stroke joinstyle="miter"/>
                    <v:path gradientshapeok="t" o:connecttype="rect"/>
                  </v:shapetype>
                  <v:shape id="Text Box 1" o:spid="_x0000_s1026" type="#_x0000_t202" style="position:absolute;margin-left:52.9pt;margin-top:160.15pt;width:332.6pt;height:1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" fillcolor="white [3201]" stroked="f" strokeweight=".5pt">
                    <v:textbox>
                      <w:txbxContent>
                        <w:p w14:paraId="5329BB2D" w14:textId="4CF04E04" w:rsidR="00830BE9" w:rsidRDefault="00830BE9" w:rsidP="004F126D">
                          <w:pPr>
                            <w:pStyle w:val="Heading1"/>
                            <w:rPr>
                              <w:b/>
                              <w:bCs/>
                              <w:sz w:val="56"/>
                              <w:szCs w:val="56"/>
                            </w:rPr>
                          </w:pPr>
                          <w:bookmarkStart w:id="12" w:name="_Hlk47600529"/>
                          <w:bookmarkStart w:id="13" w:name="_Toc47615325"/>
                          <w:bookmarkStart w:id="14" w:name="_Toc47615340"/>
                          <w:bookmarkStart w:id="15" w:name="_Toc47615349"/>
                          <w:bookmarkStart w:id="16" w:name="_Toc47619441"/>
                          <w:bookmarkStart w:id="17" w:name="_Toc47619615"/>
                          <w:bookmarkEnd w:id="12"/>
                          <w:r w:rsidRPr="004F126D">
                            <w:rPr>
                              <w:b/>
                              <w:bCs/>
                              <w:sz w:val="56"/>
                              <w:szCs w:val="56"/>
                            </w:rPr>
                            <w:t>IMPLEMENTATION PLAN</w:t>
                          </w:r>
                          <w:bookmarkEnd w:id="13"/>
                          <w:bookmarkEnd w:id="14"/>
                          <w:bookmarkEnd w:id="15"/>
                          <w:bookmarkEnd w:id="16"/>
                          <w:bookmarkEnd w:id="17"/>
                        </w:p>
                        <w:p w14:paraId="39EDD2BC" w14:textId="786E4898" w:rsidR="004F126D" w:rsidRPr="004F126D" w:rsidRDefault="004F126D" w:rsidP="004F126D">
                          <w:pPr>
                            <w:pStyle w:val="Heading1"/>
                            <w:rPr>
                              <w:b/>
                              <w:bCs/>
                            </w:rPr>
                          </w:pPr>
                          <w:bookmarkStart w:id="18" w:name="_Toc47615326"/>
                          <w:bookmarkStart w:id="19" w:name="_Toc47615341"/>
                          <w:bookmarkStart w:id="20" w:name="_Toc47615350"/>
                          <w:bookmarkStart w:id="21" w:name="_Toc47619442"/>
                          <w:bookmarkStart w:id="22" w:name="_Toc47619616"/>
                          <w:r w:rsidRPr="004F126D">
                            <w:rPr>
                              <w:b/>
                              <w:bCs/>
                            </w:rPr>
                            <w:t>San Joaquin Valley Clean Energy Organization</w:t>
                          </w:r>
                          <w:bookmarkEnd w:id="18"/>
                          <w:bookmarkEnd w:id="19"/>
                          <w:bookmarkEnd w:id="20"/>
                          <w:bookmarkEnd w:id="21"/>
                          <w:bookmarkEnd w:id="22"/>
                        </w:p>
                        <w:p w14:paraId="028A2820" w14:textId="39281E93" w:rsidR="00F24EDB" w:rsidRDefault="00F24EDB" w:rsidP="00830BE9">
                          <w:pPr>
                            <w:spacing w:after="0"/>
                          </w:pPr>
                          <w:r>
                            <w:t>4747 N. First Street, Suite 140</w:t>
                          </w:r>
                        </w:p>
                        <w:p w14:paraId="1E558EE3" w14:textId="430D8EFE" w:rsidR="00F24EDB" w:rsidRDefault="00F24EDB" w:rsidP="00830BE9">
                          <w:pPr>
                            <w:spacing w:after="0"/>
                          </w:pPr>
                          <w:r>
                            <w:t>Fresno, CA  93726</w:t>
                          </w:r>
                        </w:p>
                        <w:p w14:paraId="7A3387AD" w14:textId="482A36FE" w:rsidR="00F24EDB" w:rsidRDefault="00F24EDB" w:rsidP="00830BE9">
                          <w:pPr>
                            <w:spacing w:after="0"/>
                          </w:pPr>
                          <w:r>
                            <w:t>Courtney B. Kalashian, Executive Director</w:t>
                          </w:r>
                        </w:p>
                        <w:p w14:paraId="168C8066" w14:textId="7EE2B56A" w:rsidR="00F24EDB" w:rsidRPr="00F24EDB" w:rsidRDefault="00F24EDB" w:rsidP="00830BE9">
                          <w:pPr>
                            <w:spacing w:after="0"/>
                          </w:pPr>
                          <w:r>
                            <w:t>ckalashian@pesc.com</w:t>
                          </w:r>
                        </w:p>
                      </w:txbxContent>
                    </v:textbox>
                  </v:shape>
                </w:pict>
              </mc:Fallback>
            </mc:AlternateContent>
          </w:r>
          <w:r w:rsidR="00F24EDB">
            <w:rPr>
              <w:noProof/>
            </w:rPr>
            <mc:AlternateContent>
              <mc:Choice Requires="wps">
                <w:drawing>
                  <wp:anchor distT="0" distB="0" distL="114300" distR="114300" simplePos="0" relativeHeight="251661312" behindDoc="0" locked="0" layoutInCell="1" allowOverlap="1" wp14:anchorId="7AB2D0DB" wp14:editId="19895B65">
                    <wp:simplePos x="0" y="0"/>
                    <wp:positionH relativeFrom="column">
                      <wp:posOffset>700088</wp:posOffset>
                    </wp:positionH>
                    <wp:positionV relativeFrom="paragraph">
                      <wp:posOffset>5879148</wp:posOffset>
                    </wp:positionV>
                    <wp:extent cx="4672012" cy="695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672012" cy="695325"/>
                            </a:xfrm>
                            <a:prstGeom prst="rect">
                              <a:avLst/>
                            </a:prstGeom>
                            <a:solidFill>
                              <a:schemeClr val="lt1"/>
                            </a:solidFill>
                            <a:ln w="6350">
                              <a:noFill/>
                            </a:ln>
                          </wps:spPr>
                          <wps:txbx>
                            <w:txbxContent>
                              <w:p w14:paraId="29306403" w14:textId="0D17CF44" w:rsidR="00F24EDB" w:rsidRDefault="00F24EDB" w:rsidP="00830BE9">
                                <w:pPr>
                                  <w:pStyle w:val="Heading1"/>
                                </w:pPr>
                                <w:bookmarkStart w:id="23" w:name="_Toc47615327"/>
                                <w:bookmarkStart w:id="24" w:name="_Toc47615342"/>
                                <w:bookmarkStart w:id="25" w:name="_Toc47615351"/>
                                <w:bookmarkStart w:id="26" w:name="_Toc47619443"/>
                                <w:bookmarkStart w:id="27" w:name="_Toc47619617"/>
                                <w:r>
                                  <w:t>August 14, 2020</w:t>
                                </w:r>
                                <w:bookmarkEnd w:id="23"/>
                                <w:bookmarkEnd w:id="24"/>
                                <w:bookmarkEnd w:id="25"/>
                                <w:bookmarkEnd w:id="26"/>
                                <w:bookmarkEnd w:id="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B2D0DB" id="Text Box 2" o:spid="_x0000_s1027" type="#_x0000_t202" style="position:absolute;margin-left:55.15pt;margin-top:462.95pt;width:367.85pt;height:5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" fillcolor="white [3201]" stroked="f" strokeweight=".5pt">
                    <v:textbox>
                      <w:txbxContent>
                        <w:p w14:paraId="29306403" w14:textId="0D17CF44" w:rsidR="00F24EDB" w:rsidRDefault="00F24EDB" w:rsidP="00830BE9">
                          <w:pPr>
                            <w:pStyle w:val="Heading1"/>
                          </w:pPr>
                          <w:bookmarkStart w:id="28" w:name="_Toc47615327"/>
                          <w:bookmarkStart w:id="29" w:name="_Toc47615342"/>
                          <w:bookmarkStart w:id="30" w:name="_Toc47615351"/>
                          <w:bookmarkStart w:id="31" w:name="_Toc47619443"/>
                          <w:bookmarkStart w:id="32" w:name="_Toc47619617"/>
                          <w:r>
                            <w:t>August 14, 2020</w:t>
                          </w:r>
                          <w:bookmarkEnd w:id="28"/>
                          <w:bookmarkEnd w:id="29"/>
                          <w:bookmarkEnd w:id="30"/>
                          <w:bookmarkEnd w:id="31"/>
                          <w:bookmarkEnd w:id="32"/>
                        </w:p>
                      </w:txbxContent>
                    </v:textbox>
                  </v:shape>
                </w:pict>
              </mc:Fallback>
            </mc:AlternateContent>
          </w:r>
          <w:r w:rsidR="0035211E">
            <w:br w:type="page"/>
          </w:r>
        </w:p>
      </w:sdtContent>
    </w:sdt>
    <w:sdt>
      <w:sdtPr>
        <w:rPr>
          <w:rFonts w:asciiTheme="minorHAnsi" w:eastAsiaTheme="minorHAnsi" w:hAnsiTheme="minorHAnsi" w:cstheme="minorBidi"/>
          <w:color w:val="auto"/>
          <w:sz w:val="22"/>
          <w:szCs w:val="22"/>
        </w:rPr>
        <w:id w:val="2084645494"/>
        <w:docPartObj>
          <w:docPartGallery w:val="Table of Contents"/>
          <w:docPartUnique/>
        </w:docPartObj>
      </w:sdtPr>
      <w:sdtEndPr>
        <w:rPr>
          <w:b/>
          <w:bCs/>
          <w:noProof/>
        </w:rPr>
      </w:sdtEndPr>
      <w:sdtContent>
        <w:p w14:paraId="54F359EB" w14:textId="64020FB2" w:rsidR="004F126D" w:rsidRDefault="004F126D">
          <w:pPr>
            <w:pStyle w:val="TOCHeading"/>
          </w:pPr>
          <w:r>
            <w:t>Table of Contents</w:t>
          </w:r>
        </w:p>
        <w:p w14:paraId="6D40769D" w14:textId="63D399FB" w:rsidR="006042AB" w:rsidRDefault="004F126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619619" w:history="1">
            <w:r w:rsidR="006042AB" w:rsidRPr="00EA4317">
              <w:rPr>
                <w:rStyle w:val="Hyperlink"/>
                <w:noProof/>
              </w:rPr>
              <w:t>Program Overview</w:t>
            </w:r>
            <w:r w:rsidR="006042AB">
              <w:rPr>
                <w:noProof/>
                <w:webHidden/>
              </w:rPr>
              <w:tab/>
            </w:r>
            <w:r w:rsidR="006042AB">
              <w:rPr>
                <w:noProof/>
                <w:webHidden/>
              </w:rPr>
              <w:fldChar w:fldCharType="begin"/>
            </w:r>
            <w:r w:rsidR="006042AB">
              <w:rPr>
                <w:noProof/>
                <w:webHidden/>
              </w:rPr>
              <w:instrText xml:space="preserve"> PAGEREF _Toc47619619 \h </w:instrText>
            </w:r>
            <w:r w:rsidR="006042AB">
              <w:rPr>
                <w:noProof/>
                <w:webHidden/>
              </w:rPr>
            </w:r>
            <w:r w:rsidR="006042AB">
              <w:rPr>
                <w:noProof/>
                <w:webHidden/>
              </w:rPr>
              <w:fldChar w:fldCharType="separate"/>
            </w:r>
            <w:r w:rsidR="006042AB">
              <w:rPr>
                <w:noProof/>
                <w:webHidden/>
              </w:rPr>
              <w:t>2</w:t>
            </w:r>
            <w:r w:rsidR="006042AB">
              <w:rPr>
                <w:noProof/>
                <w:webHidden/>
              </w:rPr>
              <w:fldChar w:fldCharType="end"/>
            </w:r>
          </w:hyperlink>
        </w:p>
        <w:p w14:paraId="5D135D5E" w14:textId="0108F987" w:rsidR="006042AB" w:rsidRDefault="005276A1">
          <w:pPr>
            <w:pStyle w:val="TOC1"/>
            <w:tabs>
              <w:tab w:val="right" w:leader="dot" w:pos="9350"/>
            </w:tabs>
            <w:rPr>
              <w:rFonts w:eastAsiaTheme="minorEastAsia"/>
              <w:noProof/>
            </w:rPr>
          </w:pPr>
          <w:hyperlink w:anchor="_Toc47619620" w:history="1">
            <w:r w:rsidR="006042AB" w:rsidRPr="00EA4317">
              <w:rPr>
                <w:rStyle w:val="Hyperlink"/>
                <w:noProof/>
              </w:rPr>
              <w:t>Program Budget and Savings</w:t>
            </w:r>
            <w:r w:rsidR="006042AB">
              <w:rPr>
                <w:noProof/>
                <w:webHidden/>
              </w:rPr>
              <w:tab/>
            </w:r>
            <w:r w:rsidR="006042AB">
              <w:rPr>
                <w:noProof/>
                <w:webHidden/>
              </w:rPr>
              <w:fldChar w:fldCharType="begin"/>
            </w:r>
            <w:r w:rsidR="006042AB">
              <w:rPr>
                <w:noProof/>
                <w:webHidden/>
              </w:rPr>
              <w:instrText xml:space="preserve"> PAGEREF _Toc47619620 \h </w:instrText>
            </w:r>
            <w:r w:rsidR="006042AB">
              <w:rPr>
                <w:noProof/>
                <w:webHidden/>
              </w:rPr>
            </w:r>
            <w:r w:rsidR="006042AB">
              <w:rPr>
                <w:noProof/>
                <w:webHidden/>
              </w:rPr>
              <w:fldChar w:fldCharType="separate"/>
            </w:r>
            <w:r w:rsidR="006042AB">
              <w:rPr>
                <w:noProof/>
                <w:webHidden/>
              </w:rPr>
              <w:t>2</w:t>
            </w:r>
            <w:r w:rsidR="006042AB">
              <w:rPr>
                <w:noProof/>
                <w:webHidden/>
              </w:rPr>
              <w:fldChar w:fldCharType="end"/>
            </w:r>
          </w:hyperlink>
        </w:p>
        <w:p w14:paraId="4AF1D490" w14:textId="59F1B00C" w:rsidR="006042AB" w:rsidRDefault="005276A1">
          <w:pPr>
            <w:pStyle w:val="TOC1"/>
            <w:tabs>
              <w:tab w:val="right" w:leader="dot" w:pos="9350"/>
            </w:tabs>
            <w:rPr>
              <w:rFonts w:eastAsiaTheme="minorEastAsia"/>
              <w:noProof/>
            </w:rPr>
          </w:pPr>
          <w:hyperlink w:anchor="_Toc47619621" w:history="1">
            <w:r w:rsidR="006042AB" w:rsidRPr="00EA4317">
              <w:rPr>
                <w:rStyle w:val="Hyperlink"/>
                <w:noProof/>
              </w:rPr>
              <w:t>Implementation Plan Narrative</w:t>
            </w:r>
            <w:r w:rsidR="006042AB">
              <w:rPr>
                <w:noProof/>
                <w:webHidden/>
              </w:rPr>
              <w:tab/>
            </w:r>
            <w:r w:rsidR="006042AB">
              <w:rPr>
                <w:noProof/>
                <w:webHidden/>
              </w:rPr>
              <w:fldChar w:fldCharType="begin"/>
            </w:r>
            <w:r w:rsidR="006042AB">
              <w:rPr>
                <w:noProof/>
                <w:webHidden/>
              </w:rPr>
              <w:instrText xml:space="preserve"> PAGEREF _Toc47619621 \h </w:instrText>
            </w:r>
            <w:r w:rsidR="006042AB">
              <w:rPr>
                <w:noProof/>
                <w:webHidden/>
              </w:rPr>
            </w:r>
            <w:r w:rsidR="006042AB">
              <w:rPr>
                <w:noProof/>
                <w:webHidden/>
              </w:rPr>
              <w:fldChar w:fldCharType="separate"/>
            </w:r>
            <w:r w:rsidR="006042AB">
              <w:rPr>
                <w:noProof/>
                <w:webHidden/>
              </w:rPr>
              <w:t>2</w:t>
            </w:r>
            <w:r w:rsidR="006042AB">
              <w:rPr>
                <w:noProof/>
                <w:webHidden/>
              </w:rPr>
              <w:fldChar w:fldCharType="end"/>
            </w:r>
          </w:hyperlink>
        </w:p>
        <w:p w14:paraId="3A7463FE" w14:textId="42C2A9B1" w:rsidR="006042AB" w:rsidRDefault="005276A1">
          <w:pPr>
            <w:pStyle w:val="TOC3"/>
            <w:tabs>
              <w:tab w:val="left" w:pos="880"/>
              <w:tab w:val="right" w:leader="dot" w:pos="9350"/>
            </w:tabs>
            <w:rPr>
              <w:noProof/>
            </w:rPr>
          </w:pPr>
          <w:hyperlink w:anchor="_Toc47619622" w:history="1">
            <w:r w:rsidR="006042AB" w:rsidRPr="00EA4317">
              <w:rPr>
                <w:rStyle w:val="Hyperlink"/>
                <w:noProof/>
              </w:rPr>
              <w:t>1.</w:t>
            </w:r>
            <w:r w:rsidR="006042AB">
              <w:rPr>
                <w:noProof/>
              </w:rPr>
              <w:tab/>
            </w:r>
            <w:r w:rsidR="006042AB" w:rsidRPr="00EA4317">
              <w:rPr>
                <w:rStyle w:val="Hyperlink"/>
                <w:noProof/>
              </w:rPr>
              <w:t>Program Description</w:t>
            </w:r>
            <w:r w:rsidR="006042AB">
              <w:rPr>
                <w:noProof/>
                <w:webHidden/>
              </w:rPr>
              <w:tab/>
            </w:r>
            <w:r w:rsidR="006042AB">
              <w:rPr>
                <w:noProof/>
                <w:webHidden/>
              </w:rPr>
              <w:fldChar w:fldCharType="begin"/>
            </w:r>
            <w:r w:rsidR="006042AB">
              <w:rPr>
                <w:noProof/>
                <w:webHidden/>
              </w:rPr>
              <w:instrText xml:space="preserve"> PAGEREF _Toc47619622 \h </w:instrText>
            </w:r>
            <w:r w:rsidR="006042AB">
              <w:rPr>
                <w:noProof/>
                <w:webHidden/>
              </w:rPr>
            </w:r>
            <w:r w:rsidR="006042AB">
              <w:rPr>
                <w:noProof/>
                <w:webHidden/>
              </w:rPr>
              <w:fldChar w:fldCharType="separate"/>
            </w:r>
            <w:r w:rsidR="006042AB">
              <w:rPr>
                <w:noProof/>
                <w:webHidden/>
              </w:rPr>
              <w:t>2</w:t>
            </w:r>
            <w:r w:rsidR="006042AB">
              <w:rPr>
                <w:noProof/>
                <w:webHidden/>
              </w:rPr>
              <w:fldChar w:fldCharType="end"/>
            </w:r>
          </w:hyperlink>
        </w:p>
        <w:p w14:paraId="1E2CCC49" w14:textId="34178781" w:rsidR="006042AB" w:rsidRDefault="005276A1">
          <w:pPr>
            <w:pStyle w:val="TOC3"/>
            <w:tabs>
              <w:tab w:val="left" w:pos="880"/>
              <w:tab w:val="right" w:leader="dot" w:pos="9350"/>
            </w:tabs>
            <w:rPr>
              <w:noProof/>
            </w:rPr>
          </w:pPr>
          <w:hyperlink w:anchor="_Toc47619623" w:history="1">
            <w:r w:rsidR="006042AB" w:rsidRPr="00EA4317">
              <w:rPr>
                <w:rStyle w:val="Hyperlink"/>
                <w:noProof/>
              </w:rPr>
              <w:t>2.</w:t>
            </w:r>
            <w:r w:rsidR="006042AB">
              <w:rPr>
                <w:noProof/>
              </w:rPr>
              <w:tab/>
            </w:r>
            <w:r w:rsidR="006042AB" w:rsidRPr="00EA4317">
              <w:rPr>
                <w:rStyle w:val="Hyperlink"/>
                <w:noProof/>
              </w:rPr>
              <w:t>Program Delivery and Customer Services</w:t>
            </w:r>
            <w:r w:rsidR="006042AB">
              <w:rPr>
                <w:noProof/>
                <w:webHidden/>
              </w:rPr>
              <w:tab/>
            </w:r>
            <w:r w:rsidR="006042AB">
              <w:rPr>
                <w:noProof/>
                <w:webHidden/>
              </w:rPr>
              <w:fldChar w:fldCharType="begin"/>
            </w:r>
            <w:r w:rsidR="006042AB">
              <w:rPr>
                <w:noProof/>
                <w:webHidden/>
              </w:rPr>
              <w:instrText xml:space="preserve"> PAGEREF _Toc47619623 \h </w:instrText>
            </w:r>
            <w:r w:rsidR="006042AB">
              <w:rPr>
                <w:noProof/>
                <w:webHidden/>
              </w:rPr>
            </w:r>
            <w:r w:rsidR="006042AB">
              <w:rPr>
                <w:noProof/>
                <w:webHidden/>
              </w:rPr>
              <w:fldChar w:fldCharType="separate"/>
            </w:r>
            <w:r w:rsidR="006042AB">
              <w:rPr>
                <w:noProof/>
                <w:webHidden/>
              </w:rPr>
              <w:t>3</w:t>
            </w:r>
            <w:r w:rsidR="006042AB">
              <w:rPr>
                <w:noProof/>
                <w:webHidden/>
              </w:rPr>
              <w:fldChar w:fldCharType="end"/>
            </w:r>
          </w:hyperlink>
        </w:p>
        <w:p w14:paraId="37A5CB29" w14:textId="5A2F3146" w:rsidR="006042AB" w:rsidRDefault="005276A1">
          <w:pPr>
            <w:pStyle w:val="TOC3"/>
            <w:tabs>
              <w:tab w:val="left" w:pos="880"/>
              <w:tab w:val="right" w:leader="dot" w:pos="9350"/>
            </w:tabs>
            <w:rPr>
              <w:noProof/>
            </w:rPr>
          </w:pPr>
          <w:hyperlink w:anchor="_Toc47619624" w:history="1">
            <w:r w:rsidR="006042AB" w:rsidRPr="00EA4317">
              <w:rPr>
                <w:rStyle w:val="Hyperlink"/>
                <w:noProof/>
              </w:rPr>
              <w:t>3.</w:t>
            </w:r>
            <w:r w:rsidR="006042AB">
              <w:rPr>
                <w:noProof/>
              </w:rPr>
              <w:tab/>
            </w:r>
            <w:r w:rsidR="006042AB" w:rsidRPr="00EA4317">
              <w:rPr>
                <w:rStyle w:val="Hyperlink"/>
                <w:noProof/>
              </w:rPr>
              <w:t>Program Design and Best Practices</w:t>
            </w:r>
            <w:r w:rsidR="006042AB">
              <w:rPr>
                <w:noProof/>
                <w:webHidden/>
              </w:rPr>
              <w:tab/>
            </w:r>
            <w:r w:rsidR="006042AB">
              <w:rPr>
                <w:noProof/>
                <w:webHidden/>
              </w:rPr>
              <w:fldChar w:fldCharType="begin"/>
            </w:r>
            <w:r w:rsidR="006042AB">
              <w:rPr>
                <w:noProof/>
                <w:webHidden/>
              </w:rPr>
              <w:instrText xml:space="preserve"> PAGEREF _Toc47619624 \h </w:instrText>
            </w:r>
            <w:r w:rsidR="006042AB">
              <w:rPr>
                <w:noProof/>
                <w:webHidden/>
              </w:rPr>
            </w:r>
            <w:r w:rsidR="006042AB">
              <w:rPr>
                <w:noProof/>
                <w:webHidden/>
              </w:rPr>
              <w:fldChar w:fldCharType="separate"/>
            </w:r>
            <w:r w:rsidR="006042AB">
              <w:rPr>
                <w:noProof/>
                <w:webHidden/>
              </w:rPr>
              <w:t>6</w:t>
            </w:r>
            <w:r w:rsidR="006042AB">
              <w:rPr>
                <w:noProof/>
                <w:webHidden/>
              </w:rPr>
              <w:fldChar w:fldCharType="end"/>
            </w:r>
          </w:hyperlink>
        </w:p>
        <w:p w14:paraId="6E6FB809" w14:textId="1DDC816A" w:rsidR="006042AB" w:rsidRDefault="005276A1">
          <w:pPr>
            <w:pStyle w:val="TOC3"/>
            <w:tabs>
              <w:tab w:val="left" w:pos="880"/>
              <w:tab w:val="right" w:leader="dot" w:pos="9350"/>
            </w:tabs>
            <w:rPr>
              <w:noProof/>
            </w:rPr>
          </w:pPr>
          <w:hyperlink w:anchor="_Toc47619625" w:history="1">
            <w:r w:rsidR="006042AB" w:rsidRPr="00EA4317">
              <w:rPr>
                <w:rStyle w:val="Hyperlink"/>
                <w:noProof/>
              </w:rPr>
              <w:t>4.</w:t>
            </w:r>
            <w:r w:rsidR="006042AB">
              <w:rPr>
                <w:noProof/>
              </w:rPr>
              <w:tab/>
            </w:r>
            <w:r w:rsidR="006042AB" w:rsidRPr="00EA4317">
              <w:rPr>
                <w:rStyle w:val="Hyperlink"/>
                <w:noProof/>
              </w:rPr>
              <w:t>Innovation</w:t>
            </w:r>
            <w:r w:rsidR="006042AB">
              <w:rPr>
                <w:noProof/>
                <w:webHidden/>
              </w:rPr>
              <w:tab/>
            </w:r>
            <w:r w:rsidR="006042AB">
              <w:rPr>
                <w:noProof/>
                <w:webHidden/>
              </w:rPr>
              <w:fldChar w:fldCharType="begin"/>
            </w:r>
            <w:r w:rsidR="006042AB">
              <w:rPr>
                <w:noProof/>
                <w:webHidden/>
              </w:rPr>
              <w:instrText xml:space="preserve"> PAGEREF _Toc47619625 \h </w:instrText>
            </w:r>
            <w:r w:rsidR="006042AB">
              <w:rPr>
                <w:noProof/>
                <w:webHidden/>
              </w:rPr>
            </w:r>
            <w:r w:rsidR="006042AB">
              <w:rPr>
                <w:noProof/>
                <w:webHidden/>
              </w:rPr>
              <w:fldChar w:fldCharType="separate"/>
            </w:r>
            <w:r w:rsidR="006042AB">
              <w:rPr>
                <w:noProof/>
                <w:webHidden/>
              </w:rPr>
              <w:t>9</w:t>
            </w:r>
            <w:r w:rsidR="006042AB">
              <w:rPr>
                <w:noProof/>
                <w:webHidden/>
              </w:rPr>
              <w:fldChar w:fldCharType="end"/>
            </w:r>
          </w:hyperlink>
        </w:p>
        <w:p w14:paraId="4EF430CC" w14:textId="0315FBE1" w:rsidR="006042AB" w:rsidRDefault="005276A1">
          <w:pPr>
            <w:pStyle w:val="TOC3"/>
            <w:tabs>
              <w:tab w:val="left" w:pos="880"/>
              <w:tab w:val="right" w:leader="dot" w:pos="9350"/>
            </w:tabs>
            <w:rPr>
              <w:noProof/>
            </w:rPr>
          </w:pPr>
          <w:hyperlink w:anchor="_Toc47619626" w:history="1">
            <w:r w:rsidR="006042AB" w:rsidRPr="00EA4317">
              <w:rPr>
                <w:rStyle w:val="Hyperlink"/>
                <w:noProof/>
              </w:rPr>
              <w:t>5.</w:t>
            </w:r>
            <w:r w:rsidR="006042AB">
              <w:rPr>
                <w:noProof/>
              </w:rPr>
              <w:tab/>
            </w:r>
            <w:r w:rsidR="006042AB" w:rsidRPr="00EA4317">
              <w:rPr>
                <w:rStyle w:val="Hyperlink"/>
                <w:noProof/>
              </w:rPr>
              <w:t>Metrics</w:t>
            </w:r>
            <w:r w:rsidR="006042AB">
              <w:rPr>
                <w:noProof/>
                <w:webHidden/>
              </w:rPr>
              <w:tab/>
            </w:r>
            <w:r w:rsidR="006042AB">
              <w:rPr>
                <w:noProof/>
                <w:webHidden/>
              </w:rPr>
              <w:fldChar w:fldCharType="begin"/>
            </w:r>
            <w:r w:rsidR="006042AB">
              <w:rPr>
                <w:noProof/>
                <w:webHidden/>
              </w:rPr>
              <w:instrText xml:space="preserve"> PAGEREF _Toc47619626 \h </w:instrText>
            </w:r>
            <w:r w:rsidR="006042AB">
              <w:rPr>
                <w:noProof/>
                <w:webHidden/>
              </w:rPr>
            </w:r>
            <w:r w:rsidR="006042AB">
              <w:rPr>
                <w:noProof/>
                <w:webHidden/>
              </w:rPr>
              <w:fldChar w:fldCharType="separate"/>
            </w:r>
            <w:r w:rsidR="006042AB">
              <w:rPr>
                <w:noProof/>
                <w:webHidden/>
              </w:rPr>
              <w:t>9</w:t>
            </w:r>
            <w:r w:rsidR="006042AB">
              <w:rPr>
                <w:noProof/>
                <w:webHidden/>
              </w:rPr>
              <w:fldChar w:fldCharType="end"/>
            </w:r>
          </w:hyperlink>
        </w:p>
        <w:p w14:paraId="0900E1F2" w14:textId="550F2AD9" w:rsidR="006042AB" w:rsidRDefault="005276A1">
          <w:pPr>
            <w:pStyle w:val="TOC3"/>
            <w:tabs>
              <w:tab w:val="left" w:pos="880"/>
              <w:tab w:val="right" w:leader="dot" w:pos="9350"/>
            </w:tabs>
            <w:rPr>
              <w:noProof/>
            </w:rPr>
          </w:pPr>
          <w:hyperlink w:anchor="_Toc47619627" w:history="1">
            <w:r w:rsidR="006042AB" w:rsidRPr="00EA4317">
              <w:rPr>
                <w:rStyle w:val="Hyperlink"/>
                <w:noProof/>
              </w:rPr>
              <w:t>6.</w:t>
            </w:r>
            <w:r w:rsidR="006042AB">
              <w:rPr>
                <w:noProof/>
              </w:rPr>
              <w:tab/>
            </w:r>
            <w:r w:rsidR="006042AB" w:rsidRPr="00EA4317">
              <w:rPr>
                <w:rStyle w:val="Hyperlink"/>
                <w:noProof/>
              </w:rPr>
              <w:t>For programs claiming to-code savings</w:t>
            </w:r>
            <w:r w:rsidR="006042AB">
              <w:rPr>
                <w:noProof/>
                <w:webHidden/>
              </w:rPr>
              <w:tab/>
            </w:r>
            <w:r w:rsidR="006042AB">
              <w:rPr>
                <w:noProof/>
                <w:webHidden/>
              </w:rPr>
              <w:fldChar w:fldCharType="begin"/>
            </w:r>
            <w:r w:rsidR="006042AB">
              <w:rPr>
                <w:noProof/>
                <w:webHidden/>
              </w:rPr>
              <w:instrText xml:space="preserve"> PAGEREF _Toc47619627 \h </w:instrText>
            </w:r>
            <w:r w:rsidR="006042AB">
              <w:rPr>
                <w:noProof/>
                <w:webHidden/>
              </w:rPr>
            </w:r>
            <w:r w:rsidR="006042AB">
              <w:rPr>
                <w:noProof/>
                <w:webHidden/>
              </w:rPr>
              <w:fldChar w:fldCharType="separate"/>
            </w:r>
            <w:r w:rsidR="006042AB">
              <w:rPr>
                <w:noProof/>
                <w:webHidden/>
              </w:rPr>
              <w:t>10</w:t>
            </w:r>
            <w:r w:rsidR="006042AB">
              <w:rPr>
                <w:noProof/>
                <w:webHidden/>
              </w:rPr>
              <w:fldChar w:fldCharType="end"/>
            </w:r>
          </w:hyperlink>
        </w:p>
        <w:p w14:paraId="01E8C09B" w14:textId="4F8C7785" w:rsidR="006042AB" w:rsidRDefault="005276A1">
          <w:pPr>
            <w:pStyle w:val="TOC3"/>
            <w:tabs>
              <w:tab w:val="left" w:pos="880"/>
              <w:tab w:val="right" w:leader="dot" w:pos="9350"/>
            </w:tabs>
            <w:rPr>
              <w:noProof/>
            </w:rPr>
          </w:pPr>
          <w:hyperlink w:anchor="_Toc47619628" w:history="1">
            <w:r w:rsidR="006042AB" w:rsidRPr="00EA4317">
              <w:rPr>
                <w:rStyle w:val="Hyperlink"/>
                <w:noProof/>
              </w:rPr>
              <w:t>7.</w:t>
            </w:r>
            <w:r w:rsidR="006042AB">
              <w:rPr>
                <w:noProof/>
              </w:rPr>
              <w:tab/>
            </w:r>
            <w:r w:rsidR="006042AB" w:rsidRPr="00EA4317">
              <w:rPr>
                <w:rStyle w:val="Hyperlink"/>
                <w:noProof/>
              </w:rPr>
              <w:t>Pilots</w:t>
            </w:r>
            <w:r w:rsidR="006042AB">
              <w:rPr>
                <w:noProof/>
                <w:webHidden/>
              </w:rPr>
              <w:tab/>
            </w:r>
            <w:r w:rsidR="006042AB">
              <w:rPr>
                <w:noProof/>
                <w:webHidden/>
              </w:rPr>
              <w:fldChar w:fldCharType="begin"/>
            </w:r>
            <w:r w:rsidR="006042AB">
              <w:rPr>
                <w:noProof/>
                <w:webHidden/>
              </w:rPr>
              <w:instrText xml:space="preserve"> PAGEREF _Toc47619628 \h </w:instrText>
            </w:r>
            <w:r w:rsidR="006042AB">
              <w:rPr>
                <w:noProof/>
                <w:webHidden/>
              </w:rPr>
            </w:r>
            <w:r w:rsidR="006042AB">
              <w:rPr>
                <w:noProof/>
                <w:webHidden/>
              </w:rPr>
              <w:fldChar w:fldCharType="separate"/>
            </w:r>
            <w:r w:rsidR="006042AB">
              <w:rPr>
                <w:noProof/>
                <w:webHidden/>
              </w:rPr>
              <w:t>10</w:t>
            </w:r>
            <w:r w:rsidR="006042AB">
              <w:rPr>
                <w:noProof/>
                <w:webHidden/>
              </w:rPr>
              <w:fldChar w:fldCharType="end"/>
            </w:r>
          </w:hyperlink>
        </w:p>
        <w:p w14:paraId="5931BCEB" w14:textId="08F2CEB9" w:rsidR="006042AB" w:rsidRDefault="005276A1">
          <w:pPr>
            <w:pStyle w:val="TOC3"/>
            <w:tabs>
              <w:tab w:val="left" w:pos="880"/>
              <w:tab w:val="right" w:leader="dot" w:pos="9350"/>
            </w:tabs>
            <w:rPr>
              <w:noProof/>
            </w:rPr>
          </w:pPr>
          <w:hyperlink w:anchor="_Toc47619629" w:history="1">
            <w:r w:rsidR="006042AB" w:rsidRPr="00EA4317">
              <w:rPr>
                <w:rStyle w:val="Hyperlink"/>
                <w:noProof/>
              </w:rPr>
              <w:t>8.</w:t>
            </w:r>
            <w:r w:rsidR="006042AB">
              <w:rPr>
                <w:noProof/>
              </w:rPr>
              <w:tab/>
            </w:r>
            <w:r w:rsidR="006042AB" w:rsidRPr="00EA4317">
              <w:rPr>
                <w:rStyle w:val="Hyperlink"/>
                <w:noProof/>
              </w:rPr>
              <w:t>Workforce Education and Training</w:t>
            </w:r>
            <w:r w:rsidR="006042AB">
              <w:rPr>
                <w:noProof/>
                <w:webHidden/>
              </w:rPr>
              <w:tab/>
            </w:r>
            <w:r w:rsidR="006042AB">
              <w:rPr>
                <w:noProof/>
                <w:webHidden/>
              </w:rPr>
              <w:fldChar w:fldCharType="begin"/>
            </w:r>
            <w:r w:rsidR="006042AB">
              <w:rPr>
                <w:noProof/>
                <w:webHidden/>
              </w:rPr>
              <w:instrText xml:space="preserve"> PAGEREF _Toc47619629 \h </w:instrText>
            </w:r>
            <w:r w:rsidR="006042AB">
              <w:rPr>
                <w:noProof/>
                <w:webHidden/>
              </w:rPr>
            </w:r>
            <w:r w:rsidR="006042AB">
              <w:rPr>
                <w:noProof/>
                <w:webHidden/>
              </w:rPr>
              <w:fldChar w:fldCharType="separate"/>
            </w:r>
            <w:r w:rsidR="006042AB">
              <w:rPr>
                <w:noProof/>
                <w:webHidden/>
              </w:rPr>
              <w:t>10</w:t>
            </w:r>
            <w:r w:rsidR="006042AB">
              <w:rPr>
                <w:noProof/>
                <w:webHidden/>
              </w:rPr>
              <w:fldChar w:fldCharType="end"/>
            </w:r>
          </w:hyperlink>
        </w:p>
        <w:p w14:paraId="64296F91" w14:textId="3ACAE085" w:rsidR="006042AB" w:rsidRDefault="005276A1">
          <w:pPr>
            <w:pStyle w:val="TOC3"/>
            <w:tabs>
              <w:tab w:val="left" w:pos="880"/>
              <w:tab w:val="right" w:leader="dot" w:pos="9350"/>
            </w:tabs>
            <w:rPr>
              <w:noProof/>
            </w:rPr>
          </w:pPr>
          <w:hyperlink w:anchor="_Toc47619630" w:history="1">
            <w:r w:rsidR="006042AB" w:rsidRPr="00EA4317">
              <w:rPr>
                <w:rStyle w:val="Hyperlink"/>
                <w:noProof/>
              </w:rPr>
              <w:t>9.</w:t>
            </w:r>
            <w:r w:rsidR="006042AB">
              <w:rPr>
                <w:noProof/>
              </w:rPr>
              <w:tab/>
            </w:r>
            <w:r w:rsidR="006042AB" w:rsidRPr="00EA4317">
              <w:rPr>
                <w:rStyle w:val="Hyperlink"/>
                <w:noProof/>
              </w:rPr>
              <w:t>Workforce Standards</w:t>
            </w:r>
            <w:r w:rsidR="006042AB">
              <w:rPr>
                <w:noProof/>
                <w:webHidden/>
              </w:rPr>
              <w:tab/>
            </w:r>
            <w:r w:rsidR="006042AB">
              <w:rPr>
                <w:noProof/>
                <w:webHidden/>
              </w:rPr>
              <w:fldChar w:fldCharType="begin"/>
            </w:r>
            <w:r w:rsidR="006042AB">
              <w:rPr>
                <w:noProof/>
                <w:webHidden/>
              </w:rPr>
              <w:instrText xml:space="preserve"> PAGEREF _Toc47619630 \h </w:instrText>
            </w:r>
            <w:r w:rsidR="006042AB">
              <w:rPr>
                <w:noProof/>
                <w:webHidden/>
              </w:rPr>
            </w:r>
            <w:r w:rsidR="006042AB">
              <w:rPr>
                <w:noProof/>
                <w:webHidden/>
              </w:rPr>
              <w:fldChar w:fldCharType="separate"/>
            </w:r>
            <w:r w:rsidR="006042AB">
              <w:rPr>
                <w:noProof/>
                <w:webHidden/>
              </w:rPr>
              <w:t>10</w:t>
            </w:r>
            <w:r w:rsidR="006042AB">
              <w:rPr>
                <w:noProof/>
                <w:webHidden/>
              </w:rPr>
              <w:fldChar w:fldCharType="end"/>
            </w:r>
          </w:hyperlink>
        </w:p>
        <w:p w14:paraId="24AA099C" w14:textId="20D4A4C4" w:rsidR="006042AB" w:rsidRDefault="005276A1">
          <w:pPr>
            <w:pStyle w:val="TOC3"/>
            <w:tabs>
              <w:tab w:val="left" w:pos="1100"/>
              <w:tab w:val="right" w:leader="dot" w:pos="9350"/>
            </w:tabs>
            <w:rPr>
              <w:noProof/>
            </w:rPr>
          </w:pPr>
          <w:hyperlink w:anchor="_Toc47619631" w:history="1">
            <w:r w:rsidR="006042AB" w:rsidRPr="00EA4317">
              <w:rPr>
                <w:rStyle w:val="Hyperlink"/>
                <w:noProof/>
              </w:rPr>
              <w:t>10.</w:t>
            </w:r>
            <w:r w:rsidR="006042AB">
              <w:rPr>
                <w:noProof/>
              </w:rPr>
              <w:tab/>
            </w:r>
            <w:r w:rsidR="006042AB" w:rsidRPr="00EA4317">
              <w:rPr>
                <w:rStyle w:val="Hyperlink"/>
                <w:noProof/>
              </w:rPr>
              <w:t>Disadvantaged Worker Plan</w:t>
            </w:r>
            <w:r w:rsidR="006042AB">
              <w:rPr>
                <w:noProof/>
                <w:webHidden/>
              </w:rPr>
              <w:tab/>
            </w:r>
            <w:r w:rsidR="006042AB">
              <w:rPr>
                <w:noProof/>
                <w:webHidden/>
              </w:rPr>
              <w:fldChar w:fldCharType="begin"/>
            </w:r>
            <w:r w:rsidR="006042AB">
              <w:rPr>
                <w:noProof/>
                <w:webHidden/>
              </w:rPr>
              <w:instrText xml:space="preserve"> PAGEREF _Toc47619631 \h </w:instrText>
            </w:r>
            <w:r w:rsidR="006042AB">
              <w:rPr>
                <w:noProof/>
                <w:webHidden/>
              </w:rPr>
            </w:r>
            <w:r w:rsidR="006042AB">
              <w:rPr>
                <w:noProof/>
                <w:webHidden/>
              </w:rPr>
              <w:fldChar w:fldCharType="separate"/>
            </w:r>
            <w:r w:rsidR="006042AB">
              <w:rPr>
                <w:noProof/>
                <w:webHidden/>
              </w:rPr>
              <w:t>10</w:t>
            </w:r>
            <w:r w:rsidR="006042AB">
              <w:rPr>
                <w:noProof/>
                <w:webHidden/>
              </w:rPr>
              <w:fldChar w:fldCharType="end"/>
            </w:r>
          </w:hyperlink>
        </w:p>
        <w:p w14:paraId="2A3F69C9" w14:textId="4B13D3FD" w:rsidR="006042AB" w:rsidRDefault="005276A1">
          <w:pPr>
            <w:pStyle w:val="TOC3"/>
            <w:tabs>
              <w:tab w:val="left" w:pos="1100"/>
              <w:tab w:val="right" w:leader="dot" w:pos="9350"/>
            </w:tabs>
            <w:rPr>
              <w:noProof/>
            </w:rPr>
          </w:pPr>
          <w:hyperlink w:anchor="_Toc47619632" w:history="1">
            <w:r w:rsidR="006042AB" w:rsidRPr="00EA4317">
              <w:rPr>
                <w:rStyle w:val="Hyperlink"/>
                <w:noProof/>
              </w:rPr>
              <w:t>11.</w:t>
            </w:r>
            <w:r w:rsidR="006042AB">
              <w:rPr>
                <w:noProof/>
              </w:rPr>
              <w:tab/>
            </w:r>
            <w:r w:rsidR="006042AB" w:rsidRPr="00EA4317">
              <w:rPr>
                <w:rStyle w:val="Hyperlink"/>
                <w:noProof/>
              </w:rPr>
              <w:t>Additional information</w:t>
            </w:r>
            <w:r w:rsidR="006042AB">
              <w:rPr>
                <w:noProof/>
                <w:webHidden/>
              </w:rPr>
              <w:tab/>
            </w:r>
            <w:r w:rsidR="006042AB">
              <w:rPr>
                <w:noProof/>
                <w:webHidden/>
              </w:rPr>
              <w:fldChar w:fldCharType="begin"/>
            </w:r>
            <w:r w:rsidR="006042AB">
              <w:rPr>
                <w:noProof/>
                <w:webHidden/>
              </w:rPr>
              <w:instrText xml:space="preserve"> PAGEREF _Toc47619632 \h </w:instrText>
            </w:r>
            <w:r w:rsidR="006042AB">
              <w:rPr>
                <w:noProof/>
                <w:webHidden/>
              </w:rPr>
            </w:r>
            <w:r w:rsidR="006042AB">
              <w:rPr>
                <w:noProof/>
                <w:webHidden/>
              </w:rPr>
              <w:fldChar w:fldCharType="separate"/>
            </w:r>
            <w:r w:rsidR="006042AB">
              <w:rPr>
                <w:noProof/>
                <w:webHidden/>
              </w:rPr>
              <w:t>10</w:t>
            </w:r>
            <w:r w:rsidR="006042AB">
              <w:rPr>
                <w:noProof/>
                <w:webHidden/>
              </w:rPr>
              <w:fldChar w:fldCharType="end"/>
            </w:r>
          </w:hyperlink>
        </w:p>
        <w:p w14:paraId="5DC9FBC4" w14:textId="21D605F9" w:rsidR="006042AB" w:rsidRDefault="005276A1">
          <w:pPr>
            <w:pStyle w:val="TOC1"/>
            <w:tabs>
              <w:tab w:val="right" w:leader="dot" w:pos="9350"/>
            </w:tabs>
            <w:rPr>
              <w:rFonts w:eastAsiaTheme="minorEastAsia"/>
              <w:noProof/>
            </w:rPr>
          </w:pPr>
          <w:hyperlink w:anchor="_Toc47619633" w:history="1">
            <w:r w:rsidR="006042AB" w:rsidRPr="00EA4317">
              <w:rPr>
                <w:rStyle w:val="Hyperlink"/>
                <w:noProof/>
              </w:rPr>
              <w:t>Supporting Documents</w:t>
            </w:r>
            <w:r w:rsidR="006042AB">
              <w:rPr>
                <w:noProof/>
                <w:webHidden/>
              </w:rPr>
              <w:tab/>
            </w:r>
            <w:r w:rsidR="006042AB">
              <w:rPr>
                <w:noProof/>
                <w:webHidden/>
              </w:rPr>
              <w:fldChar w:fldCharType="begin"/>
            </w:r>
            <w:r w:rsidR="006042AB">
              <w:rPr>
                <w:noProof/>
                <w:webHidden/>
              </w:rPr>
              <w:instrText xml:space="preserve"> PAGEREF _Toc47619633 \h </w:instrText>
            </w:r>
            <w:r w:rsidR="006042AB">
              <w:rPr>
                <w:noProof/>
                <w:webHidden/>
              </w:rPr>
            </w:r>
            <w:r w:rsidR="006042AB">
              <w:rPr>
                <w:noProof/>
                <w:webHidden/>
              </w:rPr>
              <w:fldChar w:fldCharType="separate"/>
            </w:r>
            <w:r w:rsidR="006042AB">
              <w:rPr>
                <w:noProof/>
                <w:webHidden/>
              </w:rPr>
              <w:t>10</w:t>
            </w:r>
            <w:r w:rsidR="006042AB">
              <w:rPr>
                <w:noProof/>
                <w:webHidden/>
              </w:rPr>
              <w:fldChar w:fldCharType="end"/>
            </w:r>
          </w:hyperlink>
        </w:p>
        <w:p w14:paraId="28CC6D70" w14:textId="36CEE5A0" w:rsidR="006042AB" w:rsidRDefault="005276A1">
          <w:pPr>
            <w:pStyle w:val="TOC1"/>
            <w:tabs>
              <w:tab w:val="right" w:leader="dot" w:pos="9350"/>
            </w:tabs>
            <w:rPr>
              <w:rFonts w:eastAsiaTheme="minorEastAsia"/>
              <w:noProof/>
            </w:rPr>
          </w:pPr>
          <w:hyperlink w:anchor="_Toc47619634" w:history="1">
            <w:r w:rsidR="006042AB" w:rsidRPr="00EA4317">
              <w:rPr>
                <w:rStyle w:val="Hyperlink"/>
                <w:noProof/>
              </w:rPr>
              <w:t>Program Theory and Program Logic Model</w:t>
            </w:r>
            <w:r w:rsidR="006042AB">
              <w:rPr>
                <w:noProof/>
                <w:webHidden/>
              </w:rPr>
              <w:tab/>
            </w:r>
            <w:r w:rsidR="006042AB">
              <w:rPr>
                <w:noProof/>
                <w:webHidden/>
              </w:rPr>
              <w:fldChar w:fldCharType="begin"/>
            </w:r>
            <w:r w:rsidR="006042AB">
              <w:rPr>
                <w:noProof/>
                <w:webHidden/>
              </w:rPr>
              <w:instrText xml:space="preserve"> PAGEREF _Toc47619634 \h </w:instrText>
            </w:r>
            <w:r w:rsidR="006042AB">
              <w:rPr>
                <w:noProof/>
                <w:webHidden/>
              </w:rPr>
            </w:r>
            <w:r w:rsidR="006042AB">
              <w:rPr>
                <w:noProof/>
                <w:webHidden/>
              </w:rPr>
              <w:fldChar w:fldCharType="separate"/>
            </w:r>
            <w:r w:rsidR="006042AB">
              <w:rPr>
                <w:noProof/>
                <w:webHidden/>
              </w:rPr>
              <w:t>11</w:t>
            </w:r>
            <w:r w:rsidR="006042AB">
              <w:rPr>
                <w:noProof/>
                <w:webHidden/>
              </w:rPr>
              <w:fldChar w:fldCharType="end"/>
            </w:r>
          </w:hyperlink>
        </w:p>
        <w:p w14:paraId="458F365B" w14:textId="3C84DC86" w:rsidR="006042AB" w:rsidRDefault="005276A1">
          <w:pPr>
            <w:pStyle w:val="TOC1"/>
            <w:tabs>
              <w:tab w:val="right" w:leader="dot" w:pos="9350"/>
            </w:tabs>
            <w:rPr>
              <w:rFonts w:eastAsiaTheme="minorEastAsia"/>
              <w:noProof/>
            </w:rPr>
          </w:pPr>
          <w:hyperlink w:anchor="_Toc47619635" w:history="1">
            <w:r w:rsidR="006042AB" w:rsidRPr="00EA4317">
              <w:rPr>
                <w:rStyle w:val="Hyperlink"/>
                <w:noProof/>
              </w:rPr>
              <w:t>Process Flow Chart</w:t>
            </w:r>
            <w:r w:rsidR="006042AB">
              <w:rPr>
                <w:noProof/>
                <w:webHidden/>
              </w:rPr>
              <w:tab/>
            </w:r>
            <w:r w:rsidR="006042AB">
              <w:rPr>
                <w:noProof/>
                <w:webHidden/>
              </w:rPr>
              <w:fldChar w:fldCharType="begin"/>
            </w:r>
            <w:r w:rsidR="006042AB">
              <w:rPr>
                <w:noProof/>
                <w:webHidden/>
              </w:rPr>
              <w:instrText xml:space="preserve"> PAGEREF _Toc47619635 \h </w:instrText>
            </w:r>
            <w:r w:rsidR="006042AB">
              <w:rPr>
                <w:noProof/>
                <w:webHidden/>
              </w:rPr>
            </w:r>
            <w:r w:rsidR="006042AB">
              <w:rPr>
                <w:noProof/>
                <w:webHidden/>
              </w:rPr>
              <w:fldChar w:fldCharType="separate"/>
            </w:r>
            <w:r w:rsidR="006042AB">
              <w:rPr>
                <w:noProof/>
                <w:webHidden/>
              </w:rPr>
              <w:t>12</w:t>
            </w:r>
            <w:r w:rsidR="006042AB">
              <w:rPr>
                <w:noProof/>
                <w:webHidden/>
              </w:rPr>
              <w:fldChar w:fldCharType="end"/>
            </w:r>
          </w:hyperlink>
        </w:p>
        <w:p w14:paraId="222524A4" w14:textId="73450B2A" w:rsidR="006042AB" w:rsidRDefault="005276A1">
          <w:pPr>
            <w:pStyle w:val="TOC1"/>
            <w:tabs>
              <w:tab w:val="right" w:leader="dot" w:pos="9350"/>
            </w:tabs>
            <w:rPr>
              <w:rFonts w:eastAsiaTheme="minorEastAsia"/>
              <w:noProof/>
            </w:rPr>
          </w:pPr>
          <w:hyperlink w:anchor="_Toc47619636" w:history="1">
            <w:r w:rsidR="006042AB" w:rsidRPr="00EA4317">
              <w:rPr>
                <w:rStyle w:val="Hyperlink"/>
                <w:noProof/>
              </w:rPr>
              <w:t>Quantitative Program Targets</w:t>
            </w:r>
            <w:r w:rsidR="006042AB">
              <w:rPr>
                <w:noProof/>
                <w:webHidden/>
              </w:rPr>
              <w:tab/>
            </w:r>
            <w:r w:rsidR="006042AB">
              <w:rPr>
                <w:noProof/>
                <w:webHidden/>
              </w:rPr>
              <w:fldChar w:fldCharType="begin"/>
            </w:r>
            <w:r w:rsidR="006042AB">
              <w:rPr>
                <w:noProof/>
                <w:webHidden/>
              </w:rPr>
              <w:instrText xml:space="preserve"> PAGEREF _Toc47619636 \h </w:instrText>
            </w:r>
            <w:r w:rsidR="006042AB">
              <w:rPr>
                <w:noProof/>
                <w:webHidden/>
              </w:rPr>
            </w:r>
            <w:r w:rsidR="006042AB">
              <w:rPr>
                <w:noProof/>
                <w:webHidden/>
              </w:rPr>
              <w:fldChar w:fldCharType="separate"/>
            </w:r>
            <w:r w:rsidR="006042AB">
              <w:rPr>
                <w:noProof/>
                <w:webHidden/>
              </w:rPr>
              <w:t>13</w:t>
            </w:r>
            <w:r w:rsidR="006042AB">
              <w:rPr>
                <w:noProof/>
                <w:webHidden/>
              </w:rPr>
              <w:fldChar w:fldCharType="end"/>
            </w:r>
          </w:hyperlink>
        </w:p>
        <w:p w14:paraId="05FB6A6B" w14:textId="7B857CCB" w:rsidR="006042AB" w:rsidRDefault="005276A1">
          <w:pPr>
            <w:pStyle w:val="TOC1"/>
            <w:tabs>
              <w:tab w:val="right" w:leader="dot" w:pos="9350"/>
            </w:tabs>
            <w:rPr>
              <w:rFonts w:eastAsiaTheme="minorEastAsia"/>
              <w:noProof/>
            </w:rPr>
          </w:pPr>
          <w:hyperlink w:anchor="_Toc47619637" w:history="1">
            <w:r w:rsidR="006042AB" w:rsidRPr="00EA4317">
              <w:rPr>
                <w:rStyle w:val="Hyperlink"/>
                <w:noProof/>
              </w:rPr>
              <w:t>Diagram of Program</w:t>
            </w:r>
            <w:r w:rsidR="006042AB">
              <w:rPr>
                <w:noProof/>
                <w:webHidden/>
              </w:rPr>
              <w:tab/>
            </w:r>
            <w:r w:rsidR="006042AB">
              <w:rPr>
                <w:noProof/>
                <w:webHidden/>
              </w:rPr>
              <w:fldChar w:fldCharType="begin"/>
            </w:r>
            <w:r w:rsidR="006042AB">
              <w:rPr>
                <w:noProof/>
                <w:webHidden/>
              </w:rPr>
              <w:instrText xml:space="preserve"> PAGEREF _Toc47619637 \h </w:instrText>
            </w:r>
            <w:r w:rsidR="006042AB">
              <w:rPr>
                <w:noProof/>
                <w:webHidden/>
              </w:rPr>
            </w:r>
            <w:r w:rsidR="006042AB">
              <w:rPr>
                <w:noProof/>
                <w:webHidden/>
              </w:rPr>
              <w:fldChar w:fldCharType="separate"/>
            </w:r>
            <w:r w:rsidR="006042AB">
              <w:rPr>
                <w:noProof/>
                <w:webHidden/>
              </w:rPr>
              <w:t>16</w:t>
            </w:r>
            <w:r w:rsidR="006042AB">
              <w:rPr>
                <w:noProof/>
                <w:webHidden/>
              </w:rPr>
              <w:fldChar w:fldCharType="end"/>
            </w:r>
          </w:hyperlink>
        </w:p>
        <w:p w14:paraId="192E3F40" w14:textId="6329D6A7" w:rsidR="006042AB" w:rsidRDefault="005276A1">
          <w:pPr>
            <w:pStyle w:val="TOC1"/>
            <w:tabs>
              <w:tab w:val="right" w:leader="dot" w:pos="9350"/>
            </w:tabs>
            <w:rPr>
              <w:rFonts w:eastAsiaTheme="minorEastAsia"/>
              <w:noProof/>
            </w:rPr>
          </w:pPr>
          <w:hyperlink w:anchor="_Toc47619638" w:history="1">
            <w:r w:rsidR="006042AB" w:rsidRPr="00EA4317">
              <w:rPr>
                <w:rStyle w:val="Hyperlink"/>
                <w:noProof/>
              </w:rPr>
              <w:t>Program Manuals</w:t>
            </w:r>
            <w:r w:rsidR="006042AB">
              <w:rPr>
                <w:noProof/>
                <w:webHidden/>
              </w:rPr>
              <w:tab/>
            </w:r>
            <w:r w:rsidR="006042AB">
              <w:rPr>
                <w:noProof/>
                <w:webHidden/>
              </w:rPr>
              <w:fldChar w:fldCharType="begin"/>
            </w:r>
            <w:r w:rsidR="006042AB">
              <w:rPr>
                <w:noProof/>
                <w:webHidden/>
              </w:rPr>
              <w:instrText xml:space="preserve"> PAGEREF _Toc47619638 \h </w:instrText>
            </w:r>
            <w:r w:rsidR="006042AB">
              <w:rPr>
                <w:noProof/>
                <w:webHidden/>
              </w:rPr>
            </w:r>
            <w:r w:rsidR="006042AB">
              <w:rPr>
                <w:noProof/>
                <w:webHidden/>
              </w:rPr>
              <w:fldChar w:fldCharType="separate"/>
            </w:r>
            <w:r w:rsidR="006042AB">
              <w:rPr>
                <w:noProof/>
                <w:webHidden/>
              </w:rPr>
              <w:t>17</w:t>
            </w:r>
            <w:r w:rsidR="006042AB">
              <w:rPr>
                <w:noProof/>
                <w:webHidden/>
              </w:rPr>
              <w:fldChar w:fldCharType="end"/>
            </w:r>
          </w:hyperlink>
        </w:p>
        <w:p w14:paraId="16CD62C4" w14:textId="1E3D2C74" w:rsidR="004F126D" w:rsidRDefault="004F126D">
          <w:r>
            <w:rPr>
              <w:b/>
              <w:bCs/>
              <w:noProof/>
            </w:rPr>
            <w:fldChar w:fldCharType="end"/>
          </w:r>
        </w:p>
      </w:sdtContent>
    </w:sdt>
    <w:p w14:paraId="533FB8BA" w14:textId="77777777" w:rsidR="00C22634" w:rsidRDefault="00C22634">
      <w:pPr>
        <w:rPr>
          <w:rFonts w:asciiTheme="majorHAnsi" w:eastAsiaTheme="majorEastAsia" w:hAnsiTheme="majorHAnsi" w:cstheme="majorBidi"/>
          <w:color w:val="2F5496" w:themeColor="accent1" w:themeShade="BF"/>
          <w:sz w:val="32"/>
          <w:szCs w:val="32"/>
        </w:rPr>
      </w:pPr>
      <w:r>
        <w:br w:type="page"/>
      </w:r>
    </w:p>
    <w:p w14:paraId="79347CDE" w14:textId="7EB72628" w:rsidR="00334DF3" w:rsidRDefault="00334DF3" w:rsidP="0025676B">
      <w:pPr>
        <w:pStyle w:val="Heading1"/>
      </w:pPr>
      <w:bookmarkStart w:id="33" w:name="_Toc47619444"/>
      <w:bookmarkStart w:id="34" w:name="_Toc47619618"/>
      <w:r>
        <w:lastRenderedPageBreak/>
        <w:t>C</w:t>
      </w:r>
      <w:r w:rsidR="0025676B">
        <w:t xml:space="preserve">entral </w:t>
      </w:r>
      <w:r>
        <w:t>C</w:t>
      </w:r>
      <w:r w:rsidR="0025676B">
        <w:t xml:space="preserve">alifornia </w:t>
      </w:r>
      <w:r>
        <w:t>E</w:t>
      </w:r>
      <w:r w:rsidR="0025676B">
        <w:t xml:space="preserve">nergy </w:t>
      </w:r>
      <w:r>
        <w:t>W</w:t>
      </w:r>
      <w:r w:rsidR="0025676B">
        <w:t>atch (CCEW)</w:t>
      </w:r>
      <w:r>
        <w:t xml:space="preserve"> </w:t>
      </w:r>
      <w:r w:rsidRPr="00334DF3">
        <w:t>Implementation</w:t>
      </w:r>
      <w:r>
        <w:t xml:space="preserve"> Plan</w:t>
      </w:r>
      <w:bookmarkEnd w:id="33"/>
      <w:bookmarkEnd w:id="34"/>
    </w:p>
    <w:p w14:paraId="52AA4600" w14:textId="23BB8CE9" w:rsidR="00334DF3" w:rsidRDefault="00334DF3" w:rsidP="00334DF3">
      <w:pPr>
        <w:pStyle w:val="Heading1"/>
      </w:pPr>
      <w:bookmarkStart w:id="35" w:name="_Toc47619619"/>
      <w:r>
        <w:t>Program Overview</w:t>
      </w:r>
      <w:bookmarkEnd w:id="35"/>
    </w:p>
    <w:p w14:paraId="4B41C9BC" w14:textId="1CFD8B3A" w:rsidR="008A4C20" w:rsidRDefault="001F13DB" w:rsidP="00D21A5D">
      <w:r>
        <w:t>The Central California Energy Watch is a non-resource program offering under the PG&amp;E Public Sector portfolio</w:t>
      </w:r>
      <w:r w:rsidR="00CA7B33">
        <w:t xml:space="preserve">.  </w:t>
      </w:r>
      <w:r w:rsidR="00985C0A">
        <w:t xml:space="preserve">The CCEW is designed to develop energy savings opportunities in Public Sector infrastructure, develop and deliver project leads to PG&amp;E’s Resource Acquisition Programs (RAP), and develop short, mid and long-term energy efficiency project pipelines.  </w:t>
      </w:r>
      <w:r w:rsidR="00CA7B33">
        <w:t>The program runs from July 1, 2020</w:t>
      </w:r>
      <w:r w:rsidR="00F24D8D">
        <w:t xml:space="preserve"> </w:t>
      </w:r>
      <w:r w:rsidR="00CA7B33">
        <w:t>-</w:t>
      </w:r>
      <w:r w:rsidR="00F24D8D">
        <w:t xml:space="preserve"> </w:t>
      </w:r>
      <w:r w:rsidR="00B0065D">
        <w:t xml:space="preserve">June 30, 2023. </w:t>
      </w:r>
      <w:r w:rsidR="00915B38">
        <w:t xml:space="preserve">The San Joaquin Valley Clean Energy Organization </w:t>
      </w:r>
      <w:r w:rsidR="0087607C">
        <w:t xml:space="preserve">(SJVCEO) implements the program. </w:t>
      </w:r>
    </w:p>
    <w:p w14:paraId="21B5E77B" w14:textId="77025DB8" w:rsidR="00334DF3" w:rsidRDefault="00334DF3" w:rsidP="00334DF3">
      <w:pPr>
        <w:pStyle w:val="Heading1"/>
      </w:pPr>
      <w:bookmarkStart w:id="36" w:name="_Toc47619620"/>
      <w:r>
        <w:t>Program Budget and Savings</w:t>
      </w:r>
      <w:bookmarkEnd w:id="36"/>
    </w:p>
    <w:p w14:paraId="30D259B9" w14:textId="6083D316" w:rsidR="00334DF3" w:rsidRDefault="00A546C8" w:rsidP="00334DF3">
      <w:pPr>
        <w:pStyle w:val="ListParagraph"/>
        <w:numPr>
          <w:ilvl w:val="0"/>
          <w:numId w:val="1"/>
        </w:numPr>
      </w:pPr>
      <w:r>
        <w:t xml:space="preserve">Program Name: </w:t>
      </w:r>
      <w:r w:rsidR="00DB344C">
        <w:t>Central California Energy Watch (CCEW)</w:t>
      </w:r>
      <w:r>
        <w:t>.</w:t>
      </w:r>
    </w:p>
    <w:p w14:paraId="0FDACE35" w14:textId="4C951158" w:rsidR="00DB344C" w:rsidRDefault="00536B2D" w:rsidP="00334DF3">
      <w:pPr>
        <w:pStyle w:val="ListParagraph"/>
        <w:numPr>
          <w:ilvl w:val="0"/>
          <w:numId w:val="1"/>
        </w:numPr>
      </w:pPr>
      <w:r>
        <w:t>Program ID Number</w:t>
      </w:r>
      <w:r w:rsidR="00BE14B5">
        <w:t>: EEGA_CODE_#14</w:t>
      </w:r>
    </w:p>
    <w:p w14:paraId="314ABF7B" w14:textId="77777777" w:rsidR="00F35581" w:rsidRDefault="00F35581" w:rsidP="00334DF3">
      <w:pPr>
        <w:pStyle w:val="ListParagraph"/>
        <w:numPr>
          <w:ilvl w:val="0"/>
          <w:numId w:val="1"/>
        </w:numPr>
      </w:pPr>
      <w:r>
        <w:t xml:space="preserve">Budget </w:t>
      </w:r>
      <w:r w:rsidR="003B62AB">
        <w:t>T</w:t>
      </w:r>
      <w:r>
        <w:t>able</w:t>
      </w:r>
      <w:r w:rsidR="003B62AB">
        <w:t>:</w:t>
      </w:r>
    </w:p>
    <w:tbl>
      <w:tblPr>
        <w:tblStyle w:val="TableGrid"/>
        <w:tblW w:w="0" w:type="auto"/>
        <w:tblInd w:w="720" w:type="dxa"/>
        <w:tblLook w:val="04A0" w:firstRow="1" w:lastRow="0" w:firstColumn="1" w:lastColumn="0" w:noHBand="0" w:noVBand="1"/>
      </w:tblPr>
      <w:tblGrid>
        <w:gridCol w:w="1933"/>
        <w:gridCol w:w="1677"/>
        <w:gridCol w:w="1678"/>
        <w:gridCol w:w="1678"/>
        <w:gridCol w:w="1664"/>
      </w:tblGrid>
      <w:tr w:rsidR="001B2572" w14:paraId="19D27BE9" w14:textId="517647BA" w:rsidTr="001B2572">
        <w:tc>
          <w:tcPr>
            <w:tcW w:w="1682" w:type="dxa"/>
          </w:tcPr>
          <w:p w14:paraId="1F1DB0F0" w14:textId="77777777" w:rsidR="001B2572" w:rsidRPr="001B2572" w:rsidRDefault="001B2572" w:rsidP="003B62AB">
            <w:pPr>
              <w:pStyle w:val="ListParagraph"/>
              <w:ind w:left="0"/>
              <w:rPr>
                <w:b/>
                <w:bCs/>
              </w:rPr>
            </w:pPr>
          </w:p>
        </w:tc>
        <w:tc>
          <w:tcPr>
            <w:tcW w:w="1750" w:type="dxa"/>
          </w:tcPr>
          <w:p w14:paraId="5119AA8C" w14:textId="62AAA8B2" w:rsidR="001B2572" w:rsidRPr="001B2572" w:rsidRDefault="001B2572" w:rsidP="003B62AB">
            <w:pPr>
              <w:pStyle w:val="ListParagraph"/>
              <w:ind w:left="0"/>
              <w:rPr>
                <w:b/>
                <w:bCs/>
              </w:rPr>
            </w:pPr>
            <w:r>
              <w:rPr>
                <w:b/>
                <w:bCs/>
              </w:rPr>
              <w:t>Y1</w:t>
            </w:r>
          </w:p>
        </w:tc>
        <w:tc>
          <w:tcPr>
            <w:tcW w:w="1750" w:type="dxa"/>
          </w:tcPr>
          <w:p w14:paraId="60B0A203" w14:textId="269EE2EE" w:rsidR="001B2572" w:rsidRPr="001B2572" w:rsidRDefault="001B2572" w:rsidP="003B62AB">
            <w:pPr>
              <w:pStyle w:val="ListParagraph"/>
              <w:ind w:left="0"/>
              <w:rPr>
                <w:b/>
                <w:bCs/>
              </w:rPr>
            </w:pPr>
            <w:r>
              <w:rPr>
                <w:b/>
                <w:bCs/>
              </w:rPr>
              <w:t>Y2</w:t>
            </w:r>
          </w:p>
        </w:tc>
        <w:tc>
          <w:tcPr>
            <w:tcW w:w="1750" w:type="dxa"/>
          </w:tcPr>
          <w:p w14:paraId="73442F2B" w14:textId="6B4BD444" w:rsidR="001B2572" w:rsidRPr="001B2572" w:rsidRDefault="001B2572" w:rsidP="003B62AB">
            <w:pPr>
              <w:pStyle w:val="ListParagraph"/>
              <w:ind w:left="0"/>
              <w:rPr>
                <w:b/>
                <w:bCs/>
              </w:rPr>
            </w:pPr>
            <w:r>
              <w:rPr>
                <w:b/>
                <w:bCs/>
              </w:rPr>
              <w:t>Y3</w:t>
            </w:r>
          </w:p>
        </w:tc>
        <w:tc>
          <w:tcPr>
            <w:tcW w:w="1698" w:type="dxa"/>
          </w:tcPr>
          <w:p w14:paraId="41AA7F2A" w14:textId="385263CD" w:rsidR="001B2572" w:rsidRDefault="001B2572" w:rsidP="003B62AB">
            <w:pPr>
              <w:pStyle w:val="ListParagraph"/>
              <w:ind w:left="0"/>
              <w:rPr>
                <w:b/>
                <w:bCs/>
              </w:rPr>
            </w:pPr>
            <w:r>
              <w:rPr>
                <w:b/>
                <w:bCs/>
              </w:rPr>
              <w:t>Total</w:t>
            </w:r>
          </w:p>
        </w:tc>
      </w:tr>
      <w:tr w:rsidR="001B2572" w14:paraId="11AFA65A" w14:textId="1637149F" w:rsidTr="001B2572">
        <w:tc>
          <w:tcPr>
            <w:tcW w:w="1682" w:type="dxa"/>
          </w:tcPr>
          <w:p w14:paraId="3AE853B7" w14:textId="57623BFB" w:rsidR="001B2572" w:rsidRPr="001B2572" w:rsidRDefault="001B2572" w:rsidP="003B62AB">
            <w:pPr>
              <w:pStyle w:val="ListParagraph"/>
              <w:ind w:left="0"/>
              <w:rPr>
                <w:b/>
                <w:bCs/>
              </w:rPr>
            </w:pPr>
            <w:r>
              <w:rPr>
                <w:b/>
                <w:bCs/>
              </w:rPr>
              <w:t>ADMIN</w:t>
            </w:r>
          </w:p>
        </w:tc>
        <w:tc>
          <w:tcPr>
            <w:tcW w:w="1750" w:type="dxa"/>
          </w:tcPr>
          <w:p w14:paraId="7DE0648D" w14:textId="4130579F" w:rsidR="001B2572" w:rsidRDefault="00614425" w:rsidP="003B62AB">
            <w:pPr>
              <w:pStyle w:val="ListParagraph"/>
              <w:ind w:left="0"/>
            </w:pPr>
            <w:r>
              <w:t>$</w:t>
            </w:r>
            <w:r w:rsidR="001A2229">
              <w:t>66,500.00</w:t>
            </w:r>
          </w:p>
        </w:tc>
        <w:tc>
          <w:tcPr>
            <w:tcW w:w="1750" w:type="dxa"/>
          </w:tcPr>
          <w:p w14:paraId="247E6398" w14:textId="4024422F" w:rsidR="001B2572" w:rsidRDefault="001A2229" w:rsidP="003B62AB">
            <w:pPr>
              <w:pStyle w:val="ListParagraph"/>
              <w:ind w:left="0"/>
            </w:pPr>
            <w:r>
              <w:t>$66,500.00</w:t>
            </w:r>
          </w:p>
        </w:tc>
        <w:tc>
          <w:tcPr>
            <w:tcW w:w="1750" w:type="dxa"/>
          </w:tcPr>
          <w:p w14:paraId="1FBF8720" w14:textId="4A0BDE3D" w:rsidR="001B2572" w:rsidRDefault="001A2229" w:rsidP="003B62AB">
            <w:pPr>
              <w:pStyle w:val="ListParagraph"/>
              <w:ind w:left="0"/>
            </w:pPr>
            <w:r>
              <w:t>$66,500.00</w:t>
            </w:r>
          </w:p>
        </w:tc>
        <w:tc>
          <w:tcPr>
            <w:tcW w:w="1698" w:type="dxa"/>
          </w:tcPr>
          <w:p w14:paraId="5A1EE490" w14:textId="3FD34055" w:rsidR="001B2572" w:rsidRDefault="00ED0515" w:rsidP="003B62AB">
            <w:pPr>
              <w:pStyle w:val="ListParagraph"/>
              <w:ind w:left="0"/>
            </w:pPr>
            <w:r>
              <w:t>$199,500.00</w:t>
            </w:r>
          </w:p>
        </w:tc>
      </w:tr>
      <w:tr w:rsidR="001B2572" w14:paraId="3C8E6ECE" w14:textId="6197C066" w:rsidTr="001B2572">
        <w:tc>
          <w:tcPr>
            <w:tcW w:w="1682" w:type="dxa"/>
          </w:tcPr>
          <w:p w14:paraId="1A8D885D" w14:textId="20DB96A4" w:rsidR="001B2572" w:rsidRPr="001B2572" w:rsidRDefault="001B2572" w:rsidP="003B62AB">
            <w:pPr>
              <w:pStyle w:val="ListParagraph"/>
              <w:ind w:left="0"/>
              <w:rPr>
                <w:b/>
                <w:bCs/>
              </w:rPr>
            </w:pPr>
            <w:r>
              <w:rPr>
                <w:b/>
                <w:bCs/>
              </w:rPr>
              <w:t>M</w:t>
            </w:r>
            <w:r w:rsidR="00F24D8D">
              <w:rPr>
                <w:b/>
                <w:bCs/>
              </w:rPr>
              <w:t>ARKETING</w:t>
            </w:r>
          </w:p>
        </w:tc>
        <w:tc>
          <w:tcPr>
            <w:tcW w:w="1750" w:type="dxa"/>
          </w:tcPr>
          <w:p w14:paraId="42B51E11" w14:textId="2E821FCD" w:rsidR="001B2572" w:rsidRDefault="001A2229" w:rsidP="003B62AB">
            <w:pPr>
              <w:pStyle w:val="ListParagraph"/>
              <w:ind w:left="0"/>
            </w:pPr>
            <w:r>
              <w:t>$40,915.00</w:t>
            </w:r>
          </w:p>
        </w:tc>
        <w:tc>
          <w:tcPr>
            <w:tcW w:w="1750" w:type="dxa"/>
          </w:tcPr>
          <w:p w14:paraId="394F5A8D" w14:textId="45B23B4D" w:rsidR="001B2572" w:rsidRDefault="001A2229" w:rsidP="003B62AB">
            <w:pPr>
              <w:pStyle w:val="ListParagraph"/>
              <w:ind w:left="0"/>
            </w:pPr>
            <w:r>
              <w:t>$41,337.00</w:t>
            </w:r>
          </w:p>
        </w:tc>
        <w:tc>
          <w:tcPr>
            <w:tcW w:w="1750" w:type="dxa"/>
          </w:tcPr>
          <w:p w14:paraId="3451AE09" w14:textId="3E24912F" w:rsidR="001B2572" w:rsidRDefault="001A2229" w:rsidP="003B62AB">
            <w:pPr>
              <w:pStyle w:val="ListParagraph"/>
              <w:ind w:left="0"/>
            </w:pPr>
            <w:r>
              <w:t>$</w:t>
            </w:r>
            <w:r w:rsidR="00D47608">
              <w:t>32,775.00</w:t>
            </w:r>
          </w:p>
        </w:tc>
        <w:tc>
          <w:tcPr>
            <w:tcW w:w="1698" w:type="dxa"/>
          </w:tcPr>
          <w:p w14:paraId="15BD0118" w14:textId="767C42AE" w:rsidR="001B2572" w:rsidRDefault="0088111E" w:rsidP="003B62AB">
            <w:pPr>
              <w:pStyle w:val="ListParagraph"/>
              <w:ind w:left="0"/>
            </w:pPr>
            <w:r>
              <w:t>$115,027.00</w:t>
            </w:r>
          </w:p>
        </w:tc>
      </w:tr>
      <w:tr w:rsidR="001B2572" w14:paraId="0DC7B0D2" w14:textId="4401D3CA" w:rsidTr="001B2572">
        <w:tc>
          <w:tcPr>
            <w:tcW w:w="1682" w:type="dxa"/>
          </w:tcPr>
          <w:p w14:paraId="3F3D9F04" w14:textId="425DBAFF" w:rsidR="001B2572" w:rsidRPr="001F05C6" w:rsidRDefault="00F24D8D" w:rsidP="003B62AB">
            <w:pPr>
              <w:pStyle w:val="ListParagraph"/>
              <w:ind w:left="0"/>
              <w:rPr>
                <w:b/>
                <w:bCs/>
              </w:rPr>
            </w:pPr>
            <w:r>
              <w:rPr>
                <w:b/>
                <w:bCs/>
              </w:rPr>
              <w:t>IMPLEMENTATION</w:t>
            </w:r>
          </w:p>
        </w:tc>
        <w:tc>
          <w:tcPr>
            <w:tcW w:w="1750" w:type="dxa"/>
          </w:tcPr>
          <w:p w14:paraId="3A0A2F8D" w14:textId="0E0F8C5F" w:rsidR="001B2572" w:rsidRDefault="00D47608" w:rsidP="003B62AB">
            <w:pPr>
              <w:pStyle w:val="ListParagraph"/>
              <w:ind w:left="0"/>
            </w:pPr>
            <w:r>
              <w:t>$534,000.00</w:t>
            </w:r>
          </w:p>
        </w:tc>
        <w:tc>
          <w:tcPr>
            <w:tcW w:w="1750" w:type="dxa"/>
          </w:tcPr>
          <w:p w14:paraId="33CEF88F" w14:textId="5A179285" w:rsidR="001B2572" w:rsidRDefault="00D47608" w:rsidP="003B62AB">
            <w:pPr>
              <w:pStyle w:val="ListParagraph"/>
              <w:ind w:left="0"/>
            </w:pPr>
            <w:r>
              <w:t>$566,250.00</w:t>
            </w:r>
          </w:p>
        </w:tc>
        <w:tc>
          <w:tcPr>
            <w:tcW w:w="1750" w:type="dxa"/>
          </w:tcPr>
          <w:p w14:paraId="2622529A" w14:textId="23F96739" w:rsidR="001B2572" w:rsidRDefault="00D47608" w:rsidP="003B62AB">
            <w:pPr>
              <w:pStyle w:val="ListParagraph"/>
              <w:ind w:left="0"/>
            </w:pPr>
            <w:r>
              <w:t>$550,250</w:t>
            </w:r>
            <w:r w:rsidR="00B722EE">
              <w:t>.00</w:t>
            </w:r>
          </w:p>
        </w:tc>
        <w:tc>
          <w:tcPr>
            <w:tcW w:w="1698" w:type="dxa"/>
          </w:tcPr>
          <w:p w14:paraId="1526B85D" w14:textId="1AA0902C" w:rsidR="001B2572" w:rsidRDefault="007A207B" w:rsidP="003B62AB">
            <w:pPr>
              <w:pStyle w:val="ListParagraph"/>
              <w:ind w:left="0"/>
            </w:pPr>
            <w:r>
              <w:t>$1,650,500.00</w:t>
            </w:r>
          </w:p>
        </w:tc>
      </w:tr>
      <w:tr w:rsidR="001B2572" w14:paraId="70B067C9" w14:textId="35A0AD34" w:rsidTr="001B2572">
        <w:tc>
          <w:tcPr>
            <w:tcW w:w="1682" w:type="dxa"/>
          </w:tcPr>
          <w:p w14:paraId="40D717B8" w14:textId="713562FF" w:rsidR="001B2572" w:rsidRPr="001F05C6" w:rsidRDefault="001F05C6" w:rsidP="003B62AB">
            <w:pPr>
              <w:pStyle w:val="ListParagraph"/>
              <w:ind w:left="0"/>
              <w:rPr>
                <w:b/>
                <w:bCs/>
              </w:rPr>
            </w:pPr>
            <w:r>
              <w:rPr>
                <w:b/>
                <w:bCs/>
              </w:rPr>
              <w:t>TOTAL</w:t>
            </w:r>
          </w:p>
        </w:tc>
        <w:tc>
          <w:tcPr>
            <w:tcW w:w="1750" w:type="dxa"/>
          </w:tcPr>
          <w:p w14:paraId="16B5C6DD" w14:textId="463F0330" w:rsidR="001B2572" w:rsidRPr="00E8126B" w:rsidRDefault="001F05C6" w:rsidP="003B62AB">
            <w:pPr>
              <w:pStyle w:val="ListParagraph"/>
              <w:ind w:left="0"/>
              <w:rPr>
                <w:b/>
                <w:bCs/>
              </w:rPr>
            </w:pPr>
            <w:r w:rsidRPr="00E8126B">
              <w:rPr>
                <w:b/>
                <w:bCs/>
              </w:rPr>
              <w:t>$641,415.00</w:t>
            </w:r>
          </w:p>
        </w:tc>
        <w:tc>
          <w:tcPr>
            <w:tcW w:w="1750" w:type="dxa"/>
          </w:tcPr>
          <w:p w14:paraId="569AB7AB" w14:textId="0ECE74BF" w:rsidR="001B2572" w:rsidRPr="00E8126B" w:rsidRDefault="001F05C6" w:rsidP="003B62AB">
            <w:pPr>
              <w:pStyle w:val="ListParagraph"/>
              <w:ind w:left="0"/>
              <w:rPr>
                <w:b/>
                <w:bCs/>
              </w:rPr>
            </w:pPr>
            <w:r w:rsidRPr="00E8126B">
              <w:rPr>
                <w:b/>
                <w:bCs/>
              </w:rPr>
              <w:t>$6</w:t>
            </w:r>
            <w:r w:rsidR="00902C19" w:rsidRPr="00E8126B">
              <w:rPr>
                <w:b/>
                <w:bCs/>
              </w:rPr>
              <w:t>74,087.00</w:t>
            </w:r>
          </w:p>
        </w:tc>
        <w:tc>
          <w:tcPr>
            <w:tcW w:w="1750" w:type="dxa"/>
          </w:tcPr>
          <w:p w14:paraId="0884FB7C" w14:textId="0D37669C" w:rsidR="001B2572" w:rsidRPr="00E8126B" w:rsidRDefault="00902C19" w:rsidP="003B62AB">
            <w:pPr>
              <w:pStyle w:val="ListParagraph"/>
              <w:ind w:left="0"/>
              <w:rPr>
                <w:b/>
                <w:bCs/>
              </w:rPr>
            </w:pPr>
            <w:r w:rsidRPr="00E8126B">
              <w:rPr>
                <w:b/>
                <w:bCs/>
              </w:rPr>
              <w:t>$649,525.00</w:t>
            </w:r>
          </w:p>
        </w:tc>
        <w:tc>
          <w:tcPr>
            <w:tcW w:w="1698" w:type="dxa"/>
          </w:tcPr>
          <w:p w14:paraId="70216EF7" w14:textId="20FF4BA8" w:rsidR="001B2572" w:rsidRPr="00E8126B" w:rsidRDefault="00902C19" w:rsidP="003B62AB">
            <w:pPr>
              <w:pStyle w:val="ListParagraph"/>
              <w:ind w:left="0"/>
              <w:rPr>
                <w:b/>
                <w:bCs/>
              </w:rPr>
            </w:pPr>
            <w:r w:rsidRPr="00E8126B">
              <w:rPr>
                <w:b/>
                <w:bCs/>
              </w:rPr>
              <w:t>$1,965,</w:t>
            </w:r>
            <w:r w:rsidR="00E8126B" w:rsidRPr="00E8126B">
              <w:rPr>
                <w:b/>
                <w:bCs/>
              </w:rPr>
              <w:t>027.00</w:t>
            </w:r>
          </w:p>
        </w:tc>
      </w:tr>
    </w:tbl>
    <w:p w14:paraId="3AA98A98" w14:textId="1E69B2FF" w:rsidR="003B62AB" w:rsidRDefault="003B62AB" w:rsidP="003B62AB">
      <w:pPr>
        <w:pStyle w:val="ListParagraph"/>
      </w:pPr>
    </w:p>
    <w:p w14:paraId="097EFBBA" w14:textId="145A651A" w:rsidR="00F35581" w:rsidRDefault="003B62AB" w:rsidP="00334DF3">
      <w:pPr>
        <w:pStyle w:val="ListParagraph"/>
        <w:numPr>
          <w:ilvl w:val="0"/>
          <w:numId w:val="1"/>
        </w:numPr>
      </w:pPr>
      <w:r>
        <w:t>Gross Impacts Table: Not applicable</w:t>
      </w:r>
      <w:r w:rsidR="00E31FD8">
        <w:t>, CCEW is a non-resource program</w:t>
      </w:r>
      <w:r w:rsidR="004E74CE">
        <w:t>.</w:t>
      </w:r>
    </w:p>
    <w:p w14:paraId="41A6BC34" w14:textId="385FE366" w:rsidR="003B62AB" w:rsidRDefault="004E74CE" w:rsidP="00334DF3">
      <w:pPr>
        <w:pStyle w:val="ListParagraph"/>
        <w:numPr>
          <w:ilvl w:val="0"/>
          <w:numId w:val="1"/>
        </w:numPr>
      </w:pPr>
      <w:r>
        <w:t xml:space="preserve">Cost Effectiveness (TRC): </w:t>
      </w:r>
      <w:r w:rsidR="00E31FD8">
        <w:t>Not applicable, CCEW is a non-resource program.</w:t>
      </w:r>
    </w:p>
    <w:p w14:paraId="22BA5311" w14:textId="0D5C2BF8" w:rsidR="004E74CE" w:rsidRDefault="00A546C8" w:rsidP="00334DF3">
      <w:pPr>
        <w:pStyle w:val="ListParagraph"/>
        <w:numPr>
          <w:ilvl w:val="0"/>
          <w:numId w:val="1"/>
        </w:numPr>
      </w:pPr>
      <w:r>
        <w:t xml:space="preserve">Cost Effectiveness (PAC): </w:t>
      </w:r>
      <w:r w:rsidR="00E31FD8">
        <w:t>Not applicable, CCEW is a non-resource program.</w:t>
      </w:r>
    </w:p>
    <w:p w14:paraId="07554975" w14:textId="170C15CD" w:rsidR="00A546C8" w:rsidRDefault="00A546C8" w:rsidP="00334DF3">
      <w:pPr>
        <w:pStyle w:val="ListParagraph"/>
        <w:numPr>
          <w:ilvl w:val="0"/>
          <w:numId w:val="1"/>
        </w:numPr>
      </w:pPr>
      <w:r>
        <w:t>Type of Program:</w:t>
      </w:r>
      <w:r w:rsidR="00D20327">
        <w:t xml:space="preserve">  Partnership</w:t>
      </w:r>
      <w:r w:rsidR="00E6409B">
        <w:t>.</w:t>
      </w:r>
    </w:p>
    <w:p w14:paraId="1EBBC9C8" w14:textId="61EF780C" w:rsidR="00E6409B" w:rsidRDefault="00E6409B" w:rsidP="00334DF3">
      <w:pPr>
        <w:pStyle w:val="ListParagraph"/>
        <w:numPr>
          <w:ilvl w:val="0"/>
          <w:numId w:val="1"/>
        </w:numPr>
      </w:pPr>
      <w:r>
        <w:t>Market Sector: Public.</w:t>
      </w:r>
    </w:p>
    <w:p w14:paraId="3ADD446B" w14:textId="6C96B78F" w:rsidR="00E6409B" w:rsidRDefault="00AB3642" w:rsidP="00334DF3">
      <w:pPr>
        <w:pStyle w:val="ListParagraph"/>
        <w:numPr>
          <w:ilvl w:val="0"/>
          <w:numId w:val="1"/>
        </w:numPr>
      </w:pPr>
      <w:r>
        <w:t>Program Type: Non-resource.</w:t>
      </w:r>
    </w:p>
    <w:p w14:paraId="4A0D6B46" w14:textId="096FFB22" w:rsidR="00AB3642" w:rsidRDefault="00AB3642" w:rsidP="00334DF3">
      <w:pPr>
        <w:pStyle w:val="ListParagraph"/>
        <w:numPr>
          <w:ilvl w:val="0"/>
          <w:numId w:val="1"/>
        </w:numPr>
      </w:pPr>
      <w:r>
        <w:t>Market channel(s)</w:t>
      </w:r>
      <w:r w:rsidR="00DC73EA">
        <w:t xml:space="preserve"> and Intervention Strategies</w:t>
      </w:r>
      <w:r w:rsidR="001E1E09">
        <w:t>, campaign goals, and timeline</w:t>
      </w:r>
      <w:r w:rsidR="00DC73EA">
        <w:t xml:space="preserve">: </w:t>
      </w:r>
    </w:p>
    <w:p w14:paraId="0991DB33" w14:textId="79DDE56B" w:rsidR="00536B2D" w:rsidRDefault="00F35B0B" w:rsidP="00E31FD8">
      <w:pPr>
        <w:pStyle w:val="ListParagraph"/>
        <w:numPr>
          <w:ilvl w:val="0"/>
          <w:numId w:val="8"/>
        </w:numPr>
      </w:pPr>
      <w:r>
        <w:t>Market channel(s):</w:t>
      </w:r>
      <w:r w:rsidR="009B5D62">
        <w:t xml:space="preserve"> </w:t>
      </w:r>
      <w:r w:rsidR="00AF4346">
        <w:t>D</w:t>
      </w:r>
      <w:r w:rsidR="009B5D62">
        <w:t>ownstrea</w:t>
      </w:r>
      <w:r w:rsidR="002340F4">
        <w:t>m</w:t>
      </w:r>
      <w:r w:rsidR="00AF4346">
        <w:t>.</w:t>
      </w:r>
    </w:p>
    <w:p w14:paraId="65556816" w14:textId="61D102C7" w:rsidR="007620BF" w:rsidRDefault="007620BF" w:rsidP="00E31FD8">
      <w:pPr>
        <w:pStyle w:val="ListParagraph"/>
        <w:numPr>
          <w:ilvl w:val="0"/>
          <w:numId w:val="8"/>
        </w:numPr>
      </w:pPr>
      <w:r>
        <w:t>Intervention strategies:</w:t>
      </w:r>
      <w:r w:rsidR="00AF4346">
        <w:t xml:space="preserve"> Technical assistance</w:t>
      </w:r>
      <w:r w:rsidR="0013797B">
        <w:t>, capacity building</w:t>
      </w:r>
      <w:r w:rsidR="00F83094">
        <w:t>.</w:t>
      </w:r>
      <w:r w:rsidR="0013797B">
        <w:t xml:space="preserve"> </w:t>
      </w:r>
    </w:p>
    <w:p w14:paraId="0EAC8C9B" w14:textId="4D9B3280" w:rsidR="00F35B0B" w:rsidRDefault="00F35B0B" w:rsidP="00E31FD8">
      <w:pPr>
        <w:pStyle w:val="ListParagraph"/>
        <w:numPr>
          <w:ilvl w:val="0"/>
          <w:numId w:val="8"/>
        </w:numPr>
      </w:pPr>
      <w:r>
        <w:t xml:space="preserve">Campaign goals: </w:t>
      </w:r>
    </w:p>
    <w:p w14:paraId="55ED2E24" w14:textId="6653D409" w:rsidR="008C7DA7" w:rsidRDefault="008C7DA7" w:rsidP="00B97DC5">
      <w:pPr>
        <w:pStyle w:val="ListParagraph"/>
        <w:numPr>
          <w:ilvl w:val="1"/>
          <w:numId w:val="9"/>
        </w:numPr>
      </w:pPr>
      <w:r>
        <w:t>GHG Emission Reduction</w:t>
      </w:r>
    </w:p>
    <w:p w14:paraId="38FA4D5D" w14:textId="0764CBE2" w:rsidR="008C7DA7" w:rsidRDefault="00D75212" w:rsidP="00B97DC5">
      <w:pPr>
        <w:pStyle w:val="ListParagraph"/>
        <w:numPr>
          <w:ilvl w:val="1"/>
          <w:numId w:val="9"/>
        </w:numPr>
      </w:pPr>
      <w:r>
        <w:t>Lower Public Agency Energy Costs</w:t>
      </w:r>
    </w:p>
    <w:p w14:paraId="40EE4437" w14:textId="649703C2" w:rsidR="00D75212" w:rsidRDefault="00D75212" w:rsidP="00B97DC5">
      <w:pPr>
        <w:pStyle w:val="ListParagraph"/>
        <w:numPr>
          <w:ilvl w:val="1"/>
          <w:numId w:val="9"/>
        </w:numPr>
      </w:pPr>
      <w:r>
        <w:t>Support Local Control</w:t>
      </w:r>
    </w:p>
    <w:p w14:paraId="107807E4" w14:textId="2874E3BC" w:rsidR="00D75212" w:rsidRDefault="00D75212" w:rsidP="00B97DC5">
      <w:pPr>
        <w:pStyle w:val="ListParagraph"/>
        <w:numPr>
          <w:ilvl w:val="1"/>
          <w:numId w:val="9"/>
        </w:numPr>
      </w:pPr>
      <w:r>
        <w:t xml:space="preserve">ZNE Local Governments by </w:t>
      </w:r>
      <w:r w:rsidR="00D353D9">
        <w:t>2033</w:t>
      </w:r>
    </w:p>
    <w:p w14:paraId="1F899111" w14:textId="12905E18" w:rsidR="00F35B0B" w:rsidRDefault="009B5D62" w:rsidP="00E31FD8">
      <w:pPr>
        <w:pStyle w:val="ListParagraph"/>
        <w:numPr>
          <w:ilvl w:val="0"/>
          <w:numId w:val="8"/>
        </w:numPr>
      </w:pPr>
      <w:r>
        <w:t>Timeline:</w:t>
      </w:r>
      <w:r w:rsidR="00D353D9">
        <w:t xml:space="preserve"> July </w:t>
      </w:r>
      <w:r w:rsidR="00D62E33">
        <w:t>1, 2020 through June 30, 2023.</w:t>
      </w:r>
    </w:p>
    <w:p w14:paraId="370DA34F" w14:textId="42328041" w:rsidR="00334DF3" w:rsidRDefault="00334DF3" w:rsidP="00334DF3">
      <w:pPr>
        <w:pStyle w:val="Heading1"/>
      </w:pPr>
      <w:bookmarkStart w:id="37" w:name="_Toc47619621"/>
      <w:r>
        <w:t>Implementation Plan Narrative</w:t>
      </w:r>
      <w:bookmarkEnd w:id="37"/>
    </w:p>
    <w:p w14:paraId="266F114F" w14:textId="25D99CC5" w:rsidR="00334DF3" w:rsidRDefault="00334DF3" w:rsidP="00334DF3">
      <w:pPr>
        <w:pStyle w:val="ListParagraph"/>
        <w:numPr>
          <w:ilvl w:val="0"/>
          <w:numId w:val="2"/>
        </w:numPr>
      </w:pPr>
      <w:bookmarkStart w:id="38" w:name="_Toc47619622"/>
      <w:r w:rsidRPr="006042AB">
        <w:rPr>
          <w:rStyle w:val="Heading3Char"/>
        </w:rPr>
        <w:t>Program Description</w:t>
      </w:r>
      <w:bookmarkEnd w:id="38"/>
      <w:r>
        <w:rPr>
          <w:b/>
          <w:bCs/>
        </w:rPr>
        <w:t>:</w:t>
      </w:r>
      <w:r w:rsidR="00643D98">
        <w:rPr>
          <w:b/>
          <w:bCs/>
        </w:rPr>
        <w:t xml:space="preserve"> </w:t>
      </w:r>
      <w:r w:rsidR="00D21A5D" w:rsidRPr="00D21A5D">
        <w:t>The CCEW is</w:t>
      </w:r>
      <w:r w:rsidR="00643D98">
        <w:t xml:space="preserve"> a p</w:t>
      </w:r>
      <w:r w:rsidR="00B63C70">
        <w:t>ublic agency focused program</w:t>
      </w:r>
      <w:r w:rsidR="003F2E06">
        <w:t xml:space="preserve"> to help </w:t>
      </w:r>
      <w:r w:rsidR="00D71588">
        <w:t>h</w:t>
      </w:r>
      <w:r w:rsidR="003F2E06">
        <w:t>ard-to-reach</w:t>
      </w:r>
      <w:r w:rsidR="00D71588">
        <w:t xml:space="preserve"> (HTR)</w:t>
      </w:r>
      <w:r w:rsidR="003F2E06">
        <w:t xml:space="preserve"> and Disadvantaged </w:t>
      </w:r>
      <w:r w:rsidR="0025676B">
        <w:t>Communities</w:t>
      </w:r>
      <w:r w:rsidR="00D71588">
        <w:t xml:space="preserve"> (DAC)</w:t>
      </w:r>
      <w:r w:rsidR="003F2E06">
        <w:t xml:space="preserve"> </w:t>
      </w:r>
      <w:r w:rsidR="009E5190">
        <w:t>access, understand, and participate in energy efficiency through I</w:t>
      </w:r>
      <w:r w:rsidR="008216B4">
        <w:t xml:space="preserve">nvestor </w:t>
      </w:r>
      <w:r w:rsidR="009E5190">
        <w:t>O</w:t>
      </w:r>
      <w:r w:rsidR="008216B4">
        <w:t xml:space="preserve">wned </w:t>
      </w:r>
      <w:r w:rsidR="009E5190">
        <w:t>U</w:t>
      </w:r>
      <w:r w:rsidR="008216B4">
        <w:t>tility (IOU)</w:t>
      </w:r>
      <w:r w:rsidR="009E5190">
        <w:t xml:space="preserve"> administered</w:t>
      </w:r>
      <w:r w:rsidR="00CE100C">
        <w:t xml:space="preserve">, third-party programs.  </w:t>
      </w:r>
      <w:r w:rsidR="00643D98">
        <w:t>The program b</w:t>
      </w:r>
      <w:r w:rsidR="00CE100C">
        <w:t>uilds on existing relationships</w:t>
      </w:r>
      <w:r w:rsidR="0025676B">
        <w:t>, data, and experience to align to the PG&amp;E portfolio vision for L</w:t>
      </w:r>
      <w:r w:rsidR="008216B4">
        <w:t xml:space="preserve">ocal Government </w:t>
      </w:r>
      <w:r w:rsidR="0025676B">
        <w:t>P</w:t>
      </w:r>
      <w:r w:rsidR="008216B4">
        <w:t>artnership</w:t>
      </w:r>
      <w:r w:rsidR="0025676B">
        <w:t>s</w:t>
      </w:r>
      <w:r w:rsidR="008216B4">
        <w:t xml:space="preserve"> (LGP)</w:t>
      </w:r>
      <w:r w:rsidR="0025676B">
        <w:t>.</w:t>
      </w:r>
    </w:p>
    <w:p w14:paraId="29F35A33" w14:textId="162AE4AB" w:rsidR="0092592C" w:rsidRDefault="00BE2D0F" w:rsidP="0092592C">
      <w:pPr>
        <w:pStyle w:val="NoSpacing"/>
        <w:ind w:left="720"/>
        <w:rPr>
          <w:lang w:val="x-none"/>
        </w:rPr>
      </w:pPr>
      <w:r>
        <w:lastRenderedPageBreak/>
        <w:t xml:space="preserve">Access and time are the primary barriers of HTR public agencies, as described throughout this document. </w:t>
      </w:r>
      <w:r w:rsidR="008A24A5" w:rsidRPr="003512F6">
        <w:rPr>
          <w:lang w:val="x-none"/>
        </w:rPr>
        <w:t xml:space="preserve">Equity in access to resources will yield scaled energy savings in geographically </w:t>
      </w:r>
      <w:r w:rsidR="008A24A5" w:rsidRPr="003512F6">
        <w:t>HTR</w:t>
      </w:r>
      <w:r w:rsidR="008A24A5" w:rsidRPr="003512F6">
        <w:rPr>
          <w:lang w:val="x-none"/>
        </w:rPr>
        <w:t xml:space="preserve"> public agencies, resulting in lower RAP costs and more cost-effective </w:t>
      </w:r>
      <w:r w:rsidR="008A24A5" w:rsidRPr="003512F6">
        <w:t>EE</w:t>
      </w:r>
      <w:r w:rsidR="008A24A5" w:rsidRPr="003512F6">
        <w:rPr>
          <w:lang w:val="x-none"/>
        </w:rPr>
        <w:t xml:space="preserve"> portfolio for PG&amp;E.  By creating a common approach to support efficient systems, while maintaining the ability to respond to local concerns, we will move HTR and DAC public agencies towards increased capacity, working together to improve the quality of life throughout Central California. </w:t>
      </w:r>
    </w:p>
    <w:p w14:paraId="21957D2C" w14:textId="77777777" w:rsidR="00DA0E36" w:rsidRDefault="00DA0E36" w:rsidP="0092592C">
      <w:pPr>
        <w:pStyle w:val="NoSpacing"/>
        <w:ind w:left="720"/>
      </w:pPr>
    </w:p>
    <w:p w14:paraId="7D30E7C7" w14:textId="53D9E367" w:rsidR="003A0B43" w:rsidRDefault="009638A0" w:rsidP="00301BC8">
      <w:pPr>
        <w:pStyle w:val="ListParagraph"/>
      </w:pPr>
      <w:r w:rsidRPr="00E435CA">
        <w:t>The CCEW territory is largely geographically</w:t>
      </w:r>
      <w:r>
        <w:t xml:space="preserve"> rural</w:t>
      </w:r>
      <w:r w:rsidRPr="00E435CA">
        <w:t xml:space="preserve"> (</w:t>
      </w:r>
      <w:r>
        <w:t>by the CPUC’s HTR definition</w:t>
      </w:r>
      <w:r>
        <w:rPr>
          <w:rStyle w:val="FootnoteReference"/>
        </w:rPr>
        <w:footnoteReference w:id="1"/>
      </w:r>
      <w:r>
        <w:t xml:space="preserve"> </w:t>
      </w:r>
      <w:r w:rsidRPr="00E435CA">
        <w:t xml:space="preserve">Stanislaus, San Joaquin and Merced counties are part of the Bay Area Metropolitan Statistical Area and not considered </w:t>
      </w:r>
      <w:r>
        <w:t xml:space="preserve">rural; </w:t>
      </w:r>
      <w:r w:rsidRPr="00E435CA">
        <w:t xml:space="preserve">Monterey, Madera, Fresno, Tulare, Kings and Kern counties are all considered </w:t>
      </w:r>
      <w:r>
        <w:t>rural</w:t>
      </w:r>
      <w:r w:rsidRPr="00E435CA">
        <w:t xml:space="preserve">). Accessing our communities is cost intensive for RAPs. Labor and travel costs increase dramatically the further from an urban center a provider goes. By being based in Central California, we can reach the </w:t>
      </w:r>
      <w:r>
        <w:t>customer</w:t>
      </w:r>
      <w:r w:rsidRPr="00E435CA">
        <w:t xml:space="preserve"> in a more cost-effective manner. Our program expends the effort to queue up a project pipeline, eliminating the need for RAPs to travel repeatedly to our communities without the certainty of opportunity conversion. </w:t>
      </w:r>
    </w:p>
    <w:p w14:paraId="6787D432" w14:textId="60E470D5" w:rsidR="00830BE9" w:rsidRDefault="00830BE9" w:rsidP="00301BC8">
      <w:pPr>
        <w:pStyle w:val="ListParagraph"/>
      </w:pPr>
    </w:p>
    <w:p w14:paraId="36C98015" w14:textId="071D893C" w:rsidR="00830BE9" w:rsidRDefault="00830BE9" w:rsidP="00301BC8">
      <w:pPr>
        <w:pStyle w:val="ListParagraph"/>
      </w:pPr>
      <w:r>
        <w:t>Our goals are broad but designed to support public agencies on their path toward Zero Net Energy (Z</w:t>
      </w:r>
      <w:r w:rsidR="00AE3C88">
        <w:t>N</w:t>
      </w:r>
      <w:r>
        <w:t xml:space="preserve">E).  Each agency is on their own path toward their own energy goals, and the CCEW is designed to support them. </w:t>
      </w:r>
    </w:p>
    <w:p w14:paraId="134808A7" w14:textId="77777777" w:rsidR="00830BE9" w:rsidRDefault="00830BE9" w:rsidP="00830BE9">
      <w:pPr>
        <w:pStyle w:val="ListParagraph"/>
      </w:pPr>
      <w:r w:rsidRPr="00192329">
        <w:rPr>
          <w:b/>
          <w:bCs/>
        </w:rPr>
        <w:t>GOAL 1:</w:t>
      </w:r>
      <w:r>
        <w:t xml:space="preserve"> GHG emission reductions</w:t>
      </w:r>
    </w:p>
    <w:p w14:paraId="4D80BA92" w14:textId="77777777" w:rsidR="00830BE9" w:rsidRDefault="00830BE9" w:rsidP="00830BE9">
      <w:pPr>
        <w:pStyle w:val="ListParagraph"/>
      </w:pPr>
      <w:r w:rsidRPr="00192329">
        <w:rPr>
          <w:b/>
          <w:bCs/>
        </w:rPr>
        <w:t>GOAL 2:</w:t>
      </w:r>
      <w:r>
        <w:t xml:space="preserve"> Lower agency energy costs</w:t>
      </w:r>
    </w:p>
    <w:p w14:paraId="5E824CF4" w14:textId="01AEDB09" w:rsidR="00830BE9" w:rsidRDefault="00830BE9" w:rsidP="00830BE9">
      <w:pPr>
        <w:pStyle w:val="ListParagraph"/>
      </w:pPr>
      <w:r w:rsidRPr="00192329">
        <w:rPr>
          <w:b/>
          <w:bCs/>
        </w:rPr>
        <w:t>GOAL 3:</w:t>
      </w:r>
      <w:r>
        <w:t xml:space="preserve"> Support local control </w:t>
      </w:r>
    </w:p>
    <w:p w14:paraId="47CF0548" w14:textId="77777777" w:rsidR="00830BE9" w:rsidRDefault="00830BE9" w:rsidP="00830BE9">
      <w:pPr>
        <w:pStyle w:val="ListParagraph"/>
      </w:pPr>
      <w:r w:rsidRPr="00192329">
        <w:rPr>
          <w:b/>
          <w:bCs/>
        </w:rPr>
        <w:t>GOAL 4:</w:t>
      </w:r>
      <w:r>
        <w:t xml:space="preserve"> ZNE local governments by 2033</w:t>
      </w:r>
    </w:p>
    <w:p w14:paraId="7941E58B" w14:textId="538D93BB" w:rsidR="00650C8F" w:rsidRDefault="00650C8F" w:rsidP="00301BC8">
      <w:pPr>
        <w:pStyle w:val="ListParagraph"/>
        <w:rPr>
          <w:b/>
          <w:bCs/>
        </w:rPr>
      </w:pPr>
    </w:p>
    <w:p w14:paraId="79695202" w14:textId="2BC1E9D0" w:rsidR="00830BE9" w:rsidRPr="00830BE9" w:rsidRDefault="00830BE9" w:rsidP="00301BC8">
      <w:pPr>
        <w:pStyle w:val="ListParagraph"/>
      </w:pPr>
      <w:r>
        <w:t xml:space="preserve">The program objectives support CCEW partners on their energy journey and help prepare them for participating in the PG&amp;E RAPs. </w:t>
      </w:r>
    </w:p>
    <w:p w14:paraId="351C5B87" w14:textId="7ADFDD83" w:rsidR="00301BC8" w:rsidRDefault="00301BC8" w:rsidP="00301BC8">
      <w:pPr>
        <w:pStyle w:val="ListParagraph"/>
      </w:pPr>
      <w:r w:rsidRPr="00455639">
        <w:rPr>
          <w:b/>
          <w:bCs/>
        </w:rPr>
        <w:t>OBJECTIVE 1:</w:t>
      </w:r>
      <w:r>
        <w:t xml:space="preserve"> Support knowledge transfer among public agencies,</w:t>
      </w:r>
    </w:p>
    <w:p w14:paraId="1BF00EE8" w14:textId="7866CF86" w:rsidR="00301BC8" w:rsidRDefault="00301BC8" w:rsidP="00301BC8">
      <w:pPr>
        <w:pStyle w:val="ListParagraph"/>
      </w:pPr>
      <w:r w:rsidRPr="00FF6C4A">
        <w:rPr>
          <w:b/>
          <w:bCs/>
        </w:rPr>
        <w:t>OBJECTIVE 2</w:t>
      </w:r>
      <w:r>
        <w:t>: Facilitate public agency EE projects with deeper savings and more comprehensive EE tactics, leading to integrated energy solutions,</w:t>
      </w:r>
    </w:p>
    <w:p w14:paraId="63788AFC" w14:textId="387FA6BF" w:rsidR="00301BC8" w:rsidRDefault="00301BC8" w:rsidP="00301BC8">
      <w:pPr>
        <w:pStyle w:val="ListParagraph"/>
      </w:pPr>
      <w:r w:rsidRPr="00FF6C4A">
        <w:rPr>
          <w:b/>
          <w:bCs/>
        </w:rPr>
        <w:t>OBJECTIVE 3:</w:t>
      </w:r>
      <w:r>
        <w:t xml:space="preserve"> Leverage Strategic Energy Plans (or other strategy documents, i.e. Energy Action Plans, Climate Action Plans, GHG inventories, etc.)</w:t>
      </w:r>
    </w:p>
    <w:p w14:paraId="2278C1F0" w14:textId="5AD266DF" w:rsidR="00301BC8" w:rsidRDefault="00301BC8" w:rsidP="00301BC8">
      <w:pPr>
        <w:pStyle w:val="ListParagraph"/>
      </w:pPr>
      <w:r w:rsidRPr="00FF6C4A">
        <w:rPr>
          <w:b/>
          <w:bCs/>
        </w:rPr>
        <w:t>OBJECTIVE 4:</w:t>
      </w:r>
      <w:r>
        <w:t xml:space="preserve"> Create a common platform, all in largely HTR and DAC areas. </w:t>
      </w:r>
    </w:p>
    <w:p w14:paraId="0DB4C63E" w14:textId="453BF1B6" w:rsidR="00301BC8" w:rsidRDefault="00301BC8" w:rsidP="00301BC8">
      <w:pPr>
        <w:pStyle w:val="ListParagraph"/>
      </w:pPr>
    </w:p>
    <w:p w14:paraId="6FE66483" w14:textId="6C041755" w:rsidR="00334DF3" w:rsidRPr="00B426B8" w:rsidRDefault="00334DF3" w:rsidP="00334DF3">
      <w:pPr>
        <w:pStyle w:val="ListParagraph"/>
        <w:numPr>
          <w:ilvl w:val="0"/>
          <w:numId w:val="2"/>
        </w:numPr>
      </w:pPr>
      <w:bookmarkStart w:id="39" w:name="_Toc47619623"/>
      <w:r w:rsidRPr="006042AB">
        <w:rPr>
          <w:rStyle w:val="Heading3Char"/>
        </w:rPr>
        <w:t>Program Delivery and Customer Services</w:t>
      </w:r>
      <w:bookmarkEnd w:id="39"/>
      <w:r>
        <w:rPr>
          <w:b/>
          <w:bCs/>
        </w:rPr>
        <w:t>:</w:t>
      </w:r>
    </w:p>
    <w:p w14:paraId="6B171A42" w14:textId="73188FA0" w:rsidR="006E444C" w:rsidRPr="008D5747" w:rsidRDefault="00986E0E" w:rsidP="00986E0E">
      <w:pPr>
        <w:pStyle w:val="NoSpacing"/>
        <w:ind w:left="720"/>
        <w:rPr>
          <w:i/>
          <w:iCs/>
        </w:rPr>
      </w:pPr>
      <w:r w:rsidRPr="008D5747">
        <w:rPr>
          <w:i/>
          <w:iCs/>
        </w:rPr>
        <w:t>How</w:t>
      </w:r>
      <w:r w:rsidR="00A42140">
        <w:rPr>
          <w:i/>
          <w:iCs/>
        </w:rPr>
        <w:t xml:space="preserve"> will</w:t>
      </w:r>
      <w:r w:rsidRPr="008D5747">
        <w:rPr>
          <w:i/>
          <w:iCs/>
        </w:rPr>
        <w:t xml:space="preserve"> the EE program deliver offerings (including program strategies/</w:t>
      </w:r>
      <w:r w:rsidR="00FE4DC2" w:rsidRPr="008D5747">
        <w:rPr>
          <w:i/>
          <w:iCs/>
        </w:rPr>
        <w:t>tactics, market channel, and targeted customer group)</w:t>
      </w:r>
      <w:r w:rsidR="00C1345B">
        <w:rPr>
          <w:i/>
          <w:iCs/>
        </w:rPr>
        <w:t>?</w:t>
      </w:r>
      <w:r w:rsidR="00FE4DC2" w:rsidRPr="008D5747">
        <w:rPr>
          <w:i/>
          <w:iCs/>
        </w:rPr>
        <w:t xml:space="preserve"> </w:t>
      </w:r>
    </w:p>
    <w:p w14:paraId="35672660" w14:textId="4A6E7DFC" w:rsidR="0026772E" w:rsidRDefault="0026772E" w:rsidP="0026772E">
      <w:pPr>
        <w:ind w:left="720"/>
      </w:pPr>
      <w:r w:rsidRPr="00410725">
        <w:t xml:space="preserve">The CCEW will provide interpersonal customer attention and blend it with opportunity aggregation to ensure our partners are queued up for RAPs; </w:t>
      </w:r>
      <w:bookmarkStart w:id="40" w:name="_Hlk27047297"/>
      <w:r w:rsidRPr="00410725">
        <w:t>support knowledge transfer among public agencies</w:t>
      </w:r>
      <w:bookmarkStart w:id="41" w:name="_Hlk27047333"/>
      <w:bookmarkEnd w:id="40"/>
      <w:r w:rsidRPr="00410725">
        <w:t xml:space="preserve">; facilitate Energy Efficiency (EE) projects with deeper savings and more </w:t>
      </w:r>
      <w:r w:rsidRPr="00410725">
        <w:lastRenderedPageBreak/>
        <w:t>comprehensive EE tactics</w:t>
      </w:r>
      <w:bookmarkStart w:id="42" w:name="_Hlk27047356"/>
      <w:bookmarkEnd w:id="41"/>
      <w:r w:rsidRPr="00410725">
        <w:t xml:space="preserve">; leverage Strategic Energy Plans </w:t>
      </w:r>
      <w:bookmarkEnd w:id="42"/>
      <w:r w:rsidRPr="00410725">
        <w:t>(or other strategy/policy documents</w:t>
      </w:r>
      <w:bookmarkStart w:id="43" w:name="_Hlk27047376"/>
      <w:r w:rsidRPr="00410725">
        <w:t>), and create a common platform</w:t>
      </w:r>
      <w:r w:rsidR="00874A99">
        <w:t xml:space="preserve"> </w:t>
      </w:r>
      <w:r w:rsidR="003E07C0">
        <w:t>through data and approach</w:t>
      </w:r>
      <w:r w:rsidRPr="00410725">
        <w:t xml:space="preserve">. All in largely HTR and Disadvantaged </w:t>
      </w:r>
      <w:bookmarkEnd w:id="43"/>
      <w:r w:rsidRPr="00410725">
        <w:t xml:space="preserve">Communities (DAC). </w:t>
      </w:r>
    </w:p>
    <w:p w14:paraId="310F92EA" w14:textId="3FA15C65" w:rsidR="002842F6" w:rsidRDefault="002842F6" w:rsidP="002842F6">
      <w:pPr>
        <w:pStyle w:val="NoSpacing"/>
        <w:ind w:left="720"/>
      </w:pPr>
      <w:r w:rsidRPr="002842F6">
        <w:t xml:space="preserve">We will utilize a largely downstream delivery channel, connecting direct to the end use customer. </w:t>
      </w:r>
    </w:p>
    <w:p w14:paraId="4F413898" w14:textId="180CEF16" w:rsidR="00E530E7" w:rsidRDefault="00E530E7" w:rsidP="002842F6">
      <w:pPr>
        <w:pStyle w:val="NoSpacing"/>
        <w:ind w:left="720"/>
      </w:pPr>
    </w:p>
    <w:p w14:paraId="3D83EA35" w14:textId="5A076B5E" w:rsidR="002842F6" w:rsidRPr="002842F6" w:rsidRDefault="002842F6" w:rsidP="002842F6">
      <w:pPr>
        <w:pStyle w:val="NoSpacing"/>
        <w:ind w:left="720"/>
      </w:pPr>
      <w:r w:rsidRPr="002842F6">
        <w:t>Our key market actors include past “Energy Champions”, local elected officials, and public agency staff. “LGP’s would appear to be the essence of local programs…”</w:t>
      </w:r>
      <w:r w:rsidRPr="002842F6">
        <w:rPr>
          <w:vertAlign w:val="superscript"/>
        </w:rPr>
        <w:footnoteReference w:id="2"/>
      </w:r>
      <w:r w:rsidRPr="002842F6">
        <w:t xml:space="preserve"> and as such, require a localized approach to program delivery.  From our experience, what works in </w:t>
      </w:r>
      <w:r w:rsidR="00E530E7">
        <w:t>San Joaquin</w:t>
      </w:r>
      <w:r w:rsidRPr="002842F6">
        <w:t xml:space="preserve"> County does not work in Tulare County, and what has worked with the City of Avenal does not work with the City of McFarland (both small cities in Kern County). There are programmatic similarities that they all want and participate in, but the way the program is delivered--and more importantly accepted by the end user--is unique. </w:t>
      </w:r>
    </w:p>
    <w:p w14:paraId="5E1BD448" w14:textId="6CABB674" w:rsidR="00FE4DC2" w:rsidRDefault="00FE4DC2" w:rsidP="00986E0E">
      <w:pPr>
        <w:pStyle w:val="NoSpacing"/>
        <w:ind w:left="720"/>
      </w:pPr>
    </w:p>
    <w:p w14:paraId="12837A5A" w14:textId="016A466E" w:rsidR="00FE4DC2" w:rsidRPr="00EA6F5A" w:rsidRDefault="00BE79DD" w:rsidP="00986E0E">
      <w:pPr>
        <w:pStyle w:val="NoSpacing"/>
        <w:ind w:left="720"/>
        <w:rPr>
          <w:i/>
          <w:iCs/>
        </w:rPr>
      </w:pPr>
      <w:r w:rsidRPr="00EA6F5A">
        <w:rPr>
          <w:i/>
          <w:iCs/>
        </w:rPr>
        <w:t xml:space="preserve">How will it reach customers, including those in CPUC defined </w:t>
      </w:r>
      <w:r w:rsidR="00F727B2" w:rsidRPr="00EA6F5A">
        <w:rPr>
          <w:i/>
          <w:iCs/>
        </w:rPr>
        <w:t>HTR/DAC?</w:t>
      </w:r>
    </w:p>
    <w:p w14:paraId="5471D2AF" w14:textId="1ACF6858" w:rsidR="00EA6F5A" w:rsidRDefault="00EA6F5A" w:rsidP="00EA6F5A">
      <w:pPr>
        <w:pStyle w:val="NoSpacing"/>
        <w:ind w:left="720"/>
      </w:pPr>
      <w:r>
        <w:t xml:space="preserve">CCEW targeted customers include any public agency in one of the nine counties identified as eligible (Fresno, Kern, Kings, Madera, Merced, Monterey, San Joaquin, Stanislaus, and Tulare) that is served by PG&amp;E as the electric provider of record.  For agencies with split utility service only those accounts belonging to PG&amp;E will be considered eligible. Cities and counties are our primary target audience, special districts being second, and school districts being third. </w:t>
      </w:r>
    </w:p>
    <w:p w14:paraId="2DAC6D4D" w14:textId="77777777" w:rsidR="00EA6F5A" w:rsidRDefault="00EA6F5A" w:rsidP="00EA6F5A">
      <w:pPr>
        <w:pStyle w:val="NoSpacing"/>
        <w:ind w:left="720"/>
      </w:pPr>
    </w:p>
    <w:p w14:paraId="7BB7E543" w14:textId="68F5C294" w:rsidR="00997CE0" w:rsidRDefault="00EA6F5A" w:rsidP="00997CE0">
      <w:pPr>
        <w:pStyle w:val="NoSpacing"/>
        <w:ind w:left="720"/>
      </w:pPr>
      <w:r>
        <w:t>CCEW efforts should align, at minimum, with the percentage of population that qualifies as HTR (66% of counties in CCEW are considered geographically HTR) and DAC (County-Level: 77%; City-Level: 62%).</w:t>
      </w:r>
      <w:r w:rsidR="00997CE0" w:rsidRPr="00997CE0">
        <w:t xml:space="preserve"> </w:t>
      </w:r>
      <w:r w:rsidR="00997CE0">
        <w:t>Six of the nine counties in the CCEW qualify as rural and 33 of the 55 cities are in DACs. While public agencies are not yet categorized as HTR, we consider a combination of geography, DAC, AB1550 and annualized costs</w:t>
      </w:r>
      <w:r w:rsidR="00F8458E">
        <w:t xml:space="preserve"> to</w:t>
      </w:r>
      <w:r w:rsidR="00997CE0">
        <w:t xml:space="preserve"> create a broad definition, based on the work conducted by the Rural Hard to Reach Working Group (RHTR). Our program is designed to function specifically for public sector customers </w:t>
      </w:r>
      <w:r w:rsidR="00830BE9">
        <w:t>located</w:t>
      </w:r>
      <w:r w:rsidR="00997CE0">
        <w:t xml:space="preserve"> in rural areas and/or DACs.  For program purposes, the CCEW considers geography as the primary measure of HTR.  </w:t>
      </w:r>
    </w:p>
    <w:p w14:paraId="33CF12B4" w14:textId="77777777" w:rsidR="004455DC" w:rsidRDefault="004455DC" w:rsidP="004455DC">
      <w:pPr>
        <w:pStyle w:val="NoSpacing"/>
        <w:ind w:left="720"/>
      </w:pPr>
    </w:p>
    <w:p w14:paraId="4528C451" w14:textId="2CDADF48" w:rsidR="004455DC" w:rsidRDefault="004455DC" w:rsidP="004455DC">
      <w:pPr>
        <w:pStyle w:val="NoSpacing"/>
        <w:ind w:left="720"/>
      </w:pPr>
      <w:r>
        <w:t xml:space="preserve">New </w:t>
      </w:r>
      <w:r w:rsidR="00830BE9">
        <w:t>enrollment for a</w:t>
      </w:r>
      <w:r w:rsidR="007F7D2C">
        <w:t xml:space="preserve"> CCEW partner </w:t>
      </w:r>
      <w:r>
        <w:t>will consist of an intake process (</w:t>
      </w:r>
      <w:r w:rsidR="00997CE0">
        <w:t xml:space="preserve">intake </w:t>
      </w:r>
      <w:r>
        <w:t xml:space="preserve">interview and signed form by agency representative) identifying the needs and past EE efforts of the </w:t>
      </w:r>
      <w:r w:rsidR="00997CE0">
        <w:t>agency</w:t>
      </w:r>
      <w:r>
        <w:t xml:space="preserve">. Intake forms will be used to identify or triage the readiness and level of expected participation by the agency. </w:t>
      </w:r>
    </w:p>
    <w:p w14:paraId="56EAF02C" w14:textId="77777777" w:rsidR="00017C42" w:rsidRDefault="00017C42" w:rsidP="00017C42">
      <w:pPr>
        <w:pStyle w:val="NoSpacing"/>
        <w:ind w:left="720"/>
      </w:pPr>
    </w:p>
    <w:p w14:paraId="250A0C01" w14:textId="5F5D9C76" w:rsidR="00017C42" w:rsidRDefault="00017C42" w:rsidP="00017C42">
      <w:pPr>
        <w:pStyle w:val="NoSpacing"/>
        <w:ind w:left="720"/>
      </w:pPr>
      <w:r>
        <w:t xml:space="preserve">We reach our partners and potential partners through low, medium, and high touch communication strategies that support our goal to meet the customer where they are on their energy journey.  Broadly, we utilize email campaigns, newsletters, social media, and new media to promote the successes of program participants and highlight RAPs offerings, as well as updates related to code changes, state policy implications, regulatory decisions, and funding opportunities. More directly, we communicate with individual partners via email and phone on a schedule determined by the end user. We do focus our directed communication on those actively engaged, or on the verge of active engagement to maximize our own staff resources. </w:t>
      </w:r>
      <w:r>
        <w:lastRenderedPageBreak/>
        <w:t xml:space="preserve">We meet with participants sub-regionally on every-other-month basis, and individually as needed. </w:t>
      </w:r>
    </w:p>
    <w:p w14:paraId="0D7B4E92" w14:textId="77777777" w:rsidR="00017C42" w:rsidRDefault="00017C42" w:rsidP="00017C42">
      <w:pPr>
        <w:pStyle w:val="NoSpacing"/>
        <w:ind w:left="720"/>
      </w:pPr>
    </w:p>
    <w:p w14:paraId="4E81E019" w14:textId="77777777" w:rsidR="00017C42" w:rsidRDefault="00017C42" w:rsidP="00017C42">
      <w:pPr>
        <w:pStyle w:val="NoSpacing"/>
        <w:ind w:left="720"/>
      </w:pPr>
      <w:r w:rsidRPr="00B63E32">
        <w:rPr>
          <w:b/>
          <w:bCs/>
        </w:rPr>
        <w:t>MARKETING APPROACH 1</w:t>
      </w:r>
      <w:r>
        <w:t xml:space="preserve">: In-person (one-on-one and groups) meetings and presentations. </w:t>
      </w:r>
    </w:p>
    <w:p w14:paraId="677F0D99" w14:textId="77777777" w:rsidR="00017C42" w:rsidRDefault="00017C42" w:rsidP="00017C42">
      <w:pPr>
        <w:pStyle w:val="NoSpacing"/>
        <w:ind w:left="720"/>
      </w:pPr>
      <w:r w:rsidRPr="00B63E32">
        <w:rPr>
          <w:b/>
          <w:bCs/>
        </w:rPr>
        <w:t>MARKETING APPROACH 2</w:t>
      </w:r>
      <w:r>
        <w:t>: Digital engagement (one-on-one and groups) email correspondence, email campaigns, email newsletters, new media (BLOGEE, PODEE, Fast Chats)</w:t>
      </w:r>
    </w:p>
    <w:p w14:paraId="1039A3B7" w14:textId="77777777" w:rsidR="00017C42" w:rsidRDefault="00017C42" w:rsidP="00017C42">
      <w:pPr>
        <w:pStyle w:val="NoSpacing"/>
        <w:ind w:left="720"/>
      </w:pPr>
      <w:r w:rsidRPr="00B63E32">
        <w:rPr>
          <w:b/>
          <w:bCs/>
        </w:rPr>
        <w:t>MARKETING APPROACH 3</w:t>
      </w:r>
      <w:r>
        <w:t xml:space="preserve">: Activity (group, may be delivered in person or digitally), includes informational sessions and “plug and play” offerings from ENERGY STAR, including Energy Treasure Hunt, Battle of the Buildings and ‘Kill-a-Watt Krackdown’. </w:t>
      </w:r>
    </w:p>
    <w:p w14:paraId="343DD66A" w14:textId="77777777" w:rsidR="00DC1268" w:rsidRDefault="00DC1268" w:rsidP="00986E0E">
      <w:pPr>
        <w:pStyle w:val="NoSpacing"/>
        <w:ind w:left="720"/>
        <w:rPr>
          <w:i/>
          <w:iCs/>
        </w:rPr>
      </w:pPr>
    </w:p>
    <w:p w14:paraId="0BA05AC5" w14:textId="42FE638C" w:rsidR="00F727B2" w:rsidRPr="004455DC" w:rsidRDefault="00FC168C" w:rsidP="00986E0E">
      <w:pPr>
        <w:pStyle w:val="NoSpacing"/>
        <w:ind w:left="720"/>
        <w:rPr>
          <w:i/>
          <w:iCs/>
        </w:rPr>
      </w:pPr>
      <w:r w:rsidRPr="004455DC">
        <w:rPr>
          <w:i/>
          <w:iCs/>
        </w:rPr>
        <w:t xml:space="preserve">Services: </w:t>
      </w:r>
    </w:p>
    <w:p w14:paraId="26E11AA5" w14:textId="1FAE106D" w:rsidR="00EB0245" w:rsidRPr="00EB0245" w:rsidRDefault="00EB0245" w:rsidP="00EB0245">
      <w:pPr>
        <w:pStyle w:val="NoSpacing"/>
        <w:ind w:left="720"/>
      </w:pPr>
      <w:r w:rsidRPr="00EB0245">
        <w:t xml:space="preserve">Our CCEW partners will be able to better understand their project needs by first understanding their energy use—where and when they’re using energy, and what it is costing them to use it. Our program activities exist to create a common platform to work from, as well as a common language to communicate among each other and to the RAPs.  </w:t>
      </w:r>
    </w:p>
    <w:p w14:paraId="7790E7DC" w14:textId="77777777" w:rsidR="00342675" w:rsidRDefault="00342675" w:rsidP="00342675">
      <w:pPr>
        <w:pStyle w:val="NoSpacing"/>
        <w:ind w:left="720"/>
      </w:pPr>
    </w:p>
    <w:p w14:paraId="6B03D7E2" w14:textId="496ACF68" w:rsidR="00342675" w:rsidRDefault="006373EA" w:rsidP="00342675">
      <w:pPr>
        <w:pStyle w:val="NoSpacing"/>
        <w:ind w:left="720"/>
      </w:pPr>
      <w:r>
        <w:t>O</w:t>
      </w:r>
      <w:r w:rsidR="00342675">
        <w:t xml:space="preserve">nce a public agency is actively participating in program activities one through </w:t>
      </w:r>
      <w:r w:rsidR="00676EDC">
        <w:t>three</w:t>
      </w:r>
      <w:r w:rsidR="00342675">
        <w:t xml:space="preserve">, they are providing data that allows us to refer them into RAPs. </w:t>
      </w:r>
    </w:p>
    <w:p w14:paraId="60499184" w14:textId="77777777" w:rsidR="00342675" w:rsidRDefault="00342675" w:rsidP="00342675">
      <w:pPr>
        <w:pStyle w:val="NoSpacing"/>
        <w:ind w:left="720"/>
      </w:pPr>
    </w:p>
    <w:p w14:paraId="2002E943" w14:textId="572C0BFD" w:rsidR="007E5244" w:rsidRPr="00686B7A" w:rsidRDefault="007E5244" w:rsidP="007E5244">
      <w:pPr>
        <w:pStyle w:val="NoSpacing"/>
        <w:ind w:left="720"/>
        <w:rPr>
          <w:b/>
          <w:bCs/>
        </w:rPr>
      </w:pPr>
      <w:r w:rsidRPr="00686B7A">
        <w:rPr>
          <w:b/>
          <w:bCs/>
        </w:rPr>
        <w:t>Program Activities (PA):</w:t>
      </w:r>
    </w:p>
    <w:p w14:paraId="2ABB74A6" w14:textId="696F78F6" w:rsidR="007E5244" w:rsidRPr="00686B7A" w:rsidRDefault="007E5244" w:rsidP="007E5244">
      <w:pPr>
        <w:pStyle w:val="NoSpacing"/>
        <w:ind w:left="720"/>
        <w:rPr>
          <w:b/>
          <w:bCs/>
        </w:rPr>
      </w:pPr>
      <w:r w:rsidRPr="00686B7A">
        <w:rPr>
          <w:b/>
          <w:bCs/>
        </w:rPr>
        <w:t xml:space="preserve">PA 1- </w:t>
      </w:r>
      <w:r w:rsidR="00B31D6E">
        <w:rPr>
          <w:b/>
          <w:bCs/>
        </w:rPr>
        <w:t>Energy Benchmarking and Maintenance</w:t>
      </w:r>
      <w:r w:rsidRPr="00686B7A">
        <w:rPr>
          <w:b/>
          <w:bCs/>
        </w:rPr>
        <w:t xml:space="preserve">: </w:t>
      </w:r>
    </w:p>
    <w:p w14:paraId="7476DED1" w14:textId="671B0924" w:rsidR="007E5244" w:rsidRPr="00E435CA" w:rsidRDefault="007E5244" w:rsidP="007E5244">
      <w:pPr>
        <w:pStyle w:val="NoSpacing"/>
        <w:ind w:left="720"/>
      </w:pPr>
      <w:r w:rsidRPr="00ED552D">
        <w:t>Utilizing ESPM</w:t>
      </w:r>
      <w:r w:rsidR="00B31D6E">
        <w:t>, Green Button, and PG&amp;E’s Share My Data and Energy Insight</w:t>
      </w:r>
      <w:r w:rsidRPr="00ED552D">
        <w:t>, we identify use patterns, changes, and opportunities for energy savings. By viewing this information across multiple agencies, we will develop scaled savings opportunities, aggregate customers for RAPs, create economies of scale for public dollars, inform future community wide plans, and develop policies in support of EE procurement and leadership.</w:t>
      </w:r>
      <w:r w:rsidRPr="00E435CA">
        <w:t xml:space="preserve"> </w:t>
      </w:r>
    </w:p>
    <w:p w14:paraId="0F4EE1F4" w14:textId="77777777" w:rsidR="007E5244" w:rsidRPr="00E435CA" w:rsidRDefault="007E5244" w:rsidP="007E5244">
      <w:pPr>
        <w:pStyle w:val="NoSpacing"/>
        <w:ind w:left="720"/>
      </w:pPr>
    </w:p>
    <w:p w14:paraId="603F0204" w14:textId="45944071" w:rsidR="007E5244" w:rsidRPr="00686B7A" w:rsidRDefault="007E5244" w:rsidP="007E5244">
      <w:pPr>
        <w:pStyle w:val="NoSpacing"/>
        <w:ind w:left="720"/>
        <w:rPr>
          <w:b/>
          <w:bCs/>
        </w:rPr>
      </w:pPr>
      <w:r w:rsidRPr="00686B7A">
        <w:rPr>
          <w:b/>
          <w:bCs/>
        </w:rPr>
        <w:t>PA 2: Infrastructure Inventory</w:t>
      </w:r>
      <w:r w:rsidR="00C13705">
        <w:rPr>
          <w:b/>
          <w:bCs/>
        </w:rPr>
        <w:t xml:space="preserve"> (II)</w:t>
      </w:r>
      <w:r w:rsidRPr="00686B7A">
        <w:rPr>
          <w:b/>
          <w:bCs/>
        </w:rPr>
        <w:t xml:space="preserve">: </w:t>
      </w:r>
    </w:p>
    <w:p w14:paraId="6C3D2C04" w14:textId="22594B31" w:rsidR="007E5244" w:rsidRPr="00E435CA" w:rsidRDefault="007E5244" w:rsidP="007E5244">
      <w:pPr>
        <w:pStyle w:val="NoSpacing"/>
        <w:ind w:left="720"/>
      </w:pPr>
      <w:r w:rsidRPr="00ED552D">
        <w:t xml:space="preserve">The SJVCEO developed a </w:t>
      </w:r>
      <w:r w:rsidR="00152463">
        <w:t xml:space="preserve">public-facing, </w:t>
      </w:r>
      <w:r w:rsidRPr="00ED552D">
        <w:t>web-based platform to work collaboratively with local governments to create infrastructure inventories that the customer can access, while simultaneously allowing us to see where opportunities exist for energy equipment improvements. The inventories are ‘crowd sourced’ allowing the customer to update their information through a secured log-in and SJVCEO staff to augment information utilizing data gathered from our ESPM access, PG&amp;E Energy Insight, agency insurance filings and Risk Management Reports. We also pull from previous inventories conducted by other third parties</w:t>
      </w:r>
      <w:r w:rsidRPr="00446FB8">
        <w:t>.</w:t>
      </w:r>
      <w:r w:rsidRPr="00E435CA">
        <w:t xml:space="preserve"> </w:t>
      </w:r>
    </w:p>
    <w:p w14:paraId="01CE8A1F" w14:textId="77777777" w:rsidR="007E5244" w:rsidRPr="00E435CA" w:rsidRDefault="007E5244" w:rsidP="007E5244">
      <w:pPr>
        <w:pStyle w:val="NoSpacing"/>
        <w:ind w:left="720"/>
      </w:pPr>
    </w:p>
    <w:p w14:paraId="6B9573B1" w14:textId="73214632" w:rsidR="007E5244" w:rsidRPr="00F76B3B" w:rsidRDefault="007E5244" w:rsidP="007E5244">
      <w:pPr>
        <w:pStyle w:val="NoSpacing"/>
        <w:ind w:left="720"/>
        <w:rPr>
          <w:b/>
          <w:bCs/>
        </w:rPr>
      </w:pPr>
      <w:r w:rsidRPr="00F76B3B">
        <w:rPr>
          <w:b/>
          <w:bCs/>
        </w:rPr>
        <w:t>PA 3: Energy Readiness Reports</w:t>
      </w:r>
      <w:r w:rsidR="00676EDC">
        <w:rPr>
          <w:b/>
          <w:bCs/>
        </w:rPr>
        <w:t xml:space="preserve"> (ERR)</w:t>
      </w:r>
      <w:r w:rsidRPr="00F76B3B">
        <w:rPr>
          <w:b/>
          <w:bCs/>
        </w:rPr>
        <w:t>:</w:t>
      </w:r>
    </w:p>
    <w:p w14:paraId="5F84427D" w14:textId="6E162A03" w:rsidR="007E5244" w:rsidRPr="00E435CA" w:rsidRDefault="007E5244" w:rsidP="007E5244">
      <w:pPr>
        <w:pStyle w:val="NoSpacing"/>
        <w:ind w:left="720"/>
      </w:pPr>
      <w:r w:rsidRPr="00E435CA">
        <w:t>Our ERRs remove barriers from implementing public sector energy projects. ERRs are our primary tool for communicating with agency staff and local elected officials, because they are easy to comprehend. We realized audit reports were overwhelming for our small cities and counties and found the person who received the audit often did not know how to read it. With the ERR,</w:t>
      </w:r>
      <w:r w:rsidR="007244B5">
        <w:t xml:space="preserve"> we use data analysis collected from Energy Benchmarking to determine </w:t>
      </w:r>
      <w:r w:rsidR="00245953">
        <w:t xml:space="preserve">the most pragmatic </w:t>
      </w:r>
      <w:r w:rsidR="00597670">
        <w:t>opportunities for energy savings</w:t>
      </w:r>
      <w:r w:rsidR="00245953">
        <w:t>. W</w:t>
      </w:r>
      <w:r w:rsidRPr="00E435CA">
        <w:t xml:space="preserve">e sit down with the agency and determine what is realistic to accomplish. The list is narrowed, and we work together to move forward on opportunities most likely to result in energy savings projects. </w:t>
      </w:r>
    </w:p>
    <w:p w14:paraId="6FF7A99F" w14:textId="77777777" w:rsidR="007E5244" w:rsidRPr="00E435CA" w:rsidRDefault="007E5244" w:rsidP="007E5244">
      <w:pPr>
        <w:pStyle w:val="NoSpacing"/>
        <w:ind w:left="720"/>
      </w:pPr>
    </w:p>
    <w:p w14:paraId="0B332E67" w14:textId="77777777" w:rsidR="007E5244" w:rsidRPr="00E435CA" w:rsidRDefault="007E5244" w:rsidP="007E5244">
      <w:pPr>
        <w:pStyle w:val="NoSpacing"/>
        <w:ind w:left="720"/>
      </w:pPr>
      <w:r w:rsidRPr="00E435CA">
        <w:lastRenderedPageBreak/>
        <w:t>The ERR addresses many components outside of the energy data. It identifies opportunities for funding and financing paths/programs and includes council ready documents that support agency staff in moving projects from conception to completion, as well as applicable EE policies.</w:t>
      </w:r>
    </w:p>
    <w:p w14:paraId="4587DFC9" w14:textId="77777777" w:rsidR="007E5244" w:rsidRPr="00E435CA" w:rsidRDefault="007E5244" w:rsidP="007E5244">
      <w:pPr>
        <w:pStyle w:val="NoSpacing"/>
        <w:ind w:left="720"/>
      </w:pPr>
    </w:p>
    <w:p w14:paraId="08A10EF8" w14:textId="77777777" w:rsidR="007E5244" w:rsidRPr="00F76B3B" w:rsidRDefault="007E5244" w:rsidP="007E5244">
      <w:pPr>
        <w:pStyle w:val="NoSpacing"/>
        <w:ind w:left="720"/>
        <w:rPr>
          <w:b/>
          <w:bCs/>
        </w:rPr>
      </w:pPr>
      <w:r w:rsidRPr="00F76B3B">
        <w:rPr>
          <w:b/>
          <w:bCs/>
        </w:rPr>
        <w:t xml:space="preserve">PA 4: Exchange Dashboard: </w:t>
      </w:r>
    </w:p>
    <w:p w14:paraId="25C7F79E" w14:textId="50D369D6" w:rsidR="007E5244" w:rsidRPr="00E435CA" w:rsidRDefault="007E5244" w:rsidP="007E5244">
      <w:pPr>
        <w:pStyle w:val="NoSpacing"/>
        <w:ind w:left="720"/>
      </w:pPr>
      <w:r w:rsidRPr="00E435CA">
        <w:t xml:space="preserve">Our internal project tracking database (ED) </w:t>
      </w:r>
      <w:r w:rsidR="00F76B3B">
        <w:t xml:space="preserve">(built on the Teamwork project management platform) </w:t>
      </w:r>
      <w:r w:rsidRPr="00E435CA">
        <w:t xml:space="preserve">allows us to log project concepts from their earliest inception. It is here that we record progress, meeting notes, audit reports, etc. to support the agency, the RAP, and the Program Administrator with documented points of intervention. </w:t>
      </w:r>
      <w:r>
        <w:t xml:space="preserve">The ED also serves as a singular source for tracking KPI metrics, and other points of data allowing us to track the program’s efficacy over time. </w:t>
      </w:r>
    </w:p>
    <w:p w14:paraId="037332BB" w14:textId="77777777" w:rsidR="007E5244" w:rsidRPr="00E435CA" w:rsidRDefault="007E5244" w:rsidP="007E5244">
      <w:pPr>
        <w:pStyle w:val="NoSpacing"/>
        <w:ind w:left="720"/>
      </w:pPr>
    </w:p>
    <w:p w14:paraId="756DEA99" w14:textId="08F9C4EA" w:rsidR="007E5244" w:rsidRPr="006021CB" w:rsidRDefault="007E5244" w:rsidP="007E5244">
      <w:pPr>
        <w:pStyle w:val="NoSpacing"/>
        <w:ind w:left="720"/>
        <w:rPr>
          <w:b/>
          <w:bCs/>
        </w:rPr>
      </w:pPr>
      <w:r w:rsidRPr="006021CB">
        <w:rPr>
          <w:b/>
          <w:bCs/>
        </w:rPr>
        <w:t xml:space="preserve">PA 5: ENERGY STAR Portfolio Manager GRITS: </w:t>
      </w:r>
    </w:p>
    <w:p w14:paraId="14CDF867" w14:textId="188E35D9" w:rsidR="007E5244" w:rsidRPr="00E435CA" w:rsidRDefault="007E5244" w:rsidP="007E5244">
      <w:pPr>
        <w:pStyle w:val="NoSpacing"/>
        <w:ind w:left="720"/>
      </w:pPr>
      <w:r w:rsidRPr="00E435CA">
        <w:t xml:space="preserve">GRITS is a project-management platform </w:t>
      </w:r>
      <w:r w:rsidR="00926D5A">
        <w:t xml:space="preserve">offered at no cost thorough the US EPA. GRITS </w:t>
      </w:r>
      <w:r w:rsidRPr="00E435CA">
        <w:t>allows public agencies to calculate, track, and share the energy, financial, and carbon savings data from energy savings projects. The GRITS tool allows us to develop a strong business case analysis for project</w:t>
      </w:r>
      <w:r w:rsidR="002945DB">
        <w:t xml:space="preserve"> that need extra development</w:t>
      </w:r>
      <w:r w:rsidRPr="00E435CA">
        <w:t xml:space="preserve">. </w:t>
      </w:r>
    </w:p>
    <w:p w14:paraId="3CBF54F8" w14:textId="308204F6" w:rsidR="007E5244" w:rsidRPr="00E435CA" w:rsidRDefault="007E5244" w:rsidP="007E5244">
      <w:pPr>
        <w:pStyle w:val="NoSpacing"/>
        <w:ind w:left="720"/>
      </w:pPr>
    </w:p>
    <w:p w14:paraId="132B87DC" w14:textId="53847AA0" w:rsidR="007E5244" w:rsidRDefault="007E5244" w:rsidP="007E5244">
      <w:pPr>
        <w:pStyle w:val="NoSpacing"/>
        <w:ind w:left="720"/>
      </w:pPr>
      <w:r w:rsidRPr="00E435CA">
        <w:t xml:space="preserve">Each program activity allows for points of education for the customer through varied educational opportunities.  </w:t>
      </w:r>
    </w:p>
    <w:p w14:paraId="1C613866" w14:textId="58BD6696" w:rsidR="005730C4" w:rsidRDefault="005730C4" w:rsidP="007E5244">
      <w:pPr>
        <w:pStyle w:val="NoSpacing"/>
        <w:ind w:left="720"/>
      </w:pPr>
    </w:p>
    <w:p w14:paraId="751577E8" w14:textId="3A30B6D1" w:rsidR="005730C4" w:rsidRDefault="005730C4" w:rsidP="007E5244">
      <w:pPr>
        <w:pStyle w:val="NoSpacing"/>
        <w:ind w:left="720"/>
        <w:rPr>
          <w:b/>
          <w:bCs/>
        </w:rPr>
      </w:pPr>
      <w:r>
        <w:rPr>
          <w:b/>
          <w:bCs/>
        </w:rPr>
        <w:t>PA 6: Marketing, Education and Outreach</w:t>
      </w:r>
      <w:r w:rsidR="004C07E1">
        <w:rPr>
          <w:b/>
          <w:bCs/>
        </w:rPr>
        <w:t xml:space="preserve"> (MEO):</w:t>
      </w:r>
    </w:p>
    <w:p w14:paraId="52DACD4E" w14:textId="77777777" w:rsidR="004C07E1" w:rsidRDefault="004C07E1" w:rsidP="004C07E1">
      <w:pPr>
        <w:pStyle w:val="NoSpacing"/>
        <w:ind w:left="720"/>
        <w:rPr>
          <w:i/>
          <w:iCs/>
        </w:rPr>
      </w:pPr>
      <w:r>
        <w:rPr>
          <w:i/>
          <w:iCs/>
        </w:rPr>
        <w:t>See Marketing Approach in previous section.</w:t>
      </w:r>
    </w:p>
    <w:p w14:paraId="2352935D" w14:textId="77777777" w:rsidR="004C07E1" w:rsidRDefault="004C07E1" w:rsidP="004C07E1">
      <w:pPr>
        <w:pStyle w:val="NoSpacing"/>
        <w:ind w:left="720"/>
        <w:rPr>
          <w:i/>
          <w:iCs/>
        </w:rPr>
      </w:pPr>
    </w:p>
    <w:p w14:paraId="550B8B04" w14:textId="1B00BE93" w:rsidR="0031105E" w:rsidRPr="002A3557" w:rsidRDefault="00334DF3" w:rsidP="0000697A">
      <w:pPr>
        <w:pStyle w:val="ListParagraph"/>
        <w:numPr>
          <w:ilvl w:val="0"/>
          <w:numId w:val="2"/>
        </w:numPr>
      </w:pPr>
      <w:bookmarkStart w:id="44" w:name="_Toc47619624"/>
      <w:r w:rsidRPr="006042AB">
        <w:rPr>
          <w:rStyle w:val="Heading3Char"/>
        </w:rPr>
        <w:t>Program Design and Best Practices</w:t>
      </w:r>
      <w:bookmarkEnd w:id="44"/>
      <w:r>
        <w:rPr>
          <w:b/>
          <w:bCs/>
        </w:rPr>
        <w:t xml:space="preserve">: </w:t>
      </w:r>
    </w:p>
    <w:p w14:paraId="069BC2D4" w14:textId="208E060D" w:rsidR="002A3557" w:rsidRDefault="002A3557" w:rsidP="002A3557">
      <w:pPr>
        <w:pStyle w:val="ListParagraph"/>
        <w:rPr>
          <w:b/>
          <w:bCs/>
        </w:rPr>
      </w:pPr>
    </w:p>
    <w:p w14:paraId="038ADBB2" w14:textId="0C71021E" w:rsidR="002A3557" w:rsidRDefault="002A3557" w:rsidP="002A3557">
      <w:pPr>
        <w:pStyle w:val="ListParagraph"/>
        <w:rPr>
          <w:i/>
          <w:iCs/>
        </w:rPr>
      </w:pPr>
      <w:r>
        <w:rPr>
          <w:i/>
          <w:iCs/>
        </w:rPr>
        <w:t>Describe the program strategies/tactics that will be used</w:t>
      </w:r>
      <w:r w:rsidR="001955C6">
        <w:rPr>
          <w:i/>
          <w:iCs/>
        </w:rPr>
        <w:t xml:space="preserve"> to reduce the identified market barriers for the targeted customer group and/or market actor</w:t>
      </w:r>
      <w:r w:rsidR="00152696">
        <w:rPr>
          <w:i/>
          <w:iCs/>
        </w:rPr>
        <w:t>(s)</w:t>
      </w:r>
      <w:r w:rsidR="00B971E4">
        <w:rPr>
          <w:i/>
          <w:iCs/>
        </w:rPr>
        <w:t>:</w:t>
      </w:r>
    </w:p>
    <w:p w14:paraId="799D0946" w14:textId="77777777" w:rsidR="003A74C6" w:rsidRPr="003A74C6" w:rsidRDefault="003A74C6" w:rsidP="003A74C6">
      <w:pPr>
        <w:pStyle w:val="ListParagraph"/>
      </w:pPr>
      <w:r w:rsidRPr="003A74C6">
        <w:t xml:space="preserve">Our two primary barriers that we aim to overcome are </w:t>
      </w:r>
      <w:r w:rsidRPr="003A74C6">
        <w:rPr>
          <w:b/>
          <w:bCs/>
        </w:rPr>
        <w:t>access and time</w:t>
      </w:r>
      <w:r w:rsidRPr="003A74C6">
        <w:t xml:space="preserve">. In a 2019 survey of local governments (cities and counties) in the San Joaquin Valley, San Luis Obispo County, and the High Desert region of eastern San Bernardino County, we asked, “Thinking about your time, would you rather develop your own personal skills and capacity in EE and project management or rely on a no-cost expert to support EE planning and project management?” 100% of respondents said they’d rather rely on the outside source.  When we asked them why they complete EE projects, 100% of respondents listed “cost savings for my agency” as the top reason.  </w:t>
      </w:r>
    </w:p>
    <w:p w14:paraId="1879C2C9" w14:textId="77777777" w:rsidR="003A74C6" w:rsidRPr="003A74C6" w:rsidRDefault="003A74C6" w:rsidP="003A74C6">
      <w:pPr>
        <w:pStyle w:val="ListParagraph"/>
      </w:pPr>
    </w:p>
    <w:p w14:paraId="12325258" w14:textId="77777777" w:rsidR="003A74C6" w:rsidRPr="003A74C6" w:rsidRDefault="003A74C6" w:rsidP="003A74C6">
      <w:pPr>
        <w:pStyle w:val="ListParagraph"/>
      </w:pPr>
      <w:r w:rsidRPr="003A74C6">
        <w:t>From this same survey, 60% of respondents prefer either in person one-on-one meetings and/or check in calls or group meetings.  And 80% have participated in and feel positive towards our monthly webinar series, “Fund-it Fast Chats”. We’ve been experimenting with meeting the customer more where they are, and we’re seeing that they prefer it--public sector customers are high touch!</w:t>
      </w:r>
    </w:p>
    <w:p w14:paraId="2F8DABB9" w14:textId="77777777" w:rsidR="003A74C6" w:rsidRPr="003A74C6" w:rsidRDefault="003A74C6" w:rsidP="003A74C6">
      <w:pPr>
        <w:pStyle w:val="ListParagraph"/>
      </w:pPr>
    </w:p>
    <w:p w14:paraId="02251D53" w14:textId="191939F3" w:rsidR="00812F0F" w:rsidRDefault="00812F0F" w:rsidP="00812F0F">
      <w:pPr>
        <w:pStyle w:val="ListParagraph"/>
      </w:pPr>
      <w:r w:rsidRPr="00812F0F">
        <w:t>Data will drive the direction of CCEW agency referral into RAPs. The CCEW will view resource program direction at an agency level, a sub-regional level, and at a regional level. For example, utilizing our data platforms, we can identify—specifically through E</w:t>
      </w:r>
      <w:r>
        <w:t>nergy Benchmarking</w:t>
      </w:r>
      <w:r w:rsidRPr="00812F0F">
        <w:t xml:space="preserve">, II and </w:t>
      </w:r>
      <w:r w:rsidRPr="00812F0F">
        <w:lastRenderedPageBreak/>
        <w:t>ED--all our public agencies using above 20% above average on pumping, with pumps lacking VFDs or past EE intervention, and direct them toward the appropriate RAP.  Additionally, we could fulfill a request from a RAP looking to meet a reduction goal on a constrained circuit by utilizing data from our E</w:t>
      </w:r>
      <w:r>
        <w:t>nergy Benchmarking</w:t>
      </w:r>
      <w:r w:rsidRPr="00812F0F">
        <w:t xml:space="preserve">, II, ED and GRITS, to make referrals to appropriate agency staff. </w:t>
      </w:r>
    </w:p>
    <w:p w14:paraId="4D6B3ABF" w14:textId="1A7C08CD" w:rsidR="00812F0F" w:rsidRPr="00812F0F" w:rsidRDefault="00812F0F" w:rsidP="00812F0F">
      <w:pPr>
        <w:pStyle w:val="ListParagraph"/>
      </w:pPr>
    </w:p>
    <w:p w14:paraId="64E2B398" w14:textId="03C11877" w:rsidR="00812F0F" w:rsidRPr="00812F0F" w:rsidRDefault="00812F0F" w:rsidP="00812F0F">
      <w:pPr>
        <w:pStyle w:val="ListParagraph"/>
      </w:pPr>
      <w:r w:rsidRPr="00812F0F">
        <w:t xml:space="preserve">How we coordinate with RAPs will vary based on how the RAPs are structured to work with non-resource programs and the utility program administrator. However, we have a strong working relationship with third parties in an open market and are confident in our ability to develop our future relationships that work towards the portfolio level goals. </w:t>
      </w:r>
    </w:p>
    <w:p w14:paraId="17854D94" w14:textId="65369A2A" w:rsidR="00152696" w:rsidRPr="006566E5" w:rsidRDefault="00152696" w:rsidP="002A3557">
      <w:pPr>
        <w:pStyle w:val="ListParagraph"/>
      </w:pPr>
    </w:p>
    <w:p w14:paraId="23E8B0C1" w14:textId="7AC53B36" w:rsidR="00F160EB" w:rsidRDefault="004F126D" w:rsidP="002A3557">
      <w:pPr>
        <w:pStyle w:val="ListParagraph"/>
        <w:rPr>
          <w:i/>
          <w:iCs/>
        </w:rPr>
      </w:pPr>
      <w:r>
        <w:rPr>
          <w:noProof/>
        </w:rPr>
        <w:drawing>
          <wp:anchor distT="0" distB="0" distL="114300" distR="114300" simplePos="0" relativeHeight="251659264" behindDoc="0" locked="0" layoutInCell="1" allowOverlap="1" wp14:anchorId="184D01DA" wp14:editId="7B7D6D6A">
            <wp:simplePos x="0" y="0"/>
            <wp:positionH relativeFrom="margin">
              <wp:align>center</wp:align>
            </wp:positionH>
            <wp:positionV relativeFrom="paragraph">
              <wp:posOffset>218440</wp:posOffset>
            </wp:positionV>
            <wp:extent cx="6419478" cy="5303520"/>
            <wp:effectExtent l="0" t="0" r="635" b="0"/>
            <wp:wrapTopAndBottom/>
            <wp:docPr id="446" name="Picture 44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CCE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19478" cy="5303520"/>
                    </a:xfrm>
                    <a:prstGeom prst="rect">
                      <a:avLst/>
                    </a:prstGeom>
                  </pic:spPr>
                </pic:pic>
              </a:graphicData>
            </a:graphic>
            <wp14:sizeRelH relativeFrom="page">
              <wp14:pctWidth>0</wp14:pctWidth>
            </wp14:sizeRelH>
            <wp14:sizeRelV relativeFrom="page">
              <wp14:pctHeight>0</wp14:pctHeight>
            </wp14:sizeRelV>
          </wp:anchor>
        </w:drawing>
      </w:r>
    </w:p>
    <w:p w14:paraId="7680975B" w14:textId="2A7D375A" w:rsidR="00F160EB" w:rsidRDefault="00F160EB" w:rsidP="002A3557">
      <w:pPr>
        <w:pStyle w:val="ListParagraph"/>
        <w:rPr>
          <w:i/>
          <w:iCs/>
        </w:rPr>
      </w:pPr>
    </w:p>
    <w:p w14:paraId="66B8CCA9" w14:textId="77777777" w:rsidR="00D34B94" w:rsidRDefault="00D34B94" w:rsidP="002A3557">
      <w:pPr>
        <w:pStyle w:val="ListParagraph"/>
        <w:rPr>
          <w:i/>
          <w:iCs/>
        </w:rPr>
      </w:pPr>
    </w:p>
    <w:p w14:paraId="718378D9" w14:textId="77777777" w:rsidR="00D34B94" w:rsidRDefault="00D34B94" w:rsidP="002A3557">
      <w:pPr>
        <w:pStyle w:val="ListParagraph"/>
        <w:rPr>
          <w:i/>
          <w:iCs/>
        </w:rPr>
      </w:pPr>
    </w:p>
    <w:p w14:paraId="7C4AC46B" w14:textId="5BC00894" w:rsidR="00152696" w:rsidRDefault="00152696" w:rsidP="002A3557">
      <w:pPr>
        <w:pStyle w:val="ListParagraph"/>
        <w:rPr>
          <w:i/>
          <w:iCs/>
        </w:rPr>
      </w:pPr>
      <w:r>
        <w:rPr>
          <w:i/>
          <w:iCs/>
        </w:rPr>
        <w:lastRenderedPageBreak/>
        <w:t>Describe how why the program approach constitutes “best practices</w:t>
      </w:r>
      <w:r w:rsidR="0060504C">
        <w:rPr>
          <w:i/>
          <w:iCs/>
        </w:rPr>
        <w:t>” and/or “lessons learned</w:t>
      </w:r>
      <w:r w:rsidR="00D34B94">
        <w:rPr>
          <w:i/>
          <w:iCs/>
        </w:rPr>
        <w:t>:</w:t>
      </w:r>
      <w:r w:rsidR="0060504C">
        <w:rPr>
          <w:i/>
          <w:iCs/>
        </w:rPr>
        <w:t>”</w:t>
      </w:r>
    </w:p>
    <w:p w14:paraId="10013C19" w14:textId="2896C42C" w:rsidR="00623107" w:rsidRDefault="00623107" w:rsidP="00623107">
      <w:pPr>
        <w:pStyle w:val="ListParagraph"/>
      </w:pPr>
      <w:r w:rsidRPr="003A74C6">
        <w:t xml:space="preserve">Public agencies are exponentially impacted by economic downturns and hampered in their ability to collect tax revenue to fill their General Funds.  Local governments do not have the opportunity to raise income as a commercial business might, and therefor are reliant upon the economic health of their communities. Geographically hard to reach communities were hit harder and were slower to recover than more metro/urban areas. The SJVCEO, with our public agencies, weathered the Great Recession by aggregating cities and counties to pursue group funding opportunities at Federal and State levels, as well as foundation funding to build energy policies that would lay the foundation for more robust energy work in positive economic years. </w:t>
      </w:r>
      <w:r w:rsidR="00BB7F3B">
        <w:t xml:space="preserve">By aggregating CCEW participants, the pool of opportunity increases a RAP fit, and reduces costs for program participants. </w:t>
      </w:r>
    </w:p>
    <w:p w14:paraId="6217B7FD" w14:textId="42FA3CF3" w:rsidR="00BB7F3B" w:rsidRDefault="00BB7F3B" w:rsidP="00623107">
      <w:pPr>
        <w:pStyle w:val="ListParagraph"/>
      </w:pPr>
    </w:p>
    <w:p w14:paraId="28EE4A14" w14:textId="144087DE" w:rsidR="00BB7F3B" w:rsidRDefault="00BB7F3B" w:rsidP="00BB7F3B">
      <w:pPr>
        <w:pStyle w:val="ListParagraph"/>
      </w:pPr>
      <w:r w:rsidRPr="00BB7F3B">
        <w:t xml:space="preserve">The work in support of more comprehensive projects can only come about by having a complete view of an agency’s energy portfolio. </w:t>
      </w:r>
      <w:r w:rsidR="008E295F">
        <w:t>As a learned best practice, we</w:t>
      </w:r>
      <w:r w:rsidRPr="00BB7F3B">
        <w:t xml:space="preserve"> utilize the data on hand to help public agencies understand their energy portfolio in a holistic view. For those we have not previously worked with, we are adept at the </w:t>
      </w:r>
      <w:r w:rsidR="008E295F">
        <w:t xml:space="preserve">energy benchmarking </w:t>
      </w:r>
      <w:r w:rsidRPr="00BB7F3B">
        <w:t xml:space="preserve">process and can quickly bring them up to speed.  </w:t>
      </w:r>
    </w:p>
    <w:p w14:paraId="0AA90141" w14:textId="77777777" w:rsidR="008E295F" w:rsidRPr="00BB7F3B" w:rsidRDefault="008E295F" w:rsidP="00BB7F3B">
      <w:pPr>
        <w:pStyle w:val="ListParagraph"/>
      </w:pPr>
    </w:p>
    <w:p w14:paraId="589CBB67" w14:textId="3AFD7B0C" w:rsidR="00BB7F3B" w:rsidRDefault="00BB7F3B" w:rsidP="00BB7F3B">
      <w:pPr>
        <w:pStyle w:val="ListParagraph"/>
      </w:pPr>
      <w:r w:rsidRPr="00BB7F3B">
        <w:t xml:space="preserve">One of the issues that we have seen is that opportunities for public agency staff to learn about energy has been at too high a level, and not structured to meet local concerns. The CCEW will leverage existing trainings offered by PG&amp;E, as well as those that may be offered by non- utility program administrators throughout the region. Our CCEW program marketing is built around taking a common approach that can be tailored by subregion or at the agency level. We rely on previously created content from the program administrators, as well at the US EPA and DOE, to leverage resources in a more cost-effective manner, while delivering quality educational offerings through a singular point of access—the CCEW. </w:t>
      </w:r>
    </w:p>
    <w:p w14:paraId="296641A5" w14:textId="77777777" w:rsidR="00BB7F3B" w:rsidRPr="00BB7F3B" w:rsidRDefault="00BB7F3B" w:rsidP="00BB7F3B">
      <w:pPr>
        <w:pStyle w:val="ListParagraph"/>
      </w:pPr>
    </w:p>
    <w:p w14:paraId="0FCE4BF7" w14:textId="59A23DBF" w:rsidR="00BB7F3B" w:rsidRDefault="00BB7F3B" w:rsidP="00BB7F3B">
      <w:pPr>
        <w:pStyle w:val="ListParagraph"/>
      </w:pPr>
      <w:r w:rsidRPr="00BB7F3B">
        <w:t xml:space="preserve">In the past decade, many public agencies have completed some form of a strategic energy plan in support of the CALEESP. The SJVCEO, through our LGP work, has assisted agencies in creating energy action plans and climate action plans. Other LGPs have put time into creating GHG inventories, so instead of recreating wheels, we will mobilize the public agencies to put the polices in these plans into action. The ideas have been vetted and approved by governing boards, the CCEW will help guide our public agency partners through implementing policies internally as well as community wide. </w:t>
      </w:r>
    </w:p>
    <w:p w14:paraId="4027A9CB" w14:textId="77777777" w:rsidR="00793B87" w:rsidRPr="00BB7F3B" w:rsidRDefault="00793B87" w:rsidP="00BB7F3B">
      <w:pPr>
        <w:pStyle w:val="ListParagraph"/>
      </w:pPr>
    </w:p>
    <w:p w14:paraId="78450BA2" w14:textId="373691A4" w:rsidR="00BB7F3B" w:rsidRPr="00BB7F3B" w:rsidRDefault="00793B87" w:rsidP="00BB7F3B">
      <w:pPr>
        <w:pStyle w:val="ListParagraph"/>
      </w:pPr>
      <w:r>
        <w:t>The CCEW</w:t>
      </w:r>
      <w:r w:rsidR="00BB7F3B" w:rsidRPr="00BB7F3B">
        <w:t xml:space="preserve"> vision for HTR and DAC public agencies</w:t>
      </w:r>
      <w:r w:rsidR="00642031">
        <w:t xml:space="preserve"> is simple:</w:t>
      </w:r>
      <w:r w:rsidR="00BB7F3B" w:rsidRPr="00BB7F3B">
        <w:t xml:space="preserve"> EE is a culture, where rural agencies are participating and delivering through RAPs on par with their urban counterparts (if not better!). The common approach of the PG&amp;E LGP program aligns ability of the SJVCEO, through the CCEW, to respond to local needs and concerns.  We will expand on our successes and improve customer understanding of their energy use and how that data should inform their investment decisions.  By doing so, we will meet the designed outcomes of the PG&amp;E program, as well as the guiding principles of our own agency.  </w:t>
      </w:r>
    </w:p>
    <w:p w14:paraId="15012087" w14:textId="77777777" w:rsidR="00BB7F3B" w:rsidRPr="003A74C6" w:rsidRDefault="00BB7F3B" w:rsidP="00623107">
      <w:pPr>
        <w:pStyle w:val="ListParagraph"/>
      </w:pPr>
    </w:p>
    <w:p w14:paraId="78A79D22" w14:textId="5144096D" w:rsidR="0060504C" w:rsidRDefault="0060504C" w:rsidP="002A3557">
      <w:pPr>
        <w:pStyle w:val="ListParagraph"/>
        <w:rPr>
          <w:i/>
          <w:iCs/>
        </w:rPr>
      </w:pPr>
    </w:p>
    <w:p w14:paraId="3A2A7FFA" w14:textId="6962F465" w:rsidR="0060504C" w:rsidRDefault="0060504C" w:rsidP="002A3557">
      <w:pPr>
        <w:pStyle w:val="ListParagraph"/>
        <w:rPr>
          <w:i/>
          <w:iCs/>
        </w:rPr>
      </w:pPr>
      <w:r>
        <w:rPr>
          <w:i/>
          <w:iCs/>
        </w:rPr>
        <w:lastRenderedPageBreak/>
        <w:t xml:space="preserve">Include descriptions of key software tools that are significant to </w:t>
      </w:r>
      <w:r w:rsidR="006566E5">
        <w:rPr>
          <w:i/>
          <w:iCs/>
        </w:rPr>
        <w:t xml:space="preserve">program strategy and implementation, including audit tools.  </w:t>
      </w:r>
    </w:p>
    <w:p w14:paraId="1446B553" w14:textId="1343C3AF" w:rsidR="00BE2F4D" w:rsidRDefault="003C5BAB" w:rsidP="002A3557">
      <w:pPr>
        <w:pStyle w:val="ListParagraph"/>
      </w:pPr>
      <w:r>
        <w:t xml:space="preserve">The SJVCEO utilizes free and </w:t>
      </w:r>
      <w:r w:rsidR="002E4BF4">
        <w:t>low-cost</w:t>
      </w:r>
      <w:r>
        <w:t xml:space="preserve"> tools to </w:t>
      </w:r>
      <w:r w:rsidR="00672D78">
        <w:t>support CCEW Program Activities.  Key software by Program Activity:</w:t>
      </w:r>
    </w:p>
    <w:p w14:paraId="21CFC367" w14:textId="3A8805BC" w:rsidR="00672D78" w:rsidRDefault="00672D78" w:rsidP="002A3557">
      <w:pPr>
        <w:pStyle w:val="ListParagraph"/>
      </w:pPr>
    </w:p>
    <w:p w14:paraId="0F50C36F" w14:textId="29153B64" w:rsidR="00672D78" w:rsidRDefault="00672D78" w:rsidP="002A3557">
      <w:pPr>
        <w:pStyle w:val="ListParagraph"/>
      </w:pPr>
      <w:r>
        <w:rPr>
          <w:b/>
          <w:bCs/>
        </w:rPr>
        <w:t>PA1/Energy Benchmarking</w:t>
      </w:r>
      <w:r>
        <w:t>: Energy Star Portfolio Manager, Green Button, PG&amp;E Energy Insight, PG&amp;E Share My Data.</w:t>
      </w:r>
    </w:p>
    <w:p w14:paraId="2E942360" w14:textId="2B29A8E6" w:rsidR="00672D78" w:rsidRDefault="00672D78" w:rsidP="002A3557">
      <w:pPr>
        <w:pStyle w:val="ListParagraph"/>
      </w:pPr>
      <w:r>
        <w:rPr>
          <w:b/>
          <w:bCs/>
        </w:rPr>
        <w:t>PA2/</w:t>
      </w:r>
      <w:r w:rsidR="00480814">
        <w:rPr>
          <w:b/>
          <w:bCs/>
        </w:rPr>
        <w:t>Infrastructure Inventory</w:t>
      </w:r>
      <w:r w:rsidR="00480814">
        <w:t>: II is already built on</w:t>
      </w:r>
      <w:r w:rsidR="00985173">
        <w:t xml:space="preserve"> </w:t>
      </w:r>
      <w:r w:rsidR="00480814">
        <w:t>D</w:t>
      </w:r>
      <w:r w:rsidR="0066615C">
        <w:t>rupal</w:t>
      </w:r>
      <w:r w:rsidR="00985173">
        <w:t>, a free and open-source web content management framewor</w:t>
      </w:r>
      <w:r w:rsidR="00BC7B10">
        <w:t xml:space="preserve">k.  II pulls data sets from the Energy Benchmarking platforms. </w:t>
      </w:r>
    </w:p>
    <w:p w14:paraId="78414336" w14:textId="50736D25" w:rsidR="00BC7B10" w:rsidRDefault="00A516F6" w:rsidP="002A3557">
      <w:pPr>
        <w:pStyle w:val="ListParagraph"/>
      </w:pPr>
      <w:r>
        <w:rPr>
          <w:b/>
          <w:bCs/>
        </w:rPr>
        <w:t>PA3/Energy Readiness Reports</w:t>
      </w:r>
      <w:r>
        <w:t xml:space="preserve">: prepared in Microsoft Word and Excel. </w:t>
      </w:r>
    </w:p>
    <w:p w14:paraId="772F0B3D" w14:textId="19AEBE42" w:rsidR="00A516F6" w:rsidRDefault="00A516F6" w:rsidP="002A3557">
      <w:pPr>
        <w:pStyle w:val="ListParagraph"/>
      </w:pPr>
      <w:r>
        <w:rPr>
          <w:b/>
          <w:bCs/>
        </w:rPr>
        <w:t>PA4/</w:t>
      </w:r>
      <w:r w:rsidR="002A1FFC">
        <w:rPr>
          <w:b/>
          <w:bCs/>
        </w:rPr>
        <w:t>Exchange Dashboard</w:t>
      </w:r>
      <w:r w:rsidR="002A1FFC">
        <w:t xml:space="preserve">: </w:t>
      </w:r>
      <w:r w:rsidR="000829F7">
        <w:t>ED is built on the Teamwork Project Management Software</w:t>
      </w:r>
      <w:r w:rsidR="005D6517">
        <w:t xml:space="preserve"> platform. </w:t>
      </w:r>
    </w:p>
    <w:p w14:paraId="5FC5BB32" w14:textId="795DBD13" w:rsidR="005D6517" w:rsidRDefault="005D6517" w:rsidP="002A3557">
      <w:pPr>
        <w:pStyle w:val="ListParagraph"/>
      </w:pPr>
      <w:r>
        <w:rPr>
          <w:b/>
          <w:bCs/>
        </w:rPr>
        <w:t>PA5/GR</w:t>
      </w:r>
      <w:r w:rsidR="007421B1">
        <w:rPr>
          <w:b/>
          <w:bCs/>
        </w:rPr>
        <w:t>ITS</w:t>
      </w:r>
      <w:r w:rsidR="007421B1" w:rsidRPr="007421B1">
        <w:t>:</w:t>
      </w:r>
      <w:r w:rsidR="007421B1">
        <w:t xml:space="preserve"> Offered</w:t>
      </w:r>
      <w:r w:rsidR="00103E0E">
        <w:t xml:space="preserve"> to ESPM users, </w:t>
      </w:r>
      <w:r w:rsidR="007421B1">
        <w:t>at no cost through</w:t>
      </w:r>
      <w:r w:rsidR="00BB69E2">
        <w:t xml:space="preserve"> the Sustainable Endowments Institu</w:t>
      </w:r>
      <w:r w:rsidR="00103E0E">
        <w:t xml:space="preserve">te, GRITS is a project level </w:t>
      </w:r>
      <w:r w:rsidR="00C42C99">
        <w:t>platform that calculates, tracks, and shares the energy, financial, and carbon savings</w:t>
      </w:r>
      <w:r w:rsidR="0054511A">
        <w:t xml:space="preserve"> data form sustainability projects. </w:t>
      </w:r>
    </w:p>
    <w:p w14:paraId="1C2B68C8" w14:textId="437E0D4E" w:rsidR="006522AD" w:rsidRPr="006522AD" w:rsidRDefault="006522AD" w:rsidP="002A3557">
      <w:pPr>
        <w:pStyle w:val="ListParagraph"/>
      </w:pPr>
      <w:r>
        <w:rPr>
          <w:b/>
          <w:bCs/>
        </w:rPr>
        <w:t>PA6/MEO</w:t>
      </w:r>
      <w:r>
        <w:t xml:space="preserve">: The SJVCEO </w:t>
      </w:r>
      <w:r w:rsidR="00683FEC">
        <w:t>uses SquareSpace for website</w:t>
      </w:r>
      <w:r w:rsidR="004D037E">
        <w:t xml:space="preserve">, Blog-EE </w:t>
      </w:r>
      <w:r w:rsidR="00683FEC">
        <w:t xml:space="preserve">and digital marketing campaigns.  We host </w:t>
      </w:r>
      <w:r w:rsidR="004D037E">
        <w:t>meetings</w:t>
      </w:r>
      <w:r w:rsidR="00002104">
        <w:t xml:space="preserve"> and record our Fast Chats webisodes</w:t>
      </w:r>
      <w:r w:rsidR="004D037E">
        <w:t xml:space="preserve"> on the Zoom and Microsoft Teams platforms. </w:t>
      </w:r>
      <w:r w:rsidR="008D42B6">
        <w:t>Our POD-EE is recorded and edited using Audacity software and housed on Spotify</w:t>
      </w:r>
      <w:r w:rsidR="00DF493D">
        <w:t xml:space="preserve">. </w:t>
      </w:r>
    </w:p>
    <w:p w14:paraId="43CE9211" w14:textId="66C66081" w:rsidR="002A3557" w:rsidRDefault="002A3557" w:rsidP="002A3557">
      <w:pPr>
        <w:pStyle w:val="ListParagraph"/>
        <w:rPr>
          <w:i/>
          <w:iCs/>
        </w:rPr>
      </w:pPr>
    </w:p>
    <w:p w14:paraId="45D6411F" w14:textId="01DE33E8" w:rsidR="00D00F45" w:rsidRPr="00D00F45" w:rsidRDefault="00334DF3" w:rsidP="00CD415B">
      <w:pPr>
        <w:pStyle w:val="ListParagraph"/>
        <w:numPr>
          <w:ilvl w:val="0"/>
          <w:numId w:val="2"/>
        </w:numPr>
      </w:pPr>
      <w:bookmarkStart w:id="45" w:name="_Toc47619625"/>
      <w:r w:rsidRPr="006042AB">
        <w:rPr>
          <w:rStyle w:val="Heading3Char"/>
        </w:rPr>
        <w:t>Innovation</w:t>
      </w:r>
      <w:bookmarkEnd w:id="45"/>
      <w:r>
        <w:rPr>
          <w:b/>
          <w:bCs/>
        </w:rPr>
        <w:t xml:space="preserve">: </w:t>
      </w:r>
      <w:r w:rsidR="00D00F45" w:rsidRPr="00D00F45">
        <w:t>The CCEW is a program that moves customers towards accessing innovative RAP programs. The CCEW focuses on building actionable pipelines from data that will empower public agencies to make informed choices.</w:t>
      </w:r>
      <w:r w:rsidR="00CD415B">
        <w:t xml:space="preserve">  </w:t>
      </w:r>
      <w:r w:rsidR="00D00F45" w:rsidRPr="00D00F45">
        <w:t>RAPs a</w:t>
      </w:r>
      <w:r w:rsidR="006C514B">
        <w:t>re</w:t>
      </w:r>
      <w:r w:rsidR="00D00F45" w:rsidRPr="00D00F45">
        <w:t xml:space="preserve"> the leaders of innovation</w:t>
      </w:r>
      <w:r w:rsidR="006C514B">
        <w:t>,</w:t>
      </w:r>
      <w:r w:rsidR="003E5282">
        <w:t xml:space="preserve"> and </w:t>
      </w:r>
      <w:r w:rsidR="00D00F45" w:rsidRPr="00D00F45">
        <w:t xml:space="preserve">CCEW is a supportive service to ensure the RAPs innovation is accessed by eligible communities. </w:t>
      </w:r>
    </w:p>
    <w:p w14:paraId="7C8693B7" w14:textId="77777777" w:rsidR="00D00F45" w:rsidRDefault="00D00F45" w:rsidP="00D00F45">
      <w:pPr>
        <w:pStyle w:val="ListParagraph"/>
      </w:pPr>
    </w:p>
    <w:p w14:paraId="03D0BDC3" w14:textId="55D1432D" w:rsidR="00316644" w:rsidRDefault="00696AB7" w:rsidP="00D00F45">
      <w:pPr>
        <w:pStyle w:val="ListParagraph"/>
      </w:pPr>
      <w:r>
        <w:t>The CCEW approaches innovation thro</w:t>
      </w:r>
      <w:r w:rsidR="00B40540">
        <w:t xml:space="preserve">ugh </w:t>
      </w:r>
      <w:r w:rsidR="009A2CA0">
        <w:t>“</w:t>
      </w:r>
      <w:r w:rsidR="00B40540">
        <w:t>market strategy</w:t>
      </w:r>
      <w:r w:rsidR="009A2CA0">
        <w:t>”</w:t>
      </w:r>
      <w:r w:rsidR="00B40540">
        <w:t xml:space="preserve"> and </w:t>
      </w:r>
      <w:r w:rsidR="009A2CA0">
        <w:t>“</w:t>
      </w:r>
      <w:r w:rsidR="00B40540">
        <w:t>delivery approach</w:t>
      </w:r>
      <w:r w:rsidR="006C514B">
        <w:t>,</w:t>
      </w:r>
      <w:r w:rsidR="009A2CA0">
        <w:t>”</w:t>
      </w:r>
      <w:r w:rsidR="00B40540">
        <w:t xml:space="preserve"> both resulting from lessons learned implementing </w:t>
      </w:r>
      <w:r w:rsidR="00DA7241">
        <w:t xml:space="preserve">prescribed </w:t>
      </w:r>
      <w:r w:rsidR="009A2CA0">
        <w:t xml:space="preserve">LGP </w:t>
      </w:r>
      <w:r w:rsidR="00A70B20">
        <w:t>programs from 2009-2020.</w:t>
      </w:r>
    </w:p>
    <w:p w14:paraId="292F2DDF" w14:textId="11FF8F18" w:rsidR="00A70B20" w:rsidRDefault="00A70B20" w:rsidP="00D00F45">
      <w:pPr>
        <w:pStyle w:val="ListParagraph"/>
      </w:pPr>
    </w:p>
    <w:p w14:paraId="14213F59" w14:textId="36A75559" w:rsidR="00A70B20" w:rsidRDefault="00A70B20" w:rsidP="00D00F45">
      <w:pPr>
        <w:pStyle w:val="ListParagraph"/>
      </w:pPr>
      <w:r>
        <w:t xml:space="preserve">Our II, while simple </w:t>
      </w:r>
      <w:r w:rsidR="00B630D9">
        <w:t>in design</w:t>
      </w:r>
      <w:r w:rsidR="002C1CCB">
        <w:t>,</w:t>
      </w:r>
      <w:r w:rsidR="00B630D9">
        <w:t xml:space="preserve"> </w:t>
      </w:r>
      <w:r w:rsidR="00FE473F">
        <w:t xml:space="preserve">promotes agency staff participation </w:t>
      </w:r>
      <w:r w:rsidR="002C1CCB">
        <w:t xml:space="preserve">in their </w:t>
      </w:r>
      <w:r w:rsidR="00D85545">
        <w:t xml:space="preserve">energy resource management.  </w:t>
      </w:r>
    </w:p>
    <w:p w14:paraId="4C82093A" w14:textId="33A8E45E" w:rsidR="00D85545" w:rsidRDefault="00D85545" w:rsidP="00D00F45">
      <w:pPr>
        <w:pStyle w:val="ListParagraph"/>
      </w:pPr>
    </w:p>
    <w:p w14:paraId="714DAC02" w14:textId="346684BC" w:rsidR="00D85545" w:rsidRDefault="00D85545" w:rsidP="00D00F45">
      <w:pPr>
        <w:pStyle w:val="ListParagraph"/>
      </w:pPr>
      <w:r>
        <w:t xml:space="preserve">Our delivery approach </w:t>
      </w:r>
      <w:r w:rsidR="00F31494">
        <w:t>of serving primarily HTR and DAC communities</w:t>
      </w:r>
      <w:r w:rsidR="00034B54">
        <w:t xml:space="preserve"> is innovative because we </w:t>
      </w:r>
      <w:r w:rsidR="00F31494">
        <w:t>aggregat</w:t>
      </w:r>
      <w:r w:rsidR="00034B54">
        <w:t>e</w:t>
      </w:r>
      <w:r w:rsidR="00F31494">
        <w:t xml:space="preserve"> at the project and/or opportunity level w</w:t>
      </w:r>
      <w:r w:rsidR="00034B54">
        <w:t>hich</w:t>
      </w:r>
      <w:r w:rsidR="00F31494">
        <w:t xml:space="preserve"> </w:t>
      </w:r>
      <w:r w:rsidR="00846CB2">
        <w:t>encourage</w:t>
      </w:r>
      <w:r w:rsidR="00034B54">
        <w:t>s</w:t>
      </w:r>
      <w:r w:rsidR="00846CB2">
        <w:t xml:space="preserve"> new customer engagement from a persistently stubborn market group. </w:t>
      </w:r>
    </w:p>
    <w:p w14:paraId="69B4079F" w14:textId="77777777" w:rsidR="00846CB2" w:rsidRPr="00D00F45" w:rsidRDefault="00846CB2" w:rsidP="00D00F45">
      <w:pPr>
        <w:pStyle w:val="ListParagraph"/>
      </w:pPr>
    </w:p>
    <w:p w14:paraId="1BB525AD" w14:textId="799A56A6" w:rsidR="00334DF3" w:rsidRDefault="00334DF3" w:rsidP="00334DF3">
      <w:pPr>
        <w:pStyle w:val="ListParagraph"/>
        <w:numPr>
          <w:ilvl w:val="0"/>
          <w:numId w:val="2"/>
        </w:numPr>
      </w:pPr>
      <w:bookmarkStart w:id="46" w:name="_Toc47619626"/>
      <w:r w:rsidRPr="006042AB">
        <w:rPr>
          <w:rStyle w:val="Heading3Char"/>
        </w:rPr>
        <w:t>Metrics</w:t>
      </w:r>
      <w:bookmarkEnd w:id="46"/>
      <w:r>
        <w:rPr>
          <w:b/>
          <w:bCs/>
        </w:rPr>
        <w:t xml:space="preserve">: </w:t>
      </w:r>
      <w:r w:rsidR="00233E66">
        <w:t xml:space="preserve">The </w:t>
      </w:r>
      <w:r w:rsidR="007B1F5F">
        <w:t>CCEW will be tracked using a combination of foundational</w:t>
      </w:r>
      <w:r w:rsidR="000B6C1D">
        <w:t>(f)</w:t>
      </w:r>
      <w:r w:rsidR="007B1F5F">
        <w:t xml:space="preserve"> and supporting</w:t>
      </w:r>
      <w:r w:rsidR="000B6C1D">
        <w:t>(s)</w:t>
      </w:r>
      <w:r w:rsidR="007B1F5F">
        <w:t xml:space="preserve"> Key Performance Indicators</w:t>
      </w:r>
      <w:r w:rsidR="000B6C1D">
        <w:t xml:space="preserve"> (KPIs)</w:t>
      </w:r>
      <w:r w:rsidR="007B1F5F">
        <w:t xml:space="preserve">.  </w:t>
      </w:r>
      <w:r w:rsidR="000B6C1D">
        <w:t>Those include:</w:t>
      </w:r>
    </w:p>
    <w:p w14:paraId="23A5C3A7" w14:textId="1EF338DB" w:rsidR="000B6C1D" w:rsidRDefault="000B6C1D" w:rsidP="000B6C1D">
      <w:pPr>
        <w:pStyle w:val="ListParagraph"/>
        <w:numPr>
          <w:ilvl w:val="0"/>
          <w:numId w:val="5"/>
        </w:numPr>
      </w:pPr>
      <w:r>
        <w:t>Contacts (f):</w:t>
      </w:r>
      <w:r w:rsidR="00A2251B">
        <w:t xml:space="preserve"> </w:t>
      </w:r>
      <w:r w:rsidR="00A2251B" w:rsidRPr="00A2251B">
        <w:t>Number of Contacts: by sector and by type.</w:t>
      </w:r>
    </w:p>
    <w:p w14:paraId="5C8B1A47" w14:textId="79EE8E97" w:rsidR="000B6C1D" w:rsidRDefault="0026691F" w:rsidP="000B6C1D">
      <w:pPr>
        <w:pStyle w:val="ListParagraph"/>
        <w:numPr>
          <w:ilvl w:val="0"/>
          <w:numId w:val="5"/>
        </w:numPr>
      </w:pPr>
      <w:r>
        <w:t>Pipeline (f):</w:t>
      </w:r>
      <w:r w:rsidR="00B6210B">
        <w:t xml:space="preserve"> </w:t>
      </w:r>
      <w:r w:rsidR="00B6210B" w:rsidRPr="00B6210B">
        <w:t>kW/kWh/Therms savings: pipeline tracking by status, "potential", "committed", "completed</w:t>
      </w:r>
      <w:r w:rsidR="00B6210B">
        <w:t>”</w:t>
      </w:r>
      <w:r w:rsidR="00B6210B" w:rsidRPr="00B6210B">
        <w:t>.</w:t>
      </w:r>
    </w:p>
    <w:p w14:paraId="5EBE236F" w14:textId="788D8ADE" w:rsidR="0026691F" w:rsidRDefault="0026691F" w:rsidP="000B6C1D">
      <w:pPr>
        <w:pStyle w:val="ListParagraph"/>
        <w:numPr>
          <w:ilvl w:val="0"/>
          <w:numId w:val="5"/>
        </w:numPr>
      </w:pPr>
      <w:r>
        <w:t>Audit/Reports (f):</w:t>
      </w:r>
      <w:r w:rsidR="00B6210B">
        <w:t xml:space="preserve"> </w:t>
      </w:r>
      <w:r w:rsidR="000A7208" w:rsidRPr="000A7208">
        <w:t>Number of audits or reports prepared or presented.</w:t>
      </w:r>
    </w:p>
    <w:p w14:paraId="08025524" w14:textId="648ABD24" w:rsidR="0026691F" w:rsidRDefault="0026691F" w:rsidP="000B6C1D">
      <w:pPr>
        <w:pStyle w:val="ListParagraph"/>
        <w:numPr>
          <w:ilvl w:val="0"/>
          <w:numId w:val="5"/>
        </w:numPr>
      </w:pPr>
      <w:r>
        <w:t>Projects Managed (s):</w:t>
      </w:r>
      <w:r w:rsidR="000A7208">
        <w:t xml:space="preserve"> </w:t>
      </w:r>
      <w:r w:rsidR="000A7208" w:rsidRPr="000A7208">
        <w:t>Number of projects managed and/or using GRITS, those where financing is facilitated or through OBF</w:t>
      </w:r>
      <w:r w:rsidR="004069D7">
        <w:t>.</w:t>
      </w:r>
    </w:p>
    <w:p w14:paraId="4F12C102" w14:textId="39870A63" w:rsidR="0026691F" w:rsidRDefault="00753A74" w:rsidP="000B6C1D">
      <w:pPr>
        <w:pStyle w:val="ListParagraph"/>
        <w:numPr>
          <w:ilvl w:val="0"/>
          <w:numId w:val="5"/>
        </w:numPr>
      </w:pPr>
      <w:r>
        <w:t>Education (s):</w:t>
      </w:r>
      <w:r w:rsidR="004069D7">
        <w:t xml:space="preserve"> </w:t>
      </w:r>
      <w:r w:rsidR="004069D7" w:rsidRPr="004069D7">
        <w:t>Number of Educational Opportunities offered</w:t>
      </w:r>
      <w:r w:rsidR="004069D7">
        <w:t>.</w:t>
      </w:r>
    </w:p>
    <w:p w14:paraId="3110B6DD" w14:textId="0CA6388E" w:rsidR="00753A74" w:rsidRDefault="00753A74" w:rsidP="000B6C1D">
      <w:pPr>
        <w:pStyle w:val="ListParagraph"/>
        <w:numPr>
          <w:ilvl w:val="0"/>
          <w:numId w:val="5"/>
        </w:numPr>
      </w:pPr>
      <w:r>
        <w:t>Benchmarking (s):</w:t>
      </w:r>
      <w:r w:rsidR="004069D7">
        <w:t xml:space="preserve"> </w:t>
      </w:r>
      <w:r w:rsidR="004069D7" w:rsidRPr="004069D7">
        <w:t>Number or percentage of Buildings Benchmarked</w:t>
      </w:r>
      <w:r w:rsidR="004069D7">
        <w:t>.</w:t>
      </w:r>
    </w:p>
    <w:p w14:paraId="15B385B7" w14:textId="77777777" w:rsidR="00753A74" w:rsidRDefault="00753A74" w:rsidP="00753A74">
      <w:pPr>
        <w:pStyle w:val="ListParagraph"/>
        <w:ind w:left="1440"/>
      </w:pPr>
    </w:p>
    <w:p w14:paraId="5EDADD78" w14:textId="3A0FA1A8" w:rsidR="00334DF3" w:rsidRDefault="00334DF3" w:rsidP="00334DF3">
      <w:pPr>
        <w:pStyle w:val="ListParagraph"/>
        <w:numPr>
          <w:ilvl w:val="0"/>
          <w:numId w:val="2"/>
        </w:numPr>
      </w:pPr>
      <w:bookmarkStart w:id="47" w:name="_Toc47619627"/>
      <w:r w:rsidRPr="006042AB">
        <w:rPr>
          <w:rStyle w:val="Heading3Char"/>
        </w:rPr>
        <w:t>For programs claiming to-code savings</w:t>
      </w:r>
      <w:bookmarkEnd w:id="47"/>
      <w:r>
        <w:rPr>
          <w:b/>
          <w:bCs/>
        </w:rPr>
        <w:t>:</w:t>
      </w:r>
      <w:r>
        <w:t xml:space="preserve"> </w:t>
      </w:r>
      <w:r w:rsidR="00555A25">
        <w:t>Not appl</w:t>
      </w:r>
      <w:r w:rsidR="00962385">
        <w:t>icable</w:t>
      </w:r>
      <w:r w:rsidR="00555A25">
        <w:t>.</w:t>
      </w:r>
    </w:p>
    <w:p w14:paraId="34874F50" w14:textId="0691B476" w:rsidR="00334DF3" w:rsidRDefault="00334DF3" w:rsidP="00334DF3">
      <w:pPr>
        <w:pStyle w:val="ListParagraph"/>
        <w:numPr>
          <w:ilvl w:val="0"/>
          <w:numId w:val="2"/>
        </w:numPr>
      </w:pPr>
      <w:bookmarkStart w:id="48" w:name="_Toc47619628"/>
      <w:r w:rsidRPr="006042AB">
        <w:rPr>
          <w:rStyle w:val="Heading3Char"/>
        </w:rPr>
        <w:t>Pilots</w:t>
      </w:r>
      <w:bookmarkEnd w:id="48"/>
      <w:r>
        <w:rPr>
          <w:b/>
          <w:bCs/>
        </w:rPr>
        <w:t>:</w:t>
      </w:r>
      <w:r>
        <w:t xml:space="preserve"> </w:t>
      </w:r>
      <w:r w:rsidR="00555A25">
        <w:t>Not applicable.</w:t>
      </w:r>
    </w:p>
    <w:p w14:paraId="77FB1C09" w14:textId="06035ACB" w:rsidR="005C6258" w:rsidRDefault="00334DF3" w:rsidP="005C6258">
      <w:pPr>
        <w:pStyle w:val="ListParagraph"/>
        <w:numPr>
          <w:ilvl w:val="0"/>
          <w:numId w:val="2"/>
        </w:numPr>
      </w:pPr>
      <w:bookmarkStart w:id="49" w:name="_Toc47619629"/>
      <w:r w:rsidRPr="006042AB">
        <w:rPr>
          <w:rStyle w:val="Heading3Char"/>
        </w:rPr>
        <w:t>Workforce Education and Training</w:t>
      </w:r>
      <w:bookmarkEnd w:id="49"/>
      <w:r>
        <w:rPr>
          <w:b/>
          <w:bCs/>
        </w:rPr>
        <w:t>:</w:t>
      </w:r>
      <w:r>
        <w:t xml:space="preserve"> </w:t>
      </w:r>
      <w:r w:rsidR="00962385">
        <w:t>Not applicable.</w:t>
      </w:r>
    </w:p>
    <w:p w14:paraId="4630959C" w14:textId="621C6FD5" w:rsidR="00562B6B" w:rsidRPr="005C6258" w:rsidRDefault="00334DF3" w:rsidP="005C6258">
      <w:pPr>
        <w:pStyle w:val="ListParagraph"/>
        <w:numPr>
          <w:ilvl w:val="0"/>
          <w:numId w:val="2"/>
        </w:numPr>
      </w:pPr>
      <w:bookmarkStart w:id="50" w:name="_Toc47619630"/>
      <w:r w:rsidRPr="006042AB">
        <w:rPr>
          <w:rStyle w:val="Heading3Char"/>
        </w:rPr>
        <w:t>Workforce Standards</w:t>
      </w:r>
      <w:bookmarkEnd w:id="50"/>
      <w:r w:rsidRPr="005C6258">
        <w:rPr>
          <w:b/>
          <w:bCs/>
        </w:rPr>
        <w:t>:</w:t>
      </w:r>
      <w:r w:rsidR="00562B6B" w:rsidRPr="005C6258">
        <w:rPr>
          <w:b/>
          <w:bCs/>
        </w:rPr>
        <w:t xml:space="preserve"> </w:t>
      </w:r>
      <w:r w:rsidR="00562B6B" w:rsidRPr="005C6258">
        <w:rPr>
          <w:rFonts w:cs="Arial"/>
          <w:iCs/>
          <w:lang w:eastAsia="x-none"/>
        </w:rPr>
        <w:t>CCEW does not offer services that include the installation of HVAC equipment or advanced lighting controls. The General Workforce Standards set forth by the CPUC shall apply.</w:t>
      </w:r>
    </w:p>
    <w:p w14:paraId="50E84FD2" w14:textId="372B57DD" w:rsidR="00562B6B" w:rsidRDefault="00562B6B" w:rsidP="005C6258">
      <w:pPr>
        <w:pStyle w:val="NoSpacing"/>
        <w:numPr>
          <w:ilvl w:val="1"/>
          <w:numId w:val="2"/>
        </w:numPr>
      </w:pPr>
      <w:r>
        <w:t xml:space="preserve">A quality workforce supports the program outcomes by ensuring HTR and DAC communities have access to </w:t>
      </w:r>
      <w:r w:rsidR="00962385">
        <w:t>locally based</w:t>
      </w:r>
      <w:r>
        <w:t xml:space="preserve"> energy efficiency professionals with the ability to guide work forward in the unique confines that distinguish the public sector. </w:t>
      </w:r>
    </w:p>
    <w:p w14:paraId="7B4B166F" w14:textId="77777777" w:rsidR="00562B6B" w:rsidRDefault="00562B6B" w:rsidP="005C6258">
      <w:pPr>
        <w:pStyle w:val="NoSpacing"/>
        <w:numPr>
          <w:ilvl w:val="1"/>
          <w:numId w:val="2"/>
        </w:numPr>
      </w:pPr>
      <w:r>
        <w:t xml:space="preserve">While CCEW is a non-resource program without installation services, the program will strive to maintain workers with applicable certifications and degrees based on the job skill level, i.e. the Energy Manager should be certified by IOU WE&amp;T programs to conduct Level I audits. </w:t>
      </w:r>
    </w:p>
    <w:p w14:paraId="0AA896CA" w14:textId="77777777" w:rsidR="00562B6B" w:rsidRPr="009F0F64" w:rsidRDefault="00562B6B" w:rsidP="005C6258">
      <w:pPr>
        <w:pStyle w:val="NoSpacing"/>
        <w:numPr>
          <w:ilvl w:val="1"/>
          <w:numId w:val="2"/>
        </w:numPr>
      </w:pPr>
      <w:r>
        <w:t xml:space="preserve">Compliance with Workforce Standards will be included on monthly reports and reviewed quarterly with the PG&amp;E Program Manager. </w:t>
      </w:r>
    </w:p>
    <w:p w14:paraId="784CA76A" w14:textId="00AD7D9B" w:rsidR="00334DF3" w:rsidRDefault="00334DF3" w:rsidP="005C6258">
      <w:pPr>
        <w:pStyle w:val="ListParagraph"/>
      </w:pPr>
    </w:p>
    <w:p w14:paraId="7A81305C" w14:textId="4F6FAE57" w:rsidR="00334DF3" w:rsidRDefault="00334DF3" w:rsidP="00334DF3">
      <w:pPr>
        <w:pStyle w:val="ListParagraph"/>
        <w:numPr>
          <w:ilvl w:val="0"/>
          <w:numId w:val="2"/>
        </w:numPr>
      </w:pPr>
      <w:bookmarkStart w:id="51" w:name="_Toc47619631"/>
      <w:r w:rsidRPr="006042AB">
        <w:rPr>
          <w:rStyle w:val="Heading3Char"/>
        </w:rPr>
        <w:t>Disadvantaged Worker Plan</w:t>
      </w:r>
      <w:bookmarkEnd w:id="51"/>
      <w:r>
        <w:rPr>
          <w:b/>
          <w:bCs/>
        </w:rPr>
        <w:t>:</w:t>
      </w:r>
      <w:r w:rsidR="006D7BE5">
        <w:rPr>
          <w:b/>
          <w:bCs/>
        </w:rPr>
        <w:t xml:space="preserve"> </w:t>
      </w:r>
      <w:r w:rsidR="006D7BE5" w:rsidRPr="006D7BE5">
        <w:t xml:space="preserve">391/1015 zip codes in the top 25% of the CalEnviro Screen tool are in the areas that the SJVCEO actively recruits for employment. Narrowing in more, 20 of the 25 zip codes in Fresno County, where SJVCEO offices are headquartered, are in the top 25% of high unemployment zip codes.  At present, 50% of SJVCEO staff </w:t>
      </w:r>
      <w:r w:rsidR="00AC5C65">
        <w:t xml:space="preserve">(60% normally, but one employee is furloughed due to COVID impacts) </w:t>
      </w:r>
      <w:r w:rsidR="006D7BE5" w:rsidRPr="006D7BE5">
        <w:t xml:space="preserve">meet the minimum requirement for "Disadvantaged Worker". We will continue to recruit workers in the communities we serve, ensuring our local capacity grows.  </w:t>
      </w:r>
    </w:p>
    <w:p w14:paraId="0A802536" w14:textId="77777777" w:rsidR="0096421B" w:rsidRDefault="0096421B" w:rsidP="0096421B">
      <w:pPr>
        <w:pStyle w:val="ListParagraph"/>
      </w:pPr>
    </w:p>
    <w:p w14:paraId="58B24CA9" w14:textId="4CE32E5C" w:rsidR="00334DF3" w:rsidRPr="00E56EAA" w:rsidRDefault="00334DF3" w:rsidP="00334DF3">
      <w:pPr>
        <w:pStyle w:val="ListParagraph"/>
        <w:numPr>
          <w:ilvl w:val="0"/>
          <w:numId w:val="2"/>
        </w:numPr>
      </w:pPr>
      <w:bookmarkStart w:id="52" w:name="_Toc47619632"/>
      <w:r w:rsidRPr="006042AB">
        <w:rPr>
          <w:rStyle w:val="Heading3Char"/>
        </w:rPr>
        <w:t>Additional information</w:t>
      </w:r>
      <w:bookmarkEnd w:id="52"/>
      <w:r>
        <w:rPr>
          <w:b/>
          <w:bCs/>
        </w:rPr>
        <w:t xml:space="preserve">: </w:t>
      </w:r>
      <w:r w:rsidR="0024011A">
        <w:t>Not applicable.</w:t>
      </w:r>
    </w:p>
    <w:p w14:paraId="5D83AD29" w14:textId="38C31CCF" w:rsidR="00E56EAA" w:rsidRDefault="00E56EAA" w:rsidP="00E56EAA">
      <w:pPr>
        <w:pStyle w:val="Heading1"/>
      </w:pPr>
      <w:bookmarkStart w:id="53" w:name="_Toc47619633"/>
      <w:r>
        <w:t>Supporting Documents</w:t>
      </w:r>
      <w:bookmarkEnd w:id="53"/>
    </w:p>
    <w:p w14:paraId="303500C6" w14:textId="521C5081" w:rsidR="00E56EAA" w:rsidRDefault="00E56EAA" w:rsidP="00E56EAA">
      <w:r>
        <w:t>Attached documents in PDF format:</w:t>
      </w:r>
    </w:p>
    <w:p w14:paraId="234934F7" w14:textId="493EB5A5" w:rsidR="00E56EAA" w:rsidRPr="00E56EAA" w:rsidRDefault="00E56EAA" w:rsidP="00E56EAA">
      <w:pPr>
        <w:pStyle w:val="ListParagraph"/>
        <w:numPr>
          <w:ilvl w:val="0"/>
          <w:numId w:val="3"/>
        </w:numPr>
      </w:pPr>
      <w:r>
        <w:rPr>
          <w:b/>
          <w:bCs/>
        </w:rPr>
        <w:t>Program Manuals and Program Rules</w:t>
      </w:r>
      <w:r w:rsidR="00166FE6">
        <w:rPr>
          <w:b/>
          <w:bCs/>
        </w:rPr>
        <w:t xml:space="preserve">: </w:t>
      </w:r>
      <w:r w:rsidR="00456F02" w:rsidRPr="00456F02">
        <w:t>to be</w:t>
      </w:r>
      <w:r w:rsidR="00456F02">
        <w:rPr>
          <w:b/>
          <w:bCs/>
        </w:rPr>
        <w:t xml:space="preserve"> </w:t>
      </w:r>
      <w:r w:rsidR="00166FE6">
        <w:t>included</w:t>
      </w:r>
    </w:p>
    <w:p w14:paraId="0FC14553" w14:textId="3354B013" w:rsidR="00E56EAA" w:rsidRPr="00E56EAA" w:rsidRDefault="00E56EAA" w:rsidP="00E56EAA">
      <w:pPr>
        <w:pStyle w:val="ListParagraph"/>
        <w:numPr>
          <w:ilvl w:val="0"/>
          <w:numId w:val="3"/>
        </w:numPr>
      </w:pPr>
      <w:r>
        <w:rPr>
          <w:b/>
          <w:bCs/>
        </w:rPr>
        <w:t>Program Theory and Program Logic Model</w:t>
      </w:r>
      <w:r w:rsidR="00166FE6">
        <w:rPr>
          <w:b/>
          <w:bCs/>
        </w:rPr>
        <w:t xml:space="preserve">: </w:t>
      </w:r>
      <w:r w:rsidR="00166FE6">
        <w:t>included</w:t>
      </w:r>
    </w:p>
    <w:p w14:paraId="689D046E" w14:textId="05BA05D5" w:rsidR="00E56EAA" w:rsidRPr="00E56EAA" w:rsidRDefault="00E56EAA" w:rsidP="00E56EAA">
      <w:pPr>
        <w:pStyle w:val="ListParagraph"/>
        <w:numPr>
          <w:ilvl w:val="0"/>
          <w:numId w:val="3"/>
        </w:numPr>
      </w:pPr>
      <w:r>
        <w:rPr>
          <w:b/>
          <w:bCs/>
        </w:rPr>
        <w:t>Process Flow Chart</w:t>
      </w:r>
      <w:r w:rsidR="00166FE6">
        <w:rPr>
          <w:b/>
          <w:bCs/>
        </w:rPr>
        <w:t xml:space="preserve">: </w:t>
      </w:r>
      <w:r w:rsidR="00166FE6">
        <w:t>included</w:t>
      </w:r>
    </w:p>
    <w:p w14:paraId="2C327F3F" w14:textId="77777777" w:rsidR="00387BE2" w:rsidRDefault="00E56EAA" w:rsidP="005C2949">
      <w:pPr>
        <w:pStyle w:val="ListParagraph"/>
        <w:numPr>
          <w:ilvl w:val="0"/>
          <w:numId w:val="3"/>
        </w:numPr>
      </w:pPr>
      <w:r>
        <w:rPr>
          <w:b/>
          <w:bCs/>
        </w:rPr>
        <w:t xml:space="preserve">Incentive Tables, Workpapers, Software Tools: </w:t>
      </w:r>
      <w:r>
        <w:t>not applicable</w:t>
      </w:r>
    </w:p>
    <w:p w14:paraId="5DD75945" w14:textId="2E706A3A" w:rsidR="00E56EAA" w:rsidRDefault="00E56EAA" w:rsidP="005C2949">
      <w:pPr>
        <w:pStyle w:val="ListParagraph"/>
        <w:numPr>
          <w:ilvl w:val="0"/>
          <w:numId w:val="3"/>
        </w:numPr>
      </w:pPr>
      <w:r w:rsidRPr="000526DE">
        <w:rPr>
          <w:b/>
          <w:bCs/>
        </w:rPr>
        <w:t>Quantitative Program Targets</w:t>
      </w:r>
      <w:r w:rsidR="00166FE6">
        <w:rPr>
          <w:b/>
          <w:bCs/>
        </w:rPr>
        <w:t xml:space="preserve">: </w:t>
      </w:r>
      <w:r w:rsidR="00896C28">
        <w:t>included</w:t>
      </w:r>
    </w:p>
    <w:p w14:paraId="4DD709B0" w14:textId="36903755" w:rsidR="00E56EAA" w:rsidRPr="00E56EAA" w:rsidRDefault="00E56EAA" w:rsidP="00E56EAA">
      <w:pPr>
        <w:pStyle w:val="ListParagraph"/>
        <w:numPr>
          <w:ilvl w:val="0"/>
          <w:numId w:val="3"/>
        </w:numPr>
      </w:pPr>
      <w:r>
        <w:rPr>
          <w:b/>
          <w:bCs/>
        </w:rPr>
        <w:t>Diagram of Program:</w:t>
      </w:r>
      <w:r w:rsidR="00896C28">
        <w:rPr>
          <w:b/>
          <w:bCs/>
        </w:rPr>
        <w:t xml:space="preserve"> </w:t>
      </w:r>
      <w:r w:rsidR="00896C28">
        <w:t>included</w:t>
      </w:r>
    </w:p>
    <w:p w14:paraId="166BB474" w14:textId="4694604C" w:rsidR="00EA2FF8" w:rsidRPr="00EA2FF8" w:rsidRDefault="00EA2FF8" w:rsidP="00EA2FF8">
      <w:pPr>
        <w:pStyle w:val="ListParagraph"/>
        <w:numPr>
          <w:ilvl w:val="0"/>
          <w:numId w:val="3"/>
        </w:numPr>
      </w:pPr>
      <w:r>
        <w:rPr>
          <w:b/>
          <w:bCs/>
        </w:rPr>
        <w:t>Evaluation, Measurement &amp; Verification (EM&amp;V)</w:t>
      </w:r>
      <w:r w:rsidR="00F72F90">
        <w:rPr>
          <w:b/>
          <w:bCs/>
        </w:rPr>
        <w:t>:</w:t>
      </w:r>
      <w:r w:rsidR="00F72F90">
        <w:t xml:space="preserve"> not applicable</w:t>
      </w:r>
    </w:p>
    <w:p w14:paraId="1ABBCD71" w14:textId="59943A09" w:rsidR="00456F02" w:rsidRDefault="005E5FBE" w:rsidP="00DD0B3C">
      <w:pPr>
        <w:pStyle w:val="ListParagraph"/>
        <w:numPr>
          <w:ilvl w:val="0"/>
          <w:numId w:val="3"/>
        </w:numPr>
      </w:pPr>
      <w:r>
        <w:rPr>
          <w:b/>
          <w:bCs/>
        </w:rPr>
        <w:t xml:space="preserve">Normalized Metered Energy Consumption (NMEC): </w:t>
      </w:r>
      <w:r w:rsidR="00F72F90">
        <w:t>n</w:t>
      </w:r>
      <w:r w:rsidR="00DD0B3C">
        <w:t xml:space="preserve">ot applicable </w:t>
      </w:r>
    </w:p>
    <w:p w14:paraId="26834782" w14:textId="77777777" w:rsidR="00456F02" w:rsidRDefault="00456F02">
      <w:r>
        <w:br w:type="page"/>
      </w:r>
    </w:p>
    <w:p w14:paraId="155B10B5" w14:textId="77777777" w:rsidR="00456F02" w:rsidRDefault="00456F02" w:rsidP="00456F02">
      <w:pPr>
        <w:pStyle w:val="Heading1"/>
      </w:pPr>
      <w:bookmarkStart w:id="54" w:name="_Toc47619634"/>
      <w:r w:rsidRPr="00EA2568">
        <w:lastRenderedPageBreak/>
        <w:t>Program Theory and Program Logic Model</w:t>
      </w:r>
      <w:bookmarkEnd w:id="54"/>
    </w:p>
    <w:p w14:paraId="0D73DCF0" w14:textId="35EE69A4" w:rsidR="00456F02" w:rsidRDefault="00456F02" w:rsidP="00456F02">
      <w:pPr>
        <w:rPr>
          <w:lang w:val="x-none"/>
        </w:rPr>
      </w:pPr>
      <w:r w:rsidRPr="00AF251B">
        <w:rPr>
          <w:lang w:val="x-none"/>
        </w:rPr>
        <w:t xml:space="preserve">Equity in access to resources will yield scaled energy savings in geographically </w:t>
      </w:r>
      <w:r w:rsidRPr="00AF251B">
        <w:t>HTR</w:t>
      </w:r>
      <w:r w:rsidRPr="00AF251B">
        <w:rPr>
          <w:lang w:val="x-none"/>
        </w:rPr>
        <w:t xml:space="preserve"> public agencies, resulting in lower RAP costs and more cost-effective </w:t>
      </w:r>
      <w:r w:rsidRPr="00AF251B">
        <w:t>EE</w:t>
      </w:r>
      <w:r w:rsidRPr="00AF251B">
        <w:rPr>
          <w:lang w:val="x-none"/>
        </w:rPr>
        <w:t xml:space="preserve"> portfolio for PG&amp;E.  By creating a common approach to support efficient systems, while maintaining the ability to respond to local concerns, we will move HTR and DAC public agencies towards increased capacity, working together to improve the quality of life throughout Central California. </w:t>
      </w:r>
    </w:p>
    <w:p w14:paraId="435863EC" w14:textId="77777777" w:rsidR="00BD0BBE" w:rsidRPr="002D417A" w:rsidRDefault="00BD0BBE" w:rsidP="00BD0BBE">
      <w:r w:rsidRPr="002D417A">
        <w:t xml:space="preserve">An aware and educated customer base will lead to scaled energy savings at reduced energy costs. We believe in meeting the customer where they are in their energy journey and providing the support they require at that point in time. We will leverage our existing access to local government data and build upon that library to give public agencies a quantified plan for action. </w:t>
      </w:r>
    </w:p>
    <w:tbl>
      <w:tblPr>
        <w:tblStyle w:val="TableGrid"/>
        <w:tblW w:w="0" w:type="auto"/>
        <w:tblLook w:val="04A0" w:firstRow="1" w:lastRow="0" w:firstColumn="1" w:lastColumn="0" w:noHBand="0" w:noVBand="1"/>
      </w:tblPr>
      <w:tblGrid>
        <w:gridCol w:w="2245"/>
        <w:gridCol w:w="7105"/>
      </w:tblGrid>
      <w:tr w:rsidR="00280840" w14:paraId="23065DFF" w14:textId="77777777" w:rsidTr="00AC2A30">
        <w:tc>
          <w:tcPr>
            <w:tcW w:w="9350" w:type="dxa"/>
            <w:gridSpan w:val="2"/>
          </w:tcPr>
          <w:p w14:paraId="64C98BD5" w14:textId="2C4A9427" w:rsidR="00280840" w:rsidRDefault="00280840" w:rsidP="00280840">
            <w:r w:rsidRPr="00164DAC">
              <w:rPr>
                <w:b/>
                <w:bCs/>
              </w:rPr>
              <w:t>OBJECTIVE 1:</w:t>
            </w:r>
            <w:r w:rsidRPr="00164DAC">
              <w:t xml:space="preserve"> Support knowledge transfer among public agencies</w:t>
            </w:r>
          </w:p>
        </w:tc>
      </w:tr>
      <w:tr w:rsidR="00BD778A" w14:paraId="334C1672" w14:textId="77777777" w:rsidTr="00280840">
        <w:tc>
          <w:tcPr>
            <w:tcW w:w="2245" w:type="dxa"/>
          </w:tcPr>
          <w:p w14:paraId="4650BD87" w14:textId="405E4393" w:rsidR="00BD778A" w:rsidRPr="00280840" w:rsidRDefault="00BD778A" w:rsidP="00BD778A">
            <w:pPr>
              <w:rPr>
                <w:b/>
                <w:bCs/>
              </w:rPr>
            </w:pPr>
            <w:r w:rsidRPr="00280840">
              <w:rPr>
                <w:b/>
                <w:bCs/>
              </w:rPr>
              <w:t>Problem Statement</w:t>
            </w:r>
          </w:p>
        </w:tc>
        <w:tc>
          <w:tcPr>
            <w:tcW w:w="7105" w:type="dxa"/>
          </w:tcPr>
          <w:p w14:paraId="2283BF3C" w14:textId="28CA251B" w:rsidR="00BD778A" w:rsidRDefault="00AE3809" w:rsidP="00BD778A">
            <w:r>
              <w:t xml:space="preserve">HTR/DAC public agencies </w:t>
            </w:r>
            <w:r w:rsidR="00B67677">
              <w:t xml:space="preserve">lack opportunities to </w:t>
            </w:r>
            <w:r w:rsidR="000762CB">
              <w:t xml:space="preserve">collaborate on </w:t>
            </w:r>
            <w:r w:rsidR="00336071">
              <w:t>EE</w:t>
            </w:r>
            <w:r w:rsidR="000762CB">
              <w:t xml:space="preserve"> and encourage regionally significant actions.</w:t>
            </w:r>
          </w:p>
        </w:tc>
      </w:tr>
      <w:tr w:rsidR="00BD778A" w14:paraId="23D766D9" w14:textId="77777777" w:rsidTr="00280840">
        <w:tc>
          <w:tcPr>
            <w:tcW w:w="2245" w:type="dxa"/>
          </w:tcPr>
          <w:p w14:paraId="0905EF5B" w14:textId="697BA32B" w:rsidR="00BD778A" w:rsidRPr="00280840" w:rsidRDefault="00BD778A" w:rsidP="00BD778A">
            <w:pPr>
              <w:rPr>
                <w:b/>
                <w:bCs/>
              </w:rPr>
            </w:pPr>
            <w:r w:rsidRPr="00280840">
              <w:rPr>
                <w:b/>
                <w:bCs/>
              </w:rPr>
              <w:t>Interventions</w:t>
            </w:r>
          </w:p>
        </w:tc>
        <w:tc>
          <w:tcPr>
            <w:tcW w:w="7105" w:type="dxa"/>
          </w:tcPr>
          <w:p w14:paraId="43BC24AA" w14:textId="443C4386" w:rsidR="00BD778A" w:rsidRDefault="00A70915" w:rsidP="00BD778A">
            <w:r>
              <w:t>PA1/Energy Benchmarking, PA2/Infrastructure Inventory, PA/</w:t>
            </w:r>
            <w:r w:rsidR="00C74314">
              <w:t xml:space="preserve">3 Energy Readiness Reports, </w:t>
            </w:r>
            <w:r w:rsidR="007C5712">
              <w:t>PA6/Marketing, Education, Outreach</w:t>
            </w:r>
          </w:p>
        </w:tc>
      </w:tr>
      <w:tr w:rsidR="00BD778A" w14:paraId="4071A790" w14:textId="77777777" w:rsidTr="00280840">
        <w:tc>
          <w:tcPr>
            <w:tcW w:w="2245" w:type="dxa"/>
          </w:tcPr>
          <w:p w14:paraId="19916B8D" w14:textId="7498E071" w:rsidR="00BD778A" w:rsidRPr="00280840" w:rsidRDefault="00BD778A" w:rsidP="00BD778A">
            <w:pPr>
              <w:rPr>
                <w:b/>
                <w:bCs/>
              </w:rPr>
            </w:pPr>
            <w:r w:rsidRPr="00280840">
              <w:rPr>
                <w:b/>
                <w:bCs/>
              </w:rPr>
              <w:t>Desired Outcomes</w:t>
            </w:r>
          </w:p>
        </w:tc>
        <w:tc>
          <w:tcPr>
            <w:tcW w:w="7105" w:type="dxa"/>
          </w:tcPr>
          <w:p w14:paraId="7AD7B618" w14:textId="5CAC5F22" w:rsidR="00BD778A" w:rsidRDefault="00040F92" w:rsidP="00BD778A">
            <w:r>
              <w:t>A</w:t>
            </w:r>
            <w:r w:rsidR="0039055A">
              <w:t xml:space="preserve">gencies </w:t>
            </w:r>
            <w:r w:rsidR="000762CB">
              <w:t>collab</w:t>
            </w:r>
            <w:r w:rsidR="007C7CFE">
              <w:t>orate and compete to develop meaningfu</w:t>
            </w:r>
            <w:r w:rsidR="009E35B5">
              <w:t xml:space="preserve">l EE </w:t>
            </w:r>
            <w:r w:rsidR="007C7CFE">
              <w:t xml:space="preserve">projects and policies </w:t>
            </w:r>
            <w:r>
              <w:t xml:space="preserve">amongst other HTR/DAC communities. </w:t>
            </w:r>
            <w:bookmarkStart w:id="55" w:name="_GoBack"/>
            <w:bookmarkEnd w:id="55"/>
          </w:p>
        </w:tc>
      </w:tr>
    </w:tbl>
    <w:tbl>
      <w:tblPr>
        <w:tblStyle w:val="TableGrid"/>
        <w:tblpPr w:leftFromText="180" w:rightFromText="180" w:vertAnchor="text" w:horzAnchor="margin" w:tblpY="229"/>
        <w:tblW w:w="0" w:type="auto"/>
        <w:tblLook w:val="04A0" w:firstRow="1" w:lastRow="0" w:firstColumn="1" w:lastColumn="0" w:noHBand="0" w:noVBand="1"/>
      </w:tblPr>
      <w:tblGrid>
        <w:gridCol w:w="2245"/>
        <w:gridCol w:w="7105"/>
      </w:tblGrid>
      <w:tr w:rsidR="00E71419" w14:paraId="6FDFBF1F" w14:textId="77777777" w:rsidTr="00E71419">
        <w:tc>
          <w:tcPr>
            <w:tcW w:w="9350" w:type="dxa"/>
            <w:gridSpan w:val="2"/>
          </w:tcPr>
          <w:p w14:paraId="156F74C7" w14:textId="6556C28F" w:rsidR="00E71419" w:rsidRDefault="00E71419" w:rsidP="00E71419">
            <w:r w:rsidRPr="00164DAC">
              <w:rPr>
                <w:b/>
                <w:bCs/>
              </w:rPr>
              <w:t>OBJECTIVE 2</w:t>
            </w:r>
            <w:r w:rsidRPr="00164DAC">
              <w:t>: Facilitate public agency EE projects with deeper savings and more comprehensive EE tactics, leading to integrated energy solutions</w:t>
            </w:r>
          </w:p>
        </w:tc>
      </w:tr>
      <w:tr w:rsidR="00E71419" w14:paraId="17849E2F" w14:textId="77777777" w:rsidTr="00E71419">
        <w:tc>
          <w:tcPr>
            <w:tcW w:w="2245" w:type="dxa"/>
          </w:tcPr>
          <w:p w14:paraId="75B3F761" w14:textId="77777777" w:rsidR="00E71419" w:rsidRPr="00280840" w:rsidRDefault="00E71419" w:rsidP="00E71419">
            <w:pPr>
              <w:rPr>
                <w:b/>
                <w:bCs/>
              </w:rPr>
            </w:pPr>
            <w:r w:rsidRPr="00280840">
              <w:rPr>
                <w:b/>
                <w:bCs/>
              </w:rPr>
              <w:t>Problem Statement</w:t>
            </w:r>
          </w:p>
        </w:tc>
        <w:tc>
          <w:tcPr>
            <w:tcW w:w="7105" w:type="dxa"/>
          </w:tcPr>
          <w:p w14:paraId="14262C77" w14:textId="2B41D909" w:rsidR="00E71419" w:rsidRDefault="001F75C9" w:rsidP="00E71419">
            <w:r>
              <w:t xml:space="preserve">HTR/DAC public agencies have approached </w:t>
            </w:r>
            <w:r w:rsidR="009E35B5">
              <w:t>EE</w:t>
            </w:r>
            <w:r>
              <w:t xml:space="preserve"> from a lens of deferred maintenance and low hanging fruit.  </w:t>
            </w:r>
          </w:p>
        </w:tc>
      </w:tr>
      <w:tr w:rsidR="00E71419" w14:paraId="11FAC014" w14:textId="77777777" w:rsidTr="00E71419">
        <w:tc>
          <w:tcPr>
            <w:tcW w:w="2245" w:type="dxa"/>
          </w:tcPr>
          <w:p w14:paraId="55B53974" w14:textId="77777777" w:rsidR="00E71419" w:rsidRPr="00280840" w:rsidRDefault="00E71419" w:rsidP="00E71419">
            <w:pPr>
              <w:rPr>
                <w:b/>
                <w:bCs/>
              </w:rPr>
            </w:pPr>
            <w:r w:rsidRPr="00280840">
              <w:rPr>
                <w:b/>
                <w:bCs/>
              </w:rPr>
              <w:t>Interventions</w:t>
            </w:r>
          </w:p>
        </w:tc>
        <w:tc>
          <w:tcPr>
            <w:tcW w:w="7105" w:type="dxa"/>
          </w:tcPr>
          <w:p w14:paraId="246A02D1" w14:textId="5CC41DE5" w:rsidR="00E71419" w:rsidRDefault="00903B8C" w:rsidP="00E71419">
            <w:r>
              <w:t>PA1/Energy Benchmarking, PA2/Infrastructure Inventory, PA/3 Energy Readiness Reports, PA5/GRITS, PA6/Marketing, Education, Outreach</w:t>
            </w:r>
          </w:p>
        </w:tc>
      </w:tr>
      <w:tr w:rsidR="00E71419" w14:paraId="492F4270" w14:textId="77777777" w:rsidTr="00E71419">
        <w:tc>
          <w:tcPr>
            <w:tcW w:w="2245" w:type="dxa"/>
          </w:tcPr>
          <w:p w14:paraId="5BA782ED" w14:textId="77777777" w:rsidR="00E71419" w:rsidRPr="00280840" w:rsidRDefault="00E71419" w:rsidP="00E71419">
            <w:pPr>
              <w:rPr>
                <w:b/>
                <w:bCs/>
              </w:rPr>
            </w:pPr>
            <w:r w:rsidRPr="00280840">
              <w:rPr>
                <w:b/>
                <w:bCs/>
              </w:rPr>
              <w:t>Desired Outcomes</w:t>
            </w:r>
          </w:p>
        </w:tc>
        <w:tc>
          <w:tcPr>
            <w:tcW w:w="7105" w:type="dxa"/>
          </w:tcPr>
          <w:p w14:paraId="445698C3" w14:textId="6B9C9D24" w:rsidR="00E71419" w:rsidRDefault="00336071" w:rsidP="00E71419">
            <w:r>
              <w:t>HTR/DAC public agencies initiate comprehensive EE</w:t>
            </w:r>
            <w:r w:rsidR="009E35B5">
              <w:t xml:space="preserve"> tactics to produces scaled savings and </w:t>
            </w:r>
            <w:r w:rsidR="00C94EEF">
              <w:t>impactful policies.</w:t>
            </w:r>
          </w:p>
        </w:tc>
      </w:tr>
    </w:tbl>
    <w:p w14:paraId="36223764" w14:textId="77777777" w:rsidR="00456F02" w:rsidRPr="000F0F73" w:rsidRDefault="00456F02" w:rsidP="00456F02"/>
    <w:tbl>
      <w:tblPr>
        <w:tblStyle w:val="TableGrid"/>
        <w:tblW w:w="0" w:type="auto"/>
        <w:tblLook w:val="04A0" w:firstRow="1" w:lastRow="0" w:firstColumn="1" w:lastColumn="0" w:noHBand="0" w:noVBand="1"/>
      </w:tblPr>
      <w:tblGrid>
        <w:gridCol w:w="2245"/>
        <w:gridCol w:w="7105"/>
      </w:tblGrid>
      <w:tr w:rsidR="00E71419" w14:paraId="0A9FBE51" w14:textId="77777777" w:rsidTr="00AE43E6">
        <w:tc>
          <w:tcPr>
            <w:tcW w:w="9350" w:type="dxa"/>
            <w:gridSpan w:val="2"/>
          </w:tcPr>
          <w:p w14:paraId="01112AB3" w14:textId="5AD53991" w:rsidR="00E71419" w:rsidRDefault="00456F02" w:rsidP="00E71419">
            <w:r>
              <w:br w:type="page"/>
            </w:r>
            <w:r w:rsidR="00E71419" w:rsidRPr="00164DAC">
              <w:rPr>
                <w:b/>
                <w:bCs/>
              </w:rPr>
              <w:t>OBJECTIVE 3:</w:t>
            </w:r>
            <w:r w:rsidR="00E71419" w:rsidRPr="00164DAC">
              <w:t xml:space="preserve"> Leverage Strategic Energy Plans (or other strategy documents, i.e. Energy Action Plans, Climate Action Plans, GHG inventories, etc.)</w:t>
            </w:r>
          </w:p>
        </w:tc>
      </w:tr>
      <w:tr w:rsidR="00E71419" w14:paraId="6F728EB0" w14:textId="77777777" w:rsidTr="00AE43E6">
        <w:tc>
          <w:tcPr>
            <w:tcW w:w="2245" w:type="dxa"/>
          </w:tcPr>
          <w:p w14:paraId="2D54E020" w14:textId="77777777" w:rsidR="00E71419" w:rsidRPr="00280840" w:rsidRDefault="00E71419" w:rsidP="00AE43E6">
            <w:pPr>
              <w:rPr>
                <w:b/>
                <w:bCs/>
              </w:rPr>
            </w:pPr>
            <w:r w:rsidRPr="00280840">
              <w:rPr>
                <w:b/>
                <w:bCs/>
              </w:rPr>
              <w:t>Problem Statement</w:t>
            </w:r>
          </w:p>
        </w:tc>
        <w:tc>
          <w:tcPr>
            <w:tcW w:w="7105" w:type="dxa"/>
          </w:tcPr>
          <w:p w14:paraId="2C270188" w14:textId="36A782E4" w:rsidR="00E71419" w:rsidRDefault="00C94EEF" w:rsidP="00AE43E6">
            <w:r>
              <w:t xml:space="preserve">HTR/DAC public agencies have </w:t>
            </w:r>
            <w:r w:rsidR="00942796">
              <w:t xml:space="preserve">plans addressing </w:t>
            </w:r>
            <w:r w:rsidR="00CE7D4D">
              <w:t>EE but</w:t>
            </w:r>
            <w:r w:rsidR="00942796">
              <w:t xml:space="preserve"> lack capacity to act on those plans. </w:t>
            </w:r>
          </w:p>
        </w:tc>
      </w:tr>
      <w:tr w:rsidR="00E71419" w14:paraId="15CACAC9" w14:textId="77777777" w:rsidTr="00AE43E6">
        <w:tc>
          <w:tcPr>
            <w:tcW w:w="2245" w:type="dxa"/>
          </w:tcPr>
          <w:p w14:paraId="18D8FB0D" w14:textId="77777777" w:rsidR="00E71419" w:rsidRPr="00280840" w:rsidRDefault="00E71419" w:rsidP="00AE43E6">
            <w:pPr>
              <w:rPr>
                <w:b/>
                <w:bCs/>
              </w:rPr>
            </w:pPr>
            <w:r w:rsidRPr="00280840">
              <w:rPr>
                <w:b/>
                <w:bCs/>
              </w:rPr>
              <w:t>Interventions</w:t>
            </w:r>
          </w:p>
        </w:tc>
        <w:tc>
          <w:tcPr>
            <w:tcW w:w="7105" w:type="dxa"/>
          </w:tcPr>
          <w:p w14:paraId="5723DC64" w14:textId="111DA321" w:rsidR="00E71419" w:rsidRDefault="00C94EEF" w:rsidP="00AE43E6">
            <w:r>
              <w:t>PA2/Infrastructure Inventory, PA/3 Energy Readiness Reports, PA5/GRITS, PA6/Marketing, Education, Outreach</w:t>
            </w:r>
          </w:p>
        </w:tc>
      </w:tr>
      <w:tr w:rsidR="00E71419" w14:paraId="338DA5C2" w14:textId="77777777" w:rsidTr="00AE43E6">
        <w:tc>
          <w:tcPr>
            <w:tcW w:w="2245" w:type="dxa"/>
          </w:tcPr>
          <w:p w14:paraId="1FD24E6C" w14:textId="77777777" w:rsidR="00E71419" w:rsidRPr="00280840" w:rsidRDefault="00E71419" w:rsidP="00AE43E6">
            <w:pPr>
              <w:rPr>
                <w:b/>
                <w:bCs/>
              </w:rPr>
            </w:pPr>
            <w:r w:rsidRPr="00280840">
              <w:rPr>
                <w:b/>
                <w:bCs/>
              </w:rPr>
              <w:t>Desired Outcomes</w:t>
            </w:r>
          </w:p>
        </w:tc>
        <w:tc>
          <w:tcPr>
            <w:tcW w:w="7105" w:type="dxa"/>
          </w:tcPr>
          <w:p w14:paraId="6217510F" w14:textId="5C04BE84" w:rsidR="00E71419" w:rsidRDefault="00CE7D4D" w:rsidP="00AE43E6">
            <w:r>
              <w:t xml:space="preserve">HTR/DAC public agencies actively implement strategic energy </w:t>
            </w:r>
            <w:r w:rsidR="00E237DF">
              <w:t>investment within their infrastructure.</w:t>
            </w:r>
          </w:p>
        </w:tc>
      </w:tr>
    </w:tbl>
    <w:tbl>
      <w:tblPr>
        <w:tblStyle w:val="TableGrid"/>
        <w:tblpPr w:leftFromText="180" w:rightFromText="180" w:vertAnchor="text" w:horzAnchor="margin" w:tblpY="326"/>
        <w:tblW w:w="0" w:type="auto"/>
        <w:tblLook w:val="04A0" w:firstRow="1" w:lastRow="0" w:firstColumn="1" w:lastColumn="0" w:noHBand="0" w:noVBand="1"/>
      </w:tblPr>
      <w:tblGrid>
        <w:gridCol w:w="2245"/>
        <w:gridCol w:w="7105"/>
      </w:tblGrid>
      <w:tr w:rsidR="00931414" w14:paraId="115D4792" w14:textId="77777777" w:rsidTr="00931414">
        <w:tc>
          <w:tcPr>
            <w:tcW w:w="9350" w:type="dxa"/>
            <w:gridSpan w:val="2"/>
          </w:tcPr>
          <w:p w14:paraId="2066587C" w14:textId="77777777" w:rsidR="00931414" w:rsidRDefault="00931414" w:rsidP="00931414">
            <w:r w:rsidRPr="00164DAC">
              <w:rPr>
                <w:b/>
                <w:bCs/>
              </w:rPr>
              <w:t>OBJECTIVE 4:</w:t>
            </w:r>
            <w:r w:rsidRPr="00164DAC">
              <w:t xml:space="preserve"> Create a common platform, all in largely HTR and DAC areas.</w:t>
            </w:r>
          </w:p>
        </w:tc>
      </w:tr>
      <w:tr w:rsidR="00931414" w14:paraId="33DFA147" w14:textId="77777777" w:rsidTr="00931414">
        <w:tc>
          <w:tcPr>
            <w:tcW w:w="2245" w:type="dxa"/>
          </w:tcPr>
          <w:p w14:paraId="428F5A32" w14:textId="77777777" w:rsidR="00931414" w:rsidRPr="00280840" w:rsidRDefault="00931414" w:rsidP="00931414">
            <w:pPr>
              <w:rPr>
                <w:b/>
                <w:bCs/>
              </w:rPr>
            </w:pPr>
            <w:r w:rsidRPr="00280840">
              <w:rPr>
                <w:b/>
                <w:bCs/>
              </w:rPr>
              <w:t>Problem Statement</w:t>
            </w:r>
          </w:p>
        </w:tc>
        <w:tc>
          <w:tcPr>
            <w:tcW w:w="7105" w:type="dxa"/>
          </w:tcPr>
          <w:p w14:paraId="108405CF" w14:textId="77777777" w:rsidR="00931414" w:rsidRDefault="00931414" w:rsidP="00931414">
            <w:r>
              <w:t xml:space="preserve">HTR/DAC public agencies are often small, not cost effective to reach, and often (wrongly) considered less sophisticated than their urban counterparts, and as a result, overlooked in program delivery. </w:t>
            </w:r>
          </w:p>
        </w:tc>
      </w:tr>
      <w:tr w:rsidR="00931414" w14:paraId="2197C3DA" w14:textId="77777777" w:rsidTr="00931414">
        <w:tc>
          <w:tcPr>
            <w:tcW w:w="2245" w:type="dxa"/>
          </w:tcPr>
          <w:p w14:paraId="253AFAC9" w14:textId="77777777" w:rsidR="00931414" w:rsidRPr="00280840" w:rsidRDefault="00931414" w:rsidP="00931414">
            <w:pPr>
              <w:rPr>
                <w:b/>
                <w:bCs/>
              </w:rPr>
            </w:pPr>
            <w:r w:rsidRPr="00280840">
              <w:rPr>
                <w:b/>
                <w:bCs/>
              </w:rPr>
              <w:t>Interventions</w:t>
            </w:r>
          </w:p>
        </w:tc>
        <w:tc>
          <w:tcPr>
            <w:tcW w:w="7105" w:type="dxa"/>
          </w:tcPr>
          <w:p w14:paraId="62B3AA43" w14:textId="77777777" w:rsidR="00931414" w:rsidRDefault="00931414" w:rsidP="00931414">
            <w:r>
              <w:t>PA1/Energy Benchmarking, PA2/Infrastructure Inventory, PA/3 Energy Readiness Reports, PA5/GRITS, PA6/Marketing, Education, Outreach</w:t>
            </w:r>
          </w:p>
        </w:tc>
      </w:tr>
      <w:tr w:rsidR="00931414" w14:paraId="31ED7ACC" w14:textId="77777777" w:rsidTr="00931414">
        <w:tc>
          <w:tcPr>
            <w:tcW w:w="2245" w:type="dxa"/>
          </w:tcPr>
          <w:p w14:paraId="5641512B" w14:textId="77777777" w:rsidR="00931414" w:rsidRPr="00280840" w:rsidRDefault="00931414" w:rsidP="00931414">
            <w:pPr>
              <w:rPr>
                <w:b/>
                <w:bCs/>
              </w:rPr>
            </w:pPr>
            <w:r w:rsidRPr="00280840">
              <w:rPr>
                <w:b/>
                <w:bCs/>
              </w:rPr>
              <w:t>Desired Outcomes</w:t>
            </w:r>
          </w:p>
        </w:tc>
        <w:tc>
          <w:tcPr>
            <w:tcW w:w="7105" w:type="dxa"/>
          </w:tcPr>
          <w:p w14:paraId="22D3C9B2" w14:textId="77777777" w:rsidR="00931414" w:rsidRDefault="00931414" w:rsidP="00931414">
            <w:r>
              <w:t xml:space="preserve">HTR/DAC public agencies work from the same EE language and data format to work seamlessly with RAPs. </w:t>
            </w:r>
          </w:p>
        </w:tc>
      </w:tr>
    </w:tbl>
    <w:p w14:paraId="5EBD5AB6" w14:textId="77777777" w:rsidR="00456F02" w:rsidRDefault="00456F02" w:rsidP="00456F02">
      <w:pPr>
        <w:pStyle w:val="Heading1"/>
      </w:pPr>
      <w:bookmarkStart w:id="56" w:name="_Toc47619635"/>
      <w:r w:rsidRPr="00EA2568">
        <w:lastRenderedPageBreak/>
        <w:t>Process Flow Chart</w:t>
      </w:r>
      <w:bookmarkEnd w:id="56"/>
    </w:p>
    <w:p w14:paraId="214DDA80" w14:textId="6D10F3F2" w:rsidR="00456F02" w:rsidRDefault="001E58BF" w:rsidP="00456F02">
      <w:pPr>
        <w:rPr>
          <w:rFonts w:asciiTheme="majorHAnsi" w:eastAsiaTheme="majorEastAsia" w:hAnsiTheme="majorHAnsi" w:cstheme="majorBidi"/>
          <w:color w:val="2F5496" w:themeColor="accent1" w:themeShade="BF"/>
          <w:sz w:val="32"/>
          <w:szCs w:val="32"/>
        </w:rPr>
      </w:pPr>
      <w:r>
        <w:rPr>
          <w:noProof/>
        </w:rPr>
        <w:drawing>
          <wp:inline distT="0" distB="0" distL="0" distR="0" wp14:anchorId="3E6B7204" wp14:editId="6A3D871E">
            <wp:extent cx="5486400" cy="3200400"/>
            <wp:effectExtent l="38100" t="0" r="381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456F02">
        <w:br w:type="page"/>
      </w:r>
    </w:p>
    <w:p w14:paraId="42C426EF" w14:textId="77777777" w:rsidR="00456F02" w:rsidRDefault="00456F02" w:rsidP="00456F02">
      <w:pPr>
        <w:pStyle w:val="Heading1"/>
      </w:pPr>
      <w:bookmarkStart w:id="57" w:name="_Toc47619636"/>
      <w:r w:rsidRPr="00EA2568">
        <w:lastRenderedPageBreak/>
        <w:t>Quantitative Program Targets</w:t>
      </w:r>
      <w:bookmarkEnd w:id="57"/>
    </w:p>
    <w:p w14:paraId="7A166EC5" w14:textId="77777777" w:rsidR="00456F02" w:rsidRDefault="00456F02" w:rsidP="00456F02">
      <w:pPr>
        <w:rPr>
          <w:b/>
          <w:bCs/>
        </w:rPr>
      </w:pPr>
      <w:r>
        <w:rPr>
          <w:b/>
          <w:bCs/>
        </w:rPr>
        <w:t>Key Performance Indicators (KPI)</w:t>
      </w:r>
    </w:p>
    <w:p w14:paraId="49A47480" w14:textId="77777777" w:rsidR="00456F02" w:rsidRPr="00D60AB6" w:rsidRDefault="00456F02" w:rsidP="00456F02">
      <w:pPr>
        <w:pStyle w:val="ListParagraph"/>
        <w:numPr>
          <w:ilvl w:val="0"/>
          <w:numId w:val="10"/>
        </w:numPr>
        <w:rPr>
          <w:b/>
          <w:bCs/>
        </w:rPr>
      </w:pPr>
      <w:r>
        <w:rPr>
          <w:b/>
          <w:bCs/>
        </w:rPr>
        <w:t xml:space="preserve">ID: </w:t>
      </w:r>
      <w:r>
        <w:t>Contacts</w:t>
      </w:r>
    </w:p>
    <w:p w14:paraId="451632EF" w14:textId="77777777" w:rsidR="00456F02" w:rsidRPr="000349EF" w:rsidRDefault="00456F02" w:rsidP="00456F02">
      <w:pPr>
        <w:pStyle w:val="ListParagraph"/>
      </w:pPr>
      <w:r>
        <w:rPr>
          <w:b/>
          <w:bCs/>
        </w:rPr>
        <w:t xml:space="preserve">Category: </w:t>
      </w:r>
      <w:r>
        <w:t>Foundational</w:t>
      </w:r>
    </w:p>
    <w:p w14:paraId="7FACCBE5" w14:textId="77777777" w:rsidR="00456F02" w:rsidRPr="000349EF" w:rsidRDefault="00456F02" w:rsidP="00456F02">
      <w:pPr>
        <w:pStyle w:val="ListParagraph"/>
      </w:pPr>
      <w:r>
        <w:rPr>
          <w:b/>
          <w:bCs/>
        </w:rPr>
        <w:t xml:space="preserve">Definition: </w:t>
      </w:r>
      <w:r>
        <w:t>Number of contacts by sector and type</w:t>
      </w:r>
    </w:p>
    <w:p w14:paraId="2316FE90" w14:textId="77777777" w:rsidR="00456F02" w:rsidRPr="000349EF" w:rsidRDefault="00456F02" w:rsidP="00456F02">
      <w:pPr>
        <w:pStyle w:val="ListParagraph"/>
      </w:pPr>
      <w:r>
        <w:rPr>
          <w:b/>
          <w:bCs/>
        </w:rPr>
        <w:t xml:space="preserve">Measurement: </w:t>
      </w:r>
      <w:r w:rsidRPr="001B5C14">
        <w:t>Reported monthly, reviewed quarterly. By customer type (city, county, special district, k-12), DAC or HTR, active or passive.</w:t>
      </w:r>
    </w:p>
    <w:p w14:paraId="4430A338" w14:textId="77777777" w:rsidR="00456F02" w:rsidRPr="00C338A1" w:rsidRDefault="00456F02" w:rsidP="00456F02">
      <w:pPr>
        <w:pStyle w:val="ListParagraph"/>
      </w:pPr>
      <w:r>
        <w:rPr>
          <w:b/>
          <w:bCs/>
        </w:rPr>
        <w:t xml:space="preserve">Target/Milestone: </w:t>
      </w:r>
    </w:p>
    <w:p w14:paraId="18F26B12" w14:textId="77777777" w:rsidR="00456F02" w:rsidRPr="00250671" w:rsidRDefault="00456F02" w:rsidP="00456F02">
      <w:pPr>
        <w:pStyle w:val="ListParagraph"/>
      </w:pPr>
      <w:r>
        <w:t>P</w:t>
      </w:r>
      <w:r w:rsidRPr="00250671">
        <w:t xml:space="preserve">assive contact to include at minimum:                           </w:t>
      </w:r>
    </w:p>
    <w:p w14:paraId="27024F35" w14:textId="77777777" w:rsidR="00456F02" w:rsidRDefault="00456F02" w:rsidP="00456F02">
      <w:pPr>
        <w:pStyle w:val="ListParagraph"/>
        <w:numPr>
          <w:ilvl w:val="0"/>
          <w:numId w:val="11"/>
        </w:numPr>
      </w:pPr>
      <w:r w:rsidRPr="00250671">
        <w:t>Newsletter (monthly)</w:t>
      </w:r>
    </w:p>
    <w:p w14:paraId="1EA56A8A" w14:textId="77777777" w:rsidR="00456F02" w:rsidRPr="00522ACA" w:rsidRDefault="00456F02" w:rsidP="00456F02">
      <w:pPr>
        <w:pStyle w:val="ListParagraph"/>
        <w:numPr>
          <w:ilvl w:val="0"/>
          <w:numId w:val="11"/>
        </w:numPr>
        <w:rPr>
          <w:b/>
          <w:bCs/>
        </w:rPr>
      </w:pPr>
      <w:r w:rsidRPr="00250671">
        <w:t>Social media posting (daily, platform dependent)</w:t>
      </w:r>
    </w:p>
    <w:p w14:paraId="4AF4F225" w14:textId="77777777" w:rsidR="00456F02" w:rsidRDefault="00456F02" w:rsidP="00456F02">
      <w:pPr>
        <w:spacing w:after="0"/>
        <w:ind w:left="720"/>
      </w:pPr>
      <w:r>
        <w:t>A</w:t>
      </w:r>
      <w:r w:rsidRPr="00522ACA">
        <w:t xml:space="preserve">ctive contacts to include, at minimum:     </w:t>
      </w:r>
    </w:p>
    <w:p w14:paraId="31FA5041" w14:textId="77777777" w:rsidR="00456F02" w:rsidRDefault="00456F02" w:rsidP="00456F02">
      <w:pPr>
        <w:pStyle w:val="ListParagraph"/>
        <w:numPr>
          <w:ilvl w:val="0"/>
          <w:numId w:val="11"/>
        </w:numPr>
      </w:pPr>
      <w:r>
        <w:t>Annual meetings (3)</w:t>
      </w:r>
    </w:p>
    <w:p w14:paraId="6AE5AD25" w14:textId="77777777" w:rsidR="00456F02" w:rsidRDefault="00456F02" w:rsidP="00456F02">
      <w:pPr>
        <w:pStyle w:val="ListParagraph"/>
        <w:numPr>
          <w:ilvl w:val="0"/>
          <w:numId w:val="11"/>
        </w:numPr>
      </w:pPr>
      <w:r>
        <w:t>Sub-regional meetings (7)</w:t>
      </w:r>
    </w:p>
    <w:p w14:paraId="083054FD" w14:textId="77777777" w:rsidR="00456F02" w:rsidRDefault="00456F02" w:rsidP="00456F02">
      <w:pPr>
        <w:pStyle w:val="ListParagraph"/>
        <w:numPr>
          <w:ilvl w:val="0"/>
          <w:numId w:val="11"/>
        </w:numPr>
      </w:pPr>
      <w:r>
        <w:t>In-person meetings (as needed)</w:t>
      </w:r>
    </w:p>
    <w:p w14:paraId="41391ACB" w14:textId="77777777" w:rsidR="00456F02" w:rsidRPr="00522ACA" w:rsidRDefault="00456F02" w:rsidP="00456F02">
      <w:pPr>
        <w:pStyle w:val="ListParagraph"/>
        <w:numPr>
          <w:ilvl w:val="0"/>
          <w:numId w:val="11"/>
        </w:numPr>
        <w:rPr>
          <w:b/>
          <w:bCs/>
        </w:rPr>
      </w:pPr>
      <w:r>
        <w:t>1:1 Energy Coaching sessions (weekly)</w:t>
      </w:r>
    </w:p>
    <w:p w14:paraId="46C5B004" w14:textId="77777777" w:rsidR="00456F02" w:rsidRPr="004D5E48" w:rsidRDefault="00456F02" w:rsidP="00456F02">
      <w:pPr>
        <w:ind w:left="720"/>
      </w:pPr>
      <w:r w:rsidRPr="00046EA9">
        <w:rPr>
          <w:b/>
          <w:bCs/>
        </w:rPr>
        <w:t>Data Source:</w:t>
      </w:r>
      <w:r>
        <w:rPr>
          <w:b/>
          <w:bCs/>
        </w:rPr>
        <w:t xml:space="preserve"> </w:t>
      </w:r>
      <w:r w:rsidRPr="001B5C14">
        <w:t>Exchange Dashboard (digital channels will be measured within their respective channel tracking, i.e. newsletters through SquareSpace service) and reported into Exchange Dashboard.</w:t>
      </w:r>
    </w:p>
    <w:p w14:paraId="28FE743A" w14:textId="77777777" w:rsidR="00456F02" w:rsidRDefault="00456F02" w:rsidP="00456F02">
      <w:pPr>
        <w:pStyle w:val="ListParagraph"/>
        <w:rPr>
          <w:b/>
          <w:bCs/>
        </w:rPr>
      </w:pPr>
    </w:p>
    <w:p w14:paraId="44BDA8B1" w14:textId="77777777" w:rsidR="00456F02" w:rsidRPr="00D60AB6" w:rsidRDefault="00456F02" w:rsidP="00456F02">
      <w:pPr>
        <w:pStyle w:val="ListParagraph"/>
        <w:numPr>
          <w:ilvl w:val="0"/>
          <w:numId w:val="10"/>
        </w:numPr>
        <w:rPr>
          <w:b/>
          <w:bCs/>
        </w:rPr>
      </w:pPr>
      <w:r>
        <w:rPr>
          <w:b/>
          <w:bCs/>
        </w:rPr>
        <w:t xml:space="preserve">ID: </w:t>
      </w:r>
      <w:r>
        <w:t>Pipeline</w:t>
      </w:r>
    </w:p>
    <w:p w14:paraId="3AFD5D0D" w14:textId="77777777" w:rsidR="00456F02" w:rsidRPr="00D60AB6" w:rsidRDefault="00456F02" w:rsidP="00456F02">
      <w:pPr>
        <w:pStyle w:val="ListParagraph"/>
        <w:rPr>
          <w:b/>
          <w:bCs/>
        </w:rPr>
      </w:pPr>
      <w:r>
        <w:rPr>
          <w:b/>
          <w:bCs/>
        </w:rPr>
        <w:t xml:space="preserve">Category: </w:t>
      </w:r>
      <w:r w:rsidRPr="004D5E48">
        <w:t>Foundational</w:t>
      </w:r>
    </w:p>
    <w:p w14:paraId="24E791E4" w14:textId="77777777" w:rsidR="00456F02" w:rsidRDefault="00456F02" w:rsidP="00456F02">
      <w:pPr>
        <w:pStyle w:val="ListParagraph"/>
        <w:rPr>
          <w:b/>
          <w:bCs/>
        </w:rPr>
      </w:pPr>
      <w:r>
        <w:rPr>
          <w:b/>
          <w:bCs/>
        </w:rPr>
        <w:t xml:space="preserve">Definition: </w:t>
      </w:r>
      <w:r w:rsidRPr="004D5E48">
        <w:t>kW/kWh/Therms savings: pipeline tracking by status, "potential", "committed", "completed'.</w:t>
      </w:r>
    </w:p>
    <w:p w14:paraId="62D4AD52" w14:textId="77777777" w:rsidR="00456F02" w:rsidRPr="00390B89" w:rsidRDefault="00456F02" w:rsidP="00456F02">
      <w:pPr>
        <w:pStyle w:val="ListParagraph"/>
        <w:rPr>
          <w:b/>
          <w:bCs/>
        </w:rPr>
      </w:pPr>
      <w:r>
        <w:rPr>
          <w:b/>
          <w:bCs/>
        </w:rPr>
        <w:t xml:space="preserve">Measurement: </w:t>
      </w:r>
      <w:r w:rsidRPr="001B5C14">
        <w:t>Reported monthly, reviewed quarterly. By customer type (city, county, special district, k-12), DAC or HTR, pipeline status (potential, committed, completed)</w:t>
      </w:r>
    </w:p>
    <w:p w14:paraId="140A064C" w14:textId="77777777" w:rsidR="00456F02" w:rsidRDefault="00456F02" w:rsidP="00456F02">
      <w:pPr>
        <w:pStyle w:val="ListParagraph"/>
      </w:pPr>
      <w:r>
        <w:rPr>
          <w:b/>
          <w:bCs/>
        </w:rPr>
        <w:t xml:space="preserve">Target/Milestone: </w:t>
      </w:r>
      <w:r w:rsidRPr="00627865">
        <w:t>P</w:t>
      </w:r>
      <w:r w:rsidRPr="00E771F6">
        <w:t>ipeline</w:t>
      </w:r>
      <w:r>
        <w:t xml:space="preserve"> to</w:t>
      </w:r>
      <w:r w:rsidRPr="00E771F6">
        <w:t xml:space="preserve"> be reflective of the HTR and DAC characteristics, meaning, at any given time</w:t>
      </w:r>
      <w:r>
        <w:t>:</w:t>
      </w:r>
    </w:p>
    <w:p w14:paraId="5FA04D7A" w14:textId="77777777" w:rsidR="00456F02" w:rsidRPr="00627865" w:rsidRDefault="00456F02" w:rsidP="00456F02">
      <w:pPr>
        <w:pStyle w:val="ListParagraph"/>
        <w:numPr>
          <w:ilvl w:val="0"/>
          <w:numId w:val="14"/>
        </w:numPr>
        <w:rPr>
          <w:b/>
          <w:bCs/>
        </w:rPr>
      </w:pPr>
      <w:r w:rsidRPr="00E771F6">
        <w:t xml:space="preserve">75% of pipeline should come from HTR and </w:t>
      </w:r>
    </w:p>
    <w:p w14:paraId="23C9202E" w14:textId="77777777" w:rsidR="00456F02" w:rsidRPr="0023792B" w:rsidRDefault="00456F02" w:rsidP="00456F02">
      <w:pPr>
        <w:pStyle w:val="ListParagraph"/>
        <w:numPr>
          <w:ilvl w:val="0"/>
          <w:numId w:val="14"/>
        </w:numPr>
        <w:rPr>
          <w:b/>
          <w:bCs/>
        </w:rPr>
      </w:pPr>
      <w:r w:rsidRPr="00E771F6">
        <w:t xml:space="preserve">65% should come from DACs, </w:t>
      </w:r>
    </w:p>
    <w:p w14:paraId="75E45CE6" w14:textId="77777777" w:rsidR="00456F02" w:rsidRDefault="00456F02" w:rsidP="00456F02">
      <w:pPr>
        <w:spacing w:after="0"/>
        <w:ind w:left="720"/>
      </w:pPr>
      <w:r>
        <w:t>A</w:t>
      </w:r>
      <w:r w:rsidRPr="00E771F6">
        <w:t xml:space="preserve">s well as supportive of larger PG&amp;E and State goals.  Overarching program goals include: </w:t>
      </w:r>
    </w:p>
    <w:p w14:paraId="54CCDBBD" w14:textId="77777777" w:rsidR="00456F02" w:rsidRPr="0023792B" w:rsidRDefault="00456F02" w:rsidP="00456F02">
      <w:pPr>
        <w:pStyle w:val="ListParagraph"/>
        <w:numPr>
          <w:ilvl w:val="0"/>
          <w:numId w:val="15"/>
        </w:numPr>
        <w:rPr>
          <w:b/>
          <w:bCs/>
        </w:rPr>
      </w:pPr>
      <w:r w:rsidRPr="00E771F6">
        <w:t xml:space="preserve">pipeline potential opportunities that meet or exceed doubling of EE from 2015 baseline by agency and </w:t>
      </w:r>
    </w:p>
    <w:p w14:paraId="5216C8FC" w14:textId="77777777" w:rsidR="00456F02" w:rsidRPr="000112DD" w:rsidRDefault="00456F02" w:rsidP="00456F02">
      <w:pPr>
        <w:pStyle w:val="ListParagraph"/>
        <w:numPr>
          <w:ilvl w:val="0"/>
          <w:numId w:val="15"/>
        </w:numPr>
        <w:rPr>
          <w:b/>
          <w:bCs/>
        </w:rPr>
      </w:pPr>
      <w:r w:rsidRPr="00E771F6">
        <w:t xml:space="preserve">40% reduction of GHG emissions over 1990 levels; </w:t>
      </w:r>
    </w:p>
    <w:p w14:paraId="4F2957E5" w14:textId="77777777" w:rsidR="00456F02" w:rsidRPr="000112DD" w:rsidRDefault="00456F02" w:rsidP="00456F02">
      <w:pPr>
        <w:pStyle w:val="ListParagraph"/>
        <w:numPr>
          <w:ilvl w:val="0"/>
          <w:numId w:val="15"/>
        </w:numPr>
        <w:rPr>
          <w:b/>
          <w:bCs/>
        </w:rPr>
      </w:pPr>
      <w:r w:rsidRPr="00E771F6">
        <w:t xml:space="preserve">committed energy savings of 20% over baseline 2015 use; </w:t>
      </w:r>
    </w:p>
    <w:p w14:paraId="001DB8B3" w14:textId="77777777" w:rsidR="00456F02" w:rsidRPr="000112DD" w:rsidRDefault="00456F02" w:rsidP="00456F02">
      <w:pPr>
        <w:pStyle w:val="ListParagraph"/>
        <w:numPr>
          <w:ilvl w:val="0"/>
          <w:numId w:val="15"/>
        </w:numPr>
        <w:rPr>
          <w:b/>
          <w:bCs/>
        </w:rPr>
      </w:pPr>
      <w:r w:rsidRPr="00E771F6">
        <w:t xml:space="preserve">completed energy savings of 8% over 2015 baseline. </w:t>
      </w:r>
    </w:p>
    <w:p w14:paraId="0F43499A" w14:textId="77777777" w:rsidR="00456F02" w:rsidRPr="002D22A2" w:rsidRDefault="00456F02" w:rsidP="00456F02">
      <w:pPr>
        <w:pStyle w:val="ListParagraph"/>
      </w:pPr>
      <w:r>
        <w:rPr>
          <w:b/>
          <w:bCs/>
        </w:rPr>
        <w:t xml:space="preserve">Data Source: </w:t>
      </w:r>
      <w:r w:rsidRPr="001B5C14">
        <w:t>Exchange Dashboard (data pushed from ESPM, GRITS, II and EI for reporting</w:t>
      </w:r>
      <w:r w:rsidRPr="001B5C14">
        <w:rPr>
          <w:b/>
          <w:bCs/>
        </w:rPr>
        <w:t xml:space="preserve"> </w:t>
      </w:r>
      <w:r w:rsidRPr="001B5C14">
        <w:t>purposes)</w:t>
      </w:r>
    </w:p>
    <w:p w14:paraId="236B509F" w14:textId="77777777" w:rsidR="00456F02" w:rsidRDefault="00456F02" w:rsidP="00456F02">
      <w:pPr>
        <w:pStyle w:val="ListParagraph"/>
        <w:rPr>
          <w:b/>
          <w:bCs/>
        </w:rPr>
      </w:pPr>
    </w:p>
    <w:p w14:paraId="6700A408" w14:textId="77777777" w:rsidR="00456F02" w:rsidRPr="00D60AB6" w:rsidRDefault="00456F02" w:rsidP="00456F02">
      <w:pPr>
        <w:pStyle w:val="ListParagraph"/>
        <w:numPr>
          <w:ilvl w:val="0"/>
          <w:numId w:val="10"/>
        </w:numPr>
        <w:rPr>
          <w:b/>
          <w:bCs/>
        </w:rPr>
      </w:pPr>
      <w:r>
        <w:rPr>
          <w:b/>
          <w:bCs/>
        </w:rPr>
        <w:t xml:space="preserve">ID: </w:t>
      </w:r>
      <w:r>
        <w:t>Audits/reports</w:t>
      </w:r>
    </w:p>
    <w:p w14:paraId="1EA1A2C5" w14:textId="77777777" w:rsidR="00456F02" w:rsidRPr="00D60AB6" w:rsidRDefault="00456F02" w:rsidP="00456F02">
      <w:pPr>
        <w:pStyle w:val="ListParagraph"/>
        <w:rPr>
          <w:b/>
          <w:bCs/>
        </w:rPr>
      </w:pPr>
      <w:r>
        <w:rPr>
          <w:b/>
          <w:bCs/>
        </w:rPr>
        <w:t xml:space="preserve">Category: </w:t>
      </w:r>
      <w:r w:rsidRPr="004F294F">
        <w:t>Foundational</w:t>
      </w:r>
    </w:p>
    <w:p w14:paraId="39EE2D91" w14:textId="77777777" w:rsidR="00456F02" w:rsidRPr="004F294F" w:rsidRDefault="00456F02" w:rsidP="00456F02">
      <w:pPr>
        <w:pStyle w:val="ListParagraph"/>
      </w:pPr>
      <w:r>
        <w:rPr>
          <w:b/>
          <w:bCs/>
        </w:rPr>
        <w:lastRenderedPageBreak/>
        <w:t xml:space="preserve">Definition: </w:t>
      </w:r>
      <w:r w:rsidRPr="001B5C14">
        <w:t>Number of audits or reports prepared or presented.</w:t>
      </w:r>
    </w:p>
    <w:p w14:paraId="0156F0E4" w14:textId="77777777" w:rsidR="00456F02" w:rsidRPr="00390B89" w:rsidRDefault="00456F02" w:rsidP="00456F02">
      <w:pPr>
        <w:pStyle w:val="ListParagraph"/>
        <w:rPr>
          <w:b/>
          <w:bCs/>
        </w:rPr>
      </w:pPr>
      <w:r>
        <w:rPr>
          <w:b/>
          <w:bCs/>
        </w:rPr>
        <w:t xml:space="preserve">Measurement: </w:t>
      </w:r>
      <w:r w:rsidRPr="001B5C14">
        <w:t>monthly, reviewed quarterly. By customer type (city, county, special district, k-12), DAC or HTR, number and type of audit conducted (in-person or virtual), number of reports completed, number of reports presented.  Number of leads delivered to RAPs. Percentage of recommendations acted on.</w:t>
      </w:r>
    </w:p>
    <w:p w14:paraId="7F640CCD" w14:textId="77777777" w:rsidR="00456F02" w:rsidRDefault="00456F02" w:rsidP="00456F02">
      <w:pPr>
        <w:pStyle w:val="ListParagraph"/>
        <w:spacing w:after="0"/>
      </w:pPr>
      <w:r>
        <w:rPr>
          <w:b/>
          <w:bCs/>
        </w:rPr>
        <w:t xml:space="preserve">Target/Milestone: </w:t>
      </w:r>
      <w:r>
        <w:t>A</w:t>
      </w:r>
      <w:r w:rsidRPr="001B5C14">
        <w:t xml:space="preserve">ctivity </w:t>
      </w:r>
      <w:r>
        <w:t>to</w:t>
      </w:r>
      <w:r w:rsidRPr="001B5C14">
        <w:t xml:space="preserve"> be reflective of the HTR and DAC characteristics, meaning, at any given time</w:t>
      </w:r>
      <w:r>
        <w:t>:</w:t>
      </w:r>
    </w:p>
    <w:p w14:paraId="3C4C1A99" w14:textId="77777777" w:rsidR="00456F02" w:rsidRPr="00F155E2" w:rsidRDefault="00456F02" w:rsidP="00456F02">
      <w:pPr>
        <w:pStyle w:val="ListParagraph"/>
        <w:numPr>
          <w:ilvl w:val="0"/>
          <w:numId w:val="16"/>
        </w:numPr>
        <w:rPr>
          <w:b/>
          <w:bCs/>
        </w:rPr>
      </w:pPr>
      <w:r w:rsidRPr="001B5C14">
        <w:t xml:space="preserve">75% of audit/report activity should come from HTR and </w:t>
      </w:r>
    </w:p>
    <w:p w14:paraId="4EA523D7" w14:textId="77777777" w:rsidR="00456F02" w:rsidRPr="00390B89" w:rsidRDefault="00456F02" w:rsidP="00456F02">
      <w:pPr>
        <w:pStyle w:val="ListParagraph"/>
        <w:numPr>
          <w:ilvl w:val="0"/>
          <w:numId w:val="16"/>
        </w:numPr>
        <w:rPr>
          <w:b/>
          <w:bCs/>
        </w:rPr>
      </w:pPr>
      <w:r w:rsidRPr="001B5C14">
        <w:t xml:space="preserve">65% should come from DACs.  </w:t>
      </w:r>
    </w:p>
    <w:p w14:paraId="305CDB27" w14:textId="77777777" w:rsidR="00456F02" w:rsidRPr="00390B89" w:rsidRDefault="00456F02" w:rsidP="00456F02">
      <w:pPr>
        <w:pStyle w:val="ListParagraph"/>
        <w:rPr>
          <w:b/>
          <w:bCs/>
        </w:rPr>
      </w:pPr>
      <w:r>
        <w:rPr>
          <w:b/>
          <w:bCs/>
        </w:rPr>
        <w:t xml:space="preserve">Data Source: </w:t>
      </w:r>
      <w:r w:rsidRPr="001B5C14">
        <w:t>Exchange Dashboard updated by assigned staff.</w:t>
      </w:r>
    </w:p>
    <w:p w14:paraId="75503E28" w14:textId="77777777" w:rsidR="00456F02" w:rsidRDefault="00456F02" w:rsidP="00456F02">
      <w:pPr>
        <w:pStyle w:val="ListParagraph"/>
        <w:rPr>
          <w:b/>
          <w:bCs/>
        </w:rPr>
      </w:pPr>
    </w:p>
    <w:p w14:paraId="226D8051" w14:textId="77777777" w:rsidR="00456F02" w:rsidRPr="00D60AB6" w:rsidRDefault="00456F02" w:rsidP="00456F02">
      <w:pPr>
        <w:pStyle w:val="ListParagraph"/>
        <w:numPr>
          <w:ilvl w:val="0"/>
          <w:numId w:val="10"/>
        </w:numPr>
        <w:rPr>
          <w:b/>
          <w:bCs/>
        </w:rPr>
      </w:pPr>
      <w:r>
        <w:rPr>
          <w:b/>
          <w:bCs/>
        </w:rPr>
        <w:t xml:space="preserve">ID: </w:t>
      </w:r>
      <w:r>
        <w:t>Projects Managed</w:t>
      </w:r>
    </w:p>
    <w:p w14:paraId="5DE05999" w14:textId="77777777" w:rsidR="00456F02" w:rsidRPr="00D60AB6" w:rsidRDefault="00456F02" w:rsidP="00456F02">
      <w:pPr>
        <w:pStyle w:val="ListParagraph"/>
        <w:rPr>
          <w:b/>
          <w:bCs/>
        </w:rPr>
      </w:pPr>
      <w:r>
        <w:rPr>
          <w:b/>
          <w:bCs/>
        </w:rPr>
        <w:t xml:space="preserve">Category: </w:t>
      </w:r>
      <w:r w:rsidRPr="00E33779">
        <w:t>Supporting</w:t>
      </w:r>
    </w:p>
    <w:p w14:paraId="02DA28F0" w14:textId="77777777" w:rsidR="00456F02" w:rsidRDefault="00456F02" w:rsidP="00456F02">
      <w:pPr>
        <w:pStyle w:val="ListParagraph"/>
        <w:rPr>
          <w:b/>
          <w:bCs/>
        </w:rPr>
      </w:pPr>
      <w:r>
        <w:rPr>
          <w:b/>
          <w:bCs/>
        </w:rPr>
        <w:t xml:space="preserve">Definition: </w:t>
      </w:r>
      <w:r w:rsidRPr="001B5C14">
        <w:t>Number of projects managed and/or using GRITS, those where financing is facilitated or through OBF</w:t>
      </w:r>
      <w:r>
        <w:t>.</w:t>
      </w:r>
    </w:p>
    <w:p w14:paraId="06613750" w14:textId="77777777" w:rsidR="00456F02" w:rsidRPr="00D61B4D" w:rsidRDefault="00456F02" w:rsidP="00456F02">
      <w:pPr>
        <w:pStyle w:val="ListParagraph"/>
      </w:pPr>
      <w:r>
        <w:rPr>
          <w:b/>
          <w:bCs/>
        </w:rPr>
        <w:t xml:space="preserve">Measurement: </w:t>
      </w:r>
      <w:r w:rsidRPr="001B5C14">
        <w:t>Reported monthly, reviewed quarterly. By customer type (city, county, special district, k-12), DAC or HTR, GRITS project dashboards created and presented. Number of project leads delivered to RAPs.</w:t>
      </w:r>
    </w:p>
    <w:p w14:paraId="5A93AD6A" w14:textId="77777777" w:rsidR="00456F02" w:rsidRDefault="00456F02" w:rsidP="00456F02">
      <w:pPr>
        <w:pStyle w:val="ListParagraph"/>
        <w:spacing w:after="0"/>
      </w:pPr>
      <w:r>
        <w:rPr>
          <w:b/>
          <w:bCs/>
        </w:rPr>
        <w:t xml:space="preserve">Target/Milestone: </w:t>
      </w:r>
      <w:r w:rsidRPr="00E06CAA">
        <w:t>A</w:t>
      </w:r>
      <w:r w:rsidRPr="001B5C14">
        <w:t xml:space="preserve">ctivity </w:t>
      </w:r>
      <w:r>
        <w:t>to be</w:t>
      </w:r>
      <w:r w:rsidRPr="001B5C14">
        <w:t xml:space="preserve"> reflective of the HTR and DAC characteristics, meaning, at any given time</w:t>
      </w:r>
      <w:r>
        <w:t>:</w:t>
      </w:r>
    </w:p>
    <w:p w14:paraId="6E709290" w14:textId="77777777" w:rsidR="00456F02" w:rsidRPr="00E06CAA" w:rsidRDefault="00456F02" w:rsidP="00456F02">
      <w:pPr>
        <w:pStyle w:val="ListParagraph"/>
        <w:numPr>
          <w:ilvl w:val="0"/>
          <w:numId w:val="17"/>
        </w:numPr>
        <w:rPr>
          <w:b/>
          <w:bCs/>
        </w:rPr>
      </w:pPr>
      <w:r w:rsidRPr="001B5C14">
        <w:t xml:space="preserve">75% of project managed should come from HTR and </w:t>
      </w:r>
    </w:p>
    <w:p w14:paraId="6FB391C6" w14:textId="77777777" w:rsidR="00456F02" w:rsidRPr="00390B89" w:rsidRDefault="00456F02" w:rsidP="00456F02">
      <w:pPr>
        <w:pStyle w:val="ListParagraph"/>
        <w:numPr>
          <w:ilvl w:val="0"/>
          <w:numId w:val="17"/>
        </w:numPr>
        <w:rPr>
          <w:b/>
          <w:bCs/>
        </w:rPr>
      </w:pPr>
      <w:r w:rsidRPr="001B5C14">
        <w:t xml:space="preserve">65% should come from DACs.  </w:t>
      </w:r>
    </w:p>
    <w:p w14:paraId="56EC55AF" w14:textId="77777777" w:rsidR="00456F02" w:rsidRPr="00390B89" w:rsidRDefault="00456F02" w:rsidP="00456F02">
      <w:pPr>
        <w:pStyle w:val="ListParagraph"/>
        <w:rPr>
          <w:b/>
          <w:bCs/>
        </w:rPr>
      </w:pPr>
      <w:r>
        <w:rPr>
          <w:b/>
          <w:bCs/>
        </w:rPr>
        <w:t xml:space="preserve">Data Source: </w:t>
      </w:r>
      <w:r w:rsidRPr="001B5C14">
        <w:t>Exchange Dashboard (data pushed from GRITS)</w:t>
      </w:r>
    </w:p>
    <w:p w14:paraId="43A0050C" w14:textId="77777777" w:rsidR="00456F02" w:rsidRDefault="00456F02" w:rsidP="00456F02">
      <w:pPr>
        <w:pStyle w:val="ListParagraph"/>
        <w:rPr>
          <w:b/>
          <w:bCs/>
        </w:rPr>
      </w:pPr>
    </w:p>
    <w:p w14:paraId="6CEE7B78" w14:textId="77777777" w:rsidR="00456F02" w:rsidRPr="00D60AB6" w:rsidRDefault="00456F02" w:rsidP="00456F02">
      <w:pPr>
        <w:pStyle w:val="ListParagraph"/>
        <w:numPr>
          <w:ilvl w:val="0"/>
          <w:numId w:val="10"/>
        </w:numPr>
        <w:rPr>
          <w:b/>
          <w:bCs/>
        </w:rPr>
      </w:pPr>
      <w:r>
        <w:rPr>
          <w:b/>
          <w:bCs/>
        </w:rPr>
        <w:t xml:space="preserve">ID: </w:t>
      </w:r>
      <w:r w:rsidRPr="008F5517">
        <w:t>Education</w:t>
      </w:r>
    </w:p>
    <w:p w14:paraId="140389D5" w14:textId="77777777" w:rsidR="00456F02" w:rsidRPr="009161EE" w:rsidRDefault="00456F02" w:rsidP="00456F02">
      <w:pPr>
        <w:pStyle w:val="ListParagraph"/>
      </w:pPr>
      <w:r>
        <w:rPr>
          <w:b/>
          <w:bCs/>
        </w:rPr>
        <w:t xml:space="preserve">Category: </w:t>
      </w:r>
      <w:r w:rsidRPr="009161EE">
        <w:t>Supporting</w:t>
      </w:r>
    </w:p>
    <w:p w14:paraId="66CB5EC2" w14:textId="77777777" w:rsidR="00456F02" w:rsidRPr="009161EE" w:rsidRDefault="00456F02" w:rsidP="00456F02">
      <w:pPr>
        <w:pStyle w:val="ListParagraph"/>
      </w:pPr>
      <w:r>
        <w:rPr>
          <w:b/>
          <w:bCs/>
        </w:rPr>
        <w:t xml:space="preserve">Definition: </w:t>
      </w:r>
      <w:r>
        <w:t xml:space="preserve">Number of educational opportunities offered. </w:t>
      </w:r>
    </w:p>
    <w:p w14:paraId="22FF2307" w14:textId="77777777" w:rsidR="00456F02" w:rsidRPr="0081766A" w:rsidRDefault="00456F02" w:rsidP="00456F02">
      <w:pPr>
        <w:pStyle w:val="ListParagraph"/>
      </w:pPr>
      <w:r>
        <w:rPr>
          <w:b/>
          <w:bCs/>
        </w:rPr>
        <w:t xml:space="preserve">Measurement: </w:t>
      </w:r>
      <w:r w:rsidRPr="0081766A">
        <w:t>Reported monthly, reviewed quarterly. Attendee by customer type (city, county, special district, k-12), DAC or HTR, delivery type (digital or in-person)</w:t>
      </w:r>
    </w:p>
    <w:p w14:paraId="30EF8242" w14:textId="77777777" w:rsidR="00456F02" w:rsidRDefault="00456F02" w:rsidP="00456F02">
      <w:pPr>
        <w:pStyle w:val="ListParagraph"/>
      </w:pPr>
      <w:r>
        <w:rPr>
          <w:b/>
          <w:bCs/>
        </w:rPr>
        <w:t xml:space="preserve">Target/Milestone: </w:t>
      </w:r>
      <w:r w:rsidRPr="0081766A">
        <w:t xml:space="preserve">educational opportunities to include at minimum:                      </w:t>
      </w:r>
    </w:p>
    <w:p w14:paraId="6F64F916" w14:textId="77777777" w:rsidR="00456F02" w:rsidRPr="0081766A" w:rsidRDefault="00456F02" w:rsidP="00456F02">
      <w:pPr>
        <w:pStyle w:val="ListParagraph"/>
        <w:numPr>
          <w:ilvl w:val="0"/>
          <w:numId w:val="12"/>
        </w:numPr>
      </w:pPr>
      <w:r w:rsidRPr="0081766A">
        <w:t>Blog articles (2 per week)</w:t>
      </w:r>
    </w:p>
    <w:p w14:paraId="0FB4BC67" w14:textId="77777777" w:rsidR="00456F02" w:rsidRPr="0081766A" w:rsidRDefault="00456F02" w:rsidP="00456F02">
      <w:pPr>
        <w:pStyle w:val="ListParagraph"/>
        <w:numPr>
          <w:ilvl w:val="0"/>
          <w:numId w:val="12"/>
        </w:numPr>
      </w:pPr>
      <w:r w:rsidRPr="0081766A">
        <w:t>Fast Chat (monthly)</w:t>
      </w:r>
    </w:p>
    <w:p w14:paraId="23AC7531" w14:textId="77777777" w:rsidR="00456F02" w:rsidRPr="0081766A" w:rsidRDefault="00456F02" w:rsidP="00456F02">
      <w:pPr>
        <w:pStyle w:val="ListParagraph"/>
        <w:numPr>
          <w:ilvl w:val="0"/>
          <w:numId w:val="12"/>
        </w:numPr>
      </w:pPr>
      <w:r w:rsidRPr="0081766A">
        <w:t>Education Bundles (monthly)</w:t>
      </w:r>
    </w:p>
    <w:p w14:paraId="2A188E00" w14:textId="77777777" w:rsidR="00456F02" w:rsidRPr="0081766A" w:rsidRDefault="00456F02" w:rsidP="00456F02">
      <w:pPr>
        <w:pStyle w:val="ListParagraph"/>
        <w:numPr>
          <w:ilvl w:val="0"/>
          <w:numId w:val="12"/>
        </w:numPr>
      </w:pPr>
      <w:r w:rsidRPr="0081766A">
        <w:t>Energy saving activities/competitions (6</w:t>
      </w:r>
      <w:r>
        <w:t xml:space="preserve"> over three years</w:t>
      </w:r>
      <w:r w:rsidRPr="0081766A">
        <w:t>)</w:t>
      </w:r>
    </w:p>
    <w:p w14:paraId="0B0C6E7E" w14:textId="77777777" w:rsidR="00456F02" w:rsidRPr="0081766A" w:rsidRDefault="00456F02" w:rsidP="00456F02">
      <w:pPr>
        <w:pStyle w:val="ListParagraph"/>
        <w:numPr>
          <w:ilvl w:val="0"/>
          <w:numId w:val="12"/>
        </w:numPr>
      </w:pPr>
      <w:r w:rsidRPr="0081766A">
        <w:t xml:space="preserve">Other educational opportunities (may include </w:t>
      </w:r>
      <w:r>
        <w:t>industry events</w:t>
      </w:r>
      <w:r w:rsidRPr="0081766A">
        <w:t>, PGE or 3P options as well) (5</w:t>
      </w:r>
      <w:r>
        <w:t xml:space="preserve"> over three years</w:t>
      </w:r>
      <w:r w:rsidRPr="0081766A">
        <w:t>)</w:t>
      </w:r>
    </w:p>
    <w:p w14:paraId="76F79F1A" w14:textId="77777777" w:rsidR="00456F02" w:rsidRPr="00390B89" w:rsidRDefault="00456F02" w:rsidP="00456F02">
      <w:pPr>
        <w:pStyle w:val="ListParagraph"/>
        <w:rPr>
          <w:b/>
          <w:bCs/>
        </w:rPr>
      </w:pPr>
      <w:r>
        <w:rPr>
          <w:b/>
          <w:bCs/>
        </w:rPr>
        <w:t xml:space="preserve">Data Source: </w:t>
      </w:r>
      <w:r w:rsidRPr="00877D3A">
        <w:t>Exchange Dashboard updated by assigned staff.</w:t>
      </w:r>
    </w:p>
    <w:p w14:paraId="149FA5A7" w14:textId="77777777" w:rsidR="00456F02" w:rsidRDefault="00456F02" w:rsidP="00456F02">
      <w:pPr>
        <w:pStyle w:val="ListParagraph"/>
        <w:rPr>
          <w:b/>
          <w:bCs/>
        </w:rPr>
      </w:pPr>
    </w:p>
    <w:p w14:paraId="4BA2BF39" w14:textId="77777777" w:rsidR="00456F02" w:rsidRPr="00D60AB6" w:rsidRDefault="00456F02" w:rsidP="00456F02">
      <w:pPr>
        <w:pStyle w:val="ListParagraph"/>
        <w:numPr>
          <w:ilvl w:val="0"/>
          <w:numId w:val="10"/>
        </w:numPr>
        <w:rPr>
          <w:b/>
          <w:bCs/>
        </w:rPr>
      </w:pPr>
      <w:r>
        <w:rPr>
          <w:b/>
          <w:bCs/>
        </w:rPr>
        <w:t xml:space="preserve">ID: </w:t>
      </w:r>
      <w:r>
        <w:t>Benchmarking</w:t>
      </w:r>
    </w:p>
    <w:p w14:paraId="3D8ED974" w14:textId="77777777" w:rsidR="00456F02" w:rsidRPr="00D60AB6" w:rsidRDefault="00456F02" w:rsidP="00456F02">
      <w:pPr>
        <w:pStyle w:val="ListParagraph"/>
        <w:rPr>
          <w:b/>
          <w:bCs/>
        </w:rPr>
      </w:pPr>
      <w:r>
        <w:rPr>
          <w:b/>
          <w:bCs/>
        </w:rPr>
        <w:t xml:space="preserve">Category: </w:t>
      </w:r>
      <w:r w:rsidRPr="00047022">
        <w:t>Supporting</w:t>
      </w:r>
    </w:p>
    <w:p w14:paraId="2C3918A0" w14:textId="77777777" w:rsidR="00456F02" w:rsidRDefault="00456F02" w:rsidP="00456F02">
      <w:pPr>
        <w:pStyle w:val="ListParagraph"/>
        <w:rPr>
          <w:b/>
          <w:bCs/>
        </w:rPr>
      </w:pPr>
      <w:r>
        <w:rPr>
          <w:b/>
          <w:bCs/>
        </w:rPr>
        <w:t xml:space="preserve">Definition: </w:t>
      </w:r>
      <w:r w:rsidRPr="00047022">
        <w:t>Number or percentage of Buildings Benchmarked</w:t>
      </w:r>
    </w:p>
    <w:p w14:paraId="257271AB" w14:textId="77777777" w:rsidR="00456F02" w:rsidRPr="00390B89" w:rsidRDefault="00456F02" w:rsidP="00456F02">
      <w:pPr>
        <w:pStyle w:val="ListParagraph"/>
        <w:rPr>
          <w:b/>
          <w:bCs/>
        </w:rPr>
      </w:pPr>
      <w:r>
        <w:rPr>
          <w:b/>
          <w:bCs/>
        </w:rPr>
        <w:t xml:space="preserve">Measurement: </w:t>
      </w:r>
      <w:r w:rsidRPr="009C7205">
        <w:t>Reported monthly, reviewed quarterly. By customer type (city, county, special district, k-12), DAC or HTR, service type (new entry or maintenance), gross square footage, AB 802 compliance.</w:t>
      </w:r>
    </w:p>
    <w:p w14:paraId="327F61CC" w14:textId="77777777" w:rsidR="00456F02" w:rsidRDefault="00456F02" w:rsidP="00456F02">
      <w:pPr>
        <w:pStyle w:val="ListParagraph"/>
        <w:rPr>
          <w:b/>
          <w:bCs/>
        </w:rPr>
      </w:pPr>
      <w:r>
        <w:rPr>
          <w:b/>
          <w:bCs/>
        </w:rPr>
        <w:lastRenderedPageBreak/>
        <w:t xml:space="preserve">Target/Milestone: </w:t>
      </w:r>
    </w:p>
    <w:p w14:paraId="5BD79D2F" w14:textId="77777777" w:rsidR="00456F02" w:rsidRPr="004B5D79" w:rsidRDefault="00456F02" w:rsidP="00456F02">
      <w:pPr>
        <w:pStyle w:val="ListParagraph"/>
        <w:numPr>
          <w:ilvl w:val="0"/>
          <w:numId w:val="13"/>
        </w:numPr>
        <w:rPr>
          <w:b/>
          <w:bCs/>
        </w:rPr>
      </w:pPr>
      <w:r>
        <w:t xml:space="preserve">100% of enrolled agencies benchmarked at minimum of 90% total agency energy portfolio. </w:t>
      </w:r>
    </w:p>
    <w:p w14:paraId="79B5F840" w14:textId="77777777" w:rsidR="00456F02" w:rsidRPr="00DE6682" w:rsidRDefault="00456F02" w:rsidP="00456F02">
      <w:pPr>
        <w:pStyle w:val="ListParagraph"/>
        <w:numPr>
          <w:ilvl w:val="0"/>
          <w:numId w:val="13"/>
        </w:numPr>
        <w:rPr>
          <w:b/>
          <w:bCs/>
        </w:rPr>
      </w:pPr>
      <w:r>
        <w:t>100% of enrolled agencies kept in compliance with AB802</w:t>
      </w:r>
    </w:p>
    <w:p w14:paraId="5501A9D5" w14:textId="77777777" w:rsidR="00456F02" w:rsidRPr="00390B89" w:rsidRDefault="00456F02" w:rsidP="00456F02">
      <w:pPr>
        <w:pStyle w:val="ListParagraph"/>
        <w:rPr>
          <w:b/>
          <w:bCs/>
        </w:rPr>
      </w:pPr>
      <w:r>
        <w:rPr>
          <w:b/>
          <w:bCs/>
        </w:rPr>
        <w:t xml:space="preserve">Data Source: </w:t>
      </w:r>
      <w:r w:rsidRPr="00AA0482">
        <w:t>Exchange Dashboard (data housed in ESPM, but monthly aggregated reporting delivered in Exchange Dashboard)</w:t>
      </w:r>
    </w:p>
    <w:p w14:paraId="3BDD3083" w14:textId="77777777" w:rsidR="00456F02" w:rsidRPr="00390B89" w:rsidRDefault="00456F02" w:rsidP="00456F02">
      <w:pPr>
        <w:pStyle w:val="ListParagraph"/>
        <w:rPr>
          <w:b/>
          <w:bCs/>
        </w:rPr>
      </w:pPr>
    </w:p>
    <w:p w14:paraId="2F9AED27" w14:textId="77777777" w:rsidR="00456F02" w:rsidRDefault="00456F02" w:rsidP="00456F02"/>
    <w:p w14:paraId="6588C9A8" w14:textId="77777777" w:rsidR="00456F02" w:rsidRPr="00186B75" w:rsidRDefault="00456F02" w:rsidP="00456F02"/>
    <w:p w14:paraId="4BAD1FBA" w14:textId="77777777" w:rsidR="00456F02" w:rsidRDefault="00456F02" w:rsidP="00456F02">
      <w:pPr>
        <w:rPr>
          <w:rFonts w:asciiTheme="majorHAnsi" w:eastAsiaTheme="majorEastAsia" w:hAnsiTheme="majorHAnsi" w:cstheme="majorBidi"/>
          <w:color w:val="2F5496" w:themeColor="accent1" w:themeShade="BF"/>
          <w:sz w:val="32"/>
          <w:szCs w:val="32"/>
        </w:rPr>
      </w:pPr>
      <w:r>
        <w:br w:type="page"/>
      </w:r>
    </w:p>
    <w:p w14:paraId="4BA6F969" w14:textId="77777777" w:rsidR="00456F02" w:rsidRPr="00E56EAA" w:rsidRDefault="00456F02" w:rsidP="00456F02">
      <w:pPr>
        <w:pStyle w:val="Heading1"/>
      </w:pPr>
      <w:bookmarkStart w:id="58" w:name="_Toc47619637"/>
      <w:r w:rsidRPr="00EA2568">
        <w:lastRenderedPageBreak/>
        <w:t>Diagram of Program</w:t>
      </w:r>
      <w:bookmarkEnd w:id="58"/>
    </w:p>
    <w:p w14:paraId="5FBB1EFD" w14:textId="77777777" w:rsidR="00456F02" w:rsidRDefault="00456F02" w:rsidP="00456F02">
      <w:r>
        <w:rPr>
          <w:noProof/>
        </w:rPr>
        <w:drawing>
          <wp:inline distT="0" distB="0" distL="0" distR="0" wp14:anchorId="28A0B4B1" wp14:editId="3840A98B">
            <wp:extent cx="6126480" cy="5061002"/>
            <wp:effectExtent l="0" t="0" r="7620" b="6350"/>
            <wp:docPr id="5" name="Picture 5"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EW.jpg"/>
                    <pic:cNvPicPr/>
                  </pic:nvPicPr>
                  <pic:blipFill>
                    <a:blip r:embed="rId18">
                      <a:extLst>
                        <a:ext uri="{28A0092B-C50C-407E-A947-70E740481C1C}">
                          <a14:useLocalDpi xmlns:a14="http://schemas.microsoft.com/office/drawing/2010/main" val="0"/>
                        </a:ext>
                      </a:extLst>
                    </a:blip>
                    <a:stretch>
                      <a:fillRect/>
                    </a:stretch>
                  </pic:blipFill>
                  <pic:spPr>
                    <a:xfrm>
                      <a:off x="0" y="0"/>
                      <a:ext cx="6126480" cy="5061002"/>
                    </a:xfrm>
                    <a:prstGeom prst="rect">
                      <a:avLst/>
                    </a:prstGeom>
                  </pic:spPr>
                </pic:pic>
              </a:graphicData>
            </a:graphic>
          </wp:inline>
        </w:drawing>
      </w:r>
    </w:p>
    <w:p w14:paraId="55A5ED7A" w14:textId="77777777" w:rsidR="006B4621" w:rsidRDefault="006B4621" w:rsidP="00456F02">
      <w:pPr>
        <w:pStyle w:val="ListParagraph"/>
      </w:pPr>
    </w:p>
    <w:p w14:paraId="14E76B2B" w14:textId="77777777" w:rsidR="00BE7123" w:rsidRDefault="00BE7123">
      <w:pPr>
        <w:rPr>
          <w:rFonts w:asciiTheme="majorHAnsi" w:eastAsiaTheme="majorEastAsia" w:hAnsiTheme="majorHAnsi" w:cstheme="majorBidi"/>
          <w:color w:val="2F5496" w:themeColor="accent1" w:themeShade="BF"/>
          <w:sz w:val="32"/>
          <w:szCs w:val="32"/>
        </w:rPr>
      </w:pPr>
      <w:r>
        <w:br w:type="page"/>
      </w:r>
    </w:p>
    <w:p w14:paraId="1EF00163" w14:textId="55756D1A" w:rsidR="00334DF3" w:rsidRDefault="0049556B" w:rsidP="005C2949">
      <w:pPr>
        <w:pStyle w:val="Heading1"/>
      </w:pPr>
      <w:bookmarkStart w:id="59" w:name="_Toc47619638"/>
      <w:r>
        <w:lastRenderedPageBreak/>
        <w:t>Program Manuals</w:t>
      </w:r>
      <w:bookmarkEnd w:id="59"/>
    </w:p>
    <w:p w14:paraId="1D25A016" w14:textId="2C6926CD" w:rsidR="0049556B" w:rsidRPr="006C2F57" w:rsidRDefault="0049556B" w:rsidP="0049556B">
      <w:pPr>
        <w:pStyle w:val="ListParagraph"/>
        <w:numPr>
          <w:ilvl w:val="0"/>
          <w:numId w:val="4"/>
        </w:numPr>
      </w:pPr>
      <w:r>
        <w:rPr>
          <w:b/>
          <w:bCs/>
        </w:rPr>
        <w:t>Eligible Measures or measure eligibility, if applicable</w:t>
      </w:r>
    </w:p>
    <w:p w14:paraId="54C94817" w14:textId="59023E38" w:rsidR="006C2F57" w:rsidRPr="006C2F57" w:rsidRDefault="006C2F57" w:rsidP="0049556B">
      <w:pPr>
        <w:pStyle w:val="ListParagraph"/>
        <w:numPr>
          <w:ilvl w:val="0"/>
          <w:numId w:val="4"/>
        </w:numPr>
      </w:pPr>
      <w:r>
        <w:rPr>
          <w:b/>
          <w:bCs/>
        </w:rPr>
        <w:t>Customer Eligibility Requirements</w:t>
      </w:r>
    </w:p>
    <w:p w14:paraId="1D9C29C6" w14:textId="71FE6BF4" w:rsidR="006C2F57" w:rsidRPr="006C2F57" w:rsidRDefault="006C2F57" w:rsidP="0049556B">
      <w:pPr>
        <w:pStyle w:val="ListParagraph"/>
        <w:numPr>
          <w:ilvl w:val="0"/>
          <w:numId w:val="4"/>
        </w:numPr>
      </w:pPr>
      <w:r>
        <w:rPr>
          <w:b/>
          <w:bCs/>
        </w:rPr>
        <w:t>Contractor Eligibility Requirement</w:t>
      </w:r>
      <w:r w:rsidR="00261BE8">
        <w:rPr>
          <w:b/>
          <w:bCs/>
        </w:rPr>
        <w:t>s</w:t>
      </w:r>
    </w:p>
    <w:p w14:paraId="0D898C1F" w14:textId="013E6F6E" w:rsidR="006C2F57" w:rsidRPr="00996681" w:rsidRDefault="00996681" w:rsidP="0049556B">
      <w:pPr>
        <w:pStyle w:val="ListParagraph"/>
        <w:numPr>
          <w:ilvl w:val="0"/>
          <w:numId w:val="4"/>
        </w:numPr>
      </w:pPr>
      <w:r>
        <w:rPr>
          <w:b/>
          <w:bCs/>
        </w:rPr>
        <w:t>Participating Contractors, Manufacturers, Retailers, Distributers, and Partners</w:t>
      </w:r>
    </w:p>
    <w:p w14:paraId="2B17EEE5" w14:textId="534589DB" w:rsidR="00996681" w:rsidRPr="00996681" w:rsidRDefault="00996681" w:rsidP="0049556B">
      <w:pPr>
        <w:pStyle w:val="ListParagraph"/>
        <w:numPr>
          <w:ilvl w:val="0"/>
          <w:numId w:val="4"/>
        </w:numPr>
      </w:pPr>
      <w:r>
        <w:rPr>
          <w:b/>
          <w:bCs/>
        </w:rPr>
        <w:t>Additional Services</w:t>
      </w:r>
    </w:p>
    <w:p w14:paraId="328B7676" w14:textId="1065DF71" w:rsidR="00996681" w:rsidRPr="00261BE8" w:rsidRDefault="00261BE8" w:rsidP="0049556B">
      <w:pPr>
        <w:pStyle w:val="ListParagraph"/>
        <w:numPr>
          <w:ilvl w:val="0"/>
          <w:numId w:val="4"/>
        </w:numPr>
      </w:pPr>
      <w:r>
        <w:rPr>
          <w:b/>
          <w:bCs/>
        </w:rPr>
        <w:t>Audits</w:t>
      </w:r>
    </w:p>
    <w:p w14:paraId="2F39A920" w14:textId="34C0418F" w:rsidR="00261BE8" w:rsidRPr="00261BE8" w:rsidRDefault="00261BE8" w:rsidP="0049556B">
      <w:pPr>
        <w:pStyle w:val="ListParagraph"/>
        <w:numPr>
          <w:ilvl w:val="0"/>
          <w:numId w:val="4"/>
        </w:numPr>
      </w:pPr>
      <w:r>
        <w:rPr>
          <w:b/>
          <w:bCs/>
        </w:rPr>
        <w:t>Sub-Program Quality Assurance Provisions</w:t>
      </w:r>
    </w:p>
    <w:p w14:paraId="71901560" w14:textId="6A169D48" w:rsidR="00B02D29" w:rsidRPr="0049556B" w:rsidRDefault="00261BE8" w:rsidP="00B02D29">
      <w:pPr>
        <w:pStyle w:val="ListParagraph"/>
        <w:numPr>
          <w:ilvl w:val="0"/>
          <w:numId w:val="4"/>
        </w:numPr>
      </w:pPr>
      <w:r w:rsidRPr="00182D85">
        <w:rPr>
          <w:b/>
          <w:bCs/>
        </w:rPr>
        <w:t xml:space="preserve">Other Program </w:t>
      </w:r>
      <w:r w:rsidR="00B02D29" w:rsidRPr="00182D85">
        <w:rPr>
          <w:b/>
          <w:bCs/>
        </w:rPr>
        <w:t>Metrics</w:t>
      </w:r>
    </w:p>
    <w:sectPr w:rsidR="00B02D29" w:rsidRPr="0049556B" w:rsidSect="0035211E">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70D68" w14:textId="77777777" w:rsidR="005276A1" w:rsidRDefault="005276A1" w:rsidP="00B02D29">
      <w:pPr>
        <w:spacing w:after="0" w:line="240" w:lineRule="auto"/>
      </w:pPr>
      <w:r>
        <w:separator/>
      </w:r>
    </w:p>
  </w:endnote>
  <w:endnote w:type="continuationSeparator" w:id="0">
    <w:p w14:paraId="2BABC4D4" w14:textId="77777777" w:rsidR="005276A1" w:rsidRDefault="005276A1" w:rsidP="00B0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102043"/>
      <w:docPartObj>
        <w:docPartGallery w:val="Page Numbers (Bottom of Page)"/>
        <w:docPartUnique/>
      </w:docPartObj>
    </w:sdtPr>
    <w:sdtEndPr>
      <w:rPr>
        <w:noProof/>
      </w:rPr>
    </w:sdtEndPr>
    <w:sdtContent>
      <w:p w14:paraId="423DFE17" w14:textId="26E73DE7" w:rsidR="001D0D8E" w:rsidRDefault="001D0D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B82123" w14:textId="2ED1D0A4" w:rsidR="00B02D29" w:rsidRPr="00EB37D6" w:rsidRDefault="00B02D29" w:rsidP="00EB37D6">
    <w:pPr>
      <w:pStyle w:val="Heading4"/>
      <w:jc w:val="right"/>
      <w:rPr>
        <w:i w:val="0"/>
        <w:i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98146" w14:textId="77777777" w:rsidR="005276A1" w:rsidRDefault="005276A1" w:rsidP="00B02D29">
      <w:pPr>
        <w:spacing w:after="0" w:line="240" w:lineRule="auto"/>
      </w:pPr>
      <w:r>
        <w:separator/>
      </w:r>
    </w:p>
  </w:footnote>
  <w:footnote w:type="continuationSeparator" w:id="0">
    <w:p w14:paraId="359E49E5" w14:textId="77777777" w:rsidR="005276A1" w:rsidRDefault="005276A1" w:rsidP="00B02D29">
      <w:pPr>
        <w:spacing w:after="0" w:line="240" w:lineRule="auto"/>
      </w:pPr>
      <w:r>
        <w:continuationSeparator/>
      </w:r>
    </w:p>
  </w:footnote>
  <w:footnote w:id="1">
    <w:p w14:paraId="48E7E1F7" w14:textId="77777777" w:rsidR="009638A0" w:rsidRPr="009733CC" w:rsidRDefault="009638A0" w:rsidP="00922B04">
      <w:pPr>
        <w:pStyle w:val="NoSpacing"/>
      </w:pPr>
      <w:r>
        <w:rPr>
          <w:rStyle w:val="FootnoteReference"/>
        </w:rPr>
        <w:footnoteRef/>
      </w:r>
      <w:r>
        <w:t xml:space="preserve">  For nonresidential customers, </w:t>
      </w:r>
      <w:r w:rsidRPr="009D6A7B">
        <w:t xml:space="preserve">Hard-to-reach (HTR) are </w:t>
      </w:r>
      <w:r>
        <w:t>those</w:t>
      </w:r>
      <w:r w:rsidRPr="009D6A7B">
        <w:t xml:space="preserve"> customers who meet each of the following criteria:  primary language other than English, &lt;20 kW and/or 10,000 therms, and leased/rented facility.  If the </w:t>
      </w:r>
      <w:r>
        <w:t>nonresidential customer</w:t>
      </w:r>
      <w:r w:rsidRPr="009D6A7B">
        <w:t xml:space="preserve"> resides in a defined Disadvantaged Community, then only two of these criteria must be met to be considered HTR.</w:t>
      </w:r>
    </w:p>
    <w:p w14:paraId="02D4A0F1" w14:textId="77777777" w:rsidR="009638A0" w:rsidRPr="009638A0" w:rsidRDefault="009638A0" w:rsidP="009638A0">
      <w:pPr>
        <w:pStyle w:val="FootnoteText"/>
        <w:rPr>
          <w:lang w:val="en-US"/>
        </w:rPr>
      </w:pPr>
    </w:p>
  </w:footnote>
  <w:footnote w:id="2">
    <w:p w14:paraId="08BCCCDF" w14:textId="77777777" w:rsidR="002842F6" w:rsidRPr="007E70C8" w:rsidRDefault="002842F6" w:rsidP="002842F6">
      <w:r>
        <w:rPr>
          <w:rStyle w:val="FootnoteReference"/>
        </w:rPr>
        <w:footnoteRef/>
      </w:r>
      <w:r>
        <w:t xml:space="preserve"> </w:t>
      </w:r>
      <w:r w:rsidRPr="00973162">
        <w:t>Administrative Law</w:t>
      </w:r>
      <w:r>
        <w:t xml:space="preserve"> </w:t>
      </w:r>
      <w:r w:rsidRPr="00973162">
        <w:t>Judge’s Proposed Decision Providing Guidance for Initial Energy Efficiency Rolling Portfolio</w:t>
      </w:r>
      <w:r>
        <w:t xml:space="preserve"> Business Plan Filings “Proposed Decision”, July 19,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A3E"/>
    <w:multiLevelType w:val="hybridMultilevel"/>
    <w:tmpl w:val="EE780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486FAA"/>
    <w:multiLevelType w:val="hybridMultilevel"/>
    <w:tmpl w:val="2276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0F01C5"/>
    <w:multiLevelType w:val="hybridMultilevel"/>
    <w:tmpl w:val="457AB4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4F6DE3"/>
    <w:multiLevelType w:val="hybridMultilevel"/>
    <w:tmpl w:val="E2568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D8791F"/>
    <w:multiLevelType w:val="hybridMultilevel"/>
    <w:tmpl w:val="1BEEF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21A2D"/>
    <w:multiLevelType w:val="hybridMultilevel"/>
    <w:tmpl w:val="C1404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7701D"/>
    <w:multiLevelType w:val="hybridMultilevel"/>
    <w:tmpl w:val="ABEC1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E4501D"/>
    <w:multiLevelType w:val="hybridMultilevel"/>
    <w:tmpl w:val="48B83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957D4A"/>
    <w:multiLevelType w:val="hybridMultilevel"/>
    <w:tmpl w:val="A09ACB1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286E50"/>
    <w:multiLevelType w:val="hybridMultilevel"/>
    <w:tmpl w:val="820A5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AA416DB"/>
    <w:multiLevelType w:val="hybridMultilevel"/>
    <w:tmpl w:val="21A87A16"/>
    <w:lvl w:ilvl="0" w:tplc="BC187E20">
      <w:start w:val="1"/>
      <w:numFmt w:val="lowerLetter"/>
      <w:lvlText w:val="%1."/>
      <w:lvlJc w:val="left"/>
      <w:pPr>
        <w:ind w:left="1800" w:hanging="360"/>
      </w:pPr>
      <w:rPr>
        <w:rFonts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0F5EFB"/>
    <w:multiLevelType w:val="hybridMultilevel"/>
    <w:tmpl w:val="F3662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D3DD2"/>
    <w:multiLevelType w:val="hybridMultilevel"/>
    <w:tmpl w:val="AE9C0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A95B3F"/>
    <w:multiLevelType w:val="hybridMultilevel"/>
    <w:tmpl w:val="2EBE7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71868"/>
    <w:multiLevelType w:val="hybridMultilevel"/>
    <w:tmpl w:val="03F2B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E5B5E"/>
    <w:multiLevelType w:val="hybridMultilevel"/>
    <w:tmpl w:val="59603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CB52DE"/>
    <w:multiLevelType w:val="hybridMultilevel"/>
    <w:tmpl w:val="183E7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5"/>
  </w:num>
  <w:num w:numId="4">
    <w:abstractNumId w:val="11"/>
  </w:num>
  <w:num w:numId="5">
    <w:abstractNumId w:val="3"/>
  </w:num>
  <w:num w:numId="6">
    <w:abstractNumId w:val="10"/>
  </w:num>
  <w:num w:numId="7">
    <w:abstractNumId w:val="15"/>
  </w:num>
  <w:num w:numId="8">
    <w:abstractNumId w:val="2"/>
  </w:num>
  <w:num w:numId="9">
    <w:abstractNumId w:val="8"/>
  </w:num>
  <w:num w:numId="10">
    <w:abstractNumId w:val="14"/>
  </w:num>
  <w:num w:numId="11">
    <w:abstractNumId w:val="6"/>
  </w:num>
  <w:num w:numId="12">
    <w:abstractNumId w:val="16"/>
  </w:num>
  <w:num w:numId="13">
    <w:abstractNumId w:val="9"/>
  </w:num>
  <w:num w:numId="14">
    <w:abstractNumId w:val="1"/>
  </w:num>
  <w:num w:numId="15">
    <w:abstractNumId w:val="1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F3"/>
    <w:rsid w:val="00002104"/>
    <w:rsid w:val="0000697A"/>
    <w:rsid w:val="0000771E"/>
    <w:rsid w:val="0001162C"/>
    <w:rsid w:val="00017C42"/>
    <w:rsid w:val="00023598"/>
    <w:rsid w:val="00034B54"/>
    <w:rsid w:val="00035AD1"/>
    <w:rsid w:val="00040F92"/>
    <w:rsid w:val="000526DE"/>
    <w:rsid w:val="00072BD4"/>
    <w:rsid w:val="00074368"/>
    <w:rsid w:val="00075328"/>
    <w:rsid w:val="000762CB"/>
    <w:rsid w:val="0007690F"/>
    <w:rsid w:val="000829F7"/>
    <w:rsid w:val="00084C42"/>
    <w:rsid w:val="000A68A6"/>
    <w:rsid w:val="000A7208"/>
    <w:rsid w:val="000B2EEB"/>
    <w:rsid w:val="000B49BE"/>
    <w:rsid w:val="000B629F"/>
    <w:rsid w:val="000B6C1D"/>
    <w:rsid w:val="000C184E"/>
    <w:rsid w:val="000C4CCA"/>
    <w:rsid w:val="000D146B"/>
    <w:rsid w:val="00103E0E"/>
    <w:rsid w:val="001166CA"/>
    <w:rsid w:val="001268EA"/>
    <w:rsid w:val="0013797B"/>
    <w:rsid w:val="001405E9"/>
    <w:rsid w:val="00140FBA"/>
    <w:rsid w:val="00152463"/>
    <w:rsid w:val="00152696"/>
    <w:rsid w:val="0016493B"/>
    <w:rsid w:val="00166FE6"/>
    <w:rsid w:val="00176DA8"/>
    <w:rsid w:val="00182D85"/>
    <w:rsid w:val="00192329"/>
    <w:rsid w:val="001955C6"/>
    <w:rsid w:val="001A2229"/>
    <w:rsid w:val="001B2572"/>
    <w:rsid w:val="001C1189"/>
    <w:rsid w:val="001C3CEB"/>
    <w:rsid w:val="001D0D8E"/>
    <w:rsid w:val="001E1E09"/>
    <w:rsid w:val="001E4A05"/>
    <w:rsid w:val="001E58BF"/>
    <w:rsid w:val="001E78E6"/>
    <w:rsid w:val="001F05C6"/>
    <w:rsid w:val="001F13DB"/>
    <w:rsid w:val="001F3FF4"/>
    <w:rsid w:val="001F70F7"/>
    <w:rsid w:val="001F75C9"/>
    <w:rsid w:val="00207838"/>
    <w:rsid w:val="00210112"/>
    <w:rsid w:val="00222B64"/>
    <w:rsid w:val="002310E1"/>
    <w:rsid w:val="00233E66"/>
    <w:rsid w:val="002340F4"/>
    <w:rsid w:val="0024011A"/>
    <w:rsid w:val="00240584"/>
    <w:rsid w:val="00242397"/>
    <w:rsid w:val="00245953"/>
    <w:rsid w:val="0025676B"/>
    <w:rsid w:val="0026109D"/>
    <w:rsid w:val="00261BE8"/>
    <w:rsid w:val="0026691F"/>
    <w:rsid w:val="0026772E"/>
    <w:rsid w:val="00277A79"/>
    <w:rsid w:val="00280840"/>
    <w:rsid w:val="002842F6"/>
    <w:rsid w:val="00286C2A"/>
    <w:rsid w:val="00292E18"/>
    <w:rsid w:val="002945DB"/>
    <w:rsid w:val="002A1FFC"/>
    <w:rsid w:val="002A3557"/>
    <w:rsid w:val="002B1752"/>
    <w:rsid w:val="002C1CCB"/>
    <w:rsid w:val="002C4D20"/>
    <w:rsid w:val="002C7E54"/>
    <w:rsid w:val="002D2C6B"/>
    <w:rsid w:val="002E4BF4"/>
    <w:rsid w:val="002F2029"/>
    <w:rsid w:val="002F6F41"/>
    <w:rsid w:val="00301BC8"/>
    <w:rsid w:val="0031105E"/>
    <w:rsid w:val="00316530"/>
    <w:rsid w:val="00316644"/>
    <w:rsid w:val="0032064D"/>
    <w:rsid w:val="00320AA2"/>
    <w:rsid w:val="00334DF3"/>
    <w:rsid w:val="00336071"/>
    <w:rsid w:val="00340514"/>
    <w:rsid w:val="003415EC"/>
    <w:rsid w:val="00342675"/>
    <w:rsid w:val="00344523"/>
    <w:rsid w:val="00347BBB"/>
    <w:rsid w:val="003512F6"/>
    <w:rsid w:val="0035211E"/>
    <w:rsid w:val="003867FA"/>
    <w:rsid w:val="00387BE2"/>
    <w:rsid w:val="0039055A"/>
    <w:rsid w:val="00395D38"/>
    <w:rsid w:val="003A0B43"/>
    <w:rsid w:val="003A71A3"/>
    <w:rsid w:val="003A74C6"/>
    <w:rsid w:val="003B62AB"/>
    <w:rsid w:val="003C232E"/>
    <w:rsid w:val="003C4163"/>
    <w:rsid w:val="003C5BAB"/>
    <w:rsid w:val="003D2ADE"/>
    <w:rsid w:val="003E07C0"/>
    <w:rsid w:val="003E5282"/>
    <w:rsid w:val="003F1947"/>
    <w:rsid w:val="003F2E06"/>
    <w:rsid w:val="003F4607"/>
    <w:rsid w:val="004069D7"/>
    <w:rsid w:val="00407681"/>
    <w:rsid w:val="00410725"/>
    <w:rsid w:val="00413679"/>
    <w:rsid w:val="0043124A"/>
    <w:rsid w:val="0043514D"/>
    <w:rsid w:val="00440DCC"/>
    <w:rsid w:val="004455DC"/>
    <w:rsid w:val="00445C58"/>
    <w:rsid w:val="00446FB8"/>
    <w:rsid w:val="00455639"/>
    <w:rsid w:val="00456F02"/>
    <w:rsid w:val="00477CFF"/>
    <w:rsid w:val="00480814"/>
    <w:rsid w:val="00490582"/>
    <w:rsid w:val="0049556B"/>
    <w:rsid w:val="004C07E1"/>
    <w:rsid w:val="004C22AC"/>
    <w:rsid w:val="004D037E"/>
    <w:rsid w:val="004D6616"/>
    <w:rsid w:val="004E74CE"/>
    <w:rsid w:val="004F126D"/>
    <w:rsid w:val="004F5891"/>
    <w:rsid w:val="00523545"/>
    <w:rsid w:val="005276A1"/>
    <w:rsid w:val="00530D82"/>
    <w:rsid w:val="00536B2D"/>
    <w:rsid w:val="0054511A"/>
    <w:rsid w:val="0054676F"/>
    <w:rsid w:val="00555A25"/>
    <w:rsid w:val="00555BB2"/>
    <w:rsid w:val="00556891"/>
    <w:rsid w:val="00562B6B"/>
    <w:rsid w:val="00572A1A"/>
    <w:rsid w:val="005730C4"/>
    <w:rsid w:val="00574152"/>
    <w:rsid w:val="00580A57"/>
    <w:rsid w:val="00597670"/>
    <w:rsid w:val="005B7AD4"/>
    <w:rsid w:val="005C2949"/>
    <w:rsid w:val="005C44E9"/>
    <w:rsid w:val="005C6258"/>
    <w:rsid w:val="005D6517"/>
    <w:rsid w:val="005E5FBE"/>
    <w:rsid w:val="0060119B"/>
    <w:rsid w:val="006021CB"/>
    <w:rsid w:val="006042AB"/>
    <w:rsid w:val="0060504C"/>
    <w:rsid w:val="00614425"/>
    <w:rsid w:val="00617851"/>
    <w:rsid w:val="006201E3"/>
    <w:rsid w:val="0062099B"/>
    <w:rsid w:val="00623107"/>
    <w:rsid w:val="006373EA"/>
    <w:rsid w:val="00642031"/>
    <w:rsid w:val="00643D98"/>
    <w:rsid w:val="00650C8F"/>
    <w:rsid w:val="006522AD"/>
    <w:rsid w:val="006566E5"/>
    <w:rsid w:val="00662158"/>
    <w:rsid w:val="0066615C"/>
    <w:rsid w:val="00672D78"/>
    <w:rsid w:val="00676EDC"/>
    <w:rsid w:val="00682FF5"/>
    <w:rsid w:val="00683FEC"/>
    <w:rsid w:val="00686B7A"/>
    <w:rsid w:val="00690598"/>
    <w:rsid w:val="00695FD0"/>
    <w:rsid w:val="00696AB7"/>
    <w:rsid w:val="006A37D1"/>
    <w:rsid w:val="006A4A44"/>
    <w:rsid w:val="006B3E9A"/>
    <w:rsid w:val="006B4621"/>
    <w:rsid w:val="006C2F57"/>
    <w:rsid w:val="006C514B"/>
    <w:rsid w:val="006C7247"/>
    <w:rsid w:val="006D5923"/>
    <w:rsid w:val="006D7BE5"/>
    <w:rsid w:val="006E444C"/>
    <w:rsid w:val="006F6522"/>
    <w:rsid w:val="007036C0"/>
    <w:rsid w:val="007045E1"/>
    <w:rsid w:val="00707C07"/>
    <w:rsid w:val="007244B5"/>
    <w:rsid w:val="00735C92"/>
    <w:rsid w:val="007421B1"/>
    <w:rsid w:val="00753A74"/>
    <w:rsid w:val="0075639D"/>
    <w:rsid w:val="007620BF"/>
    <w:rsid w:val="00771855"/>
    <w:rsid w:val="00772874"/>
    <w:rsid w:val="007745C0"/>
    <w:rsid w:val="00774CBB"/>
    <w:rsid w:val="00783CC0"/>
    <w:rsid w:val="00786592"/>
    <w:rsid w:val="007927FF"/>
    <w:rsid w:val="00793B87"/>
    <w:rsid w:val="00794C58"/>
    <w:rsid w:val="007A093B"/>
    <w:rsid w:val="007A207B"/>
    <w:rsid w:val="007A4EAC"/>
    <w:rsid w:val="007B039E"/>
    <w:rsid w:val="007B1F5F"/>
    <w:rsid w:val="007C5712"/>
    <w:rsid w:val="007C7CFE"/>
    <w:rsid w:val="007D3482"/>
    <w:rsid w:val="007D5099"/>
    <w:rsid w:val="007D7F6A"/>
    <w:rsid w:val="007E5244"/>
    <w:rsid w:val="007E72CC"/>
    <w:rsid w:val="007F7D2C"/>
    <w:rsid w:val="00802F7D"/>
    <w:rsid w:val="00812F0E"/>
    <w:rsid w:val="00812F0F"/>
    <w:rsid w:val="008157F3"/>
    <w:rsid w:val="008216B4"/>
    <w:rsid w:val="00823768"/>
    <w:rsid w:val="008249BC"/>
    <w:rsid w:val="00830BE9"/>
    <w:rsid w:val="00832495"/>
    <w:rsid w:val="00846CB2"/>
    <w:rsid w:val="0085043F"/>
    <w:rsid w:val="00854090"/>
    <w:rsid w:val="0085572B"/>
    <w:rsid w:val="00862EAF"/>
    <w:rsid w:val="0087010D"/>
    <w:rsid w:val="00871107"/>
    <w:rsid w:val="00872EFB"/>
    <w:rsid w:val="00874A99"/>
    <w:rsid w:val="0087607C"/>
    <w:rsid w:val="0088111E"/>
    <w:rsid w:val="0088466C"/>
    <w:rsid w:val="00893F91"/>
    <w:rsid w:val="00896C28"/>
    <w:rsid w:val="008A24A5"/>
    <w:rsid w:val="008A4C20"/>
    <w:rsid w:val="008C7DA7"/>
    <w:rsid w:val="008D42B6"/>
    <w:rsid w:val="008D5747"/>
    <w:rsid w:val="008D5E44"/>
    <w:rsid w:val="008E295F"/>
    <w:rsid w:val="008E78D2"/>
    <w:rsid w:val="008F120C"/>
    <w:rsid w:val="00902C19"/>
    <w:rsid w:val="00903B8C"/>
    <w:rsid w:val="00915B38"/>
    <w:rsid w:val="0091626B"/>
    <w:rsid w:val="00922B04"/>
    <w:rsid w:val="0092592C"/>
    <w:rsid w:val="00926D5A"/>
    <w:rsid w:val="00931414"/>
    <w:rsid w:val="00942796"/>
    <w:rsid w:val="00945087"/>
    <w:rsid w:val="00946AA4"/>
    <w:rsid w:val="00962385"/>
    <w:rsid w:val="009638A0"/>
    <w:rsid w:val="0096421B"/>
    <w:rsid w:val="00985173"/>
    <w:rsid w:val="00985C0A"/>
    <w:rsid w:val="00986E0E"/>
    <w:rsid w:val="00995289"/>
    <w:rsid w:val="009957A1"/>
    <w:rsid w:val="009960BE"/>
    <w:rsid w:val="00996681"/>
    <w:rsid w:val="00997CE0"/>
    <w:rsid w:val="009A2CA0"/>
    <w:rsid w:val="009B00DC"/>
    <w:rsid w:val="009B5D62"/>
    <w:rsid w:val="009C0161"/>
    <w:rsid w:val="009E03DA"/>
    <w:rsid w:val="009E35B5"/>
    <w:rsid w:val="009E5190"/>
    <w:rsid w:val="00A064FB"/>
    <w:rsid w:val="00A10460"/>
    <w:rsid w:val="00A2251B"/>
    <w:rsid w:val="00A3567C"/>
    <w:rsid w:val="00A41203"/>
    <w:rsid w:val="00A42140"/>
    <w:rsid w:val="00A43856"/>
    <w:rsid w:val="00A46132"/>
    <w:rsid w:val="00A516F6"/>
    <w:rsid w:val="00A546C8"/>
    <w:rsid w:val="00A54CFC"/>
    <w:rsid w:val="00A70915"/>
    <w:rsid w:val="00A70B20"/>
    <w:rsid w:val="00A75F67"/>
    <w:rsid w:val="00AB3642"/>
    <w:rsid w:val="00AC5C65"/>
    <w:rsid w:val="00AE3809"/>
    <w:rsid w:val="00AE3C88"/>
    <w:rsid w:val="00AE46A0"/>
    <w:rsid w:val="00AF190C"/>
    <w:rsid w:val="00AF1FF7"/>
    <w:rsid w:val="00AF4346"/>
    <w:rsid w:val="00B0065D"/>
    <w:rsid w:val="00B02D29"/>
    <w:rsid w:val="00B1550A"/>
    <w:rsid w:val="00B21E9F"/>
    <w:rsid w:val="00B258C3"/>
    <w:rsid w:val="00B27B03"/>
    <w:rsid w:val="00B31D6E"/>
    <w:rsid w:val="00B40540"/>
    <w:rsid w:val="00B40618"/>
    <w:rsid w:val="00B426B8"/>
    <w:rsid w:val="00B50DD0"/>
    <w:rsid w:val="00B57AD3"/>
    <w:rsid w:val="00B6210B"/>
    <w:rsid w:val="00B630D9"/>
    <w:rsid w:val="00B63C70"/>
    <w:rsid w:val="00B63E32"/>
    <w:rsid w:val="00B67677"/>
    <w:rsid w:val="00B67C11"/>
    <w:rsid w:val="00B722EE"/>
    <w:rsid w:val="00B74273"/>
    <w:rsid w:val="00B869BA"/>
    <w:rsid w:val="00B971E4"/>
    <w:rsid w:val="00B9786F"/>
    <w:rsid w:val="00B97DC5"/>
    <w:rsid w:val="00BB69E2"/>
    <w:rsid w:val="00BB7F3B"/>
    <w:rsid w:val="00BC7B10"/>
    <w:rsid w:val="00BD0BBE"/>
    <w:rsid w:val="00BD6E20"/>
    <w:rsid w:val="00BD778A"/>
    <w:rsid w:val="00BE14B5"/>
    <w:rsid w:val="00BE2D0F"/>
    <w:rsid w:val="00BE2F4D"/>
    <w:rsid w:val="00BE7123"/>
    <w:rsid w:val="00BE79DD"/>
    <w:rsid w:val="00BF37FA"/>
    <w:rsid w:val="00BF4D2C"/>
    <w:rsid w:val="00C012C6"/>
    <w:rsid w:val="00C04FDC"/>
    <w:rsid w:val="00C1345B"/>
    <w:rsid w:val="00C13705"/>
    <w:rsid w:val="00C213D5"/>
    <w:rsid w:val="00C22634"/>
    <w:rsid w:val="00C233E7"/>
    <w:rsid w:val="00C42C99"/>
    <w:rsid w:val="00C52A7A"/>
    <w:rsid w:val="00C53576"/>
    <w:rsid w:val="00C54738"/>
    <w:rsid w:val="00C63AFE"/>
    <w:rsid w:val="00C65EBE"/>
    <w:rsid w:val="00C74314"/>
    <w:rsid w:val="00C80375"/>
    <w:rsid w:val="00C81A56"/>
    <w:rsid w:val="00C87DA2"/>
    <w:rsid w:val="00C94EEF"/>
    <w:rsid w:val="00C959C4"/>
    <w:rsid w:val="00CA7B33"/>
    <w:rsid w:val="00CB6D6B"/>
    <w:rsid w:val="00CC1929"/>
    <w:rsid w:val="00CC55F1"/>
    <w:rsid w:val="00CC63CA"/>
    <w:rsid w:val="00CD415B"/>
    <w:rsid w:val="00CE100C"/>
    <w:rsid w:val="00CE7370"/>
    <w:rsid w:val="00CE7D4D"/>
    <w:rsid w:val="00CF5463"/>
    <w:rsid w:val="00D00F45"/>
    <w:rsid w:val="00D20327"/>
    <w:rsid w:val="00D20EB0"/>
    <w:rsid w:val="00D21A5D"/>
    <w:rsid w:val="00D34B94"/>
    <w:rsid w:val="00D353D9"/>
    <w:rsid w:val="00D37726"/>
    <w:rsid w:val="00D47608"/>
    <w:rsid w:val="00D62E33"/>
    <w:rsid w:val="00D71588"/>
    <w:rsid w:val="00D75212"/>
    <w:rsid w:val="00D85545"/>
    <w:rsid w:val="00DA0E36"/>
    <w:rsid w:val="00DA7241"/>
    <w:rsid w:val="00DB344C"/>
    <w:rsid w:val="00DC1268"/>
    <w:rsid w:val="00DC73EA"/>
    <w:rsid w:val="00DD0B3C"/>
    <w:rsid w:val="00DD55A4"/>
    <w:rsid w:val="00DD7ACD"/>
    <w:rsid w:val="00DF0322"/>
    <w:rsid w:val="00DF493D"/>
    <w:rsid w:val="00E0132C"/>
    <w:rsid w:val="00E12CD8"/>
    <w:rsid w:val="00E14554"/>
    <w:rsid w:val="00E223B7"/>
    <w:rsid w:val="00E237DF"/>
    <w:rsid w:val="00E31FD8"/>
    <w:rsid w:val="00E33B42"/>
    <w:rsid w:val="00E33FEB"/>
    <w:rsid w:val="00E34F35"/>
    <w:rsid w:val="00E530E7"/>
    <w:rsid w:val="00E56EAA"/>
    <w:rsid w:val="00E6409B"/>
    <w:rsid w:val="00E6584D"/>
    <w:rsid w:val="00E67198"/>
    <w:rsid w:val="00E71419"/>
    <w:rsid w:val="00E725EE"/>
    <w:rsid w:val="00E8126B"/>
    <w:rsid w:val="00E92A51"/>
    <w:rsid w:val="00EA2FF8"/>
    <w:rsid w:val="00EA6F5A"/>
    <w:rsid w:val="00EB0245"/>
    <w:rsid w:val="00EB37D6"/>
    <w:rsid w:val="00EC29ED"/>
    <w:rsid w:val="00EC3B6A"/>
    <w:rsid w:val="00ED0515"/>
    <w:rsid w:val="00ED470D"/>
    <w:rsid w:val="00EF2F61"/>
    <w:rsid w:val="00EF6C65"/>
    <w:rsid w:val="00F0286C"/>
    <w:rsid w:val="00F05E3A"/>
    <w:rsid w:val="00F160EB"/>
    <w:rsid w:val="00F24D8D"/>
    <w:rsid w:val="00F24EDB"/>
    <w:rsid w:val="00F305A1"/>
    <w:rsid w:val="00F31494"/>
    <w:rsid w:val="00F35581"/>
    <w:rsid w:val="00F35B0B"/>
    <w:rsid w:val="00F60231"/>
    <w:rsid w:val="00F61A4B"/>
    <w:rsid w:val="00F625BE"/>
    <w:rsid w:val="00F727B2"/>
    <w:rsid w:val="00F72F90"/>
    <w:rsid w:val="00F76B3B"/>
    <w:rsid w:val="00F80CDB"/>
    <w:rsid w:val="00F83094"/>
    <w:rsid w:val="00F8458E"/>
    <w:rsid w:val="00F851F0"/>
    <w:rsid w:val="00FA212B"/>
    <w:rsid w:val="00FB16D3"/>
    <w:rsid w:val="00FB66BB"/>
    <w:rsid w:val="00FC128E"/>
    <w:rsid w:val="00FC168C"/>
    <w:rsid w:val="00FD5AA7"/>
    <w:rsid w:val="00FD6B7C"/>
    <w:rsid w:val="00FE473F"/>
    <w:rsid w:val="00FE4DC2"/>
    <w:rsid w:val="00FF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0FB"/>
  <w15:chartTrackingRefBased/>
  <w15:docId w15:val="{BEFE691A-7FEB-46C2-AA56-6F7600E2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4D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4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17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B37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D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4DF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4DF3"/>
    <w:pPr>
      <w:ind w:left="720"/>
      <w:contextualSpacing/>
    </w:pPr>
  </w:style>
  <w:style w:type="paragraph" w:styleId="Header">
    <w:name w:val="header"/>
    <w:basedOn w:val="Normal"/>
    <w:link w:val="HeaderChar"/>
    <w:uiPriority w:val="99"/>
    <w:unhideWhenUsed/>
    <w:rsid w:val="00B02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D29"/>
  </w:style>
  <w:style w:type="paragraph" w:styleId="Footer">
    <w:name w:val="footer"/>
    <w:basedOn w:val="Normal"/>
    <w:link w:val="FooterChar"/>
    <w:uiPriority w:val="99"/>
    <w:unhideWhenUsed/>
    <w:rsid w:val="00B02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D29"/>
  </w:style>
  <w:style w:type="character" w:customStyle="1" w:styleId="Heading3Char">
    <w:name w:val="Heading 3 Char"/>
    <w:basedOn w:val="DefaultParagraphFont"/>
    <w:link w:val="Heading3"/>
    <w:uiPriority w:val="9"/>
    <w:rsid w:val="002B17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B37D6"/>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nhideWhenUsed/>
    <w:rsid w:val="002F6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F6F41"/>
    <w:rPr>
      <w:rFonts w:ascii="Segoe UI" w:hAnsi="Segoe UI" w:cs="Segoe UI"/>
      <w:sz w:val="18"/>
      <w:szCs w:val="18"/>
    </w:rPr>
  </w:style>
  <w:style w:type="character" w:styleId="CommentReference">
    <w:name w:val="annotation reference"/>
    <w:basedOn w:val="DefaultParagraphFont"/>
    <w:uiPriority w:val="99"/>
    <w:semiHidden/>
    <w:unhideWhenUsed/>
    <w:rsid w:val="00536B2D"/>
    <w:rPr>
      <w:sz w:val="16"/>
      <w:szCs w:val="16"/>
    </w:rPr>
  </w:style>
  <w:style w:type="paragraph" w:styleId="CommentText">
    <w:name w:val="annotation text"/>
    <w:basedOn w:val="Normal"/>
    <w:link w:val="CommentTextChar"/>
    <w:uiPriority w:val="99"/>
    <w:semiHidden/>
    <w:unhideWhenUsed/>
    <w:rsid w:val="00536B2D"/>
    <w:pPr>
      <w:spacing w:line="240" w:lineRule="auto"/>
    </w:pPr>
    <w:rPr>
      <w:sz w:val="20"/>
      <w:szCs w:val="20"/>
    </w:rPr>
  </w:style>
  <w:style w:type="character" w:customStyle="1" w:styleId="CommentTextChar">
    <w:name w:val="Comment Text Char"/>
    <w:basedOn w:val="DefaultParagraphFont"/>
    <w:link w:val="CommentText"/>
    <w:uiPriority w:val="99"/>
    <w:semiHidden/>
    <w:rsid w:val="00536B2D"/>
    <w:rPr>
      <w:sz w:val="20"/>
      <w:szCs w:val="20"/>
    </w:rPr>
  </w:style>
  <w:style w:type="paragraph" w:styleId="CommentSubject">
    <w:name w:val="annotation subject"/>
    <w:basedOn w:val="CommentText"/>
    <w:next w:val="CommentText"/>
    <w:link w:val="CommentSubjectChar"/>
    <w:uiPriority w:val="99"/>
    <w:semiHidden/>
    <w:unhideWhenUsed/>
    <w:rsid w:val="00536B2D"/>
    <w:rPr>
      <w:b/>
      <w:bCs/>
    </w:rPr>
  </w:style>
  <w:style w:type="character" w:customStyle="1" w:styleId="CommentSubjectChar">
    <w:name w:val="Comment Subject Char"/>
    <w:basedOn w:val="CommentTextChar"/>
    <w:link w:val="CommentSubject"/>
    <w:uiPriority w:val="99"/>
    <w:semiHidden/>
    <w:rsid w:val="00536B2D"/>
    <w:rPr>
      <w:b/>
      <w:bCs/>
      <w:sz w:val="20"/>
      <w:szCs w:val="20"/>
    </w:rPr>
  </w:style>
  <w:style w:type="character" w:customStyle="1" w:styleId="BalloonTextChar1">
    <w:name w:val="Balloon Text Char1"/>
    <w:semiHidden/>
    <w:locked/>
    <w:rsid w:val="009638A0"/>
    <w:rPr>
      <w:lang w:val="x-none" w:eastAsia="x-none"/>
    </w:rPr>
  </w:style>
  <w:style w:type="paragraph" w:styleId="FootnoteText">
    <w:name w:val="footnote text"/>
    <w:aliases w:val="Footnote Text Char Char,Footnote Text Char1 Char,Footnote Text Char Char Char,Footnote Text Char1 Char Char Char,Footnote Text Char Char1 Char Char Char,Footnote Text Char Char Char Char Char Char Char Char,Footnote Text1 Char"/>
    <w:basedOn w:val="Normal"/>
    <w:link w:val="FootnoteTextChar"/>
    <w:uiPriority w:val="99"/>
    <w:qFormat/>
    <w:rsid w:val="009638A0"/>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aliases w:val="Footnote Text Char Char Char1,Footnote Text Char1 Char Char,Footnote Text Char Char Char Char,Footnote Text Char1 Char Char Char Char,Footnote Text Char Char1 Char Char Char Char,Footnote Text1 Char Char"/>
    <w:basedOn w:val="DefaultParagraphFont"/>
    <w:link w:val="FootnoteText"/>
    <w:uiPriority w:val="99"/>
    <w:rsid w:val="009638A0"/>
    <w:rPr>
      <w:rFonts w:ascii="Arial" w:eastAsia="Times New Roman" w:hAnsi="Arial" w:cs="Times New Roman"/>
      <w:sz w:val="20"/>
      <w:szCs w:val="20"/>
      <w:lang w:val="x-none" w:eastAsia="x-none"/>
    </w:rPr>
  </w:style>
  <w:style w:type="character" w:styleId="FootnoteReference">
    <w:name w:val="footnote reference"/>
    <w:aliases w:val="o,Footnote_Reference,fr,Style 3,o1,o2,o3,o4,o5,o6,o11,o21,o7,0 PIER Footnote Reference,o + Times New Roman,Style 12,(NECG) Footnote Reference,Appel note de bas de p,Style 124,Style 17,Style 20,Style 13,fr1,fr2,fr3,Style 15,Style 9"/>
    <w:uiPriority w:val="99"/>
    <w:qFormat/>
    <w:rsid w:val="009638A0"/>
    <w:rPr>
      <w:rFonts w:cs="Times New Roman"/>
      <w:vertAlign w:val="superscript"/>
    </w:rPr>
  </w:style>
  <w:style w:type="paragraph" w:styleId="NoSpacing">
    <w:name w:val="No Spacing"/>
    <w:link w:val="NoSpacingChar"/>
    <w:uiPriority w:val="1"/>
    <w:qFormat/>
    <w:rsid w:val="00922B04"/>
    <w:pPr>
      <w:spacing w:after="0" w:line="240" w:lineRule="auto"/>
    </w:pPr>
  </w:style>
  <w:style w:type="table" w:styleId="TableGrid">
    <w:name w:val="Table Grid"/>
    <w:basedOn w:val="TableNormal"/>
    <w:uiPriority w:val="39"/>
    <w:rsid w:val="005B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5211E"/>
  </w:style>
  <w:style w:type="paragraph" w:styleId="TOCHeading">
    <w:name w:val="TOC Heading"/>
    <w:basedOn w:val="Heading1"/>
    <w:next w:val="Normal"/>
    <w:uiPriority w:val="39"/>
    <w:unhideWhenUsed/>
    <w:qFormat/>
    <w:rsid w:val="00C22634"/>
    <w:pPr>
      <w:outlineLvl w:val="9"/>
    </w:pPr>
  </w:style>
  <w:style w:type="paragraph" w:styleId="TOC1">
    <w:name w:val="toc 1"/>
    <w:basedOn w:val="Normal"/>
    <w:next w:val="Normal"/>
    <w:autoRedefine/>
    <w:uiPriority w:val="39"/>
    <w:unhideWhenUsed/>
    <w:rsid w:val="00C22634"/>
    <w:pPr>
      <w:spacing w:after="100"/>
    </w:pPr>
  </w:style>
  <w:style w:type="character" w:styleId="Hyperlink">
    <w:name w:val="Hyperlink"/>
    <w:basedOn w:val="DefaultParagraphFont"/>
    <w:uiPriority w:val="99"/>
    <w:unhideWhenUsed/>
    <w:rsid w:val="00C22634"/>
    <w:rPr>
      <w:color w:val="0563C1" w:themeColor="hyperlink"/>
      <w:u w:val="single"/>
    </w:rPr>
  </w:style>
  <w:style w:type="paragraph" w:styleId="TOC3">
    <w:name w:val="toc 3"/>
    <w:basedOn w:val="Normal"/>
    <w:next w:val="Normal"/>
    <w:autoRedefine/>
    <w:uiPriority w:val="39"/>
    <w:unhideWhenUsed/>
    <w:rsid w:val="006042A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042921">
      <w:bodyDiv w:val="1"/>
      <w:marLeft w:val="0"/>
      <w:marRight w:val="0"/>
      <w:marTop w:val="0"/>
      <w:marBottom w:val="0"/>
      <w:divBdr>
        <w:top w:val="none" w:sz="0" w:space="0" w:color="auto"/>
        <w:left w:val="none" w:sz="0" w:space="0" w:color="auto"/>
        <w:bottom w:val="none" w:sz="0" w:space="0" w:color="auto"/>
        <w:right w:val="none" w:sz="0" w:space="0" w:color="auto"/>
      </w:divBdr>
    </w:div>
    <w:div w:id="1522162710">
      <w:bodyDiv w:val="1"/>
      <w:marLeft w:val="0"/>
      <w:marRight w:val="0"/>
      <w:marTop w:val="0"/>
      <w:marBottom w:val="0"/>
      <w:divBdr>
        <w:top w:val="none" w:sz="0" w:space="0" w:color="auto"/>
        <w:left w:val="none" w:sz="0" w:space="0" w:color="auto"/>
        <w:bottom w:val="none" w:sz="0" w:space="0" w:color="auto"/>
        <w:right w:val="none" w:sz="0" w:space="0" w:color="auto"/>
      </w:divBdr>
    </w:div>
    <w:div w:id="163860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2DB789-08F7-4474-8A6F-192B80D9753F}" type="doc">
      <dgm:prSet loTypeId="urn:microsoft.com/office/officeart/2009/3/layout/IncreasingArrowsProcess" loCatId="process" qsTypeId="urn:microsoft.com/office/officeart/2005/8/quickstyle/simple2" qsCatId="simple" csTypeId="urn:microsoft.com/office/officeart/2005/8/colors/colorful5" csCatId="colorful" phldr="1"/>
      <dgm:spPr/>
      <dgm:t>
        <a:bodyPr/>
        <a:lstStyle/>
        <a:p>
          <a:endParaRPr lang="en-US"/>
        </a:p>
      </dgm:t>
    </dgm:pt>
    <dgm:pt modelId="{CECFA22E-A2F4-4141-858C-58AF32FD7EA3}">
      <dgm:prSet phldrT="[Text]"/>
      <dgm:spPr/>
      <dgm:t>
        <a:bodyPr/>
        <a:lstStyle/>
        <a:p>
          <a:r>
            <a:rPr lang="en-US"/>
            <a:t>Marketing, Education and Outreach</a:t>
          </a:r>
        </a:p>
      </dgm:t>
    </dgm:pt>
    <dgm:pt modelId="{66697FAC-914A-4FC2-BD8C-AA9B037B9164}" type="parTrans" cxnId="{E426C220-8BEA-429A-9D86-D76701B2CC4E}">
      <dgm:prSet/>
      <dgm:spPr/>
      <dgm:t>
        <a:bodyPr/>
        <a:lstStyle/>
        <a:p>
          <a:endParaRPr lang="en-US"/>
        </a:p>
      </dgm:t>
    </dgm:pt>
    <dgm:pt modelId="{84D2A2AA-AEA9-4F4F-A530-80C78B210252}" type="sibTrans" cxnId="{E426C220-8BEA-429A-9D86-D76701B2CC4E}">
      <dgm:prSet/>
      <dgm:spPr/>
      <dgm:t>
        <a:bodyPr/>
        <a:lstStyle/>
        <a:p>
          <a:endParaRPr lang="en-US"/>
        </a:p>
      </dgm:t>
    </dgm:pt>
    <dgm:pt modelId="{5FDE8CD1-30F1-4962-90A7-EA25F0109B9B}">
      <dgm:prSet phldrT="[Text]"/>
      <dgm:spPr/>
      <dgm:t>
        <a:bodyPr/>
        <a:lstStyle/>
        <a:p>
          <a:r>
            <a:rPr lang="en-US"/>
            <a:t>Educational opportunties to increase awareness of concepts and opportunities in EE.</a:t>
          </a:r>
        </a:p>
      </dgm:t>
    </dgm:pt>
    <dgm:pt modelId="{32345087-AC4A-4F10-8871-4543B674B539}" type="parTrans" cxnId="{70026BA7-90E2-45C0-8F5A-87F3D8483324}">
      <dgm:prSet/>
      <dgm:spPr/>
      <dgm:t>
        <a:bodyPr/>
        <a:lstStyle/>
        <a:p>
          <a:endParaRPr lang="en-US"/>
        </a:p>
      </dgm:t>
    </dgm:pt>
    <dgm:pt modelId="{209D2C0C-D862-4C27-BFC2-EF3AF70A857A}" type="sibTrans" cxnId="{70026BA7-90E2-45C0-8F5A-87F3D8483324}">
      <dgm:prSet/>
      <dgm:spPr/>
      <dgm:t>
        <a:bodyPr/>
        <a:lstStyle/>
        <a:p>
          <a:endParaRPr lang="en-US"/>
        </a:p>
      </dgm:t>
    </dgm:pt>
    <dgm:pt modelId="{6B2C7642-BFFC-44EC-AAA0-073348F26D57}">
      <dgm:prSet phldrT="[Text]"/>
      <dgm:spPr/>
      <dgm:t>
        <a:bodyPr/>
        <a:lstStyle/>
        <a:p>
          <a:r>
            <a:rPr lang="en-US"/>
            <a:t>Energy Readiness Report</a:t>
          </a:r>
        </a:p>
      </dgm:t>
    </dgm:pt>
    <dgm:pt modelId="{0D82B666-5726-4265-A810-E6D928D1D4AC}" type="parTrans" cxnId="{D7771524-6461-4A1A-82E6-50B59FAA45AA}">
      <dgm:prSet/>
      <dgm:spPr/>
      <dgm:t>
        <a:bodyPr/>
        <a:lstStyle/>
        <a:p>
          <a:endParaRPr lang="en-US"/>
        </a:p>
      </dgm:t>
    </dgm:pt>
    <dgm:pt modelId="{4DA9DCDC-0A04-409D-8522-BBE8EE7B91ED}" type="sibTrans" cxnId="{D7771524-6461-4A1A-82E6-50B59FAA45AA}">
      <dgm:prSet/>
      <dgm:spPr/>
      <dgm:t>
        <a:bodyPr/>
        <a:lstStyle/>
        <a:p>
          <a:endParaRPr lang="en-US"/>
        </a:p>
      </dgm:t>
    </dgm:pt>
    <dgm:pt modelId="{26DA7F36-D21E-4F91-BE46-CE713379BB65}">
      <dgm:prSet phldrT="[Text]"/>
      <dgm:spPr/>
      <dgm:t>
        <a:bodyPr/>
        <a:lstStyle/>
        <a:p>
          <a:r>
            <a:rPr lang="en-US"/>
            <a:t>Guiding documents to move comprehensive EE forward. </a:t>
          </a:r>
        </a:p>
      </dgm:t>
    </dgm:pt>
    <dgm:pt modelId="{92BA4BD8-16EB-404E-8987-E35DA52B6A28}" type="parTrans" cxnId="{3690D371-1A0F-47B6-A6D2-617718786BA8}">
      <dgm:prSet/>
      <dgm:spPr/>
      <dgm:t>
        <a:bodyPr/>
        <a:lstStyle/>
        <a:p>
          <a:endParaRPr lang="en-US"/>
        </a:p>
      </dgm:t>
    </dgm:pt>
    <dgm:pt modelId="{29D648A7-5480-420A-B8F5-7A6CB88F08D5}" type="sibTrans" cxnId="{3690D371-1A0F-47B6-A6D2-617718786BA8}">
      <dgm:prSet/>
      <dgm:spPr/>
      <dgm:t>
        <a:bodyPr/>
        <a:lstStyle/>
        <a:p>
          <a:endParaRPr lang="en-US"/>
        </a:p>
      </dgm:t>
    </dgm:pt>
    <dgm:pt modelId="{AB204D73-7DB6-4FEC-B2B8-A5EE5BB3B904}">
      <dgm:prSet phldrT="[Text]"/>
      <dgm:spPr/>
      <dgm:t>
        <a:bodyPr/>
        <a:lstStyle/>
        <a:p>
          <a:r>
            <a:rPr lang="en-US"/>
            <a:t>GRITS</a:t>
          </a:r>
        </a:p>
      </dgm:t>
    </dgm:pt>
    <dgm:pt modelId="{D9B0FFC5-D3D0-467F-BCB8-8EACCC1FE721}" type="parTrans" cxnId="{C40A0EDA-5831-4219-99B0-96BCEB02A138}">
      <dgm:prSet/>
      <dgm:spPr/>
      <dgm:t>
        <a:bodyPr/>
        <a:lstStyle/>
        <a:p>
          <a:endParaRPr lang="en-US"/>
        </a:p>
      </dgm:t>
    </dgm:pt>
    <dgm:pt modelId="{283F48C1-58B1-4A36-98F3-27A3EB49291C}" type="sibTrans" cxnId="{C40A0EDA-5831-4219-99B0-96BCEB02A138}">
      <dgm:prSet/>
      <dgm:spPr/>
      <dgm:t>
        <a:bodyPr/>
        <a:lstStyle/>
        <a:p>
          <a:endParaRPr lang="en-US"/>
        </a:p>
      </dgm:t>
    </dgm:pt>
    <dgm:pt modelId="{DBA38A48-C506-4E37-B6BF-F545541E6EB1}">
      <dgm:prSet phldrT="[Text]"/>
      <dgm:spPr/>
      <dgm:t>
        <a:bodyPr/>
        <a:lstStyle/>
        <a:p>
          <a:r>
            <a:rPr lang="en-US"/>
            <a:t>As needed business case analysis for comprehensive EE projects.</a:t>
          </a:r>
        </a:p>
      </dgm:t>
    </dgm:pt>
    <dgm:pt modelId="{319EE000-DA09-4CD7-9333-FA9BA896D2A3}" type="parTrans" cxnId="{808DC1EE-535E-4657-90E0-A340A44BBB38}">
      <dgm:prSet/>
      <dgm:spPr/>
      <dgm:t>
        <a:bodyPr/>
        <a:lstStyle/>
        <a:p>
          <a:endParaRPr lang="en-US"/>
        </a:p>
      </dgm:t>
    </dgm:pt>
    <dgm:pt modelId="{9F490A31-FA9A-48EA-94F8-485BD5EE308A}" type="sibTrans" cxnId="{808DC1EE-535E-4657-90E0-A340A44BBB38}">
      <dgm:prSet/>
      <dgm:spPr/>
      <dgm:t>
        <a:bodyPr/>
        <a:lstStyle/>
        <a:p>
          <a:endParaRPr lang="en-US"/>
        </a:p>
      </dgm:t>
    </dgm:pt>
    <dgm:pt modelId="{63D92BBB-D221-4230-8F2F-0B4CD2207C8E}">
      <dgm:prSet/>
      <dgm:spPr/>
      <dgm:t>
        <a:bodyPr/>
        <a:lstStyle/>
        <a:p>
          <a:r>
            <a:rPr lang="en-US"/>
            <a:t>Energy Benchmarking</a:t>
          </a:r>
        </a:p>
      </dgm:t>
    </dgm:pt>
    <dgm:pt modelId="{68D0DAAF-AB59-4565-AED2-D085D10150AD}" type="parTrans" cxnId="{FDB2696A-1164-4ABC-99FB-ACB23EC01B98}">
      <dgm:prSet/>
      <dgm:spPr/>
      <dgm:t>
        <a:bodyPr/>
        <a:lstStyle/>
        <a:p>
          <a:endParaRPr lang="en-US"/>
        </a:p>
      </dgm:t>
    </dgm:pt>
    <dgm:pt modelId="{751B9931-F3C3-458A-9B92-A0746D294AF5}" type="sibTrans" cxnId="{FDB2696A-1164-4ABC-99FB-ACB23EC01B98}">
      <dgm:prSet/>
      <dgm:spPr/>
      <dgm:t>
        <a:bodyPr/>
        <a:lstStyle/>
        <a:p>
          <a:endParaRPr lang="en-US"/>
        </a:p>
      </dgm:t>
    </dgm:pt>
    <dgm:pt modelId="{B574BE3C-F4CE-4F9B-85D2-257EC61A4F07}">
      <dgm:prSet/>
      <dgm:spPr/>
      <dgm:t>
        <a:bodyPr/>
        <a:lstStyle/>
        <a:p>
          <a:r>
            <a:rPr lang="en-US"/>
            <a:t>Infrastructure Inventory</a:t>
          </a:r>
        </a:p>
      </dgm:t>
    </dgm:pt>
    <dgm:pt modelId="{53E616E5-CA7B-4046-9269-CDA40FCA1D9C}" type="parTrans" cxnId="{9DBE24D0-1914-4B7B-823D-7D71093B5607}">
      <dgm:prSet/>
      <dgm:spPr/>
      <dgm:t>
        <a:bodyPr/>
        <a:lstStyle/>
        <a:p>
          <a:endParaRPr lang="en-US"/>
        </a:p>
      </dgm:t>
    </dgm:pt>
    <dgm:pt modelId="{252B766D-D924-41D4-A89F-69E1A1F1E130}" type="sibTrans" cxnId="{9DBE24D0-1914-4B7B-823D-7D71093B5607}">
      <dgm:prSet/>
      <dgm:spPr/>
      <dgm:t>
        <a:bodyPr/>
        <a:lstStyle/>
        <a:p>
          <a:endParaRPr lang="en-US"/>
        </a:p>
      </dgm:t>
    </dgm:pt>
    <dgm:pt modelId="{FB0B3B55-6349-4D95-919F-2AC3513494FF}">
      <dgm:prSet/>
      <dgm:spPr/>
      <dgm:t>
        <a:bodyPr/>
        <a:lstStyle/>
        <a:p>
          <a:r>
            <a:rPr lang="en-US"/>
            <a:t>Comprehensive portfolio level view of energy use and expenditures to identify opportunities for EE. </a:t>
          </a:r>
        </a:p>
      </dgm:t>
    </dgm:pt>
    <dgm:pt modelId="{19538307-E3B1-47E6-BE78-20CD8F14D26C}" type="parTrans" cxnId="{E0B61FD3-EC38-49EF-BE51-F7F2E1EDBFDF}">
      <dgm:prSet/>
      <dgm:spPr/>
      <dgm:t>
        <a:bodyPr/>
        <a:lstStyle/>
        <a:p>
          <a:endParaRPr lang="en-US"/>
        </a:p>
      </dgm:t>
    </dgm:pt>
    <dgm:pt modelId="{5A769A7C-4561-4BF8-8EE2-D5AC81C27099}" type="sibTrans" cxnId="{E0B61FD3-EC38-49EF-BE51-F7F2E1EDBFDF}">
      <dgm:prSet/>
      <dgm:spPr/>
      <dgm:t>
        <a:bodyPr/>
        <a:lstStyle/>
        <a:p>
          <a:endParaRPr lang="en-US"/>
        </a:p>
      </dgm:t>
    </dgm:pt>
    <dgm:pt modelId="{FC5B890E-B9C7-4C2A-9F46-975F351A6D81}">
      <dgm:prSet/>
      <dgm:spPr/>
      <dgm:t>
        <a:bodyPr/>
        <a:lstStyle/>
        <a:p>
          <a:r>
            <a:rPr lang="en-US"/>
            <a:t>In depth view of infratructure and exisiting equiptment to identify long term project pipelines. </a:t>
          </a:r>
        </a:p>
      </dgm:t>
    </dgm:pt>
    <dgm:pt modelId="{67731E42-F184-48CE-9096-99E84D5BC8CD}" type="parTrans" cxnId="{1366DDAD-DEAC-4C3B-A826-1D836F52CAA3}">
      <dgm:prSet/>
      <dgm:spPr/>
      <dgm:t>
        <a:bodyPr/>
        <a:lstStyle/>
        <a:p>
          <a:endParaRPr lang="en-US"/>
        </a:p>
      </dgm:t>
    </dgm:pt>
    <dgm:pt modelId="{57894401-E4F6-46C4-8B83-515163373814}" type="sibTrans" cxnId="{1366DDAD-DEAC-4C3B-A826-1D836F52CAA3}">
      <dgm:prSet/>
      <dgm:spPr/>
      <dgm:t>
        <a:bodyPr/>
        <a:lstStyle/>
        <a:p>
          <a:endParaRPr lang="en-US"/>
        </a:p>
      </dgm:t>
    </dgm:pt>
    <dgm:pt modelId="{A3EB0E4D-4327-461F-9351-929AA4A5C543}" type="pres">
      <dgm:prSet presAssocID="{AE2DB789-08F7-4474-8A6F-192B80D9753F}" presName="Name0" presStyleCnt="0">
        <dgm:presLayoutVars>
          <dgm:chMax val="5"/>
          <dgm:chPref val="5"/>
          <dgm:dir/>
          <dgm:animLvl val="lvl"/>
        </dgm:presLayoutVars>
      </dgm:prSet>
      <dgm:spPr/>
    </dgm:pt>
    <dgm:pt modelId="{910B3DB8-07A4-43AD-8958-8EF6A28C38F2}" type="pres">
      <dgm:prSet presAssocID="{CECFA22E-A2F4-4141-858C-58AF32FD7EA3}" presName="parentText1" presStyleLbl="node1" presStyleIdx="0" presStyleCnt="5">
        <dgm:presLayoutVars>
          <dgm:chMax/>
          <dgm:chPref val="3"/>
          <dgm:bulletEnabled val="1"/>
        </dgm:presLayoutVars>
      </dgm:prSet>
      <dgm:spPr/>
    </dgm:pt>
    <dgm:pt modelId="{1D95663F-76B3-4D65-9B7F-047B8F48AF72}" type="pres">
      <dgm:prSet presAssocID="{CECFA22E-A2F4-4141-858C-58AF32FD7EA3}" presName="childText1" presStyleLbl="solidAlignAcc1" presStyleIdx="0" presStyleCnt="5">
        <dgm:presLayoutVars>
          <dgm:chMax val="0"/>
          <dgm:chPref val="0"/>
          <dgm:bulletEnabled val="1"/>
        </dgm:presLayoutVars>
      </dgm:prSet>
      <dgm:spPr/>
    </dgm:pt>
    <dgm:pt modelId="{90B7BAA3-5D14-43D1-9EC3-10808A152F66}" type="pres">
      <dgm:prSet presAssocID="{63D92BBB-D221-4230-8F2F-0B4CD2207C8E}" presName="parentText2" presStyleLbl="node1" presStyleIdx="1" presStyleCnt="5">
        <dgm:presLayoutVars>
          <dgm:chMax/>
          <dgm:chPref val="3"/>
          <dgm:bulletEnabled val="1"/>
        </dgm:presLayoutVars>
      </dgm:prSet>
      <dgm:spPr/>
    </dgm:pt>
    <dgm:pt modelId="{CA4DCF8D-B9FD-48BE-97FB-F2DB7A158D04}" type="pres">
      <dgm:prSet presAssocID="{63D92BBB-D221-4230-8F2F-0B4CD2207C8E}" presName="childText2" presStyleLbl="solidAlignAcc1" presStyleIdx="1" presStyleCnt="5">
        <dgm:presLayoutVars>
          <dgm:chMax val="0"/>
          <dgm:chPref val="0"/>
          <dgm:bulletEnabled val="1"/>
        </dgm:presLayoutVars>
      </dgm:prSet>
      <dgm:spPr/>
    </dgm:pt>
    <dgm:pt modelId="{84F72BDD-110E-403A-8B6D-36CBDD04B496}" type="pres">
      <dgm:prSet presAssocID="{B574BE3C-F4CE-4F9B-85D2-257EC61A4F07}" presName="parentText3" presStyleLbl="node1" presStyleIdx="2" presStyleCnt="5">
        <dgm:presLayoutVars>
          <dgm:chMax/>
          <dgm:chPref val="3"/>
          <dgm:bulletEnabled val="1"/>
        </dgm:presLayoutVars>
      </dgm:prSet>
      <dgm:spPr/>
    </dgm:pt>
    <dgm:pt modelId="{51376A30-B299-4E4C-B8A1-257296F65AB9}" type="pres">
      <dgm:prSet presAssocID="{B574BE3C-F4CE-4F9B-85D2-257EC61A4F07}" presName="childText3" presStyleLbl="solidAlignAcc1" presStyleIdx="2" presStyleCnt="5">
        <dgm:presLayoutVars>
          <dgm:chMax val="0"/>
          <dgm:chPref val="0"/>
          <dgm:bulletEnabled val="1"/>
        </dgm:presLayoutVars>
      </dgm:prSet>
      <dgm:spPr/>
    </dgm:pt>
    <dgm:pt modelId="{EB92E795-188D-49E5-8CC1-8C7A2706049E}" type="pres">
      <dgm:prSet presAssocID="{6B2C7642-BFFC-44EC-AAA0-073348F26D57}" presName="parentText4" presStyleLbl="node1" presStyleIdx="3" presStyleCnt="5">
        <dgm:presLayoutVars>
          <dgm:chMax/>
          <dgm:chPref val="3"/>
          <dgm:bulletEnabled val="1"/>
        </dgm:presLayoutVars>
      </dgm:prSet>
      <dgm:spPr/>
    </dgm:pt>
    <dgm:pt modelId="{773FFB07-3045-4DEA-8708-C1795088EC93}" type="pres">
      <dgm:prSet presAssocID="{6B2C7642-BFFC-44EC-AAA0-073348F26D57}" presName="childText4" presStyleLbl="solidAlignAcc1" presStyleIdx="3" presStyleCnt="5">
        <dgm:presLayoutVars>
          <dgm:chMax val="0"/>
          <dgm:chPref val="0"/>
          <dgm:bulletEnabled val="1"/>
        </dgm:presLayoutVars>
      </dgm:prSet>
      <dgm:spPr/>
    </dgm:pt>
    <dgm:pt modelId="{6FD65C26-0D39-4864-8247-6EBAA1765A81}" type="pres">
      <dgm:prSet presAssocID="{AB204D73-7DB6-4FEC-B2B8-A5EE5BB3B904}" presName="parentText5" presStyleLbl="node1" presStyleIdx="4" presStyleCnt="5">
        <dgm:presLayoutVars>
          <dgm:chMax/>
          <dgm:chPref val="3"/>
          <dgm:bulletEnabled val="1"/>
        </dgm:presLayoutVars>
      </dgm:prSet>
      <dgm:spPr/>
    </dgm:pt>
    <dgm:pt modelId="{0268F5B7-AF29-459B-ADA2-1F52DB97B55B}" type="pres">
      <dgm:prSet presAssocID="{AB204D73-7DB6-4FEC-B2B8-A5EE5BB3B904}" presName="childText5" presStyleLbl="solidAlignAcc1" presStyleIdx="4" presStyleCnt="5">
        <dgm:presLayoutVars>
          <dgm:chMax val="0"/>
          <dgm:chPref val="0"/>
          <dgm:bulletEnabled val="1"/>
        </dgm:presLayoutVars>
      </dgm:prSet>
      <dgm:spPr/>
    </dgm:pt>
  </dgm:ptLst>
  <dgm:cxnLst>
    <dgm:cxn modelId="{30D23219-F4F5-4729-960A-9C9AA9CBCE2F}" type="presOf" srcId="{AE2DB789-08F7-4474-8A6F-192B80D9753F}" destId="{A3EB0E4D-4327-461F-9351-929AA4A5C543}" srcOrd="0" destOrd="0" presId="urn:microsoft.com/office/officeart/2009/3/layout/IncreasingArrowsProcess"/>
    <dgm:cxn modelId="{E426C220-8BEA-429A-9D86-D76701B2CC4E}" srcId="{AE2DB789-08F7-4474-8A6F-192B80D9753F}" destId="{CECFA22E-A2F4-4141-858C-58AF32FD7EA3}" srcOrd="0" destOrd="0" parTransId="{66697FAC-914A-4FC2-BD8C-AA9B037B9164}" sibTransId="{84D2A2AA-AEA9-4F4F-A530-80C78B210252}"/>
    <dgm:cxn modelId="{D7771524-6461-4A1A-82E6-50B59FAA45AA}" srcId="{AE2DB789-08F7-4474-8A6F-192B80D9753F}" destId="{6B2C7642-BFFC-44EC-AAA0-073348F26D57}" srcOrd="3" destOrd="0" parTransId="{0D82B666-5726-4265-A810-E6D928D1D4AC}" sibTransId="{4DA9DCDC-0A04-409D-8522-BBE8EE7B91ED}"/>
    <dgm:cxn modelId="{2F2C7D2F-2F26-4999-BA0E-3A3E7C261197}" type="presOf" srcId="{B574BE3C-F4CE-4F9B-85D2-257EC61A4F07}" destId="{84F72BDD-110E-403A-8B6D-36CBDD04B496}" srcOrd="0" destOrd="0" presId="urn:microsoft.com/office/officeart/2009/3/layout/IncreasingArrowsProcess"/>
    <dgm:cxn modelId="{123D453C-5FBA-43E2-AA6E-7580AF38DA62}" type="presOf" srcId="{FB0B3B55-6349-4D95-919F-2AC3513494FF}" destId="{CA4DCF8D-B9FD-48BE-97FB-F2DB7A158D04}" srcOrd="0" destOrd="0" presId="urn:microsoft.com/office/officeart/2009/3/layout/IncreasingArrowsProcess"/>
    <dgm:cxn modelId="{FA74DB41-6F98-454D-B47D-4E05DA4D722F}" type="presOf" srcId="{5FDE8CD1-30F1-4962-90A7-EA25F0109B9B}" destId="{1D95663F-76B3-4D65-9B7F-047B8F48AF72}" srcOrd="0" destOrd="0" presId="urn:microsoft.com/office/officeart/2009/3/layout/IncreasingArrowsProcess"/>
    <dgm:cxn modelId="{173F5B49-2B81-4F8D-BE01-4ACF7992DB01}" type="presOf" srcId="{6B2C7642-BFFC-44EC-AAA0-073348F26D57}" destId="{EB92E795-188D-49E5-8CC1-8C7A2706049E}" srcOrd="0" destOrd="0" presId="urn:microsoft.com/office/officeart/2009/3/layout/IncreasingArrowsProcess"/>
    <dgm:cxn modelId="{FDB2696A-1164-4ABC-99FB-ACB23EC01B98}" srcId="{AE2DB789-08F7-4474-8A6F-192B80D9753F}" destId="{63D92BBB-D221-4230-8F2F-0B4CD2207C8E}" srcOrd="1" destOrd="0" parTransId="{68D0DAAF-AB59-4565-AED2-D085D10150AD}" sibTransId="{751B9931-F3C3-458A-9B92-A0746D294AF5}"/>
    <dgm:cxn modelId="{3690D371-1A0F-47B6-A6D2-617718786BA8}" srcId="{6B2C7642-BFFC-44EC-AAA0-073348F26D57}" destId="{26DA7F36-D21E-4F91-BE46-CE713379BB65}" srcOrd="0" destOrd="0" parTransId="{92BA4BD8-16EB-404E-8987-E35DA52B6A28}" sibTransId="{29D648A7-5480-420A-B8F5-7A6CB88F08D5}"/>
    <dgm:cxn modelId="{ED75E655-AAF9-4CF9-BE11-9715C6E9B301}" type="presOf" srcId="{FC5B890E-B9C7-4C2A-9F46-975F351A6D81}" destId="{51376A30-B299-4E4C-B8A1-257296F65AB9}" srcOrd="0" destOrd="0" presId="urn:microsoft.com/office/officeart/2009/3/layout/IncreasingArrowsProcess"/>
    <dgm:cxn modelId="{1FA1B75A-7064-4ED0-A22F-5DA73259E06C}" type="presOf" srcId="{AB204D73-7DB6-4FEC-B2B8-A5EE5BB3B904}" destId="{6FD65C26-0D39-4864-8247-6EBAA1765A81}" srcOrd="0" destOrd="0" presId="urn:microsoft.com/office/officeart/2009/3/layout/IncreasingArrowsProcess"/>
    <dgm:cxn modelId="{64DD7581-9A4D-4CC8-B191-963553CA26D8}" type="presOf" srcId="{63D92BBB-D221-4230-8F2F-0B4CD2207C8E}" destId="{90B7BAA3-5D14-43D1-9EC3-10808A152F66}" srcOrd="0" destOrd="0" presId="urn:microsoft.com/office/officeart/2009/3/layout/IncreasingArrowsProcess"/>
    <dgm:cxn modelId="{3B19E690-0700-45BE-A48D-7A318C0131A1}" type="presOf" srcId="{CECFA22E-A2F4-4141-858C-58AF32FD7EA3}" destId="{910B3DB8-07A4-43AD-8958-8EF6A28C38F2}" srcOrd="0" destOrd="0" presId="urn:microsoft.com/office/officeart/2009/3/layout/IncreasingArrowsProcess"/>
    <dgm:cxn modelId="{70026BA7-90E2-45C0-8F5A-87F3D8483324}" srcId="{CECFA22E-A2F4-4141-858C-58AF32FD7EA3}" destId="{5FDE8CD1-30F1-4962-90A7-EA25F0109B9B}" srcOrd="0" destOrd="0" parTransId="{32345087-AC4A-4F10-8871-4543B674B539}" sibTransId="{209D2C0C-D862-4C27-BFC2-EF3AF70A857A}"/>
    <dgm:cxn modelId="{1366DDAD-DEAC-4C3B-A826-1D836F52CAA3}" srcId="{B574BE3C-F4CE-4F9B-85D2-257EC61A4F07}" destId="{FC5B890E-B9C7-4C2A-9F46-975F351A6D81}" srcOrd="0" destOrd="0" parTransId="{67731E42-F184-48CE-9096-99E84D5BC8CD}" sibTransId="{57894401-E4F6-46C4-8B83-515163373814}"/>
    <dgm:cxn modelId="{CE3A65B3-4D46-48A7-96FB-FDC1092A066D}" type="presOf" srcId="{26DA7F36-D21E-4F91-BE46-CE713379BB65}" destId="{773FFB07-3045-4DEA-8708-C1795088EC93}" srcOrd="0" destOrd="0" presId="urn:microsoft.com/office/officeart/2009/3/layout/IncreasingArrowsProcess"/>
    <dgm:cxn modelId="{9DBE24D0-1914-4B7B-823D-7D71093B5607}" srcId="{AE2DB789-08F7-4474-8A6F-192B80D9753F}" destId="{B574BE3C-F4CE-4F9B-85D2-257EC61A4F07}" srcOrd="2" destOrd="0" parTransId="{53E616E5-CA7B-4046-9269-CDA40FCA1D9C}" sibTransId="{252B766D-D924-41D4-A89F-69E1A1F1E130}"/>
    <dgm:cxn modelId="{E0B61FD3-EC38-49EF-BE51-F7F2E1EDBFDF}" srcId="{63D92BBB-D221-4230-8F2F-0B4CD2207C8E}" destId="{FB0B3B55-6349-4D95-919F-2AC3513494FF}" srcOrd="0" destOrd="0" parTransId="{19538307-E3B1-47E6-BE78-20CD8F14D26C}" sibTransId="{5A769A7C-4561-4BF8-8EE2-D5AC81C27099}"/>
    <dgm:cxn modelId="{C40A0EDA-5831-4219-99B0-96BCEB02A138}" srcId="{AE2DB789-08F7-4474-8A6F-192B80D9753F}" destId="{AB204D73-7DB6-4FEC-B2B8-A5EE5BB3B904}" srcOrd="4" destOrd="0" parTransId="{D9B0FFC5-D3D0-467F-BCB8-8EACCC1FE721}" sibTransId="{283F48C1-58B1-4A36-98F3-27A3EB49291C}"/>
    <dgm:cxn modelId="{808DC1EE-535E-4657-90E0-A340A44BBB38}" srcId="{AB204D73-7DB6-4FEC-B2B8-A5EE5BB3B904}" destId="{DBA38A48-C506-4E37-B6BF-F545541E6EB1}" srcOrd="0" destOrd="0" parTransId="{319EE000-DA09-4CD7-9333-FA9BA896D2A3}" sibTransId="{9F490A31-FA9A-48EA-94F8-485BD5EE308A}"/>
    <dgm:cxn modelId="{84B26EF2-DC70-4D6A-BD85-550459119F33}" type="presOf" srcId="{DBA38A48-C506-4E37-B6BF-F545541E6EB1}" destId="{0268F5B7-AF29-459B-ADA2-1F52DB97B55B}" srcOrd="0" destOrd="0" presId="urn:microsoft.com/office/officeart/2009/3/layout/IncreasingArrowsProcess"/>
    <dgm:cxn modelId="{430D49ED-A15A-40BE-926A-C341799E34B0}" type="presParOf" srcId="{A3EB0E4D-4327-461F-9351-929AA4A5C543}" destId="{910B3DB8-07A4-43AD-8958-8EF6A28C38F2}" srcOrd="0" destOrd="0" presId="urn:microsoft.com/office/officeart/2009/3/layout/IncreasingArrowsProcess"/>
    <dgm:cxn modelId="{C89E23EA-6A69-4C8E-912C-F018BEF8C633}" type="presParOf" srcId="{A3EB0E4D-4327-461F-9351-929AA4A5C543}" destId="{1D95663F-76B3-4D65-9B7F-047B8F48AF72}" srcOrd="1" destOrd="0" presId="urn:microsoft.com/office/officeart/2009/3/layout/IncreasingArrowsProcess"/>
    <dgm:cxn modelId="{CBDF4439-3CD9-41B6-BB42-F8D7E1F727EB}" type="presParOf" srcId="{A3EB0E4D-4327-461F-9351-929AA4A5C543}" destId="{90B7BAA3-5D14-43D1-9EC3-10808A152F66}" srcOrd="2" destOrd="0" presId="urn:microsoft.com/office/officeart/2009/3/layout/IncreasingArrowsProcess"/>
    <dgm:cxn modelId="{2697190D-3BE8-4588-BF3F-9A5DA652E237}" type="presParOf" srcId="{A3EB0E4D-4327-461F-9351-929AA4A5C543}" destId="{CA4DCF8D-B9FD-48BE-97FB-F2DB7A158D04}" srcOrd="3" destOrd="0" presId="urn:microsoft.com/office/officeart/2009/3/layout/IncreasingArrowsProcess"/>
    <dgm:cxn modelId="{F640D513-E474-4E45-A608-D87D9DB4AE6C}" type="presParOf" srcId="{A3EB0E4D-4327-461F-9351-929AA4A5C543}" destId="{84F72BDD-110E-403A-8B6D-36CBDD04B496}" srcOrd="4" destOrd="0" presId="urn:microsoft.com/office/officeart/2009/3/layout/IncreasingArrowsProcess"/>
    <dgm:cxn modelId="{4AE27729-9B70-4DD0-B809-DC4B739A56E7}" type="presParOf" srcId="{A3EB0E4D-4327-461F-9351-929AA4A5C543}" destId="{51376A30-B299-4E4C-B8A1-257296F65AB9}" srcOrd="5" destOrd="0" presId="urn:microsoft.com/office/officeart/2009/3/layout/IncreasingArrowsProcess"/>
    <dgm:cxn modelId="{B9964305-E211-46D7-88AD-45230C8B8C9D}" type="presParOf" srcId="{A3EB0E4D-4327-461F-9351-929AA4A5C543}" destId="{EB92E795-188D-49E5-8CC1-8C7A2706049E}" srcOrd="6" destOrd="0" presId="urn:microsoft.com/office/officeart/2009/3/layout/IncreasingArrowsProcess"/>
    <dgm:cxn modelId="{4CC1EBBD-7048-4687-8F70-28124A7B2C74}" type="presParOf" srcId="{A3EB0E4D-4327-461F-9351-929AA4A5C543}" destId="{773FFB07-3045-4DEA-8708-C1795088EC93}" srcOrd="7" destOrd="0" presId="urn:microsoft.com/office/officeart/2009/3/layout/IncreasingArrowsProcess"/>
    <dgm:cxn modelId="{B85CE0FD-C372-4BEA-9102-6A6D94BCD4F8}" type="presParOf" srcId="{A3EB0E4D-4327-461F-9351-929AA4A5C543}" destId="{6FD65C26-0D39-4864-8247-6EBAA1765A81}" srcOrd="8" destOrd="0" presId="urn:microsoft.com/office/officeart/2009/3/layout/IncreasingArrowsProcess"/>
    <dgm:cxn modelId="{499798DE-6E83-4100-8451-893D51EF39C1}" type="presParOf" srcId="{A3EB0E4D-4327-461F-9351-929AA4A5C543}" destId="{0268F5B7-AF29-459B-ADA2-1F52DB97B55B}" srcOrd="9" destOrd="0" presId="urn:microsoft.com/office/officeart/2009/3/layout/IncreasingArrows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0B3DB8-07A4-43AD-8958-8EF6A28C38F2}">
      <dsp:nvSpPr>
        <dsp:cNvPr id="0" name=""/>
        <dsp:cNvSpPr/>
      </dsp:nvSpPr>
      <dsp:spPr>
        <a:xfrm>
          <a:off x="0" y="28438"/>
          <a:ext cx="5486400" cy="797876"/>
        </a:xfrm>
        <a:prstGeom prst="rightArrow">
          <a:avLst>
            <a:gd name="adj1" fmla="val 50000"/>
            <a:gd name="adj2" fmla="val 50000"/>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254000" bIns="126663" numCol="1" spcCol="1270" anchor="ctr" anchorCtr="0">
          <a:noAutofit/>
        </a:bodyPr>
        <a:lstStyle/>
        <a:p>
          <a:pPr marL="0" lvl="0" indent="0" algn="l" defTabSz="666750">
            <a:lnSpc>
              <a:spcPct val="90000"/>
            </a:lnSpc>
            <a:spcBef>
              <a:spcPct val="0"/>
            </a:spcBef>
            <a:spcAft>
              <a:spcPct val="35000"/>
            </a:spcAft>
            <a:buNone/>
          </a:pPr>
          <a:r>
            <a:rPr lang="en-US" sz="1500" kern="1200"/>
            <a:t>Marketing, Education and Outreach</a:t>
          </a:r>
        </a:p>
      </dsp:txBody>
      <dsp:txXfrm>
        <a:off x="0" y="227907"/>
        <a:ext cx="5286931" cy="398938"/>
      </dsp:txXfrm>
    </dsp:sp>
    <dsp:sp modelId="{1D95663F-76B3-4D65-9B7F-047B8F48AF72}">
      <dsp:nvSpPr>
        <dsp:cNvPr id="0" name=""/>
        <dsp:cNvSpPr/>
      </dsp:nvSpPr>
      <dsp:spPr>
        <a:xfrm>
          <a:off x="0" y="642686"/>
          <a:ext cx="1013996" cy="1465029"/>
        </a:xfrm>
        <a:prstGeom prst="rect">
          <a:avLst/>
        </a:prstGeom>
        <a:solidFill>
          <a:schemeClr val="lt1">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Educational opportunties to increase awareness of concepts and opportunities in EE.</a:t>
          </a:r>
        </a:p>
      </dsp:txBody>
      <dsp:txXfrm>
        <a:off x="0" y="642686"/>
        <a:ext cx="1013996" cy="1465029"/>
      </dsp:txXfrm>
    </dsp:sp>
    <dsp:sp modelId="{90B7BAA3-5D14-43D1-9EC3-10808A152F66}">
      <dsp:nvSpPr>
        <dsp:cNvPr id="0" name=""/>
        <dsp:cNvSpPr/>
      </dsp:nvSpPr>
      <dsp:spPr>
        <a:xfrm>
          <a:off x="1013886" y="294500"/>
          <a:ext cx="4472513" cy="797876"/>
        </a:xfrm>
        <a:prstGeom prst="rightArrow">
          <a:avLst>
            <a:gd name="adj1" fmla="val 50000"/>
            <a:gd name="adj2" fmla="val 50000"/>
          </a:avLst>
        </a:prstGeom>
        <a:solidFill>
          <a:schemeClr val="accent5">
            <a:hueOff val="-1689636"/>
            <a:satOff val="-4355"/>
            <a:lumOff val="-294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254000" bIns="126663" numCol="1" spcCol="1270" anchor="ctr" anchorCtr="0">
          <a:noAutofit/>
        </a:bodyPr>
        <a:lstStyle/>
        <a:p>
          <a:pPr marL="0" lvl="0" indent="0" algn="l" defTabSz="666750">
            <a:lnSpc>
              <a:spcPct val="90000"/>
            </a:lnSpc>
            <a:spcBef>
              <a:spcPct val="0"/>
            </a:spcBef>
            <a:spcAft>
              <a:spcPct val="35000"/>
            </a:spcAft>
            <a:buNone/>
          </a:pPr>
          <a:r>
            <a:rPr lang="en-US" sz="1500" kern="1200"/>
            <a:t>Energy Benchmarking</a:t>
          </a:r>
        </a:p>
      </dsp:txBody>
      <dsp:txXfrm>
        <a:off x="1013886" y="493969"/>
        <a:ext cx="4273044" cy="398938"/>
      </dsp:txXfrm>
    </dsp:sp>
    <dsp:sp modelId="{CA4DCF8D-B9FD-48BE-97FB-F2DB7A158D04}">
      <dsp:nvSpPr>
        <dsp:cNvPr id="0" name=""/>
        <dsp:cNvSpPr/>
      </dsp:nvSpPr>
      <dsp:spPr>
        <a:xfrm>
          <a:off x="1013886" y="908748"/>
          <a:ext cx="1013996" cy="1465029"/>
        </a:xfrm>
        <a:prstGeom prst="rect">
          <a:avLst/>
        </a:prstGeom>
        <a:solidFill>
          <a:schemeClr val="lt1">
            <a:hueOff val="0"/>
            <a:satOff val="0"/>
            <a:lumOff val="0"/>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Comprehensive portfolio level view of energy use and expenditures to identify opportunities for EE. </a:t>
          </a:r>
        </a:p>
      </dsp:txBody>
      <dsp:txXfrm>
        <a:off x="1013886" y="908748"/>
        <a:ext cx="1013996" cy="1465029"/>
      </dsp:txXfrm>
    </dsp:sp>
    <dsp:sp modelId="{84F72BDD-110E-403A-8B6D-36CBDD04B496}">
      <dsp:nvSpPr>
        <dsp:cNvPr id="0" name=""/>
        <dsp:cNvSpPr/>
      </dsp:nvSpPr>
      <dsp:spPr>
        <a:xfrm>
          <a:off x="2027773" y="560561"/>
          <a:ext cx="3458626" cy="797876"/>
        </a:xfrm>
        <a:prstGeom prst="rightArrow">
          <a:avLst>
            <a:gd name="adj1" fmla="val 50000"/>
            <a:gd name="adj2" fmla="val 50000"/>
          </a:avLst>
        </a:prstGeom>
        <a:solidFill>
          <a:schemeClr val="accent5">
            <a:hueOff val="-3379271"/>
            <a:satOff val="-8710"/>
            <a:lumOff val="-588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254000" bIns="126663" numCol="1" spcCol="1270" anchor="ctr" anchorCtr="0">
          <a:noAutofit/>
        </a:bodyPr>
        <a:lstStyle/>
        <a:p>
          <a:pPr marL="0" lvl="0" indent="0" algn="l" defTabSz="666750">
            <a:lnSpc>
              <a:spcPct val="90000"/>
            </a:lnSpc>
            <a:spcBef>
              <a:spcPct val="0"/>
            </a:spcBef>
            <a:spcAft>
              <a:spcPct val="35000"/>
            </a:spcAft>
            <a:buNone/>
          </a:pPr>
          <a:r>
            <a:rPr lang="en-US" sz="1500" kern="1200"/>
            <a:t>Infrastructure Inventory</a:t>
          </a:r>
        </a:p>
      </dsp:txBody>
      <dsp:txXfrm>
        <a:off x="2027773" y="760030"/>
        <a:ext cx="3259157" cy="398938"/>
      </dsp:txXfrm>
    </dsp:sp>
    <dsp:sp modelId="{51376A30-B299-4E4C-B8A1-257296F65AB9}">
      <dsp:nvSpPr>
        <dsp:cNvPr id="0" name=""/>
        <dsp:cNvSpPr/>
      </dsp:nvSpPr>
      <dsp:spPr>
        <a:xfrm>
          <a:off x="2027773" y="1174809"/>
          <a:ext cx="1013996" cy="1465029"/>
        </a:xfrm>
        <a:prstGeom prst="rect">
          <a:avLst/>
        </a:prstGeom>
        <a:solidFill>
          <a:schemeClr val="lt1">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In depth view of infratructure and exisiting equiptment to identify long term project pipelines. </a:t>
          </a:r>
        </a:p>
      </dsp:txBody>
      <dsp:txXfrm>
        <a:off x="2027773" y="1174809"/>
        <a:ext cx="1013996" cy="1465029"/>
      </dsp:txXfrm>
    </dsp:sp>
    <dsp:sp modelId="{EB92E795-188D-49E5-8CC1-8C7A2706049E}">
      <dsp:nvSpPr>
        <dsp:cNvPr id="0" name=""/>
        <dsp:cNvSpPr/>
      </dsp:nvSpPr>
      <dsp:spPr>
        <a:xfrm>
          <a:off x="3042208" y="826622"/>
          <a:ext cx="2444191" cy="797876"/>
        </a:xfrm>
        <a:prstGeom prst="rightArrow">
          <a:avLst>
            <a:gd name="adj1" fmla="val 50000"/>
            <a:gd name="adj2" fmla="val 50000"/>
          </a:avLst>
        </a:prstGeom>
        <a:solidFill>
          <a:schemeClr val="accent5">
            <a:hueOff val="-5068907"/>
            <a:satOff val="-13064"/>
            <a:lumOff val="-8824"/>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254000" bIns="126663" numCol="1" spcCol="1270" anchor="ctr" anchorCtr="0">
          <a:noAutofit/>
        </a:bodyPr>
        <a:lstStyle/>
        <a:p>
          <a:pPr marL="0" lvl="0" indent="0" algn="l" defTabSz="666750">
            <a:lnSpc>
              <a:spcPct val="90000"/>
            </a:lnSpc>
            <a:spcBef>
              <a:spcPct val="0"/>
            </a:spcBef>
            <a:spcAft>
              <a:spcPct val="35000"/>
            </a:spcAft>
            <a:buNone/>
          </a:pPr>
          <a:r>
            <a:rPr lang="en-US" sz="1500" kern="1200"/>
            <a:t>Energy Readiness Report</a:t>
          </a:r>
        </a:p>
      </dsp:txBody>
      <dsp:txXfrm>
        <a:off x="3042208" y="1026091"/>
        <a:ext cx="2244722" cy="398938"/>
      </dsp:txXfrm>
    </dsp:sp>
    <dsp:sp modelId="{773FFB07-3045-4DEA-8708-C1795088EC93}">
      <dsp:nvSpPr>
        <dsp:cNvPr id="0" name=""/>
        <dsp:cNvSpPr/>
      </dsp:nvSpPr>
      <dsp:spPr>
        <a:xfrm>
          <a:off x="3042208" y="1440870"/>
          <a:ext cx="1013996" cy="1465029"/>
        </a:xfrm>
        <a:prstGeom prst="rect">
          <a:avLst/>
        </a:prstGeom>
        <a:solidFill>
          <a:schemeClr val="lt1">
            <a:hueOff val="0"/>
            <a:satOff val="0"/>
            <a:lumOff val="0"/>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Guiding documents to move comprehensive EE forward. </a:t>
          </a:r>
        </a:p>
      </dsp:txBody>
      <dsp:txXfrm>
        <a:off x="3042208" y="1440870"/>
        <a:ext cx="1013996" cy="1465029"/>
      </dsp:txXfrm>
    </dsp:sp>
    <dsp:sp modelId="{6FD65C26-0D39-4864-8247-6EBAA1765A81}">
      <dsp:nvSpPr>
        <dsp:cNvPr id="0" name=""/>
        <dsp:cNvSpPr/>
      </dsp:nvSpPr>
      <dsp:spPr>
        <a:xfrm>
          <a:off x="4056095" y="1092684"/>
          <a:ext cx="1430304" cy="797876"/>
        </a:xfrm>
        <a:prstGeom prst="rightArrow">
          <a:avLst>
            <a:gd name="adj1" fmla="val 50000"/>
            <a:gd name="adj2" fmla="val 50000"/>
          </a:avLst>
        </a:prstGeom>
        <a:solidFill>
          <a:schemeClr val="accent5">
            <a:hueOff val="-6758543"/>
            <a:satOff val="-17419"/>
            <a:lumOff val="-1176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0" tIns="57150" rIns="254000" bIns="126663" numCol="1" spcCol="1270" anchor="ctr" anchorCtr="0">
          <a:noAutofit/>
        </a:bodyPr>
        <a:lstStyle/>
        <a:p>
          <a:pPr marL="0" lvl="0" indent="0" algn="l" defTabSz="666750">
            <a:lnSpc>
              <a:spcPct val="90000"/>
            </a:lnSpc>
            <a:spcBef>
              <a:spcPct val="0"/>
            </a:spcBef>
            <a:spcAft>
              <a:spcPct val="35000"/>
            </a:spcAft>
            <a:buNone/>
          </a:pPr>
          <a:r>
            <a:rPr lang="en-US" sz="1500" kern="1200"/>
            <a:t>GRITS</a:t>
          </a:r>
        </a:p>
      </dsp:txBody>
      <dsp:txXfrm>
        <a:off x="4056095" y="1292153"/>
        <a:ext cx="1230835" cy="398938"/>
      </dsp:txXfrm>
    </dsp:sp>
    <dsp:sp modelId="{0268F5B7-AF29-459B-ADA2-1F52DB97B55B}">
      <dsp:nvSpPr>
        <dsp:cNvPr id="0" name=""/>
        <dsp:cNvSpPr/>
      </dsp:nvSpPr>
      <dsp:spPr>
        <a:xfrm>
          <a:off x="4056095" y="1706932"/>
          <a:ext cx="1013996" cy="1465029"/>
        </a:xfrm>
        <a:prstGeom prst="rect">
          <a:avLst/>
        </a:prstGeom>
        <a:solidFill>
          <a:schemeClr val="lt1">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As needed business case analysis for comprehensive EE projects.</a:t>
          </a:r>
        </a:p>
      </dsp:txBody>
      <dsp:txXfrm>
        <a:off x="4056095" y="1706932"/>
        <a:ext cx="1013996" cy="1465029"/>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F8C88984B640AB89678949911C4B95"/>
        <w:category>
          <w:name w:val="General"/>
          <w:gallery w:val="placeholder"/>
        </w:category>
        <w:types>
          <w:type w:val="bbPlcHdr"/>
        </w:types>
        <w:behaviors>
          <w:behavior w:val="content"/>
        </w:behaviors>
        <w:guid w:val="{CB71EFE6-7813-4B15-AD16-CEF27E38C6A0}"/>
      </w:docPartPr>
      <w:docPartBody>
        <w:p w:rsidR="00E4161F" w:rsidRDefault="0037606F" w:rsidP="0037606F">
          <w:pPr>
            <w:pStyle w:val="94F8C88984B640AB89678949911C4B95"/>
          </w:pPr>
          <w:r>
            <w:rPr>
              <w:color w:val="2F5496" w:themeColor="accent1" w:themeShade="BF"/>
              <w:sz w:val="24"/>
              <w:szCs w:val="24"/>
            </w:rPr>
            <w:t>[Company name]</w:t>
          </w:r>
        </w:p>
      </w:docPartBody>
    </w:docPart>
    <w:docPart>
      <w:docPartPr>
        <w:name w:val="216D04224C2C4D3DA2CD301E9E388CC2"/>
        <w:category>
          <w:name w:val="General"/>
          <w:gallery w:val="placeholder"/>
        </w:category>
        <w:types>
          <w:type w:val="bbPlcHdr"/>
        </w:types>
        <w:behaviors>
          <w:behavior w:val="content"/>
        </w:behaviors>
        <w:guid w:val="{4617B9B4-FADE-44BE-AAB6-5A734FC96F9E}"/>
      </w:docPartPr>
      <w:docPartBody>
        <w:p w:rsidR="00E4161F" w:rsidRDefault="0037606F" w:rsidP="0037606F">
          <w:pPr>
            <w:pStyle w:val="216D04224C2C4D3DA2CD301E9E388CC2"/>
          </w:pPr>
          <w:r>
            <w:rPr>
              <w:rFonts w:asciiTheme="majorHAnsi" w:eastAsiaTheme="majorEastAsia" w:hAnsiTheme="majorHAnsi" w:cstheme="majorBidi"/>
              <w:color w:val="4472C4" w:themeColor="accent1"/>
              <w:sz w:val="88"/>
              <w:szCs w:val="88"/>
            </w:rPr>
            <w:t>[Document title]</w:t>
          </w:r>
        </w:p>
      </w:docPartBody>
    </w:docPart>
    <w:docPart>
      <w:docPartPr>
        <w:name w:val="3F22B253B0C74958BE8DDD9BD4A8E612"/>
        <w:category>
          <w:name w:val="General"/>
          <w:gallery w:val="placeholder"/>
        </w:category>
        <w:types>
          <w:type w:val="bbPlcHdr"/>
        </w:types>
        <w:behaviors>
          <w:behavior w:val="content"/>
        </w:behaviors>
        <w:guid w:val="{CF286CC0-DE19-4DD3-B8D1-E20B747ED538}"/>
      </w:docPartPr>
      <w:docPartBody>
        <w:p w:rsidR="00E4161F" w:rsidRDefault="0037606F" w:rsidP="0037606F">
          <w:pPr>
            <w:pStyle w:val="3F22B253B0C74958BE8DDD9BD4A8E612"/>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6F"/>
    <w:rsid w:val="0037606F"/>
    <w:rsid w:val="0061617A"/>
    <w:rsid w:val="007E4A7D"/>
    <w:rsid w:val="00AC5021"/>
    <w:rsid w:val="00B30E71"/>
    <w:rsid w:val="00B66714"/>
    <w:rsid w:val="00E4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F8C88984B640AB89678949911C4B95">
    <w:name w:val="94F8C88984B640AB89678949911C4B95"/>
    <w:rsid w:val="0037606F"/>
  </w:style>
  <w:style w:type="paragraph" w:customStyle="1" w:styleId="216D04224C2C4D3DA2CD301E9E388CC2">
    <w:name w:val="216D04224C2C4D3DA2CD301E9E388CC2"/>
    <w:rsid w:val="0037606F"/>
  </w:style>
  <w:style w:type="paragraph" w:customStyle="1" w:styleId="3F22B253B0C74958BE8DDD9BD4A8E612">
    <w:name w:val="3F22B253B0C74958BE8DDD9BD4A8E612"/>
    <w:rsid w:val="0037606F"/>
  </w:style>
  <w:style w:type="paragraph" w:customStyle="1" w:styleId="FBA28F1F38C74CCBAB89EA2F7388A5E3">
    <w:name w:val="FBA28F1F38C74CCBAB89EA2F7388A5E3"/>
    <w:rsid w:val="0037606F"/>
  </w:style>
  <w:style w:type="paragraph" w:customStyle="1" w:styleId="3B131E7497AE4DA7A46EB48508F78DB7">
    <w:name w:val="3B131E7497AE4DA7A46EB48508F78DB7"/>
    <w:rsid w:val="0037606F"/>
  </w:style>
  <w:style w:type="paragraph" w:customStyle="1" w:styleId="858FDEBF2FD946C6A81606D1E1ACDF99">
    <w:name w:val="858FDEBF2FD946C6A81606D1E1ACDF99"/>
    <w:rsid w:val="006161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15AF218B5A442BB071F2B6FBE4A32" ma:contentTypeVersion="12" ma:contentTypeDescription="Create a new document." ma:contentTypeScope="" ma:versionID="c625c3ad091e5f21c6e91085366f3588">
  <xsd:schema xmlns:xsd="http://www.w3.org/2001/XMLSchema" xmlns:xs="http://www.w3.org/2001/XMLSchema" xmlns:p="http://schemas.microsoft.com/office/2006/metadata/properties" xmlns:ns2="dfc282d8-96eb-4eff-8d60-cd0bddfdb01a" xmlns:ns3="15e2488e-6e81-4750-a1bb-112a5802637b" targetNamespace="http://schemas.microsoft.com/office/2006/metadata/properties" ma:root="true" ma:fieldsID="69de1d8ed34356f0c028d3d797460c07" ns2:_="" ns3:_="">
    <xsd:import namespace="dfc282d8-96eb-4eff-8d60-cd0bddfdb01a"/>
    <xsd:import namespace="15e2488e-6e81-4750-a1bb-112a580263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82d8-96eb-4eff-8d60-cd0bddfdb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2488e-6e81-4750-a1bb-112a580263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C2747-7322-4A1D-A058-0AEC9C3D9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82d8-96eb-4eff-8d60-cd0bddfdb01a"/>
    <ds:schemaRef ds:uri="15e2488e-6e81-4750-a1bb-112a58026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5EC8F-3BA8-43E7-8705-64EAACF790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0DAF70-F179-4873-BF73-5AFD3EEB5A0D}">
  <ds:schemaRefs>
    <ds:schemaRef ds:uri="http://schemas.microsoft.com/sharepoint/v3/contenttype/forms"/>
  </ds:schemaRefs>
</ds:datastoreItem>
</file>

<file path=customXml/itemProps4.xml><?xml version="1.0" encoding="utf-8"?>
<ds:datastoreItem xmlns:ds="http://schemas.openxmlformats.org/officeDocument/2006/customXml" ds:itemID="{600499DB-B59D-4582-99B5-8CAAC388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4764</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Implementation Plan</vt:lpstr>
    </vt:vector>
  </TitlesOfParts>
  <Company>Central California Energy Watch (CCEW)</Company>
  <LinksUpToDate>false</LinksUpToDate>
  <CharactersWithSpaces>31856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dc:title>
  <dc:subject>San Joaquin Valley Clean Energy Organization</dc:subject>
  <dc:creator>Kalashian, Courtney</dc:creator>
  <cp:keywords/>
  <dc:description/>
  <cp:lastModifiedBy>Liu, Helen</cp:lastModifiedBy>
  <cp:revision>3</cp:revision>
  <dcterms:created xsi:type="dcterms:W3CDTF">2020-08-06T22:54:00Z</dcterms:created>
  <dcterms:modified xsi:type="dcterms:W3CDTF">2020-08-06T23:09:00Z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0x01010004415AF218B5A442BB071F2B6FBE4A32</vt:lpwstr>
  </property>
</Properties>
</file>