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9269" w14:textId="77777777" w:rsidR="00E80E40" w:rsidRPr="00BE2F6C" w:rsidRDefault="002C2BF0" w:rsidP="002C2BF0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BE2F6C">
        <w:rPr>
          <w:rFonts w:ascii="Times" w:hAnsi="Times" w:cs="Times"/>
        </w:rPr>
        <w:t xml:space="preserve">California Energy Efficiency Coordinating Committee </w:t>
      </w:r>
    </w:p>
    <w:p w14:paraId="66E77F9D" w14:textId="0E867DE9" w:rsidR="002C2BF0" w:rsidRPr="00BE2F6C" w:rsidRDefault="002C2BF0" w:rsidP="002C2BF0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BE2F6C">
        <w:rPr>
          <w:rFonts w:ascii="Times" w:hAnsi="Times" w:cs="Times"/>
        </w:rPr>
        <w:t>Meeting #</w:t>
      </w:r>
      <w:r w:rsidR="00AC07F4" w:rsidRPr="00BE2F6C">
        <w:rPr>
          <w:rFonts w:ascii="Times" w:hAnsi="Times" w:cs="Times"/>
        </w:rPr>
        <w:t>20</w:t>
      </w:r>
    </w:p>
    <w:p w14:paraId="5A179016" w14:textId="65C69963" w:rsidR="002C2BF0" w:rsidRPr="00BE2F6C" w:rsidRDefault="00AC07F4" w:rsidP="002C2BF0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BE2F6C">
        <w:rPr>
          <w:rFonts w:ascii="Times" w:hAnsi="Times" w:cs="Times"/>
        </w:rPr>
        <w:t>February 28</w:t>
      </w:r>
      <w:r w:rsidR="002C2BF0" w:rsidRPr="00BE2F6C">
        <w:rPr>
          <w:rFonts w:ascii="Times" w:hAnsi="Times" w:cs="Times"/>
        </w:rPr>
        <w:t>, 201</w:t>
      </w:r>
      <w:r w:rsidRPr="00BE2F6C">
        <w:rPr>
          <w:rFonts w:ascii="Times" w:hAnsi="Times" w:cs="Times"/>
        </w:rPr>
        <w:t>9,</w:t>
      </w:r>
      <w:r w:rsidR="002C2BF0" w:rsidRPr="00BE2F6C">
        <w:rPr>
          <w:rFonts w:ascii="Times" w:hAnsi="Times" w:cs="Times"/>
        </w:rPr>
        <w:t xml:space="preserve"> 10:00</w:t>
      </w:r>
      <w:r w:rsidRPr="00BE2F6C">
        <w:rPr>
          <w:rFonts w:ascii="Times" w:hAnsi="Times" w:cs="Times"/>
        </w:rPr>
        <w:t xml:space="preserve"> a.m.</w:t>
      </w:r>
      <w:r w:rsidR="002C2BF0" w:rsidRPr="00BE2F6C">
        <w:rPr>
          <w:rFonts w:ascii="Times" w:hAnsi="Times" w:cs="Times"/>
        </w:rPr>
        <w:t xml:space="preserve"> to 12:</w:t>
      </w:r>
      <w:r w:rsidRPr="00BE2F6C">
        <w:rPr>
          <w:rFonts w:ascii="Times" w:hAnsi="Times" w:cs="Times"/>
        </w:rPr>
        <w:t>30 p.m.</w:t>
      </w:r>
    </w:p>
    <w:p w14:paraId="54FF84F7" w14:textId="2307F127" w:rsidR="002C2BF0" w:rsidRPr="00BE2F6C" w:rsidRDefault="002C2BF0" w:rsidP="002C2BF0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BE2F6C">
        <w:rPr>
          <w:rFonts w:ascii="Times" w:hAnsi="Times" w:cs="Times"/>
        </w:rPr>
        <w:t xml:space="preserve"> </w:t>
      </w:r>
      <w:r w:rsidR="00AC07F4" w:rsidRPr="00BE2F6C">
        <w:rPr>
          <w:rFonts w:ascii="Times" w:hAnsi="Times" w:cs="Times"/>
        </w:rPr>
        <w:t>PG&amp;E</w:t>
      </w:r>
      <w:r w:rsidR="00815927">
        <w:rPr>
          <w:rFonts w:ascii="Times" w:hAnsi="Times" w:cs="Times"/>
        </w:rPr>
        <w:t>’s</w:t>
      </w:r>
      <w:r w:rsidR="00AC07F4" w:rsidRPr="00BE2F6C">
        <w:rPr>
          <w:rFonts w:ascii="Times" w:hAnsi="Times" w:cs="Times"/>
        </w:rPr>
        <w:t xml:space="preserve"> Pacific Energy Center, 851 Howard Street, SF, CA 94103</w:t>
      </w:r>
    </w:p>
    <w:p w14:paraId="699CE3ED" w14:textId="3C673479" w:rsidR="00E80E40" w:rsidRPr="00BE2F6C" w:rsidRDefault="00E80E40" w:rsidP="002C2BF0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BE2F6C">
        <w:rPr>
          <w:rFonts w:ascii="Times" w:hAnsi="Times" w:cs="Times"/>
        </w:rPr>
        <w:t>Meeting Summary</w:t>
      </w:r>
      <w:r w:rsidR="00EA76E4" w:rsidRPr="00BE2F6C">
        <w:rPr>
          <w:rFonts w:ascii="Times" w:hAnsi="Times" w:cs="Times"/>
        </w:rPr>
        <w:t xml:space="preserve"> </w:t>
      </w:r>
      <w:r w:rsidR="00CD1E22">
        <w:rPr>
          <w:rFonts w:ascii="Times" w:hAnsi="Times" w:cs="Times"/>
        </w:rPr>
        <w:t xml:space="preserve"> </w:t>
      </w:r>
      <w:bookmarkStart w:id="0" w:name="_GoBack"/>
      <w:bookmarkEnd w:id="0"/>
    </w:p>
    <w:p w14:paraId="42E0E007" w14:textId="5DBD19B3" w:rsidR="002C2BF0" w:rsidRPr="00BE2F6C" w:rsidRDefault="002C2BF0" w:rsidP="002C2BF0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BE2F6C">
        <w:rPr>
          <w:rFonts w:ascii="Times" w:hAnsi="Times" w:cs="Times"/>
        </w:rPr>
        <w:t xml:space="preserve">Facilitator: Dr. Jonathan Raab, Raab Associates, Ltd. &amp; </w:t>
      </w:r>
      <w:r w:rsidR="00AC07F4" w:rsidRPr="00BE2F6C">
        <w:rPr>
          <w:rFonts w:ascii="Times" w:hAnsi="Times" w:cs="Times"/>
        </w:rPr>
        <w:t>Ellen Zuckerman</w:t>
      </w:r>
      <w:r w:rsidRPr="00BE2F6C">
        <w:rPr>
          <w:rFonts w:ascii="Times" w:hAnsi="Times" w:cs="Times"/>
        </w:rPr>
        <w:t xml:space="preserve">, </w:t>
      </w:r>
      <w:r w:rsidR="00AC07F4" w:rsidRPr="00BE2F6C">
        <w:rPr>
          <w:rFonts w:ascii="Times" w:hAnsi="Times" w:cs="Times"/>
        </w:rPr>
        <w:t>Independent</w:t>
      </w:r>
    </w:p>
    <w:p w14:paraId="47FF39B8" w14:textId="77777777" w:rsidR="002C2BF0" w:rsidRPr="00BE2F6C" w:rsidRDefault="002C2BF0" w:rsidP="004422AF"/>
    <w:p w14:paraId="25562522" w14:textId="0F26296A" w:rsidR="00F25126" w:rsidRPr="00BE2F6C" w:rsidRDefault="00F25126" w:rsidP="00F25126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E2F6C">
        <w:rPr>
          <w:rFonts w:ascii="Cambria" w:hAnsi="Cambria"/>
        </w:rPr>
        <w:t xml:space="preserve">On </w:t>
      </w:r>
      <w:r w:rsidR="00AC07F4" w:rsidRPr="00BE2F6C">
        <w:rPr>
          <w:rFonts w:ascii="Cambria" w:hAnsi="Cambria"/>
        </w:rPr>
        <w:t>February 28</w:t>
      </w:r>
      <w:r w:rsidRPr="00BE2F6C">
        <w:rPr>
          <w:rFonts w:ascii="Cambria" w:hAnsi="Cambria"/>
        </w:rPr>
        <w:t>, 201</w:t>
      </w:r>
      <w:r w:rsidR="00815927">
        <w:rPr>
          <w:rFonts w:ascii="Cambria" w:hAnsi="Cambria"/>
        </w:rPr>
        <w:t>9</w:t>
      </w:r>
      <w:r w:rsidRPr="00BE2F6C">
        <w:rPr>
          <w:rFonts w:ascii="Cambria" w:hAnsi="Cambria"/>
        </w:rPr>
        <w:t xml:space="preserve">, the California Energy Efficiency Coordinating Committee (CAEECC) convened a quarterly meeting of the full CAEECC at </w:t>
      </w:r>
      <w:r w:rsidR="00AC07F4" w:rsidRPr="00BE2F6C">
        <w:rPr>
          <w:rFonts w:ascii="Cambria" w:hAnsi="Cambria"/>
        </w:rPr>
        <w:t>Pacific Gas and Electric</w:t>
      </w:r>
      <w:r w:rsidR="001C2521">
        <w:rPr>
          <w:rFonts w:ascii="Cambria" w:hAnsi="Cambria"/>
        </w:rPr>
        <w:t>’s</w:t>
      </w:r>
      <w:r w:rsidR="00AC07F4" w:rsidRPr="00BE2F6C">
        <w:rPr>
          <w:rFonts w:ascii="Cambria" w:hAnsi="Cambria"/>
        </w:rPr>
        <w:t xml:space="preserve"> (PG&amp;E) Pacific Energy Center </w:t>
      </w:r>
      <w:r w:rsidRPr="00BE2F6C">
        <w:rPr>
          <w:rFonts w:ascii="Cambria" w:hAnsi="Cambria"/>
        </w:rPr>
        <w:t xml:space="preserve">in San Francisco. </w:t>
      </w:r>
      <w:r w:rsidR="00D32669" w:rsidRPr="00224F4B">
        <w:rPr>
          <w:rFonts w:ascii="Cambria" w:hAnsi="Cambria"/>
        </w:rPr>
        <w:t>T</w:t>
      </w:r>
      <w:r w:rsidR="00224F4B" w:rsidRPr="00224F4B">
        <w:rPr>
          <w:rFonts w:ascii="Cambria" w:hAnsi="Cambria"/>
        </w:rPr>
        <w:t>wenty-eight</w:t>
      </w:r>
      <w:r w:rsidRPr="00224F4B">
        <w:rPr>
          <w:rFonts w:ascii="Cambria" w:hAnsi="Cambria"/>
        </w:rPr>
        <w:t xml:space="preserve"> individuals par</w:t>
      </w:r>
      <w:r w:rsidR="00D32669" w:rsidRPr="00224F4B">
        <w:rPr>
          <w:rFonts w:ascii="Cambria" w:hAnsi="Cambria"/>
        </w:rPr>
        <w:t>t</w:t>
      </w:r>
      <w:r w:rsidR="00A25B97" w:rsidRPr="00224F4B">
        <w:rPr>
          <w:rFonts w:ascii="Cambria" w:hAnsi="Cambria"/>
        </w:rPr>
        <w:t xml:space="preserve">icipated in-person, and </w:t>
      </w:r>
      <w:r w:rsidR="00224F4B">
        <w:rPr>
          <w:rFonts w:ascii="Cambria" w:hAnsi="Cambria"/>
        </w:rPr>
        <w:t>fourteen registered to</w:t>
      </w:r>
      <w:r w:rsidRPr="00224F4B">
        <w:rPr>
          <w:rFonts w:ascii="Cambria" w:hAnsi="Cambria"/>
        </w:rPr>
        <w:t xml:space="preserve"> participate via webinar.</w:t>
      </w:r>
      <w:r w:rsidRPr="00BE2F6C">
        <w:rPr>
          <w:rFonts w:ascii="Cambria" w:hAnsi="Cambria"/>
        </w:rPr>
        <w:t xml:space="preserve"> A full list is provided in Appendix A</w:t>
      </w:r>
      <w:r w:rsidR="0005455B" w:rsidRPr="00BE2F6C">
        <w:rPr>
          <w:rFonts w:ascii="Cambria" w:hAnsi="Cambria"/>
        </w:rPr>
        <w:t xml:space="preserve">: </w:t>
      </w:r>
      <w:r w:rsidR="002E39C3" w:rsidRPr="00BE2F6C">
        <w:rPr>
          <w:rFonts w:ascii="Cambria" w:hAnsi="Cambria"/>
        </w:rPr>
        <w:t>In-Person and Webinar Participation.</w:t>
      </w:r>
    </w:p>
    <w:p w14:paraId="74DB424B" w14:textId="77777777" w:rsidR="00F25126" w:rsidRPr="00BE2F6C" w:rsidRDefault="00F25126" w:rsidP="00F25126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1A8B3940" w14:textId="5D32E904" w:rsidR="00F25126" w:rsidRPr="00BE2F6C" w:rsidRDefault="00F25126" w:rsidP="00F25126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E2F6C">
        <w:rPr>
          <w:rFonts w:ascii="Cambria" w:hAnsi="Cambria"/>
        </w:rPr>
        <w:t xml:space="preserve">Meeting facilitation was provided by Dr. </w:t>
      </w:r>
      <w:r w:rsidR="00135530" w:rsidRPr="00BE2F6C">
        <w:rPr>
          <w:rFonts w:ascii="Cambria" w:hAnsi="Cambria"/>
        </w:rPr>
        <w:t>Jonathan Raab (Raab Associates Ltd)</w:t>
      </w:r>
      <w:r w:rsidRPr="00BE2F6C">
        <w:rPr>
          <w:rFonts w:ascii="Cambria" w:hAnsi="Cambria"/>
        </w:rPr>
        <w:t xml:space="preserve"> and </w:t>
      </w:r>
      <w:r w:rsidR="00AC07F4" w:rsidRPr="00BE2F6C">
        <w:rPr>
          <w:rFonts w:ascii="Cambria" w:hAnsi="Cambria"/>
        </w:rPr>
        <w:t>Ellen Zuckerman</w:t>
      </w:r>
      <w:r w:rsidRPr="00BE2F6C">
        <w:rPr>
          <w:rFonts w:ascii="Cambria" w:hAnsi="Cambria"/>
        </w:rPr>
        <w:t xml:space="preserve"> (</w:t>
      </w:r>
      <w:r w:rsidR="00AC07F4" w:rsidRPr="00BE2F6C">
        <w:rPr>
          <w:rFonts w:ascii="Cambria" w:hAnsi="Cambria"/>
        </w:rPr>
        <w:t>Independent</w:t>
      </w:r>
      <w:r w:rsidRPr="00BE2F6C">
        <w:rPr>
          <w:rFonts w:ascii="Cambria" w:hAnsi="Cambria"/>
        </w:rPr>
        <w:t xml:space="preserve">). Meeting materials, including presentations, are provided on the CAEECC website at </w:t>
      </w:r>
      <w:hyperlink r:id="rId7" w:history="1">
        <w:r w:rsidR="0054148C" w:rsidRPr="00BE2F6C">
          <w:rPr>
            <w:rStyle w:val="Hyperlink"/>
            <w:rFonts w:ascii="Cambria" w:hAnsi="Cambria"/>
          </w:rPr>
          <w:t>https://www.caeecc.org/2-28-19-coordinating-committee-mtg-</w:t>
        </w:r>
      </w:hyperlink>
      <w:r w:rsidR="0054148C" w:rsidRPr="00BE2F6C">
        <w:rPr>
          <w:rFonts w:ascii="Cambria" w:hAnsi="Cambria"/>
        </w:rPr>
        <w:t xml:space="preserve"> </w:t>
      </w:r>
    </w:p>
    <w:p w14:paraId="6A20056B" w14:textId="77777777" w:rsidR="00F25126" w:rsidRPr="00BE2F6C" w:rsidRDefault="00F25126" w:rsidP="00F25126">
      <w:pPr>
        <w:pStyle w:val="NoteLevel11"/>
        <w:tabs>
          <w:tab w:val="clear" w:pos="0"/>
        </w:tabs>
        <w:rPr>
          <w:rFonts w:ascii="Cambria" w:hAnsi="Cambria" w:cs="Times New Roman"/>
        </w:rPr>
      </w:pPr>
    </w:p>
    <w:p w14:paraId="697CCA69" w14:textId="17F62072" w:rsidR="00F25126" w:rsidRPr="00BE2F6C" w:rsidRDefault="00F25126" w:rsidP="00F25126">
      <w:pPr>
        <w:rPr>
          <w:rFonts w:ascii="Cambria" w:hAnsi="Cambria"/>
        </w:rPr>
      </w:pPr>
      <w:r w:rsidRPr="00BE2F6C">
        <w:rPr>
          <w:rFonts w:ascii="Cambria" w:hAnsi="Cambria"/>
        </w:rPr>
        <w:t xml:space="preserve">In this document, </w:t>
      </w:r>
      <w:r w:rsidR="00410C78">
        <w:rPr>
          <w:rFonts w:ascii="Cambria" w:hAnsi="Cambria"/>
        </w:rPr>
        <w:t>some</w:t>
      </w:r>
      <w:r w:rsidRPr="00BE2F6C">
        <w:rPr>
          <w:rFonts w:ascii="Cambria" w:hAnsi="Cambria"/>
        </w:rPr>
        <w:t xml:space="preserve"> discussion is captured without attribution. In s</w:t>
      </w:r>
      <w:r w:rsidR="00410C78">
        <w:rPr>
          <w:rFonts w:ascii="Cambria" w:hAnsi="Cambria"/>
        </w:rPr>
        <w:t>everal</w:t>
      </w:r>
      <w:r w:rsidRPr="00BE2F6C">
        <w:rPr>
          <w:rFonts w:ascii="Cambria" w:hAnsi="Cambria"/>
        </w:rPr>
        <w:t xml:space="preserve"> </w:t>
      </w:r>
      <w:r w:rsidR="00410C78">
        <w:rPr>
          <w:rFonts w:ascii="Cambria" w:hAnsi="Cambria"/>
        </w:rPr>
        <w:t>instances</w:t>
      </w:r>
      <w:r w:rsidRPr="00BE2F6C">
        <w:rPr>
          <w:rFonts w:ascii="Cambria" w:hAnsi="Cambria"/>
        </w:rPr>
        <w:t>, the affiliation of the speaker is identified, because their affiliation is relevant to the comment.</w:t>
      </w:r>
    </w:p>
    <w:p w14:paraId="736E179A" w14:textId="77777777" w:rsidR="00F25126" w:rsidRPr="00BE2F6C" w:rsidRDefault="00F25126" w:rsidP="00F25126">
      <w:pPr>
        <w:rPr>
          <w:rFonts w:ascii="Cambria" w:hAnsi="Cambria"/>
        </w:rPr>
      </w:pPr>
    </w:p>
    <w:p w14:paraId="618C59A4" w14:textId="1B313F63" w:rsidR="00F25126" w:rsidRPr="00BE2F6C" w:rsidRDefault="00F25126" w:rsidP="00F25126">
      <w:pPr>
        <w:rPr>
          <w:rFonts w:ascii="Cambria" w:hAnsi="Cambria"/>
        </w:rPr>
      </w:pPr>
      <w:r w:rsidRPr="00BE2F6C">
        <w:rPr>
          <w:rFonts w:ascii="Cambria" w:hAnsi="Cambria"/>
        </w:rPr>
        <w:t xml:space="preserve">Following the presentations, key </w:t>
      </w:r>
      <w:r w:rsidR="00410C78">
        <w:rPr>
          <w:rFonts w:ascii="Cambria" w:hAnsi="Cambria"/>
        </w:rPr>
        <w:t xml:space="preserve">discussion points, </w:t>
      </w:r>
      <w:r w:rsidRPr="00BE2F6C">
        <w:rPr>
          <w:rFonts w:ascii="Cambria" w:hAnsi="Cambria"/>
        </w:rPr>
        <w:t>clarifying questions or comments are listed</w:t>
      </w:r>
      <w:r w:rsidR="00410C78">
        <w:rPr>
          <w:rFonts w:ascii="Cambria" w:hAnsi="Cambria"/>
        </w:rPr>
        <w:t>,</w:t>
      </w:r>
      <w:r w:rsidRPr="00BE2F6C">
        <w:rPr>
          <w:rFonts w:ascii="Cambria" w:hAnsi="Cambria"/>
        </w:rPr>
        <w:t xml:space="preserve"> and relevant responses to questions are noted. Where multiple responses were given, these responses are listed as sub-bullets. Next Steps, at the end of this document, list all next steps discussed at the meeting. </w:t>
      </w:r>
    </w:p>
    <w:p w14:paraId="6057DB97" w14:textId="77777777" w:rsidR="00F25126" w:rsidRPr="00BE2F6C" w:rsidRDefault="00F25126" w:rsidP="00F25126">
      <w:pPr>
        <w:rPr>
          <w:rFonts w:ascii="Cambria" w:hAnsi="Cambria"/>
        </w:rPr>
      </w:pPr>
    </w:p>
    <w:p w14:paraId="25902917" w14:textId="77777777" w:rsidR="00F25126" w:rsidRPr="00BE2F6C" w:rsidRDefault="00F25126" w:rsidP="00F25126">
      <w:pPr>
        <w:rPr>
          <w:rFonts w:ascii="Cambria" w:hAnsi="Cambria"/>
          <w:b/>
          <w:bCs/>
          <w:smallCaps/>
          <w:sz w:val="26"/>
          <w:szCs w:val="26"/>
        </w:rPr>
      </w:pPr>
      <w:r w:rsidRPr="00BE2F6C">
        <w:rPr>
          <w:rFonts w:ascii="Cambria" w:hAnsi="Cambria"/>
          <w:b/>
          <w:bCs/>
          <w:smallCaps/>
          <w:sz w:val="26"/>
          <w:szCs w:val="26"/>
        </w:rPr>
        <w:t>Session 1: Introductions</w:t>
      </w:r>
    </w:p>
    <w:p w14:paraId="26852D26" w14:textId="77777777" w:rsidR="00F25126" w:rsidRPr="00BE2F6C" w:rsidRDefault="00F25126" w:rsidP="00F25126">
      <w:pPr>
        <w:rPr>
          <w:rFonts w:ascii="Cambria" w:hAnsi="Cambria" w:cs="Times"/>
          <w:sz w:val="22"/>
          <w:szCs w:val="22"/>
        </w:rPr>
      </w:pPr>
    </w:p>
    <w:p w14:paraId="7E030CA7" w14:textId="097BAE2C" w:rsidR="002E39C3" w:rsidRPr="00BE2F6C" w:rsidRDefault="00F25126" w:rsidP="00B70DCA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color w:val="000000"/>
          <w:shd w:val="clear" w:color="auto" w:fill="FFFFFF"/>
        </w:rPr>
      </w:pPr>
      <w:r w:rsidRPr="00BE2F6C">
        <w:rPr>
          <w:rFonts w:ascii="Cambria" w:hAnsi="Cambria"/>
          <w:color w:val="000000"/>
          <w:shd w:val="clear" w:color="auto" w:fill="FFFFFF"/>
        </w:rPr>
        <w:t xml:space="preserve">CAEECC Facilitator </w:t>
      </w:r>
      <w:r w:rsidR="00135530" w:rsidRPr="00BE2F6C">
        <w:rPr>
          <w:rFonts w:ascii="Cambria" w:hAnsi="Cambria"/>
          <w:color w:val="000000"/>
          <w:shd w:val="clear" w:color="auto" w:fill="FFFFFF"/>
        </w:rPr>
        <w:t>J. Raab</w:t>
      </w:r>
      <w:r w:rsidRPr="00BE2F6C">
        <w:rPr>
          <w:rFonts w:ascii="Cambria" w:hAnsi="Cambria"/>
          <w:color w:val="000000"/>
          <w:shd w:val="clear" w:color="auto" w:fill="FFFFFF"/>
        </w:rPr>
        <w:t xml:space="preserve"> opened the meeting and reviewed the agenda</w:t>
      </w:r>
      <w:r w:rsidR="0054148C" w:rsidRPr="00BE2F6C">
        <w:rPr>
          <w:rFonts w:ascii="Cambria" w:hAnsi="Cambria"/>
          <w:color w:val="000000"/>
          <w:shd w:val="clear" w:color="auto" w:fill="FFFFFF"/>
        </w:rPr>
        <w:t xml:space="preserve"> (see link above, </w:t>
      </w:r>
      <w:r w:rsidR="0054148C" w:rsidRPr="00BE2F6C">
        <w:rPr>
          <w:rFonts w:ascii="Cambria" w:hAnsi="Cambria"/>
          <w:i/>
          <w:color w:val="000000"/>
          <w:shd w:val="clear" w:color="auto" w:fill="FFFFFF"/>
        </w:rPr>
        <w:t>Final Agenda</w:t>
      </w:r>
      <w:r w:rsidR="0054148C" w:rsidRPr="00BE2F6C">
        <w:rPr>
          <w:rFonts w:ascii="Cambria" w:hAnsi="Cambria"/>
          <w:color w:val="000000"/>
          <w:shd w:val="clear" w:color="auto" w:fill="FFFFFF"/>
        </w:rPr>
        <w:t>)</w:t>
      </w:r>
      <w:r w:rsidR="009F1DA4" w:rsidRPr="00BE2F6C">
        <w:rPr>
          <w:rFonts w:ascii="Cambria" w:hAnsi="Cambria"/>
          <w:color w:val="000000"/>
          <w:shd w:val="clear" w:color="auto" w:fill="FFFFFF"/>
        </w:rPr>
        <w:t xml:space="preserve">. He </w:t>
      </w:r>
      <w:r w:rsidRPr="00BE2F6C">
        <w:rPr>
          <w:rFonts w:ascii="Cambria" w:hAnsi="Cambria"/>
          <w:color w:val="000000"/>
          <w:shd w:val="clear" w:color="auto" w:fill="FFFFFF"/>
        </w:rPr>
        <w:t xml:space="preserve">explained that the </w:t>
      </w:r>
      <w:r w:rsidR="00B70DCA" w:rsidRPr="00BE2F6C">
        <w:rPr>
          <w:rFonts w:ascii="Cambria" w:hAnsi="Cambria"/>
          <w:color w:val="000000"/>
          <w:shd w:val="clear" w:color="auto" w:fill="FFFFFF"/>
        </w:rPr>
        <w:t xml:space="preserve">goals of the meeting are to: </w:t>
      </w:r>
      <w:r w:rsidR="0054148C" w:rsidRPr="00BE2F6C">
        <w:rPr>
          <w:rFonts w:ascii="Cambria" w:hAnsi="Cambria"/>
          <w:color w:val="000000"/>
          <w:shd w:val="clear" w:color="auto" w:fill="FFFFFF"/>
        </w:rPr>
        <w:br/>
      </w:r>
    </w:p>
    <w:p w14:paraId="762F155B" w14:textId="0966E3D6" w:rsidR="0054148C" w:rsidRPr="00BE2F6C" w:rsidRDefault="0054148C" w:rsidP="00FB29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Discuss issues related to intellectual property and </w:t>
      </w:r>
      <w:r w:rsidR="004B3B19">
        <w:rPr>
          <w:rFonts w:ascii="Cambria" w:hAnsi="Cambria" w:cs="Times New Roman"/>
        </w:rPr>
        <w:t>third-party</w:t>
      </w:r>
      <w:r w:rsidRPr="00BE2F6C">
        <w:rPr>
          <w:rFonts w:ascii="Cambria" w:hAnsi="Cambria" w:cs="Times New Roman"/>
        </w:rPr>
        <w:t xml:space="preserve"> </w:t>
      </w:r>
      <w:r w:rsidR="004B3B19">
        <w:rPr>
          <w:rFonts w:ascii="Cambria" w:hAnsi="Cambria" w:cs="Times New Roman"/>
        </w:rPr>
        <w:t>p</w:t>
      </w:r>
      <w:r w:rsidRPr="00BE2F6C">
        <w:rPr>
          <w:rFonts w:ascii="Cambria" w:hAnsi="Cambria" w:cs="Times New Roman"/>
        </w:rPr>
        <w:t>roviders</w:t>
      </w:r>
      <w:r w:rsidR="009F1DA4" w:rsidRPr="00BE2F6C">
        <w:rPr>
          <w:rFonts w:ascii="Cambria" w:hAnsi="Cambria" w:cs="Times New Roman"/>
        </w:rPr>
        <w:t>.</w:t>
      </w:r>
    </w:p>
    <w:p w14:paraId="2A71F477" w14:textId="3E35E7A3" w:rsidR="009F1DA4" w:rsidRPr="00BE2F6C" w:rsidRDefault="0054148C" w:rsidP="009F1DA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Provide updates on the CAEECC-hosted Market Transformation Working Group (MTWG)</w:t>
      </w:r>
      <w:r w:rsidR="009F1DA4" w:rsidRPr="00BE2F6C">
        <w:rPr>
          <w:rFonts w:ascii="Cambria" w:hAnsi="Cambria" w:cs="Times New Roman"/>
        </w:rPr>
        <w:t>.</w:t>
      </w:r>
    </w:p>
    <w:p w14:paraId="0E7E38A8" w14:textId="3FDAFEB6" w:rsidR="0054148C" w:rsidRPr="00BE2F6C" w:rsidRDefault="00BE2F6C" w:rsidP="009F1DA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Provide an update on the</w:t>
      </w:r>
      <w:r w:rsidR="009F1DA4" w:rsidRPr="00BE2F6C">
        <w:rPr>
          <w:rFonts w:ascii="Cambria" w:hAnsi="Cambria" w:cs="Times New Roman"/>
        </w:rPr>
        <w:t xml:space="preserve"> </w:t>
      </w:r>
      <w:r w:rsidR="0054148C" w:rsidRPr="00BE2F6C">
        <w:rPr>
          <w:rFonts w:ascii="Cambria" w:hAnsi="Cambria" w:cs="Times New Roman"/>
        </w:rPr>
        <w:t>third-party solicitation process</w:t>
      </w:r>
      <w:r w:rsidR="009F1DA4" w:rsidRPr="00BE2F6C">
        <w:rPr>
          <w:rFonts w:ascii="Cambria" w:hAnsi="Cambria" w:cs="Times New Roman"/>
        </w:rPr>
        <w:t>.</w:t>
      </w:r>
    </w:p>
    <w:p w14:paraId="2C9B12C5" w14:textId="5DEEDDC4" w:rsidR="009F1DA4" w:rsidRPr="00BE2F6C" w:rsidRDefault="0054148C" w:rsidP="00FB29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Discuss potential agenda topics for the June CAEECC meeting</w:t>
      </w:r>
      <w:r w:rsidR="009F1DA4" w:rsidRPr="00BE2F6C">
        <w:rPr>
          <w:rFonts w:ascii="Cambria" w:hAnsi="Cambria" w:cs="Times New Roman"/>
        </w:rPr>
        <w:t xml:space="preserve"> and the </w:t>
      </w:r>
      <w:r w:rsidRPr="00BE2F6C">
        <w:rPr>
          <w:rFonts w:ascii="Cambria" w:hAnsi="Cambria" w:cs="Times New Roman"/>
        </w:rPr>
        <w:t>structur</w:t>
      </w:r>
      <w:r w:rsidR="009F1DA4" w:rsidRPr="00BE2F6C">
        <w:rPr>
          <w:rFonts w:ascii="Cambria" w:hAnsi="Cambria" w:cs="Times New Roman"/>
        </w:rPr>
        <w:t>e of the</w:t>
      </w:r>
      <w:r w:rsidRPr="00BE2F6C">
        <w:rPr>
          <w:rFonts w:ascii="Cambria" w:hAnsi="Cambria" w:cs="Times New Roman"/>
        </w:rPr>
        <w:t xml:space="preserve"> August</w:t>
      </w:r>
      <w:r w:rsidR="009F1DA4" w:rsidRPr="00BE2F6C">
        <w:rPr>
          <w:rFonts w:ascii="Cambria" w:hAnsi="Cambria" w:cs="Times New Roman"/>
        </w:rPr>
        <w:t xml:space="preserve"> CAEECC</w:t>
      </w:r>
      <w:r w:rsidRPr="00BE2F6C">
        <w:rPr>
          <w:rFonts w:ascii="Cambria" w:hAnsi="Cambria" w:cs="Times New Roman"/>
        </w:rPr>
        <w:t xml:space="preserve"> meeting on the Annual Budget Advice Letters (ABALs)</w:t>
      </w:r>
      <w:r w:rsidR="009F1DA4" w:rsidRPr="00BE2F6C">
        <w:rPr>
          <w:rFonts w:ascii="Cambria" w:hAnsi="Cambria" w:cs="Times New Roman"/>
        </w:rPr>
        <w:t>.</w:t>
      </w:r>
    </w:p>
    <w:p w14:paraId="7632699C" w14:textId="40D8EE09" w:rsidR="009F1DA4" w:rsidRPr="00BE2F6C" w:rsidRDefault="009F1DA4" w:rsidP="00FB29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Discuss </w:t>
      </w:r>
      <w:r w:rsidR="00BE2F6C" w:rsidRPr="00BE2F6C">
        <w:rPr>
          <w:rFonts w:ascii="Cambria" w:hAnsi="Cambria" w:cs="Times New Roman"/>
        </w:rPr>
        <w:t xml:space="preserve">a </w:t>
      </w:r>
      <w:r w:rsidRPr="00BE2F6C">
        <w:rPr>
          <w:rFonts w:ascii="Cambria" w:hAnsi="Cambria" w:cs="Times New Roman"/>
        </w:rPr>
        <w:t>potential approach/timing for addressing CAEECC Disadvantaged Workers/Workforce Standards per D.18-10-008.</w:t>
      </w:r>
    </w:p>
    <w:p w14:paraId="123CBEED" w14:textId="08987D0D" w:rsidR="009F1DA4" w:rsidRPr="00BE2F6C" w:rsidRDefault="009F1DA4" w:rsidP="00FB29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Provide an update on the CAEECC Evaluation.</w:t>
      </w:r>
    </w:p>
    <w:p w14:paraId="5A681A2A" w14:textId="7F45BE24" w:rsidR="0054148C" w:rsidRPr="00BE2F6C" w:rsidRDefault="009F1DA4" w:rsidP="00FB29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Elect CAEECC Co-Chairs</w:t>
      </w:r>
      <w:r w:rsidR="00BE2F6C" w:rsidRPr="00BE2F6C">
        <w:rPr>
          <w:rFonts w:ascii="Cambria" w:hAnsi="Cambria" w:cs="Times New Roman"/>
        </w:rPr>
        <w:t>.</w:t>
      </w:r>
      <w:r w:rsidR="0054148C" w:rsidRPr="00BE2F6C">
        <w:rPr>
          <w:rFonts w:ascii="Cambria" w:hAnsi="Cambria" w:cs="Times New Roman"/>
        </w:rPr>
        <w:br/>
      </w:r>
    </w:p>
    <w:p w14:paraId="59BB103E" w14:textId="77777777" w:rsidR="00BE2F6C" w:rsidRPr="00BE2F6C" w:rsidRDefault="00BE2F6C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smallCaps/>
          <w:sz w:val="26"/>
          <w:szCs w:val="26"/>
        </w:rPr>
      </w:pPr>
    </w:p>
    <w:p w14:paraId="29ECF9DB" w14:textId="319C7180" w:rsidR="002C2BF0" w:rsidRPr="00BE2F6C" w:rsidRDefault="002C2BF0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smallCaps/>
          <w:sz w:val="26"/>
          <w:szCs w:val="26"/>
        </w:rPr>
      </w:pPr>
      <w:r w:rsidRPr="00BE2F6C">
        <w:rPr>
          <w:rFonts w:ascii="Cambria" w:hAnsi="Cambria"/>
          <w:b/>
          <w:bCs/>
          <w:smallCaps/>
          <w:sz w:val="26"/>
          <w:szCs w:val="26"/>
        </w:rPr>
        <w:t xml:space="preserve">Session 2: </w:t>
      </w:r>
      <w:r w:rsidR="0054148C" w:rsidRPr="00BE2F6C">
        <w:rPr>
          <w:rFonts w:ascii="Cambria" w:hAnsi="Cambria"/>
          <w:b/>
          <w:bCs/>
          <w:smallCaps/>
          <w:sz w:val="26"/>
          <w:szCs w:val="26"/>
        </w:rPr>
        <w:t>Intellectual Property</w:t>
      </w:r>
    </w:p>
    <w:p w14:paraId="033A1E01" w14:textId="77777777" w:rsidR="002C2BF0" w:rsidRPr="00BE2F6C" w:rsidRDefault="002C2BF0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/>
        </w:rPr>
      </w:pPr>
    </w:p>
    <w:p w14:paraId="679DBEDD" w14:textId="4A810DE6" w:rsidR="002C2BF0" w:rsidRPr="00BE2F6C" w:rsidRDefault="0054148C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i/>
        </w:rPr>
      </w:pPr>
      <w:r w:rsidRPr="00BE2F6C">
        <w:rPr>
          <w:rFonts w:ascii="Cambria" w:hAnsi="Cambria"/>
          <w:b/>
          <w:i/>
        </w:rPr>
        <w:t xml:space="preserve">Sharing ratepayer funded data and intellectual property </w:t>
      </w:r>
      <w:r w:rsidR="002C2BF0" w:rsidRPr="00BE2F6C">
        <w:rPr>
          <w:rFonts w:ascii="Cambria" w:hAnsi="Cambria"/>
          <w:b/>
          <w:i/>
        </w:rPr>
        <w:t xml:space="preserve">– </w:t>
      </w:r>
      <w:r w:rsidRPr="00BE2F6C">
        <w:rPr>
          <w:rFonts w:ascii="Cambria" w:hAnsi="Cambria"/>
          <w:b/>
          <w:i/>
        </w:rPr>
        <w:t xml:space="preserve">Alison </w:t>
      </w:r>
      <w:proofErr w:type="spellStart"/>
      <w:r w:rsidRPr="00BE2F6C">
        <w:rPr>
          <w:rFonts w:ascii="Cambria" w:hAnsi="Cambria"/>
          <w:b/>
          <w:i/>
        </w:rPr>
        <w:t>LaBonte</w:t>
      </w:r>
      <w:proofErr w:type="spellEnd"/>
      <w:r w:rsidRPr="00BE2F6C">
        <w:rPr>
          <w:rFonts w:ascii="Cambria" w:hAnsi="Cambria"/>
          <w:b/>
          <w:i/>
        </w:rPr>
        <w:t xml:space="preserve">, California </w:t>
      </w:r>
      <w:r w:rsidRPr="00BE2F6C">
        <w:rPr>
          <w:rFonts w:ascii="Cambria" w:hAnsi="Cambria"/>
          <w:b/>
          <w:i/>
        </w:rPr>
        <w:lastRenderedPageBreak/>
        <w:t>Public Utilities Commission (CPUC)</w:t>
      </w:r>
    </w:p>
    <w:p w14:paraId="66784A02" w14:textId="239416EE" w:rsidR="00CE6BAC" w:rsidRPr="00BE2F6C" w:rsidRDefault="00CE6BAC" w:rsidP="00CE6BAC">
      <w:pPr>
        <w:rPr>
          <w:rFonts w:ascii="Cambria" w:hAnsi="Cambria"/>
        </w:rPr>
      </w:pPr>
      <w:r w:rsidRPr="00BE2F6C">
        <w:rPr>
          <w:rFonts w:ascii="Cambria" w:hAnsi="Cambria"/>
        </w:rPr>
        <w:t>This presentation is available on the CAEECC website (see link above</w:t>
      </w:r>
      <w:r w:rsidR="0054148C" w:rsidRPr="00BE2F6C">
        <w:rPr>
          <w:rFonts w:ascii="Cambria" w:hAnsi="Cambria"/>
        </w:rPr>
        <w:t xml:space="preserve">, </w:t>
      </w:r>
      <w:r w:rsidR="0054148C" w:rsidRPr="00BE2F6C">
        <w:rPr>
          <w:rFonts w:ascii="Cambria" w:hAnsi="Cambria"/>
          <w:i/>
        </w:rPr>
        <w:t>Session 2- Sharing Ratepayer Funded Data and Intellectual Property 2-22-19</w:t>
      </w:r>
      <w:r w:rsidRPr="00BE2F6C">
        <w:rPr>
          <w:rFonts w:ascii="Cambria" w:hAnsi="Cambria"/>
        </w:rPr>
        <w:t>).</w:t>
      </w:r>
    </w:p>
    <w:p w14:paraId="19793485" w14:textId="77777777" w:rsidR="0001703F" w:rsidRPr="00BE2F6C" w:rsidRDefault="0001703F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</w:rPr>
      </w:pPr>
    </w:p>
    <w:p w14:paraId="06A9DEE8" w14:textId="6D2752F0" w:rsidR="0001703F" w:rsidRPr="00BE2F6C" w:rsidRDefault="0001703F" w:rsidP="00605883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BE2F6C">
        <w:rPr>
          <w:u w:val="single"/>
        </w:rPr>
        <w:t xml:space="preserve">Clarifying Questions </w:t>
      </w:r>
      <w:r w:rsidR="0040380B" w:rsidRPr="00BE2F6C">
        <w:rPr>
          <w:u w:val="single"/>
        </w:rPr>
        <w:t>and Key Discussion Points</w:t>
      </w:r>
      <w:r w:rsidRPr="00BE2F6C">
        <w:t xml:space="preserve">: </w:t>
      </w:r>
      <w:r w:rsidR="00605883" w:rsidRPr="00BE2F6C">
        <w:rPr>
          <w:u w:val="single"/>
        </w:rPr>
        <w:br/>
      </w:r>
    </w:p>
    <w:p w14:paraId="54572416" w14:textId="4F79F3FD" w:rsidR="006954A1" w:rsidRPr="00BE2F6C" w:rsidRDefault="006954A1" w:rsidP="006954A1">
      <w:pPr>
        <w:pStyle w:val="ListParagraph"/>
        <w:numPr>
          <w:ilvl w:val="0"/>
          <w:numId w:val="23"/>
        </w:numPr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A. </w:t>
      </w:r>
      <w:proofErr w:type="spellStart"/>
      <w:r w:rsidRPr="00BE2F6C">
        <w:rPr>
          <w:rFonts w:ascii="Cambria" w:hAnsi="Cambria" w:cs="Times New Roman"/>
        </w:rPr>
        <w:t>LaBonte</w:t>
      </w:r>
      <w:proofErr w:type="spellEnd"/>
      <w:r w:rsidRPr="00BE2F6C">
        <w:rPr>
          <w:rFonts w:ascii="Cambria" w:hAnsi="Cambria" w:cs="Times New Roman"/>
        </w:rPr>
        <w:t xml:space="preserve"> explained that she would like feedback and example use cases </w:t>
      </w:r>
      <w:r w:rsidR="00BE2F6C" w:rsidRPr="00BE2F6C">
        <w:rPr>
          <w:rFonts w:ascii="Cambria" w:hAnsi="Cambria" w:cs="Times New Roman"/>
        </w:rPr>
        <w:t>as it relates to</w:t>
      </w:r>
      <w:r w:rsidRPr="00BE2F6C">
        <w:rPr>
          <w:rFonts w:ascii="Cambria" w:hAnsi="Cambria" w:cs="Times New Roman"/>
        </w:rPr>
        <w:t xml:space="preserve"> two areas: (1) How new </w:t>
      </w:r>
      <w:r w:rsidR="00BE2F6C" w:rsidRPr="00BE2F6C">
        <w:rPr>
          <w:rFonts w:ascii="Cambria" w:hAnsi="Cambria" w:cs="Times New Roman"/>
        </w:rPr>
        <w:t xml:space="preserve">third-party </w:t>
      </w:r>
      <w:r w:rsidRPr="00BE2F6C">
        <w:rPr>
          <w:rFonts w:ascii="Cambria" w:hAnsi="Cambria" w:cs="Times New Roman"/>
        </w:rPr>
        <w:t xml:space="preserve">contracts should be structured for data collection and reporting; and (2) </w:t>
      </w:r>
      <w:r w:rsidR="008125C3" w:rsidRPr="00BE2F6C">
        <w:rPr>
          <w:rFonts w:ascii="Cambria" w:hAnsi="Cambria" w:cs="Times New Roman"/>
        </w:rPr>
        <w:t xml:space="preserve">How historical data </w:t>
      </w:r>
      <w:r w:rsidR="00BE2F6C" w:rsidRPr="00BE2F6C">
        <w:rPr>
          <w:rFonts w:ascii="Cambria" w:hAnsi="Cambria" w:cs="Times New Roman"/>
        </w:rPr>
        <w:t>sh</w:t>
      </w:r>
      <w:r w:rsidR="008125C3" w:rsidRPr="00BE2F6C">
        <w:rPr>
          <w:rFonts w:ascii="Cambria" w:hAnsi="Cambria" w:cs="Times New Roman"/>
        </w:rPr>
        <w:t>ould be use</w:t>
      </w:r>
      <w:r w:rsidR="00BE2F6C" w:rsidRPr="00BE2F6C">
        <w:rPr>
          <w:rFonts w:ascii="Cambria" w:hAnsi="Cambria" w:cs="Times New Roman"/>
        </w:rPr>
        <w:t>d</w:t>
      </w:r>
      <w:r w:rsidR="008125C3" w:rsidRPr="00BE2F6C">
        <w:rPr>
          <w:rFonts w:ascii="Cambria" w:hAnsi="Cambria" w:cs="Times New Roman"/>
        </w:rPr>
        <w:t xml:space="preserve"> to inform new third-party program designs</w:t>
      </w:r>
      <w:r w:rsidRPr="00BE2F6C">
        <w:rPr>
          <w:rFonts w:ascii="Cambria" w:hAnsi="Cambria" w:cs="Times New Roman"/>
        </w:rPr>
        <w:t xml:space="preserve">. She </w:t>
      </w:r>
      <w:r w:rsidR="00280C62" w:rsidRPr="00BE2F6C">
        <w:rPr>
          <w:rFonts w:ascii="Cambria" w:hAnsi="Cambria" w:cs="Times New Roman"/>
        </w:rPr>
        <w:t xml:space="preserve">stressed </w:t>
      </w:r>
      <w:r w:rsidRPr="00BE2F6C">
        <w:rPr>
          <w:rFonts w:ascii="Cambria" w:hAnsi="Cambria" w:cs="Times New Roman"/>
        </w:rPr>
        <w:t>that feedback on the first issue is more time sensitive.</w:t>
      </w:r>
      <w:r w:rsidR="008125C3" w:rsidRPr="00BE2F6C">
        <w:rPr>
          <w:rFonts w:ascii="Cambria" w:hAnsi="Cambria" w:cs="Times New Roman"/>
        </w:rPr>
        <w:br/>
      </w:r>
    </w:p>
    <w:p w14:paraId="456FF011" w14:textId="34EB13BB" w:rsidR="008125C3" w:rsidRPr="00BE2F6C" w:rsidRDefault="008125C3" w:rsidP="008125C3">
      <w:pPr>
        <w:pStyle w:val="ListParagraph"/>
        <w:numPr>
          <w:ilvl w:val="1"/>
          <w:numId w:val="23"/>
        </w:numPr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During the ensuing conversation, J. Raab recorded the identified use cases and related </w:t>
      </w:r>
      <w:r w:rsidR="00BE2F6C" w:rsidRPr="00BE2F6C">
        <w:rPr>
          <w:rFonts w:ascii="Cambria" w:hAnsi="Cambria" w:cs="Times New Roman"/>
        </w:rPr>
        <w:t xml:space="preserve">attributes for </w:t>
      </w:r>
      <w:r w:rsidR="001C2521">
        <w:rPr>
          <w:rFonts w:ascii="Cambria" w:hAnsi="Cambria" w:cs="Times New Roman"/>
        </w:rPr>
        <w:t>some</w:t>
      </w:r>
      <w:r w:rsidR="001C2521" w:rsidRPr="00BE2F6C">
        <w:rPr>
          <w:rFonts w:ascii="Cambria" w:hAnsi="Cambria" w:cs="Times New Roman"/>
        </w:rPr>
        <w:t xml:space="preserve"> </w:t>
      </w:r>
      <w:r w:rsidRPr="00BE2F6C">
        <w:rPr>
          <w:rFonts w:ascii="Cambria" w:hAnsi="Cambria" w:cs="Times New Roman"/>
        </w:rPr>
        <w:t>use case</w:t>
      </w:r>
      <w:r w:rsidR="00815927">
        <w:rPr>
          <w:rFonts w:ascii="Cambria" w:hAnsi="Cambria" w:cs="Times New Roman"/>
        </w:rPr>
        <w:t>s</w:t>
      </w:r>
      <w:r w:rsidRPr="00BE2F6C">
        <w:rPr>
          <w:rFonts w:ascii="Cambria" w:hAnsi="Cambria" w:cs="Times New Roman"/>
        </w:rPr>
        <w:t xml:space="preserve"> (</w:t>
      </w:r>
      <w:r w:rsidR="00BE2F6C" w:rsidRPr="00BE2F6C">
        <w:rPr>
          <w:rFonts w:ascii="Cambria" w:hAnsi="Cambria" w:cs="Times New Roman"/>
        </w:rPr>
        <w:t>s</w:t>
      </w:r>
      <w:r w:rsidRPr="00BE2F6C">
        <w:rPr>
          <w:rFonts w:ascii="Cambria" w:hAnsi="Cambria" w:cs="Times New Roman"/>
        </w:rPr>
        <w:t>ee Appendix B).</w:t>
      </w:r>
    </w:p>
    <w:p w14:paraId="3239DE31" w14:textId="77777777" w:rsidR="006954A1" w:rsidRPr="00BE2F6C" w:rsidRDefault="006954A1" w:rsidP="008125C3">
      <w:pPr>
        <w:pStyle w:val="ListParagraph"/>
        <w:ind w:left="1440"/>
        <w:rPr>
          <w:rFonts w:ascii="Cambria" w:hAnsi="Cambria" w:cs="Times New Roman"/>
        </w:rPr>
      </w:pPr>
    </w:p>
    <w:p w14:paraId="5289AFE6" w14:textId="2D12CDDA" w:rsidR="00225154" w:rsidRPr="00BE2F6C" w:rsidRDefault="00225154" w:rsidP="0022515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t xml:space="preserve">Erin Brooks, Southern California Gas Company: When we deal </w:t>
      </w:r>
      <w:r w:rsidR="00DC4905" w:rsidRPr="00BE2F6C">
        <w:t>w</w:t>
      </w:r>
      <w:r w:rsidRPr="00BE2F6C">
        <w:t xml:space="preserve">ith </w:t>
      </w:r>
      <w:r w:rsidR="00BE2F6C" w:rsidRPr="00BE2F6C">
        <w:t xml:space="preserve">requests for </w:t>
      </w:r>
      <w:r w:rsidRPr="00BE2F6C">
        <w:t>customer energy us</w:t>
      </w:r>
      <w:r w:rsidR="00BE2F6C" w:rsidRPr="00BE2F6C">
        <w:t>e</w:t>
      </w:r>
      <w:r w:rsidRPr="00BE2F6C">
        <w:t xml:space="preserve"> data, our privacy/legal teams become involved, and there is an energy data request platform that must be used. When planning for programs, third-party implementers need to be thoughtful about the data they are requesting and whether or not </w:t>
      </w:r>
      <w:r w:rsidR="00DC4905" w:rsidRPr="00BE2F6C">
        <w:t>the data they seek</w:t>
      </w:r>
      <w:r w:rsidRPr="00BE2F6C">
        <w:t xml:space="preserve"> is truly necessary. The </w:t>
      </w:r>
      <w:r w:rsidR="008E084B">
        <w:t>investor-owned utilities (IOUs)</w:t>
      </w:r>
      <w:r w:rsidRPr="00BE2F6C">
        <w:t xml:space="preserve"> cannot just hand over data without knowing the </w:t>
      </w:r>
      <w:r w:rsidR="00BE2F6C" w:rsidRPr="00BE2F6C">
        <w:t xml:space="preserve">data’s </w:t>
      </w:r>
      <w:r w:rsidRPr="00BE2F6C">
        <w:t xml:space="preserve">intended </w:t>
      </w:r>
      <w:r w:rsidR="00BE2F6C" w:rsidRPr="00BE2F6C">
        <w:t>use.</w:t>
      </w:r>
      <w:r w:rsidR="00BE2F6C" w:rsidRPr="00BE2F6C">
        <w:br/>
      </w:r>
    </w:p>
    <w:p w14:paraId="60E0896E" w14:textId="1070CD89" w:rsidR="006954A1" w:rsidRPr="00BE2F6C" w:rsidRDefault="006954A1" w:rsidP="00C60EE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t>Laurel Rothschild, The Energy Coalition</w:t>
      </w:r>
      <w:r w:rsidRPr="00BE2F6C">
        <w:rPr>
          <w:rFonts w:ascii="Cambria" w:hAnsi="Cambria" w:cs="Times New Roman"/>
        </w:rPr>
        <w:t>: Does gaining access to data for third-parties include Community Choice Aggregators (CCAs) and Regional Energy Networks (RENs)</w:t>
      </w:r>
      <w:r w:rsidR="008125C3" w:rsidRPr="00BE2F6C">
        <w:rPr>
          <w:rFonts w:ascii="Cambria" w:hAnsi="Cambria" w:cs="Times New Roman"/>
        </w:rPr>
        <w:t xml:space="preserve">? </w:t>
      </w:r>
      <w:r w:rsidRPr="00BE2F6C">
        <w:rPr>
          <w:rFonts w:ascii="Cambria" w:hAnsi="Cambria" w:cs="Times New Roman"/>
        </w:rPr>
        <w:t>We have faced resistance in the past when requesting data.</w:t>
      </w:r>
      <w:r w:rsidR="008125C3" w:rsidRPr="00BE2F6C">
        <w:rPr>
          <w:rFonts w:ascii="Cambria" w:hAnsi="Cambria" w:cs="Times New Roman"/>
        </w:rPr>
        <w:br/>
      </w:r>
    </w:p>
    <w:p w14:paraId="654C243B" w14:textId="0430550E" w:rsidR="006954A1" w:rsidRPr="00BE2F6C" w:rsidRDefault="006954A1" w:rsidP="006954A1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A. </w:t>
      </w:r>
      <w:proofErr w:type="spellStart"/>
      <w:r w:rsidRPr="00BE2F6C">
        <w:rPr>
          <w:rFonts w:ascii="Cambria" w:hAnsi="Cambria" w:cs="Times New Roman"/>
        </w:rPr>
        <w:t>LaBonte</w:t>
      </w:r>
      <w:proofErr w:type="spellEnd"/>
      <w:r w:rsidRPr="00BE2F6C">
        <w:rPr>
          <w:rFonts w:ascii="Cambria" w:hAnsi="Cambria" w:cs="Times New Roman"/>
        </w:rPr>
        <w:t>: It depends on which data</w:t>
      </w:r>
      <w:r w:rsidR="008125C3" w:rsidRPr="00BE2F6C">
        <w:rPr>
          <w:rFonts w:ascii="Cambria" w:hAnsi="Cambria" w:cs="Times New Roman"/>
        </w:rPr>
        <w:t xml:space="preserve"> and</w:t>
      </w:r>
      <w:r w:rsidRPr="00BE2F6C">
        <w:rPr>
          <w:rFonts w:ascii="Cambria" w:hAnsi="Cambria" w:cs="Times New Roman"/>
        </w:rPr>
        <w:t xml:space="preserve"> for what purpose.</w:t>
      </w:r>
    </w:p>
    <w:p w14:paraId="086B9DDF" w14:textId="77777777" w:rsidR="006954A1" w:rsidRPr="00BE2F6C" w:rsidRDefault="006954A1" w:rsidP="008125C3">
      <w:pPr>
        <w:pStyle w:val="ListParagraph"/>
        <w:widowControl w:val="0"/>
        <w:autoSpaceDE w:val="0"/>
        <w:autoSpaceDN w:val="0"/>
        <w:adjustRightInd w:val="0"/>
        <w:spacing w:before="10" w:after="10"/>
        <w:ind w:left="1440"/>
        <w:rPr>
          <w:rFonts w:ascii="Cambria" w:hAnsi="Cambria" w:cs="Times New Roman"/>
        </w:rPr>
      </w:pPr>
    </w:p>
    <w:p w14:paraId="3D90A540" w14:textId="3960CCC5" w:rsidR="008125C3" w:rsidRPr="00BE2F6C" w:rsidRDefault="008125C3" w:rsidP="00C60EE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Marc Costa, The Energy Coalition: With AB 802 now in effect, a lot of large customers are required to publicly disclose</w:t>
      </w:r>
      <w:r w:rsidR="00DC4905" w:rsidRPr="00BE2F6C">
        <w:rPr>
          <w:rFonts w:ascii="Cambria" w:hAnsi="Cambria" w:cs="Times New Roman"/>
        </w:rPr>
        <w:t xml:space="preserve"> and benchmark</w:t>
      </w:r>
      <w:r w:rsidRPr="00BE2F6C">
        <w:rPr>
          <w:rFonts w:ascii="Cambria" w:hAnsi="Cambria" w:cs="Times New Roman"/>
        </w:rPr>
        <w:t xml:space="preserve"> their energy use</w:t>
      </w:r>
      <w:r w:rsidR="00DC4905" w:rsidRPr="00BE2F6C">
        <w:rPr>
          <w:rFonts w:ascii="Cambria" w:hAnsi="Cambria" w:cs="Times New Roman"/>
        </w:rPr>
        <w:t xml:space="preserve">. </w:t>
      </w:r>
      <w:r w:rsidR="00225154" w:rsidRPr="00BE2F6C">
        <w:rPr>
          <w:rFonts w:ascii="Cambria" w:hAnsi="Cambria" w:cs="Times New Roman"/>
        </w:rPr>
        <w:t xml:space="preserve">Given that this data will be available </w:t>
      </w:r>
      <w:r w:rsidR="00DC4905" w:rsidRPr="00BE2F6C">
        <w:rPr>
          <w:rFonts w:ascii="Cambria" w:hAnsi="Cambria" w:cs="Times New Roman"/>
        </w:rPr>
        <w:t>publicly</w:t>
      </w:r>
      <w:r w:rsidR="00225154" w:rsidRPr="00BE2F6C">
        <w:rPr>
          <w:rFonts w:ascii="Cambria" w:hAnsi="Cambria" w:cs="Times New Roman"/>
        </w:rPr>
        <w:t xml:space="preserve">, does </w:t>
      </w:r>
      <w:r w:rsidR="00DC4905" w:rsidRPr="00BE2F6C">
        <w:rPr>
          <w:rFonts w:ascii="Cambria" w:hAnsi="Cambria" w:cs="Times New Roman"/>
        </w:rPr>
        <w:t>this impact the IOUs approach to data sharing?</w:t>
      </w:r>
      <w:r w:rsidR="00DC4905" w:rsidRPr="00BE2F6C">
        <w:rPr>
          <w:rFonts w:ascii="Cambria" w:hAnsi="Cambria" w:cs="Times New Roman"/>
        </w:rPr>
        <w:br/>
      </w:r>
    </w:p>
    <w:p w14:paraId="2EA9A4C4" w14:textId="66BE3728" w:rsidR="00C60EE8" w:rsidRPr="00BE2F6C" w:rsidRDefault="00DC4905" w:rsidP="00DC4905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E. Brooks: The customer still has to authorize the release of data.</w:t>
      </w:r>
      <w:r w:rsidRPr="00BE2F6C">
        <w:rPr>
          <w:rFonts w:ascii="Cambria" w:hAnsi="Cambria" w:cs="Times New Roman"/>
        </w:rPr>
        <w:br/>
      </w:r>
    </w:p>
    <w:p w14:paraId="5492B581" w14:textId="18051C7C" w:rsidR="00DC4905" w:rsidRPr="00BE2F6C" w:rsidRDefault="00C60EE8" w:rsidP="00C60EE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Athena Besa, </w:t>
      </w:r>
      <w:r w:rsidR="00DC4905" w:rsidRPr="00BE2F6C">
        <w:rPr>
          <w:rFonts w:ascii="Cambria" w:hAnsi="Cambria" w:cs="Times New Roman"/>
        </w:rPr>
        <w:t>San Diego Gas and Electric</w:t>
      </w:r>
      <w:r w:rsidRPr="00BE2F6C">
        <w:rPr>
          <w:rFonts w:ascii="Cambria" w:hAnsi="Cambria" w:cs="Times New Roman"/>
        </w:rPr>
        <w:t xml:space="preserve">: We are trying to understand the implications of the recently enacted </w:t>
      </w:r>
      <w:r w:rsidRPr="00BE2F6C">
        <w:rPr>
          <w:rFonts w:ascii="Cambria" w:hAnsi="Cambria" w:cs="Times New Roman"/>
          <w:i/>
        </w:rPr>
        <w:t>Customer Privacy Act</w:t>
      </w:r>
      <w:r w:rsidR="00DC4905" w:rsidRPr="00BE2F6C">
        <w:rPr>
          <w:rFonts w:ascii="Cambria" w:hAnsi="Cambria" w:cs="Times New Roman"/>
          <w:i/>
        </w:rPr>
        <w:t xml:space="preserve">, </w:t>
      </w:r>
      <w:r w:rsidRPr="00BE2F6C">
        <w:rPr>
          <w:rFonts w:ascii="Cambria" w:hAnsi="Cambria" w:cs="Times New Roman"/>
        </w:rPr>
        <w:t xml:space="preserve">which allows customers to opt-out of providing </w:t>
      </w:r>
      <w:r w:rsidR="00BE2F6C">
        <w:rPr>
          <w:rFonts w:ascii="Cambria" w:hAnsi="Cambria" w:cs="Times New Roman"/>
        </w:rPr>
        <w:t xml:space="preserve">their </w:t>
      </w:r>
      <w:r w:rsidRPr="00BE2F6C">
        <w:rPr>
          <w:rFonts w:ascii="Cambria" w:hAnsi="Cambria" w:cs="Times New Roman"/>
        </w:rPr>
        <w:t>data. There are a lot of new rules coming out as a result of this voter-enacted proposition.</w:t>
      </w:r>
      <w:r w:rsidR="00DC4905" w:rsidRPr="00BE2F6C">
        <w:rPr>
          <w:rFonts w:ascii="Cambria" w:hAnsi="Cambria" w:cs="Times New Roman"/>
        </w:rPr>
        <w:br/>
      </w:r>
    </w:p>
    <w:p w14:paraId="7E1E62FB" w14:textId="6ECEF439" w:rsidR="00DC4905" w:rsidRPr="00BE2F6C" w:rsidRDefault="00DC4905" w:rsidP="00DC490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Alice Stover, Marin Clean Energy: We need to have technological platforms and build the necessary infrastructure to support the data </w:t>
      </w:r>
      <w:r w:rsidR="003F2F66">
        <w:rPr>
          <w:rFonts w:ascii="Cambria" w:hAnsi="Cambria" w:cs="Times New Roman"/>
        </w:rPr>
        <w:t>that</w:t>
      </w:r>
      <w:r w:rsidRPr="00BE2F6C">
        <w:rPr>
          <w:rFonts w:ascii="Cambria" w:hAnsi="Cambria" w:cs="Times New Roman"/>
        </w:rPr>
        <w:t xml:space="preserve"> need</w:t>
      </w:r>
      <w:r w:rsidR="003F2F66">
        <w:rPr>
          <w:rFonts w:ascii="Cambria" w:hAnsi="Cambria" w:cs="Times New Roman"/>
        </w:rPr>
        <w:t>s</w:t>
      </w:r>
      <w:r w:rsidRPr="00BE2F6C">
        <w:rPr>
          <w:rFonts w:ascii="Cambria" w:hAnsi="Cambria" w:cs="Times New Roman"/>
        </w:rPr>
        <w:t xml:space="preserve"> to </w:t>
      </w:r>
      <w:r w:rsidR="003F2F66">
        <w:rPr>
          <w:rFonts w:ascii="Cambria" w:hAnsi="Cambria" w:cs="Times New Roman"/>
        </w:rPr>
        <w:t xml:space="preserve">be </w:t>
      </w:r>
      <w:r w:rsidRPr="00BE2F6C">
        <w:rPr>
          <w:rFonts w:ascii="Cambria" w:hAnsi="Cambria" w:cs="Times New Roman"/>
        </w:rPr>
        <w:t>collect</w:t>
      </w:r>
      <w:r w:rsidR="003F2F66">
        <w:rPr>
          <w:rFonts w:ascii="Cambria" w:hAnsi="Cambria" w:cs="Times New Roman"/>
        </w:rPr>
        <w:t>ed</w:t>
      </w:r>
      <w:r w:rsidRPr="00BE2F6C">
        <w:rPr>
          <w:rFonts w:ascii="Cambria" w:hAnsi="Cambria" w:cs="Times New Roman"/>
        </w:rPr>
        <w:t>. This is a barrier that needs to be addressed.</w:t>
      </w:r>
      <w:r w:rsidRPr="00BE2F6C">
        <w:rPr>
          <w:rFonts w:ascii="Cambria" w:hAnsi="Cambria" w:cs="Times New Roman"/>
        </w:rPr>
        <w:br/>
      </w:r>
    </w:p>
    <w:p w14:paraId="350006E3" w14:textId="519C6141" w:rsidR="0014424F" w:rsidRPr="00BE2F6C" w:rsidRDefault="00DC4905" w:rsidP="00DC490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Dan </w:t>
      </w:r>
      <w:proofErr w:type="spellStart"/>
      <w:r w:rsidRPr="00BE2F6C">
        <w:rPr>
          <w:rFonts w:ascii="Cambria" w:hAnsi="Cambria" w:cs="Times New Roman"/>
        </w:rPr>
        <w:t>Suyeyasu</w:t>
      </w:r>
      <w:proofErr w:type="spellEnd"/>
      <w:r w:rsidRPr="00BE2F6C">
        <w:rPr>
          <w:rFonts w:ascii="Cambria" w:hAnsi="Cambria" w:cs="Times New Roman"/>
        </w:rPr>
        <w:t xml:space="preserve">, CodeCycle: There is a big difference between </w:t>
      </w:r>
      <w:r w:rsidR="00076479" w:rsidRPr="00BE2F6C">
        <w:rPr>
          <w:rFonts w:ascii="Cambria" w:hAnsi="Cambria" w:cs="Times New Roman"/>
        </w:rPr>
        <w:t xml:space="preserve">the </w:t>
      </w:r>
      <w:r w:rsidRPr="00BE2F6C">
        <w:rPr>
          <w:rFonts w:ascii="Cambria" w:hAnsi="Cambria" w:cs="Times New Roman"/>
        </w:rPr>
        <w:t xml:space="preserve">data </w:t>
      </w:r>
      <w:r w:rsidR="0014424F" w:rsidRPr="00BE2F6C">
        <w:rPr>
          <w:rFonts w:ascii="Cambria" w:hAnsi="Cambria" w:cs="Times New Roman"/>
        </w:rPr>
        <w:t>third</w:t>
      </w:r>
      <w:r w:rsidR="004B3B19">
        <w:rPr>
          <w:rFonts w:ascii="Cambria" w:hAnsi="Cambria" w:cs="Times New Roman"/>
        </w:rPr>
        <w:t>-</w:t>
      </w:r>
      <w:r w:rsidR="0014424F" w:rsidRPr="00BE2F6C">
        <w:rPr>
          <w:rFonts w:ascii="Cambria" w:hAnsi="Cambria" w:cs="Times New Roman"/>
        </w:rPr>
        <w:t>parties</w:t>
      </w:r>
      <w:r w:rsidRPr="00BE2F6C">
        <w:rPr>
          <w:rFonts w:ascii="Cambria" w:hAnsi="Cambria" w:cs="Times New Roman"/>
        </w:rPr>
        <w:t xml:space="preserve"> are collecting and </w:t>
      </w:r>
      <w:r w:rsidR="004B3B19">
        <w:rPr>
          <w:rFonts w:ascii="Cambria" w:hAnsi="Cambria" w:cs="Times New Roman"/>
        </w:rPr>
        <w:t xml:space="preserve">the </w:t>
      </w:r>
      <w:r w:rsidRPr="00BE2F6C">
        <w:rPr>
          <w:rFonts w:ascii="Cambria" w:hAnsi="Cambria" w:cs="Times New Roman"/>
        </w:rPr>
        <w:t>dat</w:t>
      </w:r>
      <w:r w:rsidR="00076479" w:rsidRPr="00BE2F6C">
        <w:rPr>
          <w:rFonts w:ascii="Cambria" w:hAnsi="Cambria" w:cs="Times New Roman"/>
        </w:rPr>
        <w:t>a</w:t>
      </w:r>
      <w:r w:rsidR="0014424F" w:rsidRPr="00BE2F6C">
        <w:rPr>
          <w:rFonts w:ascii="Cambria" w:hAnsi="Cambria" w:cs="Times New Roman"/>
        </w:rPr>
        <w:t xml:space="preserve"> they</w:t>
      </w:r>
      <w:r w:rsidRPr="00BE2F6C">
        <w:rPr>
          <w:rFonts w:ascii="Cambria" w:hAnsi="Cambria" w:cs="Times New Roman"/>
        </w:rPr>
        <w:t xml:space="preserve"> are producing </w:t>
      </w:r>
      <w:r w:rsidR="0014424F" w:rsidRPr="00BE2F6C">
        <w:rPr>
          <w:rFonts w:ascii="Cambria" w:hAnsi="Cambria" w:cs="Times New Roman"/>
        </w:rPr>
        <w:t xml:space="preserve">through their </w:t>
      </w:r>
      <w:r w:rsidRPr="00BE2F6C">
        <w:rPr>
          <w:rFonts w:ascii="Cambria" w:hAnsi="Cambria" w:cs="Times New Roman"/>
        </w:rPr>
        <w:t xml:space="preserve">analytics. </w:t>
      </w:r>
      <w:r w:rsidR="0014424F" w:rsidRPr="00BE2F6C">
        <w:rPr>
          <w:rFonts w:ascii="Cambria" w:hAnsi="Cambria" w:cs="Times New Roman"/>
        </w:rPr>
        <w:t>Third</w:t>
      </w:r>
      <w:r w:rsidR="004B3B19">
        <w:rPr>
          <w:rFonts w:ascii="Cambria" w:hAnsi="Cambria" w:cs="Times New Roman"/>
        </w:rPr>
        <w:t>-</w:t>
      </w:r>
      <w:r w:rsidR="0014424F" w:rsidRPr="00BE2F6C">
        <w:rPr>
          <w:rFonts w:ascii="Cambria" w:hAnsi="Cambria" w:cs="Times New Roman"/>
        </w:rPr>
        <w:t>parties</w:t>
      </w:r>
      <w:r w:rsidRPr="00BE2F6C">
        <w:rPr>
          <w:rFonts w:ascii="Cambria" w:hAnsi="Cambria" w:cs="Times New Roman"/>
        </w:rPr>
        <w:t xml:space="preserve"> are </w:t>
      </w:r>
      <w:r w:rsidRPr="00BE2F6C">
        <w:rPr>
          <w:rFonts w:ascii="Cambria" w:hAnsi="Cambria" w:cs="Times New Roman"/>
        </w:rPr>
        <w:lastRenderedPageBreak/>
        <w:t>much more sensitive about the latter</w:t>
      </w:r>
      <w:r w:rsidR="004B3B19">
        <w:rPr>
          <w:rFonts w:ascii="Cambria" w:hAnsi="Cambria" w:cs="Times New Roman"/>
        </w:rPr>
        <w:t xml:space="preserve">. These </w:t>
      </w:r>
      <w:r w:rsidRPr="00BE2F6C">
        <w:rPr>
          <w:rFonts w:ascii="Cambria" w:hAnsi="Cambria" w:cs="Times New Roman"/>
        </w:rPr>
        <w:t>different scenarios may necessitate different approach</w:t>
      </w:r>
      <w:r w:rsidR="00076479" w:rsidRPr="00BE2F6C">
        <w:rPr>
          <w:rFonts w:ascii="Cambria" w:hAnsi="Cambria" w:cs="Times New Roman"/>
        </w:rPr>
        <w:t>es</w:t>
      </w:r>
      <w:r w:rsidRPr="00BE2F6C">
        <w:rPr>
          <w:rFonts w:ascii="Cambria" w:hAnsi="Cambria" w:cs="Times New Roman"/>
        </w:rPr>
        <w:t>.</w:t>
      </w:r>
      <w:r w:rsidR="00556CAD" w:rsidRPr="00BE2F6C">
        <w:rPr>
          <w:rFonts w:ascii="Cambria" w:hAnsi="Cambria" w:cs="Times New Roman"/>
        </w:rPr>
        <w:t xml:space="preserve"> Professors or researchers on intellectual property (IP) could provide a useful p</w:t>
      </w:r>
      <w:r w:rsidR="001C2521">
        <w:rPr>
          <w:rFonts w:ascii="Cambria" w:hAnsi="Cambria" w:cs="Times New Roman"/>
        </w:rPr>
        <w:t>er</w:t>
      </w:r>
      <w:r w:rsidR="00556CAD" w:rsidRPr="00BE2F6C">
        <w:rPr>
          <w:rFonts w:ascii="Cambria" w:hAnsi="Cambria" w:cs="Times New Roman"/>
        </w:rPr>
        <w:t xml:space="preserve">spective </w:t>
      </w:r>
      <w:r w:rsidR="0014424F" w:rsidRPr="00BE2F6C">
        <w:rPr>
          <w:rFonts w:ascii="Cambria" w:hAnsi="Cambria" w:cs="Times New Roman"/>
        </w:rPr>
        <w:t>on th</w:t>
      </w:r>
      <w:r w:rsidR="00076479" w:rsidRPr="00BE2F6C">
        <w:rPr>
          <w:rFonts w:ascii="Cambria" w:hAnsi="Cambria" w:cs="Times New Roman"/>
        </w:rPr>
        <w:t>ese</w:t>
      </w:r>
      <w:r w:rsidR="0014424F" w:rsidRPr="00BE2F6C">
        <w:rPr>
          <w:rFonts w:ascii="Cambria" w:hAnsi="Cambria" w:cs="Times New Roman"/>
        </w:rPr>
        <w:t xml:space="preserve"> issue</w:t>
      </w:r>
      <w:r w:rsidR="00076479" w:rsidRPr="00BE2F6C">
        <w:rPr>
          <w:rFonts w:ascii="Cambria" w:hAnsi="Cambria" w:cs="Times New Roman"/>
        </w:rPr>
        <w:t>s</w:t>
      </w:r>
      <w:r w:rsidR="00556CAD" w:rsidRPr="00BE2F6C">
        <w:rPr>
          <w:rFonts w:ascii="Cambria" w:hAnsi="Cambria" w:cs="Times New Roman"/>
        </w:rPr>
        <w:t xml:space="preserve">. We must also be cognizant of </w:t>
      </w:r>
      <w:r w:rsidR="0014424F" w:rsidRPr="00BE2F6C">
        <w:rPr>
          <w:rFonts w:ascii="Cambria" w:hAnsi="Cambria" w:cs="Times New Roman"/>
        </w:rPr>
        <w:t>a potential “chilling effect”</w:t>
      </w:r>
      <w:r w:rsidR="004B3B19">
        <w:rPr>
          <w:rFonts w:ascii="Cambria" w:hAnsi="Cambria" w:cs="Times New Roman"/>
        </w:rPr>
        <w:t xml:space="preserve"> that data reporting and tracking may cause.</w:t>
      </w:r>
      <w:r w:rsidR="0014424F" w:rsidRPr="00BE2F6C">
        <w:rPr>
          <w:rFonts w:ascii="Cambria" w:hAnsi="Cambria" w:cs="Times New Roman"/>
        </w:rPr>
        <w:t xml:space="preserve"> For example, some third</w:t>
      </w:r>
      <w:r w:rsidR="004B3B19">
        <w:rPr>
          <w:rFonts w:ascii="Cambria" w:hAnsi="Cambria" w:cs="Times New Roman"/>
        </w:rPr>
        <w:t>-</w:t>
      </w:r>
      <w:r w:rsidR="0014424F" w:rsidRPr="00BE2F6C">
        <w:rPr>
          <w:rFonts w:ascii="Cambria" w:hAnsi="Cambria" w:cs="Times New Roman"/>
        </w:rPr>
        <w:t xml:space="preserve">parties are not responding to </w:t>
      </w:r>
      <w:r w:rsidR="004B3B19">
        <w:rPr>
          <w:rFonts w:ascii="Cambria" w:hAnsi="Cambria" w:cs="Times New Roman"/>
        </w:rPr>
        <w:t xml:space="preserve">the </w:t>
      </w:r>
      <w:r w:rsidR="0014424F" w:rsidRPr="00BE2F6C">
        <w:rPr>
          <w:rFonts w:ascii="Cambria" w:hAnsi="Cambria" w:cs="Times New Roman"/>
        </w:rPr>
        <w:t>third</w:t>
      </w:r>
      <w:r w:rsidR="004B3B19">
        <w:rPr>
          <w:rFonts w:ascii="Cambria" w:hAnsi="Cambria" w:cs="Times New Roman"/>
        </w:rPr>
        <w:t>-</w:t>
      </w:r>
      <w:r w:rsidR="0014424F" w:rsidRPr="00BE2F6C">
        <w:rPr>
          <w:rFonts w:ascii="Cambria" w:hAnsi="Cambria" w:cs="Times New Roman"/>
        </w:rPr>
        <w:t>party solicitations because of IP concerns.</w:t>
      </w:r>
      <w:r w:rsidR="0014424F" w:rsidRPr="00BE2F6C">
        <w:rPr>
          <w:rFonts w:ascii="Cambria" w:hAnsi="Cambria" w:cs="Times New Roman"/>
        </w:rPr>
        <w:br/>
      </w:r>
    </w:p>
    <w:p w14:paraId="01FDAC7A" w14:textId="46538DDE" w:rsidR="001C2521" w:rsidRPr="00205DBD" w:rsidRDefault="0014424F" w:rsidP="00815927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Arial" w:hAnsi="Arial" w:cs="Arial"/>
          <w:color w:val="C0C0C0"/>
          <w:sz w:val="27"/>
          <w:szCs w:val="27"/>
          <w:bdr w:val="none" w:sz="0" w:space="0" w:color="auto" w:frame="1"/>
        </w:rPr>
      </w:pPr>
      <w:r w:rsidRPr="00BE2F6C">
        <w:rPr>
          <w:rFonts w:ascii="Cambria" w:hAnsi="Cambria" w:cs="Times New Roman"/>
        </w:rPr>
        <w:t xml:space="preserve">A. </w:t>
      </w:r>
      <w:proofErr w:type="spellStart"/>
      <w:r w:rsidRPr="00BE2F6C">
        <w:rPr>
          <w:rFonts w:ascii="Cambria" w:hAnsi="Cambria" w:cs="Times New Roman"/>
        </w:rPr>
        <w:t>Haubenstock</w:t>
      </w:r>
      <w:proofErr w:type="spellEnd"/>
      <w:r w:rsidRPr="00BE2F6C">
        <w:rPr>
          <w:rFonts w:ascii="Cambria" w:hAnsi="Cambria" w:cs="Times New Roman"/>
        </w:rPr>
        <w:t xml:space="preserve">: A chilling effect can happen </w:t>
      </w:r>
      <w:r w:rsidR="00076479" w:rsidRPr="00BE2F6C">
        <w:rPr>
          <w:rFonts w:ascii="Cambria" w:hAnsi="Cambria" w:cs="Times New Roman"/>
        </w:rPr>
        <w:t xml:space="preserve">even </w:t>
      </w:r>
      <w:r w:rsidRPr="00BE2F6C">
        <w:rPr>
          <w:rFonts w:ascii="Cambria" w:hAnsi="Cambria" w:cs="Times New Roman"/>
        </w:rPr>
        <w:t>before a third</w:t>
      </w:r>
      <w:r w:rsidR="004B3B19">
        <w:rPr>
          <w:rFonts w:ascii="Cambria" w:hAnsi="Cambria" w:cs="Times New Roman"/>
        </w:rPr>
        <w:t>-</w:t>
      </w:r>
      <w:r w:rsidRPr="00BE2F6C">
        <w:rPr>
          <w:rFonts w:ascii="Cambria" w:hAnsi="Cambria" w:cs="Times New Roman"/>
        </w:rPr>
        <w:t>party participates in a program.</w:t>
      </w:r>
      <w:r w:rsidR="00076479" w:rsidRPr="00BE2F6C">
        <w:rPr>
          <w:rFonts w:ascii="Cambria" w:hAnsi="Cambria" w:cs="Times New Roman"/>
        </w:rPr>
        <w:t xml:space="preserve"> The California Efficiency + Demand Management Council would be happy to convene a conversation with research and legal experts on these issues, per Dan’s recommendation.</w:t>
      </w:r>
      <w:r w:rsidR="00625429">
        <w:rPr>
          <w:rFonts w:ascii="Cambria" w:hAnsi="Cambria" w:cs="Times New Roman"/>
        </w:rPr>
        <w:br/>
      </w:r>
    </w:p>
    <w:p w14:paraId="4D5DF8AE" w14:textId="1216D977" w:rsidR="00DD675B" w:rsidRPr="00BE2F6C" w:rsidRDefault="001C2521" w:rsidP="00DD675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C</w:t>
      </w:r>
      <w:r w:rsidR="00205DBD">
        <w:rPr>
          <w:rFonts w:ascii="Cambria" w:hAnsi="Cambria" w:cs="Times New Roman"/>
        </w:rPr>
        <w:t xml:space="preserve">ody </w:t>
      </w:r>
      <w:r w:rsidRPr="00AF6BD9">
        <w:rPr>
          <w:rFonts w:ascii="Cambria" w:hAnsi="Cambria" w:cs="Times New Roman"/>
        </w:rPr>
        <w:t>Coeckelenbergh</w:t>
      </w:r>
      <w:r w:rsidR="00205DBD">
        <w:rPr>
          <w:rFonts w:ascii="Cambria" w:hAnsi="Cambria" w:cs="Times New Roman"/>
        </w:rPr>
        <w:t xml:space="preserve">, </w:t>
      </w:r>
      <w:r w:rsidR="00205DBD" w:rsidRPr="00205DBD">
        <w:rPr>
          <w:rFonts w:ascii="Cambria" w:hAnsi="Cambria" w:cs="Times New Roman"/>
        </w:rPr>
        <w:t>Lincus, Inc.</w:t>
      </w:r>
      <w:r w:rsidRPr="00AF6BD9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</w:t>
      </w:r>
      <w:r w:rsidR="00625429">
        <w:rPr>
          <w:rFonts w:ascii="Cambria" w:hAnsi="Cambria" w:cs="Times New Roman"/>
        </w:rPr>
        <w:t xml:space="preserve">We are concerned about releasing data publicly that may benefit our competitors. Customers, especially </w:t>
      </w:r>
      <w:r w:rsidR="00726044">
        <w:rPr>
          <w:rFonts w:ascii="Cambria" w:hAnsi="Cambria" w:cs="Times New Roman"/>
        </w:rPr>
        <w:t xml:space="preserve">some </w:t>
      </w:r>
      <w:r w:rsidR="00625429">
        <w:rPr>
          <w:rFonts w:ascii="Cambria" w:hAnsi="Cambria" w:cs="Times New Roman"/>
        </w:rPr>
        <w:t xml:space="preserve">large customers and </w:t>
      </w:r>
      <w:r w:rsidR="00726044">
        <w:rPr>
          <w:rFonts w:ascii="Cambria" w:hAnsi="Cambria" w:cs="Times New Roman"/>
        </w:rPr>
        <w:t xml:space="preserve">certain </w:t>
      </w:r>
      <w:r w:rsidR="00625429">
        <w:rPr>
          <w:rFonts w:ascii="Cambria" w:hAnsi="Cambria" w:cs="Times New Roman"/>
        </w:rPr>
        <w:t xml:space="preserve">customer segments, </w:t>
      </w:r>
      <w:r w:rsidR="00726044">
        <w:rPr>
          <w:rFonts w:ascii="Cambria" w:hAnsi="Cambria" w:cs="Times New Roman"/>
        </w:rPr>
        <w:t>do not</w:t>
      </w:r>
      <w:r w:rsidR="00625429">
        <w:rPr>
          <w:rFonts w:ascii="Cambria" w:hAnsi="Cambria" w:cs="Times New Roman"/>
        </w:rPr>
        <w:t xml:space="preserve"> necessarily want their data to be available publicly. The</w:t>
      </w:r>
      <w:r w:rsidR="00726044">
        <w:rPr>
          <w:rFonts w:ascii="Cambria" w:hAnsi="Cambria" w:cs="Times New Roman"/>
        </w:rPr>
        <w:t>se considerations could impact our customer relationships and introduce barriers to project implementation.</w:t>
      </w:r>
      <w:r w:rsidR="00726044">
        <w:rPr>
          <w:rFonts w:ascii="Cambria" w:hAnsi="Cambria" w:cs="Times New Roman"/>
        </w:rPr>
        <w:br/>
      </w:r>
    </w:p>
    <w:p w14:paraId="10C75DD8" w14:textId="1DA7AEF1" w:rsidR="00DD20AB" w:rsidRPr="00BE2F6C" w:rsidRDefault="00DD675B" w:rsidP="00DD675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A. </w:t>
      </w:r>
      <w:proofErr w:type="spellStart"/>
      <w:r w:rsidRPr="00BE2F6C">
        <w:rPr>
          <w:rFonts w:ascii="Cambria" w:hAnsi="Cambria" w:cs="Times New Roman"/>
        </w:rPr>
        <w:t>LaBonte</w:t>
      </w:r>
      <w:proofErr w:type="spellEnd"/>
      <w:r w:rsidRPr="00BE2F6C">
        <w:rPr>
          <w:rFonts w:ascii="Cambria" w:hAnsi="Cambria" w:cs="Times New Roman"/>
        </w:rPr>
        <w:t>: As we continue the conversation, I am hearing that we should consider</w:t>
      </w:r>
      <w:r w:rsidR="004D0F4B" w:rsidRPr="00BE2F6C">
        <w:rPr>
          <w:rFonts w:ascii="Cambria" w:hAnsi="Cambria" w:cs="Times New Roman"/>
        </w:rPr>
        <w:t xml:space="preserve"> the chilling effect and other factors</w:t>
      </w:r>
      <w:r w:rsidR="00EF3118">
        <w:rPr>
          <w:rFonts w:ascii="Cambria" w:hAnsi="Cambria" w:cs="Times New Roman"/>
        </w:rPr>
        <w:t>/analyses</w:t>
      </w:r>
      <w:r w:rsidR="004D0F4B" w:rsidRPr="00BE2F6C">
        <w:rPr>
          <w:rFonts w:ascii="Cambria" w:hAnsi="Cambria" w:cs="Times New Roman"/>
        </w:rPr>
        <w:t xml:space="preserve"> that might drive/stifle innovation</w:t>
      </w:r>
      <w:r w:rsidR="004B3B19">
        <w:rPr>
          <w:rFonts w:ascii="Cambria" w:hAnsi="Cambria" w:cs="Times New Roman"/>
        </w:rPr>
        <w:t>. I am also hearing that we should</w:t>
      </w:r>
      <w:r w:rsidR="004D0F4B" w:rsidRPr="00BE2F6C">
        <w:rPr>
          <w:rFonts w:ascii="Cambria" w:hAnsi="Cambria" w:cs="Times New Roman"/>
        </w:rPr>
        <w:t xml:space="preserve"> solicit input from researchers and experts in the field.</w:t>
      </w:r>
      <w:r w:rsidR="00DD20AB" w:rsidRPr="00BE2F6C">
        <w:rPr>
          <w:rFonts w:ascii="Cambria" w:hAnsi="Cambria" w:cs="Times New Roman"/>
        </w:rPr>
        <w:br/>
      </w:r>
    </w:p>
    <w:p w14:paraId="63599440" w14:textId="7C5278E3" w:rsidR="00DD675B" w:rsidRPr="00BE2F6C" w:rsidRDefault="00DD20AB" w:rsidP="00DC490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E. Brooks: There are two types of data</w:t>
      </w:r>
      <w:r w:rsidR="004B3B19">
        <w:rPr>
          <w:rFonts w:ascii="Cambria" w:hAnsi="Cambria" w:cs="Times New Roman"/>
        </w:rPr>
        <w:t xml:space="preserve"> that warrant discussion</w:t>
      </w:r>
      <w:r w:rsidRPr="00BE2F6C">
        <w:rPr>
          <w:rFonts w:ascii="Cambria" w:hAnsi="Cambria" w:cs="Times New Roman"/>
        </w:rPr>
        <w:t xml:space="preserve">: (1) Advanced Metering Infrastructure (AMI) </w:t>
      </w:r>
      <w:r w:rsidR="00EF3118">
        <w:rPr>
          <w:rFonts w:ascii="Cambria" w:hAnsi="Cambria" w:cs="Times New Roman"/>
        </w:rPr>
        <w:t xml:space="preserve">customer </w:t>
      </w:r>
      <w:r w:rsidRPr="00BE2F6C">
        <w:rPr>
          <w:rFonts w:ascii="Cambria" w:hAnsi="Cambria" w:cs="Times New Roman"/>
        </w:rPr>
        <w:t xml:space="preserve">energy </w:t>
      </w:r>
      <w:r w:rsidR="00EF3118">
        <w:rPr>
          <w:rFonts w:ascii="Cambria" w:hAnsi="Cambria" w:cs="Times New Roman"/>
        </w:rPr>
        <w:t xml:space="preserve">usage </w:t>
      </w:r>
      <w:r w:rsidRPr="00BE2F6C">
        <w:rPr>
          <w:rFonts w:ascii="Cambria" w:hAnsi="Cambria" w:cs="Times New Roman"/>
        </w:rPr>
        <w:t>data; and (2) Other energy data (which includes information like the total number of measures installed). AMI energy data issues were heavily discussed and litigated in the smart grid proceeding</w:t>
      </w:r>
      <w:r w:rsidR="004B3B19">
        <w:rPr>
          <w:rFonts w:ascii="Cambria" w:hAnsi="Cambria" w:cs="Times New Roman"/>
        </w:rPr>
        <w:t>,</w:t>
      </w:r>
      <w:r w:rsidRPr="00BE2F6C">
        <w:rPr>
          <w:rFonts w:ascii="Cambria" w:hAnsi="Cambria" w:cs="Times New Roman"/>
        </w:rPr>
        <w:t xml:space="preserve"> and that proceeding is the better venue for</w:t>
      </w:r>
      <w:r w:rsidR="008E084B">
        <w:rPr>
          <w:rFonts w:ascii="Cambria" w:hAnsi="Cambria" w:cs="Times New Roman"/>
        </w:rPr>
        <w:t xml:space="preserve"> th</w:t>
      </w:r>
      <w:r w:rsidR="004E7327">
        <w:rPr>
          <w:rFonts w:ascii="Cambria" w:hAnsi="Cambria" w:cs="Times New Roman"/>
        </w:rPr>
        <w:t>o</w:t>
      </w:r>
      <w:r w:rsidR="008E084B">
        <w:rPr>
          <w:rFonts w:ascii="Cambria" w:hAnsi="Cambria" w:cs="Times New Roman"/>
        </w:rPr>
        <w:t>se</w:t>
      </w:r>
      <w:r w:rsidRPr="00BE2F6C">
        <w:rPr>
          <w:rFonts w:ascii="Cambria" w:hAnsi="Cambria" w:cs="Times New Roman"/>
        </w:rPr>
        <w:t xml:space="preserve"> discussions</w:t>
      </w:r>
      <w:r w:rsidR="004B3B19">
        <w:rPr>
          <w:rFonts w:ascii="Cambria" w:hAnsi="Cambria" w:cs="Times New Roman"/>
        </w:rPr>
        <w:t xml:space="preserve">. </w:t>
      </w:r>
      <w:r w:rsidRPr="00BE2F6C">
        <w:rPr>
          <w:rFonts w:ascii="Cambria" w:hAnsi="Cambria" w:cs="Times New Roman"/>
        </w:rPr>
        <w:t xml:space="preserve">We should focus </w:t>
      </w:r>
      <w:r w:rsidR="00DD675B" w:rsidRPr="00BE2F6C">
        <w:rPr>
          <w:rFonts w:ascii="Cambria" w:hAnsi="Cambria" w:cs="Times New Roman"/>
        </w:rPr>
        <w:t xml:space="preserve">the CAEECC </w:t>
      </w:r>
      <w:r w:rsidRPr="00BE2F6C">
        <w:rPr>
          <w:rFonts w:ascii="Cambria" w:hAnsi="Cambria" w:cs="Times New Roman"/>
        </w:rPr>
        <w:t xml:space="preserve">conversation on the second </w:t>
      </w:r>
      <w:r w:rsidR="004B3B19">
        <w:rPr>
          <w:rFonts w:ascii="Cambria" w:hAnsi="Cambria" w:cs="Times New Roman"/>
        </w:rPr>
        <w:t>type</w:t>
      </w:r>
      <w:r w:rsidRPr="00BE2F6C">
        <w:rPr>
          <w:rFonts w:ascii="Cambria" w:hAnsi="Cambria" w:cs="Times New Roman"/>
        </w:rPr>
        <w:t xml:space="preserve"> of data (</w:t>
      </w:r>
      <w:r w:rsidR="00DD675B" w:rsidRPr="00BE2F6C">
        <w:rPr>
          <w:rFonts w:ascii="Cambria" w:hAnsi="Cambria" w:cs="Times New Roman"/>
        </w:rPr>
        <w:t xml:space="preserve">i.e. </w:t>
      </w:r>
      <w:r w:rsidRPr="00BE2F6C">
        <w:rPr>
          <w:rFonts w:ascii="Cambria" w:hAnsi="Cambria" w:cs="Times New Roman"/>
        </w:rPr>
        <w:t>the “other energy data”).</w:t>
      </w:r>
      <w:r w:rsidR="00DD675B" w:rsidRPr="00BE2F6C">
        <w:rPr>
          <w:rFonts w:ascii="Cambria" w:hAnsi="Cambria" w:cs="Times New Roman"/>
        </w:rPr>
        <w:br/>
      </w:r>
    </w:p>
    <w:p w14:paraId="7ED1CEC8" w14:textId="6DE1B8BC" w:rsidR="00DD20AB" w:rsidRPr="00BE2F6C" w:rsidRDefault="00DD675B" w:rsidP="00DD675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M. Costa: Some of these issue</w:t>
      </w:r>
      <w:r w:rsidR="004B3B19">
        <w:rPr>
          <w:rFonts w:ascii="Cambria" w:hAnsi="Cambria" w:cs="Times New Roman"/>
        </w:rPr>
        <w:t>s</w:t>
      </w:r>
      <w:r w:rsidRPr="00BE2F6C">
        <w:rPr>
          <w:rFonts w:ascii="Cambria" w:hAnsi="Cambria" w:cs="Times New Roman"/>
        </w:rPr>
        <w:t xml:space="preserve"> may also </w:t>
      </w:r>
      <w:r w:rsidR="004B3B19">
        <w:rPr>
          <w:rFonts w:ascii="Cambria" w:hAnsi="Cambria" w:cs="Times New Roman"/>
        </w:rPr>
        <w:t xml:space="preserve">be addressed in the </w:t>
      </w:r>
      <w:r w:rsidRPr="00BE2F6C">
        <w:rPr>
          <w:rFonts w:ascii="Cambria" w:hAnsi="Cambria" w:cs="Times New Roman"/>
        </w:rPr>
        <w:t>demand response proceeding</w:t>
      </w:r>
      <w:r w:rsidR="004B3B19">
        <w:rPr>
          <w:rFonts w:ascii="Cambria" w:hAnsi="Cambria" w:cs="Times New Roman"/>
        </w:rPr>
        <w:t xml:space="preserve"> or </w:t>
      </w:r>
      <w:r w:rsidRPr="00BE2F6C">
        <w:rPr>
          <w:rFonts w:ascii="Cambria" w:hAnsi="Cambria" w:cs="Times New Roman"/>
        </w:rPr>
        <w:t>in other relevant forums.</w:t>
      </w:r>
      <w:r w:rsidR="00DD20AB" w:rsidRPr="00BE2F6C">
        <w:rPr>
          <w:rFonts w:ascii="Cambria" w:hAnsi="Cambria" w:cs="Times New Roman"/>
        </w:rPr>
        <w:br/>
      </w:r>
    </w:p>
    <w:p w14:paraId="2429C6E3" w14:textId="33323E22" w:rsidR="00DD20AB" w:rsidRPr="00BE2F6C" w:rsidRDefault="00DD20AB" w:rsidP="00DC490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Matt Evans, Southern California Edison: The IOUs can develop a list that outlines what data </w:t>
      </w:r>
      <w:r w:rsidR="008E084B">
        <w:rPr>
          <w:rFonts w:ascii="Cambria" w:hAnsi="Cambria" w:cs="Times New Roman"/>
        </w:rPr>
        <w:t>can be made</w:t>
      </w:r>
      <w:r w:rsidRPr="00BE2F6C">
        <w:rPr>
          <w:rFonts w:ascii="Cambria" w:hAnsi="Cambria" w:cs="Times New Roman"/>
        </w:rPr>
        <w:t xml:space="preserve"> available and the process by which that data can be requested</w:t>
      </w:r>
      <w:r w:rsidR="004B3B19">
        <w:rPr>
          <w:rFonts w:ascii="Cambria" w:hAnsi="Cambria" w:cs="Times New Roman"/>
        </w:rPr>
        <w:t xml:space="preserve"> by third-parties and local governments.</w:t>
      </w:r>
      <w:r w:rsidRPr="00BE2F6C">
        <w:rPr>
          <w:rFonts w:ascii="Cambria" w:hAnsi="Cambria" w:cs="Times New Roman"/>
        </w:rPr>
        <w:br/>
      </w:r>
    </w:p>
    <w:p w14:paraId="1C9BAA5F" w14:textId="1AE3AED8" w:rsidR="000D0677" w:rsidRDefault="00DD20AB" w:rsidP="0049544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E. Brooks: I agree with Matt that we can develop this </w:t>
      </w:r>
      <w:r w:rsidR="00DD675B" w:rsidRPr="00BE2F6C">
        <w:rPr>
          <w:rFonts w:ascii="Cambria" w:hAnsi="Cambria" w:cs="Times New Roman"/>
        </w:rPr>
        <w:t>resource.</w:t>
      </w:r>
      <w:r w:rsidR="0079488F" w:rsidRPr="00BE2F6C">
        <w:rPr>
          <w:rFonts w:ascii="Cambria" w:hAnsi="Cambria" w:cs="Times New Roman"/>
        </w:rPr>
        <w:t xml:space="preserve"> I also encourage stakeholders to review the comprehensive metrics that every P</w:t>
      </w:r>
      <w:r w:rsidR="004B3B19">
        <w:rPr>
          <w:rFonts w:ascii="Cambria" w:hAnsi="Cambria" w:cs="Times New Roman"/>
        </w:rPr>
        <w:t>rogram Administrator (PA)</w:t>
      </w:r>
      <w:r w:rsidR="0079488F" w:rsidRPr="00BE2F6C">
        <w:rPr>
          <w:rFonts w:ascii="Cambria" w:hAnsi="Cambria" w:cs="Times New Roman"/>
        </w:rPr>
        <w:t xml:space="preserve"> reports</w:t>
      </w:r>
      <w:r w:rsidR="00D75495" w:rsidRPr="00BE2F6C">
        <w:rPr>
          <w:rFonts w:ascii="Cambria" w:hAnsi="Cambria" w:cs="Times New Roman"/>
        </w:rPr>
        <w:t xml:space="preserve"> on</w:t>
      </w:r>
      <w:r w:rsidR="0079488F" w:rsidRPr="00BE2F6C">
        <w:rPr>
          <w:rFonts w:ascii="Cambria" w:hAnsi="Cambria" w:cs="Times New Roman"/>
        </w:rPr>
        <w:t>. We will report on these metrics on May 1</w:t>
      </w:r>
      <w:r w:rsidR="0079488F" w:rsidRPr="00BE2F6C">
        <w:rPr>
          <w:rFonts w:ascii="Cambria" w:hAnsi="Cambria" w:cs="Times New Roman"/>
          <w:vertAlign w:val="superscript"/>
        </w:rPr>
        <w:t>st</w:t>
      </w:r>
      <w:r w:rsidR="0079488F" w:rsidRPr="00BE2F6C">
        <w:rPr>
          <w:rFonts w:ascii="Cambria" w:hAnsi="Cambria" w:cs="Times New Roman"/>
        </w:rPr>
        <w:t>, 2019.</w:t>
      </w:r>
      <w:r w:rsidR="000D0677">
        <w:rPr>
          <w:rFonts w:ascii="Cambria" w:hAnsi="Cambria" w:cs="Times New Roman"/>
        </w:rPr>
        <w:br/>
      </w:r>
    </w:p>
    <w:p w14:paraId="4B0C7DBB" w14:textId="33EF4421" w:rsidR="000D0677" w:rsidRDefault="000D0677" w:rsidP="0049544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A. Besa: </w:t>
      </w:r>
      <w:r w:rsidRPr="00BE2F6C">
        <w:rPr>
          <w:rFonts w:ascii="Cambria" w:hAnsi="Cambria" w:cs="Times New Roman"/>
        </w:rPr>
        <w:t xml:space="preserve">There is also a lot of data available in The California Energy Data </w:t>
      </w:r>
      <w:proofErr w:type="gramStart"/>
      <w:r w:rsidRPr="00BE2F6C">
        <w:rPr>
          <w:rFonts w:ascii="Cambria" w:hAnsi="Cambria" w:cs="Times New Roman"/>
        </w:rPr>
        <w:t>And</w:t>
      </w:r>
      <w:proofErr w:type="gramEnd"/>
      <w:r w:rsidRPr="00BE2F6C">
        <w:rPr>
          <w:rFonts w:ascii="Cambria" w:hAnsi="Cambria" w:cs="Times New Roman"/>
        </w:rPr>
        <w:t xml:space="preserve"> Reporting System (CEDARS)</w:t>
      </w:r>
      <w:r>
        <w:rPr>
          <w:rFonts w:ascii="Cambria" w:hAnsi="Cambria" w:cs="Times New Roman"/>
        </w:rPr>
        <w:t xml:space="preserve"> including GHG values and </w:t>
      </w:r>
      <w:r w:rsidR="00570911">
        <w:rPr>
          <w:rFonts w:ascii="Cambria" w:hAnsi="Cambria" w:cs="Times New Roman"/>
        </w:rPr>
        <w:t xml:space="preserve">program </w:t>
      </w:r>
      <w:r>
        <w:rPr>
          <w:rFonts w:ascii="Cambria" w:hAnsi="Cambria" w:cs="Times New Roman"/>
        </w:rPr>
        <w:t>levelized cost data</w:t>
      </w:r>
      <w:r w:rsidRPr="00BE2F6C">
        <w:rPr>
          <w:rFonts w:ascii="Cambria" w:hAnsi="Cambria" w:cs="Times New Roman"/>
        </w:rPr>
        <w:t xml:space="preserve">. The CPUC Energy Division, through a consultant, may want to develop a primer or offer a training on the data available </w:t>
      </w:r>
      <w:r>
        <w:rPr>
          <w:rFonts w:ascii="Cambria" w:hAnsi="Cambria" w:cs="Times New Roman"/>
        </w:rPr>
        <w:t>via</w:t>
      </w:r>
      <w:r w:rsidRPr="00BE2F6C">
        <w:rPr>
          <w:rFonts w:ascii="Cambria" w:hAnsi="Cambria" w:cs="Times New Roman"/>
        </w:rPr>
        <w:t xml:space="preserve"> CEDARS.</w:t>
      </w:r>
      <w:r>
        <w:rPr>
          <w:rFonts w:ascii="Cambria" w:hAnsi="Cambria" w:cs="Times New Roman"/>
        </w:rPr>
        <w:br/>
      </w:r>
    </w:p>
    <w:p w14:paraId="5892C38D" w14:textId="0593B392" w:rsidR="00DD20AB" w:rsidRPr="00495449" w:rsidRDefault="000D0677" w:rsidP="0049544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A. </w:t>
      </w:r>
      <w:proofErr w:type="spellStart"/>
      <w:r>
        <w:rPr>
          <w:rFonts w:ascii="Cambria" w:hAnsi="Cambria" w:cs="Times New Roman"/>
        </w:rPr>
        <w:t>LaBonte</w:t>
      </w:r>
      <w:proofErr w:type="spellEnd"/>
      <w:r>
        <w:rPr>
          <w:rFonts w:ascii="Cambria" w:hAnsi="Cambria" w:cs="Times New Roman"/>
        </w:rPr>
        <w:t>: The point on CEDARS is understood, however, I don’t see this as serving the immediate need of addressing the third-party solicitation process and new implementer contracts. Let’s “parking lot” this suggestion and think about it on the side.</w:t>
      </w:r>
      <w:r w:rsidR="00DD675B" w:rsidRPr="00495449">
        <w:rPr>
          <w:rFonts w:ascii="Cambria" w:hAnsi="Cambria" w:cs="Times New Roman"/>
        </w:rPr>
        <w:br/>
      </w:r>
    </w:p>
    <w:p w14:paraId="4E290EE5" w14:textId="4570012E" w:rsidR="00C60EE8" w:rsidRPr="00BE2F6C" w:rsidRDefault="00DD675B" w:rsidP="00D7549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Michael </w:t>
      </w:r>
      <w:r w:rsidR="00DD20AB" w:rsidRPr="00BE2F6C">
        <w:rPr>
          <w:rFonts w:ascii="Cambria" w:hAnsi="Cambria" w:cs="Times New Roman"/>
        </w:rPr>
        <w:t xml:space="preserve">Campbell, Public Advocates Office: I am hearing two </w:t>
      </w:r>
      <w:r w:rsidR="0079488F" w:rsidRPr="00BE2F6C">
        <w:rPr>
          <w:rFonts w:ascii="Cambria" w:hAnsi="Cambria" w:cs="Times New Roman"/>
        </w:rPr>
        <w:t xml:space="preserve">themes </w:t>
      </w:r>
      <w:r w:rsidR="004B3B19">
        <w:rPr>
          <w:rFonts w:ascii="Cambria" w:hAnsi="Cambria" w:cs="Times New Roman"/>
        </w:rPr>
        <w:t xml:space="preserve">as it relates to </w:t>
      </w:r>
      <w:r w:rsidR="0079488F" w:rsidRPr="00BE2F6C">
        <w:rPr>
          <w:rFonts w:ascii="Cambria" w:hAnsi="Cambria" w:cs="Times New Roman"/>
        </w:rPr>
        <w:t>data</w:t>
      </w:r>
      <w:r w:rsidR="00DD20AB" w:rsidRPr="00BE2F6C">
        <w:rPr>
          <w:rFonts w:ascii="Cambria" w:hAnsi="Cambria" w:cs="Times New Roman"/>
        </w:rPr>
        <w:t>: (1)</w:t>
      </w:r>
      <w:r w:rsidR="0079488F" w:rsidRPr="00BE2F6C">
        <w:rPr>
          <w:rFonts w:ascii="Cambria" w:hAnsi="Cambria" w:cs="Times New Roman"/>
        </w:rPr>
        <w:t xml:space="preserve"> We need to elucidate the types of information that should be provided on a pre-bid basis so </w:t>
      </w:r>
      <w:r w:rsidR="007E11BF" w:rsidRPr="00BE2F6C">
        <w:rPr>
          <w:rFonts w:ascii="Cambria" w:hAnsi="Cambria" w:cs="Times New Roman"/>
        </w:rPr>
        <w:t>bidders</w:t>
      </w:r>
      <w:r w:rsidR="0079488F" w:rsidRPr="00BE2F6C">
        <w:rPr>
          <w:rFonts w:ascii="Cambria" w:hAnsi="Cambria" w:cs="Times New Roman"/>
        </w:rPr>
        <w:t xml:space="preserve"> have useful market data </w:t>
      </w:r>
      <w:r w:rsidR="007E11BF" w:rsidRPr="00BE2F6C">
        <w:rPr>
          <w:rFonts w:ascii="Cambria" w:hAnsi="Cambria" w:cs="Times New Roman"/>
        </w:rPr>
        <w:t xml:space="preserve">in order </w:t>
      </w:r>
      <w:r w:rsidR="0079488F" w:rsidRPr="00BE2F6C">
        <w:rPr>
          <w:rFonts w:ascii="Cambria" w:hAnsi="Cambria" w:cs="Times New Roman"/>
        </w:rPr>
        <w:t>to propose solid program designs; and (2) We need to</w:t>
      </w:r>
      <w:r w:rsidR="007E11BF" w:rsidRPr="00BE2F6C">
        <w:rPr>
          <w:rFonts w:ascii="Cambria" w:hAnsi="Cambria" w:cs="Times New Roman"/>
        </w:rPr>
        <w:t xml:space="preserve"> determine the data </w:t>
      </w:r>
      <w:r w:rsidR="004B3B19">
        <w:rPr>
          <w:rFonts w:ascii="Cambria" w:hAnsi="Cambria" w:cs="Times New Roman"/>
        </w:rPr>
        <w:t>that must be reported on and tracked by third-parties and include these requirements in the third-party contracts so that we can evaluate program performance and</w:t>
      </w:r>
      <w:r w:rsidR="008E084B">
        <w:rPr>
          <w:rFonts w:ascii="Cambria" w:hAnsi="Cambria" w:cs="Times New Roman"/>
        </w:rPr>
        <w:t xml:space="preserve"> </w:t>
      </w:r>
      <w:r w:rsidR="004B3B19">
        <w:rPr>
          <w:rFonts w:ascii="Cambria" w:hAnsi="Cambria" w:cs="Times New Roman"/>
        </w:rPr>
        <w:t>feed information into the Integrated Resource Planning (IRP) process.</w:t>
      </w:r>
      <w:r w:rsidR="009C37CB" w:rsidRPr="00BE2F6C">
        <w:rPr>
          <w:rFonts w:ascii="Cambria" w:hAnsi="Cambria" w:cs="Times New Roman"/>
        </w:rPr>
        <w:br/>
      </w:r>
    </w:p>
    <w:p w14:paraId="19CC333D" w14:textId="0F57F2CB" w:rsidR="009C37CB" w:rsidRPr="008C49E9" w:rsidRDefault="0079488F" w:rsidP="008C49E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A. </w:t>
      </w:r>
      <w:proofErr w:type="spellStart"/>
      <w:r w:rsidRPr="00BE2F6C">
        <w:rPr>
          <w:rFonts w:ascii="Cambria" w:hAnsi="Cambria" w:cs="Times New Roman"/>
        </w:rPr>
        <w:t>LaBonte</w:t>
      </w:r>
      <w:proofErr w:type="spellEnd"/>
      <w:r w:rsidRPr="00BE2F6C">
        <w:rPr>
          <w:rFonts w:ascii="Cambria" w:hAnsi="Cambria" w:cs="Times New Roman"/>
        </w:rPr>
        <w:t xml:space="preserve">: We have some clear and timely needs now where we can leverage milestones/opportunities </w:t>
      </w:r>
      <w:r w:rsidR="00E83A2D">
        <w:rPr>
          <w:rFonts w:ascii="Cambria" w:hAnsi="Cambria" w:cs="Times New Roman"/>
        </w:rPr>
        <w:t>via</w:t>
      </w:r>
      <w:r w:rsidRPr="00BE2F6C">
        <w:rPr>
          <w:rFonts w:ascii="Cambria" w:hAnsi="Cambria" w:cs="Times New Roman"/>
        </w:rPr>
        <w:t xml:space="preserve"> the third-party solicitation process. This needs to </w:t>
      </w:r>
      <w:r w:rsidR="004B3B19">
        <w:rPr>
          <w:rFonts w:ascii="Cambria" w:hAnsi="Cambria" w:cs="Times New Roman"/>
        </w:rPr>
        <w:t xml:space="preserve">be </w:t>
      </w:r>
      <w:r w:rsidRPr="00BE2F6C">
        <w:rPr>
          <w:rFonts w:ascii="Cambria" w:hAnsi="Cambria" w:cs="Times New Roman"/>
        </w:rPr>
        <w:t>the front-running driver of next steps</w:t>
      </w:r>
      <w:r w:rsidR="00EF3118">
        <w:rPr>
          <w:rFonts w:ascii="Cambria" w:hAnsi="Cambria" w:cs="Times New Roman"/>
        </w:rPr>
        <w:t xml:space="preserve"> so that we do not miss </w:t>
      </w:r>
      <w:r w:rsidR="00E83A2D">
        <w:rPr>
          <w:rFonts w:ascii="Cambria" w:hAnsi="Cambria" w:cs="Times New Roman"/>
        </w:rPr>
        <w:t xml:space="preserve">this important </w:t>
      </w:r>
      <w:r w:rsidR="00EF3118">
        <w:rPr>
          <w:rFonts w:ascii="Cambria" w:hAnsi="Cambria" w:cs="Times New Roman"/>
        </w:rPr>
        <w:t xml:space="preserve">opportunity to put in place </w:t>
      </w:r>
      <w:r w:rsidR="00410C78">
        <w:rPr>
          <w:rFonts w:ascii="Cambria" w:hAnsi="Cambria" w:cs="Times New Roman"/>
        </w:rPr>
        <w:t>mutual thinking together.</w:t>
      </w:r>
      <w:r w:rsidRPr="00BE2F6C">
        <w:rPr>
          <w:rFonts w:ascii="Cambria" w:hAnsi="Cambria" w:cs="Times New Roman"/>
        </w:rPr>
        <w:t xml:space="preserve"> Who should be involved in th</w:t>
      </w:r>
      <w:r w:rsidR="008E084B">
        <w:rPr>
          <w:rFonts w:ascii="Cambria" w:hAnsi="Cambria" w:cs="Times New Roman"/>
        </w:rPr>
        <w:t>ese</w:t>
      </w:r>
      <w:r w:rsidRPr="00BE2F6C">
        <w:rPr>
          <w:rFonts w:ascii="Cambria" w:hAnsi="Cambria" w:cs="Times New Roman"/>
        </w:rPr>
        <w:t xml:space="preserve"> conversation</w:t>
      </w:r>
      <w:r w:rsidR="008E084B">
        <w:rPr>
          <w:rFonts w:ascii="Cambria" w:hAnsi="Cambria" w:cs="Times New Roman"/>
        </w:rPr>
        <w:t>s</w:t>
      </w:r>
      <w:r w:rsidRPr="00BE2F6C">
        <w:rPr>
          <w:rFonts w:ascii="Cambria" w:hAnsi="Cambria" w:cs="Times New Roman"/>
        </w:rPr>
        <w:t>?</w:t>
      </w:r>
      <w:r w:rsidR="00EF3118">
        <w:rPr>
          <w:rFonts w:ascii="Cambria" w:hAnsi="Cambria" w:cs="Times New Roman"/>
        </w:rPr>
        <w:t xml:space="preserve"> We also need to be mindful of what is covered by </w:t>
      </w:r>
      <w:r w:rsidR="00D10708">
        <w:rPr>
          <w:rFonts w:ascii="Cambria" w:hAnsi="Cambria" w:cs="Times New Roman"/>
        </w:rPr>
        <w:t xml:space="preserve">the </w:t>
      </w:r>
      <w:r w:rsidR="00EF3118">
        <w:rPr>
          <w:rFonts w:ascii="Cambria" w:hAnsi="Cambria" w:cs="Times New Roman"/>
        </w:rPr>
        <w:t>CAEECC and what is already being covered by existing working groups</w:t>
      </w:r>
      <w:r w:rsidR="00E83A2D">
        <w:rPr>
          <w:rFonts w:ascii="Cambria" w:hAnsi="Cambria" w:cs="Times New Roman"/>
        </w:rPr>
        <w:t xml:space="preserve"> </w:t>
      </w:r>
      <w:r w:rsidR="00EF3118">
        <w:rPr>
          <w:rFonts w:ascii="Cambria" w:hAnsi="Cambria" w:cs="Times New Roman"/>
        </w:rPr>
        <w:t>(i.e. AMI</w:t>
      </w:r>
      <w:r w:rsidR="00EF3118" w:rsidRPr="00EF3118">
        <w:rPr>
          <w:rFonts w:ascii="Cambria" w:hAnsi="Cambria" w:cs="Times New Roman"/>
        </w:rPr>
        <w:t xml:space="preserve"> </w:t>
      </w:r>
      <w:r w:rsidR="00EF3118">
        <w:rPr>
          <w:rFonts w:ascii="Cambria" w:hAnsi="Cambria" w:cs="Times New Roman"/>
        </w:rPr>
        <w:t xml:space="preserve">customer </w:t>
      </w:r>
      <w:r w:rsidR="00EF3118" w:rsidRPr="00BE2F6C">
        <w:rPr>
          <w:rFonts w:ascii="Cambria" w:hAnsi="Cambria" w:cs="Times New Roman"/>
        </w:rPr>
        <w:t xml:space="preserve">energy </w:t>
      </w:r>
      <w:r w:rsidR="00EF3118">
        <w:rPr>
          <w:rFonts w:ascii="Cambria" w:hAnsi="Cambria" w:cs="Times New Roman"/>
        </w:rPr>
        <w:t>usage data).</w:t>
      </w:r>
      <w:r w:rsidRPr="008C49E9">
        <w:rPr>
          <w:rFonts w:ascii="Cambria" w:hAnsi="Cambria" w:cs="Times New Roman"/>
        </w:rPr>
        <w:br/>
      </w:r>
    </w:p>
    <w:p w14:paraId="2918C749" w14:textId="0E1D9459" w:rsidR="007E11BF" w:rsidRPr="00BE2F6C" w:rsidRDefault="0079488F" w:rsidP="007E11B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J. Raab: CAEECC can offer two options: (1) A CAEECC-hosted </w:t>
      </w:r>
      <w:r w:rsidR="008C49E9">
        <w:rPr>
          <w:rFonts w:ascii="Cambria" w:hAnsi="Cambria" w:cs="Times New Roman"/>
        </w:rPr>
        <w:t xml:space="preserve">public </w:t>
      </w:r>
      <w:r w:rsidRPr="00BE2F6C">
        <w:rPr>
          <w:rFonts w:ascii="Cambria" w:hAnsi="Cambria" w:cs="Times New Roman"/>
        </w:rPr>
        <w:t xml:space="preserve">workshop; or (2) A CAEECC-hosted Working </w:t>
      </w:r>
      <w:r w:rsidR="007E11BF" w:rsidRPr="00BE2F6C">
        <w:rPr>
          <w:rFonts w:ascii="Cambria" w:hAnsi="Cambria" w:cs="Times New Roman"/>
        </w:rPr>
        <w:t>G</w:t>
      </w:r>
      <w:r w:rsidRPr="00BE2F6C">
        <w:rPr>
          <w:rFonts w:ascii="Cambria" w:hAnsi="Cambria" w:cs="Times New Roman"/>
        </w:rPr>
        <w:t>roup</w:t>
      </w:r>
      <w:r w:rsidR="007E11BF" w:rsidRPr="00BE2F6C">
        <w:rPr>
          <w:rFonts w:ascii="Cambria" w:hAnsi="Cambria" w:cs="Times New Roman"/>
        </w:rPr>
        <w:t>.</w:t>
      </w:r>
      <w:r w:rsidR="007E11BF" w:rsidRPr="00BE2F6C">
        <w:rPr>
          <w:rFonts w:ascii="Cambria" w:hAnsi="Cambria" w:cs="Times New Roman"/>
        </w:rPr>
        <w:br/>
      </w:r>
    </w:p>
    <w:p w14:paraId="673AC6EF" w14:textId="54EEB5F6" w:rsidR="00AE09B0" w:rsidRDefault="00D75495" w:rsidP="002C2BF0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A. Besa: </w:t>
      </w:r>
      <w:r w:rsidR="00815927">
        <w:rPr>
          <w:rFonts w:ascii="Cambria" w:hAnsi="Cambria" w:cs="Times New Roman"/>
        </w:rPr>
        <w:t>A broader workshop or stakeholder meeting would be useful</w:t>
      </w:r>
      <w:r w:rsidR="008C49E9">
        <w:rPr>
          <w:rFonts w:ascii="Cambria" w:hAnsi="Cambria" w:cs="Times New Roman"/>
        </w:rPr>
        <w:t xml:space="preserve"> so that people can come to the table to provide input. </w:t>
      </w:r>
      <w:r w:rsidR="00570911">
        <w:rPr>
          <w:rFonts w:ascii="Cambria" w:hAnsi="Cambria" w:cs="Times New Roman"/>
        </w:rPr>
        <w:t xml:space="preserve">It is critical that </w:t>
      </w:r>
      <w:r w:rsidR="007E11BF" w:rsidRPr="00BE2F6C">
        <w:rPr>
          <w:rFonts w:ascii="Cambria" w:hAnsi="Cambria" w:cs="Times New Roman"/>
        </w:rPr>
        <w:t>Evaluation, Measurement and Verification expert</w:t>
      </w:r>
      <w:r w:rsidR="004B3B19">
        <w:rPr>
          <w:rFonts w:ascii="Cambria" w:hAnsi="Cambria" w:cs="Times New Roman"/>
        </w:rPr>
        <w:t>s</w:t>
      </w:r>
      <w:r w:rsidR="007E11BF" w:rsidRPr="00BE2F6C">
        <w:rPr>
          <w:rFonts w:ascii="Cambria" w:hAnsi="Cambria" w:cs="Times New Roman"/>
        </w:rPr>
        <w:t xml:space="preserve"> be </w:t>
      </w:r>
      <w:r w:rsidR="00EA3764">
        <w:rPr>
          <w:rFonts w:ascii="Cambria" w:hAnsi="Cambria" w:cs="Times New Roman"/>
        </w:rPr>
        <w:t>part of the conversation.</w:t>
      </w:r>
      <w:r w:rsidR="00AE09B0">
        <w:rPr>
          <w:rFonts w:ascii="Cambria" w:hAnsi="Cambria" w:cs="Times New Roman"/>
        </w:rPr>
        <w:br/>
      </w:r>
    </w:p>
    <w:p w14:paraId="78C188A3" w14:textId="5591EC7F" w:rsidR="0054148C" w:rsidRPr="00BE2F6C" w:rsidRDefault="0054148C" w:rsidP="0054148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smallCaps/>
          <w:sz w:val="26"/>
          <w:szCs w:val="26"/>
        </w:rPr>
      </w:pPr>
      <w:r w:rsidRPr="00BE2F6C">
        <w:rPr>
          <w:rFonts w:ascii="Cambria" w:hAnsi="Cambria"/>
          <w:b/>
          <w:bCs/>
          <w:smallCaps/>
          <w:sz w:val="26"/>
          <w:szCs w:val="26"/>
        </w:rPr>
        <w:t>Session 3: Important Updates</w:t>
      </w:r>
    </w:p>
    <w:p w14:paraId="18F48C92" w14:textId="77777777" w:rsidR="0054148C" w:rsidRPr="00BE2F6C" w:rsidRDefault="0054148C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</w:rPr>
      </w:pPr>
    </w:p>
    <w:p w14:paraId="60362D6A" w14:textId="2253FCB7" w:rsidR="0001703F" w:rsidRPr="00BE2F6C" w:rsidRDefault="00605883" w:rsidP="0001703F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i/>
        </w:rPr>
      </w:pPr>
      <w:r w:rsidRPr="00BE2F6C">
        <w:rPr>
          <w:rFonts w:ascii="Cambria" w:hAnsi="Cambria"/>
          <w:b/>
          <w:i/>
        </w:rPr>
        <w:t xml:space="preserve">Updates on the CAEECC-Hosted Market Transformation Working Group </w:t>
      </w:r>
      <w:r w:rsidR="00B45A2A" w:rsidRPr="00BE2F6C">
        <w:rPr>
          <w:rFonts w:ascii="Cambria" w:hAnsi="Cambria"/>
          <w:b/>
          <w:i/>
        </w:rPr>
        <w:t xml:space="preserve">– </w:t>
      </w:r>
      <w:r w:rsidR="0054148C" w:rsidRPr="00BE2F6C">
        <w:rPr>
          <w:rFonts w:ascii="Cambria" w:hAnsi="Cambria"/>
          <w:b/>
          <w:i/>
        </w:rPr>
        <w:t>J. Raab</w:t>
      </w:r>
    </w:p>
    <w:p w14:paraId="021F884A" w14:textId="7B56ACE5" w:rsidR="009D4895" w:rsidRPr="00BE2F6C" w:rsidRDefault="00605883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BE2F6C">
        <w:rPr>
          <w:rFonts w:ascii="Cambria" w:hAnsi="Cambria"/>
        </w:rPr>
        <w:t>This presentation is available on the CAEECC website (see link above,</w:t>
      </w:r>
      <w:r w:rsidRPr="00BE2F6C">
        <w:rPr>
          <w:rFonts w:ascii="Cambria" w:hAnsi="Cambria"/>
          <w:i/>
        </w:rPr>
        <w:t xml:space="preserve"> Draft Update CAEECC-Hosted Market Transformation WG</w:t>
      </w:r>
      <w:r w:rsidRPr="00BE2F6C">
        <w:rPr>
          <w:rFonts w:ascii="Cambria" w:hAnsi="Cambria"/>
        </w:rPr>
        <w:t>).</w:t>
      </w:r>
    </w:p>
    <w:p w14:paraId="3CC8B984" w14:textId="1803E8DF" w:rsidR="00605883" w:rsidRPr="00BE2F6C" w:rsidRDefault="00605883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</w:p>
    <w:p w14:paraId="69096882" w14:textId="2A330BA8" w:rsidR="00605883" w:rsidRPr="00BE2F6C" w:rsidRDefault="0040380B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BE2F6C">
        <w:rPr>
          <w:u w:val="single"/>
        </w:rPr>
        <w:t>Clarifying Questions and Key Discussion Points</w:t>
      </w:r>
      <w:r w:rsidRPr="00BE2F6C">
        <w:t>:</w:t>
      </w:r>
      <w:r w:rsidRPr="00BE2F6C">
        <w:br/>
      </w:r>
    </w:p>
    <w:p w14:paraId="173BEDC0" w14:textId="105DC6F6" w:rsidR="00605883" w:rsidRPr="00BE2F6C" w:rsidRDefault="0049365B" w:rsidP="004564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Carmen Best, </w:t>
      </w:r>
      <w:proofErr w:type="spellStart"/>
      <w:r w:rsidRPr="00BE2F6C">
        <w:rPr>
          <w:rFonts w:ascii="Cambria" w:hAnsi="Cambria" w:cs="Times New Roman"/>
        </w:rPr>
        <w:t>OpenEE</w:t>
      </w:r>
      <w:proofErr w:type="spellEnd"/>
      <w:r w:rsidR="00D6134F" w:rsidRPr="00BE2F6C">
        <w:rPr>
          <w:rFonts w:ascii="Cambria" w:hAnsi="Cambria" w:cs="Times New Roman"/>
        </w:rPr>
        <w:t xml:space="preserve">: Is the intent of the proposed </w:t>
      </w:r>
      <w:r w:rsidR="008E084B">
        <w:rPr>
          <w:rFonts w:ascii="Cambria" w:hAnsi="Cambria" w:cs="Times New Roman"/>
        </w:rPr>
        <w:t>market transformation (MT)</w:t>
      </w:r>
      <w:r w:rsidR="00D6134F" w:rsidRPr="00BE2F6C">
        <w:rPr>
          <w:rFonts w:ascii="Cambria" w:hAnsi="Cambria" w:cs="Times New Roman"/>
        </w:rPr>
        <w:t xml:space="preserve"> framework to be synergistic with </w:t>
      </w:r>
      <w:r w:rsidRPr="00BE2F6C">
        <w:t>resource acquisition program(s) and C&amp;S implementation</w:t>
      </w:r>
      <w:r w:rsidR="00D6134F" w:rsidRPr="00BE2F6C">
        <w:rPr>
          <w:rFonts w:ascii="Cambria" w:hAnsi="Cambria" w:cs="Times New Roman"/>
        </w:rPr>
        <w:t xml:space="preserve">? </w:t>
      </w:r>
      <w:r w:rsidRPr="00BE2F6C">
        <w:rPr>
          <w:rFonts w:ascii="Cambria" w:hAnsi="Cambria" w:cs="Times New Roman"/>
        </w:rPr>
        <w:t>Will funding be complementary?</w:t>
      </w:r>
      <w:r w:rsidR="00EE4049" w:rsidRPr="00BE2F6C">
        <w:rPr>
          <w:rFonts w:ascii="Cambria" w:hAnsi="Cambria" w:cs="Times New Roman"/>
        </w:rPr>
        <w:br/>
      </w:r>
    </w:p>
    <w:p w14:paraId="6A364496" w14:textId="342D3346" w:rsidR="00D6134F" w:rsidRPr="00BE2F6C" w:rsidRDefault="00D6134F" w:rsidP="00D6134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J. Raab: </w:t>
      </w:r>
      <w:r w:rsidR="0049365B" w:rsidRPr="00BE2F6C">
        <w:rPr>
          <w:rFonts w:ascii="Cambria" w:hAnsi="Cambria" w:cs="Times New Roman"/>
        </w:rPr>
        <w:t xml:space="preserve">The intent is to be synergistic. The </w:t>
      </w:r>
      <w:r w:rsidRPr="00BE2F6C">
        <w:rPr>
          <w:rFonts w:ascii="Cambria" w:hAnsi="Cambria" w:cs="Times New Roman"/>
        </w:rPr>
        <w:t>MTWG</w:t>
      </w:r>
      <w:r w:rsidR="0049365B" w:rsidRPr="00BE2F6C">
        <w:rPr>
          <w:rFonts w:ascii="Cambria" w:hAnsi="Cambria" w:cs="Times New Roman"/>
        </w:rPr>
        <w:t xml:space="preserve">’s </w:t>
      </w:r>
      <w:r w:rsidRPr="00BE2F6C">
        <w:rPr>
          <w:rFonts w:ascii="Cambria" w:hAnsi="Cambria" w:cs="Times New Roman"/>
        </w:rPr>
        <w:t>recommendations lay out a process to mini</w:t>
      </w:r>
      <w:r w:rsidR="0049365B" w:rsidRPr="00BE2F6C">
        <w:rPr>
          <w:rFonts w:ascii="Cambria" w:hAnsi="Cambria" w:cs="Times New Roman"/>
        </w:rPr>
        <w:t>mize and work through overlap, conflict, and transition issues.</w:t>
      </w:r>
      <w:r w:rsidR="00EE4049" w:rsidRPr="00BE2F6C">
        <w:rPr>
          <w:rFonts w:ascii="Cambria" w:hAnsi="Cambria" w:cs="Times New Roman"/>
        </w:rPr>
        <w:br/>
      </w:r>
    </w:p>
    <w:p w14:paraId="3EBFE7FA" w14:textId="1E9D5D18" w:rsidR="00D6134F" w:rsidRPr="00BE2F6C" w:rsidRDefault="00D6134F" w:rsidP="00D6134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A</w:t>
      </w:r>
      <w:r w:rsidR="007E11BF" w:rsidRPr="00BE2F6C">
        <w:rPr>
          <w:rFonts w:ascii="Cambria" w:hAnsi="Cambria" w:cs="Times New Roman"/>
        </w:rPr>
        <w:t>.</w:t>
      </w:r>
      <w:r w:rsidRPr="00BE2F6C">
        <w:rPr>
          <w:rFonts w:ascii="Cambria" w:hAnsi="Cambria" w:cs="Times New Roman"/>
        </w:rPr>
        <w:t xml:space="preserve"> </w:t>
      </w:r>
      <w:proofErr w:type="spellStart"/>
      <w:r w:rsidRPr="00BE2F6C">
        <w:rPr>
          <w:rFonts w:ascii="Cambria" w:hAnsi="Cambria" w:cs="Times New Roman"/>
        </w:rPr>
        <w:t>Haubenstock</w:t>
      </w:r>
      <w:proofErr w:type="spellEnd"/>
      <w:r w:rsidRPr="00BE2F6C">
        <w:rPr>
          <w:rFonts w:ascii="Cambria" w:hAnsi="Cambria" w:cs="Times New Roman"/>
        </w:rPr>
        <w:t xml:space="preserve">: </w:t>
      </w:r>
      <w:r w:rsidR="0049365B" w:rsidRPr="00BE2F6C">
        <w:rPr>
          <w:rFonts w:ascii="Cambria" w:hAnsi="Cambria" w:cs="Times New Roman"/>
        </w:rPr>
        <w:t xml:space="preserve">The MTWG’s recommendations establish conditions for </w:t>
      </w:r>
      <w:r w:rsidR="0049365B" w:rsidRPr="00BE2F6C">
        <w:rPr>
          <w:rFonts w:ascii="Cambria" w:hAnsi="Cambria" w:cs="Times New Roman"/>
        </w:rPr>
        <w:lastRenderedPageBreak/>
        <w:t>collaboration and synergies. We do not delve into how the budget might overlap. This will hopefully come of out the collaborative conversations and process that the MTWG recommends.</w:t>
      </w:r>
      <w:r w:rsidR="00EE4049" w:rsidRPr="00BE2F6C">
        <w:rPr>
          <w:rFonts w:ascii="Cambria" w:hAnsi="Cambria" w:cs="Times New Roman"/>
        </w:rPr>
        <w:br/>
      </w:r>
    </w:p>
    <w:p w14:paraId="18BC5428" w14:textId="4FAD53F3" w:rsidR="0049365B" w:rsidRPr="00BE2F6C" w:rsidRDefault="0049365B" w:rsidP="00D6134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Lara Ettenson, Natural Resources Defense Council: The intent is to be synergistic and holistically consider the attribution of energy savings. We have time to continue the </w:t>
      </w:r>
      <w:r w:rsidR="005758EA" w:rsidRPr="00BE2F6C">
        <w:rPr>
          <w:rFonts w:ascii="Cambria" w:hAnsi="Cambria" w:cs="Times New Roman"/>
        </w:rPr>
        <w:t>budget conversation.</w:t>
      </w:r>
      <w:r w:rsidRPr="00BE2F6C">
        <w:rPr>
          <w:rFonts w:ascii="Cambria" w:hAnsi="Cambria" w:cs="Times New Roman"/>
        </w:rPr>
        <w:br/>
      </w:r>
    </w:p>
    <w:p w14:paraId="4D72E54E" w14:textId="18C0A8BA" w:rsidR="0049365B" w:rsidRPr="00BE2F6C" w:rsidRDefault="00BD738A" w:rsidP="004936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C. Best:</w:t>
      </w:r>
      <w:r w:rsidR="0049365B" w:rsidRPr="00BE2F6C">
        <w:rPr>
          <w:rFonts w:ascii="Cambria" w:hAnsi="Cambria" w:cs="Times New Roman"/>
        </w:rPr>
        <w:t xml:space="preserve"> What about synergies with </w:t>
      </w:r>
      <w:r w:rsidR="008E084B">
        <w:rPr>
          <w:rFonts w:ascii="Cambria" w:hAnsi="Cambria" w:cs="Times New Roman"/>
        </w:rPr>
        <w:t>IRP process</w:t>
      </w:r>
      <w:r w:rsidR="0049365B" w:rsidRPr="00BE2F6C">
        <w:rPr>
          <w:rFonts w:ascii="Cambria" w:hAnsi="Cambria" w:cs="Times New Roman"/>
        </w:rPr>
        <w:t xml:space="preserve"> and capturing the load and carbon impacts of MT?</w:t>
      </w:r>
      <w:r w:rsidR="00EE4049" w:rsidRPr="00BE2F6C">
        <w:rPr>
          <w:rFonts w:ascii="Cambria" w:hAnsi="Cambria" w:cs="Times New Roman"/>
        </w:rPr>
        <w:br/>
      </w:r>
    </w:p>
    <w:p w14:paraId="4C25491E" w14:textId="633FCBB7" w:rsidR="0049365B" w:rsidRPr="00BE2F6C" w:rsidRDefault="0049365B" w:rsidP="003D22B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L. Ettenson: </w:t>
      </w:r>
      <w:r w:rsidR="003D22B8" w:rsidRPr="00BE2F6C">
        <w:rPr>
          <w:rFonts w:ascii="Cambria" w:hAnsi="Cambria" w:cs="Times New Roman"/>
        </w:rPr>
        <w:t xml:space="preserve">The MTWG’s principles, guidelines, and </w:t>
      </w:r>
      <w:proofErr w:type="gramStart"/>
      <w:r w:rsidR="003D22B8" w:rsidRPr="00BE2F6C">
        <w:rPr>
          <w:rFonts w:ascii="Cambria" w:hAnsi="Cambria" w:cs="Times New Roman"/>
        </w:rPr>
        <w:t>strategies</w:t>
      </w:r>
      <w:r w:rsidRPr="00BE2F6C">
        <w:rPr>
          <w:rFonts w:ascii="Cambria" w:hAnsi="Cambria" w:cs="Times New Roman"/>
        </w:rPr>
        <w:t xml:space="preserve"> </w:t>
      </w:r>
      <w:r w:rsidR="003D22B8" w:rsidRPr="00BE2F6C">
        <w:rPr>
          <w:rFonts w:ascii="Cambria" w:hAnsi="Cambria" w:cs="Times New Roman"/>
        </w:rPr>
        <w:t xml:space="preserve"> address</w:t>
      </w:r>
      <w:proofErr w:type="gramEnd"/>
      <w:r w:rsidR="003D22B8" w:rsidRPr="00BE2F6C">
        <w:rPr>
          <w:rFonts w:ascii="Cambria" w:hAnsi="Cambria" w:cs="Times New Roman"/>
        </w:rPr>
        <w:t xml:space="preserve"> carbon; and carbon impacts would need to be integrated into the market transformation initiative metrics that are ultimately established. The </w:t>
      </w:r>
      <w:r w:rsidR="008E084B">
        <w:rPr>
          <w:rFonts w:ascii="Cambria" w:hAnsi="Cambria" w:cs="Times New Roman"/>
        </w:rPr>
        <w:t xml:space="preserve">relationship with the </w:t>
      </w:r>
      <w:r w:rsidR="003D22B8" w:rsidRPr="00BE2F6C">
        <w:rPr>
          <w:rFonts w:ascii="Cambria" w:hAnsi="Cambria" w:cs="Times New Roman"/>
        </w:rPr>
        <w:t>IRP is still unknown, and we don’t have a clear sense of the venues where this will be resolved.</w:t>
      </w:r>
    </w:p>
    <w:p w14:paraId="723C148E" w14:textId="77777777" w:rsidR="00605883" w:rsidRPr="00BE2F6C" w:rsidRDefault="00605883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</w:p>
    <w:p w14:paraId="5170DB78" w14:textId="6EB0B61D" w:rsidR="00605883" w:rsidRPr="00BE2F6C" w:rsidRDefault="0040380B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i/>
        </w:rPr>
      </w:pPr>
      <w:r w:rsidRPr="00BE2F6C">
        <w:rPr>
          <w:rFonts w:ascii="Cambria" w:hAnsi="Cambria"/>
          <w:b/>
          <w:i/>
        </w:rPr>
        <w:t xml:space="preserve">Third Party Solicitations Update </w:t>
      </w:r>
      <w:r w:rsidR="00605883" w:rsidRPr="00BE2F6C">
        <w:rPr>
          <w:rFonts w:ascii="Cambria" w:hAnsi="Cambria"/>
          <w:b/>
          <w:i/>
        </w:rPr>
        <w:t>– A</w:t>
      </w:r>
      <w:r w:rsidR="00866718">
        <w:rPr>
          <w:rFonts w:ascii="Cambria" w:hAnsi="Cambria"/>
          <w:b/>
          <w:i/>
        </w:rPr>
        <w:t>imee Wong, S</w:t>
      </w:r>
      <w:r w:rsidR="00815927">
        <w:rPr>
          <w:rFonts w:ascii="Cambria" w:hAnsi="Cambria"/>
          <w:b/>
          <w:i/>
        </w:rPr>
        <w:t>outhern California Edison</w:t>
      </w:r>
      <w:r w:rsidR="00605883" w:rsidRPr="00BE2F6C">
        <w:rPr>
          <w:rFonts w:ascii="Cambria" w:hAnsi="Cambria"/>
          <w:b/>
          <w:i/>
        </w:rPr>
        <w:br/>
      </w:r>
      <w:r w:rsidR="00605883" w:rsidRPr="00BE2F6C">
        <w:rPr>
          <w:rFonts w:ascii="Cambria" w:hAnsi="Cambria"/>
        </w:rPr>
        <w:t>This presentation is available on the CAEECC website (see link above,</w:t>
      </w:r>
      <w:r w:rsidR="00605883" w:rsidRPr="00BE2F6C">
        <w:rPr>
          <w:rFonts w:ascii="Cambria" w:hAnsi="Cambria"/>
          <w:i/>
        </w:rPr>
        <w:t xml:space="preserve"> Session 3- 3rd Party Implementation Update 2-22-19</w:t>
      </w:r>
      <w:r w:rsidR="00605883" w:rsidRPr="00BE2F6C">
        <w:rPr>
          <w:rFonts w:ascii="Cambria" w:hAnsi="Cambria"/>
        </w:rPr>
        <w:t xml:space="preserve">). </w:t>
      </w:r>
    </w:p>
    <w:p w14:paraId="5CEEECF6" w14:textId="3F8E0417" w:rsidR="00B36BC5" w:rsidRPr="00BE2F6C" w:rsidRDefault="00B36BC5" w:rsidP="00B36BC5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</w:rPr>
      </w:pPr>
    </w:p>
    <w:p w14:paraId="4C0E450B" w14:textId="7A9466A7" w:rsidR="00605883" w:rsidRPr="00BE2F6C" w:rsidRDefault="0040380B" w:rsidP="00605883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BE2F6C">
        <w:rPr>
          <w:u w:val="single"/>
        </w:rPr>
        <w:t>Key Discussion Points</w:t>
      </w:r>
      <w:r w:rsidRPr="00BE2F6C">
        <w:t>:</w:t>
      </w:r>
      <w:r w:rsidRPr="00BE2F6C">
        <w:br/>
      </w:r>
    </w:p>
    <w:p w14:paraId="6855B005" w14:textId="1CD046F3" w:rsidR="000A25DA" w:rsidRPr="00BE2F6C" w:rsidRDefault="00EE4049" w:rsidP="00EE404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A. </w:t>
      </w:r>
      <w:proofErr w:type="spellStart"/>
      <w:r w:rsidRPr="00BE2F6C">
        <w:rPr>
          <w:rFonts w:ascii="Cambria" w:hAnsi="Cambria" w:cs="Times New Roman"/>
        </w:rPr>
        <w:t>Haubenstock</w:t>
      </w:r>
      <w:proofErr w:type="spellEnd"/>
      <w:r w:rsidRPr="00BE2F6C">
        <w:rPr>
          <w:rFonts w:ascii="Cambria" w:hAnsi="Cambria" w:cs="Times New Roman"/>
        </w:rPr>
        <w:t xml:space="preserve">: Have the </w:t>
      </w:r>
      <w:r w:rsidR="008E084B">
        <w:rPr>
          <w:rFonts w:ascii="Cambria" w:hAnsi="Cambria" w:cs="Times New Roman"/>
        </w:rPr>
        <w:t>IOUs</w:t>
      </w:r>
      <w:r w:rsidRPr="00BE2F6C">
        <w:rPr>
          <w:rFonts w:ascii="Cambria" w:hAnsi="Cambria" w:cs="Times New Roman"/>
        </w:rPr>
        <w:t xml:space="preserve"> considered coordinating the</w:t>
      </w:r>
      <w:r w:rsidR="009C6C9C" w:rsidRPr="00BE2F6C">
        <w:rPr>
          <w:rFonts w:ascii="Cambria" w:hAnsi="Cambria" w:cs="Times New Roman"/>
        </w:rPr>
        <w:t xml:space="preserve">ir </w:t>
      </w:r>
      <w:r w:rsidR="004805E1" w:rsidRPr="00BE2F6C">
        <w:rPr>
          <w:rFonts w:ascii="Cambria" w:hAnsi="Cambria" w:cs="Times New Roman"/>
        </w:rPr>
        <w:t xml:space="preserve">request for proposal (RFP) </w:t>
      </w:r>
      <w:r w:rsidR="009C6C9C" w:rsidRPr="00BE2F6C">
        <w:rPr>
          <w:rFonts w:ascii="Cambria" w:hAnsi="Cambria" w:cs="Times New Roman"/>
        </w:rPr>
        <w:t>deadlines</w:t>
      </w:r>
      <w:r w:rsidR="004805E1" w:rsidRPr="00BE2F6C">
        <w:rPr>
          <w:rFonts w:ascii="Cambria" w:hAnsi="Cambria" w:cs="Times New Roman"/>
        </w:rPr>
        <w:t xml:space="preserve">? </w:t>
      </w:r>
      <w:r w:rsidR="009C6C9C" w:rsidRPr="00BE2F6C">
        <w:rPr>
          <w:rFonts w:ascii="Cambria" w:hAnsi="Cambria" w:cs="Times New Roman"/>
        </w:rPr>
        <w:t xml:space="preserve">There is concern that </w:t>
      </w:r>
      <w:r w:rsidR="008E084B">
        <w:rPr>
          <w:rFonts w:ascii="Cambria" w:hAnsi="Cambria" w:cs="Times New Roman"/>
        </w:rPr>
        <w:t xml:space="preserve">bidder </w:t>
      </w:r>
      <w:r w:rsidR="009C6C9C" w:rsidRPr="00BE2F6C">
        <w:rPr>
          <w:rFonts w:ascii="Cambria" w:hAnsi="Cambria" w:cs="Times New Roman"/>
        </w:rPr>
        <w:t>responses are</w:t>
      </w:r>
      <w:r w:rsidR="004805E1" w:rsidRPr="00BE2F6C">
        <w:rPr>
          <w:rFonts w:ascii="Cambria" w:hAnsi="Cambria" w:cs="Times New Roman"/>
        </w:rPr>
        <w:t xml:space="preserve"> being</w:t>
      </w:r>
      <w:r w:rsidR="009C6C9C" w:rsidRPr="00BE2F6C">
        <w:rPr>
          <w:rFonts w:ascii="Cambria" w:hAnsi="Cambria" w:cs="Times New Roman"/>
        </w:rPr>
        <w:t xml:space="preserve"> dampened because the market cannot respond to multiple RFPs all at on</w:t>
      </w:r>
      <w:r w:rsidR="008E084B">
        <w:rPr>
          <w:rFonts w:ascii="Cambria" w:hAnsi="Cambria" w:cs="Times New Roman"/>
        </w:rPr>
        <w:t>e time.</w:t>
      </w:r>
      <w:r w:rsidRPr="00BE2F6C">
        <w:rPr>
          <w:rFonts w:ascii="Cambria" w:hAnsi="Cambria" w:cs="Times New Roman"/>
        </w:rPr>
        <w:br/>
      </w:r>
    </w:p>
    <w:p w14:paraId="19BF7164" w14:textId="5ECE3D5B" w:rsidR="00EE4049" w:rsidRPr="00BE2F6C" w:rsidRDefault="00EE4049" w:rsidP="00EE4049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E. Brooks: We are trying to coordinate schedules while also managing our 2019 and 202</w:t>
      </w:r>
      <w:r w:rsidR="00866718">
        <w:rPr>
          <w:rFonts w:ascii="Cambria" w:hAnsi="Cambria" w:cs="Times New Roman"/>
        </w:rPr>
        <w:t>0</w:t>
      </w:r>
      <w:r w:rsidRPr="00BE2F6C">
        <w:rPr>
          <w:rFonts w:ascii="Cambria" w:hAnsi="Cambria" w:cs="Times New Roman"/>
        </w:rPr>
        <w:t xml:space="preserve"> compliance deadlines.</w:t>
      </w:r>
      <w:r w:rsidRPr="00BE2F6C">
        <w:rPr>
          <w:rFonts w:ascii="Cambria" w:hAnsi="Cambria" w:cs="Times New Roman"/>
        </w:rPr>
        <w:br/>
      </w:r>
    </w:p>
    <w:p w14:paraId="000E9F1D" w14:textId="2D4491D7" w:rsidR="00EE4049" w:rsidRPr="00BE2F6C" w:rsidRDefault="00EE4049" w:rsidP="00EE4049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L. Ettenson: The Procurement Review Group (PRG) </w:t>
      </w:r>
      <w:r w:rsidR="009C6C9C" w:rsidRPr="00BE2F6C">
        <w:rPr>
          <w:rFonts w:ascii="Cambria" w:hAnsi="Cambria" w:cs="Times New Roman"/>
        </w:rPr>
        <w:t>is mindful of this issue and will continue to raise it.</w:t>
      </w:r>
      <w:r w:rsidRPr="00BE2F6C">
        <w:rPr>
          <w:rFonts w:ascii="Cambria" w:hAnsi="Cambria" w:cs="Times New Roman"/>
        </w:rPr>
        <w:br/>
      </w:r>
    </w:p>
    <w:p w14:paraId="7A5E7171" w14:textId="267A0AE9" w:rsidR="00EE4049" w:rsidRPr="00BE2F6C" w:rsidRDefault="00EE4049" w:rsidP="00EE4049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t xml:space="preserve">Rebecca (“Beckie”) </w:t>
      </w:r>
      <w:proofErr w:type="spellStart"/>
      <w:r w:rsidRPr="00BE2F6C">
        <w:t>Menton</w:t>
      </w:r>
      <w:proofErr w:type="spellEnd"/>
      <w:r w:rsidRPr="00BE2F6C">
        <w:t>, Center for Sustainable Energy:</w:t>
      </w:r>
      <w:r w:rsidR="00071052" w:rsidRPr="00BE2F6C">
        <w:t xml:space="preserve"> The IOUs should aim to align </w:t>
      </w:r>
      <w:r w:rsidR="00E61B5E" w:rsidRPr="00BE2F6C">
        <w:t xml:space="preserve">RFPs by </w:t>
      </w:r>
      <w:r w:rsidR="00071052" w:rsidRPr="00BE2F6C">
        <w:t xml:space="preserve">sector. </w:t>
      </w:r>
      <w:r w:rsidR="00E61B5E" w:rsidRPr="00BE2F6C">
        <w:t>Additionally, t</w:t>
      </w:r>
      <w:r w:rsidR="00071052" w:rsidRPr="00BE2F6C">
        <w:t xml:space="preserve">he timeline should allow for at least 30-45 days </w:t>
      </w:r>
      <w:r w:rsidR="00E61B5E" w:rsidRPr="00BE2F6C">
        <w:t xml:space="preserve">for </w:t>
      </w:r>
      <w:r w:rsidR="004805E1" w:rsidRPr="00BE2F6C">
        <w:t>bidders</w:t>
      </w:r>
      <w:r w:rsidR="00E61B5E" w:rsidRPr="00BE2F6C">
        <w:t xml:space="preserve"> to</w:t>
      </w:r>
      <w:r w:rsidR="00071052" w:rsidRPr="00BE2F6C">
        <w:t xml:space="preserve"> respond</w:t>
      </w:r>
      <w:r w:rsidR="004805E1" w:rsidRPr="00BE2F6C">
        <w:t xml:space="preserve"> to RFPs.</w:t>
      </w:r>
      <w:r w:rsidR="004A3ADA" w:rsidRPr="00BE2F6C">
        <w:br/>
      </w:r>
    </w:p>
    <w:p w14:paraId="2CC9CADF" w14:textId="6116752B" w:rsidR="004A3ADA" w:rsidRPr="00BE2F6C" w:rsidRDefault="00D454BE" w:rsidP="004A3AD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Sam Appel, </w:t>
      </w:r>
      <w:proofErr w:type="spellStart"/>
      <w:r w:rsidRPr="00BE2F6C">
        <w:rPr>
          <w:rFonts w:ascii="Cambria" w:hAnsi="Cambria" w:cs="Times New Roman"/>
        </w:rPr>
        <w:t>BlueGreen</w:t>
      </w:r>
      <w:proofErr w:type="spellEnd"/>
      <w:r w:rsidRPr="00BE2F6C">
        <w:rPr>
          <w:rFonts w:ascii="Cambria" w:hAnsi="Cambria" w:cs="Times New Roman"/>
        </w:rPr>
        <w:t xml:space="preserve"> Alliance: </w:t>
      </w:r>
      <w:r w:rsidR="001C0E3D" w:rsidRPr="00BE2F6C">
        <w:rPr>
          <w:rFonts w:ascii="Cambria" w:hAnsi="Cambria" w:cs="Times New Roman"/>
        </w:rPr>
        <w:t xml:space="preserve">The </w:t>
      </w:r>
      <w:r w:rsidR="004805E1" w:rsidRPr="00BE2F6C">
        <w:rPr>
          <w:rFonts w:ascii="Cambria" w:hAnsi="Cambria" w:cs="Times New Roman"/>
        </w:rPr>
        <w:t xml:space="preserve">“Update of EE 3P Solicitation Timeline” </w:t>
      </w:r>
      <w:r w:rsidR="008E084B">
        <w:rPr>
          <w:rFonts w:ascii="Cambria" w:hAnsi="Cambria" w:cs="Times New Roman"/>
        </w:rPr>
        <w:t xml:space="preserve">could be made more transparent by </w:t>
      </w:r>
      <w:r w:rsidR="00B85DE9" w:rsidRPr="00BE2F6C">
        <w:rPr>
          <w:rFonts w:ascii="Cambria" w:hAnsi="Cambria" w:cs="Times New Roman"/>
        </w:rPr>
        <w:t xml:space="preserve">adding </w:t>
      </w:r>
      <w:r w:rsidR="004805E1" w:rsidRPr="00BE2F6C">
        <w:rPr>
          <w:rFonts w:ascii="Cambria" w:hAnsi="Cambria" w:cs="Times New Roman"/>
        </w:rPr>
        <w:t>more detailed date information</w:t>
      </w:r>
      <w:r w:rsidR="00B85DE9" w:rsidRPr="00BE2F6C">
        <w:rPr>
          <w:rFonts w:ascii="Cambria" w:hAnsi="Cambria" w:cs="Times New Roman"/>
        </w:rPr>
        <w:t xml:space="preserve"> where possible, even if those dates are in flux. This information would also be helpful for the PRG.</w:t>
      </w:r>
      <w:r w:rsidR="00B85DE9" w:rsidRPr="00BE2F6C">
        <w:rPr>
          <w:rFonts w:ascii="Cambria" w:hAnsi="Cambria" w:cs="Times New Roman"/>
        </w:rPr>
        <w:br/>
      </w:r>
    </w:p>
    <w:p w14:paraId="1ED2A382" w14:textId="0741C92C" w:rsidR="00B85DE9" w:rsidRPr="00BE2F6C" w:rsidRDefault="00B85DE9" w:rsidP="004A3AD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 xml:space="preserve">A. </w:t>
      </w:r>
      <w:proofErr w:type="spellStart"/>
      <w:r w:rsidRPr="00BE2F6C">
        <w:rPr>
          <w:rFonts w:ascii="Cambria" w:hAnsi="Cambria" w:cs="Times New Roman"/>
        </w:rPr>
        <w:t>Haubenstock</w:t>
      </w:r>
      <w:proofErr w:type="spellEnd"/>
      <w:r w:rsidRPr="00BE2F6C">
        <w:rPr>
          <w:rFonts w:ascii="Cambria" w:hAnsi="Cambria" w:cs="Times New Roman"/>
        </w:rPr>
        <w:t>:</w:t>
      </w:r>
      <w:r w:rsidR="00BD738A" w:rsidRPr="00BE2F6C">
        <w:rPr>
          <w:rFonts w:ascii="Cambria" w:hAnsi="Cambria" w:cs="Times New Roman"/>
        </w:rPr>
        <w:t xml:space="preserve"> We need more feedback on </w:t>
      </w:r>
      <w:r w:rsidR="004805E1" w:rsidRPr="00BE2F6C">
        <w:rPr>
          <w:rFonts w:ascii="Cambria" w:hAnsi="Cambria" w:cs="Times New Roman"/>
        </w:rPr>
        <w:t>how the</w:t>
      </w:r>
      <w:r w:rsidR="00BD738A" w:rsidRPr="00BE2F6C">
        <w:rPr>
          <w:rFonts w:ascii="Cambria" w:hAnsi="Cambria" w:cs="Times New Roman"/>
        </w:rPr>
        <w:t xml:space="preserve"> Request </w:t>
      </w:r>
      <w:r w:rsidR="004805E1" w:rsidRPr="00BE2F6C">
        <w:rPr>
          <w:rFonts w:ascii="Cambria" w:hAnsi="Cambria" w:cs="Times New Roman"/>
        </w:rPr>
        <w:t>for Abstract (RFA) stage is going so that RFA stages moving forward can be more fruitful. For example, we need information on how the process has gone</w:t>
      </w:r>
      <w:r w:rsidR="008E084B">
        <w:rPr>
          <w:rFonts w:ascii="Cambria" w:hAnsi="Cambria" w:cs="Times New Roman"/>
        </w:rPr>
        <w:t xml:space="preserve"> thus far</w:t>
      </w:r>
      <w:r w:rsidR="004805E1" w:rsidRPr="00BE2F6C">
        <w:rPr>
          <w:rFonts w:ascii="Cambria" w:hAnsi="Cambria" w:cs="Times New Roman"/>
        </w:rPr>
        <w:t>, what has and has not work, what info the IOUs seek, and what could be improved.</w:t>
      </w:r>
      <w:r w:rsidR="004805E1" w:rsidRPr="00BE2F6C">
        <w:rPr>
          <w:rFonts w:ascii="Cambria" w:hAnsi="Cambria" w:cs="Times New Roman"/>
        </w:rPr>
        <w:br/>
      </w:r>
    </w:p>
    <w:p w14:paraId="0A6D9242" w14:textId="13D222CF" w:rsidR="004805E1" w:rsidRPr="00BE2F6C" w:rsidRDefault="004805E1" w:rsidP="004805E1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L. Ettenson: The PRG should talk about this.</w:t>
      </w:r>
      <w:r w:rsidRPr="00BE2F6C">
        <w:rPr>
          <w:rFonts w:ascii="Cambria" w:hAnsi="Cambria" w:cs="Times New Roman"/>
        </w:rPr>
        <w:br/>
      </w:r>
    </w:p>
    <w:p w14:paraId="10C294C6" w14:textId="4BF07964" w:rsidR="004805E1" w:rsidRPr="00BE2F6C" w:rsidRDefault="004805E1" w:rsidP="004805E1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BE2F6C">
        <w:rPr>
          <w:rFonts w:ascii="Cambria" w:hAnsi="Cambria" w:cs="Times New Roman"/>
        </w:rPr>
        <w:t>Erica Ke</w:t>
      </w:r>
      <w:r w:rsidR="004973D4" w:rsidRPr="00BE2F6C">
        <w:rPr>
          <w:rFonts w:ascii="Cambria" w:hAnsi="Cambria" w:cs="Times New Roman"/>
        </w:rPr>
        <w:t>a</w:t>
      </w:r>
      <w:r w:rsidRPr="00BE2F6C">
        <w:rPr>
          <w:rFonts w:ascii="Cambria" w:hAnsi="Cambria" w:cs="Times New Roman"/>
        </w:rPr>
        <w:t xml:space="preserve">ting, Southern California Edison: The Independent Evaluator’s report will provide aggregated information in response to some of these questions. Bidders can also request a meeting to receive feedback on their proposals, though the information that can be provided </w:t>
      </w:r>
      <w:r w:rsidR="008E084B">
        <w:rPr>
          <w:rFonts w:ascii="Cambria" w:hAnsi="Cambria" w:cs="Times New Roman"/>
        </w:rPr>
        <w:t xml:space="preserve">in these meetings </w:t>
      </w:r>
      <w:r w:rsidRPr="00BE2F6C">
        <w:rPr>
          <w:rFonts w:ascii="Cambria" w:hAnsi="Cambria" w:cs="Times New Roman"/>
        </w:rPr>
        <w:t>may be limited.</w:t>
      </w:r>
    </w:p>
    <w:p w14:paraId="307BBEF2" w14:textId="77777777" w:rsidR="00EE4049" w:rsidRPr="00BE2F6C" w:rsidRDefault="00EE4049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</w:rPr>
      </w:pPr>
    </w:p>
    <w:p w14:paraId="521EE62B" w14:textId="267B8766" w:rsidR="007120C8" w:rsidRPr="00BE2F6C" w:rsidRDefault="00605883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/>
        </w:rPr>
      </w:pPr>
      <w:r w:rsidRPr="00BE2F6C">
        <w:rPr>
          <w:rFonts w:ascii="Cambria" w:hAnsi="Cambria"/>
          <w:b/>
          <w:bCs/>
          <w:smallCaps/>
          <w:sz w:val="26"/>
          <w:szCs w:val="26"/>
        </w:rPr>
        <w:t>Session 4: CAEECC Planning</w:t>
      </w:r>
      <w:r w:rsidRPr="00BE2F6C">
        <w:rPr>
          <w:rFonts w:ascii="Cambria" w:hAnsi="Cambria"/>
          <w:b/>
          <w:bCs/>
          <w:smallCaps/>
          <w:sz w:val="26"/>
          <w:szCs w:val="26"/>
        </w:rPr>
        <w:br/>
      </w:r>
    </w:p>
    <w:p w14:paraId="2079DA49" w14:textId="75C1713B" w:rsidR="0040380B" w:rsidRPr="00BE2F6C" w:rsidRDefault="0040380B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i/>
        </w:rPr>
      </w:pPr>
      <w:r w:rsidRPr="00BE2F6C">
        <w:rPr>
          <w:rFonts w:ascii="Cambria" w:hAnsi="Cambria"/>
          <w:b/>
          <w:i/>
        </w:rPr>
        <w:t xml:space="preserve">Section 4: CAEECC Planning – J. Raab </w:t>
      </w:r>
    </w:p>
    <w:p w14:paraId="6C062055" w14:textId="4F69C367" w:rsidR="0040380B" w:rsidRPr="00BE2F6C" w:rsidRDefault="0040380B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BE2F6C">
        <w:rPr>
          <w:rFonts w:ascii="Cambria" w:hAnsi="Cambria"/>
        </w:rPr>
        <w:t xml:space="preserve">This presentation is available on the CAEECC website (see link </w:t>
      </w:r>
      <w:proofErr w:type="gramStart"/>
      <w:r w:rsidRPr="00BE2F6C">
        <w:rPr>
          <w:rFonts w:ascii="Cambria" w:hAnsi="Cambria"/>
        </w:rPr>
        <w:t>above,</w:t>
      </w:r>
      <w:r w:rsidRPr="00BE2F6C">
        <w:rPr>
          <w:rFonts w:ascii="Cambria" w:hAnsi="Cambria"/>
          <w:i/>
        </w:rPr>
        <w:t xml:space="preserve"> </w:t>
      </w:r>
      <w:r w:rsidRPr="00BE2F6C">
        <w:rPr>
          <w:rFonts w:ascii="Cambria" w:hAnsi="Cambria"/>
        </w:rPr>
        <w:t xml:space="preserve"> </w:t>
      </w:r>
      <w:r w:rsidRPr="00BE2F6C">
        <w:rPr>
          <w:rFonts w:ascii="Cambria" w:hAnsi="Cambria"/>
          <w:i/>
        </w:rPr>
        <w:t>Session</w:t>
      </w:r>
      <w:proofErr w:type="gramEnd"/>
      <w:r w:rsidRPr="00BE2F6C">
        <w:rPr>
          <w:rFonts w:ascii="Cambria" w:hAnsi="Cambria"/>
          <w:i/>
        </w:rPr>
        <w:t xml:space="preserve"> 4-CAEECC Planning 2-22-19</w:t>
      </w:r>
      <w:r w:rsidRPr="00BE2F6C">
        <w:rPr>
          <w:rFonts w:ascii="Cambria" w:hAnsi="Cambria"/>
        </w:rPr>
        <w:t>).</w:t>
      </w:r>
    </w:p>
    <w:p w14:paraId="277A38FC" w14:textId="16E8EAF9" w:rsidR="009D4895" w:rsidRPr="00BE2F6C" w:rsidRDefault="009D4895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</w:p>
    <w:p w14:paraId="008B1A9E" w14:textId="092468C9" w:rsidR="009D4895" w:rsidRPr="00BE2F6C" w:rsidRDefault="009D4895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i/>
        </w:rPr>
      </w:pPr>
      <w:r w:rsidRPr="00BE2F6C">
        <w:rPr>
          <w:rFonts w:ascii="Cambria" w:hAnsi="Cambria"/>
          <w:b/>
          <w:i/>
        </w:rPr>
        <w:t>Decision 18-10-008 October 11, 2018 (Issued 10/22/18) – J. Raab</w:t>
      </w:r>
    </w:p>
    <w:p w14:paraId="62772A51" w14:textId="712393DA" w:rsidR="0040380B" w:rsidRPr="00BE2F6C" w:rsidRDefault="009D4895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BE2F6C">
        <w:rPr>
          <w:rFonts w:ascii="Cambria" w:hAnsi="Cambria"/>
        </w:rPr>
        <w:t>This document is available on the CAEECC website (see link above,</w:t>
      </w:r>
      <w:r w:rsidRPr="00BE2F6C">
        <w:rPr>
          <w:rFonts w:ascii="Cambria" w:hAnsi="Cambria"/>
          <w:i/>
        </w:rPr>
        <w:t xml:space="preserve"> CAEECC Future Workforce Issues 2-21-19</w:t>
      </w:r>
      <w:r w:rsidRPr="00BE2F6C">
        <w:rPr>
          <w:rFonts w:ascii="Cambria" w:hAnsi="Cambria"/>
        </w:rPr>
        <w:t>).</w:t>
      </w:r>
      <w:r w:rsidRPr="00BE2F6C">
        <w:rPr>
          <w:rFonts w:ascii="Cambria" w:hAnsi="Cambria"/>
        </w:rPr>
        <w:br/>
      </w:r>
    </w:p>
    <w:p w14:paraId="4A72CC8B" w14:textId="6BF0C9F6" w:rsidR="0040380B" w:rsidRPr="00BE2F6C" w:rsidRDefault="003D22B8" w:rsidP="002C2BF0">
      <w:pPr>
        <w:widowControl w:val="0"/>
        <w:autoSpaceDE w:val="0"/>
        <w:autoSpaceDN w:val="0"/>
        <w:adjustRightInd w:val="0"/>
        <w:spacing w:before="10" w:after="10"/>
      </w:pPr>
      <w:r w:rsidRPr="00BE2F6C">
        <w:rPr>
          <w:u w:val="single"/>
        </w:rPr>
        <w:t xml:space="preserve">Key Discussion Points on the Topics for the </w:t>
      </w:r>
      <w:r w:rsidRPr="00BE2F6C">
        <w:rPr>
          <w:rFonts w:ascii="Cambria" w:hAnsi="Cambria"/>
          <w:u w:val="single"/>
        </w:rPr>
        <w:t>June CAEECC meeting</w:t>
      </w:r>
      <w:r w:rsidR="00BF2E89" w:rsidRPr="00BE2F6C">
        <w:t>:</w:t>
      </w:r>
    </w:p>
    <w:p w14:paraId="30A8D2C1" w14:textId="57AA0456" w:rsidR="003D22B8" w:rsidRPr="00BE2F6C" w:rsidRDefault="003D22B8" w:rsidP="002C2BF0">
      <w:pPr>
        <w:widowControl w:val="0"/>
        <w:autoSpaceDE w:val="0"/>
        <w:autoSpaceDN w:val="0"/>
        <w:adjustRightInd w:val="0"/>
        <w:spacing w:before="10" w:after="10"/>
        <w:rPr>
          <w:u w:val="single"/>
        </w:rPr>
      </w:pPr>
    </w:p>
    <w:p w14:paraId="3075495C" w14:textId="057DE0D6" w:rsidR="003D22B8" w:rsidRPr="00BE2F6C" w:rsidRDefault="00794FB5" w:rsidP="00794FB5">
      <w:pPr>
        <w:widowControl w:val="0"/>
        <w:autoSpaceDE w:val="0"/>
        <w:autoSpaceDN w:val="0"/>
        <w:adjustRightInd w:val="0"/>
        <w:spacing w:before="10" w:after="10"/>
      </w:pPr>
      <w:r w:rsidRPr="00BE2F6C">
        <w:t xml:space="preserve">The CAEECC agreed with the identified topics and </w:t>
      </w:r>
      <w:r w:rsidR="009D4895" w:rsidRPr="00BE2F6C">
        <w:t xml:space="preserve">suggested </w:t>
      </w:r>
      <w:r w:rsidRPr="00BE2F6C">
        <w:t xml:space="preserve">the following </w:t>
      </w:r>
      <w:r w:rsidR="009D4895" w:rsidRPr="00BE2F6C">
        <w:t xml:space="preserve">potential </w:t>
      </w:r>
      <w:r w:rsidRPr="00BE2F6C">
        <w:t>additions:</w:t>
      </w:r>
      <w:r w:rsidRPr="00BE2F6C">
        <w:br/>
      </w:r>
    </w:p>
    <w:p w14:paraId="38AD7D0A" w14:textId="1061BC0D" w:rsidR="00794FB5" w:rsidRPr="00BE2F6C" w:rsidRDefault="00794FB5" w:rsidP="00794F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0" w:after="10"/>
      </w:pPr>
      <w:r w:rsidRPr="00BE2F6C">
        <w:t xml:space="preserve">Michael Campbell, Public Advocates Office: A discussion about the Business Plans and what the new </w:t>
      </w:r>
      <w:r w:rsidR="008E084B">
        <w:t>B</w:t>
      </w:r>
      <w:r w:rsidRPr="00BE2F6C">
        <w:t xml:space="preserve">usiness </w:t>
      </w:r>
      <w:r w:rsidR="008E084B">
        <w:t>P</w:t>
      </w:r>
      <w:r w:rsidRPr="00BE2F6C">
        <w:t>lan cycle and application will entail.</w:t>
      </w:r>
      <w:r w:rsidRPr="00BE2F6C">
        <w:br/>
      </w:r>
    </w:p>
    <w:p w14:paraId="5676B371" w14:textId="3E5D0BED" w:rsidR="00794FB5" w:rsidRPr="00BE2F6C" w:rsidRDefault="00EE4049" w:rsidP="00794F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0" w:after="10"/>
      </w:pPr>
      <w:r w:rsidRPr="00BE2F6C">
        <w:t>R.</w:t>
      </w:r>
      <w:r w:rsidR="00744750" w:rsidRPr="00BE2F6C">
        <w:t xml:space="preserve"> </w:t>
      </w:r>
      <w:proofErr w:type="spellStart"/>
      <w:r w:rsidR="00794FB5" w:rsidRPr="00BE2F6C">
        <w:t>Menton</w:t>
      </w:r>
      <w:proofErr w:type="spellEnd"/>
      <w:r w:rsidRPr="00BE2F6C">
        <w:t xml:space="preserve">: </w:t>
      </w:r>
      <w:r w:rsidR="00794FB5" w:rsidRPr="00BE2F6C">
        <w:t>Cost-effectiveness.</w:t>
      </w:r>
      <w:r w:rsidR="00794FB5" w:rsidRPr="00BE2F6C">
        <w:br/>
      </w:r>
    </w:p>
    <w:p w14:paraId="79797DF1" w14:textId="1077FFEA" w:rsidR="00794FB5" w:rsidRPr="00BE2F6C" w:rsidRDefault="00794FB5" w:rsidP="00794FB5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10" w:after="10"/>
      </w:pPr>
      <w:r w:rsidRPr="00BE2F6C">
        <w:t>L. Ettenson: While I agree with Beckie, we have received clear gui</w:t>
      </w:r>
      <w:r w:rsidR="00744750" w:rsidRPr="00BE2F6C">
        <w:t>d</w:t>
      </w:r>
      <w:r w:rsidRPr="00BE2F6C">
        <w:t>ance from the CPUC not to address topics out</w:t>
      </w:r>
      <w:r w:rsidR="007E11BF" w:rsidRPr="00BE2F6C">
        <w:t>side</w:t>
      </w:r>
      <w:r w:rsidRPr="00BE2F6C">
        <w:t xml:space="preserve"> of CAEECC’s scope.</w:t>
      </w:r>
    </w:p>
    <w:p w14:paraId="09DC933B" w14:textId="6E08F488" w:rsidR="0040380B" w:rsidRPr="00BE2F6C" w:rsidRDefault="0040380B" w:rsidP="002C2BF0">
      <w:pPr>
        <w:widowControl w:val="0"/>
        <w:autoSpaceDE w:val="0"/>
        <w:autoSpaceDN w:val="0"/>
        <w:adjustRightInd w:val="0"/>
        <w:spacing w:before="10" w:after="10"/>
      </w:pPr>
    </w:p>
    <w:p w14:paraId="24834096" w14:textId="2BCF52C6" w:rsidR="003D22B8" w:rsidRPr="00BE2F6C" w:rsidRDefault="003D22B8" w:rsidP="003D22B8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u w:val="single"/>
        </w:rPr>
      </w:pPr>
      <w:r w:rsidRPr="00BE2F6C">
        <w:rPr>
          <w:u w:val="single"/>
        </w:rPr>
        <w:t xml:space="preserve">Key Discussion Points on the </w:t>
      </w:r>
      <w:r w:rsidR="004973D4" w:rsidRPr="00BE2F6C">
        <w:rPr>
          <w:rFonts w:ascii="Cambria" w:hAnsi="Cambria"/>
          <w:u w:val="single"/>
        </w:rPr>
        <w:t>S</w:t>
      </w:r>
      <w:r w:rsidR="00C262D1" w:rsidRPr="00BE2F6C">
        <w:rPr>
          <w:rFonts w:ascii="Cambria" w:hAnsi="Cambria"/>
          <w:u w:val="single"/>
        </w:rPr>
        <w:t xml:space="preserve">tructure of the August CAEECC </w:t>
      </w:r>
      <w:r w:rsidR="004973D4" w:rsidRPr="00BE2F6C">
        <w:rPr>
          <w:rFonts w:ascii="Cambria" w:hAnsi="Cambria"/>
          <w:u w:val="single"/>
        </w:rPr>
        <w:t>M</w:t>
      </w:r>
      <w:r w:rsidR="00C262D1" w:rsidRPr="00BE2F6C">
        <w:rPr>
          <w:rFonts w:ascii="Cambria" w:hAnsi="Cambria"/>
          <w:u w:val="single"/>
        </w:rPr>
        <w:t>eeting on the ABALs</w:t>
      </w:r>
      <w:r w:rsidR="00C262D1" w:rsidRPr="00BE2F6C">
        <w:rPr>
          <w:rFonts w:ascii="Cambria" w:hAnsi="Cambria"/>
        </w:rPr>
        <w:t>:</w:t>
      </w:r>
    </w:p>
    <w:p w14:paraId="61D908A2" w14:textId="5E2D0CF6" w:rsidR="003D22B8" w:rsidRPr="00BE2F6C" w:rsidRDefault="003D22B8" w:rsidP="003D22B8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u w:val="single"/>
        </w:rPr>
      </w:pPr>
    </w:p>
    <w:p w14:paraId="0157189B" w14:textId="30A77B7E" w:rsidR="003D22B8" w:rsidRPr="00BE2F6C" w:rsidRDefault="007E11BF" w:rsidP="00C262D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10"/>
      </w:pPr>
      <w:r w:rsidRPr="00BE2F6C">
        <w:t>E. Brooks</w:t>
      </w:r>
      <w:r w:rsidR="00C262D1" w:rsidRPr="00BE2F6C">
        <w:t xml:space="preserve">: The </w:t>
      </w:r>
      <w:r w:rsidR="00BF2F85" w:rsidRPr="00BE2F6C">
        <w:t>“</w:t>
      </w:r>
      <w:r w:rsidR="00C262D1" w:rsidRPr="00BE2F6C">
        <w:t>Option 2</w:t>
      </w:r>
      <w:r w:rsidR="00BF2F85" w:rsidRPr="00BE2F6C">
        <w:t>”</w:t>
      </w:r>
      <w:r w:rsidR="00C262D1" w:rsidRPr="00BE2F6C">
        <w:t xml:space="preserve"> format is really the same as the </w:t>
      </w:r>
      <w:r w:rsidR="008E084B">
        <w:t>“</w:t>
      </w:r>
      <w:r w:rsidR="00C262D1" w:rsidRPr="00BE2F6C">
        <w:t>Option 1</w:t>
      </w:r>
      <w:r w:rsidR="008E084B">
        <w:t>”</w:t>
      </w:r>
      <w:r w:rsidR="00C262D1" w:rsidRPr="00BE2F6C">
        <w:t xml:space="preserve"> format as it would be challenging to talk about cost-effectiveness results in isolation from the entire Portfolio.</w:t>
      </w:r>
      <w:r w:rsidR="00BF2F85" w:rsidRPr="00BE2F6C">
        <w:br/>
      </w:r>
    </w:p>
    <w:p w14:paraId="15F0597C" w14:textId="6E914B01" w:rsidR="00BF2F85" w:rsidRPr="00BE2F6C" w:rsidRDefault="00BF2F85" w:rsidP="00C262D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10"/>
      </w:pPr>
      <w:r w:rsidRPr="00BE2F6C">
        <w:t xml:space="preserve">Laurel Rothschild, </w:t>
      </w:r>
      <w:r w:rsidR="00D61612" w:rsidRPr="00BE2F6C">
        <w:t xml:space="preserve">The Energy Coalition: </w:t>
      </w:r>
      <w:r w:rsidR="00F35F55" w:rsidRPr="00BE2F6C">
        <w:t xml:space="preserve">An “Option 2” format </w:t>
      </w:r>
      <w:r w:rsidR="008E084B">
        <w:t xml:space="preserve">that </w:t>
      </w:r>
      <w:r w:rsidR="00F35F55" w:rsidRPr="00BE2F6C">
        <w:t>compar</w:t>
      </w:r>
      <w:r w:rsidR="008E084B">
        <w:t>es</w:t>
      </w:r>
      <w:r w:rsidR="00F35F55" w:rsidRPr="00BE2F6C">
        <w:t xml:space="preserve"> PAs sector-by-sector, side-by-side would interesting. Cost-effectiveness could be addressed separately.</w:t>
      </w:r>
      <w:r w:rsidRPr="00BE2F6C">
        <w:br/>
      </w:r>
    </w:p>
    <w:p w14:paraId="6A695F8B" w14:textId="01F730AC" w:rsidR="00BC34A2" w:rsidRPr="00BE2F6C" w:rsidRDefault="00C262D1" w:rsidP="00BC34A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10"/>
      </w:pPr>
      <w:r w:rsidRPr="00BE2F6C">
        <w:t>J. Raab</w:t>
      </w:r>
      <w:r w:rsidR="00BF2F85" w:rsidRPr="00BE2F6C">
        <w:t xml:space="preserve">: A </w:t>
      </w:r>
      <w:r w:rsidRPr="00BE2F6C">
        <w:t>decision on the</w:t>
      </w:r>
      <w:r w:rsidR="00BF2F85" w:rsidRPr="00BE2F6C">
        <w:t xml:space="preserve"> meeting</w:t>
      </w:r>
      <w:r w:rsidRPr="00BE2F6C">
        <w:t xml:space="preserve"> structure</w:t>
      </w:r>
      <w:r w:rsidR="009D4895" w:rsidRPr="00BE2F6C">
        <w:t xml:space="preserve"> for the </w:t>
      </w:r>
      <w:r w:rsidR="009D4895" w:rsidRPr="00BE2F6C">
        <w:rPr>
          <w:rFonts w:ascii="Cambria" w:hAnsi="Cambria" w:cs="Times New Roman"/>
        </w:rPr>
        <w:t xml:space="preserve">August CAEECC </w:t>
      </w:r>
      <w:r w:rsidR="008E084B">
        <w:rPr>
          <w:rFonts w:ascii="Cambria" w:hAnsi="Cambria" w:cs="Times New Roman"/>
        </w:rPr>
        <w:t xml:space="preserve">ABAL </w:t>
      </w:r>
      <w:r w:rsidR="009D4895" w:rsidRPr="00BE2F6C">
        <w:rPr>
          <w:rFonts w:ascii="Cambria" w:hAnsi="Cambria" w:cs="Times New Roman"/>
        </w:rPr>
        <w:t xml:space="preserve">meeting </w:t>
      </w:r>
      <w:r w:rsidR="00BF2F85" w:rsidRPr="00BE2F6C">
        <w:t>will not be made today</w:t>
      </w:r>
      <w:r w:rsidR="008E084B">
        <w:t xml:space="preserve">. We will discuss the meeting structure further </w:t>
      </w:r>
      <w:r w:rsidR="00BF2F85" w:rsidRPr="00BE2F6C">
        <w:t xml:space="preserve">at the </w:t>
      </w:r>
      <w:r w:rsidR="009D4895" w:rsidRPr="00BE2F6C">
        <w:t xml:space="preserve">June </w:t>
      </w:r>
      <w:r w:rsidR="00BF2F85" w:rsidRPr="00BE2F6C">
        <w:t>CAEECC meeting.</w:t>
      </w:r>
    </w:p>
    <w:p w14:paraId="44B4D0D4" w14:textId="375FC797" w:rsidR="00540B70" w:rsidRPr="00BE2F6C" w:rsidRDefault="00540B70" w:rsidP="00540B7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</w:rPr>
      </w:pPr>
    </w:p>
    <w:p w14:paraId="7078C445" w14:textId="4FF8B8BE" w:rsidR="00540B70" w:rsidRPr="00BE2F6C" w:rsidRDefault="009D4895" w:rsidP="00540B7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u w:val="single"/>
        </w:rPr>
      </w:pPr>
      <w:r w:rsidRPr="00BE2F6C">
        <w:rPr>
          <w:u w:val="single"/>
        </w:rPr>
        <w:t xml:space="preserve">Key Discussion Points on the </w:t>
      </w:r>
      <w:r w:rsidR="00FA380A" w:rsidRPr="00BE2F6C">
        <w:rPr>
          <w:rFonts w:ascii="Cambria" w:hAnsi="Cambria"/>
          <w:u w:val="single"/>
        </w:rPr>
        <w:t xml:space="preserve">Potential </w:t>
      </w:r>
      <w:r w:rsidRPr="00BE2F6C">
        <w:rPr>
          <w:rFonts w:ascii="Cambria" w:hAnsi="Cambria"/>
          <w:u w:val="single"/>
        </w:rPr>
        <w:t>A</w:t>
      </w:r>
      <w:r w:rsidR="00FA380A" w:rsidRPr="00BE2F6C">
        <w:rPr>
          <w:rFonts w:ascii="Cambria" w:hAnsi="Cambria"/>
          <w:u w:val="single"/>
        </w:rPr>
        <w:t>pproach/</w:t>
      </w:r>
      <w:r w:rsidRPr="00BE2F6C">
        <w:rPr>
          <w:rFonts w:ascii="Cambria" w:hAnsi="Cambria"/>
          <w:u w:val="single"/>
        </w:rPr>
        <w:t>T</w:t>
      </w:r>
      <w:r w:rsidR="00FA380A" w:rsidRPr="00BE2F6C">
        <w:rPr>
          <w:rFonts w:ascii="Cambria" w:hAnsi="Cambria"/>
          <w:u w:val="single"/>
        </w:rPr>
        <w:t xml:space="preserve">iming for </w:t>
      </w:r>
      <w:r w:rsidRPr="00BE2F6C">
        <w:rPr>
          <w:rFonts w:ascii="Cambria" w:hAnsi="Cambria"/>
          <w:u w:val="single"/>
        </w:rPr>
        <w:t>A</w:t>
      </w:r>
      <w:r w:rsidR="00FA380A" w:rsidRPr="00BE2F6C">
        <w:rPr>
          <w:rFonts w:ascii="Cambria" w:hAnsi="Cambria"/>
          <w:u w:val="single"/>
        </w:rPr>
        <w:t xml:space="preserve">ddressing CAEECC </w:t>
      </w:r>
      <w:r w:rsidR="00FA380A" w:rsidRPr="00BE2F6C">
        <w:rPr>
          <w:rFonts w:ascii="Cambria" w:hAnsi="Cambria"/>
          <w:u w:val="single"/>
        </w:rPr>
        <w:lastRenderedPageBreak/>
        <w:t>Disadvantaged Workers/Workforce Standards per D.18-10-008.</w:t>
      </w:r>
    </w:p>
    <w:p w14:paraId="36CD0FDD" w14:textId="584AECC5" w:rsidR="002B1619" w:rsidRPr="00BE2F6C" w:rsidRDefault="002B1619" w:rsidP="002B1619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</w:p>
    <w:p w14:paraId="0909E85E" w14:textId="34C25F48" w:rsidR="00B8671A" w:rsidRDefault="00036936" w:rsidP="009C277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9C277A">
        <w:rPr>
          <w:rFonts w:ascii="Cambria" w:hAnsi="Cambria" w:cs="Times New Roman"/>
        </w:rPr>
        <w:t>J. Raab reviewed D.18-10-008 and the</w:t>
      </w:r>
      <w:r w:rsidR="009C277A" w:rsidRPr="009C277A">
        <w:rPr>
          <w:rFonts w:ascii="Cambria" w:hAnsi="Cambria" w:cs="Times New Roman"/>
        </w:rPr>
        <w:t xml:space="preserve"> CPUC</w:t>
      </w:r>
      <w:r w:rsidR="0037329C">
        <w:rPr>
          <w:rFonts w:ascii="Cambria" w:hAnsi="Cambria" w:cs="Times New Roman"/>
        </w:rPr>
        <w:t>’s</w:t>
      </w:r>
      <w:r w:rsidR="009C277A" w:rsidRPr="009C277A">
        <w:rPr>
          <w:rFonts w:ascii="Cambria" w:hAnsi="Cambria" w:cs="Times New Roman"/>
        </w:rPr>
        <w:t xml:space="preserve"> directive</w:t>
      </w:r>
      <w:r w:rsidRPr="009C277A">
        <w:rPr>
          <w:rFonts w:ascii="Cambria" w:hAnsi="Cambria" w:cs="Times New Roman"/>
        </w:rPr>
        <w:t xml:space="preserve"> </w:t>
      </w:r>
      <w:r w:rsidR="0037329C">
        <w:rPr>
          <w:rFonts w:ascii="Cambria" w:hAnsi="Cambria" w:cs="Times New Roman"/>
        </w:rPr>
        <w:t xml:space="preserve">for </w:t>
      </w:r>
      <w:r w:rsidRPr="009C277A">
        <w:rPr>
          <w:rFonts w:ascii="Cambria" w:hAnsi="Cambria" w:cs="Times New Roman"/>
        </w:rPr>
        <w:t xml:space="preserve">the CAEECC </w:t>
      </w:r>
      <w:r w:rsidR="0037329C">
        <w:rPr>
          <w:rFonts w:ascii="Cambria" w:hAnsi="Cambria" w:cs="Times New Roman"/>
        </w:rPr>
        <w:t xml:space="preserve">to </w:t>
      </w:r>
      <w:r w:rsidR="009C277A" w:rsidRPr="009C277A">
        <w:rPr>
          <w:rFonts w:ascii="Cambria" w:hAnsi="Cambria" w:cs="Times New Roman"/>
        </w:rPr>
        <w:t>initiate a stakeholder process no later than July 1, 2020</w:t>
      </w:r>
      <w:r w:rsidR="003842DF">
        <w:rPr>
          <w:rFonts w:ascii="Cambria" w:hAnsi="Cambria" w:cs="Times New Roman"/>
        </w:rPr>
        <w:t>,</w:t>
      </w:r>
      <w:r w:rsidR="009C277A" w:rsidRPr="009C277A">
        <w:rPr>
          <w:rFonts w:ascii="Cambria" w:hAnsi="Cambria" w:cs="Times New Roman"/>
        </w:rPr>
        <w:t xml:space="preserve"> to discuss and vet the potential for further application of </w:t>
      </w:r>
      <w:r w:rsidR="0037329C">
        <w:rPr>
          <w:rFonts w:ascii="Cambria" w:hAnsi="Cambria" w:cs="Times New Roman"/>
        </w:rPr>
        <w:t xml:space="preserve">the </w:t>
      </w:r>
      <w:r w:rsidR="009C277A" w:rsidRPr="009C277A">
        <w:rPr>
          <w:rFonts w:ascii="Cambria" w:hAnsi="Cambria" w:cs="Times New Roman"/>
        </w:rPr>
        <w:t xml:space="preserve">workforce standards. </w:t>
      </w:r>
      <w:r w:rsidR="00E56516">
        <w:rPr>
          <w:rFonts w:ascii="Cambria" w:hAnsi="Cambria" w:cs="Times New Roman"/>
        </w:rPr>
        <w:t xml:space="preserve">He </w:t>
      </w:r>
      <w:r w:rsidR="0037329C">
        <w:rPr>
          <w:rFonts w:ascii="Cambria" w:hAnsi="Cambria" w:cs="Times New Roman"/>
        </w:rPr>
        <w:t>requested</w:t>
      </w:r>
      <w:r w:rsidR="00E56516">
        <w:rPr>
          <w:rFonts w:ascii="Cambria" w:hAnsi="Cambria" w:cs="Times New Roman"/>
        </w:rPr>
        <w:t xml:space="preserve"> </w:t>
      </w:r>
      <w:r w:rsidR="0037329C">
        <w:rPr>
          <w:rFonts w:ascii="Cambria" w:hAnsi="Cambria" w:cs="Times New Roman"/>
        </w:rPr>
        <w:t xml:space="preserve">input </w:t>
      </w:r>
      <w:r w:rsidR="00E56516">
        <w:rPr>
          <w:rFonts w:ascii="Cambria" w:hAnsi="Cambria" w:cs="Times New Roman"/>
        </w:rPr>
        <w:t xml:space="preserve">on when the process should be initiated and </w:t>
      </w:r>
      <w:r w:rsidR="003842DF">
        <w:rPr>
          <w:rFonts w:ascii="Cambria" w:hAnsi="Cambria" w:cs="Times New Roman"/>
        </w:rPr>
        <w:t>any</w:t>
      </w:r>
      <w:r w:rsidR="00B8671A">
        <w:rPr>
          <w:rFonts w:ascii="Cambria" w:hAnsi="Cambria" w:cs="Times New Roman"/>
        </w:rPr>
        <w:t xml:space="preserve"> issues that</w:t>
      </w:r>
      <w:r w:rsidR="003842DF">
        <w:rPr>
          <w:rFonts w:ascii="Cambria" w:hAnsi="Cambria" w:cs="Times New Roman"/>
        </w:rPr>
        <w:t xml:space="preserve"> th</w:t>
      </w:r>
      <w:r w:rsidR="0037329C">
        <w:rPr>
          <w:rFonts w:ascii="Cambria" w:hAnsi="Cambria" w:cs="Times New Roman"/>
        </w:rPr>
        <w:t xml:space="preserve">at should be covered. </w:t>
      </w:r>
      <w:r w:rsidR="00B8671A">
        <w:rPr>
          <w:rFonts w:ascii="Cambria" w:hAnsi="Cambria" w:cs="Times New Roman"/>
        </w:rPr>
        <w:br/>
      </w:r>
    </w:p>
    <w:p w14:paraId="2F911F33" w14:textId="77777777" w:rsidR="00083879" w:rsidRPr="00BE2F6C" w:rsidRDefault="00083879" w:rsidP="00083879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  <w:b/>
        </w:rPr>
      </w:pPr>
      <w:r w:rsidRPr="00BE2F6C">
        <w:rPr>
          <w:rFonts w:ascii="Cambria" w:hAnsi="Cambria" w:cs="Times New Roman"/>
        </w:rPr>
        <w:t>S. Appel: This conversation should take place after we have sufficient third-party RFPs to review.</w:t>
      </w:r>
      <w:r w:rsidRPr="00BE2F6C">
        <w:rPr>
          <w:rFonts w:ascii="Cambria" w:hAnsi="Cambria" w:cs="Times New Roman"/>
        </w:rPr>
        <w:br/>
      </w:r>
    </w:p>
    <w:p w14:paraId="6D66C63D" w14:textId="77777777" w:rsidR="00083879" w:rsidRPr="00BE2F6C" w:rsidRDefault="00083879" w:rsidP="00083879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  <w:b/>
        </w:rPr>
      </w:pPr>
      <w:r w:rsidRPr="00BE2F6C">
        <w:rPr>
          <w:rFonts w:ascii="Cambria" w:hAnsi="Cambria" w:cs="Times New Roman"/>
        </w:rPr>
        <w:t>L. Ettenson: I agree. This would allow us to evaluate if the RFPs are working as the full CAEECC intended and to recommend modifications if necessary.</w:t>
      </w:r>
      <w:r w:rsidRPr="00BE2F6C">
        <w:rPr>
          <w:rFonts w:ascii="Cambria" w:hAnsi="Cambria" w:cs="Times New Roman"/>
        </w:rPr>
        <w:br/>
      </w:r>
    </w:p>
    <w:p w14:paraId="2C8F9330" w14:textId="6A4F8783" w:rsidR="002B1619" w:rsidRPr="00BE2F6C" w:rsidRDefault="00083879" w:rsidP="00083879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  <w:b/>
        </w:rPr>
      </w:pPr>
      <w:r w:rsidRPr="00BE2F6C">
        <w:rPr>
          <w:rFonts w:ascii="Cambria" w:hAnsi="Cambria" w:cs="Times New Roman"/>
        </w:rPr>
        <w:t xml:space="preserve">Bernie </w:t>
      </w:r>
      <w:proofErr w:type="spellStart"/>
      <w:r w:rsidRPr="00BE2F6C">
        <w:rPr>
          <w:rFonts w:ascii="Cambria" w:hAnsi="Cambria" w:cs="Times New Roman"/>
        </w:rPr>
        <w:t>Kotlier</w:t>
      </w:r>
      <w:proofErr w:type="spellEnd"/>
      <w:r w:rsidRPr="00BE2F6C">
        <w:rPr>
          <w:rFonts w:ascii="Cambria" w:hAnsi="Cambria" w:cs="Times New Roman"/>
        </w:rPr>
        <w:t>, Coalition for Energy Efficiency: I agree with Sam and Lara. Delay is not appropriate, and th</w:t>
      </w:r>
      <w:r>
        <w:rPr>
          <w:rFonts w:ascii="Cambria" w:hAnsi="Cambria" w:cs="Times New Roman"/>
        </w:rPr>
        <w:t>ese</w:t>
      </w:r>
      <w:r w:rsidRPr="00BE2F6C">
        <w:rPr>
          <w:rFonts w:ascii="Cambria" w:hAnsi="Cambria" w:cs="Times New Roman"/>
        </w:rPr>
        <w:t xml:space="preserve"> issue</w:t>
      </w:r>
      <w:r>
        <w:rPr>
          <w:rFonts w:ascii="Cambria" w:hAnsi="Cambria" w:cs="Times New Roman"/>
        </w:rPr>
        <w:t xml:space="preserve">s </w:t>
      </w:r>
      <w:r w:rsidRPr="00BE2F6C">
        <w:rPr>
          <w:rFonts w:ascii="Cambria" w:hAnsi="Cambria" w:cs="Times New Roman"/>
        </w:rPr>
        <w:t>ha</w:t>
      </w:r>
      <w:r w:rsidR="00410C78">
        <w:rPr>
          <w:rFonts w:ascii="Cambria" w:hAnsi="Cambria" w:cs="Times New Roman"/>
        </w:rPr>
        <w:t>v</w:t>
      </w:r>
      <w:r>
        <w:rPr>
          <w:rFonts w:ascii="Cambria" w:hAnsi="Cambria" w:cs="Times New Roman"/>
        </w:rPr>
        <w:t>e</w:t>
      </w:r>
      <w:r w:rsidRPr="00BE2F6C">
        <w:rPr>
          <w:rFonts w:ascii="Cambria" w:hAnsi="Cambria" w:cs="Times New Roman"/>
        </w:rPr>
        <w:t xml:space="preserve"> been dragging for decades. We should advance the conversation as soon as possible.</w:t>
      </w:r>
      <w:r w:rsidR="002B1619" w:rsidRPr="00BE2F6C">
        <w:rPr>
          <w:rFonts w:ascii="Cambria" w:hAnsi="Cambria" w:cs="Times New Roman"/>
        </w:rPr>
        <w:br/>
      </w:r>
    </w:p>
    <w:p w14:paraId="54EEAA8A" w14:textId="47B418BB" w:rsidR="009D4895" w:rsidRPr="003947AB" w:rsidRDefault="002B1619" w:rsidP="002152E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  <w:b/>
        </w:rPr>
      </w:pPr>
      <w:r w:rsidRPr="00BE2F6C">
        <w:t xml:space="preserve">The CAEECC agreed to begin addressing </w:t>
      </w:r>
      <w:r w:rsidR="00343AD1">
        <w:t>th</w:t>
      </w:r>
      <w:r w:rsidR="003947AB">
        <w:t>ese</w:t>
      </w:r>
      <w:r w:rsidR="00343AD1">
        <w:t xml:space="preserve"> topic</w:t>
      </w:r>
      <w:r w:rsidR="003947AB">
        <w:t>s</w:t>
      </w:r>
      <w:r w:rsidR="00343AD1">
        <w:t xml:space="preserve"> </w:t>
      </w:r>
      <w:r w:rsidRPr="00BE2F6C">
        <w:t xml:space="preserve">at its December 2019 meeting and to begin the work group process in late winter 2019/spring 2020. This timing would allow for sufficient review of the third-party RFPs. </w:t>
      </w:r>
      <w:r w:rsidR="006E69DB" w:rsidRPr="00BE2F6C">
        <w:t>However, i</w:t>
      </w:r>
      <w:r w:rsidRPr="00BE2F6C">
        <w:t xml:space="preserve">f </w:t>
      </w:r>
      <w:r w:rsidR="00BF2E89" w:rsidRPr="00BE2F6C">
        <w:t xml:space="preserve">a sufficient number </w:t>
      </w:r>
      <w:r w:rsidR="008E084B">
        <w:t xml:space="preserve">of </w:t>
      </w:r>
      <w:r w:rsidRPr="00BE2F6C">
        <w:t>RFPs are available</w:t>
      </w:r>
      <w:r w:rsidR="00BF2E89" w:rsidRPr="00BE2F6C">
        <w:t xml:space="preserve"> </w:t>
      </w:r>
      <w:r w:rsidR="003947AB">
        <w:t>for</w:t>
      </w:r>
      <w:r w:rsidR="00BF2E89" w:rsidRPr="00BE2F6C">
        <w:t xml:space="preserve"> review</w:t>
      </w:r>
      <w:r w:rsidRPr="00BE2F6C">
        <w:t xml:space="preserve"> by June 2019, </w:t>
      </w:r>
      <w:r w:rsidR="003947AB">
        <w:t>a</w:t>
      </w:r>
      <w:r w:rsidR="006E69DB" w:rsidRPr="00BE2F6C">
        <w:t xml:space="preserve"> meeting</w:t>
      </w:r>
      <w:r w:rsidRPr="00BE2F6C">
        <w:t xml:space="preserve"> </w:t>
      </w:r>
      <w:r w:rsidR="006C6419">
        <w:t>sh</w:t>
      </w:r>
      <w:r w:rsidRPr="00BE2F6C">
        <w:t xml:space="preserve">ould </w:t>
      </w:r>
      <w:r w:rsidR="006E69DB" w:rsidRPr="00BE2F6C">
        <w:t xml:space="preserve">be </w:t>
      </w:r>
      <w:r w:rsidR="00C925FE">
        <w:t>considered for that month.</w:t>
      </w:r>
      <w:r w:rsidR="00C925FE">
        <w:br/>
      </w:r>
    </w:p>
    <w:p w14:paraId="300D3B68" w14:textId="0ECD21FD" w:rsidR="00083879" w:rsidRPr="00083879" w:rsidRDefault="002152E7" w:rsidP="000838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</w:rPr>
      </w:pPr>
      <w:r w:rsidRPr="00083879">
        <w:rPr>
          <w:rFonts w:ascii="Cambria" w:hAnsi="Cambria" w:cs="Times New Roman"/>
        </w:rPr>
        <w:t xml:space="preserve">L. Ettenson: At the last CAEECC meeting the </w:t>
      </w:r>
      <w:proofErr w:type="spellStart"/>
      <w:r w:rsidRPr="00083879">
        <w:rPr>
          <w:rFonts w:ascii="Cambria" w:hAnsi="Cambria" w:cs="Times New Roman"/>
        </w:rPr>
        <w:t>BlueGreen</w:t>
      </w:r>
      <w:proofErr w:type="spellEnd"/>
      <w:r w:rsidRPr="00083879">
        <w:rPr>
          <w:rFonts w:ascii="Cambria" w:hAnsi="Cambria" w:cs="Times New Roman"/>
        </w:rPr>
        <w:t xml:space="preserve"> Alliance raised a question about whether or not third</w:t>
      </w:r>
      <w:r w:rsidR="00083879" w:rsidRPr="00083879">
        <w:rPr>
          <w:rFonts w:ascii="Cambria" w:hAnsi="Cambria" w:cs="Times New Roman"/>
        </w:rPr>
        <w:t>-</w:t>
      </w:r>
      <w:r w:rsidRPr="00083879">
        <w:rPr>
          <w:rFonts w:ascii="Cambria" w:hAnsi="Cambria" w:cs="Times New Roman"/>
        </w:rPr>
        <w:t>parties know how to comply with</w:t>
      </w:r>
      <w:r w:rsidR="00083879" w:rsidRPr="00083879">
        <w:rPr>
          <w:rFonts w:ascii="Cambria" w:hAnsi="Cambria" w:cs="Times New Roman"/>
        </w:rPr>
        <w:t xml:space="preserve"> the requirement to develop Disadvantaged Work Plans or if the IOUs know how to </w:t>
      </w:r>
      <w:r w:rsidR="00083879">
        <w:rPr>
          <w:rFonts w:ascii="Cambria" w:hAnsi="Cambria" w:cs="Times New Roman"/>
        </w:rPr>
        <w:t>establish</w:t>
      </w:r>
      <w:r w:rsidR="00083879" w:rsidRPr="00083879">
        <w:rPr>
          <w:rFonts w:ascii="Cambria" w:hAnsi="Cambria" w:cs="Times New Roman"/>
        </w:rPr>
        <w:t xml:space="preserve"> </w:t>
      </w:r>
      <w:r w:rsidRPr="00083879">
        <w:rPr>
          <w:rFonts w:ascii="Cambria" w:hAnsi="Cambria" w:cs="Times New Roman"/>
        </w:rPr>
        <w:t xml:space="preserve">criteria to </w:t>
      </w:r>
      <w:r w:rsidR="00083879" w:rsidRPr="00083879">
        <w:rPr>
          <w:rFonts w:ascii="Cambria" w:hAnsi="Cambria" w:cs="Times New Roman"/>
        </w:rPr>
        <w:t xml:space="preserve">evaluate these </w:t>
      </w:r>
      <w:r w:rsidR="00D929B2">
        <w:rPr>
          <w:rFonts w:ascii="Cambria" w:hAnsi="Cambria" w:cs="Times New Roman"/>
        </w:rPr>
        <w:t>P</w:t>
      </w:r>
      <w:r w:rsidR="00083879" w:rsidRPr="00083879">
        <w:rPr>
          <w:rFonts w:ascii="Cambria" w:hAnsi="Cambria" w:cs="Times New Roman"/>
        </w:rPr>
        <w:t xml:space="preserve">lans. </w:t>
      </w:r>
      <w:r w:rsidRPr="00083879">
        <w:rPr>
          <w:rFonts w:ascii="Cambria" w:hAnsi="Cambria" w:cs="Times New Roman"/>
        </w:rPr>
        <w:t xml:space="preserve">Should CAEECC </w:t>
      </w:r>
      <w:r w:rsidR="00083879" w:rsidRPr="00083879">
        <w:rPr>
          <w:rFonts w:ascii="Cambria" w:hAnsi="Cambria" w:cs="Times New Roman"/>
        </w:rPr>
        <w:t>or</w:t>
      </w:r>
      <w:r w:rsidR="002C6C65">
        <w:rPr>
          <w:rFonts w:ascii="Cambria" w:hAnsi="Cambria" w:cs="Times New Roman"/>
        </w:rPr>
        <w:t xml:space="preserve"> another entity </w:t>
      </w:r>
      <w:r w:rsidR="00D929B2">
        <w:rPr>
          <w:rFonts w:ascii="Cambria" w:hAnsi="Cambria" w:cs="Times New Roman"/>
        </w:rPr>
        <w:t>convene</w:t>
      </w:r>
      <w:r w:rsidR="002C6C65">
        <w:rPr>
          <w:rFonts w:ascii="Cambria" w:hAnsi="Cambria" w:cs="Times New Roman"/>
        </w:rPr>
        <w:t xml:space="preserve"> a</w:t>
      </w:r>
      <w:r w:rsidR="00083879" w:rsidRPr="00083879">
        <w:rPr>
          <w:rFonts w:ascii="Cambria" w:hAnsi="Cambria" w:cs="Times New Roman"/>
        </w:rPr>
        <w:t xml:space="preserve"> </w:t>
      </w:r>
      <w:r w:rsidRPr="00083879">
        <w:rPr>
          <w:rFonts w:ascii="Cambria" w:hAnsi="Cambria" w:cs="Times New Roman"/>
        </w:rPr>
        <w:t>process to provide guidance on this matter?</w:t>
      </w:r>
      <w:r w:rsidR="00083879">
        <w:rPr>
          <w:rFonts w:ascii="Cambria" w:hAnsi="Cambria" w:cs="Times New Roman"/>
        </w:rPr>
        <w:br/>
      </w:r>
    </w:p>
    <w:p w14:paraId="17AE61B6" w14:textId="6D2DE167" w:rsidR="00D17B6C" w:rsidRPr="00D17B6C" w:rsidRDefault="00083879" w:rsidP="00E161A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  <w:b/>
        </w:rPr>
      </w:pPr>
      <w:r w:rsidRPr="00083879">
        <w:rPr>
          <w:rFonts w:ascii="Cambria" w:hAnsi="Cambria" w:cs="Times New Roman"/>
        </w:rPr>
        <w:t>S. Appel:</w:t>
      </w:r>
      <w:r>
        <w:rPr>
          <w:rFonts w:ascii="Cambria" w:hAnsi="Cambria" w:cs="Times New Roman"/>
          <w:b/>
        </w:rPr>
        <w:t xml:space="preserve"> </w:t>
      </w:r>
      <w:r w:rsidR="00E161A6">
        <w:rPr>
          <w:rFonts w:ascii="Cambria" w:hAnsi="Cambria" w:cs="Times New Roman"/>
        </w:rPr>
        <w:t>The</w:t>
      </w:r>
      <w:r w:rsidR="00BD4C38">
        <w:rPr>
          <w:rFonts w:ascii="Cambria" w:hAnsi="Cambria" w:cs="Times New Roman"/>
        </w:rPr>
        <w:t xml:space="preserve"> modifiable contractor term decision did </w:t>
      </w:r>
      <w:r w:rsidR="00E161A6">
        <w:rPr>
          <w:rFonts w:ascii="Cambria" w:hAnsi="Cambria" w:cs="Times New Roman"/>
        </w:rPr>
        <w:t>no</w:t>
      </w:r>
      <w:r w:rsidR="00BD4C38">
        <w:rPr>
          <w:rFonts w:ascii="Cambria" w:hAnsi="Cambria" w:cs="Times New Roman"/>
        </w:rPr>
        <w:t>t provide benchmarks or hard figures on the number of dis</w:t>
      </w:r>
      <w:r w:rsidR="00D17B6C">
        <w:rPr>
          <w:rFonts w:ascii="Cambria" w:hAnsi="Cambria" w:cs="Times New Roman"/>
        </w:rPr>
        <w:t>ad</w:t>
      </w:r>
      <w:r w:rsidR="00BD4C38">
        <w:rPr>
          <w:rFonts w:ascii="Cambria" w:hAnsi="Cambria" w:cs="Times New Roman"/>
        </w:rPr>
        <w:t xml:space="preserve">vantaged workers that need to be hired under a </w:t>
      </w:r>
      <w:r w:rsidR="00BD4C38" w:rsidRPr="00083879">
        <w:rPr>
          <w:rFonts w:ascii="Cambria" w:hAnsi="Cambria" w:cs="Times New Roman"/>
        </w:rPr>
        <w:t>Disadvantaged Work Plan</w:t>
      </w:r>
      <w:r w:rsidR="00BD4C38">
        <w:rPr>
          <w:rFonts w:ascii="Cambria" w:hAnsi="Cambria" w:cs="Times New Roman"/>
        </w:rPr>
        <w:t xml:space="preserve"> or any</w:t>
      </w:r>
      <w:r w:rsidR="00E161A6">
        <w:rPr>
          <w:rFonts w:ascii="Cambria" w:hAnsi="Cambria" w:cs="Times New Roman"/>
        </w:rPr>
        <w:t xml:space="preserve"> guidance on what constitutes a quality </w:t>
      </w:r>
      <w:r w:rsidR="00E161A6" w:rsidRPr="00083879">
        <w:rPr>
          <w:rFonts w:ascii="Cambria" w:hAnsi="Cambria" w:cs="Times New Roman"/>
        </w:rPr>
        <w:t>Plan</w:t>
      </w:r>
      <w:r w:rsidR="00027CEB">
        <w:rPr>
          <w:rFonts w:ascii="Cambria" w:hAnsi="Cambria" w:cs="Times New Roman"/>
        </w:rPr>
        <w:t xml:space="preserve">. We </w:t>
      </w:r>
      <w:r w:rsidR="00E161A6">
        <w:rPr>
          <w:rFonts w:ascii="Cambria" w:hAnsi="Cambria" w:cs="Times New Roman"/>
        </w:rPr>
        <w:t>need</w:t>
      </w:r>
      <w:r w:rsidR="00027CEB">
        <w:rPr>
          <w:rFonts w:ascii="Cambria" w:hAnsi="Cambria" w:cs="Times New Roman"/>
        </w:rPr>
        <w:t xml:space="preserve"> to </w:t>
      </w:r>
      <w:r w:rsidR="00410C78">
        <w:rPr>
          <w:rFonts w:ascii="Cambria" w:hAnsi="Cambria" w:cs="Times New Roman"/>
        </w:rPr>
        <w:t>convene experts</w:t>
      </w:r>
      <w:r w:rsidR="00D17B6C">
        <w:rPr>
          <w:rFonts w:ascii="Cambria" w:hAnsi="Cambria" w:cs="Times New Roman"/>
        </w:rPr>
        <w:t xml:space="preserve"> to </w:t>
      </w:r>
      <w:r w:rsidR="007C64B3">
        <w:rPr>
          <w:rFonts w:ascii="Cambria" w:hAnsi="Cambria" w:cs="Times New Roman"/>
        </w:rPr>
        <w:t xml:space="preserve">identify and </w:t>
      </w:r>
      <w:r w:rsidR="007C64B3" w:rsidRPr="007C64B3">
        <w:rPr>
          <w:rFonts w:ascii="Cambria" w:hAnsi="Cambria" w:cs="Times New Roman"/>
        </w:rPr>
        <w:t>disseminate</w:t>
      </w:r>
      <w:r w:rsidR="00721957">
        <w:rPr>
          <w:rFonts w:ascii="Cambria" w:hAnsi="Cambria" w:cs="Times New Roman"/>
        </w:rPr>
        <w:t xml:space="preserve"> </w:t>
      </w:r>
      <w:r w:rsidR="00D17B6C">
        <w:rPr>
          <w:rFonts w:ascii="Cambria" w:hAnsi="Cambria" w:cs="Times New Roman"/>
        </w:rPr>
        <w:t xml:space="preserve">best practices </w:t>
      </w:r>
      <w:r w:rsidR="00721957">
        <w:rPr>
          <w:rFonts w:ascii="Cambria" w:hAnsi="Cambria" w:cs="Times New Roman"/>
        </w:rPr>
        <w:t>as soon as possible</w:t>
      </w:r>
      <w:r w:rsidR="007C64B3">
        <w:rPr>
          <w:rFonts w:ascii="Cambria" w:hAnsi="Cambria" w:cs="Times New Roman"/>
        </w:rPr>
        <w:t xml:space="preserve">, especially </w:t>
      </w:r>
      <w:r w:rsidR="00721957">
        <w:rPr>
          <w:rFonts w:ascii="Cambria" w:hAnsi="Cambria" w:cs="Times New Roman"/>
        </w:rPr>
        <w:t>given the timeline of the third-party solicitation process</w:t>
      </w:r>
      <w:r w:rsidR="007C64B3">
        <w:rPr>
          <w:rFonts w:ascii="Cambria" w:hAnsi="Cambria" w:cs="Times New Roman"/>
        </w:rPr>
        <w:t>.</w:t>
      </w:r>
      <w:r w:rsidR="00D17B6C">
        <w:rPr>
          <w:rFonts w:ascii="Cambria" w:hAnsi="Cambria" w:cs="Times New Roman"/>
        </w:rPr>
        <w:br/>
      </w:r>
    </w:p>
    <w:p w14:paraId="573E52C4" w14:textId="185849C2" w:rsidR="00E161A6" w:rsidRPr="00E161A6" w:rsidRDefault="00D17B6C" w:rsidP="00E161A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L. Ette</w:t>
      </w:r>
      <w:r w:rsidR="00721957">
        <w:rPr>
          <w:rFonts w:ascii="Cambria" w:hAnsi="Cambria" w:cs="Times New Roman"/>
        </w:rPr>
        <w:t>n</w:t>
      </w:r>
      <w:r>
        <w:rPr>
          <w:rFonts w:ascii="Cambria" w:hAnsi="Cambria" w:cs="Times New Roman"/>
        </w:rPr>
        <w:t xml:space="preserve">son: </w:t>
      </w:r>
      <w:r w:rsidR="00D929B2">
        <w:rPr>
          <w:rFonts w:ascii="Cambria" w:hAnsi="Cambria" w:cs="Times New Roman"/>
        </w:rPr>
        <w:t>The CAEECC</w:t>
      </w:r>
      <w:r>
        <w:rPr>
          <w:rFonts w:ascii="Cambria" w:hAnsi="Cambria" w:cs="Times New Roman"/>
        </w:rPr>
        <w:t xml:space="preserve"> </w:t>
      </w:r>
      <w:r w:rsidR="007C64B3">
        <w:rPr>
          <w:rFonts w:ascii="Cambria" w:hAnsi="Cambria" w:cs="Times New Roman"/>
        </w:rPr>
        <w:t xml:space="preserve">would </w:t>
      </w:r>
      <w:r>
        <w:rPr>
          <w:rFonts w:ascii="Cambria" w:hAnsi="Cambria" w:cs="Times New Roman"/>
        </w:rPr>
        <w:t xml:space="preserve">need </w:t>
      </w:r>
      <w:r w:rsidR="00D929B2">
        <w:rPr>
          <w:rFonts w:ascii="Cambria" w:hAnsi="Cambria" w:cs="Times New Roman"/>
        </w:rPr>
        <w:t xml:space="preserve">to get </w:t>
      </w:r>
      <w:r>
        <w:rPr>
          <w:rFonts w:ascii="Cambria" w:hAnsi="Cambria" w:cs="Times New Roman"/>
        </w:rPr>
        <w:t xml:space="preserve">approval from the CPUC to take </w:t>
      </w:r>
      <w:r w:rsidR="007C64B3">
        <w:rPr>
          <w:rFonts w:ascii="Cambria" w:hAnsi="Cambria" w:cs="Times New Roman"/>
        </w:rPr>
        <w:t xml:space="preserve">on </w:t>
      </w:r>
      <w:r>
        <w:rPr>
          <w:rFonts w:ascii="Cambria" w:hAnsi="Cambria" w:cs="Times New Roman"/>
        </w:rPr>
        <w:t xml:space="preserve">this issue. If we get approval, then </w:t>
      </w:r>
      <w:r w:rsidR="007C64B3">
        <w:rPr>
          <w:rFonts w:ascii="Cambria" w:hAnsi="Cambria" w:cs="Times New Roman"/>
        </w:rPr>
        <w:t>Sam and I</w:t>
      </w:r>
      <w:r>
        <w:rPr>
          <w:rFonts w:ascii="Cambria" w:hAnsi="Cambria" w:cs="Times New Roman"/>
        </w:rPr>
        <w:t xml:space="preserve"> suggest</w:t>
      </w:r>
      <w:r w:rsidR="007C64B3">
        <w:rPr>
          <w:rFonts w:ascii="Cambria" w:hAnsi="Cambria" w:cs="Times New Roman"/>
        </w:rPr>
        <w:t xml:space="preserve"> that</w:t>
      </w:r>
      <w:r>
        <w:rPr>
          <w:rFonts w:ascii="Cambria" w:hAnsi="Cambria" w:cs="Times New Roman"/>
        </w:rPr>
        <w:t xml:space="preserve"> two workshops</w:t>
      </w:r>
      <w:r w:rsidR="007C64B3">
        <w:rPr>
          <w:rFonts w:ascii="Cambria" w:hAnsi="Cambria" w:cs="Times New Roman"/>
        </w:rPr>
        <w:t xml:space="preserve"> be held</w:t>
      </w:r>
      <w:r w:rsidR="00D929B2">
        <w:rPr>
          <w:rFonts w:ascii="Cambria" w:hAnsi="Cambria" w:cs="Times New Roman"/>
        </w:rPr>
        <w:t>. These workshops could be similar to the DEER Peak Workshops held in April 2018.</w:t>
      </w:r>
      <w:r w:rsidR="00027CEB">
        <w:rPr>
          <w:rFonts w:ascii="Cambria" w:hAnsi="Cambria" w:cs="Times New Roman"/>
        </w:rPr>
        <w:br/>
      </w:r>
    </w:p>
    <w:p w14:paraId="27AC31DA" w14:textId="42A68379" w:rsidR="00BD6891" w:rsidRPr="00BD6891" w:rsidRDefault="00D17B6C" w:rsidP="00E161A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Jordan Chr</w:t>
      </w:r>
      <w:r w:rsidR="007C64B3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>stensen</w:t>
      </w:r>
      <w:r w:rsidR="00745D43">
        <w:rPr>
          <w:rFonts w:ascii="Cambria" w:hAnsi="Cambria" w:cs="Times New Roman"/>
        </w:rPr>
        <w:t>, CPUC</w:t>
      </w:r>
      <w:r>
        <w:rPr>
          <w:rFonts w:ascii="Cambria" w:hAnsi="Cambria" w:cs="Times New Roman"/>
        </w:rPr>
        <w:t xml:space="preserve">: </w:t>
      </w:r>
      <w:r w:rsidR="00410C78">
        <w:rPr>
          <w:rFonts w:ascii="Cambria" w:hAnsi="Cambria" w:cs="Times New Roman"/>
        </w:rPr>
        <w:t xml:space="preserve">The CPUC’s </w:t>
      </w:r>
      <w:r w:rsidR="00DC152E">
        <w:rPr>
          <w:rFonts w:ascii="Cambria" w:hAnsi="Cambria" w:cs="Times New Roman"/>
        </w:rPr>
        <w:t>decision only required CAEECC to speak on workforce standards. This</w:t>
      </w:r>
      <w:r w:rsidR="00410C78">
        <w:rPr>
          <w:rFonts w:ascii="Cambria" w:hAnsi="Cambria" w:cs="Times New Roman"/>
        </w:rPr>
        <w:t xml:space="preserve"> issue</w:t>
      </w:r>
      <w:r w:rsidR="00DC152E">
        <w:rPr>
          <w:rFonts w:ascii="Cambria" w:hAnsi="Cambria" w:cs="Times New Roman"/>
        </w:rPr>
        <w:t xml:space="preserve"> would be a separate topic </w:t>
      </w:r>
      <w:r w:rsidR="00410C78">
        <w:rPr>
          <w:rFonts w:ascii="Cambria" w:hAnsi="Cambria" w:cs="Times New Roman"/>
        </w:rPr>
        <w:t xml:space="preserve">for </w:t>
      </w:r>
      <w:proofErr w:type="gramStart"/>
      <w:r w:rsidR="00DC152E">
        <w:rPr>
          <w:rFonts w:ascii="Cambria" w:hAnsi="Cambria" w:cs="Times New Roman"/>
        </w:rPr>
        <w:t xml:space="preserve">CAEECC </w:t>
      </w:r>
      <w:r w:rsidR="00410C78">
        <w:rPr>
          <w:rFonts w:ascii="Cambria" w:hAnsi="Cambria" w:cs="Times New Roman"/>
        </w:rPr>
        <w:t xml:space="preserve"> to</w:t>
      </w:r>
      <w:proofErr w:type="gramEnd"/>
      <w:r w:rsidR="00DC152E">
        <w:rPr>
          <w:rFonts w:ascii="Cambria" w:hAnsi="Cambria" w:cs="Times New Roman"/>
        </w:rPr>
        <w:t xml:space="preserve"> take on</w:t>
      </w:r>
      <w:r w:rsidR="00410C78">
        <w:rPr>
          <w:rFonts w:ascii="Cambria" w:hAnsi="Cambria" w:cs="Times New Roman"/>
        </w:rPr>
        <w:t xml:space="preserve"> </w:t>
      </w:r>
      <w:r w:rsidR="00DC152E">
        <w:rPr>
          <w:rFonts w:ascii="Cambria" w:hAnsi="Cambria" w:cs="Times New Roman"/>
        </w:rPr>
        <w:t>and</w:t>
      </w:r>
      <w:r>
        <w:rPr>
          <w:rFonts w:ascii="Cambria" w:hAnsi="Cambria" w:cs="Times New Roman"/>
        </w:rPr>
        <w:t xml:space="preserve"> </w:t>
      </w:r>
      <w:r w:rsidR="00410C78">
        <w:rPr>
          <w:rFonts w:ascii="Cambria" w:hAnsi="Cambria" w:cs="Times New Roman"/>
        </w:rPr>
        <w:t xml:space="preserve">would require </w:t>
      </w:r>
      <w:r w:rsidR="00BD6891">
        <w:rPr>
          <w:rFonts w:ascii="Cambria" w:hAnsi="Cambria" w:cs="Times New Roman"/>
        </w:rPr>
        <w:t>CPUC</w:t>
      </w:r>
      <w:r w:rsidR="00DC152E">
        <w:rPr>
          <w:rFonts w:ascii="Cambria" w:hAnsi="Cambria" w:cs="Times New Roman"/>
        </w:rPr>
        <w:t xml:space="preserve"> approval</w:t>
      </w:r>
      <w:r w:rsidR="00410C78">
        <w:rPr>
          <w:rFonts w:ascii="Cambria" w:hAnsi="Cambria" w:cs="Times New Roman"/>
        </w:rPr>
        <w:t>.</w:t>
      </w:r>
      <w:r w:rsidR="00BD6891">
        <w:rPr>
          <w:rFonts w:ascii="Cambria" w:hAnsi="Cambria" w:cs="Times New Roman"/>
        </w:rPr>
        <w:br/>
      </w:r>
    </w:p>
    <w:p w14:paraId="7C195CFA" w14:textId="71A58184" w:rsidR="008C3872" w:rsidRPr="00E161A6" w:rsidRDefault="00BD6891" w:rsidP="00E161A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lastRenderedPageBreak/>
        <w:t>Subject to CPUC approval, the CAEECC agreed it would be appropriate to take-on this topic.</w:t>
      </w:r>
      <w:r w:rsidR="0080599C">
        <w:rPr>
          <w:rFonts w:ascii="Cambria" w:hAnsi="Cambria" w:cs="Times New Roman"/>
        </w:rPr>
        <w:t xml:space="preserve"> If the CAEECC does not take this issue on, it was noted that another entity should.</w:t>
      </w:r>
    </w:p>
    <w:p w14:paraId="44230B8C" w14:textId="44B81457" w:rsidR="00BF2E89" w:rsidRPr="00BE2F6C" w:rsidRDefault="00BF2E89" w:rsidP="00BF2E89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</w:rPr>
      </w:pPr>
    </w:p>
    <w:p w14:paraId="1174DE3F" w14:textId="782318FC" w:rsidR="00BF2E89" w:rsidRPr="00BE2F6C" w:rsidRDefault="00BF2E89" w:rsidP="00BF2E89">
      <w:pPr>
        <w:widowControl w:val="0"/>
        <w:autoSpaceDE w:val="0"/>
        <w:autoSpaceDN w:val="0"/>
        <w:adjustRightInd w:val="0"/>
        <w:spacing w:before="10" w:after="10"/>
        <w:rPr>
          <w:u w:val="single"/>
        </w:rPr>
      </w:pPr>
      <w:r w:rsidRPr="00BE2F6C">
        <w:rPr>
          <w:rFonts w:ascii="Cambria" w:hAnsi="Cambria"/>
          <w:u w:val="single"/>
        </w:rPr>
        <w:t>Election of the CAEECC Co-Chairs</w:t>
      </w:r>
    </w:p>
    <w:p w14:paraId="4B7ECDA9" w14:textId="77777777" w:rsidR="00BF2E89" w:rsidRPr="00BE2F6C" w:rsidRDefault="00BF2E89" w:rsidP="00BF2E89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</w:rPr>
      </w:pPr>
    </w:p>
    <w:p w14:paraId="5AA49DC4" w14:textId="77777777" w:rsidR="00BF2E89" w:rsidRPr="00BE2F6C" w:rsidRDefault="00BF2E89" w:rsidP="00BF2E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  <w:b/>
        </w:rPr>
      </w:pPr>
      <w:r w:rsidRPr="00BE2F6C">
        <w:t>The CAEECC unanimously agreed to re-elect L. Ettenson and E. Brooks as co-chairs.</w:t>
      </w:r>
      <w:r w:rsidRPr="00BE2F6C">
        <w:br/>
      </w:r>
    </w:p>
    <w:p w14:paraId="64F12066" w14:textId="3EC765BC" w:rsidR="00BF2E89" w:rsidRPr="00BE2F6C" w:rsidRDefault="00BF2E89" w:rsidP="00BF2E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0" w:after="10"/>
        <w:rPr>
          <w:rFonts w:ascii="Cambria" w:hAnsi="Cambria" w:cs="Times New Roman"/>
          <w:b/>
        </w:rPr>
      </w:pPr>
      <w:r w:rsidRPr="00BE2F6C">
        <w:t>Elizabeth Gomez, Southern California Gas Company and E. Brook’s alternate, will serve as co-chair during E. Brooks’ maternity leave</w:t>
      </w:r>
      <w:r w:rsidR="00C04033">
        <w:t xml:space="preserve"> (</w:t>
      </w:r>
      <w:r w:rsidR="00C5609C">
        <w:t>from M</w:t>
      </w:r>
      <w:r w:rsidR="00C04033">
        <w:t>ay t</w:t>
      </w:r>
      <w:r w:rsidR="00C5609C">
        <w:t>hrough</w:t>
      </w:r>
      <w:r w:rsidR="00C04033">
        <w:t xml:space="preserve"> the summer)</w:t>
      </w:r>
      <w:r w:rsidRPr="00BE2F6C">
        <w:t>.</w:t>
      </w:r>
    </w:p>
    <w:p w14:paraId="083B011F" w14:textId="77777777" w:rsidR="00FA380A" w:rsidRPr="00BE2F6C" w:rsidRDefault="00FA380A" w:rsidP="002C2BF0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</w:rPr>
      </w:pPr>
    </w:p>
    <w:p w14:paraId="74BDDBFC" w14:textId="77777777" w:rsidR="00135530" w:rsidRPr="00BE2F6C" w:rsidRDefault="00135530" w:rsidP="00135530">
      <w:pPr>
        <w:rPr>
          <w:rFonts w:ascii="Cambria" w:hAnsi="Cambria"/>
          <w:b/>
          <w:bCs/>
          <w:smallCaps/>
          <w:sz w:val="26"/>
          <w:szCs w:val="26"/>
        </w:rPr>
      </w:pPr>
      <w:r w:rsidRPr="00BE2F6C">
        <w:rPr>
          <w:rFonts w:ascii="Cambria" w:hAnsi="Cambria"/>
          <w:b/>
          <w:bCs/>
          <w:smallCaps/>
          <w:sz w:val="26"/>
          <w:szCs w:val="26"/>
        </w:rPr>
        <w:t>Next Steps</w:t>
      </w:r>
    </w:p>
    <w:p w14:paraId="32AD58F8" w14:textId="77777777" w:rsidR="00135530" w:rsidRPr="00BE2F6C" w:rsidRDefault="00135530"/>
    <w:p w14:paraId="3F3AF6D7" w14:textId="3145022B" w:rsidR="00135530" w:rsidRPr="00BE2F6C" w:rsidRDefault="00135530" w:rsidP="00135530">
      <w:pPr>
        <w:pStyle w:val="ListParagraph"/>
        <w:numPr>
          <w:ilvl w:val="0"/>
          <w:numId w:val="2"/>
        </w:numPr>
      </w:pPr>
      <w:r w:rsidRPr="00BE2F6C">
        <w:t>CAEECC Members:</w:t>
      </w:r>
      <w:r w:rsidR="008E084B">
        <w:br/>
      </w:r>
    </w:p>
    <w:p w14:paraId="1145B14B" w14:textId="1D0F898D" w:rsidR="0093435B" w:rsidRPr="0093435B" w:rsidRDefault="00135581" w:rsidP="00F92534">
      <w:pPr>
        <w:pStyle w:val="ListParagraph"/>
        <w:numPr>
          <w:ilvl w:val="1"/>
          <w:numId w:val="2"/>
        </w:numPr>
      </w:pPr>
      <w:r w:rsidRPr="00BE2F6C">
        <w:rPr>
          <w:rFonts w:ascii="Cambria" w:hAnsi="Cambria" w:cs="Times New Roman"/>
        </w:rPr>
        <w:t xml:space="preserve">Fill out </w:t>
      </w:r>
      <w:r w:rsidR="00A507A6" w:rsidRPr="00BE2F6C">
        <w:rPr>
          <w:rFonts w:ascii="Cambria" w:hAnsi="Cambria" w:cs="Times New Roman"/>
        </w:rPr>
        <w:t xml:space="preserve">post-CAEECC </w:t>
      </w:r>
      <w:r w:rsidR="00257C29" w:rsidRPr="00BE2F6C">
        <w:rPr>
          <w:rFonts w:ascii="Cambria" w:hAnsi="Cambria" w:cs="Times New Roman"/>
        </w:rPr>
        <w:t xml:space="preserve">meeting </w:t>
      </w:r>
      <w:r w:rsidR="00A507A6" w:rsidRPr="00BE2F6C">
        <w:rPr>
          <w:rFonts w:ascii="Cambria" w:hAnsi="Cambria" w:cs="Times New Roman"/>
        </w:rPr>
        <w:t>#</w:t>
      </w:r>
      <w:r w:rsidR="00835A68" w:rsidRPr="00BE2F6C">
        <w:rPr>
          <w:rFonts w:ascii="Cambria" w:hAnsi="Cambria" w:cs="Times New Roman"/>
        </w:rPr>
        <w:t>20</w:t>
      </w:r>
      <w:r w:rsidR="00A507A6" w:rsidRPr="00BE2F6C">
        <w:rPr>
          <w:rFonts w:ascii="Cambria" w:hAnsi="Cambria" w:cs="Times New Roman"/>
        </w:rPr>
        <w:t xml:space="preserve"> </w:t>
      </w:r>
      <w:r w:rsidRPr="00BE2F6C">
        <w:rPr>
          <w:rFonts w:ascii="Cambria" w:hAnsi="Cambria" w:cs="Times New Roman"/>
        </w:rPr>
        <w:t>evaluation survey</w:t>
      </w:r>
      <w:r w:rsidR="00257C29" w:rsidRPr="00BE2F6C">
        <w:rPr>
          <w:rFonts w:ascii="Cambria" w:hAnsi="Cambria" w:cs="Times New Roman"/>
        </w:rPr>
        <w:t xml:space="preserve"> by </w:t>
      </w:r>
      <w:r w:rsidR="00835A68" w:rsidRPr="00BE2F6C">
        <w:rPr>
          <w:rFonts w:ascii="Cambria" w:hAnsi="Cambria" w:cs="Times New Roman"/>
        </w:rPr>
        <w:t>close of business (C</w:t>
      </w:r>
      <w:r w:rsidR="00257C29" w:rsidRPr="00BE2F6C">
        <w:rPr>
          <w:rFonts w:ascii="Cambria" w:hAnsi="Cambria" w:cs="Times New Roman"/>
        </w:rPr>
        <w:t>OB</w:t>
      </w:r>
      <w:r w:rsidR="00835A68" w:rsidRPr="00BE2F6C">
        <w:rPr>
          <w:rFonts w:ascii="Cambria" w:hAnsi="Cambria" w:cs="Times New Roman"/>
        </w:rPr>
        <w:t>)</w:t>
      </w:r>
      <w:r w:rsidR="00257C29" w:rsidRPr="00BE2F6C">
        <w:rPr>
          <w:rFonts w:ascii="Cambria" w:hAnsi="Cambria" w:cs="Times New Roman"/>
        </w:rPr>
        <w:t xml:space="preserve"> </w:t>
      </w:r>
      <w:r w:rsidR="00267013">
        <w:rPr>
          <w:rFonts w:ascii="Cambria" w:hAnsi="Cambria" w:cs="Times New Roman"/>
        </w:rPr>
        <w:t xml:space="preserve">on </w:t>
      </w:r>
      <w:r w:rsidR="0093435B">
        <w:rPr>
          <w:rFonts w:ascii="Cambria" w:hAnsi="Cambria" w:cs="Times New Roman"/>
        </w:rPr>
        <w:t>Tuesday March 3rd</w:t>
      </w:r>
      <w:r w:rsidR="00267013">
        <w:rPr>
          <w:rFonts w:ascii="Cambria" w:hAnsi="Cambria" w:cs="Times New Roman"/>
        </w:rPr>
        <w:t>.</w:t>
      </w:r>
    </w:p>
    <w:p w14:paraId="7F2F40D0" w14:textId="77777777" w:rsidR="0093435B" w:rsidRPr="0093435B" w:rsidRDefault="0093435B" w:rsidP="0093435B">
      <w:pPr>
        <w:pStyle w:val="ListParagraph"/>
        <w:ind w:left="1440"/>
      </w:pPr>
    </w:p>
    <w:p w14:paraId="7D540676" w14:textId="0E5C884C" w:rsidR="00135581" w:rsidRPr="00BE2F6C" w:rsidRDefault="0093435B" w:rsidP="00F92534">
      <w:pPr>
        <w:pStyle w:val="ListParagraph"/>
        <w:numPr>
          <w:ilvl w:val="1"/>
          <w:numId w:val="2"/>
        </w:numPr>
      </w:pPr>
      <w:r>
        <w:rPr>
          <w:rFonts w:ascii="Cambria" w:hAnsi="Cambria" w:cs="Times New Roman"/>
        </w:rPr>
        <w:t>Review/comment on this meeting summary by Wednesday March 13</w:t>
      </w:r>
      <w:r w:rsidRPr="0093435B">
        <w:rPr>
          <w:rFonts w:ascii="Cambria" w:hAnsi="Cambria" w:cs="Times New Roman"/>
          <w:vertAlign w:val="superscript"/>
        </w:rPr>
        <w:t>th</w:t>
      </w:r>
      <w:r w:rsidR="00C5609C">
        <w:rPr>
          <w:rFonts w:ascii="Cambria" w:hAnsi="Cambria" w:cs="Times New Roman"/>
        </w:rPr>
        <w:br/>
      </w:r>
    </w:p>
    <w:p w14:paraId="66F82CD0" w14:textId="6AEB4C29" w:rsidR="008E084B" w:rsidRPr="008E084B" w:rsidRDefault="00135581" w:rsidP="00135581">
      <w:pPr>
        <w:pStyle w:val="ListParagraph"/>
        <w:numPr>
          <w:ilvl w:val="1"/>
          <w:numId w:val="2"/>
        </w:numPr>
        <w:rPr>
          <w:u w:val="single"/>
        </w:rPr>
      </w:pPr>
      <w:r w:rsidRPr="00BE2F6C">
        <w:t>Participate in evaluation interviews with</w:t>
      </w:r>
      <w:r w:rsidR="00257C29" w:rsidRPr="00BE2F6C">
        <w:t xml:space="preserve"> CAEECC facilitators</w:t>
      </w:r>
      <w:r w:rsidR="00C04033">
        <w:t xml:space="preserve"> (March/April</w:t>
      </w:r>
      <w:r w:rsidR="00C5609C">
        <w:t>)</w:t>
      </w:r>
      <w:r w:rsidR="00257C29" w:rsidRPr="00BE2F6C">
        <w:t>.</w:t>
      </w:r>
      <w:r w:rsidR="008E084B">
        <w:br/>
      </w:r>
    </w:p>
    <w:p w14:paraId="658F683E" w14:textId="5CDE39A9" w:rsidR="00135581" w:rsidRPr="00BE2F6C" w:rsidRDefault="008E084B" w:rsidP="00135581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Provide additional feedback and uses cases to </w:t>
      </w:r>
      <w:r w:rsidRPr="008E084B">
        <w:t xml:space="preserve">A. </w:t>
      </w:r>
      <w:proofErr w:type="spellStart"/>
      <w:r w:rsidRPr="008E084B">
        <w:rPr>
          <w:rFonts w:ascii="Cambria" w:hAnsi="Cambria" w:cs="Times New Roman"/>
        </w:rPr>
        <w:t>LaBonte</w:t>
      </w:r>
      <w:proofErr w:type="spellEnd"/>
      <w:r>
        <w:t>.</w:t>
      </w:r>
      <w:r>
        <w:br/>
      </w:r>
    </w:p>
    <w:p w14:paraId="5EC0ADF6" w14:textId="6AA457D5" w:rsidR="00135530" w:rsidRPr="00BE2F6C" w:rsidRDefault="00135530" w:rsidP="00135530">
      <w:pPr>
        <w:pStyle w:val="ListParagraph"/>
        <w:numPr>
          <w:ilvl w:val="0"/>
          <w:numId w:val="2"/>
        </w:numPr>
      </w:pPr>
      <w:r w:rsidRPr="00BE2F6C">
        <w:t xml:space="preserve">Facilitation Team: </w:t>
      </w:r>
      <w:r w:rsidR="008E084B">
        <w:br/>
      </w:r>
    </w:p>
    <w:p w14:paraId="3A53132D" w14:textId="5D3D6ED0" w:rsidR="00135581" w:rsidRPr="00BE2F6C" w:rsidRDefault="00AD133A" w:rsidP="00135581">
      <w:pPr>
        <w:pStyle w:val="ListParagraph"/>
        <w:numPr>
          <w:ilvl w:val="1"/>
          <w:numId w:val="2"/>
        </w:numPr>
      </w:pPr>
      <w:r w:rsidRPr="00BE2F6C">
        <w:t>Develop CAEECC #</w:t>
      </w:r>
      <w:r w:rsidR="00835A68" w:rsidRPr="00BE2F6C">
        <w:t>20</w:t>
      </w:r>
      <w:r w:rsidRPr="00BE2F6C">
        <w:t xml:space="preserve"> Draft Meeting Summary (this document) for member review and finalization by </w:t>
      </w:r>
      <w:r w:rsidR="00267013">
        <w:t>Thursday, March 7</w:t>
      </w:r>
      <w:r w:rsidR="00267013" w:rsidRPr="00267013">
        <w:rPr>
          <w:vertAlign w:val="superscript"/>
        </w:rPr>
        <w:t>th</w:t>
      </w:r>
      <w:r w:rsidR="00267013">
        <w:t>, 2019.</w:t>
      </w:r>
      <w:r w:rsidR="008E084B">
        <w:br/>
      </w:r>
    </w:p>
    <w:p w14:paraId="267C4F17" w14:textId="59CEE6A6" w:rsidR="008E084B" w:rsidRPr="008E084B" w:rsidRDefault="0053469A" w:rsidP="0053469A">
      <w:pPr>
        <w:pStyle w:val="ListParagraph"/>
        <w:numPr>
          <w:ilvl w:val="1"/>
          <w:numId w:val="2"/>
        </w:numPr>
        <w:rPr>
          <w:u w:val="single"/>
        </w:rPr>
      </w:pPr>
      <w:r w:rsidRPr="00BE2F6C">
        <w:t>Hold evaluation interviews with each CAEECC</w:t>
      </w:r>
      <w:r w:rsidR="002B7591" w:rsidRPr="00BE2F6C">
        <w:t xml:space="preserve"> Member</w:t>
      </w:r>
      <w:r w:rsidR="0093435B">
        <w:t xml:space="preserve"> in March/April</w:t>
      </w:r>
      <w:r w:rsidRPr="00BE2F6C">
        <w:t>.</w:t>
      </w:r>
      <w:r w:rsidR="008E084B">
        <w:br/>
      </w:r>
    </w:p>
    <w:p w14:paraId="729A3775" w14:textId="0D84A848" w:rsidR="0093435B" w:rsidRDefault="0093435B" w:rsidP="0093435B">
      <w:pPr>
        <w:pStyle w:val="ListParagraph"/>
        <w:numPr>
          <w:ilvl w:val="0"/>
          <w:numId w:val="2"/>
        </w:numPr>
      </w:pPr>
      <w:r w:rsidRPr="0093435B">
        <w:t>Co-Chairs/Facilitation Team:</w:t>
      </w:r>
    </w:p>
    <w:p w14:paraId="353883C3" w14:textId="77777777" w:rsidR="0093435B" w:rsidRPr="0093435B" w:rsidRDefault="0093435B" w:rsidP="0093435B">
      <w:pPr>
        <w:pStyle w:val="ListParagraph"/>
      </w:pPr>
    </w:p>
    <w:p w14:paraId="1AEB265B" w14:textId="71736297" w:rsidR="008E084B" w:rsidRPr="008E084B" w:rsidRDefault="008E084B" w:rsidP="008E084B">
      <w:pPr>
        <w:pStyle w:val="ListParagraph"/>
        <w:numPr>
          <w:ilvl w:val="1"/>
          <w:numId w:val="2"/>
        </w:numPr>
        <w:rPr>
          <w:u w:val="single"/>
        </w:rPr>
      </w:pPr>
      <w:r>
        <w:t>Discuss the</w:t>
      </w:r>
      <w:r w:rsidRPr="00BE2F6C">
        <w:t xml:space="preserve"> meeting structure for the </w:t>
      </w:r>
      <w:r w:rsidRPr="00BE2F6C">
        <w:rPr>
          <w:rFonts w:ascii="Cambria" w:hAnsi="Cambria" w:cs="Times New Roman"/>
        </w:rPr>
        <w:t xml:space="preserve">August CAEECC </w:t>
      </w:r>
      <w:r>
        <w:rPr>
          <w:rFonts w:ascii="Cambria" w:hAnsi="Cambria" w:cs="Times New Roman"/>
        </w:rPr>
        <w:t xml:space="preserve">ABAL </w:t>
      </w:r>
      <w:r w:rsidRPr="00BE2F6C">
        <w:rPr>
          <w:rFonts w:ascii="Cambria" w:hAnsi="Cambria" w:cs="Times New Roman"/>
        </w:rPr>
        <w:t xml:space="preserve">meeting </w:t>
      </w:r>
      <w:r w:rsidRPr="00BE2F6C">
        <w:t>at the June CAEECC meeting</w:t>
      </w:r>
      <w:r>
        <w:t>.</w:t>
      </w:r>
      <w:r>
        <w:br/>
      </w:r>
    </w:p>
    <w:p w14:paraId="72DBBBCD" w14:textId="5CE2E6C5" w:rsidR="0093435B" w:rsidRPr="0093435B" w:rsidRDefault="0093435B" w:rsidP="00846F7E">
      <w:pPr>
        <w:pStyle w:val="ListParagraph"/>
        <w:numPr>
          <w:ilvl w:val="1"/>
          <w:numId w:val="2"/>
        </w:numPr>
      </w:pPr>
      <w:r w:rsidRPr="0093435B">
        <w:t>Discuss w/ED whether any CAEECC follow-up activities on Data/Intellectual property is desired, and if so in what form and timeline.</w:t>
      </w:r>
    </w:p>
    <w:p w14:paraId="07BC0E01" w14:textId="77777777" w:rsidR="0093435B" w:rsidRPr="0093435B" w:rsidRDefault="0093435B" w:rsidP="0093435B">
      <w:pPr>
        <w:pStyle w:val="ListParagraph"/>
        <w:ind w:left="1440"/>
      </w:pPr>
    </w:p>
    <w:p w14:paraId="502AEF09" w14:textId="2C340B46" w:rsidR="0093435B" w:rsidRPr="0093435B" w:rsidRDefault="0093435B" w:rsidP="00846F7E">
      <w:pPr>
        <w:pStyle w:val="ListParagraph"/>
        <w:numPr>
          <w:ilvl w:val="1"/>
          <w:numId w:val="2"/>
        </w:numPr>
      </w:pPr>
      <w:r w:rsidRPr="0093435B">
        <w:t xml:space="preserve">Discuss w/ED whether any CAEECC follow-up activities on Disadvantaged Workers is desired, and if so in what form and timeline. </w:t>
      </w:r>
    </w:p>
    <w:p w14:paraId="048360E4" w14:textId="77777777" w:rsidR="0093435B" w:rsidRPr="0093435B" w:rsidRDefault="0093435B" w:rsidP="0093435B">
      <w:pPr>
        <w:rPr>
          <w:u w:val="single"/>
        </w:rPr>
      </w:pPr>
    </w:p>
    <w:p w14:paraId="5CE79EA7" w14:textId="490BD121" w:rsidR="0053469A" w:rsidRPr="00B048AC" w:rsidRDefault="008E084B" w:rsidP="00846F7E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Tentatively schedule a discussion on </w:t>
      </w:r>
      <w:r w:rsidR="0093435B">
        <w:t>Workforce S</w:t>
      </w:r>
      <w:r w:rsidRPr="00BE2F6C">
        <w:t xml:space="preserve">tandards at </w:t>
      </w:r>
      <w:r>
        <w:t xml:space="preserve">the </w:t>
      </w:r>
      <w:r w:rsidRPr="00BE2F6C">
        <w:t xml:space="preserve">December 2019 </w:t>
      </w:r>
      <w:r>
        <w:t xml:space="preserve">CAEECC </w:t>
      </w:r>
      <w:r w:rsidRPr="00BE2F6C">
        <w:t xml:space="preserve">meeting and </w:t>
      </w:r>
      <w:r w:rsidR="00B048AC">
        <w:t>schedule</w:t>
      </w:r>
      <w:r w:rsidRPr="00BE2F6C">
        <w:t xml:space="preserve"> the </w:t>
      </w:r>
      <w:r>
        <w:t>W</w:t>
      </w:r>
      <w:r w:rsidRPr="00BE2F6C">
        <w:t xml:space="preserve">ork </w:t>
      </w:r>
      <w:r>
        <w:t>G</w:t>
      </w:r>
      <w:r w:rsidRPr="00BE2F6C">
        <w:t xml:space="preserve">roup process </w:t>
      </w:r>
      <w:r w:rsidR="00B048AC">
        <w:t xml:space="preserve">to begin </w:t>
      </w:r>
      <w:r w:rsidRPr="00BE2F6C">
        <w:t xml:space="preserve">in late winter 2019/spring 2020. </w:t>
      </w:r>
      <w:r w:rsidR="00B048AC">
        <w:t xml:space="preserve">Schedule the discussion to begin in </w:t>
      </w:r>
      <w:r w:rsidRPr="00BE2F6C">
        <w:t xml:space="preserve">June 2019, </w:t>
      </w:r>
      <w:r w:rsidR="00B048AC">
        <w:t>if a</w:t>
      </w:r>
      <w:r w:rsidR="00B048AC" w:rsidRPr="00BE2F6C">
        <w:t xml:space="preserve"> </w:t>
      </w:r>
      <w:r w:rsidR="00B048AC" w:rsidRPr="00BE2F6C">
        <w:lastRenderedPageBreak/>
        <w:t xml:space="preserve">sufficient number </w:t>
      </w:r>
      <w:r w:rsidR="00B048AC">
        <w:t xml:space="preserve">of </w:t>
      </w:r>
      <w:r w:rsidR="00B048AC" w:rsidRPr="00BE2F6C">
        <w:t>RFPs are available to review</w:t>
      </w:r>
      <w:r w:rsidR="00B048AC">
        <w:t>.</w:t>
      </w:r>
      <w:r w:rsidR="00B048AC">
        <w:br/>
      </w:r>
    </w:p>
    <w:p w14:paraId="138178E6" w14:textId="5D0986DF" w:rsidR="00257C29" w:rsidRPr="00BE2F6C" w:rsidRDefault="00257C29" w:rsidP="00257C29">
      <w:pPr>
        <w:pStyle w:val="ListParagraph"/>
        <w:numPr>
          <w:ilvl w:val="0"/>
          <w:numId w:val="2"/>
        </w:numPr>
      </w:pPr>
      <w:r w:rsidRPr="00BE2F6C">
        <w:t>Program Administrators:</w:t>
      </w:r>
      <w:r w:rsidR="008E084B">
        <w:br/>
      </w:r>
    </w:p>
    <w:p w14:paraId="157FF0BB" w14:textId="6FA558ED" w:rsidR="00135530" w:rsidRPr="00BE2F6C" w:rsidRDefault="0093435B" w:rsidP="009C37C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0" w:after="10"/>
      </w:pPr>
      <w:r>
        <w:rPr>
          <w:rFonts w:ascii="Cambria" w:hAnsi="Cambria" w:cs="Times New Roman"/>
        </w:rPr>
        <w:t>Could d</w:t>
      </w:r>
      <w:r w:rsidR="001F1AAD" w:rsidRPr="00BE2F6C">
        <w:rPr>
          <w:rFonts w:ascii="Cambria" w:hAnsi="Cambria" w:cs="Times New Roman"/>
        </w:rPr>
        <w:t xml:space="preserve">evelop a list that outlines what data </w:t>
      </w:r>
      <w:r w:rsidR="001F1AAD">
        <w:rPr>
          <w:rFonts w:ascii="Cambria" w:hAnsi="Cambria" w:cs="Times New Roman"/>
        </w:rPr>
        <w:t>can be made</w:t>
      </w:r>
      <w:r w:rsidR="001F1AAD" w:rsidRPr="00BE2F6C">
        <w:rPr>
          <w:rFonts w:ascii="Cambria" w:hAnsi="Cambria" w:cs="Times New Roman"/>
        </w:rPr>
        <w:t xml:space="preserve"> available and the process by which that data can be requested</w:t>
      </w:r>
      <w:r w:rsidR="001F1AAD">
        <w:rPr>
          <w:rFonts w:ascii="Cambria" w:hAnsi="Cambria" w:cs="Times New Roman"/>
        </w:rPr>
        <w:t xml:space="preserve"> by third-parties and local governments.</w:t>
      </w:r>
      <w:r w:rsidR="00135530" w:rsidRPr="00BE2F6C">
        <w:br w:type="page"/>
      </w:r>
    </w:p>
    <w:p w14:paraId="7A96BFA1" w14:textId="77777777" w:rsidR="00BB25B7" w:rsidRPr="00BE2F6C" w:rsidRDefault="00BB25B7"/>
    <w:p w14:paraId="09098DB2" w14:textId="5D159740" w:rsidR="002E39C3" w:rsidRPr="00267013" w:rsidRDefault="00135530" w:rsidP="002E39C3">
      <w:pPr>
        <w:jc w:val="center"/>
        <w:rPr>
          <w:rFonts w:ascii="Cambria" w:hAnsi="Cambria"/>
          <w:b/>
        </w:rPr>
      </w:pPr>
      <w:r w:rsidRPr="00267013">
        <w:rPr>
          <w:b/>
        </w:rPr>
        <w:t xml:space="preserve">Appendix A: </w:t>
      </w:r>
      <w:r w:rsidR="002E39C3" w:rsidRPr="00267013">
        <w:rPr>
          <w:rFonts w:ascii="Cambria" w:hAnsi="Cambria"/>
          <w:b/>
        </w:rPr>
        <w:t>In-Person and Webinar Participation</w:t>
      </w:r>
    </w:p>
    <w:p w14:paraId="6AEFC814" w14:textId="77777777" w:rsidR="00135530" w:rsidRPr="00BE2F6C" w:rsidRDefault="00135530" w:rsidP="002E39C3">
      <w:pPr>
        <w:jc w:val="center"/>
      </w:pPr>
    </w:p>
    <w:p w14:paraId="4F4DAB28" w14:textId="057E1530" w:rsidR="00D42282" w:rsidRDefault="00135530" w:rsidP="00135530">
      <w:pPr>
        <w:rPr>
          <w:i/>
        </w:rPr>
      </w:pPr>
      <w:r w:rsidRPr="00BE2F6C">
        <w:rPr>
          <w:i/>
        </w:rPr>
        <w:t>Note:</w:t>
      </w:r>
      <w:r w:rsidR="00D42282">
        <w:rPr>
          <w:i/>
        </w:rPr>
        <w:t xml:space="preserve"> </w:t>
      </w:r>
      <w:r w:rsidR="007A5818" w:rsidRPr="00BE2F6C">
        <w:rPr>
          <w:i/>
        </w:rPr>
        <w:t>The list of attendees joining in person reflect actual participation as captured via a sign in sheet circulated during the meeting; t</w:t>
      </w:r>
      <w:r w:rsidRPr="00BE2F6C">
        <w:rPr>
          <w:i/>
        </w:rPr>
        <w:t xml:space="preserve">he list </w:t>
      </w:r>
      <w:r w:rsidR="007A5818" w:rsidRPr="00BE2F6C">
        <w:rPr>
          <w:i/>
        </w:rPr>
        <w:t xml:space="preserve">of attendees joining via webinar </w:t>
      </w:r>
      <w:r w:rsidRPr="00BE2F6C">
        <w:rPr>
          <w:i/>
        </w:rPr>
        <w:t>reflect registration</w:t>
      </w:r>
      <w:r w:rsidR="007A5818" w:rsidRPr="00BE2F6C">
        <w:rPr>
          <w:i/>
        </w:rPr>
        <w:t xml:space="preserve"> only</w:t>
      </w:r>
      <w:r w:rsidRPr="00BE2F6C">
        <w:rPr>
          <w:i/>
        </w:rPr>
        <w:t xml:space="preserve">. If individuals participated </w:t>
      </w:r>
      <w:r w:rsidR="007A5818" w:rsidRPr="00BE2F6C">
        <w:rPr>
          <w:i/>
        </w:rPr>
        <w:t xml:space="preserve">in the webinar </w:t>
      </w:r>
      <w:r w:rsidRPr="00BE2F6C">
        <w:rPr>
          <w:i/>
        </w:rPr>
        <w:t>but did</w:t>
      </w:r>
      <w:r w:rsidR="00D42282">
        <w:rPr>
          <w:i/>
        </w:rPr>
        <w:t xml:space="preserve"> not</w:t>
      </w:r>
      <w:r w:rsidRPr="00BE2F6C">
        <w:rPr>
          <w:i/>
        </w:rPr>
        <w:t xml:space="preserve"> register, or registered but did</w:t>
      </w:r>
      <w:r w:rsidR="00D42282">
        <w:rPr>
          <w:i/>
        </w:rPr>
        <w:t xml:space="preserve"> not</w:t>
      </w:r>
      <w:r w:rsidRPr="00BE2F6C">
        <w:rPr>
          <w:i/>
        </w:rPr>
        <w:t xml:space="preserve"> participate</w:t>
      </w:r>
      <w:r w:rsidR="007A5818" w:rsidRPr="00BE2F6C">
        <w:rPr>
          <w:i/>
        </w:rPr>
        <w:t xml:space="preserve"> in the webinar</w:t>
      </w:r>
      <w:r w:rsidRPr="00BE2F6C">
        <w:rPr>
          <w:i/>
        </w:rPr>
        <w:t>, these last-minute changes are not reflected here.</w:t>
      </w:r>
      <w:r>
        <w:rPr>
          <w:i/>
        </w:rPr>
        <w:t xml:space="preserve"> </w:t>
      </w:r>
      <w:r w:rsidRPr="0070158E">
        <w:rPr>
          <w:i/>
        </w:rPr>
        <w:t xml:space="preserve"> </w:t>
      </w:r>
    </w:p>
    <w:p w14:paraId="6CAE0FA6" w14:textId="77777777" w:rsidR="00D42282" w:rsidRPr="00D42282" w:rsidRDefault="00D42282" w:rsidP="00135530"/>
    <w:tbl>
      <w:tblPr>
        <w:tblW w:w="8905" w:type="dxa"/>
        <w:tblLayout w:type="fixed"/>
        <w:tblLook w:val="04A0" w:firstRow="1" w:lastRow="0" w:firstColumn="1" w:lastColumn="0" w:noHBand="0" w:noVBand="1"/>
      </w:tblPr>
      <w:tblGrid>
        <w:gridCol w:w="3807"/>
        <w:gridCol w:w="1130"/>
        <w:gridCol w:w="3968"/>
      </w:tblGrid>
      <w:tr w:rsidR="003650DF" w:rsidRPr="003650DF" w14:paraId="31FBC3FD" w14:textId="77777777" w:rsidTr="003650DF">
        <w:trPr>
          <w:trHeight w:val="400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3F6C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Designated Member/Proxy on the CAEECC Attending in Person</w:t>
            </w:r>
          </w:p>
        </w:tc>
      </w:tr>
      <w:tr w:rsidR="003650DF" w:rsidRPr="003650DF" w14:paraId="3E3BD481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9A8D90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35A030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4F00DF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</w:tr>
      <w:tr w:rsidR="003650DF" w:rsidRPr="003650DF" w14:paraId="2EA150D4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393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Calctp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09C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Doug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3CB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Avery</w:t>
            </w:r>
          </w:p>
        </w:tc>
      </w:tr>
      <w:tr w:rsidR="003650DF" w:rsidRPr="003650DF" w14:paraId="315B41EE" w14:textId="77777777" w:rsidTr="003650DF">
        <w:trPr>
          <w:trHeight w:val="34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B273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CEDMC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D305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Arthur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60B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Haubenstock</w:t>
            </w:r>
            <w:proofErr w:type="spellEnd"/>
          </w:p>
        </w:tc>
      </w:tr>
      <w:tr w:rsidR="003650DF" w:rsidRPr="003650DF" w14:paraId="7DCD7155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1F6E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7BE1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Bernie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341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Kotlier</w:t>
            </w:r>
            <w:proofErr w:type="spellEnd"/>
          </w:p>
        </w:tc>
      </w:tr>
      <w:tr w:rsidR="003650DF" w:rsidRPr="003650DF" w14:paraId="4961A797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CCA1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Center for Sustainable Energy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14FB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A884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Gunther</w:t>
            </w:r>
          </w:p>
        </w:tc>
      </w:tr>
      <w:tr w:rsidR="003650DF" w:rsidRPr="003650DF" w14:paraId="5DAF86E4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30A2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CodeCycle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9C75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F3AC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Suyeyasu</w:t>
            </w:r>
            <w:proofErr w:type="spellEnd"/>
          </w:p>
        </w:tc>
      </w:tr>
      <w:tr w:rsidR="003650DF" w:rsidRPr="003650DF" w14:paraId="46E23840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BB23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County of Contra Costa / LGSEC Proxy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042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Demian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4A14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Hardman</w:t>
            </w:r>
          </w:p>
        </w:tc>
      </w:tr>
      <w:tr w:rsidR="003650DF" w:rsidRPr="003650DF" w14:paraId="385559B8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C005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JCEEP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78A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5E3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Dias</w:t>
            </w:r>
          </w:p>
        </w:tc>
      </w:tr>
      <w:tr w:rsidR="003650DF" w:rsidRPr="003650DF" w14:paraId="6D933461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B3D2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MCE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602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4C8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Stover</w:t>
            </w:r>
          </w:p>
        </w:tc>
      </w:tr>
      <w:tr w:rsidR="003650DF" w:rsidRPr="003650DF" w14:paraId="72CCEE7C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4E32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NRDC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AFCE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2AE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Ettenson</w:t>
            </w:r>
          </w:p>
        </w:tc>
      </w:tr>
      <w:tr w:rsidR="003650DF" w:rsidRPr="003650DF" w14:paraId="4080E667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F55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PG&amp;E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0DC3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B9EC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Chan</w:t>
            </w:r>
          </w:p>
        </w:tc>
      </w:tr>
      <w:tr w:rsidR="003650DF" w:rsidRPr="003650DF" w14:paraId="64877DE7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E5F2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Public Advocates Office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374E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5C43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Campbell</w:t>
            </w:r>
          </w:p>
        </w:tc>
      </w:tr>
      <w:tr w:rsidR="003650DF" w:rsidRPr="003650DF" w14:paraId="533C2D15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EEC5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CBF7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Aimee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98C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Wong</w:t>
            </w:r>
          </w:p>
        </w:tc>
      </w:tr>
      <w:tr w:rsidR="003650DF" w:rsidRPr="003650DF" w14:paraId="0D04A04F" w14:textId="77777777" w:rsidTr="003650DF">
        <w:trPr>
          <w:trHeight w:val="34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601C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SDG&amp;E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F813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Athena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CBF2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Besa</w:t>
            </w:r>
          </w:p>
        </w:tc>
      </w:tr>
      <w:tr w:rsidR="003650DF" w:rsidRPr="003650DF" w14:paraId="67A0860A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BB9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SoCalGas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3405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59D7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Brooks</w:t>
            </w:r>
          </w:p>
        </w:tc>
      </w:tr>
      <w:tr w:rsidR="003650DF" w:rsidRPr="003650DF" w14:paraId="40518110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2EF7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SoCalGas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717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348E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Gomez</w:t>
            </w:r>
          </w:p>
        </w:tc>
      </w:tr>
      <w:tr w:rsidR="003650DF" w:rsidRPr="003650DF" w14:paraId="4E73C420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280B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SoCalREN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F0A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Lujuana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366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Medina</w:t>
            </w:r>
          </w:p>
        </w:tc>
      </w:tr>
      <w:tr w:rsidR="003650DF" w:rsidRPr="003650DF" w14:paraId="42CBB9DA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D977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The Energy Coalition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7BE7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264E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Costa</w:t>
            </w:r>
          </w:p>
        </w:tc>
      </w:tr>
      <w:tr w:rsidR="003650DF" w:rsidRPr="003650DF" w14:paraId="04DF2BDC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AC2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The Energy Coalition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F4D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Laurel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BD2A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Rothschild</w:t>
            </w:r>
          </w:p>
        </w:tc>
      </w:tr>
      <w:tr w:rsidR="003650DF" w:rsidRPr="003650DF" w14:paraId="3E8C62E1" w14:textId="77777777" w:rsidTr="003650DF">
        <w:trPr>
          <w:trHeight w:val="320"/>
        </w:trPr>
        <w:tc>
          <w:tcPr>
            <w:tcW w:w="8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E14B0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0DF" w:rsidRPr="003650DF" w14:paraId="5CCB5C2A" w14:textId="77777777" w:rsidTr="003650DF">
        <w:trPr>
          <w:trHeight w:val="320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44B5" w14:textId="3CF87C88" w:rsidR="003650DF" w:rsidRPr="003650DF" w:rsidRDefault="003650DF" w:rsidP="003650DF">
            <w:pPr>
              <w:rPr>
                <w:sz w:val="20"/>
                <w:szCs w:val="20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CPUC Members Attending in Person</w:t>
            </w:r>
          </w:p>
        </w:tc>
      </w:tr>
      <w:tr w:rsidR="003650DF" w:rsidRPr="003650DF" w14:paraId="79356253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9B8EDA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C401A2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C7F85C8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</w:tr>
      <w:tr w:rsidR="003650DF" w:rsidRPr="003650DF" w14:paraId="22B1CA91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F71A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CPUC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581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4F2B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Christenson</w:t>
            </w:r>
          </w:p>
        </w:tc>
      </w:tr>
      <w:tr w:rsidR="003650DF" w:rsidRPr="003650DF" w14:paraId="2365F087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E30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CPUC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994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Alison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02F2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LaBonte</w:t>
            </w:r>
            <w:proofErr w:type="spellEnd"/>
          </w:p>
        </w:tc>
      </w:tr>
      <w:tr w:rsidR="003650DF" w:rsidRPr="003650DF" w14:paraId="21496799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298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CPUC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32F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823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Torok</w:t>
            </w:r>
          </w:p>
        </w:tc>
      </w:tr>
      <w:tr w:rsidR="003650DF" w:rsidRPr="003650DF" w14:paraId="1EA1EA99" w14:textId="77777777" w:rsidTr="003650DF">
        <w:trPr>
          <w:trHeight w:val="580"/>
        </w:trPr>
        <w:tc>
          <w:tcPr>
            <w:tcW w:w="8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62D1D5" w14:textId="77777777" w:rsid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307409B2" w14:textId="77777777" w:rsid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717CF9B7" w14:textId="014847C8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0DF" w:rsidRPr="003650DF" w14:paraId="754C6D88" w14:textId="77777777" w:rsidTr="003650DF">
        <w:trPr>
          <w:trHeight w:val="320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4E8D" w14:textId="4CF6758F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From a CAEECC Member Organization but not a Designated Member or Proxy – Attending in Person</w:t>
            </w:r>
          </w:p>
        </w:tc>
      </w:tr>
      <w:tr w:rsidR="003650DF" w:rsidRPr="003650DF" w14:paraId="5A820585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B1A9E0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CEDC5A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E84AB4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</w:tr>
      <w:tr w:rsidR="003650DF" w:rsidRPr="003650DF" w14:paraId="14B28A6A" w14:textId="77777777" w:rsidTr="003650DF">
        <w:trPr>
          <w:trHeight w:val="32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B661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72C5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A6A3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Keating</w:t>
            </w:r>
          </w:p>
        </w:tc>
      </w:tr>
      <w:tr w:rsidR="003650DF" w:rsidRPr="003650DF" w14:paraId="4E130CD1" w14:textId="77777777" w:rsidTr="003650DF">
        <w:trPr>
          <w:trHeight w:val="340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9A79" w14:textId="56096318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lastRenderedPageBreak/>
              <w:t>Designated Member/Proxy on the CAEECC – Participating Remotely</w:t>
            </w:r>
          </w:p>
        </w:tc>
      </w:tr>
      <w:tr w:rsidR="003650DF" w:rsidRPr="003650DF" w14:paraId="5336EE04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DF939A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2E6771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43347E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</w:tr>
      <w:tr w:rsidR="003650DF" w:rsidRPr="003650DF" w14:paraId="4F3A9C62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E0AC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3C-REN/County of Ventura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22CA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866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Tellez</w:t>
            </w:r>
          </w:p>
        </w:tc>
      </w:tr>
      <w:tr w:rsidR="003650DF" w:rsidRPr="003650DF" w14:paraId="4467584A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4567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California Energy Commission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462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0A4E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Kenney</w:t>
            </w:r>
          </w:p>
        </w:tc>
      </w:tr>
      <w:tr w:rsidR="003650DF" w:rsidRPr="003650DF" w14:paraId="0430D52A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E99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Center for Sustainable Energy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5154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D1D1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Menton</w:t>
            </w:r>
            <w:proofErr w:type="spellEnd"/>
          </w:p>
        </w:tc>
      </w:tr>
      <w:tr w:rsidR="003650DF" w:rsidRPr="003650DF" w14:paraId="48A864B6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6726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Lincus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142B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76A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Coeckelenbergh</w:t>
            </w:r>
          </w:p>
        </w:tc>
      </w:tr>
      <w:tr w:rsidR="003650DF" w:rsidRPr="003650DF" w14:paraId="5ABD490E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85E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Redwood Coast Energy Authority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30A3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Lou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BF26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Jacobson</w:t>
            </w:r>
          </w:p>
        </w:tc>
      </w:tr>
      <w:tr w:rsidR="003650DF" w:rsidRPr="003650DF" w14:paraId="6022773F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94C6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SCE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3EFB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EED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Evans</w:t>
            </w:r>
          </w:p>
        </w:tc>
      </w:tr>
      <w:tr w:rsidR="003650DF" w:rsidRPr="003650DF" w14:paraId="5515FE4D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A665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SJVCEO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49DA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363E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Kalashian</w:t>
            </w:r>
            <w:proofErr w:type="spellEnd"/>
          </w:p>
        </w:tc>
      </w:tr>
      <w:tr w:rsidR="003650DF" w:rsidRPr="003650DF" w14:paraId="2A620FEE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B74C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Small Business Utility Advocates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CAF5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E581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Jimenez</w:t>
            </w:r>
          </w:p>
        </w:tc>
      </w:tr>
      <w:tr w:rsidR="003650DF" w:rsidRPr="003650DF" w14:paraId="26E584E4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F5BB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WHPA Inc.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B95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Elsia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E1A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Galawish</w:t>
            </w:r>
            <w:proofErr w:type="spellEnd"/>
          </w:p>
        </w:tc>
      </w:tr>
      <w:tr w:rsidR="003650DF" w:rsidRPr="003650DF" w14:paraId="7F955A89" w14:textId="77777777" w:rsidTr="003650DF">
        <w:trPr>
          <w:trHeight w:val="320"/>
        </w:trPr>
        <w:tc>
          <w:tcPr>
            <w:tcW w:w="8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7D620" w14:textId="77777777" w:rsidR="003650DF" w:rsidRPr="003650DF" w:rsidRDefault="003650DF" w:rsidP="003650DF">
            <w:pPr>
              <w:rPr>
                <w:sz w:val="20"/>
                <w:szCs w:val="20"/>
              </w:rPr>
            </w:pPr>
          </w:p>
        </w:tc>
      </w:tr>
      <w:tr w:rsidR="003650DF" w:rsidRPr="003650DF" w14:paraId="22112351" w14:textId="77777777" w:rsidTr="003650DF">
        <w:trPr>
          <w:trHeight w:val="320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4178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CPUC Staff - Participating Remotely</w:t>
            </w:r>
          </w:p>
        </w:tc>
      </w:tr>
      <w:tr w:rsidR="003650DF" w:rsidRPr="003650DF" w14:paraId="2238124C" w14:textId="77777777" w:rsidTr="003650DF">
        <w:trPr>
          <w:trHeight w:val="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84A3A2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864316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C8768A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</w:tr>
      <w:tr w:rsidR="003650DF" w:rsidRPr="003650DF" w14:paraId="25436857" w14:textId="77777777" w:rsidTr="003650DF">
        <w:trPr>
          <w:trHeight w:val="30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C2BA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CPUC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409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Agatha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FE0E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Wein</w:t>
            </w:r>
          </w:p>
        </w:tc>
      </w:tr>
      <w:tr w:rsidR="003650DF" w:rsidRPr="003650DF" w14:paraId="419FADE1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975E" w14:textId="77777777" w:rsidR="003650DF" w:rsidRPr="003650DF" w:rsidRDefault="003650DF" w:rsidP="003650D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A8BE" w14:textId="77777777" w:rsidR="003650DF" w:rsidRPr="003650DF" w:rsidRDefault="003650DF" w:rsidP="003650DF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78AF" w14:textId="77777777" w:rsidR="003650DF" w:rsidRPr="003650DF" w:rsidRDefault="003650DF" w:rsidP="003650DF">
            <w:pPr>
              <w:rPr>
                <w:sz w:val="20"/>
                <w:szCs w:val="20"/>
              </w:rPr>
            </w:pPr>
          </w:p>
        </w:tc>
      </w:tr>
      <w:tr w:rsidR="003650DF" w:rsidRPr="003650DF" w14:paraId="5C41CE41" w14:textId="77777777" w:rsidTr="003650DF">
        <w:trPr>
          <w:trHeight w:val="584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DE5AB2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From a CAEECC Member Organization (but not a Designated Member/Proxy) - Participating Remotely</w:t>
            </w:r>
          </w:p>
        </w:tc>
      </w:tr>
      <w:tr w:rsidR="003650DF" w:rsidRPr="003650DF" w14:paraId="6D1763D9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928581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18834D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71E7DB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</w:tr>
      <w:tr w:rsidR="003650DF" w:rsidRPr="003650DF" w14:paraId="567E6983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5E5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CA Energy Commission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EA3C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A81C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Moore</w:t>
            </w:r>
          </w:p>
        </w:tc>
      </w:tr>
      <w:tr w:rsidR="003650DF" w:rsidRPr="003650DF" w14:paraId="201804A5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A4E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County of Ventura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E5D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Leigh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8AA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Walker</w:t>
            </w:r>
          </w:p>
        </w:tc>
      </w:tr>
      <w:tr w:rsidR="003650DF" w:rsidRPr="003650DF" w14:paraId="3CEB32FB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F13A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27C1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0C01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Buendia</w:t>
            </w:r>
            <w:proofErr w:type="spellEnd"/>
          </w:p>
        </w:tc>
      </w:tr>
      <w:tr w:rsidR="003650DF" w:rsidRPr="003650DF" w14:paraId="18C444EA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A992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FD1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086B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Feinberg</w:t>
            </w:r>
          </w:p>
        </w:tc>
      </w:tr>
      <w:tr w:rsidR="003650DF" w:rsidRPr="003650DF" w14:paraId="438508EA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812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7B38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E9A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Taylor</w:t>
            </w:r>
          </w:p>
        </w:tc>
      </w:tr>
      <w:tr w:rsidR="003650DF" w:rsidRPr="003650DF" w14:paraId="063F63E1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DBF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Southern CA Edison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50BA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Larry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C4E9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Tabizon</w:t>
            </w:r>
            <w:proofErr w:type="spellEnd"/>
          </w:p>
        </w:tc>
      </w:tr>
      <w:tr w:rsidR="003650DF" w:rsidRPr="003650DF" w14:paraId="41F55260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667C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The Energy Coalition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8247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Pei-Chi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D8D3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Chou</w:t>
            </w:r>
          </w:p>
        </w:tc>
      </w:tr>
      <w:tr w:rsidR="003650DF" w:rsidRPr="003650DF" w14:paraId="3C20F8F0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FF5E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The Energy Coalition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B8D4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6445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Ford</w:t>
            </w:r>
          </w:p>
        </w:tc>
      </w:tr>
      <w:tr w:rsidR="003650DF" w:rsidRPr="003650DF" w14:paraId="7990B222" w14:textId="77777777" w:rsidTr="003650DF">
        <w:trPr>
          <w:trHeight w:val="580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AE4C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Other</w:t>
            </w:r>
            <w:proofErr w:type="gramEnd"/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Participant/Stakeholder (but not from a CAEECC Member Organization or CPUC) – Attending in Person</w:t>
            </w:r>
          </w:p>
        </w:tc>
      </w:tr>
      <w:tr w:rsidR="003650DF" w:rsidRPr="003650DF" w14:paraId="7BEAB4CC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0ECB52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9AE421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2E8994" w14:textId="77777777" w:rsidR="003650DF" w:rsidRPr="003650DF" w:rsidRDefault="003650DF" w:rsidP="003650D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</w:tr>
      <w:tr w:rsidR="003650DF" w:rsidRPr="003650DF" w14:paraId="7578D1BA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EE84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CAEECC Facilitator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3A42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Ellen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DD0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Zuckerman</w:t>
            </w:r>
          </w:p>
        </w:tc>
      </w:tr>
      <w:tr w:rsidR="003650DF" w:rsidRPr="003650DF" w14:paraId="7EE2C296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B672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Navigant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0037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1ECA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Landry</w:t>
            </w:r>
          </w:p>
        </w:tc>
      </w:tr>
      <w:tr w:rsidR="003650DF" w:rsidRPr="003650DF" w14:paraId="10B12013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E58F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OpenEE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7C8A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6896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Best</w:t>
            </w:r>
          </w:p>
        </w:tc>
      </w:tr>
      <w:tr w:rsidR="003650DF" w:rsidRPr="003650DF" w14:paraId="69099DC7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2961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Oracle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5C14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Charlie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769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Buck</w:t>
            </w:r>
          </w:p>
        </w:tc>
      </w:tr>
      <w:tr w:rsidR="003650DF" w:rsidRPr="003650DF" w14:paraId="7ADCBF05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DCD8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Raab Associates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267C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18A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Raab</w:t>
            </w:r>
          </w:p>
        </w:tc>
      </w:tr>
      <w:tr w:rsidR="003650DF" w:rsidRPr="003650DF" w14:paraId="04DC1676" w14:textId="77777777" w:rsidTr="003650DF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21E6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Strategic Energy </w:t>
            </w: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Innovatoions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2A6D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8870" w14:textId="77777777" w:rsidR="003650DF" w:rsidRPr="003650DF" w:rsidRDefault="003650DF" w:rsidP="003650D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3650DF">
              <w:rPr>
                <w:rFonts w:ascii="Cambria" w:hAnsi="Cambria" w:cs="Calibri"/>
                <w:color w:val="000000"/>
                <w:sz w:val="22"/>
                <w:szCs w:val="22"/>
              </w:rPr>
              <w:t>Azzola</w:t>
            </w:r>
            <w:proofErr w:type="spellEnd"/>
          </w:p>
        </w:tc>
      </w:tr>
    </w:tbl>
    <w:p w14:paraId="466811C2" w14:textId="599771D1" w:rsidR="004628E8" w:rsidRDefault="004628E8" w:rsidP="00135530"/>
    <w:p w14:paraId="21F63CAA" w14:textId="77777777" w:rsidR="004628E8" w:rsidRDefault="004628E8">
      <w:r>
        <w:br w:type="page"/>
      </w:r>
    </w:p>
    <w:p w14:paraId="779CE8AF" w14:textId="4F164535" w:rsidR="00846F7E" w:rsidRDefault="004628E8" w:rsidP="00382D81">
      <w:pPr>
        <w:ind w:right="-90"/>
        <w:jc w:val="center"/>
        <w:rPr>
          <w:b/>
        </w:rPr>
      </w:pPr>
      <w:r w:rsidRPr="00267013">
        <w:rPr>
          <w:b/>
        </w:rPr>
        <w:lastRenderedPageBreak/>
        <w:t xml:space="preserve">Appendix </w:t>
      </w:r>
      <w:r>
        <w:rPr>
          <w:b/>
        </w:rPr>
        <w:t>B</w:t>
      </w:r>
      <w:r w:rsidR="00382D81">
        <w:rPr>
          <w:b/>
        </w:rPr>
        <w:t xml:space="preserve"> – Data/Intellectual Property</w:t>
      </w:r>
    </w:p>
    <w:p w14:paraId="2469DCD8" w14:textId="0C4A151A" w:rsidR="00382D81" w:rsidRDefault="00382D81" w:rsidP="004628E8">
      <w:pPr>
        <w:jc w:val="center"/>
        <w:rPr>
          <w:b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1525"/>
        <w:gridCol w:w="1890"/>
        <w:gridCol w:w="1710"/>
        <w:gridCol w:w="1170"/>
        <w:gridCol w:w="1080"/>
        <w:gridCol w:w="1440"/>
        <w:gridCol w:w="1170"/>
      </w:tblGrid>
      <w:tr w:rsidR="00382D81" w:rsidRPr="00382D81" w14:paraId="6CE039EB" w14:textId="77777777" w:rsidTr="00382D81">
        <w:trPr>
          <w:trHeight w:val="6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40F293" w14:textId="77777777" w:rsidR="00382D81" w:rsidRPr="00382D81" w:rsidRDefault="00382D81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  <w:t>Use Cases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A6B357" w14:textId="77777777" w:rsidR="00382D81" w:rsidRPr="00382D81" w:rsidRDefault="00382D81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  <w:t>Value Proposition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3AE474" w14:textId="77777777" w:rsidR="00382D81" w:rsidRPr="00382D81" w:rsidRDefault="00382D81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  <w:t>Program Data/ Intellectual Property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5AF36E" w14:textId="77777777" w:rsidR="00382D81" w:rsidRPr="00382D81" w:rsidRDefault="00382D81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  <w:t>Customer Usage Data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39B321" w14:textId="77777777" w:rsidR="00382D81" w:rsidRPr="00382D81" w:rsidRDefault="00382D81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  <w:t>Source of Data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99CFAF" w14:textId="77777777" w:rsidR="00382D81" w:rsidRPr="00382D81" w:rsidRDefault="00382D81" w:rsidP="00382D81">
            <w:pPr>
              <w:ind w:left="-100" w:right="-100"/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  <w:t>Aggregation/ Anonymization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C1261E" w14:textId="77777777" w:rsidR="00382D81" w:rsidRPr="00382D81" w:rsidRDefault="00382D81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b/>
                <w:bCs/>
                <w:color w:val="000000"/>
                <w:sz w:val="21"/>
                <w:szCs w:val="22"/>
              </w:rPr>
              <w:t>Barriers</w:t>
            </w:r>
          </w:p>
        </w:tc>
      </w:tr>
      <w:tr w:rsidR="00382D81" w:rsidRPr="00382D81" w14:paraId="7DDD28BE" w14:textId="77777777" w:rsidTr="00382D81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D139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# of Streetlights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646E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9905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0C1E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9052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872F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By zip code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F768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</w:tr>
      <w:tr w:rsidR="00382D81" w:rsidRPr="00382D81" w14:paraId="5E6209A1" w14:textId="77777777" w:rsidTr="00382D81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8710AAB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Third Party Bidding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B30F86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Better program </w:t>
            </w:r>
            <w:proofErr w:type="spellStart"/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proprosals</w:t>
            </w:r>
            <w:proofErr w:type="spellEnd"/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; making data available from 3P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5382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752C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F5C0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7549" w14:textId="77777777" w:rsidR="00382D81" w:rsidRPr="00382D81" w:rsidRDefault="00382D81" w:rsidP="00382D81">
            <w:pPr>
              <w:ind w:right="1430"/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1D48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</w:tr>
      <w:tr w:rsidR="00382D81" w:rsidRPr="00382D81" w14:paraId="2C325181" w14:textId="77777777" w:rsidTr="00382D81">
        <w:trPr>
          <w:trHeight w:val="6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585A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Program Performance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5FFF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 xml:space="preserve">Better </w:t>
            </w:r>
            <w:proofErr w:type="spellStart"/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peformance</w:t>
            </w:r>
            <w:proofErr w:type="spellEnd"/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, project design improvements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7150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BBF6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CB86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9099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0AE8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</w:tr>
      <w:tr w:rsidR="00382D81" w:rsidRPr="00382D81" w14:paraId="790C97D4" w14:textId="77777777" w:rsidTr="00382D81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9902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Customer Procurement Planning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9EB9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CD24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Historical Participation Data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9ED0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8F5E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E217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5723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</w:tr>
      <w:tr w:rsidR="00382D81" w:rsidRPr="00382D81" w14:paraId="0F5B301A" w14:textId="77777777" w:rsidTr="00382D81">
        <w:trPr>
          <w:trHeight w:val="9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901B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Customer Behavior/Technology Acceptance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51D3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Accelerating technology acceptance and behavior change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C26E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A0F9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2DFA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93A9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B205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</w:tr>
      <w:tr w:rsidR="00382D81" w:rsidRPr="00382D81" w14:paraId="1E37C7DA" w14:textId="77777777" w:rsidTr="00382D81">
        <w:trPr>
          <w:trHeight w:val="6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1775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Climate Action Planning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BE52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08F6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# projects completed by year by sector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8F8C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C0F4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3B56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4541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</w:tr>
      <w:tr w:rsidR="00382D81" w:rsidRPr="00382D81" w14:paraId="77AD0C83" w14:textId="77777777" w:rsidTr="00382D81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A5C6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All Use Cases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83E2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3E9A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A16B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48EF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C21A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5203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1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1"/>
                <w:szCs w:val="22"/>
              </w:rPr>
              <w:t>Data sharing Platform</w:t>
            </w:r>
          </w:p>
        </w:tc>
      </w:tr>
      <w:tr w:rsidR="00382D81" w:rsidRPr="00382D81" w14:paraId="32725CC0" w14:textId="77777777" w:rsidTr="00382D81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5EC1C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FC503" w14:textId="77777777" w:rsidR="00382D81" w:rsidRPr="00382D81" w:rsidRDefault="00382D81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F1F0" w14:textId="77777777" w:rsidR="00382D81" w:rsidRPr="00382D81" w:rsidRDefault="00382D81">
            <w:pPr>
              <w:rPr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42C0" w14:textId="77777777" w:rsidR="00382D81" w:rsidRPr="00382D81" w:rsidRDefault="00382D81">
            <w:pPr>
              <w:rPr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B349" w14:textId="77777777" w:rsidR="00382D81" w:rsidRPr="00382D81" w:rsidRDefault="00382D8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AFB52" w14:textId="77777777" w:rsidR="00382D81" w:rsidRPr="00382D81" w:rsidRDefault="00382D81">
            <w:pPr>
              <w:rPr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3FBF" w14:textId="77777777" w:rsidR="00382D81" w:rsidRPr="00382D81" w:rsidRDefault="00382D81">
            <w:pPr>
              <w:rPr>
                <w:sz w:val="18"/>
                <w:szCs w:val="20"/>
              </w:rPr>
            </w:pPr>
          </w:p>
        </w:tc>
      </w:tr>
      <w:tr w:rsidR="00382D81" w:rsidRPr="00382D81" w14:paraId="6D1A5DA1" w14:textId="77777777" w:rsidTr="00F26750">
        <w:trPr>
          <w:trHeight w:val="4028"/>
        </w:trPr>
        <w:tc>
          <w:tcPr>
            <w:tcW w:w="998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72FFB64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Notes:</w:t>
            </w:r>
          </w:p>
          <w:p w14:paraId="16CBF942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Critical to define uses and data request should be </w:t>
            </w:r>
            <w:proofErr w:type="spellStart"/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targetd</w:t>
            </w:r>
            <w:proofErr w:type="spellEnd"/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only what's necessary</w:t>
            </w:r>
          </w:p>
          <w:p w14:paraId="2A2608DB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Large customer Energy Star data supposed to be disclosed (but utility isn't responsible for enforcing).</w:t>
            </w:r>
          </w:p>
          <w:p w14:paraId="102E9606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Customer Privacy Act, individuals can opt out </w:t>
            </w:r>
            <w:proofErr w:type="gramStart"/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of  having</w:t>
            </w:r>
            <w:proofErr w:type="gramEnd"/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their data exposed. </w:t>
            </w:r>
          </w:p>
          <w:p w14:paraId="663E1D33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Distinguish between data collecting vs. data producing</w:t>
            </w:r>
          </w:p>
          <w:p w14:paraId="77F31021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Certain data sharing requirements could have chilling effect on some </w:t>
            </w:r>
            <w:proofErr w:type="gramStart"/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implementers</w:t>
            </w:r>
            <w:proofErr w:type="gramEnd"/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participation</w:t>
            </w:r>
          </w:p>
          <w:p w14:paraId="42BEC3B0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Include academics in discussions around data sharing</w:t>
            </w:r>
          </w:p>
          <w:p w14:paraId="2B6620F6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Evaluate on contracting process, on case by case</w:t>
            </w:r>
          </w:p>
          <w:p w14:paraId="080B5809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IOUs could provide list of data already available, and how to request</w:t>
            </w:r>
          </w:p>
          <w:p w14:paraId="363CFC81" w14:textId="77777777" w:rsidR="00382D81" w:rsidRPr="00382D81" w:rsidRDefault="00382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Already Energy Use Data Advisory Group (might be better place to have that discussion); but other data not part of that process</w:t>
            </w:r>
          </w:p>
          <w:p w14:paraId="18C2328F" w14:textId="5CAFB348" w:rsidR="00382D81" w:rsidRPr="00382D81" w:rsidRDefault="00382D81">
            <w:pPr>
              <w:rPr>
                <w:sz w:val="22"/>
                <w:szCs w:val="20"/>
              </w:rPr>
            </w:pPr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What information should be provided on pre-bid basis to inform bids vs. post-bid; performance data/</w:t>
            </w:r>
            <w:proofErr w:type="gramStart"/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>metrics  on</w:t>
            </w:r>
            <w:proofErr w:type="gramEnd"/>
            <w:r w:rsidRPr="00382D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programs expected</w:t>
            </w:r>
          </w:p>
        </w:tc>
      </w:tr>
    </w:tbl>
    <w:p w14:paraId="111836A1" w14:textId="77777777" w:rsidR="00382D81" w:rsidRDefault="00382D81" w:rsidP="004628E8">
      <w:pPr>
        <w:jc w:val="center"/>
      </w:pPr>
    </w:p>
    <w:p w14:paraId="73E85E57" w14:textId="77777777" w:rsidR="00382D81" w:rsidRDefault="00382D81">
      <w:pPr>
        <w:jc w:val="center"/>
      </w:pPr>
    </w:p>
    <w:sectPr w:rsidR="00382D81" w:rsidSect="00382D81">
      <w:headerReference w:type="default" r:id="rId8"/>
      <w:footerReference w:type="even" r:id="rId9"/>
      <w:footerReference w:type="default" r:id="rId10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3CDA" w14:textId="77777777" w:rsidR="001333D8" w:rsidRDefault="001333D8" w:rsidP="00F25126">
      <w:r>
        <w:separator/>
      </w:r>
    </w:p>
  </w:endnote>
  <w:endnote w:type="continuationSeparator" w:id="0">
    <w:p w14:paraId="28F40F26" w14:textId="77777777" w:rsidR="001333D8" w:rsidRDefault="001333D8" w:rsidP="00F2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37DC" w14:textId="77777777" w:rsidR="00846F7E" w:rsidRDefault="00846F7E" w:rsidP="00135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DCEC9" w14:textId="77777777" w:rsidR="00846F7E" w:rsidRDefault="00846F7E" w:rsidP="001355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7407" w14:textId="77777777" w:rsidR="00846F7E" w:rsidRDefault="00846F7E" w:rsidP="00135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008E2" w14:textId="77777777" w:rsidR="00846F7E" w:rsidRDefault="00846F7E" w:rsidP="001355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81016" w14:textId="77777777" w:rsidR="001333D8" w:rsidRDefault="001333D8" w:rsidP="00F25126">
      <w:r>
        <w:separator/>
      </w:r>
    </w:p>
  </w:footnote>
  <w:footnote w:type="continuationSeparator" w:id="0">
    <w:p w14:paraId="265CDF29" w14:textId="77777777" w:rsidR="001333D8" w:rsidRDefault="001333D8" w:rsidP="00F2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B32B" w14:textId="77777777" w:rsidR="00846F7E" w:rsidRPr="00F25126" w:rsidRDefault="00846F7E" w:rsidP="00F25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67A"/>
    <w:multiLevelType w:val="hybridMultilevel"/>
    <w:tmpl w:val="99D63292"/>
    <w:lvl w:ilvl="0" w:tplc="AB64C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45E"/>
    <w:multiLevelType w:val="hybridMultilevel"/>
    <w:tmpl w:val="6CA8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8E7"/>
    <w:multiLevelType w:val="hybridMultilevel"/>
    <w:tmpl w:val="4A2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6D16"/>
    <w:multiLevelType w:val="hybridMultilevel"/>
    <w:tmpl w:val="533C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73BF"/>
    <w:multiLevelType w:val="hybridMultilevel"/>
    <w:tmpl w:val="7602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5339"/>
    <w:multiLevelType w:val="hybridMultilevel"/>
    <w:tmpl w:val="D2D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4D2C"/>
    <w:multiLevelType w:val="hybridMultilevel"/>
    <w:tmpl w:val="971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B34FF"/>
    <w:multiLevelType w:val="hybridMultilevel"/>
    <w:tmpl w:val="E5B26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E793B"/>
    <w:multiLevelType w:val="hybridMultilevel"/>
    <w:tmpl w:val="1F3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796B"/>
    <w:multiLevelType w:val="hybridMultilevel"/>
    <w:tmpl w:val="740E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36F69"/>
    <w:multiLevelType w:val="hybridMultilevel"/>
    <w:tmpl w:val="AD7C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D336F"/>
    <w:multiLevelType w:val="hybridMultilevel"/>
    <w:tmpl w:val="D78A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26B23"/>
    <w:multiLevelType w:val="hybridMultilevel"/>
    <w:tmpl w:val="608A0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38F"/>
    <w:multiLevelType w:val="hybridMultilevel"/>
    <w:tmpl w:val="D8C4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C3F40"/>
    <w:multiLevelType w:val="hybridMultilevel"/>
    <w:tmpl w:val="789A11C8"/>
    <w:lvl w:ilvl="0" w:tplc="88000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2F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0C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81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3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8A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28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5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36195E"/>
    <w:multiLevelType w:val="hybridMultilevel"/>
    <w:tmpl w:val="2C9A5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6605C"/>
    <w:multiLevelType w:val="hybridMultilevel"/>
    <w:tmpl w:val="0422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E4FF9"/>
    <w:multiLevelType w:val="hybridMultilevel"/>
    <w:tmpl w:val="8E22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54643"/>
    <w:multiLevelType w:val="hybridMultilevel"/>
    <w:tmpl w:val="69F0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E61D0"/>
    <w:multiLevelType w:val="hybridMultilevel"/>
    <w:tmpl w:val="5752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904EB"/>
    <w:multiLevelType w:val="hybridMultilevel"/>
    <w:tmpl w:val="B7782F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1526C"/>
    <w:multiLevelType w:val="hybridMultilevel"/>
    <w:tmpl w:val="8DDE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E3C9A"/>
    <w:multiLevelType w:val="hybridMultilevel"/>
    <w:tmpl w:val="1598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521C2"/>
    <w:multiLevelType w:val="hybridMultilevel"/>
    <w:tmpl w:val="9B44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9"/>
  </w:num>
  <w:num w:numId="10">
    <w:abstractNumId w:val="21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18"/>
  </w:num>
  <w:num w:numId="17">
    <w:abstractNumId w:val="4"/>
  </w:num>
  <w:num w:numId="18">
    <w:abstractNumId w:val="9"/>
  </w:num>
  <w:num w:numId="19">
    <w:abstractNumId w:val="12"/>
  </w:num>
  <w:num w:numId="20">
    <w:abstractNumId w:val="15"/>
  </w:num>
  <w:num w:numId="21">
    <w:abstractNumId w:val="20"/>
  </w:num>
  <w:num w:numId="22">
    <w:abstractNumId w:val="0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AF"/>
    <w:rsid w:val="0001703F"/>
    <w:rsid w:val="00027CEB"/>
    <w:rsid w:val="00031A89"/>
    <w:rsid w:val="00036936"/>
    <w:rsid w:val="00037B6B"/>
    <w:rsid w:val="00047F3D"/>
    <w:rsid w:val="0005455B"/>
    <w:rsid w:val="00071052"/>
    <w:rsid w:val="00076479"/>
    <w:rsid w:val="00081839"/>
    <w:rsid w:val="00083879"/>
    <w:rsid w:val="000948ED"/>
    <w:rsid w:val="000A12D0"/>
    <w:rsid w:val="000A25DA"/>
    <w:rsid w:val="000D0677"/>
    <w:rsid w:val="000D3C05"/>
    <w:rsid w:val="00116B8A"/>
    <w:rsid w:val="001333D8"/>
    <w:rsid w:val="00135530"/>
    <w:rsid w:val="00135581"/>
    <w:rsid w:val="0014424F"/>
    <w:rsid w:val="001452CE"/>
    <w:rsid w:val="00160E5A"/>
    <w:rsid w:val="001611F7"/>
    <w:rsid w:val="00172A83"/>
    <w:rsid w:val="00185420"/>
    <w:rsid w:val="00191B91"/>
    <w:rsid w:val="001C0E3D"/>
    <w:rsid w:val="001C2521"/>
    <w:rsid w:val="001C2BA6"/>
    <w:rsid w:val="001C3937"/>
    <w:rsid w:val="001F1AAD"/>
    <w:rsid w:val="0020298B"/>
    <w:rsid w:val="00205DBD"/>
    <w:rsid w:val="002152E7"/>
    <w:rsid w:val="00224F4B"/>
    <w:rsid w:val="00225152"/>
    <w:rsid w:val="00225154"/>
    <w:rsid w:val="002272B6"/>
    <w:rsid w:val="00255378"/>
    <w:rsid w:val="00257C29"/>
    <w:rsid w:val="00267013"/>
    <w:rsid w:val="00280C62"/>
    <w:rsid w:val="002B1619"/>
    <w:rsid w:val="002B7591"/>
    <w:rsid w:val="002C07E0"/>
    <w:rsid w:val="002C2B76"/>
    <w:rsid w:val="002C2BF0"/>
    <w:rsid w:val="002C6C65"/>
    <w:rsid w:val="002E39C3"/>
    <w:rsid w:val="002F0FBE"/>
    <w:rsid w:val="003335E4"/>
    <w:rsid w:val="00343AD1"/>
    <w:rsid w:val="00352994"/>
    <w:rsid w:val="00363985"/>
    <w:rsid w:val="003650DF"/>
    <w:rsid w:val="00365339"/>
    <w:rsid w:val="0037329C"/>
    <w:rsid w:val="00374C52"/>
    <w:rsid w:val="00382D81"/>
    <w:rsid w:val="003842DF"/>
    <w:rsid w:val="003932D2"/>
    <w:rsid w:val="003947AB"/>
    <w:rsid w:val="003B19AE"/>
    <w:rsid w:val="003D22B8"/>
    <w:rsid w:val="003F2F66"/>
    <w:rsid w:val="0040380B"/>
    <w:rsid w:val="00410C78"/>
    <w:rsid w:val="004422AF"/>
    <w:rsid w:val="00450952"/>
    <w:rsid w:val="004564A6"/>
    <w:rsid w:val="0046147F"/>
    <w:rsid w:val="004628E8"/>
    <w:rsid w:val="004805E1"/>
    <w:rsid w:val="0049365B"/>
    <w:rsid w:val="00495449"/>
    <w:rsid w:val="004973D4"/>
    <w:rsid w:val="004A3ADA"/>
    <w:rsid w:val="004A7075"/>
    <w:rsid w:val="004B3B19"/>
    <w:rsid w:val="004B70C7"/>
    <w:rsid w:val="004C6DB5"/>
    <w:rsid w:val="004D0F4B"/>
    <w:rsid w:val="004E2A3A"/>
    <w:rsid w:val="004E7327"/>
    <w:rsid w:val="00532F6B"/>
    <w:rsid w:val="0053469A"/>
    <w:rsid w:val="00540B70"/>
    <w:rsid w:val="0054148C"/>
    <w:rsid w:val="00543811"/>
    <w:rsid w:val="00556CAD"/>
    <w:rsid w:val="00563C8E"/>
    <w:rsid w:val="00570911"/>
    <w:rsid w:val="005758EA"/>
    <w:rsid w:val="0058142B"/>
    <w:rsid w:val="00586396"/>
    <w:rsid w:val="005A3C26"/>
    <w:rsid w:val="005A4E7C"/>
    <w:rsid w:val="005C3D46"/>
    <w:rsid w:val="005D7422"/>
    <w:rsid w:val="005E6A18"/>
    <w:rsid w:val="005F062E"/>
    <w:rsid w:val="00601583"/>
    <w:rsid w:val="00605883"/>
    <w:rsid w:val="00625429"/>
    <w:rsid w:val="00672D34"/>
    <w:rsid w:val="00682AF0"/>
    <w:rsid w:val="006954A1"/>
    <w:rsid w:val="006A583A"/>
    <w:rsid w:val="006C6419"/>
    <w:rsid w:val="006E4135"/>
    <w:rsid w:val="006E688E"/>
    <w:rsid w:val="006E69DB"/>
    <w:rsid w:val="006F512F"/>
    <w:rsid w:val="007120C8"/>
    <w:rsid w:val="00721957"/>
    <w:rsid w:val="00726044"/>
    <w:rsid w:val="00744750"/>
    <w:rsid w:val="00745D43"/>
    <w:rsid w:val="00754E2A"/>
    <w:rsid w:val="007713C5"/>
    <w:rsid w:val="0079488F"/>
    <w:rsid w:val="00794FB5"/>
    <w:rsid w:val="007A0A59"/>
    <w:rsid w:val="007A476B"/>
    <w:rsid w:val="007A5818"/>
    <w:rsid w:val="007C64B3"/>
    <w:rsid w:val="007E11BF"/>
    <w:rsid w:val="00800D57"/>
    <w:rsid w:val="0080599C"/>
    <w:rsid w:val="008125C3"/>
    <w:rsid w:val="00815927"/>
    <w:rsid w:val="00835A68"/>
    <w:rsid w:val="00846F7E"/>
    <w:rsid w:val="00847C2C"/>
    <w:rsid w:val="00866718"/>
    <w:rsid w:val="008A01B3"/>
    <w:rsid w:val="008A1236"/>
    <w:rsid w:val="008A68CD"/>
    <w:rsid w:val="008B37CA"/>
    <w:rsid w:val="008C3872"/>
    <w:rsid w:val="008C49E9"/>
    <w:rsid w:val="008C72E1"/>
    <w:rsid w:val="008E084B"/>
    <w:rsid w:val="008F1EEC"/>
    <w:rsid w:val="00904AD8"/>
    <w:rsid w:val="0093435B"/>
    <w:rsid w:val="009A0599"/>
    <w:rsid w:val="009A65CD"/>
    <w:rsid w:val="009C277A"/>
    <w:rsid w:val="009C2E21"/>
    <w:rsid w:val="009C37CB"/>
    <w:rsid w:val="009C6C9C"/>
    <w:rsid w:val="009D4895"/>
    <w:rsid w:val="009F1568"/>
    <w:rsid w:val="009F1DA4"/>
    <w:rsid w:val="00A1329F"/>
    <w:rsid w:val="00A25B97"/>
    <w:rsid w:val="00A37372"/>
    <w:rsid w:val="00A507A6"/>
    <w:rsid w:val="00A71043"/>
    <w:rsid w:val="00A74838"/>
    <w:rsid w:val="00A91131"/>
    <w:rsid w:val="00AC07F4"/>
    <w:rsid w:val="00AD133A"/>
    <w:rsid w:val="00AE09B0"/>
    <w:rsid w:val="00B048AC"/>
    <w:rsid w:val="00B24634"/>
    <w:rsid w:val="00B36BC5"/>
    <w:rsid w:val="00B45A2A"/>
    <w:rsid w:val="00B657A0"/>
    <w:rsid w:val="00B70DCA"/>
    <w:rsid w:val="00B85DE9"/>
    <w:rsid w:val="00B8671A"/>
    <w:rsid w:val="00BB25B7"/>
    <w:rsid w:val="00BC34A2"/>
    <w:rsid w:val="00BD4C38"/>
    <w:rsid w:val="00BD6891"/>
    <w:rsid w:val="00BD738A"/>
    <w:rsid w:val="00BE2C0D"/>
    <w:rsid w:val="00BE2F6C"/>
    <w:rsid w:val="00BF2E89"/>
    <w:rsid w:val="00BF2F85"/>
    <w:rsid w:val="00C04033"/>
    <w:rsid w:val="00C22699"/>
    <w:rsid w:val="00C262D1"/>
    <w:rsid w:val="00C3172B"/>
    <w:rsid w:val="00C33CF2"/>
    <w:rsid w:val="00C53A57"/>
    <w:rsid w:val="00C5609C"/>
    <w:rsid w:val="00C60EE8"/>
    <w:rsid w:val="00C75A44"/>
    <w:rsid w:val="00C81587"/>
    <w:rsid w:val="00C925FE"/>
    <w:rsid w:val="00CC1DF9"/>
    <w:rsid w:val="00CD1E22"/>
    <w:rsid w:val="00CE6BAC"/>
    <w:rsid w:val="00D10708"/>
    <w:rsid w:val="00D10E55"/>
    <w:rsid w:val="00D17B6C"/>
    <w:rsid w:val="00D24943"/>
    <w:rsid w:val="00D32669"/>
    <w:rsid w:val="00D42282"/>
    <w:rsid w:val="00D454BE"/>
    <w:rsid w:val="00D6134F"/>
    <w:rsid w:val="00D61612"/>
    <w:rsid w:val="00D718D5"/>
    <w:rsid w:val="00D72C6F"/>
    <w:rsid w:val="00D75495"/>
    <w:rsid w:val="00D7618D"/>
    <w:rsid w:val="00D90664"/>
    <w:rsid w:val="00D929B2"/>
    <w:rsid w:val="00DB6847"/>
    <w:rsid w:val="00DC152E"/>
    <w:rsid w:val="00DC4905"/>
    <w:rsid w:val="00DD20AB"/>
    <w:rsid w:val="00DD675B"/>
    <w:rsid w:val="00E10AEE"/>
    <w:rsid w:val="00E161A6"/>
    <w:rsid w:val="00E3774C"/>
    <w:rsid w:val="00E52446"/>
    <w:rsid w:val="00E5397D"/>
    <w:rsid w:val="00E56516"/>
    <w:rsid w:val="00E61B5E"/>
    <w:rsid w:val="00E66BA5"/>
    <w:rsid w:val="00E80E40"/>
    <w:rsid w:val="00E83A2D"/>
    <w:rsid w:val="00EA3764"/>
    <w:rsid w:val="00EA76E4"/>
    <w:rsid w:val="00EE0AAB"/>
    <w:rsid w:val="00EE303D"/>
    <w:rsid w:val="00EE4049"/>
    <w:rsid w:val="00EF3118"/>
    <w:rsid w:val="00F25126"/>
    <w:rsid w:val="00F35F55"/>
    <w:rsid w:val="00F567A6"/>
    <w:rsid w:val="00F57776"/>
    <w:rsid w:val="00F81F7F"/>
    <w:rsid w:val="00F92534"/>
    <w:rsid w:val="00FA231D"/>
    <w:rsid w:val="00FA380A"/>
    <w:rsid w:val="00FB29AA"/>
    <w:rsid w:val="00FC1A96"/>
    <w:rsid w:val="00FC1EBC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96354"/>
  <w14:defaultImageDpi w14:val="300"/>
  <w15:docId w15:val="{E9FCDB7B-A589-6348-AC8F-0BFD45EA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B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1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5126"/>
  </w:style>
  <w:style w:type="paragraph" w:styleId="Footer">
    <w:name w:val="footer"/>
    <w:basedOn w:val="Normal"/>
    <w:link w:val="FooterChar"/>
    <w:uiPriority w:val="99"/>
    <w:unhideWhenUsed/>
    <w:rsid w:val="00F251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5126"/>
  </w:style>
  <w:style w:type="paragraph" w:customStyle="1" w:styleId="NoteLevel11">
    <w:name w:val="Note Level 11"/>
    <w:basedOn w:val="Normal"/>
    <w:uiPriority w:val="99"/>
    <w:unhideWhenUsed/>
    <w:rsid w:val="00F25126"/>
    <w:pPr>
      <w:keepNext/>
      <w:tabs>
        <w:tab w:val="num" w:pos="0"/>
      </w:tabs>
      <w:contextualSpacing/>
      <w:outlineLvl w:val="0"/>
    </w:pPr>
    <w:rPr>
      <w:rFonts w:ascii="Verdana" w:eastAsiaTheme="minorEastAsia" w:hAnsi="Verdana" w:cstheme="minorBidi"/>
    </w:rPr>
  </w:style>
  <w:style w:type="paragraph" w:styleId="ListParagraph">
    <w:name w:val="List Paragraph"/>
    <w:basedOn w:val="Normal"/>
    <w:uiPriority w:val="34"/>
    <w:qFormat/>
    <w:rsid w:val="0013553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135530"/>
  </w:style>
  <w:style w:type="character" w:styleId="FollowedHyperlink">
    <w:name w:val="FollowedHyperlink"/>
    <w:basedOn w:val="DefaultParagraphFont"/>
    <w:uiPriority w:val="99"/>
    <w:semiHidden/>
    <w:unhideWhenUsed/>
    <w:rsid w:val="00257C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B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97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9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9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148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C2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eecc.org/2-28-19-coordinating-committee-mtg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3</cp:revision>
  <dcterms:created xsi:type="dcterms:W3CDTF">2019-03-25T22:48:00Z</dcterms:created>
  <dcterms:modified xsi:type="dcterms:W3CDTF">2019-03-25T22:48:00Z</dcterms:modified>
</cp:coreProperties>
</file>