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3A1DB" w14:textId="4F5ED865" w:rsidR="00BF481D" w:rsidRPr="00BD1D99" w:rsidRDefault="00BF481D" w:rsidP="00BD1D99">
      <w:pPr>
        <w:spacing w:line="276" w:lineRule="auto"/>
        <w:rPr>
          <w:rFonts w:ascii="Calibri" w:hAnsi="Calibri" w:cs="Calibri"/>
          <w:b/>
          <w:bCs/>
          <w:sz w:val="48"/>
          <w:szCs w:val="48"/>
        </w:rPr>
      </w:pPr>
    </w:p>
    <w:p w14:paraId="54BE8C27" w14:textId="77777777" w:rsidR="00BF481D" w:rsidRPr="00BD1D99" w:rsidRDefault="00BF481D" w:rsidP="00BD1D99">
      <w:pPr>
        <w:spacing w:line="276" w:lineRule="auto"/>
        <w:rPr>
          <w:rFonts w:ascii="Calibri" w:hAnsi="Calibri" w:cs="Calibri"/>
          <w:b/>
          <w:bCs/>
          <w:sz w:val="48"/>
          <w:szCs w:val="48"/>
        </w:rPr>
      </w:pPr>
    </w:p>
    <w:p w14:paraId="2D138671" w14:textId="77777777" w:rsidR="00BF481D" w:rsidRPr="00BD1D99" w:rsidRDefault="00BF481D" w:rsidP="00BD1D99">
      <w:pPr>
        <w:spacing w:line="276" w:lineRule="auto"/>
        <w:rPr>
          <w:rFonts w:ascii="Calibri" w:hAnsi="Calibri" w:cs="Calibri"/>
          <w:b/>
          <w:bCs/>
          <w:sz w:val="48"/>
          <w:szCs w:val="48"/>
        </w:rPr>
      </w:pPr>
    </w:p>
    <w:p w14:paraId="61196175" w14:textId="4DDCECC5" w:rsidR="00BF481D" w:rsidRPr="00BD1D99" w:rsidRDefault="00BF481D" w:rsidP="00BD1D99">
      <w:pPr>
        <w:spacing w:line="276" w:lineRule="auto"/>
        <w:rPr>
          <w:rFonts w:ascii="Calibri" w:hAnsi="Calibri" w:cs="Calibri"/>
          <w:sz w:val="60"/>
          <w:szCs w:val="60"/>
        </w:rPr>
      </w:pPr>
      <w:r w:rsidRPr="00BD1D99">
        <w:rPr>
          <w:rFonts w:ascii="Calibri" w:hAnsi="Calibri" w:cs="Calibri"/>
          <w:sz w:val="60"/>
          <w:szCs w:val="60"/>
        </w:rPr>
        <w:t xml:space="preserve">CAEECC-Hosted </w:t>
      </w:r>
      <w:r w:rsidR="00A747C8" w:rsidRPr="00BD1D99">
        <w:rPr>
          <w:rFonts w:ascii="Calibri" w:hAnsi="Calibri" w:cs="Calibri"/>
          <w:sz w:val="60"/>
          <w:szCs w:val="60"/>
        </w:rPr>
        <w:t>Equity</w:t>
      </w:r>
      <w:r w:rsidRPr="00BD1D99">
        <w:rPr>
          <w:rFonts w:ascii="Calibri" w:hAnsi="Calibri" w:cs="Calibri"/>
          <w:sz w:val="60"/>
          <w:szCs w:val="60"/>
        </w:rPr>
        <w:t xml:space="preserve"> Metrics Working Group</w:t>
      </w:r>
    </w:p>
    <w:p w14:paraId="25BCBF7D" w14:textId="77777777" w:rsidR="00BF481D" w:rsidRPr="00BD1D99" w:rsidRDefault="00BF481D" w:rsidP="00BD1D99">
      <w:pPr>
        <w:spacing w:line="276" w:lineRule="auto"/>
        <w:rPr>
          <w:rFonts w:ascii="Calibri" w:hAnsi="Calibri" w:cs="Calibri"/>
          <w:sz w:val="60"/>
          <w:szCs w:val="60"/>
        </w:rPr>
      </w:pPr>
    </w:p>
    <w:p w14:paraId="1F391410" w14:textId="3E34638C" w:rsidR="00BF481D" w:rsidRPr="00BD1D99" w:rsidRDefault="00BF481D" w:rsidP="00BD1D99">
      <w:pPr>
        <w:spacing w:line="276" w:lineRule="auto"/>
        <w:rPr>
          <w:rFonts w:ascii="Calibri" w:hAnsi="Calibri" w:cs="Calibri"/>
          <w:b/>
          <w:bCs/>
          <w:sz w:val="48"/>
          <w:szCs w:val="48"/>
        </w:rPr>
      </w:pPr>
      <w:r w:rsidRPr="00BD1D99">
        <w:rPr>
          <w:rFonts w:ascii="Calibri" w:hAnsi="Calibri" w:cs="Calibri"/>
          <w:sz w:val="60"/>
          <w:szCs w:val="60"/>
        </w:rPr>
        <w:t>Report and Recommendations to the California Public Utilities Commission</w:t>
      </w:r>
      <w:r w:rsidR="00133A33" w:rsidRPr="00BD1D99">
        <w:rPr>
          <w:rFonts w:ascii="Calibri" w:hAnsi="Calibri" w:cs="Calibri"/>
          <w:sz w:val="60"/>
          <w:szCs w:val="60"/>
        </w:rPr>
        <w:t xml:space="preserve"> and the Energy Efficiency Program Administrators</w:t>
      </w:r>
    </w:p>
    <w:p w14:paraId="6BC37F4E" w14:textId="77777777" w:rsidR="00BF481D" w:rsidRPr="00BD1D99" w:rsidRDefault="00BF481D" w:rsidP="00BD1D99">
      <w:pPr>
        <w:spacing w:line="276" w:lineRule="auto"/>
        <w:rPr>
          <w:rFonts w:ascii="Calibri" w:hAnsi="Calibri" w:cs="Calibri"/>
          <w:b/>
          <w:bCs/>
          <w:sz w:val="48"/>
          <w:szCs w:val="48"/>
        </w:rPr>
      </w:pPr>
    </w:p>
    <w:p w14:paraId="45F7B6D7" w14:textId="77777777" w:rsidR="00BF481D" w:rsidRPr="00BD1D99" w:rsidRDefault="00BF481D" w:rsidP="00BD1D99">
      <w:pPr>
        <w:spacing w:line="276" w:lineRule="auto"/>
        <w:rPr>
          <w:rFonts w:ascii="Calibri" w:hAnsi="Calibri" w:cs="Calibri"/>
          <w:b/>
          <w:bCs/>
          <w:sz w:val="48"/>
          <w:szCs w:val="48"/>
        </w:rPr>
      </w:pPr>
    </w:p>
    <w:p w14:paraId="4B2E3856" w14:textId="612C9A8A" w:rsidR="00BF481D" w:rsidRPr="00BD1D99" w:rsidRDefault="00384B11" w:rsidP="00BD1D99">
      <w:pPr>
        <w:spacing w:line="276" w:lineRule="auto"/>
        <w:rPr>
          <w:rFonts w:ascii="Calibri" w:hAnsi="Calibri" w:cs="Calibri"/>
          <w:b/>
          <w:bCs/>
          <w:sz w:val="48"/>
          <w:szCs w:val="48"/>
        </w:rPr>
      </w:pPr>
      <w:r>
        <w:rPr>
          <w:rFonts w:ascii="Calibri" w:hAnsi="Calibri" w:cs="Calibri"/>
          <w:b/>
          <w:bCs/>
          <w:sz w:val="48"/>
          <w:szCs w:val="48"/>
        </w:rPr>
        <w:t xml:space="preserve">FINAL </w:t>
      </w:r>
      <w:r w:rsidR="00BF481D" w:rsidRPr="00BD1D99">
        <w:rPr>
          <w:rFonts w:ascii="Calibri" w:hAnsi="Calibri" w:cs="Calibri"/>
          <w:b/>
          <w:bCs/>
          <w:sz w:val="48"/>
          <w:szCs w:val="48"/>
        </w:rPr>
        <w:t>REPORT</w:t>
      </w:r>
    </w:p>
    <w:p w14:paraId="47341A1A" w14:textId="5CD933D4" w:rsidR="00BF481D" w:rsidRPr="00BD1D99" w:rsidRDefault="00604221" w:rsidP="00BD1D99">
      <w:pPr>
        <w:spacing w:line="276" w:lineRule="auto"/>
        <w:rPr>
          <w:rFonts w:ascii="Calibri" w:hAnsi="Calibri" w:cs="Calibri"/>
          <w:sz w:val="48"/>
          <w:szCs w:val="48"/>
        </w:rPr>
      </w:pPr>
      <w:r w:rsidRPr="00381DD8">
        <w:rPr>
          <w:rFonts w:ascii="Calibri" w:hAnsi="Calibri" w:cs="Calibri"/>
          <w:sz w:val="48"/>
          <w:szCs w:val="48"/>
        </w:rPr>
        <w:t xml:space="preserve">October </w:t>
      </w:r>
      <w:r w:rsidR="00C929BF" w:rsidRPr="00381DD8">
        <w:rPr>
          <w:rFonts w:ascii="Calibri" w:hAnsi="Calibri" w:cs="Calibri"/>
          <w:sz w:val="48"/>
          <w:szCs w:val="48"/>
        </w:rPr>
        <w:t>20</w:t>
      </w:r>
      <w:r w:rsidR="00BF481D" w:rsidRPr="00381DD8">
        <w:rPr>
          <w:rFonts w:ascii="Calibri" w:hAnsi="Calibri" w:cs="Calibri"/>
          <w:sz w:val="48"/>
          <w:szCs w:val="48"/>
        </w:rPr>
        <w:t>, 2021</w:t>
      </w:r>
    </w:p>
    <w:sdt>
      <w:sdtPr>
        <w:rPr>
          <w:rFonts w:ascii="Calibri" w:eastAsiaTheme="minorHAnsi" w:hAnsi="Calibri" w:cs="Calibri"/>
          <w:color w:val="auto"/>
          <w:sz w:val="24"/>
          <w:szCs w:val="24"/>
        </w:rPr>
        <w:id w:val="1588578857"/>
        <w:docPartObj>
          <w:docPartGallery w:val="Table of Contents"/>
          <w:docPartUnique/>
        </w:docPartObj>
      </w:sdtPr>
      <w:sdtEndPr>
        <w:rPr>
          <w:rFonts w:eastAsia="Times New Roman"/>
          <w:b/>
          <w:bCs/>
          <w:noProof/>
        </w:rPr>
      </w:sdtEndPr>
      <w:sdtContent>
        <w:p w14:paraId="6679B5D7" w14:textId="77777777" w:rsidR="00575EBC" w:rsidRPr="00BD1D99" w:rsidRDefault="00575EBC" w:rsidP="00BD1D99">
          <w:pPr>
            <w:pStyle w:val="TOCHeading"/>
            <w:spacing w:line="276" w:lineRule="auto"/>
            <w:rPr>
              <w:rFonts w:ascii="Calibri" w:eastAsiaTheme="minorHAnsi" w:hAnsi="Calibri" w:cs="Calibri"/>
              <w:color w:val="auto"/>
              <w:sz w:val="24"/>
              <w:szCs w:val="24"/>
            </w:rPr>
          </w:pPr>
        </w:p>
        <w:p w14:paraId="0B7943B6" w14:textId="77777777" w:rsidR="00575EBC" w:rsidRPr="00BD1D99" w:rsidRDefault="00575EBC" w:rsidP="00BD1D99">
          <w:pPr>
            <w:spacing w:line="276" w:lineRule="auto"/>
            <w:rPr>
              <w:rFonts w:ascii="Calibri" w:eastAsiaTheme="minorHAnsi" w:hAnsi="Calibri" w:cs="Calibri"/>
            </w:rPr>
          </w:pPr>
          <w:r w:rsidRPr="00BD1D99">
            <w:rPr>
              <w:rFonts w:ascii="Calibri" w:eastAsiaTheme="minorHAnsi" w:hAnsi="Calibri" w:cs="Calibri"/>
            </w:rPr>
            <w:br w:type="page"/>
          </w:r>
        </w:p>
        <w:p w14:paraId="492C0231" w14:textId="6641F5A2" w:rsidR="00756006" w:rsidRPr="00BD1D99" w:rsidRDefault="00756006" w:rsidP="00BD1D99">
          <w:pPr>
            <w:pStyle w:val="TOCHeading"/>
            <w:spacing w:line="276" w:lineRule="auto"/>
            <w:rPr>
              <w:rFonts w:ascii="Calibri" w:hAnsi="Calibri" w:cs="Calibri"/>
            </w:rPr>
          </w:pPr>
          <w:r w:rsidRPr="00BD1D99">
            <w:rPr>
              <w:rFonts w:ascii="Calibri" w:hAnsi="Calibri" w:cs="Calibri"/>
            </w:rPr>
            <w:lastRenderedPageBreak/>
            <w:t>Table of Contents</w:t>
          </w:r>
        </w:p>
        <w:p w14:paraId="6C72C55E" w14:textId="68DDD3EF" w:rsidR="00582F95" w:rsidRDefault="00756006">
          <w:pPr>
            <w:pStyle w:val="TOC1"/>
            <w:rPr>
              <w:rFonts w:eastAsiaTheme="minorEastAsia" w:cstheme="minorBidi"/>
              <w:noProof/>
            </w:rPr>
          </w:pPr>
          <w:r w:rsidRPr="00BD1D99">
            <w:rPr>
              <w:rFonts w:ascii="Calibri" w:hAnsi="Calibri" w:cs="Calibri"/>
            </w:rPr>
            <w:fldChar w:fldCharType="begin"/>
          </w:r>
          <w:r w:rsidRPr="00BD1D99">
            <w:rPr>
              <w:rFonts w:ascii="Calibri" w:hAnsi="Calibri" w:cs="Calibri"/>
            </w:rPr>
            <w:instrText xml:space="preserve"> TOC \o "1-3" \h \z \u </w:instrText>
          </w:r>
          <w:r w:rsidRPr="00BD1D99">
            <w:rPr>
              <w:rFonts w:ascii="Calibri" w:hAnsi="Calibri" w:cs="Calibri"/>
            </w:rPr>
            <w:fldChar w:fldCharType="separate"/>
          </w:r>
          <w:hyperlink w:anchor="_Toc85613278" w:history="1">
            <w:r w:rsidR="00582F95" w:rsidRPr="00A0736A">
              <w:rPr>
                <w:rStyle w:val="Hyperlink"/>
                <w:rFonts w:ascii="Calibri" w:hAnsi="Calibri" w:cs="Calibri"/>
                <w:noProof/>
              </w:rPr>
              <w:t>Section 1: Introduction and Overview</w:t>
            </w:r>
            <w:r w:rsidR="00582F95">
              <w:rPr>
                <w:noProof/>
                <w:webHidden/>
              </w:rPr>
              <w:tab/>
            </w:r>
            <w:r w:rsidR="00582F95">
              <w:rPr>
                <w:noProof/>
                <w:webHidden/>
              </w:rPr>
              <w:fldChar w:fldCharType="begin"/>
            </w:r>
            <w:r w:rsidR="00582F95">
              <w:rPr>
                <w:noProof/>
                <w:webHidden/>
              </w:rPr>
              <w:instrText xml:space="preserve"> PAGEREF _Toc85613278 \h </w:instrText>
            </w:r>
            <w:r w:rsidR="00582F95">
              <w:rPr>
                <w:noProof/>
                <w:webHidden/>
              </w:rPr>
            </w:r>
            <w:r w:rsidR="00582F95">
              <w:rPr>
                <w:noProof/>
                <w:webHidden/>
              </w:rPr>
              <w:fldChar w:fldCharType="separate"/>
            </w:r>
            <w:r w:rsidR="00582F95">
              <w:rPr>
                <w:noProof/>
                <w:webHidden/>
              </w:rPr>
              <w:t>5</w:t>
            </w:r>
            <w:r w:rsidR="00582F95">
              <w:rPr>
                <w:noProof/>
                <w:webHidden/>
              </w:rPr>
              <w:fldChar w:fldCharType="end"/>
            </w:r>
          </w:hyperlink>
        </w:p>
        <w:p w14:paraId="0A0A87F6" w14:textId="3FF5B66B" w:rsidR="00582F95" w:rsidRDefault="003D2567">
          <w:pPr>
            <w:pStyle w:val="TOC2"/>
            <w:tabs>
              <w:tab w:val="right" w:leader="dot" w:pos="9350"/>
            </w:tabs>
            <w:rPr>
              <w:rFonts w:eastAsiaTheme="minorEastAsia" w:cstheme="minorBidi"/>
              <w:b w:val="0"/>
              <w:bCs w:val="0"/>
              <w:noProof/>
              <w:sz w:val="24"/>
              <w:szCs w:val="24"/>
            </w:rPr>
          </w:pPr>
          <w:hyperlink w:anchor="_Toc85613279" w:history="1">
            <w:r w:rsidR="00582F95" w:rsidRPr="00A0736A">
              <w:rPr>
                <w:rStyle w:val="Hyperlink"/>
                <w:noProof/>
              </w:rPr>
              <w:t>1.1 Working Group Charge and Overview</w:t>
            </w:r>
            <w:r w:rsidR="00582F95">
              <w:rPr>
                <w:noProof/>
                <w:webHidden/>
              </w:rPr>
              <w:tab/>
            </w:r>
            <w:r w:rsidR="00582F95">
              <w:rPr>
                <w:noProof/>
                <w:webHidden/>
              </w:rPr>
              <w:fldChar w:fldCharType="begin"/>
            </w:r>
            <w:r w:rsidR="00582F95">
              <w:rPr>
                <w:noProof/>
                <w:webHidden/>
              </w:rPr>
              <w:instrText xml:space="preserve"> PAGEREF _Toc85613279 \h </w:instrText>
            </w:r>
            <w:r w:rsidR="00582F95">
              <w:rPr>
                <w:noProof/>
                <w:webHidden/>
              </w:rPr>
            </w:r>
            <w:r w:rsidR="00582F95">
              <w:rPr>
                <w:noProof/>
                <w:webHidden/>
              </w:rPr>
              <w:fldChar w:fldCharType="separate"/>
            </w:r>
            <w:r w:rsidR="00582F95">
              <w:rPr>
                <w:noProof/>
                <w:webHidden/>
              </w:rPr>
              <w:t>5</w:t>
            </w:r>
            <w:r w:rsidR="00582F95">
              <w:rPr>
                <w:noProof/>
                <w:webHidden/>
              </w:rPr>
              <w:fldChar w:fldCharType="end"/>
            </w:r>
          </w:hyperlink>
        </w:p>
        <w:p w14:paraId="510E8F8E" w14:textId="25F80940" w:rsidR="00582F95" w:rsidRDefault="003D2567">
          <w:pPr>
            <w:pStyle w:val="TOC2"/>
            <w:tabs>
              <w:tab w:val="right" w:leader="dot" w:pos="9350"/>
            </w:tabs>
            <w:rPr>
              <w:rFonts w:eastAsiaTheme="minorEastAsia" w:cstheme="minorBidi"/>
              <w:b w:val="0"/>
              <w:bCs w:val="0"/>
              <w:noProof/>
              <w:sz w:val="24"/>
              <w:szCs w:val="24"/>
            </w:rPr>
          </w:pPr>
          <w:hyperlink w:anchor="_Toc85613280" w:history="1">
            <w:r w:rsidR="00582F95" w:rsidRPr="00A0736A">
              <w:rPr>
                <w:rStyle w:val="Hyperlink"/>
                <w:noProof/>
              </w:rPr>
              <w:t>1.2 Background on Newly Created Equity Segment</w:t>
            </w:r>
            <w:r w:rsidR="00582F95">
              <w:rPr>
                <w:noProof/>
                <w:webHidden/>
              </w:rPr>
              <w:tab/>
            </w:r>
            <w:r w:rsidR="00582F95">
              <w:rPr>
                <w:noProof/>
                <w:webHidden/>
              </w:rPr>
              <w:fldChar w:fldCharType="begin"/>
            </w:r>
            <w:r w:rsidR="00582F95">
              <w:rPr>
                <w:noProof/>
                <w:webHidden/>
              </w:rPr>
              <w:instrText xml:space="preserve"> PAGEREF _Toc85613280 \h </w:instrText>
            </w:r>
            <w:r w:rsidR="00582F95">
              <w:rPr>
                <w:noProof/>
                <w:webHidden/>
              </w:rPr>
            </w:r>
            <w:r w:rsidR="00582F95">
              <w:rPr>
                <w:noProof/>
                <w:webHidden/>
              </w:rPr>
              <w:fldChar w:fldCharType="separate"/>
            </w:r>
            <w:r w:rsidR="00582F95">
              <w:rPr>
                <w:noProof/>
                <w:webHidden/>
              </w:rPr>
              <w:t>6</w:t>
            </w:r>
            <w:r w:rsidR="00582F95">
              <w:rPr>
                <w:noProof/>
                <w:webHidden/>
              </w:rPr>
              <w:fldChar w:fldCharType="end"/>
            </w:r>
          </w:hyperlink>
        </w:p>
        <w:p w14:paraId="36A6145A" w14:textId="697323C7" w:rsidR="00582F95" w:rsidRDefault="003D2567">
          <w:pPr>
            <w:pStyle w:val="TOC2"/>
            <w:tabs>
              <w:tab w:val="right" w:leader="dot" w:pos="9350"/>
            </w:tabs>
            <w:rPr>
              <w:rFonts w:eastAsiaTheme="minorEastAsia" w:cstheme="minorBidi"/>
              <w:b w:val="0"/>
              <w:bCs w:val="0"/>
              <w:noProof/>
              <w:sz w:val="24"/>
              <w:szCs w:val="24"/>
            </w:rPr>
          </w:pPr>
          <w:hyperlink w:anchor="_Toc85613281" w:history="1">
            <w:r w:rsidR="00582F95" w:rsidRPr="00A0736A">
              <w:rPr>
                <w:rStyle w:val="Hyperlink"/>
                <w:noProof/>
              </w:rPr>
              <w:t>1.3 Report Outline</w:t>
            </w:r>
            <w:r w:rsidR="00582F95">
              <w:rPr>
                <w:noProof/>
                <w:webHidden/>
              </w:rPr>
              <w:tab/>
            </w:r>
            <w:r w:rsidR="00582F95">
              <w:rPr>
                <w:noProof/>
                <w:webHidden/>
              </w:rPr>
              <w:fldChar w:fldCharType="begin"/>
            </w:r>
            <w:r w:rsidR="00582F95">
              <w:rPr>
                <w:noProof/>
                <w:webHidden/>
              </w:rPr>
              <w:instrText xml:space="preserve"> PAGEREF _Toc85613281 \h </w:instrText>
            </w:r>
            <w:r w:rsidR="00582F95">
              <w:rPr>
                <w:noProof/>
                <w:webHidden/>
              </w:rPr>
            </w:r>
            <w:r w:rsidR="00582F95">
              <w:rPr>
                <w:noProof/>
                <w:webHidden/>
              </w:rPr>
              <w:fldChar w:fldCharType="separate"/>
            </w:r>
            <w:r w:rsidR="00582F95">
              <w:rPr>
                <w:noProof/>
                <w:webHidden/>
              </w:rPr>
              <w:t>7</w:t>
            </w:r>
            <w:r w:rsidR="00582F95">
              <w:rPr>
                <w:noProof/>
                <w:webHidden/>
              </w:rPr>
              <w:fldChar w:fldCharType="end"/>
            </w:r>
          </w:hyperlink>
        </w:p>
        <w:p w14:paraId="1C678B67" w14:textId="3E3CFD21" w:rsidR="00582F95" w:rsidRDefault="003D2567">
          <w:pPr>
            <w:pStyle w:val="TOC2"/>
            <w:tabs>
              <w:tab w:val="right" w:leader="dot" w:pos="9350"/>
            </w:tabs>
            <w:rPr>
              <w:rFonts w:eastAsiaTheme="minorEastAsia" w:cstheme="minorBidi"/>
              <w:b w:val="0"/>
              <w:bCs w:val="0"/>
              <w:noProof/>
              <w:sz w:val="24"/>
              <w:szCs w:val="24"/>
            </w:rPr>
          </w:pPr>
          <w:hyperlink w:anchor="_Toc85613282" w:history="1">
            <w:r w:rsidR="00582F95" w:rsidRPr="00A0736A">
              <w:rPr>
                <w:rStyle w:val="Hyperlink"/>
                <w:noProof/>
              </w:rPr>
              <w:t>1.4 Structure of Objective, Metrics, Targets, and Indicators</w:t>
            </w:r>
            <w:r w:rsidR="00582F95">
              <w:rPr>
                <w:noProof/>
                <w:webHidden/>
              </w:rPr>
              <w:tab/>
            </w:r>
            <w:r w:rsidR="00582F95">
              <w:rPr>
                <w:noProof/>
                <w:webHidden/>
              </w:rPr>
              <w:fldChar w:fldCharType="begin"/>
            </w:r>
            <w:r w:rsidR="00582F95">
              <w:rPr>
                <w:noProof/>
                <w:webHidden/>
              </w:rPr>
              <w:instrText xml:space="preserve"> PAGEREF _Toc85613282 \h </w:instrText>
            </w:r>
            <w:r w:rsidR="00582F95">
              <w:rPr>
                <w:noProof/>
                <w:webHidden/>
              </w:rPr>
            </w:r>
            <w:r w:rsidR="00582F95">
              <w:rPr>
                <w:noProof/>
                <w:webHidden/>
              </w:rPr>
              <w:fldChar w:fldCharType="separate"/>
            </w:r>
            <w:r w:rsidR="00582F95">
              <w:rPr>
                <w:noProof/>
                <w:webHidden/>
              </w:rPr>
              <w:t>7</w:t>
            </w:r>
            <w:r w:rsidR="00582F95">
              <w:rPr>
                <w:noProof/>
                <w:webHidden/>
              </w:rPr>
              <w:fldChar w:fldCharType="end"/>
            </w:r>
          </w:hyperlink>
        </w:p>
        <w:p w14:paraId="4B5BA591" w14:textId="3A18412E" w:rsidR="00582F95" w:rsidRDefault="003D2567">
          <w:pPr>
            <w:pStyle w:val="TOC2"/>
            <w:tabs>
              <w:tab w:val="right" w:leader="dot" w:pos="9350"/>
            </w:tabs>
            <w:rPr>
              <w:rFonts w:eastAsiaTheme="minorEastAsia" w:cstheme="minorBidi"/>
              <w:b w:val="0"/>
              <w:bCs w:val="0"/>
              <w:noProof/>
              <w:sz w:val="24"/>
              <w:szCs w:val="24"/>
            </w:rPr>
          </w:pPr>
          <w:hyperlink w:anchor="_Toc85613283" w:history="1">
            <w:r w:rsidR="00582F95" w:rsidRPr="00A0736A">
              <w:rPr>
                <w:rStyle w:val="Hyperlink"/>
                <w:noProof/>
              </w:rPr>
              <w:t>1.5 Approach to Seeking Consensus</w:t>
            </w:r>
            <w:r w:rsidR="00582F95">
              <w:rPr>
                <w:noProof/>
                <w:webHidden/>
              </w:rPr>
              <w:tab/>
            </w:r>
            <w:r w:rsidR="00582F95">
              <w:rPr>
                <w:noProof/>
                <w:webHidden/>
              </w:rPr>
              <w:fldChar w:fldCharType="begin"/>
            </w:r>
            <w:r w:rsidR="00582F95">
              <w:rPr>
                <w:noProof/>
                <w:webHidden/>
              </w:rPr>
              <w:instrText xml:space="preserve"> PAGEREF _Toc85613283 \h </w:instrText>
            </w:r>
            <w:r w:rsidR="00582F95">
              <w:rPr>
                <w:noProof/>
                <w:webHidden/>
              </w:rPr>
            </w:r>
            <w:r w:rsidR="00582F95">
              <w:rPr>
                <w:noProof/>
                <w:webHidden/>
              </w:rPr>
              <w:fldChar w:fldCharType="separate"/>
            </w:r>
            <w:r w:rsidR="00582F95">
              <w:rPr>
                <w:noProof/>
                <w:webHidden/>
              </w:rPr>
              <w:t>8</w:t>
            </w:r>
            <w:r w:rsidR="00582F95">
              <w:rPr>
                <w:noProof/>
                <w:webHidden/>
              </w:rPr>
              <w:fldChar w:fldCharType="end"/>
            </w:r>
          </w:hyperlink>
        </w:p>
        <w:p w14:paraId="15EB7987" w14:textId="64DD32A2" w:rsidR="00582F95" w:rsidRDefault="003D2567">
          <w:pPr>
            <w:pStyle w:val="TOC2"/>
            <w:tabs>
              <w:tab w:val="right" w:leader="dot" w:pos="9350"/>
            </w:tabs>
            <w:rPr>
              <w:rFonts w:eastAsiaTheme="minorEastAsia" w:cstheme="minorBidi"/>
              <w:b w:val="0"/>
              <w:bCs w:val="0"/>
              <w:noProof/>
              <w:sz w:val="24"/>
              <w:szCs w:val="24"/>
            </w:rPr>
          </w:pPr>
          <w:hyperlink w:anchor="_Toc85613284" w:history="1">
            <w:r w:rsidR="00582F95" w:rsidRPr="00A0736A">
              <w:rPr>
                <w:rStyle w:val="Hyperlink"/>
                <w:noProof/>
              </w:rPr>
              <w:t>1.6 Working Group Members</w:t>
            </w:r>
            <w:r w:rsidR="00582F95">
              <w:rPr>
                <w:noProof/>
                <w:webHidden/>
              </w:rPr>
              <w:tab/>
            </w:r>
            <w:r w:rsidR="00582F95">
              <w:rPr>
                <w:noProof/>
                <w:webHidden/>
              </w:rPr>
              <w:fldChar w:fldCharType="begin"/>
            </w:r>
            <w:r w:rsidR="00582F95">
              <w:rPr>
                <w:noProof/>
                <w:webHidden/>
              </w:rPr>
              <w:instrText xml:space="preserve"> PAGEREF _Toc85613284 \h </w:instrText>
            </w:r>
            <w:r w:rsidR="00582F95">
              <w:rPr>
                <w:noProof/>
                <w:webHidden/>
              </w:rPr>
            </w:r>
            <w:r w:rsidR="00582F95">
              <w:rPr>
                <w:noProof/>
                <w:webHidden/>
              </w:rPr>
              <w:fldChar w:fldCharType="separate"/>
            </w:r>
            <w:r w:rsidR="00582F95">
              <w:rPr>
                <w:noProof/>
                <w:webHidden/>
              </w:rPr>
              <w:t>8</w:t>
            </w:r>
            <w:r w:rsidR="00582F95">
              <w:rPr>
                <w:noProof/>
                <w:webHidden/>
              </w:rPr>
              <w:fldChar w:fldCharType="end"/>
            </w:r>
          </w:hyperlink>
        </w:p>
        <w:p w14:paraId="05A1FF52" w14:textId="49C62548" w:rsidR="00582F95" w:rsidRDefault="003D2567">
          <w:pPr>
            <w:pStyle w:val="TOC1"/>
            <w:rPr>
              <w:rFonts w:eastAsiaTheme="minorEastAsia" w:cstheme="minorBidi"/>
              <w:noProof/>
            </w:rPr>
          </w:pPr>
          <w:hyperlink w:anchor="_Toc85613285" w:history="1">
            <w:r w:rsidR="00582F95" w:rsidRPr="00A0736A">
              <w:rPr>
                <w:rStyle w:val="Hyperlink"/>
                <w:rFonts w:ascii="Calibri" w:hAnsi="Calibri" w:cs="Calibri"/>
                <w:noProof/>
              </w:rPr>
              <w:t>Section 2: Principles</w:t>
            </w:r>
            <w:r w:rsidR="00582F95">
              <w:rPr>
                <w:noProof/>
                <w:webHidden/>
              </w:rPr>
              <w:tab/>
            </w:r>
            <w:r w:rsidR="00582F95">
              <w:rPr>
                <w:noProof/>
                <w:webHidden/>
              </w:rPr>
              <w:fldChar w:fldCharType="begin"/>
            </w:r>
            <w:r w:rsidR="00582F95">
              <w:rPr>
                <w:noProof/>
                <w:webHidden/>
              </w:rPr>
              <w:instrText xml:space="preserve"> PAGEREF _Toc85613285 \h </w:instrText>
            </w:r>
            <w:r w:rsidR="00582F95">
              <w:rPr>
                <w:noProof/>
                <w:webHidden/>
              </w:rPr>
            </w:r>
            <w:r w:rsidR="00582F95">
              <w:rPr>
                <w:noProof/>
                <w:webHidden/>
              </w:rPr>
              <w:fldChar w:fldCharType="separate"/>
            </w:r>
            <w:r w:rsidR="00582F95">
              <w:rPr>
                <w:noProof/>
                <w:webHidden/>
              </w:rPr>
              <w:t>10</w:t>
            </w:r>
            <w:r w:rsidR="00582F95">
              <w:rPr>
                <w:noProof/>
                <w:webHidden/>
              </w:rPr>
              <w:fldChar w:fldCharType="end"/>
            </w:r>
          </w:hyperlink>
        </w:p>
        <w:p w14:paraId="32CCA702" w14:textId="44BA1980" w:rsidR="00582F95" w:rsidRDefault="003D2567">
          <w:pPr>
            <w:pStyle w:val="TOC2"/>
            <w:tabs>
              <w:tab w:val="right" w:leader="dot" w:pos="9350"/>
            </w:tabs>
            <w:rPr>
              <w:rFonts w:eastAsiaTheme="minorEastAsia" w:cstheme="minorBidi"/>
              <w:b w:val="0"/>
              <w:bCs w:val="0"/>
              <w:noProof/>
              <w:sz w:val="24"/>
              <w:szCs w:val="24"/>
            </w:rPr>
          </w:pPr>
          <w:hyperlink w:anchor="_Toc85613286" w:history="1">
            <w:r w:rsidR="00582F95" w:rsidRPr="00A0736A">
              <w:rPr>
                <w:rStyle w:val="Hyperlink"/>
                <w:noProof/>
              </w:rPr>
              <w:t>2.1 Background</w:t>
            </w:r>
            <w:r w:rsidR="00582F95">
              <w:rPr>
                <w:noProof/>
                <w:webHidden/>
              </w:rPr>
              <w:tab/>
            </w:r>
            <w:r w:rsidR="00582F95">
              <w:rPr>
                <w:noProof/>
                <w:webHidden/>
              </w:rPr>
              <w:fldChar w:fldCharType="begin"/>
            </w:r>
            <w:r w:rsidR="00582F95">
              <w:rPr>
                <w:noProof/>
                <w:webHidden/>
              </w:rPr>
              <w:instrText xml:space="preserve"> PAGEREF _Toc85613286 \h </w:instrText>
            </w:r>
            <w:r w:rsidR="00582F95">
              <w:rPr>
                <w:noProof/>
                <w:webHidden/>
              </w:rPr>
            </w:r>
            <w:r w:rsidR="00582F95">
              <w:rPr>
                <w:noProof/>
                <w:webHidden/>
              </w:rPr>
              <w:fldChar w:fldCharType="separate"/>
            </w:r>
            <w:r w:rsidR="00582F95">
              <w:rPr>
                <w:noProof/>
                <w:webHidden/>
              </w:rPr>
              <w:t>10</w:t>
            </w:r>
            <w:r w:rsidR="00582F95">
              <w:rPr>
                <w:noProof/>
                <w:webHidden/>
              </w:rPr>
              <w:fldChar w:fldCharType="end"/>
            </w:r>
          </w:hyperlink>
        </w:p>
        <w:p w14:paraId="702FD6BC" w14:textId="382EE7E6" w:rsidR="00582F95" w:rsidRDefault="003D2567">
          <w:pPr>
            <w:pStyle w:val="TOC2"/>
            <w:tabs>
              <w:tab w:val="right" w:leader="dot" w:pos="9350"/>
            </w:tabs>
            <w:rPr>
              <w:rFonts w:eastAsiaTheme="minorEastAsia" w:cstheme="minorBidi"/>
              <w:b w:val="0"/>
              <w:bCs w:val="0"/>
              <w:noProof/>
              <w:sz w:val="24"/>
              <w:szCs w:val="24"/>
            </w:rPr>
          </w:pPr>
          <w:hyperlink w:anchor="_Toc85613287" w:history="1">
            <w:r w:rsidR="00582F95" w:rsidRPr="00A0736A">
              <w:rPr>
                <w:rStyle w:val="Hyperlink"/>
                <w:noProof/>
              </w:rPr>
              <w:t>2.2 Consensus Principles Recommendations</w:t>
            </w:r>
            <w:r w:rsidR="00582F95">
              <w:rPr>
                <w:noProof/>
                <w:webHidden/>
              </w:rPr>
              <w:tab/>
            </w:r>
            <w:r w:rsidR="00582F95">
              <w:rPr>
                <w:noProof/>
                <w:webHidden/>
              </w:rPr>
              <w:fldChar w:fldCharType="begin"/>
            </w:r>
            <w:r w:rsidR="00582F95">
              <w:rPr>
                <w:noProof/>
                <w:webHidden/>
              </w:rPr>
              <w:instrText xml:space="preserve"> PAGEREF _Toc85613287 \h </w:instrText>
            </w:r>
            <w:r w:rsidR="00582F95">
              <w:rPr>
                <w:noProof/>
                <w:webHidden/>
              </w:rPr>
            </w:r>
            <w:r w:rsidR="00582F95">
              <w:rPr>
                <w:noProof/>
                <w:webHidden/>
              </w:rPr>
              <w:fldChar w:fldCharType="separate"/>
            </w:r>
            <w:r w:rsidR="00582F95">
              <w:rPr>
                <w:noProof/>
                <w:webHidden/>
              </w:rPr>
              <w:t>10</w:t>
            </w:r>
            <w:r w:rsidR="00582F95">
              <w:rPr>
                <w:noProof/>
                <w:webHidden/>
              </w:rPr>
              <w:fldChar w:fldCharType="end"/>
            </w:r>
          </w:hyperlink>
        </w:p>
        <w:p w14:paraId="764DD06C" w14:textId="17AB00A0" w:rsidR="00582F95" w:rsidRDefault="003D2567">
          <w:pPr>
            <w:pStyle w:val="TOC3"/>
            <w:tabs>
              <w:tab w:val="right" w:leader="dot" w:pos="9350"/>
            </w:tabs>
            <w:rPr>
              <w:rFonts w:eastAsiaTheme="minorEastAsia" w:cstheme="minorBidi"/>
              <w:noProof/>
              <w:sz w:val="24"/>
              <w:szCs w:val="24"/>
            </w:rPr>
          </w:pPr>
          <w:hyperlink w:anchor="_Toc85613288" w:history="1">
            <w:r w:rsidR="00582F95" w:rsidRPr="00A0736A">
              <w:rPr>
                <w:rStyle w:val="Hyperlink"/>
                <w:rFonts w:ascii="Calibri" w:hAnsi="Calibri" w:cs="Calibri"/>
                <w:noProof/>
              </w:rPr>
              <w:t>Principle #1: Segment vs. Program</w:t>
            </w:r>
            <w:r w:rsidR="00582F95">
              <w:rPr>
                <w:noProof/>
                <w:webHidden/>
              </w:rPr>
              <w:tab/>
            </w:r>
            <w:r w:rsidR="00582F95">
              <w:rPr>
                <w:noProof/>
                <w:webHidden/>
              </w:rPr>
              <w:fldChar w:fldCharType="begin"/>
            </w:r>
            <w:r w:rsidR="00582F95">
              <w:rPr>
                <w:noProof/>
                <w:webHidden/>
              </w:rPr>
              <w:instrText xml:space="preserve"> PAGEREF _Toc85613288 \h </w:instrText>
            </w:r>
            <w:r w:rsidR="00582F95">
              <w:rPr>
                <w:noProof/>
                <w:webHidden/>
              </w:rPr>
            </w:r>
            <w:r w:rsidR="00582F95">
              <w:rPr>
                <w:noProof/>
                <w:webHidden/>
              </w:rPr>
              <w:fldChar w:fldCharType="separate"/>
            </w:r>
            <w:r w:rsidR="00582F95">
              <w:rPr>
                <w:noProof/>
                <w:webHidden/>
              </w:rPr>
              <w:t>10</w:t>
            </w:r>
            <w:r w:rsidR="00582F95">
              <w:rPr>
                <w:noProof/>
                <w:webHidden/>
              </w:rPr>
              <w:fldChar w:fldCharType="end"/>
            </w:r>
          </w:hyperlink>
        </w:p>
        <w:p w14:paraId="2241AF41" w14:textId="3E92B12B" w:rsidR="00582F95" w:rsidRDefault="003D2567">
          <w:pPr>
            <w:pStyle w:val="TOC3"/>
            <w:tabs>
              <w:tab w:val="right" w:leader="dot" w:pos="9350"/>
            </w:tabs>
            <w:rPr>
              <w:rFonts w:eastAsiaTheme="minorEastAsia" w:cstheme="minorBidi"/>
              <w:noProof/>
              <w:sz w:val="24"/>
              <w:szCs w:val="24"/>
            </w:rPr>
          </w:pPr>
          <w:hyperlink w:anchor="_Toc85613289" w:history="1">
            <w:r w:rsidR="00582F95" w:rsidRPr="00A0736A">
              <w:rPr>
                <w:rStyle w:val="Hyperlink"/>
                <w:rFonts w:ascii="Calibri" w:hAnsi="Calibri" w:cs="Calibri"/>
                <w:noProof/>
              </w:rPr>
              <w:t>Principle #2: Guidelines to Setting Metrics</w:t>
            </w:r>
            <w:r w:rsidR="00582F95">
              <w:rPr>
                <w:noProof/>
                <w:webHidden/>
              </w:rPr>
              <w:tab/>
            </w:r>
            <w:r w:rsidR="00582F95">
              <w:rPr>
                <w:noProof/>
                <w:webHidden/>
              </w:rPr>
              <w:fldChar w:fldCharType="begin"/>
            </w:r>
            <w:r w:rsidR="00582F95">
              <w:rPr>
                <w:noProof/>
                <w:webHidden/>
              </w:rPr>
              <w:instrText xml:space="preserve"> PAGEREF _Toc85613289 \h </w:instrText>
            </w:r>
            <w:r w:rsidR="00582F95">
              <w:rPr>
                <w:noProof/>
                <w:webHidden/>
              </w:rPr>
            </w:r>
            <w:r w:rsidR="00582F95">
              <w:rPr>
                <w:noProof/>
                <w:webHidden/>
              </w:rPr>
              <w:fldChar w:fldCharType="separate"/>
            </w:r>
            <w:r w:rsidR="00582F95">
              <w:rPr>
                <w:noProof/>
                <w:webHidden/>
              </w:rPr>
              <w:t>10</w:t>
            </w:r>
            <w:r w:rsidR="00582F95">
              <w:rPr>
                <w:noProof/>
                <w:webHidden/>
              </w:rPr>
              <w:fldChar w:fldCharType="end"/>
            </w:r>
          </w:hyperlink>
        </w:p>
        <w:p w14:paraId="4CED195E" w14:textId="4A0E84B2" w:rsidR="00582F95" w:rsidRDefault="003D2567">
          <w:pPr>
            <w:pStyle w:val="TOC3"/>
            <w:tabs>
              <w:tab w:val="right" w:leader="dot" w:pos="9350"/>
            </w:tabs>
            <w:rPr>
              <w:rFonts w:eastAsiaTheme="minorEastAsia" w:cstheme="minorBidi"/>
              <w:noProof/>
              <w:sz w:val="24"/>
              <w:szCs w:val="24"/>
            </w:rPr>
          </w:pPr>
          <w:hyperlink w:anchor="_Toc85613290" w:history="1">
            <w:r w:rsidR="00582F95" w:rsidRPr="00A0736A">
              <w:rPr>
                <w:rStyle w:val="Hyperlink"/>
                <w:rFonts w:ascii="Calibri" w:hAnsi="Calibri" w:cs="Calibri"/>
                <w:noProof/>
              </w:rPr>
              <w:t>Principle #3: Program Portfolios</w:t>
            </w:r>
            <w:r w:rsidR="00582F95">
              <w:rPr>
                <w:noProof/>
                <w:webHidden/>
              </w:rPr>
              <w:tab/>
            </w:r>
            <w:r w:rsidR="00582F95">
              <w:rPr>
                <w:noProof/>
                <w:webHidden/>
              </w:rPr>
              <w:fldChar w:fldCharType="begin"/>
            </w:r>
            <w:r w:rsidR="00582F95">
              <w:rPr>
                <w:noProof/>
                <w:webHidden/>
              </w:rPr>
              <w:instrText xml:space="preserve"> PAGEREF _Toc85613290 \h </w:instrText>
            </w:r>
            <w:r w:rsidR="00582F95">
              <w:rPr>
                <w:noProof/>
                <w:webHidden/>
              </w:rPr>
            </w:r>
            <w:r w:rsidR="00582F95">
              <w:rPr>
                <w:noProof/>
                <w:webHidden/>
              </w:rPr>
              <w:fldChar w:fldCharType="separate"/>
            </w:r>
            <w:r w:rsidR="00582F95">
              <w:rPr>
                <w:noProof/>
                <w:webHidden/>
              </w:rPr>
              <w:t>10</w:t>
            </w:r>
            <w:r w:rsidR="00582F95">
              <w:rPr>
                <w:noProof/>
                <w:webHidden/>
              </w:rPr>
              <w:fldChar w:fldCharType="end"/>
            </w:r>
          </w:hyperlink>
        </w:p>
        <w:p w14:paraId="3EF3134D" w14:textId="2FB7F2D9" w:rsidR="00582F95" w:rsidRDefault="003D2567">
          <w:pPr>
            <w:pStyle w:val="TOC3"/>
            <w:tabs>
              <w:tab w:val="right" w:leader="dot" w:pos="9350"/>
            </w:tabs>
            <w:rPr>
              <w:rFonts w:eastAsiaTheme="minorEastAsia" w:cstheme="minorBidi"/>
              <w:noProof/>
              <w:sz w:val="24"/>
              <w:szCs w:val="24"/>
            </w:rPr>
          </w:pPr>
          <w:hyperlink w:anchor="_Toc85613291" w:history="1">
            <w:r w:rsidR="00582F95" w:rsidRPr="00A0736A">
              <w:rPr>
                <w:rStyle w:val="Hyperlink"/>
                <w:rFonts w:ascii="Calibri" w:hAnsi="Calibri" w:cs="Calibri"/>
                <w:noProof/>
              </w:rPr>
              <w:t>Principle #4: Best Practices for Program Development</w:t>
            </w:r>
            <w:r w:rsidR="00582F95">
              <w:rPr>
                <w:noProof/>
                <w:webHidden/>
              </w:rPr>
              <w:tab/>
            </w:r>
            <w:r w:rsidR="00582F95">
              <w:rPr>
                <w:noProof/>
                <w:webHidden/>
              </w:rPr>
              <w:fldChar w:fldCharType="begin"/>
            </w:r>
            <w:r w:rsidR="00582F95">
              <w:rPr>
                <w:noProof/>
                <w:webHidden/>
              </w:rPr>
              <w:instrText xml:space="preserve"> PAGEREF _Toc85613291 \h </w:instrText>
            </w:r>
            <w:r w:rsidR="00582F95">
              <w:rPr>
                <w:noProof/>
                <w:webHidden/>
              </w:rPr>
            </w:r>
            <w:r w:rsidR="00582F95">
              <w:rPr>
                <w:noProof/>
                <w:webHidden/>
              </w:rPr>
              <w:fldChar w:fldCharType="separate"/>
            </w:r>
            <w:r w:rsidR="00582F95">
              <w:rPr>
                <w:noProof/>
                <w:webHidden/>
              </w:rPr>
              <w:t>11</w:t>
            </w:r>
            <w:r w:rsidR="00582F95">
              <w:rPr>
                <w:noProof/>
                <w:webHidden/>
              </w:rPr>
              <w:fldChar w:fldCharType="end"/>
            </w:r>
          </w:hyperlink>
        </w:p>
        <w:p w14:paraId="0E3836E2" w14:textId="056E310C" w:rsidR="00582F95" w:rsidRDefault="003D2567">
          <w:pPr>
            <w:pStyle w:val="TOC3"/>
            <w:tabs>
              <w:tab w:val="right" w:leader="dot" w:pos="9350"/>
            </w:tabs>
            <w:rPr>
              <w:rFonts w:eastAsiaTheme="minorEastAsia" w:cstheme="minorBidi"/>
              <w:noProof/>
              <w:sz w:val="24"/>
              <w:szCs w:val="24"/>
            </w:rPr>
          </w:pPr>
          <w:hyperlink w:anchor="_Toc85613292" w:history="1">
            <w:r w:rsidR="00582F95" w:rsidRPr="00A0736A">
              <w:rPr>
                <w:rStyle w:val="Hyperlink"/>
                <w:rFonts w:ascii="Calibri" w:hAnsi="Calibri" w:cs="Calibri"/>
                <w:noProof/>
              </w:rPr>
              <w:t>Principle #5: Reporting</w:t>
            </w:r>
            <w:r w:rsidR="00582F95">
              <w:rPr>
                <w:noProof/>
                <w:webHidden/>
              </w:rPr>
              <w:tab/>
            </w:r>
            <w:r w:rsidR="00582F95">
              <w:rPr>
                <w:noProof/>
                <w:webHidden/>
              </w:rPr>
              <w:fldChar w:fldCharType="begin"/>
            </w:r>
            <w:r w:rsidR="00582F95">
              <w:rPr>
                <w:noProof/>
                <w:webHidden/>
              </w:rPr>
              <w:instrText xml:space="preserve"> PAGEREF _Toc85613292 \h </w:instrText>
            </w:r>
            <w:r w:rsidR="00582F95">
              <w:rPr>
                <w:noProof/>
                <w:webHidden/>
              </w:rPr>
            </w:r>
            <w:r w:rsidR="00582F95">
              <w:rPr>
                <w:noProof/>
                <w:webHidden/>
              </w:rPr>
              <w:fldChar w:fldCharType="separate"/>
            </w:r>
            <w:r w:rsidR="00582F95">
              <w:rPr>
                <w:noProof/>
                <w:webHidden/>
              </w:rPr>
              <w:t>11</w:t>
            </w:r>
            <w:r w:rsidR="00582F95">
              <w:rPr>
                <w:noProof/>
                <w:webHidden/>
              </w:rPr>
              <w:fldChar w:fldCharType="end"/>
            </w:r>
          </w:hyperlink>
        </w:p>
        <w:p w14:paraId="1D9E41A3" w14:textId="40A69A50" w:rsidR="00582F95" w:rsidRDefault="003D2567">
          <w:pPr>
            <w:pStyle w:val="TOC2"/>
            <w:tabs>
              <w:tab w:val="right" w:leader="dot" w:pos="9350"/>
            </w:tabs>
            <w:rPr>
              <w:rFonts w:eastAsiaTheme="minorEastAsia" w:cstheme="minorBidi"/>
              <w:b w:val="0"/>
              <w:bCs w:val="0"/>
              <w:noProof/>
              <w:sz w:val="24"/>
              <w:szCs w:val="24"/>
            </w:rPr>
          </w:pPr>
          <w:hyperlink w:anchor="_Toc85613293" w:history="1">
            <w:r w:rsidR="00582F95" w:rsidRPr="00A0736A">
              <w:rPr>
                <w:rStyle w:val="Hyperlink"/>
                <w:noProof/>
              </w:rPr>
              <w:t>2.3 Non-Consensus Principles Recommendation</w:t>
            </w:r>
            <w:r w:rsidR="00582F95">
              <w:rPr>
                <w:noProof/>
                <w:webHidden/>
              </w:rPr>
              <w:tab/>
            </w:r>
            <w:r w:rsidR="00582F95">
              <w:rPr>
                <w:noProof/>
                <w:webHidden/>
              </w:rPr>
              <w:fldChar w:fldCharType="begin"/>
            </w:r>
            <w:r w:rsidR="00582F95">
              <w:rPr>
                <w:noProof/>
                <w:webHidden/>
              </w:rPr>
              <w:instrText xml:space="preserve"> PAGEREF _Toc85613293 \h </w:instrText>
            </w:r>
            <w:r w:rsidR="00582F95">
              <w:rPr>
                <w:noProof/>
                <w:webHidden/>
              </w:rPr>
            </w:r>
            <w:r w:rsidR="00582F95">
              <w:rPr>
                <w:noProof/>
                <w:webHidden/>
              </w:rPr>
              <w:fldChar w:fldCharType="separate"/>
            </w:r>
            <w:r w:rsidR="00582F95">
              <w:rPr>
                <w:noProof/>
                <w:webHidden/>
              </w:rPr>
              <w:t>12</w:t>
            </w:r>
            <w:r w:rsidR="00582F95">
              <w:rPr>
                <w:noProof/>
                <w:webHidden/>
              </w:rPr>
              <w:fldChar w:fldCharType="end"/>
            </w:r>
          </w:hyperlink>
        </w:p>
        <w:p w14:paraId="5B48D345" w14:textId="4D688158" w:rsidR="00582F95" w:rsidRDefault="003D2567">
          <w:pPr>
            <w:pStyle w:val="TOC3"/>
            <w:tabs>
              <w:tab w:val="right" w:leader="dot" w:pos="9350"/>
            </w:tabs>
            <w:rPr>
              <w:rFonts w:eastAsiaTheme="minorEastAsia" w:cstheme="minorBidi"/>
              <w:noProof/>
              <w:sz w:val="24"/>
              <w:szCs w:val="24"/>
            </w:rPr>
          </w:pPr>
          <w:hyperlink w:anchor="_Toc85613294" w:history="1">
            <w:r w:rsidR="00582F95" w:rsidRPr="00A0736A">
              <w:rPr>
                <w:rStyle w:val="Hyperlink"/>
                <w:rFonts w:ascii="Calibri" w:hAnsi="Calibri" w:cs="Calibri"/>
                <w:noProof/>
              </w:rPr>
              <w:t>Principle #6: Target-Setting</w:t>
            </w:r>
            <w:r w:rsidR="00582F95">
              <w:rPr>
                <w:noProof/>
                <w:webHidden/>
              </w:rPr>
              <w:tab/>
            </w:r>
            <w:r w:rsidR="00582F95">
              <w:rPr>
                <w:noProof/>
                <w:webHidden/>
              </w:rPr>
              <w:fldChar w:fldCharType="begin"/>
            </w:r>
            <w:r w:rsidR="00582F95">
              <w:rPr>
                <w:noProof/>
                <w:webHidden/>
              </w:rPr>
              <w:instrText xml:space="preserve"> PAGEREF _Toc85613294 \h </w:instrText>
            </w:r>
            <w:r w:rsidR="00582F95">
              <w:rPr>
                <w:noProof/>
                <w:webHidden/>
              </w:rPr>
            </w:r>
            <w:r w:rsidR="00582F95">
              <w:rPr>
                <w:noProof/>
                <w:webHidden/>
              </w:rPr>
              <w:fldChar w:fldCharType="separate"/>
            </w:r>
            <w:r w:rsidR="00582F95">
              <w:rPr>
                <w:noProof/>
                <w:webHidden/>
              </w:rPr>
              <w:t>12</w:t>
            </w:r>
            <w:r w:rsidR="00582F95">
              <w:rPr>
                <w:noProof/>
                <w:webHidden/>
              </w:rPr>
              <w:fldChar w:fldCharType="end"/>
            </w:r>
          </w:hyperlink>
        </w:p>
        <w:p w14:paraId="13DDDBBB" w14:textId="013282FE" w:rsidR="00582F95" w:rsidRDefault="003D2567">
          <w:pPr>
            <w:pStyle w:val="TOC3"/>
            <w:tabs>
              <w:tab w:val="right" w:leader="dot" w:pos="9350"/>
            </w:tabs>
            <w:rPr>
              <w:rFonts w:eastAsiaTheme="minorEastAsia" w:cstheme="minorBidi"/>
              <w:noProof/>
              <w:sz w:val="24"/>
              <w:szCs w:val="24"/>
            </w:rPr>
          </w:pPr>
          <w:hyperlink w:anchor="_Toc85613295" w:history="1">
            <w:r w:rsidR="00582F95" w:rsidRPr="00A0736A">
              <w:rPr>
                <w:rStyle w:val="Hyperlink"/>
                <w:rFonts w:ascii="Calibri" w:hAnsi="Calibri" w:cs="Calibri"/>
                <w:noProof/>
              </w:rPr>
              <w:t>Principle #7: Community Engagement</w:t>
            </w:r>
            <w:r w:rsidR="00582F95">
              <w:rPr>
                <w:noProof/>
                <w:webHidden/>
              </w:rPr>
              <w:tab/>
            </w:r>
            <w:r w:rsidR="00582F95">
              <w:rPr>
                <w:noProof/>
                <w:webHidden/>
              </w:rPr>
              <w:fldChar w:fldCharType="begin"/>
            </w:r>
            <w:r w:rsidR="00582F95">
              <w:rPr>
                <w:noProof/>
                <w:webHidden/>
              </w:rPr>
              <w:instrText xml:space="preserve"> PAGEREF _Toc85613295 \h </w:instrText>
            </w:r>
            <w:r w:rsidR="00582F95">
              <w:rPr>
                <w:noProof/>
                <w:webHidden/>
              </w:rPr>
            </w:r>
            <w:r w:rsidR="00582F95">
              <w:rPr>
                <w:noProof/>
                <w:webHidden/>
              </w:rPr>
              <w:fldChar w:fldCharType="separate"/>
            </w:r>
            <w:r w:rsidR="00582F95">
              <w:rPr>
                <w:noProof/>
                <w:webHidden/>
              </w:rPr>
              <w:t>14</w:t>
            </w:r>
            <w:r w:rsidR="00582F95">
              <w:rPr>
                <w:noProof/>
                <w:webHidden/>
              </w:rPr>
              <w:fldChar w:fldCharType="end"/>
            </w:r>
          </w:hyperlink>
        </w:p>
        <w:p w14:paraId="41434A5C" w14:textId="3D488AC5" w:rsidR="00582F95" w:rsidRDefault="003D2567">
          <w:pPr>
            <w:pStyle w:val="TOC1"/>
            <w:rPr>
              <w:rFonts w:eastAsiaTheme="minorEastAsia" w:cstheme="minorBidi"/>
              <w:noProof/>
            </w:rPr>
          </w:pPr>
          <w:hyperlink w:anchor="_Toc85613296" w:history="1">
            <w:r w:rsidR="00582F95" w:rsidRPr="00A0736A">
              <w:rPr>
                <w:rStyle w:val="Hyperlink"/>
                <w:rFonts w:ascii="Calibri" w:hAnsi="Calibri" w:cs="Calibri"/>
                <w:noProof/>
              </w:rPr>
              <w:t>Section 3: Objective</w:t>
            </w:r>
            <w:r w:rsidR="00582F95">
              <w:rPr>
                <w:noProof/>
                <w:webHidden/>
              </w:rPr>
              <w:tab/>
            </w:r>
            <w:r w:rsidR="00582F95">
              <w:rPr>
                <w:noProof/>
                <w:webHidden/>
              </w:rPr>
              <w:fldChar w:fldCharType="begin"/>
            </w:r>
            <w:r w:rsidR="00582F95">
              <w:rPr>
                <w:noProof/>
                <w:webHidden/>
              </w:rPr>
              <w:instrText xml:space="preserve"> PAGEREF _Toc85613296 \h </w:instrText>
            </w:r>
            <w:r w:rsidR="00582F95">
              <w:rPr>
                <w:noProof/>
                <w:webHidden/>
              </w:rPr>
            </w:r>
            <w:r w:rsidR="00582F95">
              <w:rPr>
                <w:noProof/>
                <w:webHidden/>
              </w:rPr>
              <w:fldChar w:fldCharType="separate"/>
            </w:r>
            <w:r w:rsidR="00582F95">
              <w:rPr>
                <w:noProof/>
                <w:webHidden/>
              </w:rPr>
              <w:t>15</w:t>
            </w:r>
            <w:r w:rsidR="00582F95">
              <w:rPr>
                <w:noProof/>
                <w:webHidden/>
              </w:rPr>
              <w:fldChar w:fldCharType="end"/>
            </w:r>
          </w:hyperlink>
        </w:p>
        <w:p w14:paraId="4D887274" w14:textId="64C35C50" w:rsidR="00582F95" w:rsidRDefault="003D2567">
          <w:pPr>
            <w:pStyle w:val="TOC2"/>
            <w:tabs>
              <w:tab w:val="right" w:leader="dot" w:pos="9350"/>
            </w:tabs>
            <w:rPr>
              <w:rFonts w:eastAsiaTheme="minorEastAsia" w:cstheme="minorBidi"/>
              <w:b w:val="0"/>
              <w:bCs w:val="0"/>
              <w:noProof/>
              <w:sz w:val="24"/>
              <w:szCs w:val="24"/>
            </w:rPr>
          </w:pPr>
          <w:hyperlink w:anchor="_Toc85613297" w:history="1">
            <w:r w:rsidR="00582F95" w:rsidRPr="00A0736A">
              <w:rPr>
                <w:rStyle w:val="Hyperlink"/>
                <w:noProof/>
              </w:rPr>
              <w:t>3.1 Background</w:t>
            </w:r>
            <w:r w:rsidR="00582F95">
              <w:rPr>
                <w:noProof/>
                <w:webHidden/>
              </w:rPr>
              <w:tab/>
            </w:r>
            <w:r w:rsidR="00582F95">
              <w:rPr>
                <w:noProof/>
                <w:webHidden/>
              </w:rPr>
              <w:fldChar w:fldCharType="begin"/>
            </w:r>
            <w:r w:rsidR="00582F95">
              <w:rPr>
                <w:noProof/>
                <w:webHidden/>
              </w:rPr>
              <w:instrText xml:space="preserve"> PAGEREF _Toc85613297 \h </w:instrText>
            </w:r>
            <w:r w:rsidR="00582F95">
              <w:rPr>
                <w:noProof/>
                <w:webHidden/>
              </w:rPr>
            </w:r>
            <w:r w:rsidR="00582F95">
              <w:rPr>
                <w:noProof/>
                <w:webHidden/>
              </w:rPr>
              <w:fldChar w:fldCharType="separate"/>
            </w:r>
            <w:r w:rsidR="00582F95">
              <w:rPr>
                <w:noProof/>
                <w:webHidden/>
              </w:rPr>
              <w:t>15</w:t>
            </w:r>
            <w:r w:rsidR="00582F95">
              <w:rPr>
                <w:noProof/>
                <w:webHidden/>
              </w:rPr>
              <w:fldChar w:fldCharType="end"/>
            </w:r>
          </w:hyperlink>
        </w:p>
        <w:p w14:paraId="069BAD7A" w14:textId="229B4350" w:rsidR="00582F95" w:rsidRDefault="003D2567">
          <w:pPr>
            <w:pStyle w:val="TOC2"/>
            <w:tabs>
              <w:tab w:val="right" w:leader="dot" w:pos="9350"/>
            </w:tabs>
            <w:rPr>
              <w:rFonts w:eastAsiaTheme="minorEastAsia" w:cstheme="minorBidi"/>
              <w:b w:val="0"/>
              <w:bCs w:val="0"/>
              <w:noProof/>
              <w:sz w:val="24"/>
              <w:szCs w:val="24"/>
            </w:rPr>
          </w:pPr>
          <w:hyperlink w:anchor="_Toc85613298" w:history="1">
            <w:r w:rsidR="00582F95" w:rsidRPr="00A0736A">
              <w:rPr>
                <w:rStyle w:val="Hyperlink"/>
                <w:noProof/>
              </w:rPr>
              <w:t>3.2 Primary Objective Recommendation</w:t>
            </w:r>
            <w:r w:rsidR="00582F95">
              <w:rPr>
                <w:noProof/>
                <w:webHidden/>
              </w:rPr>
              <w:tab/>
            </w:r>
            <w:r w:rsidR="00582F95">
              <w:rPr>
                <w:noProof/>
                <w:webHidden/>
              </w:rPr>
              <w:fldChar w:fldCharType="begin"/>
            </w:r>
            <w:r w:rsidR="00582F95">
              <w:rPr>
                <w:noProof/>
                <w:webHidden/>
              </w:rPr>
              <w:instrText xml:space="preserve"> PAGEREF _Toc85613298 \h </w:instrText>
            </w:r>
            <w:r w:rsidR="00582F95">
              <w:rPr>
                <w:noProof/>
                <w:webHidden/>
              </w:rPr>
            </w:r>
            <w:r w:rsidR="00582F95">
              <w:rPr>
                <w:noProof/>
                <w:webHidden/>
              </w:rPr>
              <w:fldChar w:fldCharType="separate"/>
            </w:r>
            <w:r w:rsidR="00582F95">
              <w:rPr>
                <w:noProof/>
                <w:webHidden/>
              </w:rPr>
              <w:t>15</w:t>
            </w:r>
            <w:r w:rsidR="00582F95">
              <w:rPr>
                <w:noProof/>
                <w:webHidden/>
              </w:rPr>
              <w:fldChar w:fldCharType="end"/>
            </w:r>
          </w:hyperlink>
        </w:p>
        <w:p w14:paraId="1D5AD2ED" w14:textId="67B1BE21" w:rsidR="00582F95" w:rsidRDefault="003D2567">
          <w:pPr>
            <w:pStyle w:val="TOC1"/>
            <w:rPr>
              <w:rFonts w:eastAsiaTheme="minorEastAsia" w:cstheme="minorBidi"/>
              <w:noProof/>
            </w:rPr>
          </w:pPr>
          <w:hyperlink w:anchor="_Toc85613299" w:history="1">
            <w:r w:rsidR="00582F95" w:rsidRPr="00A0736A">
              <w:rPr>
                <w:rStyle w:val="Hyperlink"/>
                <w:rFonts w:ascii="Calibri" w:hAnsi="Calibri" w:cs="Calibri"/>
                <w:noProof/>
              </w:rPr>
              <w:t>Section 4: Metrics and Indicators</w:t>
            </w:r>
            <w:r w:rsidR="00582F95">
              <w:rPr>
                <w:noProof/>
                <w:webHidden/>
              </w:rPr>
              <w:tab/>
            </w:r>
            <w:r w:rsidR="00582F95">
              <w:rPr>
                <w:noProof/>
                <w:webHidden/>
              </w:rPr>
              <w:fldChar w:fldCharType="begin"/>
            </w:r>
            <w:r w:rsidR="00582F95">
              <w:rPr>
                <w:noProof/>
                <w:webHidden/>
              </w:rPr>
              <w:instrText xml:space="preserve"> PAGEREF _Toc85613299 \h </w:instrText>
            </w:r>
            <w:r w:rsidR="00582F95">
              <w:rPr>
                <w:noProof/>
                <w:webHidden/>
              </w:rPr>
            </w:r>
            <w:r w:rsidR="00582F95">
              <w:rPr>
                <w:noProof/>
                <w:webHidden/>
              </w:rPr>
              <w:fldChar w:fldCharType="separate"/>
            </w:r>
            <w:r w:rsidR="00582F95">
              <w:rPr>
                <w:noProof/>
                <w:webHidden/>
              </w:rPr>
              <w:t>16</w:t>
            </w:r>
            <w:r w:rsidR="00582F95">
              <w:rPr>
                <w:noProof/>
                <w:webHidden/>
              </w:rPr>
              <w:fldChar w:fldCharType="end"/>
            </w:r>
          </w:hyperlink>
        </w:p>
        <w:p w14:paraId="405A8B04" w14:textId="7D3FE52A" w:rsidR="00582F95" w:rsidRDefault="003D2567">
          <w:pPr>
            <w:pStyle w:val="TOC2"/>
            <w:tabs>
              <w:tab w:val="right" w:leader="dot" w:pos="9350"/>
            </w:tabs>
            <w:rPr>
              <w:rFonts w:eastAsiaTheme="minorEastAsia" w:cstheme="minorBidi"/>
              <w:b w:val="0"/>
              <w:bCs w:val="0"/>
              <w:noProof/>
              <w:sz w:val="24"/>
              <w:szCs w:val="24"/>
            </w:rPr>
          </w:pPr>
          <w:hyperlink w:anchor="_Toc85613300" w:history="1">
            <w:r w:rsidR="00582F95" w:rsidRPr="00A0736A">
              <w:rPr>
                <w:rStyle w:val="Hyperlink"/>
                <w:noProof/>
              </w:rPr>
              <w:t>4.1 Background</w:t>
            </w:r>
            <w:r w:rsidR="00582F95">
              <w:rPr>
                <w:noProof/>
                <w:webHidden/>
              </w:rPr>
              <w:tab/>
            </w:r>
            <w:r w:rsidR="00582F95">
              <w:rPr>
                <w:noProof/>
                <w:webHidden/>
              </w:rPr>
              <w:fldChar w:fldCharType="begin"/>
            </w:r>
            <w:r w:rsidR="00582F95">
              <w:rPr>
                <w:noProof/>
                <w:webHidden/>
              </w:rPr>
              <w:instrText xml:space="preserve"> PAGEREF _Toc85613300 \h </w:instrText>
            </w:r>
            <w:r w:rsidR="00582F95">
              <w:rPr>
                <w:noProof/>
                <w:webHidden/>
              </w:rPr>
            </w:r>
            <w:r w:rsidR="00582F95">
              <w:rPr>
                <w:noProof/>
                <w:webHidden/>
              </w:rPr>
              <w:fldChar w:fldCharType="separate"/>
            </w:r>
            <w:r w:rsidR="00582F95">
              <w:rPr>
                <w:noProof/>
                <w:webHidden/>
              </w:rPr>
              <w:t>16</w:t>
            </w:r>
            <w:r w:rsidR="00582F95">
              <w:rPr>
                <w:noProof/>
                <w:webHidden/>
              </w:rPr>
              <w:fldChar w:fldCharType="end"/>
            </w:r>
          </w:hyperlink>
        </w:p>
        <w:p w14:paraId="6C93E5C7" w14:textId="2A67E4AC" w:rsidR="00582F95" w:rsidRDefault="003D2567">
          <w:pPr>
            <w:pStyle w:val="TOC2"/>
            <w:tabs>
              <w:tab w:val="right" w:leader="dot" w:pos="9350"/>
            </w:tabs>
            <w:rPr>
              <w:rFonts w:eastAsiaTheme="minorEastAsia" w:cstheme="minorBidi"/>
              <w:b w:val="0"/>
              <w:bCs w:val="0"/>
              <w:noProof/>
              <w:sz w:val="24"/>
              <w:szCs w:val="24"/>
            </w:rPr>
          </w:pPr>
          <w:hyperlink w:anchor="_Toc85613301" w:history="1">
            <w:r w:rsidR="00582F95" w:rsidRPr="00A0736A">
              <w:rPr>
                <w:rStyle w:val="Hyperlink"/>
                <w:noProof/>
              </w:rPr>
              <w:t>4.2 A: Metrics and Indicators to Measure Who and How Target Populations are “Served”</w:t>
            </w:r>
            <w:r w:rsidR="00582F95">
              <w:rPr>
                <w:noProof/>
                <w:webHidden/>
              </w:rPr>
              <w:tab/>
            </w:r>
            <w:r w:rsidR="00582F95">
              <w:rPr>
                <w:noProof/>
                <w:webHidden/>
              </w:rPr>
              <w:fldChar w:fldCharType="begin"/>
            </w:r>
            <w:r w:rsidR="00582F95">
              <w:rPr>
                <w:noProof/>
                <w:webHidden/>
              </w:rPr>
              <w:instrText xml:space="preserve"> PAGEREF _Toc85613301 \h </w:instrText>
            </w:r>
            <w:r w:rsidR="00582F95">
              <w:rPr>
                <w:noProof/>
                <w:webHidden/>
              </w:rPr>
            </w:r>
            <w:r w:rsidR="00582F95">
              <w:rPr>
                <w:noProof/>
                <w:webHidden/>
              </w:rPr>
              <w:fldChar w:fldCharType="separate"/>
            </w:r>
            <w:r w:rsidR="00582F95">
              <w:rPr>
                <w:noProof/>
                <w:webHidden/>
              </w:rPr>
              <w:t>16</w:t>
            </w:r>
            <w:r w:rsidR="00582F95">
              <w:rPr>
                <w:noProof/>
                <w:webHidden/>
              </w:rPr>
              <w:fldChar w:fldCharType="end"/>
            </w:r>
          </w:hyperlink>
        </w:p>
        <w:p w14:paraId="00E2EE85" w14:textId="49E4FE15" w:rsidR="00582F95" w:rsidRDefault="003D2567">
          <w:pPr>
            <w:pStyle w:val="TOC3"/>
            <w:tabs>
              <w:tab w:val="right" w:leader="dot" w:pos="9350"/>
            </w:tabs>
            <w:rPr>
              <w:rFonts w:eastAsiaTheme="minorEastAsia" w:cstheme="minorBidi"/>
              <w:noProof/>
              <w:sz w:val="24"/>
              <w:szCs w:val="24"/>
            </w:rPr>
          </w:pPr>
          <w:hyperlink w:anchor="_Toc85613302" w:history="1">
            <w:r w:rsidR="00582F95" w:rsidRPr="00A0736A">
              <w:rPr>
                <w:rStyle w:val="Hyperlink"/>
                <w:rFonts w:ascii="Calibri" w:hAnsi="Calibri" w:cs="Calibri"/>
                <w:b/>
                <w:bCs/>
                <w:noProof/>
              </w:rPr>
              <w:t>Consensus Metrics Recommendations – Who and How Target Populations are “Served”</w:t>
            </w:r>
            <w:r w:rsidR="00582F95">
              <w:rPr>
                <w:noProof/>
                <w:webHidden/>
              </w:rPr>
              <w:tab/>
            </w:r>
            <w:r w:rsidR="00582F95">
              <w:rPr>
                <w:noProof/>
                <w:webHidden/>
              </w:rPr>
              <w:fldChar w:fldCharType="begin"/>
            </w:r>
            <w:r w:rsidR="00582F95">
              <w:rPr>
                <w:noProof/>
                <w:webHidden/>
              </w:rPr>
              <w:instrText xml:space="preserve"> PAGEREF _Toc85613302 \h </w:instrText>
            </w:r>
            <w:r w:rsidR="00582F95">
              <w:rPr>
                <w:noProof/>
                <w:webHidden/>
              </w:rPr>
            </w:r>
            <w:r w:rsidR="00582F95">
              <w:rPr>
                <w:noProof/>
                <w:webHidden/>
              </w:rPr>
              <w:fldChar w:fldCharType="separate"/>
            </w:r>
            <w:r w:rsidR="00582F95">
              <w:rPr>
                <w:noProof/>
                <w:webHidden/>
              </w:rPr>
              <w:t>16</w:t>
            </w:r>
            <w:r w:rsidR="00582F95">
              <w:rPr>
                <w:noProof/>
                <w:webHidden/>
              </w:rPr>
              <w:fldChar w:fldCharType="end"/>
            </w:r>
          </w:hyperlink>
        </w:p>
        <w:p w14:paraId="1CE51519" w14:textId="647BF0E3" w:rsidR="00582F95" w:rsidRDefault="003D2567">
          <w:pPr>
            <w:pStyle w:val="TOC3"/>
            <w:tabs>
              <w:tab w:val="right" w:leader="dot" w:pos="9350"/>
            </w:tabs>
            <w:rPr>
              <w:rFonts w:eastAsiaTheme="minorEastAsia" w:cstheme="minorBidi"/>
              <w:noProof/>
              <w:sz w:val="24"/>
              <w:szCs w:val="24"/>
            </w:rPr>
          </w:pPr>
          <w:hyperlink w:anchor="_Toc85613303" w:history="1">
            <w:r w:rsidR="00582F95" w:rsidRPr="00A0736A">
              <w:rPr>
                <w:rStyle w:val="Hyperlink"/>
                <w:rFonts w:ascii="Calibri" w:hAnsi="Calibri" w:cs="Calibri"/>
                <w:noProof/>
              </w:rPr>
              <w:t>Metric A.1: Total # residential (single family (SF) or multifamily (MF) unit) equity-targeted households (HHs) served by the Equity programs</w:t>
            </w:r>
            <w:r w:rsidR="00582F95">
              <w:rPr>
                <w:noProof/>
                <w:webHidden/>
              </w:rPr>
              <w:tab/>
            </w:r>
            <w:r w:rsidR="00582F95">
              <w:rPr>
                <w:noProof/>
                <w:webHidden/>
              </w:rPr>
              <w:fldChar w:fldCharType="begin"/>
            </w:r>
            <w:r w:rsidR="00582F95">
              <w:rPr>
                <w:noProof/>
                <w:webHidden/>
              </w:rPr>
              <w:instrText xml:space="preserve"> PAGEREF _Toc85613303 \h </w:instrText>
            </w:r>
            <w:r w:rsidR="00582F95">
              <w:rPr>
                <w:noProof/>
                <w:webHidden/>
              </w:rPr>
            </w:r>
            <w:r w:rsidR="00582F95">
              <w:rPr>
                <w:noProof/>
                <w:webHidden/>
              </w:rPr>
              <w:fldChar w:fldCharType="separate"/>
            </w:r>
            <w:r w:rsidR="00582F95">
              <w:rPr>
                <w:noProof/>
                <w:webHidden/>
              </w:rPr>
              <w:t>16</w:t>
            </w:r>
            <w:r w:rsidR="00582F95">
              <w:rPr>
                <w:noProof/>
                <w:webHidden/>
              </w:rPr>
              <w:fldChar w:fldCharType="end"/>
            </w:r>
          </w:hyperlink>
        </w:p>
        <w:p w14:paraId="1B671D14" w14:textId="6838F97C" w:rsidR="00582F95" w:rsidRDefault="003D2567">
          <w:pPr>
            <w:pStyle w:val="TOC3"/>
            <w:tabs>
              <w:tab w:val="right" w:leader="dot" w:pos="9350"/>
            </w:tabs>
            <w:rPr>
              <w:rFonts w:eastAsiaTheme="minorEastAsia" w:cstheme="minorBidi"/>
              <w:noProof/>
              <w:sz w:val="24"/>
              <w:szCs w:val="24"/>
            </w:rPr>
          </w:pPr>
          <w:hyperlink w:anchor="_Toc85613304" w:history="1">
            <w:r w:rsidR="00582F95" w:rsidRPr="00A0736A">
              <w:rPr>
                <w:rStyle w:val="Hyperlink"/>
                <w:rFonts w:ascii="Calibri" w:hAnsi="Calibri" w:cs="Calibri"/>
                <w:noProof/>
              </w:rPr>
              <w:t>Metric A.2: Total # MF equity-targeted buildings served by the Equity programs</w:t>
            </w:r>
            <w:r w:rsidR="00582F95">
              <w:rPr>
                <w:noProof/>
                <w:webHidden/>
              </w:rPr>
              <w:tab/>
            </w:r>
            <w:r w:rsidR="00582F95">
              <w:rPr>
                <w:noProof/>
                <w:webHidden/>
              </w:rPr>
              <w:fldChar w:fldCharType="begin"/>
            </w:r>
            <w:r w:rsidR="00582F95">
              <w:rPr>
                <w:noProof/>
                <w:webHidden/>
              </w:rPr>
              <w:instrText xml:space="preserve"> PAGEREF _Toc85613304 \h </w:instrText>
            </w:r>
            <w:r w:rsidR="00582F95">
              <w:rPr>
                <w:noProof/>
                <w:webHidden/>
              </w:rPr>
            </w:r>
            <w:r w:rsidR="00582F95">
              <w:rPr>
                <w:noProof/>
                <w:webHidden/>
              </w:rPr>
              <w:fldChar w:fldCharType="separate"/>
            </w:r>
            <w:r w:rsidR="00582F95">
              <w:rPr>
                <w:noProof/>
                <w:webHidden/>
              </w:rPr>
              <w:t>16</w:t>
            </w:r>
            <w:r w:rsidR="00582F95">
              <w:rPr>
                <w:noProof/>
                <w:webHidden/>
              </w:rPr>
              <w:fldChar w:fldCharType="end"/>
            </w:r>
          </w:hyperlink>
        </w:p>
        <w:p w14:paraId="5DD341B2" w14:textId="4F2779FB" w:rsidR="00582F95" w:rsidRDefault="003D2567">
          <w:pPr>
            <w:pStyle w:val="TOC3"/>
            <w:tabs>
              <w:tab w:val="right" w:leader="dot" w:pos="9350"/>
            </w:tabs>
            <w:rPr>
              <w:rFonts w:eastAsiaTheme="minorEastAsia" w:cstheme="minorBidi"/>
              <w:noProof/>
              <w:sz w:val="24"/>
              <w:szCs w:val="24"/>
            </w:rPr>
          </w:pPr>
          <w:hyperlink w:anchor="_Toc85613305" w:history="1">
            <w:r w:rsidR="00582F95" w:rsidRPr="00A0736A">
              <w:rPr>
                <w:rStyle w:val="Hyperlink"/>
                <w:rFonts w:ascii="Calibri" w:hAnsi="Calibri" w:cs="Calibri"/>
                <w:noProof/>
              </w:rPr>
              <w:t>Metric A.3: Total # Ag or Ind. equity-targeted customers served by the Equity programs</w:t>
            </w:r>
            <w:r w:rsidR="00582F95">
              <w:rPr>
                <w:noProof/>
                <w:webHidden/>
              </w:rPr>
              <w:tab/>
            </w:r>
            <w:r w:rsidR="00582F95">
              <w:rPr>
                <w:noProof/>
                <w:webHidden/>
              </w:rPr>
              <w:fldChar w:fldCharType="begin"/>
            </w:r>
            <w:r w:rsidR="00582F95">
              <w:rPr>
                <w:noProof/>
                <w:webHidden/>
              </w:rPr>
              <w:instrText xml:space="preserve"> PAGEREF _Toc85613305 \h </w:instrText>
            </w:r>
            <w:r w:rsidR="00582F95">
              <w:rPr>
                <w:noProof/>
                <w:webHidden/>
              </w:rPr>
            </w:r>
            <w:r w:rsidR="00582F95">
              <w:rPr>
                <w:noProof/>
                <w:webHidden/>
              </w:rPr>
              <w:fldChar w:fldCharType="separate"/>
            </w:r>
            <w:r w:rsidR="00582F95">
              <w:rPr>
                <w:noProof/>
                <w:webHidden/>
              </w:rPr>
              <w:t>16</w:t>
            </w:r>
            <w:r w:rsidR="00582F95">
              <w:rPr>
                <w:noProof/>
                <w:webHidden/>
              </w:rPr>
              <w:fldChar w:fldCharType="end"/>
            </w:r>
          </w:hyperlink>
        </w:p>
        <w:p w14:paraId="0C8C3F6B" w14:textId="09D90572" w:rsidR="00582F95" w:rsidRDefault="003D2567">
          <w:pPr>
            <w:pStyle w:val="TOC3"/>
            <w:tabs>
              <w:tab w:val="right" w:leader="dot" w:pos="9350"/>
            </w:tabs>
            <w:rPr>
              <w:rFonts w:eastAsiaTheme="minorEastAsia" w:cstheme="minorBidi"/>
              <w:noProof/>
              <w:sz w:val="24"/>
              <w:szCs w:val="24"/>
            </w:rPr>
          </w:pPr>
          <w:hyperlink w:anchor="_Toc85613306" w:history="1">
            <w:r w:rsidR="00582F95" w:rsidRPr="00A0736A">
              <w:rPr>
                <w:rStyle w:val="Hyperlink"/>
                <w:rFonts w:ascii="Calibri" w:hAnsi="Calibri" w:cs="Calibri"/>
                <w:noProof/>
              </w:rPr>
              <w:t>Metric A.4: Total # equity-targeted public facilities and equipment or community projects served by the Equity programs</w:t>
            </w:r>
            <w:r w:rsidR="00582F95">
              <w:rPr>
                <w:noProof/>
                <w:webHidden/>
              </w:rPr>
              <w:tab/>
            </w:r>
            <w:r w:rsidR="00582F95">
              <w:rPr>
                <w:noProof/>
                <w:webHidden/>
              </w:rPr>
              <w:fldChar w:fldCharType="begin"/>
            </w:r>
            <w:r w:rsidR="00582F95">
              <w:rPr>
                <w:noProof/>
                <w:webHidden/>
              </w:rPr>
              <w:instrText xml:space="preserve"> PAGEREF _Toc85613306 \h </w:instrText>
            </w:r>
            <w:r w:rsidR="00582F95">
              <w:rPr>
                <w:noProof/>
                <w:webHidden/>
              </w:rPr>
            </w:r>
            <w:r w:rsidR="00582F95">
              <w:rPr>
                <w:noProof/>
                <w:webHidden/>
              </w:rPr>
              <w:fldChar w:fldCharType="separate"/>
            </w:r>
            <w:r w:rsidR="00582F95">
              <w:rPr>
                <w:noProof/>
                <w:webHidden/>
              </w:rPr>
              <w:t>16</w:t>
            </w:r>
            <w:r w:rsidR="00582F95">
              <w:rPr>
                <w:noProof/>
                <w:webHidden/>
              </w:rPr>
              <w:fldChar w:fldCharType="end"/>
            </w:r>
          </w:hyperlink>
        </w:p>
        <w:p w14:paraId="7B699D52" w14:textId="0D766C25" w:rsidR="00582F95" w:rsidRDefault="003D2567">
          <w:pPr>
            <w:pStyle w:val="TOC3"/>
            <w:tabs>
              <w:tab w:val="right" w:leader="dot" w:pos="9350"/>
            </w:tabs>
            <w:rPr>
              <w:rFonts w:eastAsiaTheme="minorEastAsia" w:cstheme="minorBidi"/>
              <w:noProof/>
              <w:sz w:val="24"/>
              <w:szCs w:val="24"/>
            </w:rPr>
          </w:pPr>
          <w:hyperlink w:anchor="_Toc85613307" w:history="1">
            <w:r w:rsidR="00582F95" w:rsidRPr="00A0736A">
              <w:rPr>
                <w:rStyle w:val="Hyperlink"/>
                <w:rFonts w:ascii="Calibri" w:hAnsi="Calibri" w:cs="Calibri"/>
                <w:noProof/>
              </w:rPr>
              <w:t>Metric A.5: Total # small and medium business (SMB)* equity-targeted** participants served by the Equity programs.</w:t>
            </w:r>
            <w:r w:rsidR="00582F95">
              <w:rPr>
                <w:noProof/>
                <w:webHidden/>
              </w:rPr>
              <w:tab/>
            </w:r>
            <w:r w:rsidR="00582F95">
              <w:rPr>
                <w:noProof/>
                <w:webHidden/>
              </w:rPr>
              <w:fldChar w:fldCharType="begin"/>
            </w:r>
            <w:r w:rsidR="00582F95">
              <w:rPr>
                <w:noProof/>
                <w:webHidden/>
              </w:rPr>
              <w:instrText xml:space="preserve"> PAGEREF _Toc85613307 \h </w:instrText>
            </w:r>
            <w:r w:rsidR="00582F95">
              <w:rPr>
                <w:noProof/>
                <w:webHidden/>
              </w:rPr>
            </w:r>
            <w:r w:rsidR="00582F95">
              <w:rPr>
                <w:noProof/>
                <w:webHidden/>
              </w:rPr>
              <w:fldChar w:fldCharType="separate"/>
            </w:r>
            <w:r w:rsidR="00582F95">
              <w:rPr>
                <w:noProof/>
                <w:webHidden/>
              </w:rPr>
              <w:t>16</w:t>
            </w:r>
            <w:r w:rsidR="00582F95">
              <w:rPr>
                <w:noProof/>
                <w:webHidden/>
              </w:rPr>
              <w:fldChar w:fldCharType="end"/>
            </w:r>
          </w:hyperlink>
        </w:p>
        <w:p w14:paraId="1DC54E80" w14:textId="3A67D349" w:rsidR="00582F95" w:rsidRDefault="003D2567">
          <w:pPr>
            <w:pStyle w:val="TOC3"/>
            <w:tabs>
              <w:tab w:val="right" w:leader="dot" w:pos="9350"/>
            </w:tabs>
            <w:rPr>
              <w:rFonts w:eastAsiaTheme="minorEastAsia" w:cstheme="minorBidi"/>
              <w:noProof/>
              <w:sz w:val="24"/>
              <w:szCs w:val="24"/>
            </w:rPr>
          </w:pPr>
          <w:hyperlink w:anchor="_Toc85613308" w:history="1">
            <w:r w:rsidR="00582F95" w:rsidRPr="00A0736A">
              <w:rPr>
                <w:rStyle w:val="Hyperlink"/>
                <w:rFonts w:ascii="Calibri" w:hAnsi="Calibri" w:cs="Calibri"/>
                <w:noProof/>
              </w:rPr>
              <w:t>Metric A.6: Total # of companies/non-profits served by Equity Segment programs</w:t>
            </w:r>
            <w:r w:rsidR="00582F95">
              <w:rPr>
                <w:noProof/>
                <w:webHidden/>
              </w:rPr>
              <w:tab/>
            </w:r>
            <w:r w:rsidR="00582F95">
              <w:rPr>
                <w:noProof/>
                <w:webHidden/>
              </w:rPr>
              <w:fldChar w:fldCharType="begin"/>
            </w:r>
            <w:r w:rsidR="00582F95">
              <w:rPr>
                <w:noProof/>
                <w:webHidden/>
              </w:rPr>
              <w:instrText xml:space="preserve"> PAGEREF _Toc85613308 \h </w:instrText>
            </w:r>
            <w:r w:rsidR="00582F95">
              <w:rPr>
                <w:noProof/>
                <w:webHidden/>
              </w:rPr>
            </w:r>
            <w:r w:rsidR="00582F95">
              <w:rPr>
                <w:noProof/>
                <w:webHidden/>
              </w:rPr>
              <w:fldChar w:fldCharType="separate"/>
            </w:r>
            <w:r w:rsidR="00582F95">
              <w:rPr>
                <w:noProof/>
                <w:webHidden/>
              </w:rPr>
              <w:t>17</w:t>
            </w:r>
            <w:r w:rsidR="00582F95">
              <w:rPr>
                <w:noProof/>
                <w:webHidden/>
              </w:rPr>
              <w:fldChar w:fldCharType="end"/>
            </w:r>
          </w:hyperlink>
        </w:p>
        <w:p w14:paraId="356133C8" w14:textId="6766065B" w:rsidR="00582F95" w:rsidRDefault="003D2567">
          <w:pPr>
            <w:pStyle w:val="TOC3"/>
            <w:tabs>
              <w:tab w:val="right" w:leader="dot" w:pos="9350"/>
            </w:tabs>
            <w:rPr>
              <w:rFonts w:eastAsiaTheme="minorEastAsia" w:cstheme="minorBidi"/>
              <w:noProof/>
              <w:sz w:val="24"/>
              <w:szCs w:val="24"/>
            </w:rPr>
          </w:pPr>
          <w:hyperlink w:anchor="_Toc85613309" w:history="1">
            <w:r w:rsidR="00582F95" w:rsidRPr="00A0736A">
              <w:rPr>
                <w:rStyle w:val="Hyperlink"/>
                <w:rFonts w:ascii="Calibri" w:hAnsi="Calibri" w:cs="Calibri"/>
                <w:noProof/>
              </w:rPr>
              <w:t>Metric A.7: Total # of contractors/workers served by Equity Segment programs</w:t>
            </w:r>
            <w:r w:rsidR="00582F95">
              <w:rPr>
                <w:noProof/>
                <w:webHidden/>
              </w:rPr>
              <w:tab/>
            </w:r>
            <w:r w:rsidR="00582F95">
              <w:rPr>
                <w:noProof/>
                <w:webHidden/>
              </w:rPr>
              <w:fldChar w:fldCharType="begin"/>
            </w:r>
            <w:r w:rsidR="00582F95">
              <w:rPr>
                <w:noProof/>
                <w:webHidden/>
              </w:rPr>
              <w:instrText xml:space="preserve"> PAGEREF _Toc85613309 \h </w:instrText>
            </w:r>
            <w:r w:rsidR="00582F95">
              <w:rPr>
                <w:noProof/>
                <w:webHidden/>
              </w:rPr>
            </w:r>
            <w:r w:rsidR="00582F95">
              <w:rPr>
                <w:noProof/>
                <w:webHidden/>
              </w:rPr>
              <w:fldChar w:fldCharType="separate"/>
            </w:r>
            <w:r w:rsidR="00582F95">
              <w:rPr>
                <w:noProof/>
                <w:webHidden/>
              </w:rPr>
              <w:t>17</w:t>
            </w:r>
            <w:r w:rsidR="00582F95">
              <w:rPr>
                <w:noProof/>
                <w:webHidden/>
              </w:rPr>
              <w:fldChar w:fldCharType="end"/>
            </w:r>
          </w:hyperlink>
        </w:p>
        <w:p w14:paraId="6D0C4ABB" w14:textId="5E7702F3" w:rsidR="00582F95" w:rsidRDefault="003D2567">
          <w:pPr>
            <w:pStyle w:val="TOC3"/>
            <w:tabs>
              <w:tab w:val="right" w:leader="dot" w:pos="9350"/>
            </w:tabs>
            <w:rPr>
              <w:rFonts w:eastAsiaTheme="minorEastAsia" w:cstheme="minorBidi"/>
              <w:noProof/>
              <w:sz w:val="24"/>
              <w:szCs w:val="24"/>
            </w:rPr>
          </w:pPr>
          <w:hyperlink w:anchor="_Toc85613310" w:history="1">
            <w:r w:rsidR="00582F95" w:rsidRPr="00A0736A">
              <w:rPr>
                <w:rStyle w:val="Hyperlink"/>
                <w:rFonts w:ascii="Calibri" w:hAnsi="Calibri" w:cs="Calibri"/>
                <w:noProof/>
              </w:rPr>
              <w:t>A.8: Total [(# indicator for all) and (% metric for PAs with no relevant legal restriction) of] contractors and/or workers that are disadvantaged workers or otherwise underrepresented, who are directly involved in implementing Equity Segment programs</w:t>
            </w:r>
            <w:r w:rsidR="00582F95">
              <w:rPr>
                <w:noProof/>
                <w:webHidden/>
              </w:rPr>
              <w:tab/>
            </w:r>
            <w:r w:rsidR="00582F95">
              <w:rPr>
                <w:noProof/>
                <w:webHidden/>
              </w:rPr>
              <w:fldChar w:fldCharType="begin"/>
            </w:r>
            <w:r w:rsidR="00582F95">
              <w:rPr>
                <w:noProof/>
                <w:webHidden/>
              </w:rPr>
              <w:instrText xml:space="preserve"> PAGEREF _Toc85613310 \h </w:instrText>
            </w:r>
            <w:r w:rsidR="00582F95">
              <w:rPr>
                <w:noProof/>
                <w:webHidden/>
              </w:rPr>
            </w:r>
            <w:r w:rsidR="00582F95">
              <w:rPr>
                <w:noProof/>
                <w:webHidden/>
              </w:rPr>
              <w:fldChar w:fldCharType="separate"/>
            </w:r>
            <w:r w:rsidR="00582F95">
              <w:rPr>
                <w:noProof/>
                <w:webHidden/>
              </w:rPr>
              <w:t>17</w:t>
            </w:r>
            <w:r w:rsidR="00582F95">
              <w:rPr>
                <w:noProof/>
                <w:webHidden/>
              </w:rPr>
              <w:fldChar w:fldCharType="end"/>
            </w:r>
          </w:hyperlink>
        </w:p>
        <w:p w14:paraId="0B9BE84A" w14:textId="52A04F12" w:rsidR="00582F95" w:rsidRDefault="003D2567">
          <w:pPr>
            <w:pStyle w:val="TOC3"/>
            <w:tabs>
              <w:tab w:val="right" w:leader="dot" w:pos="9350"/>
            </w:tabs>
            <w:rPr>
              <w:rFonts w:eastAsiaTheme="minorEastAsia" w:cstheme="minorBidi"/>
              <w:noProof/>
              <w:sz w:val="24"/>
              <w:szCs w:val="24"/>
            </w:rPr>
          </w:pPr>
          <w:hyperlink w:anchor="_Toc85613311" w:history="1">
            <w:r w:rsidR="00582F95" w:rsidRPr="00A0736A">
              <w:rPr>
                <w:rStyle w:val="Hyperlink"/>
                <w:rFonts w:ascii="Calibri" w:hAnsi="Calibri" w:cs="Calibri"/>
                <w:noProof/>
              </w:rPr>
              <w:t>A.9: Total [(# indicator for all) and (% metric for PAs with no relevant legal restriction) of] companies/non-profits who are Diverse Business Enterprises (DBE) or otherwise underrepresented (e.g., BIPOC-owned) with contracts to implement Equity Segment programs</w:t>
            </w:r>
            <w:r w:rsidR="00582F95">
              <w:rPr>
                <w:noProof/>
                <w:webHidden/>
              </w:rPr>
              <w:tab/>
            </w:r>
            <w:r w:rsidR="00582F95">
              <w:rPr>
                <w:noProof/>
                <w:webHidden/>
              </w:rPr>
              <w:fldChar w:fldCharType="begin"/>
            </w:r>
            <w:r w:rsidR="00582F95">
              <w:rPr>
                <w:noProof/>
                <w:webHidden/>
              </w:rPr>
              <w:instrText xml:space="preserve"> PAGEREF _Toc85613311 \h </w:instrText>
            </w:r>
            <w:r w:rsidR="00582F95">
              <w:rPr>
                <w:noProof/>
                <w:webHidden/>
              </w:rPr>
            </w:r>
            <w:r w:rsidR="00582F95">
              <w:rPr>
                <w:noProof/>
                <w:webHidden/>
              </w:rPr>
              <w:fldChar w:fldCharType="separate"/>
            </w:r>
            <w:r w:rsidR="00582F95">
              <w:rPr>
                <w:noProof/>
                <w:webHidden/>
              </w:rPr>
              <w:t>18</w:t>
            </w:r>
            <w:r w:rsidR="00582F95">
              <w:rPr>
                <w:noProof/>
                <w:webHidden/>
              </w:rPr>
              <w:fldChar w:fldCharType="end"/>
            </w:r>
          </w:hyperlink>
        </w:p>
        <w:p w14:paraId="772B1833" w14:textId="6855CDF2" w:rsidR="00582F95" w:rsidRDefault="003D2567">
          <w:pPr>
            <w:pStyle w:val="TOC2"/>
            <w:tabs>
              <w:tab w:val="right" w:leader="dot" w:pos="9350"/>
            </w:tabs>
            <w:rPr>
              <w:rFonts w:eastAsiaTheme="minorEastAsia" w:cstheme="minorBidi"/>
              <w:b w:val="0"/>
              <w:bCs w:val="0"/>
              <w:noProof/>
              <w:sz w:val="24"/>
              <w:szCs w:val="24"/>
            </w:rPr>
          </w:pPr>
          <w:hyperlink w:anchor="_Toc85613312" w:history="1">
            <w:r w:rsidR="00582F95" w:rsidRPr="00A0736A">
              <w:rPr>
                <w:rStyle w:val="Hyperlink"/>
                <w:noProof/>
              </w:rPr>
              <w:t>4.3 B: Metrics and Indicators to Assess Energy and/or Cost Savings in Targeted Populations</w:t>
            </w:r>
            <w:r w:rsidR="00582F95">
              <w:rPr>
                <w:noProof/>
                <w:webHidden/>
              </w:rPr>
              <w:tab/>
            </w:r>
            <w:r w:rsidR="00582F95">
              <w:rPr>
                <w:noProof/>
                <w:webHidden/>
              </w:rPr>
              <w:fldChar w:fldCharType="begin"/>
            </w:r>
            <w:r w:rsidR="00582F95">
              <w:rPr>
                <w:noProof/>
                <w:webHidden/>
              </w:rPr>
              <w:instrText xml:space="preserve"> PAGEREF _Toc85613312 \h </w:instrText>
            </w:r>
            <w:r w:rsidR="00582F95">
              <w:rPr>
                <w:noProof/>
                <w:webHidden/>
              </w:rPr>
            </w:r>
            <w:r w:rsidR="00582F95">
              <w:rPr>
                <w:noProof/>
                <w:webHidden/>
              </w:rPr>
              <w:fldChar w:fldCharType="separate"/>
            </w:r>
            <w:r w:rsidR="00582F95">
              <w:rPr>
                <w:noProof/>
                <w:webHidden/>
              </w:rPr>
              <w:t>18</w:t>
            </w:r>
            <w:r w:rsidR="00582F95">
              <w:rPr>
                <w:noProof/>
                <w:webHidden/>
              </w:rPr>
              <w:fldChar w:fldCharType="end"/>
            </w:r>
          </w:hyperlink>
        </w:p>
        <w:p w14:paraId="4B4C5B02" w14:textId="7ED22717" w:rsidR="00582F95" w:rsidRDefault="003D2567">
          <w:pPr>
            <w:pStyle w:val="TOC3"/>
            <w:tabs>
              <w:tab w:val="right" w:leader="dot" w:pos="9350"/>
            </w:tabs>
            <w:rPr>
              <w:rFonts w:eastAsiaTheme="minorEastAsia" w:cstheme="minorBidi"/>
              <w:noProof/>
              <w:sz w:val="24"/>
              <w:szCs w:val="24"/>
            </w:rPr>
          </w:pPr>
          <w:hyperlink w:anchor="_Toc85613313" w:history="1">
            <w:r w:rsidR="00582F95" w:rsidRPr="00A0736A">
              <w:rPr>
                <w:rStyle w:val="Hyperlink"/>
                <w:rFonts w:ascii="Calibri" w:hAnsi="Calibri" w:cs="Calibri"/>
                <w:b/>
                <w:bCs/>
                <w:noProof/>
              </w:rPr>
              <w:t>Consensus Metric Recommendation – to Assess Energy and/or Cost Savings in Targeted Populations</w:t>
            </w:r>
            <w:r w:rsidR="00582F95">
              <w:rPr>
                <w:noProof/>
                <w:webHidden/>
              </w:rPr>
              <w:tab/>
            </w:r>
            <w:r w:rsidR="00582F95">
              <w:rPr>
                <w:noProof/>
                <w:webHidden/>
              </w:rPr>
              <w:fldChar w:fldCharType="begin"/>
            </w:r>
            <w:r w:rsidR="00582F95">
              <w:rPr>
                <w:noProof/>
                <w:webHidden/>
              </w:rPr>
              <w:instrText xml:space="preserve"> PAGEREF _Toc85613313 \h </w:instrText>
            </w:r>
            <w:r w:rsidR="00582F95">
              <w:rPr>
                <w:noProof/>
                <w:webHidden/>
              </w:rPr>
            </w:r>
            <w:r w:rsidR="00582F95">
              <w:rPr>
                <w:noProof/>
                <w:webHidden/>
              </w:rPr>
              <w:fldChar w:fldCharType="separate"/>
            </w:r>
            <w:r w:rsidR="00582F95">
              <w:rPr>
                <w:noProof/>
                <w:webHidden/>
              </w:rPr>
              <w:t>18</w:t>
            </w:r>
            <w:r w:rsidR="00582F95">
              <w:rPr>
                <w:noProof/>
                <w:webHidden/>
              </w:rPr>
              <w:fldChar w:fldCharType="end"/>
            </w:r>
          </w:hyperlink>
        </w:p>
        <w:p w14:paraId="4B4C2694" w14:textId="32AE15E3" w:rsidR="00582F95" w:rsidRDefault="003D2567">
          <w:pPr>
            <w:pStyle w:val="TOC3"/>
            <w:tabs>
              <w:tab w:val="right" w:leader="dot" w:pos="9350"/>
            </w:tabs>
            <w:rPr>
              <w:rFonts w:eastAsiaTheme="minorEastAsia" w:cstheme="minorBidi"/>
              <w:noProof/>
              <w:sz w:val="24"/>
              <w:szCs w:val="24"/>
            </w:rPr>
          </w:pPr>
          <w:hyperlink w:anchor="_Toc85613314" w:history="1">
            <w:r w:rsidR="00582F95" w:rsidRPr="00A0736A">
              <w:rPr>
                <w:rStyle w:val="Hyperlink"/>
                <w:rFonts w:ascii="Calibri" w:hAnsi="Calibri" w:cs="Calibri"/>
                <w:noProof/>
              </w:rPr>
              <w:t>Metric B.1: Expected first-year bill savings in total $ for Equity-targeted participants*.</w:t>
            </w:r>
            <w:r w:rsidR="00582F95">
              <w:rPr>
                <w:noProof/>
                <w:webHidden/>
              </w:rPr>
              <w:tab/>
            </w:r>
            <w:r w:rsidR="00582F95">
              <w:rPr>
                <w:noProof/>
                <w:webHidden/>
              </w:rPr>
              <w:fldChar w:fldCharType="begin"/>
            </w:r>
            <w:r w:rsidR="00582F95">
              <w:rPr>
                <w:noProof/>
                <w:webHidden/>
              </w:rPr>
              <w:instrText xml:space="preserve"> PAGEREF _Toc85613314 \h </w:instrText>
            </w:r>
            <w:r w:rsidR="00582F95">
              <w:rPr>
                <w:noProof/>
                <w:webHidden/>
              </w:rPr>
            </w:r>
            <w:r w:rsidR="00582F95">
              <w:rPr>
                <w:noProof/>
                <w:webHidden/>
              </w:rPr>
              <w:fldChar w:fldCharType="separate"/>
            </w:r>
            <w:r w:rsidR="00582F95">
              <w:rPr>
                <w:noProof/>
                <w:webHidden/>
              </w:rPr>
              <w:t>18</w:t>
            </w:r>
            <w:r w:rsidR="00582F95">
              <w:rPr>
                <w:noProof/>
                <w:webHidden/>
              </w:rPr>
              <w:fldChar w:fldCharType="end"/>
            </w:r>
          </w:hyperlink>
        </w:p>
        <w:p w14:paraId="4370E737" w14:textId="6BFD7C99" w:rsidR="00582F95" w:rsidRDefault="003D2567">
          <w:pPr>
            <w:pStyle w:val="TOC3"/>
            <w:tabs>
              <w:tab w:val="right" w:leader="dot" w:pos="9350"/>
            </w:tabs>
            <w:rPr>
              <w:rFonts w:eastAsiaTheme="minorEastAsia" w:cstheme="minorBidi"/>
              <w:noProof/>
              <w:sz w:val="24"/>
              <w:szCs w:val="24"/>
            </w:rPr>
          </w:pPr>
          <w:hyperlink w:anchor="_Toc85613315" w:history="1">
            <w:r w:rsidR="00582F95" w:rsidRPr="00A0736A">
              <w:rPr>
                <w:rStyle w:val="Hyperlink"/>
                <w:rFonts w:ascii="Calibri" w:hAnsi="Calibri" w:cs="Calibri"/>
                <w:b/>
                <w:bCs/>
                <w:noProof/>
              </w:rPr>
              <w:t>Consensus Indicator Recommendation – to Assess Energy and/or Cost Savings in Targeted Populations</w:t>
            </w:r>
            <w:r w:rsidR="00582F95">
              <w:rPr>
                <w:noProof/>
                <w:webHidden/>
              </w:rPr>
              <w:tab/>
            </w:r>
            <w:r w:rsidR="00582F95">
              <w:rPr>
                <w:noProof/>
                <w:webHidden/>
              </w:rPr>
              <w:fldChar w:fldCharType="begin"/>
            </w:r>
            <w:r w:rsidR="00582F95">
              <w:rPr>
                <w:noProof/>
                <w:webHidden/>
              </w:rPr>
              <w:instrText xml:space="preserve"> PAGEREF _Toc85613315 \h </w:instrText>
            </w:r>
            <w:r w:rsidR="00582F95">
              <w:rPr>
                <w:noProof/>
                <w:webHidden/>
              </w:rPr>
            </w:r>
            <w:r w:rsidR="00582F95">
              <w:rPr>
                <w:noProof/>
                <w:webHidden/>
              </w:rPr>
              <w:fldChar w:fldCharType="separate"/>
            </w:r>
            <w:r w:rsidR="00582F95">
              <w:rPr>
                <w:noProof/>
                <w:webHidden/>
              </w:rPr>
              <w:t>19</w:t>
            </w:r>
            <w:r w:rsidR="00582F95">
              <w:rPr>
                <w:noProof/>
                <w:webHidden/>
              </w:rPr>
              <w:fldChar w:fldCharType="end"/>
            </w:r>
          </w:hyperlink>
        </w:p>
        <w:p w14:paraId="5D62EE96" w14:textId="3F010574" w:rsidR="00582F95" w:rsidRDefault="003D2567">
          <w:pPr>
            <w:pStyle w:val="TOC3"/>
            <w:tabs>
              <w:tab w:val="right" w:leader="dot" w:pos="9350"/>
            </w:tabs>
            <w:rPr>
              <w:rFonts w:eastAsiaTheme="minorEastAsia" w:cstheme="minorBidi"/>
              <w:noProof/>
              <w:sz w:val="24"/>
              <w:szCs w:val="24"/>
            </w:rPr>
          </w:pPr>
          <w:hyperlink w:anchor="_Toc85613316" w:history="1">
            <w:r w:rsidR="00582F95" w:rsidRPr="00A0736A">
              <w:rPr>
                <w:rStyle w:val="Hyperlink"/>
                <w:rFonts w:ascii="Calibri" w:hAnsi="Calibri" w:cs="Calibri"/>
                <w:noProof/>
              </w:rPr>
              <w:t>Indicator B.2: Direct Savings from Equity-segment programs *</w:t>
            </w:r>
            <w:r w:rsidR="00582F95">
              <w:rPr>
                <w:noProof/>
                <w:webHidden/>
              </w:rPr>
              <w:tab/>
            </w:r>
            <w:r w:rsidR="00582F95">
              <w:rPr>
                <w:noProof/>
                <w:webHidden/>
              </w:rPr>
              <w:fldChar w:fldCharType="begin"/>
            </w:r>
            <w:r w:rsidR="00582F95">
              <w:rPr>
                <w:noProof/>
                <w:webHidden/>
              </w:rPr>
              <w:instrText xml:space="preserve"> PAGEREF _Toc85613316 \h </w:instrText>
            </w:r>
            <w:r w:rsidR="00582F95">
              <w:rPr>
                <w:noProof/>
                <w:webHidden/>
              </w:rPr>
            </w:r>
            <w:r w:rsidR="00582F95">
              <w:rPr>
                <w:noProof/>
                <w:webHidden/>
              </w:rPr>
              <w:fldChar w:fldCharType="separate"/>
            </w:r>
            <w:r w:rsidR="00582F95">
              <w:rPr>
                <w:noProof/>
                <w:webHidden/>
              </w:rPr>
              <w:t>19</w:t>
            </w:r>
            <w:r w:rsidR="00582F95">
              <w:rPr>
                <w:noProof/>
                <w:webHidden/>
              </w:rPr>
              <w:fldChar w:fldCharType="end"/>
            </w:r>
          </w:hyperlink>
        </w:p>
        <w:p w14:paraId="3767E6E1" w14:textId="659BC8C9" w:rsidR="00582F95" w:rsidRDefault="003D2567">
          <w:pPr>
            <w:pStyle w:val="TOC3"/>
            <w:tabs>
              <w:tab w:val="right" w:leader="dot" w:pos="9350"/>
            </w:tabs>
            <w:rPr>
              <w:rFonts w:eastAsiaTheme="minorEastAsia" w:cstheme="minorBidi"/>
              <w:noProof/>
              <w:sz w:val="24"/>
              <w:szCs w:val="24"/>
            </w:rPr>
          </w:pPr>
          <w:hyperlink w:anchor="_Toc85613317" w:history="1">
            <w:r w:rsidR="00582F95" w:rsidRPr="00A0736A">
              <w:rPr>
                <w:rStyle w:val="Hyperlink"/>
                <w:rFonts w:ascii="Calibri" w:hAnsi="Calibri" w:cs="Calibri"/>
                <w:b/>
                <w:bCs/>
                <w:noProof/>
              </w:rPr>
              <w:t>Non-Consensus Indicator Recommendation – to Assess Energy and/or Cost Savings in Targeted Populations</w:t>
            </w:r>
            <w:r w:rsidR="00582F95">
              <w:rPr>
                <w:noProof/>
                <w:webHidden/>
              </w:rPr>
              <w:tab/>
            </w:r>
            <w:r w:rsidR="00582F95">
              <w:rPr>
                <w:noProof/>
                <w:webHidden/>
              </w:rPr>
              <w:fldChar w:fldCharType="begin"/>
            </w:r>
            <w:r w:rsidR="00582F95">
              <w:rPr>
                <w:noProof/>
                <w:webHidden/>
              </w:rPr>
              <w:instrText xml:space="preserve"> PAGEREF _Toc85613317 \h </w:instrText>
            </w:r>
            <w:r w:rsidR="00582F95">
              <w:rPr>
                <w:noProof/>
                <w:webHidden/>
              </w:rPr>
            </w:r>
            <w:r w:rsidR="00582F95">
              <w:rPr>
                <w:noProof/>
                <w:webHidden/>
              </w:rPr>
              <w:fldChar w:fldCharType="separate"/>
            </w:r>
            <w:r w:rsidR="00582F95">
              <w:rPr>
                <w:noProof/>
                <w:webHidden/>
              </w:rPr>
              <w:t>19</w:t>
            </w:r>
            <w:r w:rsidR="00582F95">
              <w:rPr>
                <w:noProof/>
                <w:webHidden/>
              </w:rPr>
              <w:fldChar w:fldCharType="end"/>
            </w:r>
          </w:hyperlink>
        </w:p>
        <w:p w14:paraId="28111F48" w14:textId="5E1E97BF" w:rsidR="00582F95" w:rsidRDefault="003D2567">
          <w:pPr>
            <w:pStyle w:val="TOC3"/>
            <w:tabs>
              <w:tab w:val="right" w:leader="dot" w:pos="9350"/>
            </w:tabs>
            <w:rPr>
              <w:rFonts w:eastAsiaTheme="minorEastAsia" w:cstheme="minorBidi"/>
              <w:noProof/>
              <w:sz w:val="24"/>
              <w:szCs w:val="24"/>
            </w:rPr>
          </w:pPr>
          <w:hyperlink w:anchor="_Toc85613318" w:history="1">
            <w:r w:rsidR="00582F95" w:rsidRPr="00A0736A">
              <w:rPr>
                <w:rStyle w:val="Hyperlink"/>
                <w:rFonts w:ascii="Calibri" w:hAnsi="Calibri" w:cs="Calibri"/>
                <w:noProof/>
              </w:rPr>
              <w:t>Indicator B.3 Community Engagement</w:t>
            </w:r>
            <w:r w:rsidR="00582F95">
              <w:rPr>
                <w:noProof/>
                <w:webHidden/>
              </w:rPr>
              <w:tab/>
            </w:r>
            <w:r w:rsidR="00582F95">
              <w:rPr>
                <w:noProof/>
                <w:webHidden/>
              </w:rPr>
              <w:fldChar w:fldCharType="begin"/>
            </w:r>
            <w:r w:rsidR="00582F95">
              <w:rPr>
                <w:noProof/>
                <w:webHidden/>
              </w:rPr>
              <w:instrText xml:space="preserve"> PAGEREF _Toc85613318 \h </w:instrText>
            </w:r>
            <w:r w:rsidR="00582F95">
              <w:rPr>
                <w:noProof/>
                <w:webHidden/>
              </w:rPr>
            </w:r>
            <w:r w:rsidR="00582F95">
              <w:rPr>
                <w:noProof/>
                <w:webHidden/>
              </w:rPr>
              <w:fldChar w:fldCharType="separate"/>
            </w:r>
            <w:r w:rsidR="00582F95">
              <w:rPr>
                <w:noProof/>
                <w:webHidden/>
              </w:rPr>
              <w:t>19</w:t>
            </w:r>
            <w:r w:rsidR="00582F95">
              <w:rPr>
                <w:noProof/>
                <w:webHidden/>
              </w:rPr>
              <w:fldChar w:fldCharType="end"/>
            </w:r>
          </w:hyperlink>
        </w:p>
        <w:p w14:paraId="33E9C2F5" w14:textId="468D7BE1" w:rsidR="00582F95" w:rsidRDefault="003D2567">
          <w:pPr>
            <w:pStyle w:val="TOC2"/>
            <w:tabs>
              <w:tab w:val="right" w:leader="dot" w:pos="9350"/>
            </w:tabs>
            <w:rPr>
              <w:rFonts w:eastAsiaTheme="minorEastAsia" w:cstheme="minorBidi"/>
              <w:b w:val="0"/>
              <w:bCs w:val="0"/>
              <w:noProof/>
              <w:sz w:val="24"/>
              <w:szCs w:val="24"/>
            </w:rPr>
          </w:pPr>
          <w:hyperlink w:anchor="_Toc85613319" w:history="1">
            <w:r w:rsidR="00582F95" w:rsidRPr="00A0736A">
              <w:rPr>
                <w:rStyle w:val="Hyperlink"/>
                <w:noProof/>
              </w:rPr>
              <w:t>4.4 C: Metrics and Indicators for “Holistic” Benefits</w:t>
            </w:r>
            <w:r w:rsidR="00582F95">
              <w:rPr>
                <w:noProof/>
                <w:webHidden/>
              </w:rPr>
              <w:tab/>
            </w:r>
            <w:r w:rsidR="00582F95">
              <w:rPr>
                <w:noProof/>
                <w:webHidden/>
              </w:rPr>
              <w:fldChar w:fldCharType="begin"/>
            </w:r>
            <w:r w:rsidR="00582F95">
              <w:rPr>
                <w:noProof/>
                <w:webHidden/>
              </w:rPr>
              <w:instrText xml:space="preserve"> PAGEREF _Toc85613319 \h </w:instrText>
            </w:r>
            <w:r w:rsidR="00582F95">
              <w:rPr>
                <w:noProof/>
                <w:webHidden/>
              </w:rPr>
            </w:r>
            <w:r w:rsidR="00582F95">
              <w:rPr>
                <w:noProof/>
                <w:webHidden/>
              </w:rPr>
              <w:fldChar w:fldCharType="separate"/>
            </w:r>
            <w:r w:rsidR="00582F95">
              <w:rPr>
                <w:noProof/>
                <w:webHidden/>
              </w:rPr>
              <w:t>19</w:t>
            </w:r>
            <w:r w:rsidR="00582F95">
              <w:rPr>
                <w:noProof/>
                <w:webHidden/>
              </w:rPr>
              <w:fldChar w:fldCharType="end"/>
            </w:r>
          </w:hyperlink>
        </w:p>
        <w:p w14:paraId="29E8F484" w14:textId="024481C5" w:rsidR="00582F95" w:rsidRDefault="003D2567">
          <w:pPr>
            <w:pStyle w:val="TOC3"/>
            <w:tabs>
              <w:tab w:val="right" w:leader="dot" w:pos="9350"/>
            </w:tabs>
            <w:rPr>
              <w:rFonts w:eastAsiaTheme="minorEastAsia" w:cstheme="minorBidi"/>
              <w:noProof/>
              <w:sz w:val="24"/>
              <w:szCs w:val="24"/>
            </w:rPr>
          </w:pPr>
          <w:hyperlink w:anchor="_Toc85613320" w:history="1">
            <w:r w:rsidR="00582F95" w:rsidRPr="00A0736A">
              <w:rPr>
                <w:rStyle w:val="Hyperlink"/>
                <w:rFonts w:ascii="Calibri" w:hAnsi="Calibri" w:cs="Calibri"/>
                <w:noProof/>
              </w:rPr>
              <w:t>Indicator C.1: Benefits to participants and to society as a whole</w:t>
            </w:r>
            <w:r w:rsidR="00582F95">
              <w:rPr>
                <w:noProof/>
                <w:webHidden/>
              </w:rPr>
              <w:tab/>
            </w:r>
            <w:r w:rsidR="00582F95">
              <w:rPr>
                <w:noProof/>
                <w:webHidden/>
              </w:rPr>
              <w:fldChar w:fldCharType="begin"/>
            </w:r>
            <w:r w:rsidR="00582F95">
              <w:rPr>
                <w:noProof/>
                <w:webHidden/>
              </w:rPr>
              <w:instrText xml:space="preserve"> PAGEREF _Toc85613320 \h </w:instrText>
            </w:r>
            <w:r w:rsidR="00582F95">
              <w:rPr>
                <w:noProof/>
                <w:webHidden/>
              </w:rPr>
            </w:r>
            <w:r w:rsidR="00582F95">
              <w:rPr>
                <w:noProof/>
                <w:webHidden/>
              </w:rPr>
              <w:fldChar w:fldCharType="separate"/>
            </w:r>
            <w:r w:rsidR="00582F95">
              <w:rPr>
                <w:noProof/>
                <w:webHidden/>
              </w:rPr>
              <w:t>19</w:t>
            </w:r>
            <w:r w:rsidR="00582F95">
              <w:rPr>
                <w:noProof/>
                <w:webHidden/>
              </w:rPr>
              <w:fldChar w:fldCharType="end"/>
            </w:r>
          </w:hyperlink>
        </w:p>
        <w:p w14:paraId="68F938AD" w14:textId="576E7AD8" w:rsidR="00582F95" w:rsidRDefault="003D2567">
          <w:pPr>
            <w:pStyle w:val="TOC1"/>
            <w:rPr>
              <w:rFonts w:eastAsiaTheme="minorEastAsia" w:cstheme="minorBidi"/>
              <w:noProof/>
            </w:rPr>
          </w:pPr>
          <w:hyperlink w:anchor="_Toc85613321" w:history="1">
            <w:r w:rsidR="00582F95" w:rsidRPr="00A0736A">
              <w:rPr>
                <w:rStyle w:val="Hyperlink"/>
                <w:rFonts w:ascii="Calibri" w:hAnsi="Calibri" w:cs="Calibri"/>
                <w:noProof/>
              </w:rPr>
              <w:t>Section 5: Additional Issues from the Prospectus and Raised Through EMWG Process</w:t>
            </w:r>
            <w:r w:rsidR="00582F95">
              <w:rPr>
                <w:noProof/>
                <w:webHidden/>
              </w:rPr>
              <w:tab/>
            </w:r>
            <w:r w:rsidR="00582F95">
              <w:rPr>
                <w:noProof/>
                <w:webHidden/>
              </w:rPr>
              <w:fldChar w:fldCharType="begin"/>
            </w:r>
            <w:r w:rsidR="00582F95">
              <w:rPr>
                <w:noProof/>
                <w:webHidden/>
              </w:rPr>
              <w:instrText xml:space="preserve"> PAGEREF _Toc85613321 \h </w:instrText>
            </w:r>
            <w:r w:rsidR="00582F95">
              <w:rPr>
                <w:noProof/>
                <w:webHidden/>
              </w:rPr>
            </w:r>
            <w:r w:rsidR="00582F95">
              <w:rPr>
                <w:noProof/>
                <w:webHidden/>
              </w:rPr>
              <w:fldChar w:fldCharType="separate"/>
            </w:r>
            <w:r w:rsidR="00582F95">
              <w:rPr>
                <w:noProof/>
                <w:webHidden/>
              </w:rPr>
              <w:t>21</w:t>
            </w:r>
            <w:r w:rsidR="00582F95">
              <w:rPr>
                <w:noProof/>
                <w:webHidden/>
              </w:rPr>
              <w:fldChar w:fldCharType="end"/>
            </w:r>
          </w:hyperlink>
        </w:p>
        <w:p w14:paraId="3C00450D" w14:textId="6BFC3200" w:rsidR="00582F95" w:rsidRDefault="003D2567">
          <w:pPr>
            <w:pStyle w:val="TOC2"/>
            <w:tabs>
              <w:tab w:val="right" w:leader="dot" w:pos="9350"/>
            </w:tabs>
            <w:rPr>
              <w:rFonts w:eastAsiaTheme="minorEastAsia" w:cstheme="minorBidi"/>
              <w:b w:val="0"/>
              <w:bCs w:val="0"/>
              <w:noProof/>
              <w:sz w:val="24"/>
              <w:szCs w:val="24"/>
            </w:rPr>
          </w:pPr>
          <w:hyperlink w:anchor="_Toc85613322" w:history="1">
            <w:r w:rsidR="00582F95" w:rsidRPr="00A0736A">
              <w:rPr>
                <w:rStyle w:val="Hyperlink"/>
                <w:noProof/>
              </w:rPr>
              <w:t>5.1 Background</w:t>
            </w:r>
            <w:r w:rsidR="00582F95">
              <w:rPr>
                <w:noProof/>
                <w:webHidden/>
              </w:rPr>
              <w:tab/>
            </w:r>
            <w:r w:rsidR="00582F95">
              <w:rPr>
                <w:noProof/>
                <w:webHidden/>
              </w:rPr>
              <w:fldChar w:fldCharType="begin"/>
            </w:r>
            <w:r w:rsidR="00582F95">
              <w:rPr>
                <w:noProof/>
                <w:webHidden/>
              </w:rPr>
              <w:instrText xml:space="preserve"> PAGEREF _Toc85613322 \h </w:instrText>
            </w:r>
            <w:r w:rsidR="00582F95">
              <w:rPr>
                <w:noProof/>
                <w:webHidden/>
              </w:rPr>
            </w:r>
            <w:r w:rsidR="00582F95">
              <w:rPr>
                <w:noProof/>
                <w:webHidden/>
              </w:rPr>
              <w:fldChar w:fldCharType="separate"/>
            </w:r>
            <w:r w:rsidR="00582F95">
              <w:rPr>
                <w:noProof/>
                <w:webHidden/>
              </w:rPr>
              <w:t>21</w:t>
            </w:r>
            <w:r w:rsidR="00582F95">
              <w:rPr>
                <w:noProof/>
                <w:webHidden/>
              </w:rPr>
              <w:fldChar w:fldCharType="end"/>
            </w:r>
          </w:hyperlink>
        </w:p>
        <w:p w14:paraId="7165D564" w14:textId="20DB2B55" w:rsidR="00582F95" w:rsidRDefault="003D2567">
          <w:pPr>
            <w:pStyle w:val="TOC2"/>
            <w:tabs>
              <w:tab w:val="right" w:leader="dot" w:pos="9350"/>
            </w:tabs>
            <w:rPr>
              <w:rFonts w:eastAsiaTheme="minorEastAsia" w:cstheme="minorBidi"/>
              <w:b w:val="0"/>
              <w:bCs w:val="0"/>
              <w:noProof/>
              <w:sz w:val="24"/>
              <w:szCs w:val="24"/>
            </w:rPr>
          </w:pPr>
          <w:hyperlink w:anchor="_Toc85613323" w:history="1">
            <w:r w:rsidR="00582F95" w:rsidRPr="00A0736A">
              <w:rPr>
                <w:rStyle w:val="Hyperlink"/>
                <w:noProof/>
              </w:rPr>
              <w:t>5.2 How to Address Non-Consensus Issues in February 2022 Filings</w:t>
            </w:r>
            <w:r w:rsidR="00582F95">
              <w:rPr>
                <w:noProof/>
                <w:webHidden/>
              </w:rPr>
              <w:tab/>
            </w:r>
            <w:r w:rsidR="00582F95">
              <w:rPr>
                <w:noProof/>
                <w:webHidden/>
              </w:rPr>
              <w:fldChar w:fldCharType="begin"/>
            </w:r>
            <w:r w:rsidR="00582F95">
              <w:rPr>
                <w:noProof/>
                <w:webHidden/>
              </w:rPr>
              <w:instrText xml:space="preserve"> PAGEREF _Toc85613323 \h </w:instrText>
            </w:r>
            <w:r w:rsidR="00582F95">
              <w:rPr>
                <w:noProof/>
                <w:webHidden/>
              </w:rPr>
            </w:r>
            <w:r w:rsidR="00582F95">
              <w:rPr>
                <w:noProof/>
                <w:webHidden/>
              </w:rPr>
              <w:fldChar w:fldCharType="separate"/>
            </w:r>
            <w:r w:rsidR="00582F95">
              <w:rPr>
                <w:noProof/>
                <w:webHidden/>
              </w:rPr>
              <w:t>21</w:t>
            </w:r>
            <w:r w:rsidR="00582F95">
              <w:rPr>
                <w:noProof/>
                <w:webHidden/>
              </w:rPr>
              <w:fldChar w:fldCharType="end"/>
            </w:r>
          </w:hyperlink>
        </w:p>
        <w:p w14:paraId="6AB85D14" w14:textId="6C2A6C71" w:rsidR="00582F95" w:rsidRDefault="003D2567">
          <w:pPr>
            <w:pStyle w:val="TOC2"/>
            <w:tabs>
              <w:tab w:val="right" w:leader="dot" w:pos="9350"/>
            </w:tabs>
            <w:rPr>
              <w:rFonts w:eastAsiaTheme="minorEastAsia" w:cstheme="minorBidi"/>
              <w:b w:val="0"/>
              <w:bCs w:val="0"/>
              <w:noProof/>
              <w:sz w:val="24"/>
              <w:szCs w:val="24"/>
            </w:rPr>
          </w:pPr>
          <w:hyperlink w:anchor="_Toc85613324" w:history="1">
            <w:r w:rsidR="00582F95" w:rsidRPr="00A0736A">
              <w:rPr>
                <w:rStyle w:val="Hyperlink"/>
                <w:noProof/>
              </w:rPr>
              <w:t>5.3 Definition of “Underserved”</w:t>
            </w:r>
            <w:r w:rsidR="00582F95">
              <w:rPr>
                <w:noProof/>
                <w:webHidden/>
              </w:rPr>
              <w:tab/>
            </w:r>
            <w:r w:rsidR="00582F95">
              <w:rPr>
                <w:noProof/>
                <w:webHidden/>
              </w:rPr>
              <w:fldChar w:fldCharType="begin"/>
            </w:r>
            <w:r w:rsidR="00582F95">
              <w:rPr>
                <w:noProof/>
                <w:webHidden/>
              </w:rPr>
              <w:instrText xml:space="preserve"> PAGEREF _Toc85613324 \h </w:instrText>
            </w:r>
            <w:r w:rsidR="00582F95">
              <w:rPr>
                <w:noProof/>
                <w:webHidden/>
              </w:rPr>
            </w:r>
            <w:r w:rsidR="00582F95">
              <w:rPr>
                <w:noProof/>
                <w:webHidden/>
              </w:rPr>
              <w:fldChar w:fldCharType="separate"/>
            </w:r>
            <w:r w:rsidR="00582F95">
              <w:rPr>
                <w:noProof/>
                <w:webHidden/>
              </w:rPr>
              <w:t>21</w:t>
            </w:r>
            <w:r w:rsidR="00582F95">
              <w:rPr>
                <w:noProof/>
                <w:webHidden/>
              </w:rPr>
              <w:fldChar w:fldCharType="end"/>
            </w:r>
          </w:hyperlink>
        </w:p>
        <w:p w14:paraId="3DD7BCEE" w14:textId="3595BB2A" w:rsidR="00582F95" w:rsidRDefault="003D2567">
          <w:pPr>
            <w:pStyle w:val="TOC2"/>
            <w:tabs>
              <w:tab w:val="right" w:leader="dot" w:pos="9350"/>
            </w:tabs>
            <w:rPr>
              <w:rFonts w:eastAsiaTheme="minorEastAsia" w:cstheme="minorBidi"/>
              <w:b w:val="0"/>
              <w:bCs w:val="0"/>
              <w:noProof/>
              <w:sz w:val="24"/>
              <w:szCs w:val="24"/>
            </w:rPr>
          </w:pPr>
          <w:hyperlink w:anchor="_Toc85613325" w:history="1">
            <w:r w:rsidR="00582F95" w:rsidRPr="00A0736A">
              <w:rPr>
                <w:rStyle w:val="Hyperlink"/>
                <w:noProof/>
              </w:rPr>
              <w:t>5.4 Reporting Templates</w:t>
            </w:r>
            <w:r w:rsidR="00582F95">
              <w:rPr>
                <w:noProof/>
                <w:webHidden/>
              </w:rPr>
              <w:tab/>
            </w:r>
            <w:r w:rsidR="00582F95">
              <w:rPr>
                <w:noProof/>
                <w:webHidden/>
              </w:rPr>
              <w:fldChar w:fldCharType="begin"/>
            </w:r>
            <w:r w:rsidR="00582F95">
              <w:rPr>
                <w:noProof/>
                <w:webHidden/>
              </w:rPr>
              <w:instrText xml:space="preserve"> PAGEREF _Toc85613325 \h </w:instrText>
            </w:r>
            <w:r w:rsidR="00582F95">
              <w:rPr>
                <w:noProof/>
                <w:webHidden/>
              </w:rPr>
            </w:r>
            <w:r w:rsidR="00582F95">
              <w:rPr>
                <w:noProof/>
                <w:webHidden/>
              </w:rPr>
              <w:fldChar w:fldCharType="separate"/>
            </w:r>
            <w:r w:rsidR="00582F95">
              <w:rPr>
                <w:noProof/>
                <w:webHidden/>
              </w:rPr>
              <w:t>25</w:t>
            </w:r>
            <w:r w:rsidR="00582F95">
              <w:rPr>
                <w:noProof/>
                <w:webHidden/>
              </w:rPr>
              <w:fldChar w:fldCharType="end"/>
            </w:r>
          </w:hyperlink>
        </w:p>
        <w:p w14:paraId="1877C92F" w14:textId="66E62582" w:rsidR="00582F95" w:rsidRDefault="003D2567">
          <w:pPr>
            <w:pStyle w:val="TOC3"/>
            <w:tabs>
              <w:tab w:val="right" w:leader="dot" w:pos="9350"/>
            </w:tabs>
            <w:rPr>
              <w:rFonts w:eastAsiaTheme="minorEastAsia" w:cstheme="minorBidi"/>
              <w:noProof/>
              <w:sz w:val="24"/>
              <w:szCs w:val="24"/>
            </w:rPr>
          </w:pPr>
          <w:hyperlink w:anchor="_Toc85613326" w:history="1">
            <w:r w:rsidR="00582F95" w:rsidRPr="00A0736A">
              <w:rPr>
                <w:rStyle w:val="Hyperlink"/>
                <w:rFonts w:ascii="Calibri" w:hAnsi="Calibri" w:cs="Calibri"/>
                <w:noProof/>
              </w:rPr>
              <w:t>A.1-A.9: Metrics &amp; Indicators to Measure Who and How Target Populations are “Served”</w:t>
            </w:r>
            <w:r w:rsidR="00582F95">
              <w:rPr>
                <w:noProof/>
                <w:webHidden/>
              </w:rPr>
              <w:tab/>
            </w:r>
            <w:r w:rsidR="00582F95">
              <w:rPr>
                <w:noProof/>
                <w:webHidden/>
              </w:rPr>
              <w:fldChar w:fldCharType="begin"/>
            </w:r>
            <w:r w:rsidR="00582F95">
              <w:rPr>
                <w:noProof/>
                <w:webHidden/>
              </w:rPr>
              <w:instrText xml:space="preserve"> PAGEREF _Toc85613326 \h </w:instrText>
            </w:r>
            <w:r w:rsidR="00582F95">
              <w:rPr>
                <w:noProof/>
                <w:webHidden/>
              </w:rPr>
            </w:r>
            <w:r w:rsidR="00582F95">
              <w:rPr>
                <w:noProof/>
                <w:webHidden/>
              </w:rPr>
              <w:fldChar w:fldCharType="separate"/>
            </w:r>
            <w:r w:rsidR="00582F95">
              <w:rPr>
                <w:noProof/>
                <w:webHidden/>
              </w:rPr>
              <w:t>26</w:t>
            </w:r>
            <w:r w:rsidR="00582F95">
              <w:rPr>
                <w:noProof/>
                <w:webHidden/>
              </w:rPr>
              <w:fldChar w:fldCharType="end"/>
            </w:r>
          </w:hyperlink>
        </w:p>
        <w:p w14:paraId="466DD7EE" w14:textId="143C0BA6" w:rsidR="00582F95" w:rsidRDefault="003D2567">
          <w:pPr>
            <w:pStyle w:val="TOC3"/>
            <w:tabs>
              <w:tab w:val="right" w:leader="dot" w:pos="9350"/>
            </w:tabs>
            <w:rPr>
              <w:rFonts w:eastAsiaTheme="minorEastAsia" w:cstheme="minorBidi"/>
              <w:noProof/>
              <w:sz w:val="24"/>
              <w:szCs w:val="24"/>
            </w:rPr>
          </w:pPr>
          <w:hyperlink w:anchor="_Toc85613327" w:history="1">
            <w:r w:rsidR="00582F95" w:rsidRPr="00A0736A">
              <w:rPr>
                <w:rStyle w:val="Hyperlink"/>
                <w:rFonts w:ascii="Calibri" w:hAnsi="Calibri" w:cs="Calibri"/>
                <w:noProof/>
              </w:rPr>
              <w:t>B.1-B.3: Metrics &amp; Indicators to Assess Energy and/or Cost Savings in Targeted Populations</w:t>
            </w:r>
            <w:r w:rsidR="00582F95">
              <w:rPr>
                <w:noProof/>
                <w:webHidden/>
              </w:rPr>
              <w:tab/>
            </w:r>
            <w:r w:rsidR="00582F95">
              <w:rPr>
                <w:noProof/>
                <w:webHidden/>
              </w:rPr>
              <w:fldChar w:fldCharType="begin"/>
            </w:r>
            <w:r w:rsidR="00582F95">
              <w:rPr>
                <w:noProof/>
                <w:webHidden/>
              </w:rPr>
              <w:instrText xml:space="preserve"> PAGEREF _Toc85613327 \h </w:instrText>
            </w:r>
            <w:r w:rsidR="00582F95">
              <w:rPr>
                <w:noProof/>
                <w:webHidden/>
              </w:rPr>
            </w:r>
            <w:r w:rsidR="00582F95">
              <w:rPr>
                <w:noProof/>
                <w:webHidden/>
              </w:rPr>
              <w:fldChar w:fldCharType="separate"/>
            </w:r>
            <w:r w:rsidR="00582F95">
              <w:rPr>
                <w:noProof/>
                <w:webHidden/>
              </w:rPr>
              <w:t>27</w:t>
            </w:r>
            <w:r w:rsidR="00582F95">
              <w:rPr>
                <w:noProof/>
                <w:webHidden/>
              </w:rPr>
              <w:fldChar w:fldCharType="end"/>
            </w:r>
          </w:hyperlink>
        </w:p>
        <w:p w14:paraId="7F01A6B7" w14:textId="7948646B" w:rsidR="00582F95" w:rsidRDefault="003D2567">
          <w:pPr>
            <w:pStyle w:val="TOC3"/>
            <w:tabs>
              <w:tab w:val="right" w:leader="dot" w:pos="9350"/>
            </w:tabs>
            <w:rPr>
              <w:rFonts w:eastAsiaTheme="minorEastAsia" w:cstheme="minorBidi"/>
              <w:noProof/>
              <w:sz w:val="24"/>
              <w:szCs w:val="24"/>
            </w:rPr>
          </w:pPr>
          <w:hyperlink w:anchor="_Toc85613328" w:history="1">
            <w:r w:rsidR="00582F95" w:rsidRPr="00A0736A">
              <w:rPr>
                <w:rStyle w:val="Hyperlink"/>
                <w:rFonts w:ascii="Calibri" w:hAnsi="Calibri" w:cs="Calibri"/>
                <w:noProof/>
              </w:rPr>
              <w:t>C.1: Indicators for “Holistic” Benefits</w:t>
            </w:r>
            <w:r w:rsidR="00582F95">
              <w:rPr>
                <w:noProof/>
                <w:webHidden/>
              </w:rPr>
              <w:tab/>
            </w:r>
            <w:r w:rsidR="00582F95">
              <w:rPr>
                <w:noProof/>
                <w:webHidden/>
              </w:rPr>
              <w:fldChar w:fldCharType="begin"/>
            </w:r>
            <w:r w:rsidR="00582F95">
              <w:rPr>
                <w:noProof/>
                <w:webHidden/>
              </w:rPr>
              <w:instrText xml:space="preserve"> PAGEREF _Toc85613328 \h </w:instrText>
            </w:r>
            <w:r w:rsidR="00582F95">
              <w:rPr>
                <w:noProof/>
                <w:webHidden/>
              </w:rPr>
            </w:r>
            <w:r w:rsidR="00582F95">
              <w:rPr>
                <w:noProof/>
                <w:webHidden/>
              </w:rPr>
              <w:fldChar w:fldCharType="separate"/>
            </w:r>
            <w:r w:rsidR="00582F95">
              <w:rPr>
                <w:noProof/>
                <w:webHidden/>
              </w:rPr>
              <w:t>27</w:t>
            </w:r>
            <w:r w:rsidR="00582F95">
              <w:rPr>
                <w:noProof/>
                <w:webHidden/>
              </w:rPr>
              <w:fldChar w:fldCharType="end"/>
            </w:r>
          </w:hyperlink>
        </w:p>
        <w:p w14:paraId="7D65B1D6" w14:textId="0A51E273" w:rsidR="00582F95" w:rsidRDefault="003D2567">
          <w:pPr>
            <w:pStyle w:val="TOC2"/>
            <w:tabs>
              <w:tab w:val="right" w:leader="dot" w:pos="9350"/>
            </w:tabs>
            <w:rPr>
              <w:rFonts w:eastAsiaTheme="minorEastAsia" w:cstheme="minorBidi"/>
              <w:b w:val="0"/>
              <w:bCs w:val="0"/>
              <w:noProof/>
              <w:sz w:val="24"/>
              <w:szCs w:val="24"/>
            </w:rPr>
          </w:pPr>
          <w:hyperlink w:anchor="_Toc85613329" w:history="1">
            <w:r w:rsidR="00582F95" w:rsidRPr="00A0736A">
              <w:rPr>
                <w:rStyle w:val="Hyperlink"/>
                <w:noProof/>
              </w:rPr>
              <w:t>5.5 Demographic Data and Data Systems Integration Ideas</w:t>
            </w:r>
            <w:r w:rsidR="00582F95">
              <w:rPr>
                <w:noProof/>
                <w:webHidden/>
              </w:rPr>
              <w:tab/>
            </w:r>
            <w:r w:rsidR="00582F95">
              <w:rPr>
                <w:noProof/>
                <w:webHidden/>
              </w:rPr>
              <w:fldChar w:fldCharType="begin"/>
            </w:r>
            <w:r w:rsidR="00582F95">
              <w:rPr>
                <w:noProof/>
                <w:webHidden/>
              </w:rPr>
              <w:instrText xml:space="preserve"> PAGEREF _Toc85613329 \h </w:instrText>
            </w:r>
            <w:r w:rsidR="00582F95">
              <w:rPr>
                <w:noProof/>
                <w:webHidden/>
              </w:rPr>
            </w:r>
            <w:r w:rsidR="00582F95">
              <w:rPr>
                <w:noProof/>
                <w:webHidden/>
              </w:rPr>
              <w:fldChar w:fldCharType="separate"/>
            </w:r>
            <w:r w:rsidR="00582F95">
              <w:rPr>
                <w:noProof/>
                <w:webHidden/>
              </w:rPr>
              <w:t>27</w:t>
            </w:r>
            <w:r w:rsidR="00582F95">
              <w:rPr>
                <w:noProof/>
                <w:webHidden/>
              </w:rPr>
              <w:fldChar w:fldCharType="end"/>
            </w:r>
          </w:hyperlink>
        </w:p>
        <w:p w14:paraId="41646C95" w14:textId="148BDDA8" w:rsidR="00582F95" w:rsidRDefault="003D2567">
          <w:pPr>
            <w:pStyle w:val="TOC1"/>
            <w:rPr>
              <w:rFonts w:eastAsiaTheme="minorEastAsia" w:cstheme="minorBidi"/>
              <w:noProof/>
            </w:rPr>
          </w:pPr>
          <w:hyperlink w:anchor="_Toc85613330" w:history="1">
            <w:r w:rsidR="00582F95" w:rsidRPr="00A0736A">
              <w:rPr>
                <w:rStyle w:val="Hyperlink"/>
                <w:rFonts w:ascii="Calibri" w:hAnsi="Calibri" w:cs="Calibri"/>
                <w:noProof/>
              </w:rPr>
              <w:t>Appendix A: Working Group Member Organizations and Representatives</w:t>
            </w:r>
            <w:r w:rsidR="00582F95">
              <w:rPr>
                <w:noProof/>
                <w:webHidden/>
              </w:rPr>
              <w:tab/>
            </w:r>
            <w:r w:rsidR="00582F95">
              <w:rPr>
                <w:noProof/>
                <w:webHidden/>
              </w:rPr>
              <w:fldChar w:fldCharType="begin"/>
            </w:r>
            <w:r w:rsidR="00582F95">
              <w:rPr>
                <w:noProof/>
                <w:webHidden/>
              </w:rPr>
              <w:instrText xml:space="preserve"> PAGEREF _Toc85613330 \h </w:instrText>
            </w:r>
            <w:r w:rsidR="00582F95">
              <w:rPr>
                <w:noProof/>
                <w:webHidden/>
              </w:rPr>
            </w:r>
            <w:r w:rsidR="00582F95">
              <w:rPr>
                <w:noProof/>
                <w:webHidden/>
              </w:rPr>
              <w:fldChar w:fldCharType="separate"/>
            </w:r>
            <w:r w:rsidR="00582F95">
              <w:rPr>
                <w:noProof/>
                <w:webHidden/>
              </w:rPr>
              <w:t>28</w:t>
            </w:r>
            <w:r w:rsidR="00582F95">
              <w:rPr>
                <w:noProof/>
                <w:webHidden/>
              </w:rPr>
              <w:fldChar w:fldCharType="end"/>
            </w:r>
          </w:hyperlink>
        </w:p>
        <w:p w14:paraId="44A66420" w14:textId="5F331C5B" w:rsidR="00582F95" w:rsidRDefault="003D2567">
          <w:pPr>
            <w:pStyle w:val="TOC1"/>
            <w:rPr>
              <w:rFonts w:eastAsiaTheme="minorEastAsia" w:cstheme="minorBidi"/>
              <w:noProof/>
            </w:rPr>
          </w:pPr>
          <w:hyperlink w:anchor="_Toc85613331" w:history="1">
            <w:r w:rsidR="00582F95" w:rsidRPr="00A0736A">
              <w:rPr>
                <w:rStyle w:val="Hyperlink"/>
                <w:rFonts w:ascii="Calibri" w:hAnsi="Calibri" w:cs="Calibri"/>
                <w:noProof/>
              </w:rPr>
              <w:t>Appendix B: Rationale and EMWG Member Preferences for Community Engagement Non-Consensus Options</w:t>
            </w:r>
            <w:r w:rsidR="00582F95">
              <w:rPr>
                <w:noProof/>
                <w:webHidden/>
              </w:rPr>
              <w:tab/>
            </w:r>
            <w:r w:rsidR="00582F95">
              <w:rPr>
                <w:noProof/>
                <w:webHidden/>
              </w:rPr>
              <w:fldChar w:fldCharType="begin"/>
            </w:r>
            <w:r w:rsidR="00582F95">
              <w:rPr>
                <w:noProof/>
                <w:webHidden/>
              </w:rPr>
              <w:instrText xml:space="preserve"> PAGEREF _Toc85613331 \h </w:instrText>
            </w:r>
            <w:r w:rsidR="00582F95">
              <w:rPr>
                <w:noProof/>
                <w:webHidden/>
              </w:rPr>
            </w:r>
            <w:r w:rsidR="00582F95">
              <w:rPr>
                <w:noProof/>
                <w:webHidden/>
              </w:rPr>
              <w:fldChar w:fldCharType="separate"/>
            </w:r>
            <w:r w:rsidR="00582F95">
              <w:rPr>
                <w:noProof/>
                <w:webHidden/>
              </w:rPr>
              <w:t>29</w:t>
            </w:r>
            <w:r w:rsidR="00582F95">
              <w:rPr>
                <w:noProof/>
                <w:webHidden/>
              </w:rPr>
              <w:fldChar w:fldCharType="end"/>
            </w:r>
          </w:hyperlink>
        </w:p>
        <w:p w14:paraId="3E5BEADA" w14:textId="42EBFB3E" w:rsidR="00582F95" w:rsidRDefault="003D2567">
          <w:pPr>
            <w:pStyle w:val="TOC1"/>
            <w:rPr>
              <w:rFonts w:eastAsiaTheme="minorEastAsia" w:cstheme="minorBidi"/>
              <w:noProof/>
            </w:rPr>
          </w:pPr>
          <w:hyperlink w:anchor="_Toc85613332" w:history="1">
            <w:r w:rsidR="00582F95" w:rsidRPr="00A0736A">
              <w:rPr>
                <w:rStyle w:val="Hyperlink"/>
                <w:rFonts w:ascii="Calibri" w:hAnsi="Calibri" w:cs="Calibri"/>
                <w:noProof/>
              </w:rPr>
              <w:t>Appendix C: Organization-Level Comments on Non-Consensus Option Choices</w:t>
            </w:r>
            <w:r w:rsidR="00582F95">
              <w:rPr>
                <w:noProof/>
                <w:webHidden/>
              </w:rPr>
              <w:tab/>
            </w:r>
            <w:r w:rsidR="00582F95">
              <w:rPr>
                <w:noProof/>
                <w:webHidden/>
              </w:rPr>
              <w:fldChar w:fldCharType="begin"/>
            </w:r>
            <w:r w:rsidR="00582F95">
              <w:rPr>
                <w:noProof/>
                <w:webHidden/>
              </w:rPr>
              <w:instrText xml:space="preserve"> PAGEREF _Toc85613332 \h </w:instrText>
            </w:r>
            <w:r w:rsidR="00582F95">
              <w:rPr>
                <w:noProof/>
                <w:webHidden/>
              </w:rPr>
            </w:r>
            <w:r w:rsidR="00582F95">
              <w:rPr>
                <w:noProof/>
                <w:webHidden/>
              </w:rPr>
              <w:fldChar w:fldCharType="separate"/>
            </w:r>
            <w:r w:rsidR="00582F95">
              <w:rPr>
                <w:noProof/>
                <w:webHidden/>
              </w:rPr>
              <w:t>35</w:t>
            </w:r>
            <w:r w:rsidR="00582F95">
              <w:rPr>
                <w:noProof/>
                <w:webHidden/>
              </w:rPr>
              <w:fldChar w:fldCharType="end"/>
            </w:r>
          </w:hyperlink>
        </w:p>
        <w:p w14:paraId="674D951E" w14:textId="42827A90" w:rsidR="00582F95" w:rsidRDefault="003D2567">
          <w:pPr>
            <w:pStyle w:val="TOC2"/>
            <w:tabs>
              <w:tab w:val="right" w:leader="dot" w:pos="9350"/>
            </w:tabs>
            <w:rPr>
              <w:rFonts w:eastAsiaTheme="minorEastAsia" w:cstheme="minorBidi"/>
              <w:b w:val="0"/>
              <w:bCs w:val="0"/>
              <w:noProof/>
              <w:sz w:val="24"/>
              <w:szCs w:val="24"/>
            </w:rPr>
          </w:pPr>
          <w:hyperlink w:anchor="_Toc85613333" w:history="1">
            <w:r w:rsidR="00582F95" w:rsidRPr="00A0736A">
              <w:rPr>
                <w:rStyle w:val="Hyperlink"/>
                <w:noProof/>
              </w:rPr>
              <w:t>Principle #6: Target Setting</w:t>
            </w:r>
            <w:r w:rsidR="00582F95">
              <w:rPr>
                <w:noProof/>
                <w:webHidden/>
              </w:rPr>
              <w:tab/>
            </w:r>
            <w:r w:rsidR="00582F95">
              <w:rPr>
                <w:noProof/>
                <w:webHidden/>
              </w:rPr>
              <w:fldChar w:fldCharType="begin"/>
            </w:r>
            <w:r w:rsidR="00582F95">
              <w:rPr>
                <w:noProof/>
                <w:webHidden/>
              </w:rPr>
              <w:instrText xml:space="preserve"> PAGEREF _Toc85613333 \h </w:instrText>
            </w:r>
            <w:r w:rsidR="00582F95">
              <w:rPr>
                <w:noProof/>
                <w:webHidden/>
              </w:rPr>
            </w:r>
            <w:r w:rsidR="00582F95">
              <w:rPr>
                <w:noProof/>
                <w:webHidden/>
              </w:rPr>
              <w:fldChar w:fldCharType="separate"/>
            </w:r>
            <w:r w:rsidR="00582F95">
              <w:rPr>
                <w:noProof/>
                <w:webHidden/>
              </w:rPr>
              <w:t>35</w:t>
            </w:r>
            <w:r w:rsidR="00582F95">
              <w:rPr>
                <w:noProof/>
                <w:webHidden/>
              </w:rPr>
              <w:fldChar w:fldCharType="end"/>
            </w:r>
          </w:hyperlink>
        </w:p>
        <w:p w14:paraId="265E9DA1" w14:textId="259A67C6" w:rsidR="00582F95" w:rsidRDefault="003D2567">
          <w:pPr>
            <w:pStyle w:val="TOC3"/>
            <w:tabs>
              <w:tab w:val="right" w:leader="dot" w:pos="9350"/>
            </w:tabs>
            <w:rPr>
              <w:rFonts w:eastAsiaTheme="minorEastAsia" w:cstheme="minorBidi"/>
              <w:noProof/>
              <w:sz w:val="24"/>
              <w:szCs w:val="24"/>
            </w:rPr>
          </w:pPr>
          <w:hyperlink w:anchor="_Toc85613334" w:history="1">
            <w:r w:rsidR="00582F95" w:rsidRPr="00A0736A">
              <w:rPr>
                <w:rStyle w:val="Hyperlink"/>
                <w:rFonts w:ascii="Calibri" w:eastAsia="Times New Roman" w:hAnsi="Calibri" w:cs="Calibri"/>
                <w:noProof/>
              </w:rPr>
              <w:t>Option 1: Targets will be set by the PAs for Equity segment metrics following the collection of the first two program years of data (or a baseline has been set using reasonable proxy data)</w:t>
            </w:r>
            <w:r w:rsidR="00582F95">
              <w:rPr>
                <w:noProof/>
                <w:webHidden/>
              </w:rPr>
              <w:tab/>
            </w:r>
            <w:r w:rsidR="00582F95">
              <w:rPr>
                <w:noProof/>
                <w:webHidden/>
              </w:rPr>
              <w:fldChar w:fldCharType="begin"/>
            </w:r>
            <w:r w:rsidR="00582F95">
              <w:rPr>
                <w:noProof/>
                <w:webHidden/>
              </w:rPr>
              <w:instrText xml:space="preserve"> PAGEREF _Toc85613334 \h </w:instrText>
            </w:r>
            <w:r w:rsidR="00582F95">
              <w:rPr>
                <w:noProof/>
                <w:webHidden/>
              </w:rPr>
            </w:r>
            <w:r w:rsidR="00582F95">
              <w:rPr>
                <w:noProof/>
                <w:webHidden/>
              </w:rPr>
              <w:fldChar w:fldCharType="separate"/>
            </w:r>
            <w:r w:rsidR="00582F95">
              <w:rPr>
                <w:noProof/>
                <w:webHidden/>
              </w:rPr>
              <w:t>35</w:t>
            </w:r>
            <w:r w:rsidR="00582F95">
              <w:rPr>
                <w:noProof/>
                <w:webHidden/>
              </w:rPr>
              <w:fldChar w:fldCharType="end"/>
            </w:r>
          </w:hyperlink>
        </w:p>
        <w:p w14:paraId="16D1FB63" w14:textId="226D779C" w:rsidR="00582F95" w:rsidRDefault="003D2567">
          <w:pPr>
            <w:pStyle w:val="TOC3"/>
            <w:tabs>
              <w:tab w:val="right" w:leader="dot" w:pos="9350"/>
            </w:tabs>
            <w:rPr>
              <w:rFonts w:eastAsiaTheme="minorEastAsia" w:cstheme="minorBidi"/>
              <w:noProof/>
              <w:sz w:val="24"/>
              <w:szCs w:val="24"/>
            </w:rPr>
          </w:pPr>
          <w:hyperlink w:anchor="_Toc85613335" w:history="1">
            <w:r w:rsidR="00582F95" w:rsidRPr="00A0736A">
              <w:rPr>
                <w:rStyle w:val="Hyperlink"/>
                <w:rFonts w:ascii="Calibri" w:eastAsia="Times New Roman" w:hAnsi="Calibri" w:cs="Calibri"/>
                <w:noProof/>
              </w:rPr>
              <w:t>Option 2: In their Budget Applications, PAs will propose targets and/or set a date certain by which they will propose targets for all Equity segment metrics</w:t>
            </w:r>
            <w:r w:rsidR="00582F95">
              <w:rPr>
                <w:noProof/>
                <w:webHidden/>
              </w:rPr>
              <w:tab/>
            </w:r>
            <w:r w:rsidR="00582F95">
              <w:rPr>
                <w:noProof/>
                <w:webHidden/>
              </w:rPr>
              <w:fldChar w:fldCharType="begin"/>
            </w:r>
            <w:r w:rsidR="00582F95">
              <w:rPr>
                <w:noProof/>
                <w:webHidden/>
              </w:rPr>
              <w:instrText xml:space="preserve"> PAGEREF _Toc85613335 \h </w:instrText>
            </w:r>
            <w:r w:rsidR="00582F95">
              <w:rPr>
                <w:noProof/>
                <w:webHidden/>
              </w:rPr>
            </w:r>
            <w:r w:rsidR="00582F95">
              <w:rPr>
                <w:noProof/>
                <w:webHidden/>
              </w:rPr>
              <w:fldChar w:fldCharType="separate"/>
            </w:r>
            <w:r w:rsidR="00582F95">
              <w:rPr>
                <w:noProof/>
                <w:webHidden/>
              </w:rPr>
              <w:t>35</w:t>
            </w:r>
            <w:r w:rsidR="00582F95">
              <w:rPr>
                <w:noProof/>
                <w:webHidden/>
              </w:rPr>
              <w:fldChar w:fldCharType="end"/>
            </w:r>
          </w:hyperlink>
        </w:p>
        <w:p w14:paraId="10A5CCE6" w14:textId="74E4AB9C" w:rsidR="00582F95" w:rsidRDefault="003D2567">
          <w:pPr>
            <w:pStyle w:val="TOC2"/>
            <w:tabs>
              <w:tab w:val="right" w:leader="dot" w:pos="9350"/>
            </w:tabs>
            <w:rPr>
              <w:rFonts w:eastAsiaTheme="minorEastAsia" w:cstheme="minorBidi"/>
              <w:b w:val="0"/>
              <w:bCs w:val="0"/>
              <w:noProof/>
              <w:sz w:val="24"/>
              <w:szCs w:val="24"/>
            </w:rPr>
          </w:pPr>
          <w:hyperlink w:anchor="_Toc85613336" w:history="1">
            <w:r w:rsidR="00582F95" w:rsidRPr="00A0736A">
              <w:rPr>
                <w:rStyle w:val="Hyperlink"/>
                <w:noProof/>
              </w:rPr>
              <w:t>Community Engagement as a Principle or Indicator</w:t>
            </w:r>
            <w:r w:rsidR="00582F95">
              <w:rPr>
                <w:noProof/>
                <w:webHidden/>
              </w:rPr>
              <w:tab/>
            </w:r>
            <w:r w:rsidR="00582F95">
              <w:rPr>
                <w:noProof/>
                <w:webHidden/>
              </w:rPr>
              <w:fldChar w:fldCharType="begin"/>
            </w:r>
            <w:r w:rsidR="00582F95">
              <w:rPr>
                <w:noProof/>
                <w:webHidden/>
              </w:rPr>
              <w:instrText xml:space="preserve"> PAGEREF _Toc85613336 \h </w:instrText>
            </w:r>
            <w:r w:rsidR="00582F95">
              <w:rPr>
                <w:noProof/>
                <w:webHidden/>
              </w:rPr>
            </w:r>
            <w:r w:rsidR="00582F95">
              <w:rPr>
                <w:noProof/>
                <w:webHidden/>
              </w:rPr>
              <w:fldChar w:fldCharType="separate"/>
            </w:r>
            <w:r w:rsidR="00582F95">
              <w:rPr>
                <w:noProof/>
                <w:webHidden/>
              </w:rPr>
              <w:t>35</w:t>
            </w:r>
            <w:r w:rsidR="00582F95">
              <w:rPr>
                <w:noProof/>
                <w:webHidden/>
              </w:rPr>
              <w:fldChar w:fldCharType="end"/>
            </w:r>
          </w:hyperlink>
        </w:p>
        <w:p w14:paraId="43B2556B" w14:textId="0C3AC874" w:rsidR="00582F95" w:rsidRDefault="003D2567">
          <w:pPr>
            <w:pStyle w:val="TOC3"/>
            <w:tabs>
              <w:tab w:val="right" w:leader="dot" w:pos="9350"/>
            </w:tabs>
            <w:rPr>
              <w:rFonts w:eastAsiaTheme="minorEastAsia" w:cstheme="minorBidi"/>
              <w:noProof/>
              <w:sz w:val="24"/>
              <w:szCs w:val="24"/>
            </w:rPr>
          </w:pPr>
          <w:hyperlink w:anchor="_Toc85613337" w:history="1">
            <w:r w:rsidR="00582F95" w:rsidRPr="00A0736A">
              <w:rPr>
                <w:rStyle w:val="Hyperlink"/>
                <w:rFonts w:ascii="Calibri" w:eastAsia="Times New Roman" w:hAnsi="Calibri" w:cs="Calibri"/>
                <w:noProof/>
              </w:rPr>
              <w:t>Option 1: Community engagement as an Indicator</w:t>
            </w:r>
            <w:r w:rsidR="00582F95">
              <w:rPr>
                <w:noProof/>
                <w:webHidden/>
              </w:rPr>
              <w:tab/>
            </w:r>
            <w:r w:rsidR="00582F95">
              <w:rPr>
                <w:noProof/>
                <w:webHidden/>
              </w:rPr>
              <w:fldChar w:fldCharType="begin"/>
            </w:r>
            <w:r w:rsidR="00582F95">
              <w:rPr>
                <w:noProof/>
                <w:webHidden/>
              </w:rPr>
              <w:instrText xml:space="preserve"> PAGEREF _Toc85613337 \h </w:instrText>
            </w:r>
            <w:r w:rsidR="00582F95">
              <w:rPr>
                <w:noProof/>
                <w:webHidden/>
              </w:rPr>
            </w:r>
            <w:r w:rsidR="00582F95">
              <w:rPr>
                <w:noProof/>
                <w:webHidden/>
              </w:rPr>
              <w:fldChar w:fldCharType="separate"/>
            </w:r>
            <w:r w:rsidR="00582F95">
              <w:rPr>
                <w:noProof/>
                <w:webHidden/>
              </w:rPr>
              <w:t>35</w:t>
            </w:r>
            <w:r w:rsidR="00582F95">
              <w:rPr>
                <w:noProof/>
                <w:webHidden/>
              </w:rPr>
              <w:fldChar w:fldCharType="end"/>
            </w:r>
          </w:hyperlink>
        </w:p>
        <w:p w14:paraId="2B83B6C0" w14:textId="24978138" w:rsidR="00582F95" w:rsidRDefault="003D2567">
          <w:pPr>
            <w:pStyle w:val="TOC3"/>
            <w:tabs>
              <w:tab w:val="right" w:leader="dot" w:pos="9350"/>
            </w:tabs>
            <w:rPr>
              <w:rFonts w:eastAsiaTheme="minorEastAsia" w:cstheme="minorBidi"/>
              <w:noProof/>
              <w:sz w:val="24"/>
              <w:szCs w:val="24"/>
            </w:rPr>
          </w:pPr>
          <w:hyperlink w:anchor="_Toc85613338" w:history="1">
            <w:r w:rsidR="00582F95" w:rsidRPr="00A0736A">
              <w:rPr>
                <w:rStyle w:val="Hyperlink"/>
                <w:rFonts w:ascii="Calibri" w:eastAsia="Times New Roman" w:hAnsi="Calibri" w:cs="Calibri"/>
                <w:noProof/>
              </w:rPr>
              <w:t>Option 2: Community engagement as a Principle</w:t>
            </w:r>
            <w:r w:rsidR="00582F95">
              <w:rPr>
                <w:noProof/>
                <w:webHidden/>
              </w:rPr>
              <w:tab/>
            </w:r>
            <w:r w:rsidR="00582F95">
              <w:rPr>
                <w:noProof/>
                <w:webHidden/>
              </w:rPr>
              <w:fldChar w:fldCharType="begin"/>
            </w:r>
            <w:r w:rsidR="00582F95">
              <w:rPr>
                <w:noProof/>
                <w:webHidden/>
              </w:rPr>
              <w:instrText xml:space="preserve"> PAGEREF _Toc85613338 \h </w:instrText>
            </w:r>
            <w:r w:rsidR="00582F95">
              <w:rPr>
                <w:noProof/>
                <w:webHidden/>
              </w:rPr>
            </w:r>
            <w:r w:rsidR="00582F95">
              <w:rPr>
                <w:noProof/>
                <w:webHidden/>
              </w:rPr>
              <w:fldChar w:fldCharType="separate"/>
            </w:r>
            <w:r w:rsidR="00582F95">
              <w:rPr>
                <w:noProof/>
                <w:webHidden/>
              </w:rPr>
              <w:t>36</w:t>
            </w:r>
            <w:r w:rsidR="00582F95">
              <w:rPr>
                <w:noProof/>
                <w:webHidden/>
              </w:rPr>
              <w:fldChar w:fldCharType="end"/>
            </w:r>
          </w:hyperlink>
        </w:p>
        <w:p w14:paraId="7706A529" w14:textId="6922FA6E" w:rsidR="00582F95" w:rsidRDefault="003D2567">
          <w:pPr>
            <w:pStyle w:val="TOC2"/>
            <w:tabs>
              <w:tab w:val="right" w:leader="dot" w:pos="9350"/>
            </w:tabs>
            <w:rPr>
              <w:rFonts w:eastAsiaTheme="minorEastAsia" w:cstheme="minorBidi"/>
              <w:b w:val="0"/>
              <w:bCs w:val="0"/>
              <w:noProof/>
              <w:sz w:val="24"/>
              <w:szCs w:val="24"/>
            </w:rPr>
          </w:pPr>
          <w:hyperlink w:anchor="_Toc85613339" w:history="1">
            <w:r w:rsidR="00582F95" w:rsidRPr="00A0736A">
              <w:rPr>
                <w:rStyle w:val="Hyperlink"/>
                <w:noProof/>
              </w:rPr>
              <w:t>Underserved Definition</w:t>
            </w:r>
            <w:r w:rsidR="00582F95">
              <w:rPr>
                <w:noProof/>
                <w:webHidden/>
              </w:rPr>
              <w:tab/>
            </w:r>
            <w:r w:rsidR="00582F95">
              <w:rPr>
                <w:noProof/>
                <w:webHidden/>
              </w:rPr>
              <w:fldChar w:fldCharType="begin"/>
            </w:r>
            <w:r w:rsidR="00582F95">
              <w:rPr>
                <w:noProof/>
                <w:webHidden/>
              </w:rPr>
              <w:instrText xml:space="preserve"> PAGEREF _Toc85613339 \h </w:instrText>
            </w:r>
            <w:r w:rsidR="00582F95">
              <w:rPr>
                <w:noProof/>
                <w:webHidden/>
              </w:rPr>
            </w:r>
            <w:r w:rsidR="00582F95">
              <w:rPr>
                <w:noProof/>
                <w:webHidden/>
              </w:rPr>
              <w:fldChar w:fldCharType="separate"/>
            </w:r>
            <w:r w:rsidR="00582F95">
              <w:rPr>
                <w:noProof/>
                <w:webHidden/>
              </w:rPr>
              <w:t>36</w:t>
            </w:r>
            <w:r w:rsidR="00582F95">
              <w:rPr>
                <w:noProof/>
                <w:webHidden/>
              </w:rPr>
              <w:fldChar w:fldCharType="end"/>
            </w:r>
          </w:hyperlink>
        </w:p>
        <w:p w14:paraId="54FB05B0" w14:textId="38E36252" w:rsidR="00582F95" w:rsidRDefault="003D2567">
          <w:pPr>
            <w:pStyle w:val="TOC3"/>
            <w:tabs>
              <w:tab w:val="right" w:leader="dot" w:pos="9350"/>
            </w:tabs>
            <w:rPr>
              <w:rFonts w:eastAsiaTheme="minorEastAsia" w:cstheme="minorBidi"/>
              <w:noProof/>
              <w:sz w:val="24"/>
              <w:szCs w:val="24"/>
            </w:rPr>
          </w:pPr>
          <w:hyperlink w:anchor="_Toc85613340" w:history="1">
            <w:r w:rsidR="00582F95" w:rsidRPr="00A0736A">
              <w:rPr>
                <w:rStyle w:val="Hyperlink"/>
                <w:rFonts w:ascii="Calibri" w:eastAsia="Times New Roman" w:hAnsi="Calibri" w:cs="Calibri"/>
                <w:noProof/>
              </w:rPr>
              <w:t>Option 1: Use ESJ Action Plan Definition</w:t>
            </w:r>
            <w:r w:rsidR="00582F95">
              <w:rPr>
                <w:noProof/>
                <w:webHidden/>
              </w:rPr>
              <w:tab/>
            </w:r>
            <w:r w:rsidR="00582F95">
              <w:rPr>
                <w:noProof/>
                <w:webHidden/>
              </w:rPr>
              <w:fldChar w:fldCharType="begin"/>
            </w:r>
            <w:r w:rsidR="00582F95">
              <w:rPr>
                <w:noProof/>
                <w:webHidden/>
              </w:rPr>
              <w:instrText xml:space="preserve"> PAGEREF _Toc85613340 \h </w:instrText>
            </w:r>
            <w:r w:rsidR="00582F95">
              <w:rPr>
                <w:noProof/>
                <w:webHidden/>
              </w:rPr>
            </w:r>
            <w:r w:rsidR="00582F95">
              <w:rPr>
                <w:noProof/>
                <w:webHidden/>
              </w:rPr>
              <w:fldChar w:fldCharType="separate"/>
            </w:r>
            <w:r w:rsidR="00582F95">
              <w:rPr>
                <w:noProof/>
                <w:webHidden/>
              </w:rPr>
              <w:t>36</w:t>
            </w:r>
            <w:r w:rsidR="00582F95">
              <w:rPr>
                <w:noProof/>
                <w:webHidden/>
              </w:rPr>
              <w:fldChar w:fldCharType="end"/>
            </w:r>
          </w:hyperlink>
        </w:p>
        <w:p w14:paraId="3D160B14" w14:textId="550D2A29" w:rsidR="00582F95" w:rsidRDefault="003D2567">
          <w:pPr>
            <w:pStyle w:val="TOC3"/>
            <w:tabs>
              <w:tab w:val="right" w:leader="dot" w:pos="9350"/>
            </w:tabs>
            <w:rPr>
              <w:rFonts w:eastAsiaTheme="minorEastAsia" w:cstheme="minorBidi"/>
              <w:noProof/>
              <w:sz w:val="24"/>
              <w:szCs w:val="24"/>
            </w:rPr>
          </w:pPr>
          <w:hyperlink w:anchor="_Toc85613341" w:history="1">
            <w:r w:rsidR="00582F95" w:rsidRPr="00A0736A">
              <w:rPr>
                <w:rStyle w:val="Hyperlink"/>
                <w:rFonts w:ascii="Calibri" w:eastAsia="Times New Roman" w:hAnsi="Calibri" w:cs="Calibri"/>
                <w:noProof/>
              </w:rPr>
              <w:t>Option 2: Use ESJ Action Plan Definition + allow an avenue for PAs to propose additional ‘underserved’ with rationale</w:t>
            </w:r>
            <w:r w:rsidR="00582F95">
              <w:rPr>
                <w:noProof/>
                <w:webHidden/>
              </w:rPr>
              <w:tab/>
            </w:r>
            <w:r w:rsidR="00582F95">
              <w:rPr>
                <w:noProof/>
                <w:webHidden/>
              </w:rPr>
              <w:fldChar w:fldCharType="begin"/>
            </w:r>
            <w:r w:rsidR="00582F95">
              <w:rPr>
                <w:noProof/>
                <w:webHidden/>
              </w:rPr>
              <w:instrText xml:space="preserve"> PAGEREF _Toc85613341 \h </w:instrText>
            </w:r>
            <w:r w:rsidR="00582F95">
              <w:rPr>
                <w:noProof/>
                <w:webHidden/>
              </w:rPr>
            </w:r>
            <w:r w:rsidR="00582F95">
              <w:rPr>
                <w:noProof/>
                <w:webHidden/>
              </w:rPr>
              <w:fldChar w:fldCharType="separate"/>
            </w:r>
            <w:r w:rsidR="00582F95">
              <w:rPr>
                <w:noProof/>
                <w:webHidden/>
              </w:rPr>
              <w:t>36</w:t>
            </w:r>
            <w:r w:rsidR="00582F95">
              <w:rPr>
                <w:noProof/>
                <w:webHidden/>
              </w:rPr>
              <w:fldChar w:fldCharType="end"/>
            </w:r>
          </w:hyperlink>
        </w:p>
        <w:p w14:paraId="11B3C573" w14:textId="1AB0603A" w:rsidR="00582F95" w:rsidRDefault="003D2567">
          <w:pPr>
            <w:pStyle w:val="TOC3"/>
            <w:tabs>
              <w:tab w:val="right" w:leader="dot" w:pos="9350"/>
            </w:tabs>
            <w:rPr>
              <w:rFonts w:eastAsiaTheme="minorEastAsia" w:cstheme="minorBidi"/>
              <w:noProof/>
              <w:sz w:val="24"/>
              <w:szCs w:val="24"/>
            </w:rPr>
          </w:pPr>
          <w:hyperlink w:anchor="_Toc85613342" w:history="1">
            <w:r w:rsidR="00582F95" w:rsidRPr="00A0736A">
              <w:rPr>
                <w:rStyle w:val="Hyperlink"/>
                <w:rFonts w:ascii="Calibri" w:eastAsia="Times New Roman" w:hAnsi="Calibri" w:cs="Calibri"/>
                <w:noProof/>
              </w:rPr>
              <w:t>Option 3: Allow the PAs to determine Underserved</w:t>
            </w:r>
            <w:r w:rsidR="00582F95">
              <w:rPr>
                <w:noProof/>
                <w:webHidden/>
              </w:rPr>
              <w:tab/>
            </w:r>
            <w:r w:rsidR="00582F95">
              <w:rPr>
                <w:noProof/>
                <w:webHidden/>
              </w:rPr>
              <w:fldChar w:fldCharType="begin"/>
            </w:r>
            <w:r w:rsidR="00582F95">
              <w:rPr>
                <w:noProof/>
                <w:webHidden/>
              </w:rPr>
              <w:instrText xml:space="preserve"> PAGEREF _Toc85613342 \h </w:instrText>
            </w:r>
            <w:r w:rsidR="00582F95">
              <w:rPr>
                <w:noProof/>
                <w:webHidden/>
              </w:rPr>
            </w:r>
            <w:r w:rsidR="00582F95">
              <w:rPr>
                <w:noProof/>
                <w:webHidden/>
              </w:rPr>
              <w:fldChar w:fldCharType="separate"/>
            </w:r>
            <w:r w:rsidR="00582F95">
              <w:rPr>
                <w:noProof/>
                <w:webHidden/>
              </w:rPr>
              <w:t>37</w:t>
            </w:r>
            <w:r w:rsidR="00582F95">
              <w:rPr>
                <w:noProof/>
                <w:webHidden/>
              </w:rPr>
              <w:fldChar w:fldCharType="end"/>
            </w:r>
          </w:hyperlink>
        </w:p>
        <w:p w14:paraId="38AA95AF" w14:textId="6BB86DE8" w:rsidR="00582F95" w:rsidRDefault="003D2567">
          <w:pPr>
            <w:pStyle w:val="TOC1"/>
            <w:rPr>
              <w:rFonts w:eastAsiaTheme="minorEastAsia" w:cstheme="minorBidi"/>
              <w:noProof/>
            </w:rPr>
          </w:pPr>
          <w:hyperlink w:anchor="_Toc85613343" w:history="1">
            <w:r w:rsidR="00582F95" w:rsidRPr="00A0736A">
              <w:rPr>
                <w:rStyle w:val="Hyperlink"/>
                <w:rFonts w:ascii="Calibri" w:hAnsi="Calibri" w:cs="Calibri"/>
                <w:noProof/>
              </w:rPr>
              <w:t>Appendix D: Equity Metrics Workshop Participation and Input</w:t>
            </w:r>
            <w:r w:rsidR="00582F95">
              <w:rPr>
                <w:noProof/>
                <w:webHidden/>
              </w:rPr>
              <w:tab/>
            </w:r>
            <w:r w:rsidR="00582F95">
              <w:rPr>
                <w:noProof/>
                <w:webHidden/>
              </w:rPr>
              <w:fldChar w:fldCharType="begin"/>
            </w:r>
            <w:r w:rsidR="00582F95">
              <w:rPr>
                <w:noProof/>
                <w:webHidden/>
              </w:rPr>
              <w:instrText xml:space="preserve"> PAGEREF _Toc85613343 \h </w:instrText>
            </w:r>
            <w:r w:rsidR="00582F95">
              <w:rPr>
                <w:noProof/>
                <w:webHidden/>
              </w:rPr>
            </w:r>
            <w:r w:rsidR="00582F95">
              <w:rPr>
                <w:noProof/>
                <w:webHidden/>
              </w:rPr>
              <w:fldChar w:fldCharType="separate"/>
            </w:r>
            <w:r w:rsidR="00582F95">
              <w:rPr>
                <w:noProof/>
                <w:webHidden/>
              </w:rPr>
              <w:t>38</w:t>
            </w:r>
            <w:r w:rsidR="00582F95">
              <w:rPr>
                <w:noProof/>
                <w:webHidden/>
              </w:rPr>
              <w:fldChar w:fldCharType="end"/>
            </w:r>
          </w:hyperlink>
        </w:p>
        <w:p w14:paraId="033D2A4D" w14:textId="1F1ACF5A" w:rsidR="00582F95" w:rsidRDefault="003D2567">
          <w:pPr>
            <w:pStyle w:val="TOC2"/>
            <w:tabs>
              <w:tab w:val="right" w:leader="dot" w:pos="9350"/>
            </w:tabs>
            <w:rPr>
              <w:rFonts w:eastAsiaTheme="minorEastAsia" w:cstheme="minorBidi"/>
              <w:b w:val="0"/>
              <w:bCs w:val="0"/>
              <w:noProof/>
              <w:sz w:val="24"/>
              <w:szCs w:val="24"/>
            </w:rPr>
          </w:pPr>
          <w:hyperlink w:anchor="_Toc85613344" w:history="1">
            <w:r w:rsidR="00582F95" w:rsidRPr="00A0736A">
              <w:rPr>
                <w:rStyle w:val="Hyperlink"/>
                <w:noProof/>
              </w:rPr>
              <w:t>D.1 Background</w:t>
            </w:r>
            <w:r w:rsidR="00582F95">
              <w:rPr>
                <w:noProof/>
                <w:webHidden/>
              </w:rPr>
              <w:tab/>
            </w:r>
            <w:r w:rsidR="00582F95">
              <w:rPr>
                <w:noProof/>
                <w:webHidden/>
              </w:rPr>
              <w:fldChar w:fldCharType="begin"/>
            </w:r>
            <w:r w:rsidR="00582F95">
              <w:rPr>
                <w:noProof/>
                <w:webHidden/>
              </w:rPr>
              <w:instrText xml:space="preserve"> PAGEREF _Toc85613344 \h </w:instrText>
            </w:r>
            <w:r w:rsidR="00582F95">
              <w:rPr>
                <w:noProof/>
                <w:webHidden/>
              </w:rPr>
            </w:r>
            <w:r w:rsidR="00582F95">
              <w:rPr>
                <w:noProof/>
                <w:webHidden/>
              </w:rPr>
              <w:fldChar w:fldCharType="separate"/>
            </w:r>
            <w:r w:rsidR="00582F95">
              <w:rPr>
                <w:noProof/>
                <w:webHidden/>
              </w:rPr>
              <w:t>38</w:t>
            </w:r>
            <w:r w:rsidR="00582F95">
              <w:rPr>
                <w:noProof/>
                <w:webHidden/>
              </w:rPr>
              <w:fldChar w:fldCharType="end"/>
            </w:r>
          </w:hyperlink>
        </w:p>
        <w:p w14:paraId="5C8C89A3" w14:textId="00C6E771" w:rsidR="00582F95" w:rsidRDefault="003D2567">
          <w:pPr>
            <w:pStyle w:val="TOC2"/>
            <w:tabs>
              <w:tab w:val="right" w:leader="dot" w:pos="9350"/>
            </w:tabs>
            <w:rPr>
              <w:rFonts w:eastAsiaTheme="minorEastAsia" w:cstheme="minorBidi"/>
              <w:b w:val="0"/>
              <w:bCs w:val="0"/>
              <w:noProof/>
              <w:sz w:val="24"/>
              <w:szCs w:val="24"/>
            </w:rPr>
          </w:pPr>
          <w:hyperlink w:anchor="_Toc85613345" w:history="1">
            <w:r w:rsidR="00582F95" w:rsidRPr="00A0736A">
              <w:rPr>
                <w:rStyle w:val="Hyperlink"/>
                <w:noProof/>
              </w:rPr>
              <w:t>D.2 Workshop Attendee List</w:t>
            </w:r>
            <w:r w:rsidR="00582F95">
              <w:rPr>
                <w:noProof/>
                <w:webHidden/>
              </w:rPr>
              <w:tab/>
            </w:r>
            <w:r w:rsidR="00582F95">
              <w:rPr>
                <w:noProof/>
                <w:webHidden/>
              </w:rPr>
              <w:fldChar w:fldCharType="begin"/>
            </w:r>
            <w:r w:rsidR="00582F95">
              <w:rPr>
                <w:noProof/>
                <w:webHidden/>
              </w:rPr>
              <w:instrText xml:space="preserve"> PAGEREF _Toc85613345 \h </w:instrText>
            </w:r>
            <w:r w:rsidR="00582F95">
              <w:rPr>
                <w:noProof/>
                <w:webHidden/>
              </w:rPr>
            </w:r>
            <w:r w:rsidR="00582F95">
              <w:rPr>
                <w:noProof/>
                <w:webHidden/>
              </w:rPr>
              <w:fldChar w:fldCharType="separate"/>
            </w:r>
            <w:r w:rsidR="00582F95">
              <w:rPr>
                <w:noProof/>
                <w:webHidden/>
              </w:rPr>
              <w:t>38</w:t>
            </w:r>
            <w:r w:rsidR="00582F95">
              <w:rPr>
                <w:noProof/>
                <w:webHidden/>
              </w:rPr>
              <w:fldChar w:fldCharType="end"/>
            </w:r>
          </w:hyperlink>
        </w:p>
        <w:p w14:paraId="16891EDE" w14:textId="28E3A300" w:rsidR="00582F95" w:rsidRDefault="003D2567">
          <w:pPr>
            <w:pStyle w:val="TOC2"/>
            <w:tabs>
              <w:tab w:val="right" w:leader="dot" w:pos="9350"/>
            </w:tabs>
            <w:rPr>
              <w:rFonts w:eastAsiaTheme="minorEastAsia" w:cstheme="minorBidi"/>
              <w:b w:val="0"/>
              <w:bCs w:val="0"/>
              <w:noProof/>
              <w:sz w:val="24"/>
              <w:szCs w:val="24"/>
            </w:rPr>
          </w:pPr>
          <w:hyperlink w:anchor="_Toc85613346" w:history="1">
            <w:r w:rsidR="00582F95" w:rsidRPr="00A0736A">
              <w:rPr>
                <w:rStyle w:val="Hyperlink"/>
                <w:noProof/>
              </w:rPr>
              <w:t>D.3 Summary of Input from Breakout Groups</w:t>
            </w:r>
            <w:r w:rsidR="00582F95">
              <w:rPr>
                <w:noProof/>
                <w:webHidden/>
              </w:rPr>
              <w:tab/>
            </w:r>
            <w:r w:rsidR="00582F95">
              <w:rPr>
                <w:noProof/>
                <w:webHidden/>
              </w:rPr>
              <w:fldChar w:fldCharType="begin"/>
            </w:r>
            <w:r w:rsidR="00582F95">
              <w:rPr>
                <w:noProof/>
                <w:webHidden/>
              </w:rPr>
              <w:instrText xml:space="preserve"> PAGEREF _Toc85613346 \h </w:instrText>
            </w:r>
            <w:r w:rsidR="00582F95">
              <w:rPr>
                <w:noProof/>
                <w:webHidden/>
              </w:rPr>
            </w:r>
            <w:r w:rsidR="00582F95">
              <w:rPr>
                <w:noProof/>
                <w:webHidden/>
              </w:rPr>
              <w:fldChar w:fldCharType="separate"/>
            </w:r>
            <w:r w:rsidR="00582F95">
              <w:rPr>
                <w:noProof/>
                <w:webHidden/>
              </w:rPr>
              <w:t>42</w:t>
            </w:r>
            <w:r w:rsidR="00582F95">
              <w:rPr>
                <w:noProof/>
                <w:webHidden/>
              </w:rPr>
              <w:fldChar w:fldCharType="end"/>
            </w:r>
          </w:hyperlink>
        </w:p>
        <w:p w14:paraId="2571DD4D" w14:textId="1E4DD7B6" w:rsidR="00582F95" w:rsidRDefault="003D2567">
          <w:pPr>
            <w:pStyle w:val="TOC1"/>
            <w:rPr>
              <w:rFonts w:eastAsiaTheme="minorEastAsia" w:cstheme="minorBidi"/>
              <w:noProof/>
            </w:rPr>
          </w:pPr>
          <w:hyperlink w:anchor="_Toc85613347" w:history="1">
            <w:r w:rsidR="00582F95" w:rsidRPr="00A0736A">
              <w:rPr>
                <w:rStyle w:val="Hyperlink"/>
                <w:rFonts w:ascii="Calibri" w:hAnsi="Calibri" w:cs="Calibri"/>
                <w:noProof/>
              </w:rPr>
              <w:t>Appendix E: Small-Medium Business Definition</w:t>
            </w:r>
            <w:r w:rsidR="00582F95">
              <w:rPr>
                <w:noProof/>
                <w:webHidden/>
              </w:rPr>
              <w:tab/>
            </w:r>
            <w:r w:rsidR="00582F95">
              <w:rPr>
                <w:noProof/>
                <w:webHidden/>
              </w:rPr>
              <w:fldChar w:fldCharType="begin"/>
            </w:r>
            <w:r w:rsidR="00582F95">
              <w:rPr>
                <w:noProof/>
                <w:webHidden/>
              </w:rPr>
              <w:instrText xml:space="preserve"> PAGEREF _Toc85613347 \h </w:instrText>
            </w:r>
            <w:r w:rsidR="00582F95">
              <w:rPr>
                <w:noProof/>
                <w:webHidden/>
              </w:rPr>
            </w:r>
            <w:r w:rsidR="00582F95">
              <w:rPr>
                <w:noProof/>
                <w:webHidden/>
              </w:rPr>
              <w:fldChar w:fldCharType="separate"/>
            </w:r>
            <w:r w:rsidR="00582F95">
              <w:rPr>
                <w:noProof/>
                <w:webHidden/>
              </w:rPr>
              <w:t>49</w:t>
            </w:r>
            <w:r w:rsidR="00582F95">
              <w:rPr>
                <w:noProof/>
                <w:webHidden/>
              </w:rPr>
              <w:fldChar w:fldCharType="end"/>
            </w:r>
          </w:hyperlink>
        </w:p>
        <w:p w14:paraId="20178F12" w14:textId="32164631" w:rsidR="00BF481D" w:rsidRPr="00BD1D99" w:rsidRDefault="00756006" w:rsidP="00BD1D99">
          <w:pPr>
            <w:spacing w:line="276" w:lineRule="auto"/>
            <w:rPr>
              <w:rFonts w:ascii="Calibri" w:hAnsi="Calibri" w:cs="Calibri"/>
            </w:rPr>
          </w:pPr>
          <w:r w:rsidRPr="00BD1D99">
            <w:rPr>
              <w:rFonts w:ascii="Calibri" w:hAnsi="Calibri" w:cs="Calibri"/>
              <w:b/>
              <w:bCs/>
              <w:noProof/>
            </w:rPr>
            <w:fldChar w:fldCharType="end"/>
          </w:r>
        </w:p>
      </w:sdtContent>
    </w:sdt>
    <w:p w14:paraId="38E417E1" w14:textId="74245614" w:rsidR="00E952C4" w:rsidRPr="008028ED" w:rsidRDefault="00E952C4" w:rsidP="00BD1D99">
      <w:pPr>
        <w:pStyle w:val="TOCHeading"/>
        <w:spacing w:line="276" w:lineRule="auto"/>
        <w:rPr>
          <w:rFonts w:ascii="Calibri" w:hAnsi="Calibri" w:cs="Calibri"/>
        </w:rPr>
      </w:pPr>
      <w:r w:rsidRPr="008028ED">
        <w:rPr>
          <w:rFonts w:ascii="Calibri" w:hAnsi="Calibri" w:cs="Calibri"/>
        </w:rPr>
        <w:t>Table of</w:t>
      </w:r>
      <w:r w:rsidR="00685522" w:rsidRPr="008028ED">
        <w:rPr>
          <w:rFonts w:ascii="Calibri" w:hAnsi="Calibri" w:cs="Calibri"/>
        </w:rPr>
        <w:t xml:space="preserve"> </w:t>
      </w:r>
      <w:r w:rsidRPr="008028ED">
        <w:rPr>
          <w:rFonts w:ascii="Calibri" w:hAnsi="Calibri" w:cs="Calibri"/>
        </w:rPr>
        <w:t>Figures</w:t>
      </w:r>
    </w:p>
    <w:p w14:paraId="7B51176C" w14:textId="15048B0C" w:rsidR="00582F95" w:rsidRDefault="00E952C4">
      <w:pPr>
        <w:pStyle w:val="TableofFigures"/>
        <w:tabs>
          <w:tab w:val="right" w:leader="dot" w:pos="9350"/>
        </w:tabs>
        <w:rPr>
          <w:rFonts w:eastAsiaTheme="minorEastAsia"/>
          <w:noProof/>
        </w:rPr>
      </w:pPr>
      <w:r w:rsidRPr="008028ED">
        <w:rPr>
          <w:rFonts w:ascii="Calibri" w:hAnsi="Calibri" w:cs="Calibri"/>
        </w:rPr>
        <w:fldChar w:fldCharType="begin"/>
      </w:r>
      <w:r w:rsidRPr="008028ED">
        <w:rPr>
          <w:rFonts w:ascii="Calibri" w:hAnsi="Calibri" w:cs="Calibri"/>
        </w:rPr>
        <w:instrText xml:space="preserve"> TOC \h \z \c "Figure" </w:instrText>
      </w:r>
      <w:r w:rsidRPr="008028ED">
        <w:rPr>
          <w:rFonts w:ascii="Calibri" w:hAnsi="Calibri" w:cs="Calibri"/>
        </w:rPr>
        <w:fldChar w:fldCharType="separate"/>
      </w:r>
      <w:hyperlink w:anchor="_Toc85613348" w:history="1">
        <w:r w:rsidR="00582F95" w:rsidRPr="001B39BA">
          <w:rPr>
            <w:rStyle w:val="Hyperlink"/>
            <w:rFonts w:ascii="Calibri" w:hAnsi="Calibri" w:cs="Calibri"/>
            <w:noProof/>
          </w:rPr>
          <w:t>Figure 1: Structure: Objectives, Metrics, Targets, and Indicators</w:t>
        </w:r>
        <w:r w:rsidR="00582F95">
          <w:rPr>
            <w:noProof/>
            <w:webHidden/>
          </w:rPr>
          <w:tab/>
        </w:r>
        <w:r w:rsidR="00582F95">
          <w:rPr>
            <w:noProof/>
            <w:webHidden/>
          </w:rPr>
          <w:fldChar w:fldCharType="begin"/>
        </w:r>
        <w:r w:rsidR="00582F95">
          <w:rPr>
            <w:noProof/>
            <w:webHidden/>
          </w:rPr>
          <w:instrText xml:space="preserve"> PAGEREF _Toc85613348 \h </w:instrText>
        </w:r>
        <w:r w:rsidR="00582F95">
          <w:rPr>
            <w:noProof/>
            <w:webHidden/>
          </w:rPr>
        </w:r>
        <w:r w:rsidR="00582F95">
          <w:rPr>
            <w:noProof/>
            <w:webHidden/>
          </w:rPr>
          <w:fldChar w:fldCharType="separate"/>
        </w:r>
        <w:r w:rsidR="00582F95">
          <w:rPr>
            <w:noProof/>
            <w:webHidden/>
          </w:rPr>
          <w:t>8</w:t>
        </w:r>
        <w:r w:rsidR="00582F95">
          <w:rPr>
            <w:noProof/>
            <w:webHidden/>
          </w:rPr>
          <w:fldChar w:fldCharType="end"/>
        </w:r>
      </w:hyperlink>
    </w:p>
    <w:p w14:paraId="73987321" w14:textId="28985518" w:rsidR="00604221" w:rsidRPr="008028ED" w:rsidRDefault="00E952C4" w:rsidP="008028ED">
      <w:pPr>
        <w:keepNext/>
        <w:spacing w:line="276" w:lineRule="auto"/>
      </w:pPr>
      <w:r w:rsidRPr="008028ED">
        <w:rPr>
          <w:rFonts w:ascii="Calibri" w:hAnsi="Calibri" w:cs="Calibri"/>
        </w:rPr>
        <w:fldChar w:fldCharType="end"/>
      </w:r>
      <w:r w:rsidR="00604221" w:rsidRPr="008028ED">
        <w:rPr>
          <w:rFonts w:ascii="Calibri" w:hAnsi="Calibri" w:cs="Calibri"/>
        </w:rPr>
        <w:t>Figure B.1: Example Visual Illustration of Community Engagement Option 1 Proposal…………….3</w:t>
      </w:r>
      <w:r w:rsidR="00D47F8B">
        <w:rPr>
          <w:rFonts w:ascii="Calibri" w:hAnsi="Calibri" w:cs="Calibri"/>
        </w:rPr>
        <w:t>1</w:t>
      </w:r>
    </w:p>
    <w:p w14:paraId="6456FCF6" w14:textId="770532BC" w:rsidR="00604221" w:rsidRPr="008028ED" w:rsidRDefault="00987389" w:rsidP="008028ED">
      <w:pPr>
        <w:spacing w:line="276" w:lineRule="auto"/>
        <w:rPr>
          <w:rFonts w:ascii="Calibri" w:hAnsi="Calibri" w:cs="Calibri"/>
        </w:rPr>
      </w:pPr>
      <w:r w:rsidRPr="008028ED">
        <w:rPr>
          <w:rFonts w:ascii="Calibri" w:hAnsi="Calibri" w:cs="Calibri"/>
        </w:rPr>
        <w:t>Figure D</w:t>
      </w:r>
      <w:r w:rsidR="00604221" w:rsidRPr="008028ED">
        <w:rPr>
          <w:rFonts w:ascii="Calibri" w:hAnsi="Calibri" w:cs="Calibri"/>
        </w:rPr>
        <w:t>.1: Equity Workshop “Mural” Input from Breakout Group A……………………………………….</w:t>
      </w:r>
      <w:r w:rsidR="008028ED" w:rsidRPr="008028ED">
        <w:rPr>
          <w:rFonts w:ascii="Calibri" w:hAnsi="Calibri" w:cs="Calibri"/>
        </w:rPr>
        <w:t>4</w:t>
      </w:r>
      <w:r w:rsidR="00582F95">
        <w:rPr>
          <w:rFonts w:ascii="Calibri" w:hAnsi="Calibri" w:cs="Calibri"/>
        </w:rPr>
        <w:t>4</w:t>
      </w:r>
    </w:p>
    <w:p w14:paraId="18D4275D" w14:textId="2DEB8F0B" w:rsidR="00604221" w:rsidRPr="008028ED" w:rsidRDefault="00987389" w:rsidP="008028ED">
      <w:pPr>
        <w:spacing w:line="276" w:lineRule="auto"/>
        <w:rPr>
          <w:rFonts w:ascii="Calibri" w:hAnsi="Calibri" w:cs="Calibri"/>
        </w:rPr>
      </w:pPr>
      <w:r w:rsidRPr="008028ED">
        <w:rPr>
          <w:rFonts w:ascii="Calibri" w:hAnsi="Calibri" w:cs="Calibri"/>
        </w:rPr>
        <w:t>Figure D</w:t>
      </w:r>
      <w:r w:rsidR="00604221" w:rsidRPr="008028ED">
        <w:rPr>
          <w:rFonts w:ascii="Calibri" w:hAnsi="Calibri" w:cs="Calibri"/>
        </w:rPr>
        <w:t>.</w:t>
      </w:r>
      <w:r w:rsidR="00582F95">
        <w:rPr>
          <w:rFonts w:ascii="Calibri" w:hAnsi="Calibri" w:cs="Calibri"/>
        </w:rPr>
        <w:t>2</w:t>
      </w:r>
      <w:r w:rsidR="00604221" w:rsidRPr="008028ED">
        <w:rPr>
          <w:rFonts w:ascii="Calibri" w:hAnsi="Calibri" w:cs="Calibri"/>
        </w:rPr>
        <w:t>: Equity Workshop “Mural” Input from Breakout Group B……………………………………….4</w:t>
      </w:r>
      <w:r w:rsidR="00582F95">
        <w:rPr>
          <w:rFonts w:ascii="Calibri" w:hAnsi="Calibri" w:cs="Calibri"/>
        </w:rPr>
        <w:t>5</w:t>
      </w:r>
    </w:p>
    <w:p w14:paraId="49153490" w14:textId="3A7B93D3" w:rsidR="00604221" w:rsidRPr="008028ED" w:rsidRDefault="00987389" w:rsidP="008028ED">
      <w:pPr>
        <w:spacing w:line="276" w:lineRule="auto"/>
        <w:rPr>
          <w:rFonts w:ascii="Calibri" w:hAnsi="Calibri" w:cs="Calibri"/>
        </w:rPr>
      </w:pPr>
      <w:r w:rsidRPr="008028ED">
        <w:rPr>
          <w:rFonts w:ascii="Calibri" w:hAnsi="Calibri" w:cs="Calibri"/>
        </w:rPr>
        <w:t>Figure D</w:t>
      </w:r>
      <w:r w:rsidR="00604221" w:rsidRPr="008028ED">
        <w:rPr>
          <w:rFonts w:ascii="Calibri" w:hAnsi="Calibri" w:cs="Calibri"/>
        </w:rPr>
        <w:t>.</w:t>
      </w:r>
      <w:r w:rsidR="00582F95">
        <w:rPr>
          <w:rFonts w:ascii="Calibri" w:hAnsi="Calibri" w:cs="Calibri"/>
        </w:rPr>
        <w:t>3</w:t>
      </w:r>
      <w:r w:rsidR="00604221" w:rsidRPr="008028ED">
        <w:rPr>
          <w:rFonts w:ascii="Calibri" w:hAnsi="Calibri" w:cs="Calibri"/>
        </w:rPr>
        <w:t>: Equity Workshop “Mural” Input from Breakout Group C……………………………………….4</w:t>
      </w:r>
      <w:r w:rsidR="00582F95">
        <w:rPr>
          <w:rFonts w:ascii="Calibri" w:hAnsi="Calibri" w:cs="Calibri"/>
        </w:rPr>
        <w:t>6</w:t>
      </w:r>
    </w:p>
    <w:p w14:paraId="45AC5D27" w14:textId="67069D8E" w:rsidR="00604221" w:rsidRPr="008028ED" w:rsidRDefault="00987389" w:rsidP="008028ED">
      <w:pPr>
        <w:spacing w:line="276" w:lineRule="auto"/>
        <w:rPr>
          <w:rFonts w:ascii="Calibri" w:hAnsi="Calibri" w:cs="Calibri"/>
        </w:rPr>
      </w:pPr>
      <w:r w:rsidRPr="008028ED">
        <w:rPr>
          <w:rFonts w:ascii="Calibri" w:hAnsi="Calibri" w:cs="Calibri"/>
        </w:rPr>
        <w:t>Figure D</w:t>
      </w:r>
      <w:r w:rsidR="00604221" w:rsidRPr="008028ED">
        <w:rPr>
          <w:rFonts w:ascii="Calibri" w:hAnsi="Calibri" w:cs="Calibri"/>
        </w:rPr>
        <w:t>.</w:t>
      </w:r>
      <w:r w:rsidR="00582F95">
        <w:rPr>
          <w:rFonts w:ascii="Calibri" w:hAnsi="Calibri" w:cs="Calibri"/>
        </w:rPr>
        <w:t>4</w:t>
      </w:r>
      <w:r w:rsidR="00604221" w:rsidRPr="008028ED">
        <w:rPr>
          <w:rFonts w:ascii="Calibri" w:hAnsi="Calibri" w:cs="Calibri"/>
        </w:rPr>
        <w:t>: Equity Workshop “Mural” Input from Breakout Group D……………………………………….4</w:t>
      </w:r>
      <w:r w:rsidR="00582F95">
        <w:rPr>
          <w:rFonts w:ascii="Calibri" w:hAnsi="Calibri" w:cs="Calibri"/>
        </w:rPr>
        <w:t>7</w:t>
      </w:r>
    </w:p>
    <w:p w14:paraId="007E6D26" w14:textId="75AACDE8" w:rsidR="00604221" w:rsidRPr="008028ED" w:rsidRDefault="00987389" w:rsidP="008028ED">
      <w:pPr>
        <w:spacing w:line="276" w:lineRule="auto"/>
        <w:rPr>
          <w:rFonts w:ascii="Calibri" w:hAnsi="Calibri" w:cs="Calibri"/>
        </w:rPr>
      </w:pPr>
      <w:r w:rsidRPr="008028ED">
        <w:rPr>
          <w:rFonts w:ascii="Calibri" w:hAnsi="Calibri" w:cs="Calibri"/>
        </w:rPr>
        <w:t>Figure D</w:t>
      </w:r>
      <w:r w:rsidR="00604221" w:rsidRPr="008028ED">
        <w:rPr>
          <w:rFonts w:ascii="Calibri" w:hAnsi="Calibri" w:cs="Calibri"/>
        </w:rPr>
        <w:t>.</w:t>
      </w:r>
      <w:r w:rsidR="00582F95">
        <w:rPr>
          <w:rFonts w:ascii="Calibri" w:hAnsi="Calibri" w:cs="Calibri"/>
        </w:rPr>
        <w:t>5</w:t>
      </w:r>
      <w:r w:rsidR="00604221" w:rsidRPr="008028ED">
        <w:rPr>
          <w:rFonts w:ascii="Calibri" w:hAnsi="Calibri" w:cs="Calibri"/>
        </w:rPr>
        <w:t>: Equity Workshop “Mural” Input from Breakout Group E……………………………………….</w:t>
      </w:r>
      <w:r w:rsidR="00582F95">
        <w:rPr>
          <w:rFonts w:ascii="Calibri" w:hAnsi="Calibri" w:cs="Calibri"/>
        </w:rPr>
        <w:t>48</w:t>
      </w:r>
    </w:p>
    <w:p w14:paraId="5BA12CD2" w14:textId="003104CE" w:rsidR="00604221" w:rsidRPr="008028ED" w:rsidRDefault="00987389" w:rsidP="00604221">
      <w:pPr>
        <w:spacing w:line="276" w:lineRule="auto"/>
        <w:rPr>
          <w:rFonts w:ascii="Calibri" w:hAnsi="Calibri" w:cs="Calibri"/>
        </w:rPr>
      </w:pPr>
      <w:r w:rsidRPr="008028ED">
        <w:rPr>
          <w:rFonts w:ascii="Calibri" w:hAnsi="Calibri" w:cs="Calibri"/>
        </w:rPr>
        <w:t>Figure D</w:t>
      </w:r>
      <w:r w:rsidR="00604221" w:rsidRPr="008028ED">
        <w:rPr>
          <w:rFonts w:ascii="Calibri" w:hAnsi="Calibri" w:cs="Calibri"/>
        </w:rPr>
        <w:t>.</w:t>
      </w:r>
      <w:r w:rsidR="00582F95">
        <w:rPr>
          <w:rFonts w:ascii="Calibri" w:hAnsi="Calibri" w:cs="Calibri"/>
        </w:rPr>
        <w:t>6</w:t>
      </w:r>
      <w:r w:rsidR="00604221" w:rsidRPr="008028ED">
        <w:rPr>
          <w:rFonts w:ascii="Calibri" w:hAnsi="Calibri" w:cs="Calibri"/>
        </w:rPr>
        <w:t>: Equity Workshop “Mural” Input from Breakout Group F……………………………………….4</w:t>
      </w:r>
      <w:r w:rsidR="00582F95">
        <w:rPr>
          <w:rFonts w:ascii="Calibri" w:hAnsi="Calibri" w:cs="Calibri"/>
        </w:rPr>
        <w:t>9</w:t>
      </w:r>
    </w:p>
    <w:p w14:paraId="67E1349D" w14:textId="77777777" w:rsidR="00604221" w:rsidRPr="008028ED" w:rsidRDefault="00604221" w:rsidP="00604221">
      <w:pPr>
        <w:spacing w:line="276" w:lineRule="auto"/>
        <w:rPr>
          <w:rFonts w:ascii="Calibri" w:hAnsi="Calibri" w:cs="Calibri"/>
        </w:rPr>
      </w:pPr>
    </w:p>
    <w:p w14:paraId="303E700C" w14:textId="78335F73" w:rsidR="00271376" w:rsidRPr="008028ED" w:rsidRDefault="00271376" w:rsidP="00BD1D99">
      <w:pPr>
        <w:spacing w:line="276" w:lineRule="auto"/>
        <w:rPr>
          <w:rFonts w:ascii="Calibri" w:hAnsi="Calibri" w:cs="Calibri"/>
        </w:rPr>
      </w:pPr>
    </w:p>
    <w:p w14:paraId="3C76BB44" w14:textId="77777777" w:rsidR="00271376" w:rsidRPr="00BD1D99" w:rsidRDefault="00271376" w:rsidP="00BD1D99">
      <w:pPr>
        <w:spacing w:line="276" w:lineRule="auto"/>
        <w:rPr>
          <w:rFonts w:ascii="Calibri" w:eastAsiaTheme="majorEastAsia" w:hAnsi="Calibri" w:cs="Calibri"/>
          <w:color w:val="2F5496" w:themeColor="accent1" w:themeShade="BF"/>
          <w:sz w:val="32"/>
          <w:szCs w:val="32"/>
        </w:rPr>
      </w:pPr>
      <w:r w:rsidRPr="008028ED">
        <w:rPr>
          <w:rFonts w:ascii="Calibri" w:eastAsiaTheme="majorEastAsia" w:hAnsi="Calibri" w:cs="Calibri"/>
          <w:color w:val="2F5496" w:themeColor="accent1" w:themeShade="BF"/>
          <w:sz w:val="32"/>
          <w:szCs w:val="32"/>
        </w:rPr>
        <w:t>Table of Tables</w:t>
      </w:r>
    </w:p>
    <w:p w14:paraId="15B2F1D9" w14:textId="7391F30D" w:rsidR="00EE0505" w:rsidRPr="00BD1D99" w:rsidRDefault="00271376" w:rsidP="008028ED">
      <w:pPr>
        <w:spacing w:line="276" w:lineRule="auto"/>
        <w:rPr>
          <w:rFonts w:ascii="Calibri" w:hAnsi="Calibri" w:cs="Calibri"/>
        </w:rPr>
      </w:pPr>
      <w:r w:rsidRPr="00BD1D99">
        <w:rPr>
          <w:rFonts w:ascii="Calibri" w:hAnsi="Calibri" w:cs="Calibri"/>
        </w:rPr>
        <w:t xml:space="preserve">Table </w:t>
      </w:r>
      <w:r w:rsidR="00D7114C" w:rsidRPr="00BD1D99">
        <w:rPr>
          <w:rFonts w:ascii="Calibri" w:hAnsi="Calibri" w:cs="Calibri"/>
        </w:rPr>
        <w:t>1</w:t>
      </w:r>
      <w:r w:rsidRPr="00BD1D99">
        <w:rPr>
          <w:rFonts w:ascii="Calibri" w:hAnsi="Calibri" w:cs="Calibri"/>
        </w:rPr>
        <w:t xml:space="preserve">: </w:t>
      </w:r>
      <w:r w:rsidR="00051EAA" w:rsidRPr="00BD1D99">
        <w:rPr>
          <w:rFonts w:ascii="Calibri" w:hAnsi="Calibri" w:cs="Calibri"/>
        </w:rPr>
        <w:t>EMWG</w:t>
      </w:r>
      <w:r w:rsidRPr="00BD1D99">
        <w:rPr>
          <w:rFonts w:ascii="Calibri" w:hAnsi="Calibri" w:cs="Calibri"/>
        </w:rPr>
        <w:t xml:space="preserve"> Member Organizations………………</w:t>
      </w:r>
      <w:r w:rsidR="00051EAA" w:rsidRPr="00BD1D99">
        <w:rPr>
          <w:rFonts w:ascii="Calibri" w:hAnsi="Calibri" w:cs="Calibri"/>
        </w:rPr>
        <w:t>………………….……………….</w:t>
      </w:r>
      <w:r w:rsidR="00057EBB" w:rsidRPr="00BD1D99">
        <w:rPr>
          <w:rFonts w:ascii="Calibri" w:hAnsi="Calibri" w:cs="Calibri"/>
        </w:rPr>
        <w:t>……………</w:t>
      </w:r>
      <w:r w:rsidR="00BC74BD">
        <w:rPr>
          <w:rFonts w:ascii="Calibri" w:hAnsi="Calibri" w:cs="Calibri"/>
        </w:rPr>
        <w:t>…</w:t>
      </w:r>
      <w:r w:rsidRPr="00BD1D99">
        <w:rPr>
          <w:rFonts w:ascii="Calibri" w:hAnsi="Calibri" w:cs="Calibri"/>
        </w:rPr>
        <w:t>……………</w:t>
      </w:r>
      <w:r w:rsidR="00D7114C" w:rsidRPr="00BD1D99">
        <w:rPr>
          <w:rFonts w:ascii="Calibri" w:hAnsi="Calibri" w:cs="Calibri"/>
        </w:rPr>
        <w:t>….</w:t>
      </w:r>
      <w:r w:rsidR="00D47F8B">
        <w:rPr>
          <w:rFonts w:ascii="Calibri" w:hAnsi="Calibri" w:cs="Calibri"/>
        </w:rPr>
        <w:t>9</w:t>
      </w:r>
    </w:p>
    <w:p w14:paraId="1C4F08C0" w14:textId="41263DF9" w:rsidR="0089658C" w:rsidRPr="00BD1D99" w:rsidRDefault="00EE0505" w:rsidP="008028ED">
      <w:pPr>
        <w:spacing w:line="276" w:lineRule="auto"/>
        <w:rPr>
          <w:rFonts w:ascii="Calibri" w:hAnsi="Calibri" w:cs="Calibri"/>
        </w:rPr>
      </w:pPr>
      <w:r w:rsidRPr="00BD1D99">
        <w:rPr>
          <w:rFonts w:ascii="Calibri" w:hAnsi="Calibri" w:cs="Calibri"/>
        </w:rPr>
        <w:t xml:space="preserve">Table </w:t>
      </w:r>
      <w:r w:rsidR="00D7114C" w:rsidRPr="00BD1D99">
        <w:rPr>
          <w:rFonts w:ascii="Calibri" w:hAnsi="Calibri" w:cs="Calibri"/>
        </w:rPr>
        <w:t>2</w:t>
      </w:r>
      <w:r w:rsidR="00AB7462" w:rsidRPr="00BD1D99">
        <w:rPr>
          <w:rFonts w:ascii="Calibri" w:hAnsi="Calibri" w:cs="Calibri"/>
        </w:rPr>
        <w:t>:</w:t>
      </w:r>
      <w:r w:rsidRPr="00BD1D99">
        <w:rPr>
          <w:rFonts w:ascii="Calibri" w:hAnsi="Calibri" w:cs="Calibri"/>
        </w:rPr>
        <w:t xml:space="preserve"> </w:t>
      </w:r>
      <w:r w:rsidR="00057EBB" w:rsidRPr="00BD1D99">
        <w:rPr>
          <w:rFonts w:ascii="Calibri" w:hAnsi="Calibri" w:cs="Calibri"/>
        </w:rPr>
        <w:t>E</w:t>
      </w:r>
      <w:r w:rsidRPr="00BD1D99">
        <w:rPr>
          <w:rFonts w:ascii="Calibri" w:hAnsi="Calibri" w:cs="Calibri"/>
        </w:rPr>
        <w:t>MWG Support of Target-Setting Options 1</w:t>
      </w:r>
      <w:r w:rsidR="00AB7462" w:rsidRPr="00BD1D99">
        <w:rPr>
          <w:rFonts w:ascii="Calibri" w:hAnsi="Calibri" w:cs="Calibri"/>
        </w:rPr>
        <w:t xml:space="preserve"> and 2………</w:t>
      </w:r>
      <w:r w:rsidR="00F824E4" w:rsidRPr="00BD1D99">
        <w:rPr>
          <w:rFonts w:ascii="Calibri" w:hAnsi="Calibri" w:cs="Calibri"/>
        </w:rPr>
        <w:t>…</w:t>
      </w:r>
      <w:r w:rsidR="00AB7462" w:rsidRPr="00BD1D99">
        <w:rPr>
          <w:rFonts w:ascii="Calibri" w:hAnsi="Calibri" w:cs="Calibri"/>
        </w:rPr>
        <w:t>……………………………….…</w:t>
      </w:r>
      <w:r w:rsidR="00BC74BD">
        <w:rPr>
          <w:rFonts w:ascii="Calibri" w:hAnsi="Calibri" w:cs="Calibri"/>
        </w:rPr>
        <w:t>..</w:t>
      </w:r>
      <w:r w:rsidR="00AB7462" w:rsidRPr="00BD1D99">
        <w:rPr>
          <w:rFonts w:ascii="Calibri" w:hAnsi="Calibri" w:cs="Calibri"/>
        </w:rPr>
        <w:t>…….1</w:t>
      </w:r>
      <w:r w:rsidR="00D47F8B">
        <w:rPr>
          <w:rFonts w:ascii="Calibri" w:hAnsi="Calibri" w:cs="Calibri"/>
        </w:rPr>
        <w:t>3</w:t>
      </w:r>
    </w:p>
    <w:p w14:paraId="26DA1208" w14:textId="7324523F" w:rsidR="00604221" w:rsidRDefault="00604221" w:rsidP="008028ED">
      <w:pPr>
        <w:spacing w:line="276" w:lineRule="auto"/>
        <w:rPr>
          <w:rFonts w:ascii="Calibri" w:hAnsi="Calibri" w:cs="Calibri"/>
        </w:rPr>
      </w:pPr>
      <w:r w:rsidRPr="00BD1D99">
        <w:rPr>
          <w:rFonts w:ascii="Calibri" w:hAnsi="Calibri" w:cs="Calibri"/>
        </w:rPr>
        <w:t xml:space="preserve">Table </w:t>
      </w:r>
      <w:r>
        <w:rPr>
          <w:rFonts w:ascii="Calibri" w:hAnsi="Calibri" w:cs="Calibri"/>
        </w:rPr>
        <w:t>3</w:t>
      </w:r>
      <w:r w:rsidRPr="00BD1D99">
        <w:rPr>
          <w:rFonts w:ascii="Calibri" w:hAnsi="Calibri" w:cs="Calibri"/>
        </w:rPr>
        <w:t xml:space="preserve">: EMWG </w:t>
      </w:r>
      <w:r>
        <w:rPr>
          <w:rFonts w:ascii="Calibri" w:hAnsi="Calibri" w:cs="Calibri"/>
        </w:rPr>
        <w:t>Support of</w:t>
      </w:r>
      <w:r w:rsidRPr="00BD1D99">
        <w:rPr>
          <w:rFonts w:ascii="Calibri" w:hAnsi="Calibri" w:cs="Calibri"/>
        </w:rPr>
        <w:t xml:space="preserve"> “Underserved” </w:t>
      </w:r>
      <w:r>
        <w:rPr>
          <w:rFonts w:ascii="Calibri" w:hAnsi="Calibri" w:cs="Calibri"/>
        </w:rPr>
        <w:t>Definitions Options 1, 2, and 3………………………….…2</w:t>
      </w:r>
      <w:r w:rsidR="00D47F8B">
        <w:rPr>
          <w:rFonts w:ascii="Calibri" w:hAnsi="Calibri" w:cs="Calibri"/>
        </w:rPr>
        <w:t>4</w:t>
      </w:r>
    </w:p>
    <w:p w14:paraId="367CD1DD" w14:textId="53741E17" w:rsidR="002C1426" w:rsidRDefault="002C1426" w:rsidP="008028ED">
      <w:pPr>
        <w:spacing w:line="276" w:lineRule="auto"/>
        <w:rPr>
          <w:rFonts w:ascii="Calibri" w:hAnsi="Calibri" w:cs="Calibri"/>
        </w:rPr>
      </w:pPr>
      <w:r w:rsidRPr="002C1426">
        <w:rPr>
          <w:rFonts w:ascii="Calibri" w:hAnsi="Calibri" w:cs="Calibri"/>
        </w:rPr>
        <w:t>Table A.1: EMWG Member Leads and Alternates</w:t>
      </w:r>
      <w:r w:rsidRPr="00BD1D99">
        <w:rPr>
          <w:rFonts w:ascii="Calibri" w:hAnsi="Calibri" w:cs="Calibri"/>
        </w:rPr>
        <w:t>………………………………………….…………</w:t>
      </w:r>
      <w:r>
        <w:rPr>
          <w:rFonts w:ascii="Calibri" w:hAnsi="Calibri" w:cs="Calibri"/>
        </w:rPr>
        <w:t>…………</w:t>
      </w:r>
      <w:r w:rsidR="008028ED">
        <w:rPr>
          <w:rFonts w:ascii="Calibri" w:hAnsi="Calibri" w:cs="Calibri"/>
        </w:rPr>
        <w:t>..</w:t>
      </w:r>
      <w:r>
        <w:rPr>
          <w:rFonts w:ascii="Calibri" w:hAnsi="Calibri" w:cs="Calibri"/>
        </w:rPr>
        <w:t>.</w:t>
      </w:r>
      <w:r w:rsidR="008028ED">
        <w:rPr>
          <w:rFonts w:ascii="Calibri" w:hAnsi="Calibri" w:cs="Calibri"/>
        </w:rPr>
        <w:t>.2</w:t>
      </w:r>
      <w:r w:rsidR="00582F95">
        <w:rPr>
          <w:rFonts w:ascii="Calibri" w:hAnsi="Calibri" w:cs="Calibri"/>
        </w:rPr>
        <w:t>8</w:t>
      </w:r>
    </w:p>
    <w:p w14:paraId="0AA0739E" w14:textId="28B34514" w:rsidR="00CF704E" w:rsidRDefault="00CF704E" w:rsidP="008028ED">
      <w:pPr>
        <w:keepNext/>
        <w:spacing w:line="276" w:lineRule="auto"/>
        <w:rPr>
          <w:rFonts w:ascii="Calibri" w:hAnsi="Calibri" w:cs="Calibri"/>
        </w:rPr>
      </w:pPr>
      <w:r w:rsidRPr="00BD1D99">
        <w:rPr>
          <w:rFonts w:ascii="Calibri" w:hAnsi="Calibri" w:cs="Calibri"/>
        </w:rPr>
        <w:t xml:space="preserve">Table </w:t>
      </w:r>
      <w:r>
        <w:rPr>
          <w:rFonts w:ascii="Calibri" w:hAnsi="Calibri" w:cs="Calibri"/>
        </w:rPr>
        <w:t>B.</w:t>
      </w:r>
      <w:r w:rsidRPr="00BD1D99">
        <w:rPr>
          <w:rFonts w:ascii="Calibri" w:hAnsi="Calibri" w:cs="Calibri"/>
        </w:rPr>
        <w:t>1: Recommended Community Engagement Activities</w:t>
      </w:r>
      <w:r w:rsidR="0069447D" w:rsidRPr="00BD1D99">
        <w:rPr>
          <w:rFonts w:ascii="Calibri" w:hAnsi="Calibri" w:cs="Calibri"/>
        </w:rPr>
        <w:t>………….…………….………………</w:t>
      </w:r>
      <w:r w:rsidR="0069447D">
        <w:rPr>
          <w:rFonts w:ascii="Calibri" w:hAnsi="Calibri" w:cs="Calibri"/>
        </w:rPr>
        <w:t>………</w:t>
      </w:r>
      <w:r w:rsidR="008028ED">
        <w:rPr>
          <w:rFonts w:ascii="Calibri" w:hAnsi="Calibri" w:cs="Calibri"/>
        </w:rPr>
        <w:t>3</w:t>
      </w:r>
      <w:r w:rsidR="00D47F8B">
        <w:rPr>
          <w:rFonts w:ascii="Calibri" w:hAnsi="Calibri" w:cs="Calibri"/>
        </w:rPr>
        <w:t>0</w:t>
      </w:r>
    </w:p>
    <w:p w14:paraId="4BECF6CE" w14:textId="006DD940" w:rsidR="00604221" w:rsidRPr="00BD1D99" w:rsidRDefault="00604221" w:rsidP="008028ED">
      <w:pPr>
        <w:spacing w:line="276" w:lineRule="auto"/>
        <w:rPr>
          <w:rFonts w:ascii="Calibri" w:hAnsi="Calibri" w:cs="Calibri"/>
        </w:rPr>
      </w:pPr>
      <w:r w:rsidRPr="00BD1D99">
        <w:rPr>
          <w:rFonts w:ascii="Calibri" w:hAnsi="Calibri" w:cs="Calibri"/>
        </w:rPr>
        <w:t xml:space="preserve">Table </w:t>
      </w:r>
      <w:r w:rsidR="00B4459C">
        <w:rPr>
          <w:rFonts w:ascii="Calibri" w:hAnsi="Calibri" w:cs="Calibri"/>
        </w:rPr>
        <w:t>B.2</w:t>
      </w:r>
      <w:r w:rsidRPr="00BD1D99">
        <w:rPr>
          <w:rFonts w:ascii="Calibri" w:hAnsi="Calibri" w:cs="Calibri"/>
        </w:rPr>
        <w:t>: EMWG Support of Community Engagement Options</w:t>
      </w:r>
      <w:r>
        <w:rPr>
          <w:rFonts w:ascii="Calibri" w:hAnsi="Calibri" w:cs="Calibri"/>
        </w:rPr>
        <w:t xml:space="preserve"> 1 and 2…………………………………3</w:t>
      </w:r>
      <w:r w:rsidR="00D47F8B">
        <w:rPr>
          <w:rFonts w:ascii="Calibri" w:hAnsi="Calibri" w:cs="Calibri"/>
        </w:rPr>
        <w:t>4</w:t>
      </w:r>
    </w:p>
    <w:p w14:paraId="27CC81A3" w14:textId="11341C95" w:rsidR="00604221" w:rsidRDefault="00604221" w:rsidP="008028ED">
      <w:pPr>
        <w:spacing w:line="276" w:lineRule="auto"/>
        <w:rPr>
          <w:rFonts w:ascii="Calibri" w:hAnsi="Calibri" w:cs="Calibri"/>
        </w:rPr>
      </w:pPr>
      <w:r w:rsidRPr="00604221">
        <w:rPr>
          <w:rFonts w:ascii="Calibri" w:hAnsi="Calibri" w:cs="Calibri"/>
        </w:rPr>
        <w:t xml:space="preserve">Table </w:t>
      </w:r>
      <w:r w:rsidR="00C63A5B">
        <w:rPr>
          <w:rFonts w:ascii="Calibri" w:hAnsi="Calibri" w:cs="Calibri"/>
        </w:rPr>
        <w:t>D</w:t>
      </w:r>
      <w:r w:rsidRPr="00604221">
        <w:rPr>
          <w:rFonts w:ascii="Calibri" w:hAnsi="Calibri" w:cs="Calibri"/>
        </w:rPr>
        <w:t>.</w:t>
      </w:r>
      <w:r w:rsidR="00B4459C">
        <w:rPr>
          <w:rFonts w:ascii="Calibri" w:hAnsi="Calibri" w:cs="Calibri"/>
        </w:rPr>
        <w:t>1</w:t>
      </w:r>
      <w:r w:rsidRPr="00604221">
        <w:rPr>
          <w:rFonts w:ascii="Calibri" w:hAnsi="Calibri" w:cs="Calibri"/>
        </w:rPr>
        <w:t>: Equity Metrics Workshop Attendee List</w:t>
      </w:r>
      <w:r>
        <w:rPr>
          <w:rFonts w:ascii="Calibri" w:hAnsi="Calibri" w:cs="Calibri"/>
        </w:rPr>
        <w:t>…………………………………………………………………</w:t>
      </w:r>
      <w:r w:rsidR="00D47F8B">
        <w:rPr>
          <w:rFonts w:ascii="Calibri" w:hAnsi="Calibri" w:cs="Calibri"/>
        </w:rPr>
        <w:t>38</w:t>
      </w:r>
    </w:p>
    <w:p w14:paraId="2DCEEE45" w14:textId="173939AE" w:rsidR="0069447D" w:rsidRPr="00BD1D99" w:rsidRDefault="0069447D" w:rsidP="008028ED">
      <w:pPr>
        <w:keepNext/>
        <w:spacing w:line="276" w:lineRule="auto"/>
        <w:rPr>
          <w:rFonts w:ascii="Calibri" w:hAnsi="Calibri" w:cs="Calibri"/>
        </w:rPr>
      </w:pPr>
      <w:r w:rsidRPr="00BD1D99">
        <w:rPr>
          <w:rFonts w:ascii="Calibri" w:hAnsi="Calibri" w:cs="Calibri"/>
        </w:rPr>
        <w:t xml:space="preserve">Table </w:t>
      </w:r>
      <w:r w:rsidR="00C63A5B">
        <w:rPr>
          <w:rFonts w:ascii="Calibri" w:hAnsi="Calibri" w:cs="Calibri"/>
        </w:rPr>
        <w:t>E</w:t>
      </w:r>
      <w:r>
        <w:rPr>
          <w:rFonts w:ascii="Calibri" w:hAnsi="Calibri" w:cs="Calibri"/>
        </w:rPr>
        <w:t>.</w:t>
      </w:r>
      <w:r w:rsidRPr="00BD1D99">
        <w:rPr>
          <w:rFonts w:ascii="Calibri" w:hAnsi="Calibri" w:cs="Calibri"/>
        </w:rPr>
        <w:t>1. IOU Definition of Commercial Customer Classes…………………….…………….……………</w:t>
      </w:r>
      <w:r>
        <w:rPr>
          <w:rFonts w:ascii="Calibri" w:hAnsi="Calibri" w:cs="Calibri"/>
        </w:rPr>
        <w:t>….</w:t>
      </w:r>
      <w:r w:rsidR="00D47F8B">
        <w:rPr>
          <w:rFonts w:ascii="Calibri" w:hAnsi="Calibri" w:cs="Calibri"/>
        </w:rPr>
        <w:t>49</w:t>
      </w:r>
    </w:p>
    <w:p w14:paraId="2AFC5829" w14:textId="77777777" w:rsidR="0069447D" w:rsidRPr="00BD1D99" w:rsidRDefault="0069447D" w:rsidP="00CF704E">
      <w:pPr>
        <w:keepNext/>
        <w:spacing w:line="276" w:lineRule="auto"/>
        <w:rPr>
          <w:rFonts w:ascii="Calibri" w:hAnsi="Calibri" w:cs="Calibri"/>
        </w:rPr>
      </w:pPr>
    </w:p>
    <w:p w14:paraId="50488EF0" w14:textId="77777777" w:rsidR="00CF704E" w:rsidRPr="00BD1D99" w:rsidRDefault="00CF704E" w:rsidP="00BD1D99">
      <w:pPr>
        <w:spacing w:line="276" w:lineRule="auto"/>
        <w:rPr>
          <w:rFonts w:ascii="Calibri" w:hAnsi="Calibri" w:cs="Calibri"/>
        </w:rPr>
      </w:pPr>
    </w:p>
    <w:p w14:paraId="1AB0D92F" w14:textId="068A8A49" w:rsidR="00BF481D" w:rsidRPr="00BD1D99" w:rsidRDefault="00BF481D" w:rsidP="00BD1D99">
      <w:pPr>
        <w:spacing w:line="276" w:lineRule="auto"/>
        <w:rPr>
          <w:rFonts w:ascii="Calibri" w:hAnsi="Calibri" w:cs="Calibri"/>
        </w:rPr>
      </w:pPr>
      <w:r w:rsidRPr="00BD1D99">
        <w:rPr>
          <w:rFonts w:ascii="Calibri" w:hAnsi="Calibri" w:cs="Calibri"/>
        </w:rPr>
        <w:br w:type="page"/>
      </w:r>
    </w:p>
    <w:p w14:paraId="2ED326CF" w14:textId="05690DF9" w:rsidR="007848A7" w:rsidRPr="00BD1D99" w:rsidRDefault="007848A7" w:rsidP="00BD1D99">
      <w:pPr>
        <w:pStyle w:val="Heading1"/>
        <w:spacing w:line="276" w:lineRule="auto"/>
        <w:rPr>
          <w:rFonts w:ascii="Calibri" w:hAnsi="Calibri" w:cs="Calibri"/>
        </w:rPr>
      </w:pPr>
      <w:bookmarkStart w:id="0" w:name="_Toc85613278"/>
      <w:r w:rsidRPr="00BD1D99">
        <w:rPr>
          <w:rFonts w:ascii="Calibri" w:hAnsi="Calibri" w:cs="Calibri"/>
        </w:rPr>
        <w:lastRenderedPageBreak/>
        <w:t>Section 1: Intro</w:t>
      </w:r>
      <w:r w:rsidR="00BF481D" w:rsidRPr="00BD1D99">
        <w:rPr>
          <w:rFonts w:ascii="Calibri" w:hAnsi="Calibri" w:cs="Calibri"/>
        </w:rPr>
        <w:t>duction</w:t>
      </w:r>
      <w:r w:rsidRPr="00BD1D99">
        <w:rPr>
          <w:rFonts w:ascii="Calibri" w:hAnsi="Calibri" w:cs="Calibri"/>
        </w:rPr>
        <w:t xml:space="preserve"> </w:t>
      </w:r>
      <w:r w:rsidR="00ED6372" w:rsidRPr="00BD1D99">
        <w:rPr>
          <w:rFonts w:ascii="Calibri" w:hAnsi="Calibri" w:cs="Calibri"/>
        </w:rPr>
        <w:t>and</w:t>
      </w:r>
      <w:r w:rsidRPr="00BD1D99">
        <w:rPr>
          <w:rFonts w:ascii="Calibri" w:hAnsi="Calibri" w:cs="Calibri"/>
        </w:rPr>
        <w:t xml:space="preserve"> Overview</w:t>
      </w:r>
      <w:bookmarkEnd w:id="0"/>
    </w:p>
    <w:p w14:paraId="3544C71D" w14:textId="77777777" w:rsidR="00756006" w:rsidRPr="00BD1D99" w:rsidRDefault="00756006" w:rsidP="00BD1D99">
      <w:pPr>
        <w:pStyle w:val="Heading2"/>
      </w:pPr>
      <w:bookmarkStart w:id="1" w:name="_Toc81054912"/>
      <w:bookmarkStart w:id="2" w:name="_Toc85613279"/>
      <w:r w:rsidRPr="00BD1D99">
        <w:t>1.1 Working Group Charge and Overview</w:t>
      </w:r>
      <w:bookmarkEnd w:id="1"/>
      <w:bookmarkEnd w:id="2"/>
    </w:p>
    <w:p w14:paraId="2A97670C" w14:textId="09667403" w:rsidR="00756006" w:rsidRPr="00BD1D99" w:rsidRDefault="00756006" w:rsidP="00BD1D99">
      <w:pPr>
        <w:spacing w:line="276" w:lineRule="auto"/>
        <w:rPr>
          <w:rFonts w:ascii="Calibri" w:hAnsi="Calibri" w:cs="Calibri"/>
        </w:rPr>
      </w:pPr>
      <w:r w:rsidRPr="00BD1D99">
        <w:rPr>
          <w:rFonts w:ascii="Calibri" w:hAnsi="Calibri" w:cs="Calibri"/>
        </w:rPr>
        <w:t xml:space="preserve">The charge of the </w:t>
      </w:r>
      <w:r w:rsidR="00D87179" w:rsidRPr="00BD1D99">
        <w:rPr>
          <w:rFonts w:ascii="Calibri" w:hAnsi="Calibri" w:cs="Calibri"/>
        </w:rPr>
        <w:t>Equity</w:t>
      </w:r>
      <w:r w:rsidRPr="00BD1D99">
        <w:rPr>
          <w:rFonts w:ascii="Calibri" w:hAnsi="Calibri" w:cs="Calibri"/>
        </w:rPr>
        <w:t xml:space="preserve"> Metrics Working Group (</w:t>
      </w:r>
      <w:r w:rsidR="00D87179" w:rsidRPr="00BD1D99">
        <w:rPr>
          <w:rFonts w:ascii="Calibri" w:hAnsi="Calibri" w:cs="Calibri"/>
        </w:rPr>
        <w:t>E</w:t>
      </w:r>
      <w:r w:rsidRPr="00BD1D99">
        <w:rPr>
          <w:rFonts w:ascii="Calibri" w:hAnsi="Calibri" w:cs="Calibri"/>
        </w:rPr>
        <w:t xml:space="preserve">MWG) </w:t>
      </w:r>
      <w:r w:rsidR="00133A33" w:rsidRPr="00BD1D99">
        <w:rPr>
          <w:rFonts w:ascii="Calibri" w:hAnsi="Calibri" w:cs="Calibri"/>
        </w:rPr>
        <w:t xml:space="preserve">was </w:t>
      </w:r>
      <w:r w:rsidRPr="00BD1D99">
        <w:rPr>
          <w:rFonts w:ascii="Calibri" w:hAnsi="Calibri" w:cs="Calibri"/>
        </w:rPr>
        <w:t xml:space="preserve">to identify and define the most important Objectives and associated key Metric(s) for the new </w:t>
      </w:r>
      <w:r w:rsidR="00D87179" w:rsidRPr="00BD1D99">
        <w:rPr>
          <w:rFonts w:ascii="Calibri" w:hAnsi="Calibri" w:cs="Calibri"/>
        </w:rPr>
        <w:t>Equity</w:t>
      </w:r>
      <w:r w:rsidRPr="00BD1D99">
        <w:rPr>
          <w:rFonts w:ascii="Calibri" w:hAnsi="Calibri" w:cs="Calibri"/>
        </w:rPr>
        <w:t xml:space="preserve"> portfolio segment established in California Public Utilities Commission (CPUC)</w:t>
      </w:r>
      <w:r w:rsidR="00FF765C">
        <w:rPr>
          <w:rFonts w:ascii="Calibri" w:hAnsi="Calibri" w:cs="Calibri"/>
        </w:rPr>
        <w:t xml:space="preserve"> in</w:t>
      </w:r>
      <w:r w:rsidRPr="00BD1D99">
        <w:rPr>
          <w:rFonts w:ascii="Calibri" w:hAnsi="Calibri" w:cs="Calibri"/>
        </w:rPr>
        <w:t xml:space="preserve"> </w:t>
      </w:r>
      <w:r w:rsidR="00FF765C" w:rsidRPr="00FF765C">
        <w:rPr>
          <w:rPrChange w:id="3" w:author="Katherine Mckeague Abrams" w:date="2021-10-20T17:30:00Z">
            <w:rPr>
              <w:rStyle w:val="Hyperlink"/>
              <w:rFonts w:ascii="Calibri" w:hAnsi="Calibri" w:cs="Calibri"/>
            </w:rPr>
          </w:rPrChange>
        </w:rPr>
        <w:t>Decision 21-05-031</w:t>
      </w:r>
      <w:r w:rsidRPr="00BD1D99">
        <w:rPr>
          <w:rFonts w:ascii="Calibri" w:hAnsi="Calibri" w:cs="Calibri"/>
        </w:rPr>
        <w:t>.</w:t>
      </w:r>
      <w:r w:rsidR="00FF765C">
        <w:rPr>
          <w:rStyle w:val="FootnoteReference"/>
          <w:rFonts w:ascii="Calibri" w:hAnsi="Calibri" w:cs="Calibri"/>
        </w:rPr>
        <w:footnoteReference w:id="1"/>
      </w:r>
      <w:r w:rsidRPr="00BD1D99">
        <w:rPr>
          <w:rFonts w:ascii="Calibri" w:hAnsi="Calibri" w:cs="Calibri"/>
        </w:rPr>
        <w:t xml:space="preserve"> The Objectives and associated key Metric(s) for each objective </w:t>
      </w:r>
      <w:r w:rsidR="00133A33" w:rsidRPr="00BD1D99">
        <w:rPr>
          <w:rFonts w:ascii="Calibri" w:hAnsi="Calibri" w:cs="Calibri"/>
        </w:rPr>
        <w:t xml:space="preserve">will </w:t>
      </w:r>
      <w:r w:rsidRPr="00BD1D99">
        <w:rPr>
          <w:rFonts w:ascii="Calibri" w:hAnsi="Calibri" w:cs="Calibri"/>
        </w:rPr>
        <w:t xml:space="preserve">be used to support and provide rationale for portfolio segmentation and program design, as well as used for program benefit/value forecasting, tracking, and evaluation. Although the </w:t>
      </w:r>
      <w:r w:rsidR="00263F5B" w:rsidRPr="00BD1D99">
        <w:rPr>
          <w:rFonts w:ascii="Calibri" w:hAnsi="Calibri" w:cs="Calibri"/>
        </w:rPr>
        <w:t>Working Group (</w:t>
      </w:r>
      <w:r w:rsidRPr="00BD1D99">
        <w:rPr>
          <w:rFonts w:ascii="Calibri" w:hAnsi="Calibri" w:cs="Calibri"/>
        </w:rPr>
        <w:t>WG</w:t>
      </w:r>
      <w:r w:rsidR="00263F5B" w:rsidRPr="00BD1D99">
        <w:rPr>
          <w:rFonts w:ascii="Calibri" w:hAnsi="Calibri" w:cs="Calibri"/>
        </w:rPr>
        <w:t>)</w:t>
      </w:r>
      <w:r w:rsidRPr="00BD1D99">
        <w:rPr>
          <w:rFonts w:ascii="Calibri" w:hAnsi="Calibri" w:cs="Calibri"/>
        </w:rPr>
        <w:t xml:space="preserve"> </w:t>
      </w:r>
      <w:r w:rsidR="00133A33" w:rsidRPr="00BD1D99">
        <w:rPr>
          <w:rFonts w:ascii="Calibri" w:hAnsi="Calibri" w:cs="Calibri"/>
        </w:rPr>
        <w:t xml:space="preserve">was </w:t>
      </w:r>
      <w:r w:rsidRPr="00BD1D99">
        <w:rPr>
          <w:rFonts w:ascii="Calibri" w:hAnsi="Calibri" w:cs="Calibri"/>
        </w:rPr>
        <w:t xml:space="preserve">not tasked with setting the specific numeric Targets for the Metric(s) used in each </w:t>
      </w:r>
      <w:r w:rsidR="00263F5B" w:rsidRPr="00BD1D99">
        <w:rPr>
          <w:rFonts w:ascii="Calibri" w:hAnsi="Calibri" w:cs="Calibri"/>
        </w:rPr>
        <w:t>Program Administrator’s (</w:t>
      </w:r>
      <w:r w:rsidRPr="00BD1D99">
        <w:rPr>
          <w:rFonts w:ascii="Calibri" w:hAnsi="Calibri" w:cs="Calibri"/>
        </w:rPr>
        <w:t>PA’s</w:t>
      </w:r>
      <w:r w:rsidR="00263F5B" w:rsidRPr="00BD1D99">
        <w:rPr>
          <w:rFonts w:ascii="Calibri" w:hAnsi="Calibri" w:cs="Calibri"/>
        </w:rPr>
        <w:t>)</w:t>
      </w:r>
      <w:r w:rsidRPr="00BD1D99">
        <w:rPr>
          <w:rFonts w:ascii="Calibri" w:hAnsi="Calibri" w:cs="Calibri"/>
        </w:rPr>
        <w:t xml:space="preserve"> filing, </w:t>
      </w:r>
      <w:r w:rsidR="00A80303" w:rsidRPr="00BD1D99">
        <w:rPr>
          <w:rFonts w:ascii="Calibri" w:hAnsi="Calibri" w:cs="Calibri"/>
        </w:rPr>
        <w:t xml:space="preserve">they were tasked with outlining guidance for </w:t>
      </w:r>
      <w:r w:rsidR="00A80303" w:rsidRPr="00BD1D99">
        <w:rPr>
          <w:rFonts w:ascii="Calibri" w:hAnsi="Calibri" w:cs="Calibri"/>
          <w:i/>
          <w:iCs/>
        </w:rPr>
        <w:t>how</w:t>
      </w:r>
      <w:r w:rsidR="00A80303" w:rsidRPr="00BD1D99">
        <w:rPr>
          <w:rFonts w:ascii="Calibri" w:hAnsi="Calibri" w:cs="Calibri"/>
        </w:rPr>
        <w:t xml:space="preserve"> to set targets. As such, </w:t>
      </w:r>
      <w:r w:rsidRPr="00BD1D99">
        <w:rPr>
          <w:rFonts w:ascii="Calibri" w:hAnsi="Calibri" w:cs="Calibri"/>
        </w:rPr>
        <w:t xml:space="preserve">the </w:t>
      </w:r>
      <w:r w:rsidR="009A52BF" w:rsidRPr="00BD1D99">
        <w:rPr>
          <w:rFonts w:ascii="Calibri" w:hAnsi="Calibri" w:cs="Calibri"/>
        </w:rPr>
        <w:t>EM</w:t>
      </w:r>
      <w:r w:rsidRPr="00BD1D99">
        <w:rPr>
          <w:rFonts w:ascii="Calibri" w:hAnsi="Calibri" w:cs="Calibri"/>
        </w:rPr>
        <w:t>WG</w:t>
      </w:r>
      <w:r w:rsidR="00506E5A" w:rsidRPr="00BD1D99">
        <w:rPr>
          <w:rFonts w:ascii="Calibri" w:hAnsi="Calibri" w:cs="Calibri"/>
        </w:rPr>
        <w:t xml:space="preserve"> recommend</w:t>
      </w:r>
      <w:r w:rsidR="00E03D0A" w:rsidRPr="00BD1D99">
        <w:rPr>
          <w:rFonts w:ascii="Calibri" w:hAnsi="Calibri" w:cs="Calibri"/>
        </w:rPr>
        <w:t>s</w:t>
      </w:r>
      <w:r w:rsidR="00506E5A" w:rsidRPr="00BD1D99">
        <w:rPr>
          <w:rFonts w:ascii="Calibri" w:hAnsi="Calibri" w:cs="Calibri"/>
        </w:rPr>
        <w:t xml:space="preserve"> a Principle on target-setting.</w:t>
      </w:r>
      <w:r w:rsidRPr="00BD1D99">
        <w:rPr>
          <w:rFonts w:ascii="Calibri" w:hAnsi="Calibri" w:cs="Calibri"/>
        </w:rPr>
        <w:t xml:space="preserve"> </w:t>
      </w:r>
    </w:p>
    <w:p w14:paraId="0D590417" w14:textId="77777777" w:rsidR="00756006" w:rsidRPr="00BD1D99" w:rsidRDefault="00756006" w:rsidP="00BD1D99">
      <w:pPr>
        <w:spacing w:line="276" w:lineRule="auto"/>
        <w:rPr>
          <w:rFonts w:ascii="Calibri" w:hAnsi="Calibri" w:cs="Calibri"/>
          <w:color w:val="000000"/>
        </w:rPr>
      </w:pPr>
    </w:p>
    <w:p w14:paraId="2AFE99D5" w14:textId="5943C33B" w:rsidR="00756006" w:rsidRPr="00BD1D99" w:rsidRDefault="00756006" w:rsidP="00BD1D99">
      <w:pPr>
        <w:spacing w:after="120" w:line="276" w:lineRule="auto"/>
        <w:rPr>
          <w:rFonts w:ascii="Calibri" w:hAnsi="Calibri" w:cs="Calibri"/>
        </w:rPr>
      </w:pPr>
      <w:r w:rsidRPr="00BD1D99">
        <w:rPr>
          <w:rFonts w:ascii="Calibri" w:hAnsi="Calibri" w:cs="Calibri"/>
        </w:rPr>
        <w:t xml:space="preserve">The full </w:t>
      </w:r>
      <w:r w:rsidR="00057EBB" w:rsidRPr="00BD1D99">
        <w:rPr>
          <w:rFonts w:ascii="Calibri" w:hAnsi="Calibri" w:cs="Calibri"/>
        </w:rPr>
        <w:t>E</w:t>
      </w:r>
      <w:r w:rsidRPr="00BD1D99">
        <w:rPr>
          <w:rFonts w:ascii="Calibri" w:hAnsi="Calibri" w:cs="Calibri"/>
        </w:rPr>
        <w:t>MWG met four times between July and September 2021.</w:t>
      </w:r>
      <w:r w:rsidR="00D87179" w:rsidRPr="00BD1D99">
        <w:rPr>
          <w:rFonts w:ascii="Calibri" w:hAnsi="Calibri" w:cs="Calibri"/>
        </w:rPr>
        <w:t xml:space="preserve"> The facilitation team also hosted a workshop targeting input from </w:t>
      </w:r>
      <w:r w:rsidR="006E3086" w:rsidRPr="00BD1D99">
        <w:rPr>
          <w:rFonts w:ascii="Calibri" w:hAnsi="Calibri" w:cs="Calibri"/>
        </w:rPr>
        <w:t xml:space="preserve">a broader range of </w:t>
      </w:r>
      <w:r w:rsidR="00D87179" w:rsidRPr="00BD1D99">
        <w:rPr>
          <w:rFonts w:ascii="Calibri" w:hAnsi="Calibri" w:cs="Calibri"/>
        </w:rPr>
        <w:t>stakeholders</w:t>
      </w:r>
      <w:r w:rsidR="006E3086" w:rsidRPr="00BD1D99">
        <w:rPr>
          <w:rFonts w:ascii="Calibri" w:hAnsi="Calibri" w:cs="Calibri"/>
        </w:rPr>
        <w:t>.</w:t>
      </w:r>
      <w:r w:rsidRPr="00BD1D99">
        <w:rPr>
          <w:rFonts w:ascii="Calibri" w:hAnsi="Calibri" w:cs="Calibri"/>
        </w:rPr>
        <w:t xml:space="preserve"> </w:t>
      </w:r>
      <w:r w:rsidR="009A52BF" w:rsidRPr="00BD1D99">
        <w:rPr>
          <w:rFonts w:ascii="Calibri" w:hAnsi="Calibri" w:cs="Calibri"/>
        </w:rPr>
        <w:t>A</w:t>
      </w:r>
      <w:r w:rsidRPr="00BD1D99">
        <w:rPr>
          <w:rFonts w:ascii="Calibri" w:hAnsi="Calibri" w:cs="Calibri"/>
        </w:rPr>
        <w:t xml:space="preserve"> sub-working group (sub-WG) focused on </w:t>
      </w:r>
      <w:r w:rsidR="00D87179" w:rsidRPr="00BD1D99">
        <w:rPr>
          <w:rFonts w:ascii="Calibri" w:hAnsi="Calibri" w:cs="Calibri"/>
          <w:color w:val="000000"/>
        </w:rPr>
        <w:t>refining the Objective and brainstorming and refining</w:t>
      </w:r>
      <w:r w:rsidRPr="00BD1D99">
        <w:rPr>
          <w:rFonts w:ascii="Calibri" w:hAnsi="Calibri" w:cs="Calibri"/>
          <w:color w:val="000000"/>
        </w:rPr>
        <w:t xml:space="preserve"> key associated Metrics met </w:t>
      </w:r>
      <w:r w:rsidR="00D87179" w:rsidRPr="00BD1D99">
        <w:rPr>
          <w:rFonts w:ascii="Calibri" w:hAnsi="Calibri" w:cs="Calibri"/>
          <w:color w:val="000000"/>
        </w:rPr>
        <w:t>twice</w:t>
      </w:r>
      <w:r w:rsidRPr="00BD1D99">
        <w:rPr>
          <w:rFonts w:ascii="Calibri" w:hAnsi="Calibri" w:cs="Calibri"/>
          <w:color w:val="000000"/>
        </w:rPr>
        <w:t>. The sub-WG was convened by</w:t>
      </w:r>
      <w:r w:rsidR="001760A2" w:rsidRPr="00BD1D99">
        <w:rPr>
          <w:rFonts w:ascii="Calibri" w:hAnsi="Calibri" w:cs="Calibri"/>
          <w:color w:val="000000"/>
        </w:rPr>
        <w:t xml:space="preserve"> </w:t>
      </w:r>
      <w:r w:rsidR="00D87179" w:rsidRPr="00BD1D99">
        <w:rPr>
          <w:rFonts w:ascii="Calibri" w:hAnsi="Calibri" w:cs="Calibri"/>
          <w:color w:val="000000"/>
        </w:rPr>
        <w:t xml:space="preserve">Lara Ettenson and Julia de Lamare from </w:t>
      </w:r>
      <w:r w:rsidR="006E3086" w:rsidRPr="00BD1D99">
        <w:rPr>
          <w:rFonts w:ascii="Calibri" w:hAnsi="Calibri" w:cs="Calibri"/>
          <w:color w:val="000000"/>
        </w:rPr>
        <w:t xml:space="preserve">the </w:t>
      </w:r>
      <w:r w:rsidR="00D87179" w:rsidRPr="00BD1D99">
        <w:rPr>
          <w:rFonts w:ascii="Calibri" w:hAnsi="Calibri" w:cs="Calibri"/>
          <w:color w:val="000000"/>
        </w:rPr>
        <w:t>Natural Resources Defense Council (NRDC)</w:t>
      </w:r>
      <w:r w:rsidRPr="00BD1D99">
        <w:rPr>
          <w:rFonts w:ascii="Calibri" w:hAnsi="Calibri" w:cs="Calibri"/>
          <w:color w:val="000000"/>
        </w:rPr>
        <w:t>.</w:t>
      </w:r>
      <w:r w:rsidRPr="00BD1D99">
        <w:rPr>
          <w:rFonts w:ascii="Calibri" w:hAnsi="Calibri" w:cs="Calibri"/>
        </w:rPr>
        <w:t xml:space="preserve"> The culmination of the </w:t>
      </w:r>
      <w:r w:rsidR="009A52BF" w:rsidRPr="00BD1D99">
        <w:rPr>
          <w:rFonts w:ascii="Calibri" w:hAnsi="Calibri" w:cs="Calibri"/>
        </w:rPr>
        <w:t>EM</w:t>
      </w:r>
      <w:r w:rsidRPr="00BD1D99">
        <w:rPr>
          <w:rFonts w:ascii="Calibri" w:hAnsi="Calibri" w:cs="Calibri"/>
        </w:rPr>
        <w:t xml:space="preserve">WG is this Report submitted directly to </w:t>
      </w:r>
      <w:r w:rsidR="00582E9A" w:rsidRPr="00BD1D99">
        <w:rPr>
          <w:rFonts w:ascii="Calibri" w:hAnsi="Calibri" w:cs="Calibri"/>
        </w:rPr>
        <w:t>the Commission</w:t>
      </w:r>
      <w:r w:rsidR="006E3086" w:rsidRPr="00BD1D99">
        <w:rPr>
          <w:rFonts w:ascii="Calibri" w:hAnsi="Calibri" w:cs="Calibri"/>
        </w:rPr>
        <w:t xml:space="preserve"> to inform the forthcoming application filings by </w:t>
      </w:r>
      <w:r w:rsidR="00582E9A" w:rsidRPr="00BD1D99">
        <w:rPr>
          <w:rFonts w:ascii="Calibri" w:hAnsi="Calibri" w:cs="Calibri"/>
        </w:rPr>
        <w:t xml:space="preserve">the </w:t>
      </w:r>
      <w:r w:rsidRPr="00BD1D99">
        <w:rPr>
          <w:rFonts w:ascii="Calibri" w:hAnsi="Calibri" w:cs="Calibri"/>
        </w:rPr>
        <w:t xml:space="preserve">Program Administrators (PAs). </w:t>
      </w:r>
    </w:p>
    <w:p w14:paraId="0460520E" w14:textId="71194916" w:rsidR="00756006" w:rsidRPr="00BD1D99" w:rsidRDefault="00756006" w:rsidP="00BD1D99">
      <w:pPr>
        <w:autoSpaceDE w:val="0"/>
        <w:autoSpaceDN w:val="0"/>
        <w:adjustRightInd w:val="0"/>
        <w:spacing w:line="276" w:lineRule="auto"/>
        <w:rPr>
          <w:rFonts w:ascii="Calibri" w:hAnsi="Calibri" w:cs="Calibri"/>
        </w:rPr>
      </w:pPr>
      <w:r w:rsidRPr="00BD1D99">
        <w:rPr>
          <w:rFonts w:ascii="Calibri" w:hAnsi="Calibri" w:cs="Calibri"/>
        </w:rPr>
        <w:t>As outlined in the Prospectus</w:t>
      </w:r>
      <w:r w:rsidR="006E3086" w:rsidRPr="00BD1D99">
        <w:rPr>
          <w:rFonts w:ascii="Calibri" w:hAnsi="Calibri" w:cs="Calibri"/>
        </w:rPr>
        <w:t>,</w:t>
      </w:r>
      <w:r w:rsidRPr="00BD1D99">
        <w:rPr>
          <w:rStyle w:val="FootnoteReference"/>
          <w:rFonts w:ascii="Calibri" w:hAnsi="Calibri" w:cs="Calibri"/>
        </w:rPr>
        <w:footnoteReference w:id="2"/>
      </w:r>
      <w:r w:rsidRPr="00BD1D99">
        <w:rPr>
          <w:rFonts w:ascii="Calibri" w:hAnsi="Calibri" w:cs="Calibri"/>
        </w:rPr>
        <w:t xml:space="preserve"> and at the direction of the CPUC, the </w:t>
      </w:r>
      <w:r w:rsidR="009A52BF" w:rsidRPr="00BD1D99">
        <w:rPr>
          <w:rFonts w:ascii="Calibri" w:hAnsi="Calibri" w:cs="Calibri"/>
        </w:rPr>
        <w:t>EM</w:t>
      </w:r>
      <w:r w:rsidRPr="00BD1D99">
        <w:rPr>
          <w:rFonts w:ascii="Calibri" w:hAnsi="Calibri" w:cs="Calibri"/>
        </w:rPr>
        <w:t>WG was charged with answering the following key questions:</w:t>
      </w:r>
    </w:p>
    <w:p w14:paraId="7E38961C" w14:textId="77777777" w:rsidR="00756006" w:rsidRPr="00BD1D99" w:rsidRDefault="00756006" w:rsidP="00BD1D99">
      <w:pPr>
        <w:pStyle w:val="ListParagraph"/>
        <w:numPr>
          <w:ilvl w:val="0"/>
          <w:numId w:val="3"/>
        </w:numPr>
        <w:spacing w:after="120" w:line="276" w:lineRule="auto"/>
        <w:rPr>
          <w:rFonts w:ascii="Calibri" w:hAnsi="Calibri" w:cs="Calibri"/>
          <w:b/>
          <w:bCs/>
        </w:rPr>
      </w:pPr>
      <w:r w:rsidRPr="00BD1D99">
        <w:rPr>
          <w:rFonts w:ascii="Calibri" w:hAnsi="Calibri" w:cs="Calibri"/>
          <w:b/>
          <w:bCs/>
        </w:rPr>
        <w:t>Objective and Metric(s) - setting questions</w:t>
      </w:r>
    </w:p>
    <w:p w14:paraId="5BE3A4C2" w14:textId="77777777" w:rsidR="00756006" w:rsidRPr="00BD1D99" w:rsidRDefault="00756006" w:rsidP="00BD1D99">
      <w:pPr>
        <w:pStyle w:val="ListParagraph"/>
        <w:numPr>
          <w:ilvl w:val="1"/>
          <w:numId w:val="3"/>
        </w:numPr>
        <w:spacing w:after="120" w:line="276" w:lineRule="auto"/>
        <w:rPr>
          <w:rFonts w:ascii="Calibri" w:hAnsi="Calibri" w:cs="Calibri"/>
        </w:rPr>
      </w:pPr>
      <w:r w:rsidRPr="00BD1D99">
        <w:rPr>
          <w:rFonts w:ascii="Calibri" w:hAnsi="Calibri" w:cs="Calibri"/>
        </w:rPr>
        <w:t>What are the specific Objectives for each segment?</w:t>
      </w:r>
    </w:p>
    <w:p w14:paraId="47349898" w14:textId="77777777" w:rsidR="00756006" w:rsidRPr="00BD1D99" w:rsidRDefault="00756006" w:rsidP="00BD1D99">
      <w:pPr>
        <w:pStyle w:val="ListParagraph"/>
        <w:numPr>
          <w:ilvl w:val="1"/>
          <w:numId w:val="3"/>
        </w:numPr>
        <w:spacing w:after="120" w:line="276" w:lineRule="auto"/>
        <w:rPr>
          <w:rFonts w:ascii="Calibri" w:hAnsi="Calibri" w:cs="Calibri"/>
          <w:b/>
          <w:bCs/>
        </w:rPr>
      </w:pPr>
      <w:r w:rsidRPr="00BD1D99">
        <w:rPr>
          <w:rFonts w:ascii="Calibri" w:hAnsi="Calibri" w:cs="Calibri"/>
        </w:rPr>
        <w:t>What are the specific associated key Metric(s) for each Objective?</w:t>
      </w:r>
    </w:p>
    <w:p w14:paraId="47CECB32" w14:textId="77777777" w:rsidR="00756006" w:rsidRPr="00BD1D99" w:rsidRDefault="00756006" w:rsidP="00BD1D99">
      <w:pPr>
        <w:pStyle w:val="ListParagraph"/>
        <w:numPr>
          <w:ilvl w:val="1"/>
          <w:numId w:val="3"/>
        </w:numPr>
        <w:spacing w:after="120" w:line="276" w:lineRule="auto"/>
        <w:rPr>
          <w:rFonts w:ascii="Calibri" w:hAnsi="Calibri" w:cs="Calibri"/>
          <w:b/>
          <w:bCs/>
        </w:rPr>
      </w:pPr>
      <w:r w:rsidRPr="00BD1D99">
        <w:rPr>
          <w:rFonts w:ascii="Calibri" w:hAnsi="Calibri" w:cs="Calibri"/>
        </w:rPr>
        <w:t xml:space="preserve">For each Objective and key Metric(s) describe whether it will be expressed quantitatively, qualitatively, or a mixture of both—and when each will be established and by whom. </w:t>
      </w:r>
    </w:p>
    <w:p w14:paraId="63561E0B" w14:textId="77777777" w:rsidR="00756006" w:rsidRPr="00BD1D99" w:rsidRDefault="00756006" w:rsidP="00BD1D99">
      <w:pPr>
        <w:pStyle w:val="ListParagraph"/>
        <w:numPr>
          <w:ilvl w:val="1"/>
          <w:numId w:val="3"/>
        </w:numPr>
        <w:spacing w:after="120" w:line="276" w:lineRule="auto"/>
        <w:rPr>
          <w:rFonts w:ascii="Calibri" w:hAnsi="Calibri" w:cs="Calibri"/>
          <w:b/>
          <w:bCs/>
        </w:rPr>
      </w:pPr>
      <w:r w:rsidRPr="00BD1D99">
        <w:rPr>
          <w:rFonts w:ascii="Calibri" w:hAnsi="Calibri" w:cs="Calibri"/>
        </w:rPr>
        <w:t xml:space="preserve">For each Objective and associated key Metric(s) describe whether its primary application is to justify portfolio </w:t>
      </w:r>
      <w:r w:rsidRPr="00BD1D99">
        <w:rPr>
          <w:rFonts w:ascii="Calibri" w:hAnsi="Calibri" w:cs="Calibri"/>
          <w:color w:val="000000"/>
        </w:rPr>
        <w:t>segmentation and program design; forecasting of benefits/values from the budgeted program; tracking and evaluation; or some combination?</w:t>
      </w:r>
    </w:p>
    <w:p w14:paraId="79CB86E0" w14:textId="77777777" w:rsidR="00756006" w:rsidRPr="00BD1D99" w:rsidRDefault="00756006" w:rsidP="00BD1D99">
      <w:pPr>
        <w:pStyle w:val="ListParagraph"/>
        <w:numPr>
          <w:ilvl w:val="1"/>
          <w:numId w:val="3"/>
        </w:numPr>
        <w:spacing w:after="120" w:line="276" w:lineRule="auto"/>
        <w:rPr>
          <w:rFonts w:ascii="Calibri" w:hAnsi="Calibri" w:cs="Calibri"/>
        </w:rPr>
      </w:pPr>
      <w:r w:rsidRPr="00BD1D99">
        <w:rPr>
          <w:rFonts w:ascii="Calibri" w:hAnsi="Calibri" w:cs="Calibri"/>
        </w:rPr>
        <w:t>What must all PAs include in their filings with respect to Objectives, associated key Metrics, and Targets for Metrics, and under what conditions can PAs propose additional Objectives, Metrics, and Targets?</w:t>
      </w:r>
    </w:p>
    <w:p w14:paraId="10023B62" w14:textId="77777777" w:rsidR="00756006" w:rsidRPr="00BD1D99" w:rsidRDefault="00756006" w:rsidP="00BD1D99">
      <w:pPr>
        <w:pStyle w:val="ListParagraph"/>
        <w:numPr>
          <w:ilvl w:val="1"/>
          <w:numId w:val="3"/>
        </w:numPr>
        <w:spacing w:after="120" w:line="276" w:lineRule="auto"/>
        <w:rPr>
          <w:rFonts w:ascii="Calibri" w:hAnsi="Calibri" w:cs="Calibri"/>
          <w:b/>
          <w:bCs/>
        </w:rPr>
      </w:pPr>
      <w:r w:rsidRPr="00BD1D99">
        <w:rPr>
          <w:rFonts w:ascii="Calibri" w:hAnsi="Calibri" w:cs="Calibri"/>
          <w:color w:val="000000"/>
        </w:rPr>
        <w:lastRenderedPageBreak/>
        <w:t>What should be the basis (i.e., principles and guidance) for</w:t>
      </w:r>
      <w:r w:rsidRPr="00BD1D99">
        <w:rPr>
          <w:rFonts w:ascii="Calibri" w:hAnsi="Calibri" w:cs="Calibri"/>
        </w:rPr>
        <w:t xml:space="preserve"> the PAs to set their own Targets for associated key Metric(s) in their filing?</w:t>
      </w:r>
    </w:p>
    <w:p w14:paraId="40ACE9C1" w14:textId="77777777" w:rsidR="00756006" w:rsidRPr="00BD1D99" w:rsidRDefault="00756006" w:rsidP="00BD1D99">
      <w:pPr>
        <w:pStyle w:val="ListParagraph"/>
        <w:keepNext/>
        <w:numPr>
          <w:ilvl w:val="0"/>
          <w:numId w:val="3"/>
        </w:numPr>
        <w:spacing w:after="120" w:line="276" w:lineRule="auto"/>
        <w:rPr>
          <w:rFonts w:ascii="Calibri" w:hAnsi="Calibri" w:cs="Calibri"/>
          <w:b/>
          <w:bCs/>
        </w:rPr>
      </w:pPr>
      <w:r w:rsidRPr="00BD1D99">
        <w:rPr>
          <w:rFonts w:ascii="Calibri" w:hAnsi="Calibri" w:cs="Calibri"/>
          <w:b/>
          <w:bCs/>
        </w:rPr>
        <w:t>Procedural questions:</w:t>
      </w:r>
    </w:p>
    <w:p w14:paraId="44907212" w14:textId="77777777" w:rsidR="00756006" w:rsidRPr="00BD1D99" w:rsidRDefault="00756006" w:rsidP="00BD1D99">
      <w:pPr>
        <w:pStyle w:val="ListParagraph"/>
        <w:keepNext/>
        <w:numPr>
          <w:ilvl w:val="1"/>
          <w:numId w:val="2"/>
        </w:numPr>
        <w:spacing w:line="276" w:lineRule="auto"/>
        <w:rPr>
          <w:rFonts w:ascii="Calibri" w:hAnsi="Calibri" w:cs="Calibri"/>
        </w:rPr>
      </w:pPr>
      <w:r w:rsidRPr="00BD1D99">
        <w:rPr>
          <w:rFonts w:ascii="Calibri" w:hAnsi="Calibri" w:cs="Calibri"/>
        </w:rPr>
        <w:t xml:space="preserve">How will any non-consensus Objectives and/or associated key Metric(s) be addressed in the PA filings? </w:t>
      </w:r>
    </w:p>
    <w:p w14:paraId="465BF611" w14:textId="15780FA7" w:rsidR="00756006" w:rsidRPr="00BD1D99" w:rsidRDefault="00756006" w:rsidP="00BD1D99">
      <w:pPr>
        <w:spacing w:after="120" w:line="276" w:lineRule="auto"/>
        <w:rPr>
          <w:rFonts w:ascii="Calibri" w:hAnsi="Calibri" w:cs="Calibri"/>
        </w:rPr>
      </w:pPr>
      <w:r w:rsidRPr="00BD1D99">
        <w:rPr>
          <w:rFonts w:ascii="Calibri" w:hAnsi="Calibri" w:cs="Calibri"/>
        </w:rPr>
        <w:t xml:space="preserve">The California Energy Efficiency Coordinating Committee (CAEECC) </w:t>
      </w:r>
      <w:r w:rsidR="00D930B7">
        <w:rPr>
          <w:rFonts w:ascii="Calibri" w:hAnsi="Calibri" w:cs="Calibri"/>
        </w:rPr>
        <w:t>convened and facilitated</w:t>
      </w:r>
      <w:r w:rsidRPr="00BD1D99">
        <w:rPr>
          <w:rFonts w:ascii="Calibri" w:hAnsi="Calibri" w:cs="Calibri"/>
        </w:rPr>
        <w:t xml:space="preserve"> two distinct but related Working Groups, one on Market Support Metrics and another on Equity Metrics. The </w:t>
      </w:r>
      <w:r w:rsidR="00D87179" w:rsidRPr="00BD1D99">
        <w:rPr>
          <w:rFonts w:ascii="Calibri" w:hAnsi="Calibri" w:cs="Calibri"/>
        </w:rPr>
        <w:t>Market Support</w:t>
      </w:r>
      <w:r w:rsidRPr="00BD1D99">
        <w:rPr>
          <w:rFonts w:ascii="Calibri" w:hAnsi="Calibri" w:cs="Calibri"/>
        </w:rPr>
        <w:t xml:space="preserve"> Metrics report can be found on the CAEECC website</w:t>
      </w:r>
      <w:r w:rsidR="00DE4A1F" w:rsidRPr="00BD1D99">
        <w:rPr>
          <w:rFonts w:ascii="Calibri" w:hAnsi="Calibri" w:cs="Calibri"/>
        </w:rPr>
        <w:t xml:space="preserve">: </w:t>
      </w:r>
      <w:hyperlink r:id="rId8" w:history="1">
        <w:r w:rsidR="00D87179" w:rsidRPr="00BD1D99">
          <w:rPr>
            <w:rStyle w:val="Hyperlink"/>
            <w:rFonts w:ascii="Calibri" w:hAnsi="Calibri" w:cs="Calibri"/>
          </w:rPr>
          <w:t>https://www.caeecc.org/market-support-metrics-wg</w:t>
        </w:r>
      </w:hyperlink>
      <w:r w:rsidR="00D87179" w:rsidRPr="00BD1D99">
        <w:rPr>
          <w:rFonts w:ascii="Calibri" w:hAnsi="Calibri" w:cs="Calibri"/>
        </w:rPr>
        <w:t xml:space="preserve">. </w:t>
      </w:r>
    </w:p>
    <w:p w14:paraId="50FBB5A1" w14:textId="77777777" w:rsidR="00756006" w:rsidRPr="00BD1D99" w:rsidRDefault="00756006" w:rsidP="00BD1D99">
      <w:pPr>
        <w:spacing w:line="276" w:lineRule="auto"/>
        <w:rPr>
          <w:rFonts w:ascii="Calibri" w:hAnsi="Calibri" w:cs="Calibri"/>
          <w:color w:val="000000"/>
        </w:rPr>
      </w:pPr>
    </w:p>
    <w:p w14:paraId="6373B7F4" w14:textId="0ACE378F" w:rsidR="00756006" w:rsidRPr="00BD1D99" w:rsidRDefault="00756006" w:rsidP="00BD1D99">
      <w:pPr>
        <w:pStyle w:val="Heading2"/>
        <w:rPr>
          <w:rFonts w:eastAsia="Times New Roman"/>
        </w:rPr>
      </w:pPr>
      <w:bookmarkStart w:id="12" w:name="_Toc81054913"/>
      <w:bookmarkStart w:id="13" w:name="_Toc85613280"/>
      <w:r w:rsidRPr="00BD1D99">
        <w:t xml:space="preserve">1.2 Background on Newly Created </w:t>
      </w:r>
      <w:r w:rsidR="00D87179" w:rsidRPr="00BD1D99">
        <w:t>Equity</w:t>
      </w:r>
      <w:r w:rsidRPr="00BD1D99">
        <w:t xml:space="preserve"> Segment</w:t>
      </w:r>
      <w:bookmarkEnd w:id="12"/>
      <w:bookmarkEnd w:id="13"/>
    </w:p>
    <w:p w14:paraId="6964FD01" w14:textId="151BEF92" w:rsidR="00756006" w:rsidRPr="00BD1D99" w:rsidRDefault="00756006" w:rsidP="00BD1D99">
      <w:pPr>
        <w:spacing w:line="276" w:lineRule="auto"/>
        <w:rPr>
          <w:rFonts w:ascii="Calibri" w:hAnsi="Calibri" w:cs="Calibri"/>
        </w:rPr>
      </w:pPr>
      <w:r w:rsidRPr="00BD1D99">
        <w:rPr>
          <w:rFonts w:ascii="Calibri" w:hAnsi="Calibri" w:cs="Calibri"/>
        </w:rPr>
        <w:t xml:space="preserve">On May 20, 2021, the CPUC unanimously approved Proposed Decision 21-05-031 on the “Assessment of Energy Efficiency Potential and Goals and Modification of Portfolio Approval and Oversight Process” (in Rulemaking 13-11-005). The Decision directs PAs to “further segment their portfolios based on the primary program purpose, into the following three segments”: </w:t>
      </w:r>
      <w:r w:rsidRPr="00BD1D99">
        <w:rPr>
          <w:rFonts w:ascii="Calibri" w:hAnsi="Calibri" w:cs="Calibri"/>
          <w:i/>
          <w:iCs/>
        </w:rPr>
        <w:t>Resource Acquisition, Market Support, and Equity</w:t>
      </w:r>
      <w:r w:rsidRPr="00BD1D99">
        <w:rPr>
          <w:rFonts w:ascii="Calibri" w:hAnsi="Calibri" w:cs="Calibri"/>
        </w:rPr>
        <w:t>.  The decision then directs CAEECC to form a Working Group “</w:t>
      </w:r>
      <w:r w:rsidRPr="00BD1D99">
        <w:rPr>
          <w:rFonts w:ascii="Calibri" w:hAnsi="Calibri" w:cs="Calibri"/>
          <w:i/>
          <w:iCs/>
        </w:rPr>
        <w:t>to develop and vet new reporting metrics for the market support and equity program categories that will be considered alongside the portfolio filings due from all program administrators in February 2022</w:t>
      </w:r>
      <w:r w:rsidR="006E3086" w:rsidRPr="00BD1D99">
        <w:rPr>
          <w:rFonts w:ascii="Calibri" w:hAnsi="Calibri" w:cs="Calibri"/>
          <w:i/>
          <w:iCs/>
        </w:rPr>
        <w:t>.</w:t>
      </w:r>
      <w:r w:rsidRPr="00BD1D99">
        <w:rPr>
          <w:rFonts w:ascii="Calibri" w:hAnsi="Calibri" w:cs="Calibri"/>
          <w:i/>
          <w:iCs/>
        </w:rPr>
        <w:t>”</w:t>
      </w:r>
      <w:r w:rsidRPr="00BD1D99">
        <w:rPr>
          <w:rStyle w:val="FootnoteReference"/>
          <w:rFonts w:ascii="Calibri" w:eastAsiaTheme="majorEastAsia" w:hAnsi="Calibri" w:cs="Calibri"/>
        </w:rPr>
        <w:footnoteReference w:id="3"/>
      </w:r>
    </w:p>
    <w:p w14:paraId="624B08BF" w14:textId="77777777" w:rsidR="00756006" w:rsidRPr="00BD1D99" w:rsidRDefault="00756006" w:rsidP="00BD1D99">
      <w:pPr>
        <w:spacing w:line="276" w:lineRule="auto"/>
        <w:rPr>
          <w:rFonts w:ascii="Calibri" w:hAnsi="Calibri" w:cs="Calibri"/>
        </w:rPr>
      </w:pPr>
    </w:p>
    <w:p w14:paraId="2C692EAC" w14:textId="26717069" w:rsidR="00756006" w:rsidRPr="00BD1D99" w:rsidRDefault="006E3086" w:rsidP="00BD1D99">
      <w:pPr>
        <w:spacing w:after="120" w:line="276" w:lineRule="auto"/>
        <w:rPr>
          <w:rFonts w:ascii="Calibri" w:hAnsi="Calibri" w:cs="Calibri"/>
        </w:rPr>
      </w:pPr>
      <w:r w:rsidRPr="00BD1D99">
        <w:rPr>
          <w:rFonts w:ascii="Calibri" w:hAnsi="Calibri" w:cs="Calibri"/>
        </w:rPr>
        <w:t xml:space="preserve">The decision required the PAs to segment their portfolios into categories, based on the primary program purpose. The equity segment is defined as </w:t>
      </w:r>
      <w:r w:rsidR="00D87179" w:rsidRPr="00BD1D99">
        <w:rPr>
          <w:rFonts w:ascii="Calibri" w:hAnsi="Calibri" w:cs="Calibri"/>
        </w:rPr>
        <w:t>“</w:t>
      </w:r>
      <w:r w:rsidR="00D87179" w:rsidRPr="00BD1D99">
        <w:rPr>
          <w:rFonts w:ascii="Calibri" w:hAnsi="Calibri" w:cs="Calibri"/>
          <w:i/>
          <w:iCs/>
        </w:rPr>
        <w:t>programs with a primary purpose of providing energy efficiency to hard-to-reach or underserved customers and disadvantaged communities in advancement of the Commission’s Environmental and Social Justice (ESJ) Action Plan. Improving access to energy efficiency for ESJ communities, as defined in the ESJ Action Plan, may provide corollary benefits such as increased comfort and safety, improved air quality, and more affordable utility bills, consistent with Goals 1, 2, and 5 in the ESJ Action Plan</w:t>
      </w:r>
      <w:r w:rsidR="00DE5D1C">
        <w:rPr>
          <w:rFonts w:ascii="Calibri" w:hAnsi="Calibri" w:cs="Calibri"/>
          <w:i/>
          <w:iCs/>
        </w:rPr>
        <w:t>.</w:t>
      </w:r>
      <w:r w:rsidR="00D87179" w:rsidRPr="00BD1D99">
        <w:rPr>
          <w:rFonts w:ascii="Calibri" w:hAnsi="Calibri" w:cs="Calibri"/>
        </w:rPr>
        <w:t>”</w:t>
      </w:r>
      <w:r w:rsidR="00D87179" w:rsidRPr="00BD1D99">
        <w:rPr>
          <w:rStyle w:val="FootnoteReference"/>
          <w:rFonts w:ascii="Calibri" w:hAnsi="Calibri" w:cs="Calibri"/>
        </w:rPr>
        <w:footnoteReference w:id="4"/>
      </w:r>
      <w:r w:rsidR="00D87179" w:rsidRPr="00BD1D99">
        <w:rPr>
          <w:rFonts w:ascii="Calibri" w:hAnsi="Calibri" w:cs="Calibri"/>
        </w:rPr>
        <w:t xml:space="preserve"> Note that the Equity category is distinct from Energy Savings Assistance (ESA) programs so as to avoid overlap </w:t>
      </w:r>
      <w:r w:rsidR="00D930B7">
        <w:rPr>
          <w:rFonts w:ascii="Calibri" w:hAnsi="Calibri" w:cs="Calibri"/>
        </w:rPr>
        <w:t>with</w:t>
      </w:r>
      <w:r w:rsidR="00D87179" w:rsidRPr="00BD1D99">
        <w:rPr>
          <w:rFonts w:ascii="Calibri" w:hAnsi="Calibri" w:cs="Calibri"/>
        </w:rPr>
        <w:t xml:space="preserve"> program offerings that low-income populations could receive at no cost through existing channels.</w:t>
      </w:r>
      <w:r w:rsidR="00D87179" w:rsidRPr="00BD1D99">
        <w:rPr>
          <w:rStyle w:val="FootnoteReference"/>
          <w:rFonts w:ascii="Calibri" w:hAnsi="Calibri" w:cs="Calibri"/>
        </w:rPr>
        <w:footnoteReference w:id="5"/>
      </w:r>
    </w:p>
    <w:p w14:paraId="777B4247" w14:textId="77777777" w:rsidR="00D87179" w:rsidRPr="00BD1D99" w:rsidRDefault="00D87179" w:rsidP="00BD1D99">
      <w:pPr>
        <w:spacing w:after="120" w:line="276" w:lineRule="auto"/>
        <w:rPr>
          <w:rFonts w:ascii="Calibri" w:hAnsi="Calibri" w:cs="Calibri"/>
        </w:rPr>
      </w:pPr>
    </w:p>
    <w:p w14:paraId="5A304F21" w14:textId="1F0625DE" w:rsidR="00756006" w:rsidRPr="00BD1D99" w:rsidRDefault="00756006" w:rsidP="00BD1D99">
      <w:pPr>
        <w:spacing w:line="276" w:lineRule="auto"/>
        <w:rPr>
          <w:rFonts w:ascii="Calibri" w:hAnsi="Calibri" w:cs="Calibri"/>
        </w:rPr>
      </w:pPr>
      <w:r w:rsidRPr="00BD1D99">
        <w:rPr>
          <w:rFonts w:ascii="Calibri" w:hAnsi="Calibri" w:cs="Calibri"/>
        </w:rPr>
        <w:t xml:space="preserve">The Decision creates a combined budget cap of 30% for </w:t>
      </w:r>
      <w:r w:rsidR="00D87179" w:rsidRPr="00BD1D99">
        <w:rPr>
          <w:rFonts w:ascii="Calibri" w:hAnsi="Calibri" w:cs="Calibri"/>
        </w:rPr>
        <w:t xml:space="preserve">Equity and </w:t>
      </w:r>
      <w:r w:rsidRPr="00BD1D99">
        <w:rPr>
          <w:rFonts w:ascii="Calibri" w:hAnsi="Calibri" w:cs="Calibri"/>
        </w:rPr>
        <w:t>Market Support segments</w:t>
      </w:r>
      <w:r w:rsidRPr="00BD1D99">
        <w:rPr>
          <w:rStyle w:val="FootnoteReference"/>
          <w:rFonts w:ascii="Calibri" w:eastAsiaTheme="majorEastAsia" w:hAnsi="Calibri" w:cs="Calibri"/>
        </w:rPr>
        <w:footnoteReference w:id="6"/>
      </w:r>
      <w:r w:rsidRPr="00BD1D99">
        <w:rPr>
          <w:rFonts w:ascii="Calibri" w:hAnsi="Calibri" w:cs="Calibri"/>
        </w:rPr>
        <w:t xml:space="preserve"> per Program Administrator (excluding the </w:t>
      </w:r>
      <w:r w:rsidR="00263F5B" w:rsidRPr="00BD1D99">
        <w:rPr>
          <w:rFonts w:ascii="Calibri" w:hAnsi="Calibri" w:cs="Calibri"/>
        </w:rPr>
        <w:t>Regional Energy Networks (</w:t>
      </w:r>
      <w:r w:rsidRPr="00BD1D99">
        <w:rPr>
          <w:rFonts w:ascii="Calibri" w:hAnsi="Calibri" w:cs="Calibri"/>
        </w:rPr>
        <w:t>RENs</w:t>
      </w:r>
      <w:r w:rsidR="00263F5B" w:rsidRPr="00BD1D99">
        <w:rPr>
          <w:rFonts w:ascii="Calibri" w:hAnsi="Calibri" w:cs="Calibri"/>
        </w:rPr>
        <w:t>)</w:t>
      </w:r>
      <w:r w:rsidRPr="00BD1D99">
        <w:rPr>
          <w:rFonts w:ascii="Calibri" w:hAnsi="Calibri" w:cs="Calibri"/>
        </w:rPr>
        <w:t xml:space="preserve">). PAs must use the new portfolio segmentation categorization scheme for the interim budget filings (for program years 2022 and 2023) due </w:t>
      </w:r>
      <w:r w:rsidR="00582E9A" w:rsidRPr="00BD1D99">
        <w:rPr>
          <w:rFonts w:ascii="Calibri" w:hAnsi="Calibri" w:cs="Calibri"/>
        </w:rPr>
        <w:t>November</w:t>
      </w:r>
      <w:r w:rsidRPr="00BD1D99">
        <w:rPr>
          <w:rFonts w:ascii="Calibri" w:hAnsi="Calibri" w:cs="Calibri"/>
        </w:rPr>
        <w:t xml:space="preserve"> 2021, and for the Strategic Business Plan and Four-Year Portfolio (for program years 2024 and beyond) due February 15, 2022. </w:t>
      </w:r>
    </w:p>
    <w:p w14:paraId="0A588C3E" w14:textId="77777777" w:rsidR="00756006" w:rsidRPr="00BD1D99" w:rsidRDefault="00756006" w:rsidP="00BD1D99">
      <w:pPr>
        <w:autoSpaceDE w:val="0"/>
        <w:autoSpaceDN w:val="0"/>
        <w:adjustRightInd w:val="0"/>
        <w:spacing w:line="276" w:lineRule="auto"/>
        <w:rPr>
          <w:rFonts w:ascii="Calibri" w:hAnsi="Calibri" w:cs="Calibri"/>
        </w:rPr>
      </w:pPr>
    </w:p>
    <w:p w14:paraId="0208E58B" w14:textId="77777777" w:rsidR="00756006" w:rsidRPr="00BD1D99" w:rsidRDefault="00756006" w:rsidP="00BD1D99">
      <w:pPr>
        <w:pStyle w:val="Heading2"/>
      </w:pPr>
      <w:bookmarkStart w:id="14" w:name="_Toc81054914"/>
      <w:bookmarkStart w:id="15" w:name="_Toc85613281"/>
      <w:r w:rsidRPr="00BD1D99">
        <w:t>1.3 Report Outline</w:t>
      </w:r>
      <w:bookmarkEnd w:id="14"/>
      <w:bookmarkEnd w:id="15"/>
    </w:p>
    <w:p w14:paraId="2A5AAFC2" w14:textId="3B7D3A51" w:rsidR="00756006" w:rsidRPr="00BD1D99" w:rsidRDefault="00756006" w:rsidP="00BD1D99">
      <w:pPr>
        <w:autoSpaceDE w:val="0"/>
        <w:autoSpaceDN w:val="0"/>
        <w:adjustRightInd w:val="0"/>
        <w:spacing w:line="276" w:lineRule="auto"/>
        <w:rPr>
          <w:rFonts w:ascii="Calibri" w:hAnsi="Calibri" w:cs="Calibri"/>
        </w:rPr>
      </w:pPr>
      <w:r w:rsidRPr="00BD1D99">
        <w:rPr>
          <w:rFonts w:ascii="Calibri" w:hAnsi="Calibri" w:cs="Calibri"/>
        </w:rPr>
        <w:t xml:space="preserve">This report outlines the outcomes and recommendations of the </w:t>
      </w:r>
      <w:r w:rsidR="00756E83" w:rsidRPr="00BD1D99">
        <w:rPr>
          <w:rFonts w:ascii="Calibri" w:hAnsi="Calibri" w:cs="Calibri"/>
        </w:rPr>
        <w:t>E</w:t>
      </w:r>
      <w:r w:rsidR="009A52BF" w:rsidRPr="00BD1D99">
        <w:rPr>
          <w:rFonts w:ascii="Calibri" w:hAnsi="Calibri" w:cs="Calibri"/>
        </w:rPr>
        <w:t>M</w:t>
      </w:r>
      <w:r w:rsidRPr="00BD1D99">
        <w:rPr>
          <w:rFonts w:ascii="Calibri" w:hAnsi="Calibri" w:cs="Calibri"/>
        </w:rPr>
        <w:t>WG and is organized as follows:</w:t>
      </w:r>
    </w:p>
    <w:p w14:paraId="2D6BEEE3" w14:textId="4DED1405" w:rsidR="00667F73" w:rsidRPr="00BD1D99" w:rsidRDefault="00756006" w:rsidP="00BD1D99">
      <w:pPr>
        <w:pStyle w:val="ListParagraph"/>
        <w:numPr>
          <w:ilvl w:val="0"/>
          <w:numId w:val="1"/>
        </w:numPr>
        <w:autoSpaceDE w:val="0"/>
        <w:autoSpaceDN w:val="0"/>
        <w:adjustRightInd w:val="0"/>
        <w:spacing w:after="120" w:line="276" w:lineRule="auto"/>
        <w:rPr>
          <w:rFonts w:ascii="Calibri" w:hAnsi="Calibri" w:cs="Calibri"/>
        </w:rPr>
      </w:pPr>
      <w:r w:rsidRPr="00BD1D99">
        <w:rPr>
          <w:rFonts w:ascii="Calibri" w:hAnsi="Calibri" w:cs="Calibri"/>
        </w:rPr>
        <w:t xml:space="preserve">Section 2: </w:t>
      </w:r>
      <w:r w:rsidR="00667F73" w:rsidRPr="00BD1D99">
        <w:rPr>
          <w:rFonts w:ascii="Calibri" w:hAnsi="Calibri" w:cs="Calibri"/>
        </w:rPr>
        <w:t>Principles</w:t>
      </w:r>
    </w:p>
    <w:p w14:paraId="74156A09" w14:textId="164531F6" w:rsidR="00756006" w:rsidRPr="00BD1D99" w:rsidRDefault="00667F73" w:rsidP="00BD1D99">
      <w:pPr>
        <w:pStyle w:val="ListParagraph"/>
        <w:numPr>
          <w:ilvl w:val="0"/>
          <w:numId w:val="1"/>
        </w:numPr>
        <w:autoSpaceDE w:val="0"/>
        <w:autoSpaceDN w:val="0"/>
        <w:adjustRightInd w:val="0"/>
        <w:spacing w:after="120" w:line="276" w:lineRule="auto"/>
        <w:rPr>
          <w:rFonts w:ascii="Calibri" w:hAnsi="Calibri" w:cs="Calibri"/>
        </w:rPr>
      </w:pPr>
      <w:r w:rsidRPr="00BD1D99">
        <w:rPr>
          <w:rFonts w:ascii="Calibri" w:hAnsi="Calibri" w:cs="Calibri"/>
        </w:rPr>
        <w:t xml:space="preserve">Section 3: </w:t>
      </w:r>
      <w:r w:rsidR="00756006" w:rsidRPr="00BD1D99">
        <w:rPr>
          <w:rFonts w:ascii="Calibri" w:hAnsi="Calibri" w:cs="Calibri"/>
        </w:rPr>
        <w:t>Objective</w:t>
      </w:r>
      <w:r w:rsidR="0065684D" w:rsidRPr="00BD1D99">
        <w:rPr>
          <w:rFonts w:ascii="Calibri" w:hAnsi="Calibri" w:cs="Calibri"/>
        </w:rPr>
        <w:t xml:space="preserve"> </w:t>
      </w:r>
    </w:p>
    <w:p w14:paraId="7491D3D4" w14:textId="58DCE25D" w:rsidR="00756006" w:rsidRPr="00BD1D99" w:rsidRDefault="00756006" w:rsidP="00BD1D99">
      <w:pPr>
        <w:pStyle w:val="ListParagraph"/>
        <w:numPr>
          <w:ilvl w:val="0"/>
          <w:numId w:val="1"/>
        </w:numPr>
        <w:autoSpaceDE w:val="0"/>
        <w:autoSpaceDN w:val="0"/>
        <w:adjustRightInd w:val="0"/>
        <w:spacing w:after="120" w:line="276" w:lineRule="auto"/>
        <w:rPr>
          <w:rFonts w:ascii="Calibri" w:hAnsi="Calibri" w:cs="Calibri"/>
        </w:rPr>
      </w:pPr>
      <w:r w:rsidRPr="00BD1D99">
        <w:rPr>
          <w:rFonts w:ascii="Calibri" w:hAnsi="Calibri" w:cs="Calibri"/>
        </w:rPr>
        <w:t xml:space="preserve">Section </w:t>
      </w:r>
      <w:r w:rsidR="00667F73" w:rsidRPr="00BD1D99">
        <w:rPr>
          <w:rFonts w:ascii="Calibri" w:hAnsi="Calibri" w:cs="Calibri"/>
        </w:rPr>
        <w:t>4</w:t>
      </w:r>
      <w:r w:rsidRPr="00BD1D99">
        <w:rPr>
          <w:rFonts w:ascii="Calibri" w:hAnsi="Calibri" w:cs="Calibri"/>
        </w:rPr>
        <w:t>: Metrics</w:t>
      </w:r>
      <w:r w:rsidR="008E0B83" w:rsidRPr="00BD1D99">
        <w:rPr>
          <w:rFonts w:ascii="Calibri" w:hAnsi="Calibri" w:cs="Calibri"/>
        </w:rPr>
        <w:t xml:space="preserve"> and Indicator</w:t>
      </w:r>
      <w:r w:rsidR="00090954" w:rsidRPr="00BD1D99">
        <w:rPr>
          <w:rFonts w:ascii="Calibri" w:hAnsi="Calibri" w:cs="Calibri"/>
        </w:rPr>
        <w:t>s</w:t>
      </w:r>
    </w:p>
    <w:p w14:paraId="379DE2FA" w14:textId="0C99E328" w:rsidR="00756006" w:rsidRPr="00BD1D99" w:rsidRDefault="00756006" w:rsidP="00BD1D99">
      <w:pPr>
        <w:pStyle w:val="ListParagraph"/>
        <w:numPr>
          <w:ilvl w:val="0"/>
          <w:numId w:val="1"/>
        </w:numPr>
        <w:autoSpaceDE w:val="0"/>
        <w:autoSpaceDN w:val="0"/>
        <w:adjustRightInd w:val="0"/>
        <w:spacing w:after="120" w:line="276" w:lineRule="auto"/>
        <w:rPr>
          <w:rFonts w:ascii="Calibri" w:hAnsi="Calibri" w:cs="Calibri"/>
        </w:rPr>
      </w:pPr>
      <w:r w:rsidRPr="00BD1D99">
        <w:rPr>
          <w:rFonts w:ascii="Calibri" w:hAnsi="Calibri" w:cs="Calibri"/>
        </w:rPr>
        <w:t xml:space="preserve">Section 5: </w:t>
      </w:r>
      <w:r w:rsidR="00B20CB5" w:rsidRPr="00BD1D99">
        <w:rPr>
          <w:rFonts w:ascii="Calibri" w:hAnsi="Calibri" w:cs="Calibri"/>
        </w:rPr>
        <w:t>Additional Issues from the Prospectus and Raised Through Working Group Process</w:t>
      </w:r>
    </w:p>
    <w:p w14:paraId="3F19620B" w14:textId="444338CC" w:rsidR="00756006" w:rsidRPr="00BD1D99" w:rsidRDefault="00756006" w:rsidP="00BD1D99">
      <w:pPr>
        <w:pStyle w:val="ListParagraph"/>
        <w:numPr>
          <w:ilvl w:val="0"/>
          <w:numId w:val="1"/>
        </w:numPr>
        <w:autoSpaceDE w:val="0"/>
        <w:autoSpaceDN w:val="0"/>
        <w:adjustRightInd w:val="0"/>
        <w:spacing w:after="120" w:line="276" w:lineRule="auto"/>
        <w:rPr>
          <w:rFonts w:ascii="Calibri" w:hAnsi="Calibri" w:cs="Calibri"/>
        </w:rPr>
      </w:pPr>
      <w:r w:rsidRPr="00BD1D99">
        <w:rPr>
          <w:rFonts w:ascii="Calibri" w:hAnsi="Calibri" w:cs="Calibri"/>
        </w:rPr>
        <w:t xml:space="preserve">Appendix A: </w:t>
      </w:r>
      <w:r w:rsidR="00AA63D5" w:rsidRPr="00BD1D99">
        <w:rPr>
          <w:rFonts w:ascii="Calibri" w:hAnsi="Calibri" w:cs="Calibri"/>
        </w:rPr>
        <w:t xml:space="preserve">Working Group </w:t>
      </w:r>
      <w:r w:rsidRPr="00BD1D99">
        <w:rPr>
          <w:rFonts w:ascii="Calibri" w:hAnsi="Calibri" w:cs="Calibri"/>
        </w:rPr>
        <w:t>Member Organizations and Representatives</w:t>
      </w:r>
    </w:p>
    <w:p w14:paraId="0078B5C7" w14:textId="0F96312A" w:rsidR="000E68E1" w:rsidRDefault="000E68E1" w:rsidP="00BD1D99">
      <w:pPr>
        <w:pStyle w:val="ListParagraph"/>
        <w:numPr>
          <w:ilvl w:val="0"/>
          <w:numId w:val="1"/>
        </w:numPr>
        <w:autoSpaceDE w:val="0"/>
        <w:autoSpaceDN w:val="0"/>
        <w:adjustRightInd w:val="0"/>
        <w:spacing w:after="120" w:line="276" w:lineRule="auto"/>
        <w:rPr>
          <w:rFonts w:ascii="Calibri" w:hAnsi="Calibri" w:cs="Calibri"/>
        </w:rPr>
      </w:pPr>
      <w:r w:rsidRPr="00BD1D99">
        <w:rPr>
          <w:rFonts w:ascii="Calibri" w:hAnsi="Calibri" w:cs="Calibri"/>
        </w:rPr>
        <w:t xml:space="preserve">Appendix </w:t>
      </w:r>
      <w:r w:rsidR="00CF704E">
        <w:rPr>
          <w:rFonts w:ascii="Calibri" w:hAnsi="Calibri" w:cs="Calibri"/>
        </w:rPr>
        <w:t>B</w:t>
      </w:r>
      <w:r w:rsidRPr="00BD1D99">
        <w:rPr>
          <w:rFonts w:ascii="Calibri" w:hAnsi="Calibri" w:cs="Calibri"/>
        </w:rPr>
        <w:t xml:space="preserve">: Rationale </w:t>
      </w:r>
      <w:r w:rsidR="008B7B29">
        <w:rPr>
          <w:rFonts w:ascii="Calibri" w:hAnsi="Calibri" w:cs="Calibri"/>
        </w:rPr>
        <w:t xml:space="preserve">and EMWG Member Preferences </w:t>
      </w:r>
      <w:r w:rsidRPr="00BD1D99">
        <w:rPr>
          <w:rFonts w:ascii="Calibri" w:hAnsi="Calibri" w:cs="Calibri"/>
        </w:rPr>
        <w:t>for Community Engagement Non-Consensus Options</w:t>
      </w:r>
    </w:p>
    <w:p w14:paraId="0FE8D2EE" w14:textId="7E261A28" w:rsidR="00987389" w:rsidRPr="00BD1D99" w:rsidRDefault="00987389" w:rsidP="00BD1D99">
      <w:pPr>
        <w:pStyle w:val="ListParagraph"/>
        <w:numPr>
          <w:ilvl w:val="0"/>
          <w:numId w:val="1"/>
        </w:numPr>
        <w:autoSpaceDE w:val="0"/>
        <w:autoSpaceDN w:val="0"/>
        <w:adjustRightInd w:val="0"/>
        <w:spacing w:after="120" w:line="276" w:lineRule="auto"/>
        <w:rPr>
          <w:rFonts w:ascii="Calibri" w:hAnsi="Calibri" w:cs="Calibri"/>
        </w:rPr>
      </w:pPr>
      <w:r>
        <w:rPr>
          <w:rFonts w:ascii="Calibri" w:hAnsi="Calibri" w:cs="Calibri"/>
        </w:rPr>
        <w:t>Appendix C: Organization-Level Comments on Non-Consensus Option Choices</w:t>
      </w:r>
    </w:p>
    <w:p w14:paraId="5C96E4B7" w14:textId="56108BC5" w:rsidR="008E0B83" w:rsidRPr="00BD1D99" w:rsidRDefault="00AA63D5" w:rsidP="00BD1D99">
      <w:pPr>
        <w:pStyle w:val="ListParagraph"/>
        <w:numPr>
          <w:ilvl w:val="0"/>
          <w:numId w:val="1"/>
        </w:numPr>
        <w:autoSpaceDE w:val="0"/>
        <w:autoSpaceDN w:val="0"/>
        <w:adjustRightInd w:val="0"/>
        <w:spacing w:after="120" w:line="276" w:lineRule="auto"/>
        <w:rPr>
          <w:rFonts w:ascii="Calibri" w:hAnsi="Calibri" w:cs="Calibri"/>
        </w:rPr>
      </w:pPr>
      <w:r w:rsidRPr="00BD1D99">
        <w:rPr>
          <w:rFonts w:ascii="Calibri" w:hAnsi="Calibri" w:cs="Calibri"/>
        </w:rPr>
        <w:t xml:space="preserve">Appendix </w:t>
      </w:r>
      <w:r w:rsidR="00987389">
        <w:rPr>
          <w:rFonts w:ascii="Calibri" w:hAnsi="Calibri" w:cs="Calibri"/>
        </w:rPr>
        <w:t>D</w:t>
      </w:r>
      <w:r w:rsidRPr="00BD1D99">
        <w:rPr>
          <w:rFonts w:ascii="Calibri" w:hAnsi="Calibri" w:cs="Calibri"/>
        </w:rPr>
        <w:t xml:space="preserve">: </w:t>
      </w:r>
      <w:r w:rsidR="008E0B83" w:rsidRPr="00BD1D99">
        <w:rPr>
          <w:rFonts w:ascii="Calibri" w:hAnsi="Calibri" w:cs="Calibri"/>
        </w:rPr>
        <w:t>Equity Metrics Workshop Participation and Input</w:t>
      </w:r>
    </w:p>
    <w:p w14:paraId="4163DC22" w14:textId="4325A2B8" w:rsidR="00987389" w:rsidRPr="00987389" w:rsidRDefault="008E0B83" w:rsidP="00987389">
      <w:pPr>
        <w:pStyle w:val="ListParagraph"/>
        <w:numPr>
          <w:ilvl w:val="0"/>
          <w:numId w:val="1"/>
        </w:numPr>
        <w:autoSpaceDE w:val="0"/>
        <w:autoSpaceDN w:val="0"/>
        <w:adjustRightInd w:val="0"/>
        <w:spacing w:after="120" w:line="276" w:lineRule="auto"/>
        <w:rPr>
          <w:rFonts w:ascii="Calibri" w:hAnsi="Calibri" w:cs="Calibri"/>
        </w:rPr>
      </w:pPr>
      <w:r w:rsidRPr="00BD1D99">
        <w:rPr>
          <w:rFonts w:ascii="Calibri" w:hAnsi="Calibri" w:cs="Calibri"/>
        </w:rPr>
        <w:t xml:space="preserve">Appendix </w:t>
      </w:r>
      <w:r w:rsidR="00987389">
        <w:rPr>
          <w:rFonts w:ascii="Calibri" w:hAnsi="Calibri" w:cs="Calibri"/>
        </w:rPr>
        <w:t>E</w:t>
      </w:r>
      <w:r w:rsidR="00B20CB5" w:rsidRPr="00BD1D99">
        <w:rPr>
          <w:rFonts w:ascii="Calibri" w:hAnsi="Calibri" w:cs="Calibri"/>
        </w:rPr>
        <w:t>: Small-Medium Business Definition</w:t>
      </w:r>
      <w:r w:rsidRPr="00BD1D99">
        <w:rPr>
          <w:rFonts w:ascii="Calibri" w:hAnsi="Calibri" w:cs="Calibri"/>
        </w:rPr>
        <w:t xml:space="preserve"> </w:t>
      </w:r>
    </w:p>
    <w:p w14:paraId="57E622F6" w14:textId="77777777" w:rsidR="00987389" w:rsidRPr="00BD1D99" w:rsidRDefault="00987389" w:rsidP="00BD1D99">
      <w:pPr>
        <w:spacing w:line="276" w:lineRule="auto"/>
        <w:rPr>
          <w:rFonts w:ascii="Calibri" w:hAnsi="Calibri" w:cs="Calibri"/>
        </w:rPr>
      </w:pPr>
      <w:bookmarkStart w:id="16" w:name="_Toc81054915"/>
    </w:p>
    <w:p w14:paraId="7D43DDDB" w14:textId="15B49976" w:rsidR="00E952C4" w:rsidRPr="00BD1D99" w:rsidRDefault="00E952C4" w:rsidP="00BD1D99">
      <w:pPr>
        <w:pStyle w:val="Heading2"/>
      </w:pPr>
      <w:bookmarkStart w:id="17" w:name="_Toc85613282"/>
      <w:r w:rsidRPr="00BD1D99">
        <w:t>1.4 Structure of Objective</w:t>
      </w:r>
      <w:r w:rsidR="00756E83" w:rsidRPr="00BD1D99">
        <w:t xml:space="preserve">, </w:t>
      </w:r>
      <w:r w:rsidRPr="00BD1D99">
        <w:t>Metrics</w:t>
      </w:r>
      <w:r w:rsidR="00AE3BE4" w:rsidRPr="00BD1D99">
        <w:t xml:space="preserve">, </w:t>
      </w:r>
      <w:r w:rsidRPr="00BD1D99">
        <w:t>Targets</w:t>
      </w:r>
      <w:r w:rsidR="009D5EBA" w:rsidRPr="00BD1D99">
        <w:t>, and Indicators</w:t>
      </w:r>
      <w:bookmarkEnd w:id="17"/>
    </w:p>
    <w:p w14:paraId="1967BF49" w14:textId="2344D68D" w:rsidR="00E952C4" w:rsidRPr="00BD1D99" w:rsidRDefault="00E952C4" w:rsidP="00BD1D99">
      <w:pPr>
        <w:spacing w:line="276" w:lineRule="auto"/>
        <w:rPr>
          <w:rFonts w:ascii="Calibri" w:hAnsi="Calibri" w:cs="Calibri"/>
        </w:rPr>
      </w:pPr>
      <w:r w:rsidRPr="00BD1D99">
        <w:rPr>
          <w:rFonts w:ascii="Calibri" w:hAnsi="Calibri" w:cs="Calibri"/>
        </w:rPr>
        <w:t xml:space="preserve">Figure 1, below, illustrates the relationship between </w:t>
      </w:r>
      <w:r w:rsidR="009D5EBA" w:rsidRPr="00BD1D99">
        <w:rPr>
          <w:rFonts w:ascii="Calibri" w:hAnsi="Calibri" w:cs="Calibri"/>
        </w:rPr>
        <w:t xml:space="preserve">the segment Objective </w:t>
      </w:r>
      <w:r w:rsidR="00582E9A" w:rsidRPr="00BD1D99">
        <w:rPr>
          <w:rFonts w:ascii="Calibri" w:hAnsi="Calibri" w:cs="Calibri"/>
        </w:rPr>
        <w:t xml:space="preserve">and </w:t>
      </w:r>
      <w:r w:rsidRPr="00BD1D99">
        <w:rPr>
          <w:rFonts w:ascii="Calibri" w:hAnsi="Calibri" w:cs="Calibri"/>
        </w:rPr>
        <w:t>the key</w:t>
      </w:r>
      <w:r w:rsidR="009D5EBA" w:rsidRPr="00BD1D99">
        <w:rPr>
          <w:rFonts w:ascii="Calibri" w:hAnsi="Calibri" w:cs="Calibri"/>
        </w:rPr>
        <w:t xml:space="preserve"> associated</w:t>
      </w:r>
      <w:r w:rsidRPr="00BD1D99">
        <w:rPr>
          <w:rFonts w:ascii="Calibri" w:hAnsi="Calibri" w:cs="Calibri"/>
        </w:rPr>
        <w:t xml:space="preserve"> Metric</w:t>
      </w:r>
      <w:r w:rsidR="009D5EBA" w:rsidRPr="00BD1D99">
        <w:rPr>
          <w:rFonts w:ascii="Calibri" w:hAnsi="Calibri" w:cs="Calibri"/>
        </w:rPr>
        <w:t>s</w:t>
      </w:r>
      <w:r w:rsidRPr="00BD1D99">
        <w:rPr>
          <w:rFonts w:ascii="Calibri" w:hAnsi="Calibri" w:cs="Calibri"/>
        </w:rPr>
        <w:t xml:space="preserve"> </w:t>
      </w:r>
      <w:r w:rsidR="00582E9A" w:rsidRPr="00BD1D99">
        <w:rPr>
          <w:rFonts w:ascii="Calibri" w:hAnsi="Calibri" w:cs="Calibri"/>
        </w:rPr>
        <w:t xml:space="preserve">proposed herein by the </w:t>
      </w:r>
      <w:r w:rsidR="00D87179" w:rsidRPr="00BD1D99">
        <w:rPr>
          <w:rFonts w:ascii="Calibri" w:hAnsi="Calibri" w:cs="Calibri"/>
        </w:rPr>
        <w:t>E</w:t>
      </w:r>
      <w:r w:rsidR="00582E9A" w:rsidRPr="00BD1D99">
        <w:rPr>
          <w:rFonts w:ascii="Calibri" w:hAnsi="Calibri" w:cs="Calibri"/>
        </w:rPr>
        <w:t>MWG</w:t>
      </w:r>
      <w:r w:rsidR="009D5EBA" w:rsidRPr="00BD1D99">
        <w:rPr>
          <w:rFonts w:ascii="Calibri" w:hAnsi="Calibri" w:cs="Calibri"/>
        </w:rPr>
        <w:t xml:space="preserve">. It also shows the relationship to </w:t>
      </w:r>
      <w:r w:rsidRPr="00BD1D99">
        <w:rPr>
          <w:rFonts w:ascii="Calibri" w:hAnsi="Calibri" w:cs="Calibri"/>
        </w:rPr>
        <w:t>targets that are tied to each of the Metrics</w:t>
      </w:r>
      <w:r w:rsidR="00582E9A" w:rsidRPr="00BD1D99">
        <w:rPr>
          <w:rFonts w:ascii="Calibri" w:hAnsi="Calibri" w:cs="Calibri"/>
        </w:rPr>
        <w:t xml:space="preserve"> that will eventually be proposed by Program Administrators</w:t>
      </w:r>
      <w:r w:rsidRPr="00BD1D99">
        <w:rPr>
          <w:rFonts w:ascii="Calibri" w:hAnsi="Calibri" w:cs="Calibri"/>
        </w:rPr>
        <w:t>.</w:t>
      </w:r>
      <w:r w:rsidR="009D5EBA" w:rsidRPr="00BD1D99">
        <w:rPr>
          <w:rFonts w:ascii="Calibri" w:hAnsi="Calibri" w:cs="Calibri"/>
        </w:rPr>
        <w:t xml:space="preserve"> Finally, it shows that Indicators can be associated with Metrics, but are distinct in that Indicators, while tracked, measured, and reported do not have associated Targets. </w:t>
      </w:r>
      <w:r w:rsidR="00165429" w:rsidRPr="00BD1D99">
        <w:rPr>
          <w:rFonts w:ascii="Calibri" w:hAnsi="Calibri" w:cs="Calibri"/>
        </w:rPr>
        <w:t>Each proposed</w:t>
      </w:r>
      <w:r w:rsidR="00BB2BA8" w:rsidRPr="00BD1D99">
        <w:rPr>
          <w:rFonts w:ascii="Calibri" w:hAnsi="Calibri" w:cs="Calibri"/>
        </w:rPr>
        <w:t xml:space="preserve"> </w:t>
      </w:r>
      <w:r w:rsidR="00D009B3" w:rsidRPr="00BD1D99">
        <w:rPr>
          <w:rFonts w:ascii="Calibri" w:hAnsi="Calibri" w:cs="Calibri"/>
        </w:rPr>
        <w:t>P</w:t>
      </w:r>
      <w:r w:rsidR="00BB2BA8" w:rsidRPr="00BD1D99">
        <w:rPr>
          <w:rFonts w:ascii="Calibri" w:hAnsi="Calibri" w:cs="Calibri"/>
        </w:rPr>
        <w:t xml:space="preserve">rinciple, </w:t>
      </w:r>
      <w:r w:rsidR="00D009B3" w:rsidRPr="00BD1D99">
        <w:rPr>
          <w:rFonts w:ascii="Calibri" w:hAnsi="Calibri" w:cs="Calibri"/>
        </w:rPr>
        <w:t>M</w:t>
      </w:r>
      <w:r w:rsidR="00BB2BA8" w:rsidRPr="00BD1D99">
        <w:rPr>
          <w:rFonts w:ascii="Calibri" w:hAnsi="Calibri" w:cs="Calibri"/>
        </w:rPr>
        <w:t xml:space="preserve">etric, or </w:t>
      </w:r>
      <w:r w:rsidR="00D009B3" w:rsidRPr="00BD1D99">
        <w:rPr>
          <w:rFonts w:ascii="Calibri" w:hAnsi="Calibri" w:cs="Calibri"/>
        </w:rPr>
        <w:t>I</w:t>
      </w:r>
      <w:r w:rsidR="00BB2BA8" w:rsidRPr="00BD1D99">
        <w:rPr>
          <w:rFonts w:ascii="Calibri" w:hAnsi="Calibri" w:cs="Calibri"/>
        </w:rPr>
        <w:t>ndicator ties directly to a component of the proposed Objective.</w:t>
      </w:r>
    </w:p>
    <w:p w14:paraId="1BF10A13" w14:textId="052DF513" w:rsidR="00506E5A" w:rsidRPr="00BD1D99" w:rsidRDefault="00506E5A" w:rsidP="00BD1D99">
      <w:pPr>
        <w:spacing w:line="276" w:lineRule="auto"/>
        <w:rPr>
          <w:rFonts w:ascii="Calibri" w:hAnsi="Calibri" w:cs="Calibri"/>
        </w:rPr>
      </w:pPr>
    </w:p>
    <w:bookmarkStart w:id="18" w:name="_Toc85613348"/>
    <w:p w14:paraId="6269D8F7" w14:textId="0863B6D1" w:rsidR="009D5EBA" w:rsidRPr="00BD1D99" w:rsidRDefault="00FB624C" w:rsidP="00BD1D99">
      <w:pPr>
        <w:pStyle w:val="Caption"/>
        <w:keepNext/>
        <w:spacing w:line="276" w:lineRule="auto"/>
        <w:rPr>
          <w:rFonts w:ascii="Calibri" w:hAnsi="Calibri" w:cs="Calibri"/>
        </w:rPr>
      </w:pPr>
      <w:r w:rsidRPr="00BD1D99">
        <w:rPr>
          <w:rFonts w:ascii="Calibri" w:hAnsi="Calibri" w:cs="Calibri"/>
          <w:noProof/>
        </w:rPr>
        <w:lastRenderedPageBreak/>
        <mc:AlternateContent>
          <mc:Choice Requires="wpg">
            <w:drawing>
              <wp:anchor distT="0" distB="0" distL="114300" distR="114300" simplePos="0" relativeHeight="251658240" behindDoc="1" locked="0" layoutInCell="1" allowOverlap="1" wp14:anchorId="76D28569" wp14:editId="43EC8741">
                <wp:simplePos x="0" y="0"/>
                <wp:positionH relativeFrom="column">
                  <wp:posOffset>142875</wp:posOffset>
                </wp:positionH>
                <wp:positionV relativeFrom="paragraph">
                  <wp:posOffset>354330</wp:posOffset>
                </wp:positionV>
                <wp:extent cx="5226685" cy="4353560"/>
                <wp:effectExtent l="0" t="0" r="12065" b="27940"/>
                <wp:wrapTopAndBottom/>
                <wp:docPr id="3" name="Group 2">
                  <a:extLst xmlns:a="http://schemas.openxmlformats.org/drawingml/2006/main">
                    <a:ext uri="{FF2B5EF4-FFF2-40B4-BE49-F238E27FC236}">
                      <a16:creationId xmlns:a16="http://schemas.microsoft.com/office/drawing/2014/main" id="{43D3243C-F70A-43BF-A9E8-3D282AB65FF3}"/>
                    </a:ext>
                  </a:extLst>
                </wp:docPr>
                <wp:cNvGraphicFramePr/>
                <a:graphic xmlns:a="http://schemas.openxmlformats.org/drawingml/2006/main">
                  <a:graphicData uri="http://schemas.microsoft.com/office/word/2010/wordprocessingGroup">
                    <wpg:wgp>
                      <wpg:cNvGrpSpPr/>
                      <wpg:grpSpPr>
                        <a:xfrm>
                          <a:off x="0" y="0"/>
                          <a:ext cx="5226685" cy="4353560"/>
                          <a:chOff x="0" y="0"/>
                          <a:chExt cx="4962869" cy="5986343"/>
                        </a:xfrm>
                      </wpg:grpSpPr>
                      <wps:wsp>
                        <wps:cNvPr id="2" name="Freeform 2">
                          <a:extLst>
                            <a:ext uri="{FF2B5EF4-FFF2-40B4-BE49-F238E27FC236}">
                              <a16:creationId xmlns:a16="http://schemas.microsoft.com/office/drawing/2014/main" id="{49E8760C-D145-CC4D-8032-777953910043}"/>
                            </a:ext>
                          </a:extLst>
                        </wps:cNvPr>
                        <wps:cNvSpPr/>
                        <wps:spPr>
                          <a:xfrm>
                            <a:off x="2564697" y="5152779"/>
                            <a:ext cx="2382939" cy="833564"/>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solidFill>
                            <a:schemeClr val="accent6"/>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4C552969"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TARGETS</w:t>
                              </w:r>
                            </w:p>
                            <w:p w14:paraId="7A228EC3"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Quantitative and/or qualitative goal for each Metric</w:t>
                              </w:r>
                            </w:p>
                          </w:txbxContent>
                        </wps:txbx>
                        <wps:bodyPr spcFirstLastPara="0" vert="horz" wrap="square" lIns="79306" tIns="79306" rIns="79306" bIns="79306" numCol="1" spcCol="1270" anchor="ctr" anchorCtr="0">
                          <a:noAutofit/>
                        </wps:bodyPr>
                      </wps:wsp>
                      <wps:wsp>
                        <wps:cNvPr id="4" name="Freeform 4">
                          <a:extLst>
                            <a:ext uri="{FF2B5EF4-FFF2-40B4-BE49-F238E27FC236}">
                              <a16:creationId xmlns:a16="http://schemas.microsoft.com/office/drawing/2014/main" id="{7A1770BF-12CC-9E46-8891-D8C3366F83D9}"/>
                            </a:ext>
                          </a:extLst>
                        </wps:cNvPr>
                        <wps:cNvSpPr/>
                        <wps:spPr>
                          <a:xfrm>
                            <a:off x="2564697" y="3458954"/>
                            <a:ext cx="2398172" cy="1164754"/>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solidFill>
                            <a:schemeClr val="accent2"/>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ACBC514"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METRICS</w:t>
                              </w:r>
                            </w:p>
                            <w:p w14:paraId="16545C05"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The most important yardsticks by which progress in the Equity segment is tracked, measured, and reported.</w:t>
                              </w:r>
                            </w:p>
                          </w:txbxContent>
                        </wps:txbx>
                        <wps:bodyPr spcFirstLastPara="0" vert="horz" wrap="square" lIns="79306" tIns="79306" rIns="79306" bIns="79306" numCol="1" spcCol="1270" anchor="ctr" anchorCtr="0">
                          <a:noAutofit/>
                        </wps:bodyPr>
                      </wps:wsp>
                      <wps:wsp>
                        <wps:cNvPr id="5" name="Down Arrow 5">
                          <a:extLst>
                            <a:ext uri="{FF2B5EF4-FFF2-40B4-BE49-F238E27FC236}">
                              <a16:creationId xmlns:a16="http://schemas.microsoft.com/office/drawing/2014/main" id="{26A41ACC-4267-AA4D-98F7-B6D2C418E23F}"/>
                            </a:ext>
                          </a:extLst>
                        </wps:cNvPr>
                        <wps:cNvSpPr/>
                        <wps:spPr>
                          <a:xfrm rot="10800000">
                            <a:off x="3648366" y="4624154"/>
                            <a:ext cx="215600" cy="500484"/>
                          </a:xfrm>
                          <a:prstGeom prst="downArrow">
                            <a:avLst>
                              <a:gd name="adj1" fmla="val 50000"/>
                              <a:gd name="adj2" fmla="val 46149"/>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Freeform 6">
                          <a:extLst>
                            <a:ext uri="{FF2B5EF4-FFF2-40B4-BE49-F238E27FC236}">
                              <a16:creationId xmlns:a16="http://schemas.microsoft.com/office/drawing/2014/main" id="{D2EFCD7A-829C-894F-B568-1AE3AC0FDFE3}"/>
                            </a:ext>
                          </a:extLst>
                        </wps:cNvPr>
                        <wps:cNvSpPr/>
                        <wps:spPr>
                          <a:xfrm>
                            <a:off x="0" y="3458953"/>
                            <a:ext cx="2398172" cy="1164755"/>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solidFill>
                            <a:srgbClr val="7030A0"/>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D5AF7CB" w14:textId="77777777" w:rsidR="0064639C" w:rsidRPr="00FE0BEA" w:rsidRDefault="0064639C" w:rsidP="0064639C">
                              <w:pPr>
                                <w:spacing w:after="109" w:line="216" w:lineRule="auto"/>
                                <w:jc w:val="center"/>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INDICATORS</w:t>
                              </w:r>
                            </w:p>
                            <w:p w14:paraId="65E107A0" w14:textId="77777777" w:rsidR="0064639C" w:rsidRPr="00FE0BEA" w:rsidRDefault="0064639C" w:rsidP="0064639C">
                              <w:pPr>
                                <w:spacing w:after="109" w:line="216" w:lineRule="auto"/>
                                <w:jc w:val="center"/>
                                <w:rPr>
                                  <w:rFonts w:ascii="Calibri" w:hAnsi="Calibri" w:cstheme="minorBidi"/>
                                  <w:color w:val="FFFFFF"/>
                                  <w:kern w:val="24"/>
                                  <w:sz w:val="18"/>
                                  <w:szCs w:val="18"/>
                                </w:rPr>
                              </w:pPr>
                              <w:r w:rsidRPr="00FE0BEA">
                                <w:rPr>
                                  <w:rFonts w:ascii="Calibri" w:hAnsi="Calibri" w:cstheme="minorBidi"/>
                                  <w:color w:val="FFFFFF"/>
                                  <w:kern w:val="24"/>
                                  <w:sz w:val="18"/>
                                  <w:szCs w:val="18"/>
                                </w:rPr>
                                <w:t>Important measures of progress that are tracked, measured, and reported – but do NOT have associated Targets.</w:t>
                              </w:r>
                            </w:p>
                          </w:txbxContent>
                        </wps:txbx>
                        <wps:bodyPr spcFirstLastPara="0" vert="horz" wrap="square" lIns="79306" tIns="79306" rIns="79306" bIns="79306" numCol="1" spcCol="1270" anchor="ctr" anchorCtr="0">
                          <a:noAutofit/>
                        </wps:bodyPr>
                      </wps:wsp>
                      <wps:wsp>
                        <wps:cNvPr id="7" name="Freeform 7">
                          <a:extLst>
                            <a:ext uri="{FF2B5EF4-FFF2-40B4-BE49-F238E27FC236}">
                              <a16:creationId xmlns:a16="http://schemas.microsoft.com/office/drawing/2014/main" id="{BC966D34-98A2-1740-97FA-311DAE4415F9}"/>
                            </a:ext>
                          </a:extLst>
                        </wps:cNvPr>
                        <wps:cNvSpPr/>
                        <wps:spPr>
                          <a:xfrm>
                            <a:off x="792219" y="0"/>
                            <a:ext cx="3465816" cy="931554"/>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no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04EE8003" w14:textId="77777777" w:rsidR="0064639C" w:rsidRPr="00FE0BEA" w:rsidRDefault="0064639C" w:rsidP="0064639C">
                              <w:pPr>
                                <w:spacing w:after="109" w:line="216" w:lineRule="auto"/>
                                <w:jc w:val="center"/>
                                <w:textAlignment w:val="baseline"/>
                                <w:rPr>
                                  <w:rFonts w:ascii="Calibri" w:hAnsi="Calibri" w:cstheme="minorBidi"/>
                                  <w:b/>
                                  <w:bCs/>
                                  <w:color w:val="000000"/>
                                  <w:kern w:val="24"/>
                                  <w:sz w:val="18"/>
                                  <w:szCs w:val="18"/>
                                </w:rPr>
                              </w:pPr>
                              <w:r w:rsidRPr="00FE0BEA">
                                <w:rPr>
                                  <w:rFonts w:ascii="Calibri" w:hAnsi="Calibri" w:cstheme="minorBidi"/>
                                  <w:b/>
                                  <w:bCs/>
                                  <w:color w:val="000000"/>
                                  <w:kern w:val="24"/>
                                  <w:sz w:val="18"/>
                                  <w:szCs w:val="18"/>
                                </w:rPr>
                                <w:t>PRINCIPLES</w:t>
                              </w:r>
                            </w:p>
                            <w:p w14:paraId="4CB1A25F" w14:textId="77777777" w:rsidR="0064639C" w:rsidRPr="00FE0BEA" w:rsidRDefault="0064639C" w:rsidP="0064639C">
                              <w:pPr>
                                <w:spacing w:after="109" w:line="216" w:lineRule="auto"/>
                                <w:jc w:val="center"/>
                                <w:textAlignment w:val="baseline"/>
                                <w:rPr>
                                  <w:rFonts w:ascii="Calibri" w:hAnsi="Calibri" w:cstheme="minorBidi"/>
                                  <w:color w:val="000000"/>
                                  <w:kern w:val="24"/>
                                  <w:sz w:val="18"/>
                                  <w:szCs w:val="18"/>
                                </w:rPr>
                              </w:pPr>
                              <w:r w:rsidRPr="00FE0BEA">
                                <w:rPr>
                                  <w:rFonts w:ascii="Calibri" w:hAnsi="Calibri" w:cstheme="minorBidi"/>
                                  <w:color w:val="000000"/>
                                  <w:kern w:val="24"/>
                                  <w:sz w:val="18"/>
                                  <w:szCs w:val="18"/>
                                </w:rPr>
                                <w:t>The WG’s recommendations for how to operationalize the Objectives &amp; Metrics, and best practices for program development</w:t>
                              </w:r>
                            </w:p>
                          </w:txbxContent>
                        </wps:txbx>
                        <wps:bodyPr spcFirstLastPara="0" vert="horz" wrap="square" lIns="79306" tIns="79306" rIns="79306" bIns="79306" numCol="1" spcCol="1270" anchor="ctr" anchorCtr="0">
                          <a:noAutofit/>
                        </wps:bodyPr>
                      </wps:wsp>
                      <wps:wsp>
                        <wps:cNvPr id="8" name="Right Brace 8">
                          <a:extLst>
                            <a:ext uri="{FF2B5EF4-FFF2-40B4-BE49-F238E27FC236}">
                              <a16:creationId xmlns:a16="http://schemas.microsoft.com/office/drawing/2014/main" id="{9AE9ED40-33D0-CA44-89E1-E019FC3DE2F4}"/>
                            </a:ext>
                          </a:extLst>
                        </wps:cNvPr>
                        <wps:cNvSpPr/>
                        <wps:spPr>
                          <a:xfrm rot="5400000">
                            <a:off x="2390065" y="-1300775"/>
                            <a:ext cx="270125" cy="484501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 name="Down Arrow 9">
                          <a:extLst>
                            <a:ext uri="{FF2B5EF4-FFF2-40B4-BE49-F238E27FC236}">
                              <a16:creationId xmlns:a16="http://schemas.microsoft.com/office/drawing/2014/main" id="{FEFAA5A4-514D-4BD4-9CFC-87DB268CBAFE}"/>
                            </a:ext>
                          </a:extLst>
                        </wps:cNvPr>
                        <wps:cNvSpPr/>
                        <wps:spPr>
                          <a:xfrm rot="2365888" flipH="1">
                            <a:off x="1889294" y="2464515"/>
                            <a:ext cx="193553" cy="1062271"/>
                          </a:xfrm>
                          <a:prstGeom prst="downArrow">
                            <a:avLst>
                              <a:gd name="adj1" fmla="val 50000"/>
                              <a:gd name="adj2" fmla="val 46149"/>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Down Arrow 10">
                          <a:extLst>
                            <a:ext uri="{FF2B5EF4-FFF2-40B4-BE49-F238E27FC236}">
                              <a16:creationId xmlns:a16="http://schemas.microsoft.com/office/drawing/2014/main" id="{FD662C41-7A15-4BB3-B74A-D7E1DBB8000C}"/>
                            </a:ext>
                          </a:extLst>
                        </wps:cNvPr>
                        <wps:cNvSpPr/>
                        <wps:spPr>
                          <a:xfrm rot="19354713" flipH="1">
                            <a:off x="3037129" y="2417132"/>
                            <a:ext cx="187502" cy="1111278"/>
                          </a:xfrm>
                          <a:prstGeom prst="downArrow">
                            <a:avLst>
                              <a:gd name="adj1" fmla="val 50000"/>
                              <a:gd name="adj2" fmla="val 46149"/>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Freeform 11">
                          <a:extLst>
                            <a:ext uri="{FF2B5EF4-FFF2-40B4-BE49-F238E27FC236}">
                              <a16:creationId xmlns:a16="http://schemas.microsoft.com/office/drawing/2014/main" id="{252B6554-5E91-0C46-AAE3-D47B1D1E1D38}"/>
                            </a:ext>
                          </a:extLst>
                        </wps:cNvPr>
                        <wps:cNvSpPr/>
                        <wps:spPr>
                          <a:xfrm>
                            <a:off x="1172044" y="1580333"/>
                            <a:ext cx="2618782" cy="1016644"/>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solidFill>
                            <a:schemeClr val="accent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55AEE197"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PRIMARY OBJECTIVE</w:t>
                              </w:r>
                            </w:p>
                            <w:p w14:paraId="311137D8"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The primary purpose of the Equity segment portfolio of programs.</w:t>
                              </w:r>
                            </w:p>
                          </w:txbxContent>
                        </wps:txbx>
                        <wps:bodyPr spcFirstLastPara="0" vert="horz" wrap="square" lIns="79306" tIns="79306" rIns="79306" bIns="79306"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6D28569" id="Group 2" o:spid="_x0000_s1026" style="position:absolute;margin-left:11.25pt;margin-top:27.9pt;width:411.55pt;height:342.8pt;z-index:-251658240;mso-width-relative:margin;mso-height-relative:margin" coordsize="49628,59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">
                <v:shape id="Freeform 2" o:spid="_x0000_s1027" style="position:absolute;left:25646;top:51527;width:23830;height:8336;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" adj="-11796480,,5400" path="m,101664c,45517,45517,,101664,l1931625,v56147,,101664,45517,101664,101664l2033289,914980v,56147,-45517,101664,-101664,101664l101664,1016644c45517,1016644,,971127,,914980l,101664xe" fillcolor="#70ad47 [3209]" strokecolor="white [3201]" strokeweight="1pt">
                  <v:stroke joinstyle="miter"/>
                  <v:formulas/>
                  <v:path arrowok="t" o:connecttype="custom" o:connectlocs="0,83356;119146,0;2263793,0;2382939,83356;2382939,750208;2263793,833564;119146,833564;0,750208;0,83356" o:connectangles="0,0,0,0,0,0,0,0,0" textboxrect="0,0,2033289,1016644"/>
                  <v:textbox inset="2.20294mm,2.20294mm,2.20294mm,2.20294mm">
                    <w:txbxContent>
                      <w:p w14:paraId="4C552969"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TARGETS</w:t>
                        </w:r>
                      </w:p>
                      <w:p w14:paraId="7A228EC3"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Quantitative and/or qualitative goal for each Metric</w:t>
                        </w:r>
                      </w:p>
                    </w:txbxContent>
                  </v:textbox>
                </v:shape>
                <v:shape id="Freeform 4" o:spid="_x0000_s1028" style="position:absolute;left:25646;top:34589;width:23982;height:11648;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" adj="-11796480,,5400" path="m,101664c,45517,45517,,101664,l1931625,v56147,,101664,45517,101664,101664l2033289,914980v,56147,-45517,101664,-101664,101664l101664,1016644c45517,1016644,,971127,,914980l,101664xe" fillcolor="#ed7d31 [3205]" strokecolor="white [3201]" strokeweight="1pt">
                  <v:stroke joinstyle="miter"/>
                  <v:formulas/>
                  <v:path arrowok="t" o:connecttype="custom" o:connectlocs="0,116475;119908,0;2278264,0;2398172,116475;2398172,1048279;2278264,1164754;119908,1164754;0,1048279;0,116475" o:connectangles="0,0,0,0,0,0,0,0,0" textboxrect="0,0,2033289,1016644"/>
                  <v:textbox inset="2.20294mm,2.20294mm,2.20294mm,2.20294mm">
                    <w:txbxContent>
                      <w:p w14:paraId="1ACBC514"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METRICS</w:t>
                        </w:r>
                      </w:p>
                      <w:p w14:paraId="16545C05"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The most important yardsticks by which progress in the Equity segment is tracked, measured, and reported.</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9" type="#_x0000_t67" style="position:absolute;left:36483;top:46241;width:2156;height:5005;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" adj="17306" fillcolor="#70ad47 [3209]" strokecolor="#1f3763 [1604]" strokeweight="1pt"/>
                <v:shape id="Freeform 6" o:spid="_x0000_s1030" style="position:absolute;top:34589;width:23981;height:11648;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" adj="-11796480,,5400" path="m,101664c,45517,45517,,101664,l1931625,v56147,,101664,45517,101664,101664l2033289,914980v,56147,-45517,101664,-101664,101664l101664,1016644c45517,1016644,,971127,,914980l,101664xe" fillcolor="#7030a0" strokecolor="white [3201]" strokeweight="1pt">
                  <v:stroke joinstyle="miter"/>
                  <v:formulas/>
                  <v:path arrowok="t" o:connecttype="custom" o:connectlocs="0,116475;119908,0;2278264,0;2398172,116475;2398172,1048280;2278264,1164755;119908,1164755;0,1048280;0,116475" o:connectangles="0,0,0,0,0,0,0,0,0" textboxrect="0,0,2033289,1016644"/>
                  <v:textbox inset="2.20294mm,2.20294mm,2.20294mm,2.20294mm">
                    <w:txbxContent>
                      <w:p w14:paraId="3D5AF7CB" w14:textId="77777777" w:rsidR="0064639C" w:rsidRPr="00FE0BEA" w:rsidRDefault="0064639C" w:rsidP="0064639C">
                        <w:pPr>
                          <w:spacing w:after="109" w:line="216" w:lineRule="auto"/>
                          <w:jc w:val="center"/>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INDICATORS</w:t>
                        </w:r>
                      </w:p>
                      <w:p w14:paraId="65E107A0" w14:textId="77777777" w:rsidR="0064639C" w:rsidRPr="00FE0BEA" w:rsidRDefault="0064639C" w:rsidP="0064639C">
                        <w:pPr>
                          <w:spacing w:after="109" w:line="216" w:lineRule="auto"/>
                          <w:jc w:val="center"/>
                          <w:rPr>
                            <w:rFonts w:ascii="Calibri" w:hAnsi="Calibri" w:cstheme="minorBidi"/>
                            <w:color w:val="FFFFFF"/>
                            <w:kern w:val="24"/>
                            <w:sz w:val="18"/>
                            <w:szCs w:val="18"/>
                          </w:rPr>
                        </w:pPr>
                        <w:r w:rsidRPr="00FE0BEA">
                          <w:rPr>
                            <w:rFonts w:ascii="Calibri" w:hAnsi="Calibri" w:cstheme="minorBidi"/>
                            <w:color w:val="FFFFFF"/>
                            <w:kern w:val="24"/>
                            <w:sz w:val="18"/>
                            <w:szCs w:val="18"/>
                          </w:rPr>
                          <w:t>Important measures of progress that are tracked, measured, and reported – but do NOT have associated Targets.</w:t>
                        </w:r>
                      </w:p>
                    </w:txbxContent>
                  </v:textbox>
                </v:shape>
                <v:shape id="Freeform 7" o:spid="_x0000_s1031" style="position:absolute;left:7922;width:34658;height:9315;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" adj="-11796480,,5400" path="m,101664c,45517,45517,,101664,l1931625,v56147,,101664,45517,101664,101664l2033289,914980v,56147,-45517,101664,-101664,101664l101664,1016644c45517,1016644,,971127,,914980l,101664xe" filled="f" strokecolor="black [3213]" strokeweight="1pt">
                  <v:stroke joinstyle="miter"/>
                  <v:formulas/>
                  <v:path arrowok="t" o:connecttype="custom" o:connectlocs="0,93155;173290,0;3292526,0;3465816,93155;3465816,838399;3292526,931554;173290,931554;0,838399;0,93155" o:connectangles="0,0,0,0,0,0,0,0,0" textboxrect="0,0,2033289,1016644"/>
                  <v:textbox inset="2.20294mm,2.20294mm,2.20294mm,2.20294mm">
                    <w:txbxContent>
                      <w:p w14:paraId="04EE8003" w14:textId="77777777" w:rsidR="0064639C" w:rsidRPr="00FE0BEA" w:rsidRDefault="0064639C" w:rsidP="0064639C">
                        <w:pPr>
                          <w:spacing w:after="109" w:line="216" w:lineRule="auto"/>
                          <w:jc w:val="center"/>
                          <w:textAlignment w:val="baseline"/>
                          <w:rPr>
                            <w:rFonts w:ascii="Calibri" w:hAnsi="Calibri" w:cstheme="minorBidi"/>
                            <w:b/>
                            <w:bCs/>
                            <w:color w:val="000000"/>
                            <w:kern w:val="24"/>
                            <w:sz w:val="18"/>
                            <w:szCs w:val="18"/>
                          </w:rPr>
                        </w:pPr>
                        <w:r w:rsidRPr="00FE0BEA">
                          <w:rPr>
                            <w:rFonts w:ascii="Calibri" w:hAnsi="Calibri" w:cstheme="minorBidi"/>
                            <w:b/>
                            <w:bCs/>
                            <w:color w:val="000000"/>
                            <w:kern w:val="24"/>
                            <w:sz w:val="18"/>
                            <w:szCs w:val="18"/>
                          </w:rPr>
                          <w:t>PRINCIPLES</w:t>
                        </w:r>
                      </w:p>
                      <w:p w14:paraId="4CB1A25F" w14:textId="77777777" w:rsidR="0064639C" w:rsidRPr="00FE0BEA" w:rsidRDefault="0064639C" w:rsidP="0064639C">
                        <w:pPr>
                          <w:spacing w:after="109" w:line="216" w:lineRule="auto"/>
                          <w:jc w:val="center"/>
                          <w:textAlignment w:val="baseline"/>
                          <w:rPr>
                            <w:rFonts w:ascii="Calibri" w:hAnsi="Calibri" w:cstheme="minorBidi"/>
                            <w:color w:val="000000"/>
                            <w:kern w:val="24"/>
                            <w:sz w:val="18"/>
                            <w:szCs w:val="18"/>
                          </w:rPr>
                        </w:pPr>
                        <w:r w:rsidRPr="00FE0BEA">
                          <w:rPr>
                            <w:rFonts w:ascii="Calibri" w:hAnsi="Calibri" w:cstheme="minorBidi"/>
                            <w:color w:val="000000"/>
                            <w:kern w:val="24"/>
                            <w:sz w:val="18"/>
                            <w:szCs w:val="18"/>
                          </w:rPr>
                          <w:t>The WG’s recommendations for how to operationalize the Objectives &amp; Metrics, and best practices for program development</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32" type="#_x0000_t88" style="position:absolute;left:23900;top:-13008;width:2701;height:48450;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" adj="100" strokecolor="black [3213]" strokeweight=".5pt">
                  <v:stroke joinstyle="miter"/>
                </v:shape>
                <v:shape id="Down Arrow 9" o:spid="_x0000_s1033" type="#_x0000_t67" style="position:absolute;left:18892;top:24645;width:1936;height:10622;rotation:-2584181fd;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" adj="19784" fillcolor="#4472c4 [3204]" strokecolor="#1f3763 [1604]" strokeweight="1pt"/>
                <v:shape id="Down Arrow 10" o:spid="_x0000_s1034" type="#_x0000_t67" style="position:absolute;left:30371;top:24171;width:1875;height:11113;rotation:2452452fd;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" adj="19918" fillcolor="#4472c4 [3204]" strokecolor="#1f3763 [1604]" strokeweight="1pt"/>
                <v:shape id="Freeform 11" o:spid="_x0000_s1035" style="position:absolute;left:11720;top:15803;width:26188;height:10166;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" adj="-11796480,,5400" path="m,101664c,45517,45517,,101664,l1931625,v56147,,101664,45517,101664,101664l2033289,914980v,56147,-45517,101664,-101664,101664l101664,1016644c45517,1016644,,971127,,914980l,101664xe" fillcolor="#4472c4 [3204]" strokecolor="white [3201]" strokeweight="1pt">
                  <v:stroke joinstyle="miter"/>
                  <v:formulas/>
                  <v:path arrowok="t" o:connecttype="custom" o:connectlocs="0,101664;130939,0;2487843,0;2618782,101664;2618782,914980;2487843,1016644;130939,1016644;0,914980;0,101664" o:connectangles="0,0,0,0,0,0,0,0,0" textboxrect="0,0,2033289,1016644"/>
                  <v:textbox inset="2.20294mm,2.20294mm,2.20294mm,2.20294mm">
                    <w:txbxContent>
                      <w:p w14:paraId="55AEE197"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PRIMARY OBJECTIVE</w:t>
                        </w:r>
                      </w:p>
                      <w:p w14:paraId="311137D8"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The primary purpose of the Equity segment portfolio of programs.</w:t>
                        </w:r>
                      </w:p>
                    </w:txbxContent>
                  </v:textbox>
                </v:shape>
                <w10:wrap type="topAndBottom"/>
              </v:group>
            </w:pict>
          </mc:Fallback>
        </mc:AlternateContent>
      </w:r>
      <w:r w:rsidR="000E2522" w:rsidRPr="00BD1D99">
        <w:rPr>
          <w:rFonts w:ascii="Calibri" w:hAnsi="Calibri" w:cs="Calibri"/>
        </w:rPr>
        <w:t xml:space="preserve">Figure </w:t>
      </w:r>
      <w:r w:rsidR="001746E3" w:rsidRPr="00BD1D99">
        <w:rPr>
          <w:rFonts w:ascii="Calibri" w:hAnsi="Calibri" w:cs="Calibri"/>
        </w:rPr>
        <w:fldChar w:fldCharType="begin"/>
      </w:r>
      <w:r w:rsidR="001746E3" w:rsidRPr="00BD1D99">
        <w:rPr>
          <w:rFonts w:ascii="Calibri" w:hAnsi="Calibri" w:cs="Calibri"/>
        </w:rPr>
        <w:instrText xml:space="preserve"> SEQ Figure \* ARABIC </w:instrText>
      </w:r>
      <w:r w:rsidR="001746E3" w:rsidRPr="00BD1D99">
        <w:rPr>
          <w:rFonts w:ascii="Calibri" w:hAnsi="Calibri" w:cs="Calibri"/>
        </w:rPr>
        <w:fldChar w:fldCharType="separate"/>
      </w:r>
      <w:r w:rsidR="00582F95">
        <w:rPr>
          <w:rFonts w:ascii="Calibri" w:hAnsi="Calibri" w:cs="Calibri"/>
          <w:noProof/>
        </w:rPr>
        <w:t>1</w:t>
      </w:r>
      <w:r w:rsidR="001746E3" w:rsidRPr="00BD1D99">
        <w:rPr>
          <w:rFonts w:ascii="Calibri" w:hAnsi="Calibri" w:cs="Calibri"/>
          <w:noProof/>
        </w:rPr>
        <w:fldChar w:fldCharType="end"/>
      </w:r>
      <w:r w:rsidR="000E2522" w:rsidRPr="00BD1D99">
        <w:rPr>
          <w:rFonts w:ascii="Calibri" w:hAnsi="Calibri" w:cs="Calibri"/>
        </w:rPr>
        <w:t>: Structure: Objectives, Metrics, Targets</w:t>
      </w:r>
      <w:r w:rsidR="009D5EBA" w:rsidRPr="00BD1D99">
        <w:rPr>
          <w:rFonts w:ascii="Calibri" w:hAnsi="Calibri" w:cs="Calibri"/>
        </w:rPr>
        <w:t>, and Indicators</w:t>
      </w:r>
      <w:bookmarkEnd w:id="18"/>
    </w:p>
    <w:p w14:paraId="3C274450" w14:textId="02FED160" w:rsidR="001760A2" w:rsidRPr="00BD1D99" w:rsidRDefault="001760A2" w:rsidP="00BD1D99">
      <w:pPr>
        <w:spacing w:line="276" w:lineRule="auto"/>
        <w:rPr>
          <w:rFonts w:ascii="Calibri" w:hAnsi="Calibri" w:cs="Calibri"/>
        </w:rPr>
      </w:pPr>
    </w:p>
    <w:p w14:paraId="7BFD7F23" w14:textId="6648A4E3" w:rsidR="00756006" w:rsidRPr="00BD1D99" w:rsidRDefault="00756006" w:rsidP="00BD1D99">
      <w:pPr>
        <w:pStyle w:val="Heading2"/>
      </w:pPr>
      <w:bookmarkStart w:id="19" w:name="_Toc85613283"/>
      <w:r w:rsidRPr="00BD1D99">
        <w:t>1.</w:t>
      </w:r>
      <w:r w:rsidR="00C20E31" w:rsidRPr="00BD1D99">
        <w:t>5</w:t>
      </w:r>
      <w:r w:rsidRPr="00BD1D99">
        <w:t xml:space="preserve"> Approach to Seeking </w:t>
      </w:r>
      <w:bookmarkEnd w:id="16"/>
      <w:r w:rsidRPr="00BD1D99">
        <w:t>Consensus</w:t>
      </w:r>
      <w:bookmarkEnd w:id="19"/>
      <w:r w:rsidRPr="00BD1D99">
        <w:t xml:space="preserve"> </w:t>
      </w:r>
    </w:p>
    <w:p w14:paraId="47035195" w14:textId="406EB24E" w:rsidR="00756006" w:rsidRPr="00BD1D99" w:rsidRDefault="00582E9A" w:rsidP="00BD1D99">
      <w:pPr>
        <w:autoSpaceDE w:val="0"/>
        <w:autoSpaceDN w:val="0"/>
        <w:adjustRightInd w:val="0"/>
        <w:spacing w:line="276" w:lineRule="auto"/>
        <w:rPr>
          <w:rFonts w:ascii="Calibri" w:hAnsi="Calibri" w:cs="Calibri"/>
          <w:strike/>
        </w:rPr>
      </w:pPr>
      <w:r w:rsidRPr="00BD1D99">
        <w:rPr>
          <w:rFonts w:ascii="Calibri" w:hAnsi="Calibri" w:cs="Calibri"/>
        </w:rPr>
        <w:t>The</w:t>
      </w:r>
      <w:r w:rsidR="00756006" w:rsidRPr="00BD1D99">
        <w:rPr>
          <w:rFonts w:ascii="Calibri" w:hAnsi="Calibri" w:cs="Calibri"/>
        </w:rPr>
        <w:t xml:space="preserve"> recommendations within this Report are made by consensus of the </w:t>
      </w:r>
      <w:r w:rsidR="00D87179" w:rsidRPr="00BD1D99">
        <w:rPr>
          <w:rFonts w:ascii="Calibri" w:hAnsi="Calibri" w:cs="Calibri"/>
        </w:rPr>
        <w:t>E</w:t>
      </w:r>
      <w:r w:rsidR="00756006" w:rsidRPr="00BD1D99">
        <w:rPr>
          <w:rFonts w:ascii="Calibri" w:hAnsi="Calibri" w:cs="Calibri"/>
        </w:rPr>
        <w:t xml:space="preserve">MWG Members (where consensus is defined as unanimity among the Member organizations), except for </w:t>
      </w:r>
      <w:r w:rsidR="00A64A87">
        <w:rPr>
          <w:rFonts w:ascii="Calibri" w:hAnsi="Calibri" w:cs="Calibri"/>
        </w:rPr>
        <w:t>three</w:t>
      </w:r>
      <w:r w:rsidR="00756006" w:rsidRPr="00BD1D99">
        <w:rPr>
          <w:rFonts w:ascii="Calibri" w:hAnsi="Calibri" w:cs="Calibri"/>
        </w:rPr>
        <w:t xml:space="preserve"> instances noted in this document. Consistent with the </w:t>
      </w:r>
      <w:r w:rsidR="00D87179" w:rsidRPr="00BD1D99">
        <w:rPr>
          <w:rFonts w:ascii="Calibri" w:hAnsi="Calibri" w:cs="Calibri"/>
        </w:rPr>
        <w:t>E</w:t>
      </w:r>
      <w:r w:rsidR="00756006" w:rsidRPr="00BD1D99">
        <w:rPr>
          <w:rFonts w:ascii="Calibri" w:hAnsi="Calibri" w:cs="Calibri"/>
        </w:rPr>
        <w:t xml:space="preserve">MWG’s goals and Groundrules, we </w:t>
      </w:r>
      <w:r w:rsidR="00756006" w:rsidRPr="00BC74BD">
        <w:rPr>
          <w:rFonts w:ascii="Calibri" w:hAnsi="Calibri" w:cs="Calibri"/>
        </w:rPr>
        <w:t>provide two or more options</w:t>
      </w:r>
      <w:r w:rsidR="00756006" w:rsidRPr="00BD1D99">
        <w:rPr>
          <w:rFonts w:ascii="Calibri" w:hAnsi="Calibri" w:cs="Calibri"/>
        </w:rPr>
        <w:t xml:space="preserve"> for any non-consensus recommendation and list the </w:t>
      </w:r>
      <w:r w:rsidR="00D87179" w:rsidRPr="00BD1D99">
        <w:rPr>
          <w:rFonts w:ascii="Calibri" w:hAnsi="Calibri" w:cs="Calibri"/>
        </w:rPr>
        <w:t>E</w:t>
      </w:r>
      <w:r w:rsidR="00756006" w:rsidRPr="00BD1D99">
        <w:rPr>
          <w:rFonts w:ascii="Calibri" w:hAnsi="Calibri" w:cs="Calibri"/>
        </w:rPr>
        <w:t xml:space="preserve">MWG Members that support each option. The non-consensus option descriptions </w:t>
      </w:r>
      <w:r w:rsidR="009A52BF" w:rsidRPr="00BD1D99">
        <w:rPr>
          <w:rFonts w:ascii="Calibri" w:hAnsi="Calibri" w:cs="Calibri"/>
        </w:rPr>
        <w:t xml:space="preserve">and their rationales </w:t>
      </w:r>
      <w:r w:rsidR="00756006" w:rsidRPr="00BD1D99">
        <w:rPr>
          <w:rFonts w:ascii="Calibri" w:hAnsi="Calibri" w:cs="Calibri"/>
        </w:rPr>
        <w:t>were drafted by the proponents of each option.</w:t>
      </w:r>
    </w:p>
    <w:p w14:paraId="655DA24F" w14:textId="77777777" w:rsidR="00756006" w:rsidRPr="00BD1D99" w:rsidRDefault="00756006" w:rsidP="00BD1D99">
      <w:pPr>
        <w:autoSpaceDE w:val="0"/>
        <w:autoSpaceDN w:val="0"/>
        <w:adjustRightInd w:val="0"/>
        <w:spacing w:line="276" w:lineRule="auto"/>
        <w:rPr>
          <w:rFonts w:ascii="Calibri" w:hAnsi="Calibri" w:cs="Calibri"/>
        </w:rPr>
      </w:pPr>
    </w:p>
    <w:p w14:paraId="5428A117" w14:textId="4DC8D3EF" w:rsidR="00756006" w:rsidRPr="00BD1D99" w:rsidRDefault="00756006" w:rsidP="00BD1D99">
      <w:pPr>
        <w:pStyle w:val="Heading2"/>
      </w:pPr>
      <w:bookmarkStart w:id="20" w:name="_Toc81054916"/>
      <w:bookmarkStart w:id="21" w:name="_Toc85613284"/>
      <w:r w:rsidRPr="00BD1D99">
        <w:t>1.</w:t>
      </w:r>
      <w:r w:rsidR="00C20E31" w:rsidRPr="00BD1D99">
        <w:t>6</w:t>
      </w:r>
      <w:r w:rsidRPr="00BD1D99">
        <w:t xml:space="preserve"> Working Group Members</w:t>
      </w:r>
      <w:bookmarkEnd w:id="20"/>
      <w:bookmarkEnd w:id="21"/>
    </w:p>
    <w:p w14:paraId="0FB1B651" w14:textId="61E5815D" w:rsidR="00756006" w:rsidRPr="00BD1D99" w:rsidRDefault="00756006" w:rsidP="00BD1D99">
      <w:pPr>
        <w:autoSpaceDE w:val="0"/>
        <w:autoSpaceDN w:val="0"/>
        <w:adjustRightInd w:val="0"/>
        <w:spacing w:line="276" w:lineRule="auto"/>
        <w:rPr>
          <w:rFonts w:ascii="Calibri" w:hAnsi="Calibri" w:cs="Calibri"/>
        </w:rPr>
      </w:pPr>
      <w:r w:rsidRPr="00BD1D99">
        <w:rPr>
          <w:rFonts w:ascii="Calibri" w:hAnsi="Calibri" w:cs="Calibri"/>
        </w:rPr>
        <w:t xml:space="preserve">The </w:t>
      </w:r>
      <w:r w:rsidR="00D87179" w:rsidRPr="00BD1D99">
        <w:rPr>
          <w:rFonts w:ascii="Calibri" w:hAnsi="Calibri" w:cs="Calibri"/>
        </w:rPr>
        <w:t>E</w:t>
      </w:r>
      <w:r w:rsidRPr="00BD1D99">
        <w:rPr>
          <w:rFonts w:ascii="Calibri" w:hAnsi="Calibri" w:cs="Calibri"/>
        </w:rPr>
        <w:t>MWG’s</w:t>
      </w:r>
      <w:r w:rsidR="00DE4A1F" w:rsidRPr="00BD1D99">
        <w:rPr>
          <w:rFonts w:ascii="Calibri" w:hAnsi="Calibri" w:cs="Calibri"/>
        </w:rPr>
        <w:t xml:space="preserve"> twenty-</w:t>
      </w:r>
      <w:r w:rsidR="009A52BF" w:rsidRPr="00BD1D99">
        <w:rPr>
          <w:rFonts w:ascii="Calibri" w:hAnsi="Calibri" w:cs="Calibri"/>
        </w:rPr>
        <w:t>four</w:t>
      </w:r>
      <w:r w:rsidRPr="00BD1D99">
        <w:rPr>
          <w:rFonts w:ascii="Calibri" w:hAnsi="Calibri" w:cs="Calibri"/>
        </w:rPr>
        <w:t xml:space="preserve"> voting member organizations and </w:t>
      </w:r>
      <w:r w:rsidR="009A52BF" w:rsidRPr="00BD1D99">
        <w:rPr>
          <w:rFonts w:ascii="Calibri" w:hAnsi="Calibri" w:cs="Calibri"/>
        </w:rPr>
        <w:t>four</w:t>
      </w:r>
      <w:r w:rsidRPr="00BD1D99">
        <w:rPr>
          <w:rFonts w:ascii="Calibri" w:hAnsi="Calibri" w:cs="Calibri"/>
        </w:rPr>
        <w:t xml:space="preserve"> </w:t>
      </w:r>
      <w:r w:rsidR="0065684D" w:rsidRPr="00BD1D99">
        <w:rPr>
          <w:rFonts w:ascii="Calibri" w:hAnsi="Calibri" w:cs="Calibri"/>
        </w:rPr>
        <w:t>E</w:t>
      </w:r>
      <w:r w:rsidRPr="00BD1D99">
        <w:rPr>
          <w:rFonts w:ascii="Calibri" w:hAnsi="Calibri" w:cs="Calibri"/>
        </w:rPr>
        <w:t>x-</w:t>
      </w:r>
      <w:r w:rsidR="0065684D" w:rsidRPr="00BD1D99">
        <w:rPr>
          <w:rFonts w:ascii="Calibri" w:hAnsi="Calibri" w:cs="Calibri"/>
        </w:rPr>
        <w:t>O</w:t>
      </w:r>
      <w:r w:rsidRPr="00BD1D99">
        <w:rPr>
          <w:rFonts w:ascii="Calibri" w:hAnsi="Calibri" w:cs="Calibri"/>
        </w:rPr>
        <w:t>fficio organizations shown in Table 1 are drawn largely but not exclusively from the CAEECC’s Membership.</w:t>
      </w:r>
      <w:r w:rsidR="00413467" w:rsidRPr="00413467">
        <w:rPr>
          <w:rFonts w:ascii="Calibri" w:hAnsi="Calibri" w:cs="Calibri"/>
        </w:rPr>
        <w:t xml:space="preserve"> </w:t>
      </w:r>
      <w:r w:rsidR="00413467">
        <w:rPr>
          <w:rFonts w:ascii="Calibri" w:hAnsi="Calibri" w:cs="Calibri"/>
        </w:rPr>
        <w:t xml:space="preserve">Following notification to the CPUC energy efficiency and Energy Savings Assistance Program service lists and direct outreach to relevant organizations, </w:t>
      </w:r>
      <w:r w:rsidR="009A52BF" w:rsidRPr="00BD1D99">
        <w:rPr>
          <w:rFonts w:ascii="Calibri" w:hAnsi="Calibri" w:cs="Calibri"/>
        </w:rPr>
        <w:t>CAEECC also had an application process for interested non-CAEECC Member organizations</w:t>
      </w:r>
      <w:r w:rsidR="007D01B9">
        <w:rPr>
          <w:rFonts w:ascii="Calibri" w:hAnsi="Calibri" w:cs="Calibri"/>
        </w:rPr>
        <w:t xml:space="preserve"> </w:t>
      </w:r>
      <w:r w:rsidR="006C1E5D" w:rsidRPr="00BD1D99">
        <w:rPr>
          <w:rFonts w:ascii="Calibri" w:hAnsi="Calibri" w:cs="Calibri"/>
        </w:rPr>
        <w:t xml:space="preserve">to be part of the </w:t>
      </w:r>
      <w:r w:rsidR="006C1E5D">
        <w:rPr>
          <w:rFonts w:ascii="Calibri" w:hAnsi="Calibri" w:cs="Calibri"/>
        </w:rPr>
        <w:t>E</w:t>
      </w:r>
      <w:r w:rsidR="006C1E5D" w:rsidRPr="00BD1D99">
        <w:rPr>
          <w:rFonts w:ascii="Calibri" w:hAnsi="Calibri" w:cs="Calibri"/>
        </w:rPr>
        <w:t>MWG</w:t>
      </w:r>
      <w:r w:rsidR="00413467">
        <w:rPr>
          <w:rFonts w:ascii="Calibri" w:hAnsi="Calibri" w:cs="Calibri"/>
        </w:rPr>
        <w:t xml:space="preserve">. </w:t>
      </w:r>
      <w:r w:rsidR="006C1E5D">
        <w:rPr>
          <w:rFonts w:ascii="Calibri" w:hAnsi="Calibri" w:cs="Calibri"/>
        </w:rPr>
        <w:t>T</w:t>
      </w:r>
      <w:r w:rsidR="009A52BF" w:rsidRPr="00BD1D99">
        <w:rPr>
          <w:rFonts w:ascii="Calibri" w:hAnsi="Calibri" w:cs="Calibri"/>
        </w:rPr>
        <w:t xml:space="preserve">hose organizations have an * after their names. </w:t>
      </w:r>
      <w:r w:rsidRPr="00BD1D99">
        <w:rPr>
          <w:rFonts w:ascii="Calibri" w:hAnsi="Calibri" w:cs="Calibri"/>
        </w:rPr>
        <w:t xml:space="preserve">CAEECC Facilitators Dr. </w:t>
      </w:r>
      <w:r w:rsidR="00D87179" w:rsidRPr="00BD1D99">
        <w:rPr>
          <w:rFonts w:ascii="Calibri" w:hAnsi="Calibri" w:cs="Calibri"/>
        </w:rPr>
        <w:t>Scott McCreary</w:t>
      </w:r>
      <w:r w:rsidRPr="00BD1D99">
        <w:rPr>
          <w:rFonts w:ascii="Calibri" w:hAnsi="Calibri" w:cs="Calibri"/>
        </w:rPr>
        <w:t xml:space="preserve"> and Katie Abrams </w:t>
      </w:r>
      <w:r w:rsidRPr="00BD1D99">
        <w:rPr>
          <w:rFonts w:ascii="Calibri" w:hAnsi="Calibri" w:cs="Calibri"/>
        </w:rPr>
        <w:lastRenderedPageBreak/>
        <w:t xml:space="preserve">facilitated the </w:t>
      </w:r>
      <w:r w:rsidR="00D87179" w:rsidRPr="00BD1D99">
        <w:rPr>
          <w:rFonts w:ascii="Calibri" w:hAnsi="Calibri" w:cs="Calibri"/>
        </w:rPr>
        <w:t>E</w:t>
      </w:r>
      <w:r w:rsidRPr="00BD1D99">
        <w:rPr>
          <w:rFonts w:ascii="Calibri" w:hAnsi="Calibri" w:cs="Calibri"/>
        </w:rPr>
        <w:t>MWG meetings</w:t>
      </w:r>
      <w:r w:rsidR="00D87179" w:rsidRPr="00BD1D99">
        <w:rPr>
          <w:rFonts w:ascii="Calibri" w:hAnsi="Calibri" w:cs="Calibri"/>
        </w:rPr>
        <w:t xml:space="preserve"> and workshop</w:t>
      </w:r>
      <w:r w:rsidRPr="00BD1D99">
        <w:rPr>
          <w:rFonts w:ascii="Calibri" w:hAnsi="Calibri" w:cs="Calibri"/>
        </w:rPr>
        <w:t xml:space="preserve">. A list of the </w:t>
      </w:r>
      <w:r w:rsidR="00582E9A" w:rsidRPr="00BD1D99">
        <w:rPr>
          <w:rFonts w:ascii="Calibri" w:hAnsi="Calibri" w:cs="Calibri"/>
        </w:rPr>
        <w:t xml:space="preserve">lead </w:t>
      </w:r>
      <w:r w:rsidRPr="00BD1D99">
        <w:rPr>
          <w:rFonts w:ascii="Calibri" w:hAnsi="Calibri" w:cs="Calibri"/>
        </w:rPr>
        <w:t>representatives</w:t>
      </w:r>
      <w:r w:rsidR="00582E9A" w:rsidRPr="00BD1D99">
        <w:rPr>
          <w:rFonts w:ascii="Calibri" w:hAnsi="Calibri" w:cs="Calibri"/>
        </w:rPr>
        <w:t xml:space="preserve"> and alternates for each </w:t>
      </w:r>
      <w:r w:rsidR="00D87179" w:rsidRPr="00BD1D99">
        <w:rPr>
          <w:rFonts w:ascii="Calibri" w:hAnsi="Calibri" w:cs="Calibri"/>
        </w:rPr>
        <w:t>E</w:t>
      </w:r>
      <w:r w:rsidR="00582E9A" w:rsidRPr="00BD1D99">
        <w:rPr>
          <w:rFonts w:ascii="Calibri" w:hAnsi="Calibri" w:cs="Calibri"/>
        </w:rPr>
        <w:t>MWG Member organization</w:t>
      </w:r>
      <w:r w:rsidRPr="00BD1D99">
        <w:rPr>
          <w:rFonts w:ascii="Calibri" w:hAnsi="Calibri" w:cs="Calibri"/>
        </w:rPr>
        <w:t xml:space="preserve"> is provided in Appendix A. </w:t>
      </w:r>
      <w:bookmarkStart w:id="22" w:name="_Toc61525963"/>
      <w:bookmarkStart w:id="23" w:name="_Toc61530157"/>
    </w:p>
    <w:p w14:paraId="15F8DD5C" w14:textId="77777777" w:rsidR="001760A2" w:rsidRPr="00BD1D99" w:rsidRDefault="001760A2" w:rsidP="00BD1D99">
      <w:pPr>
        <w:autoSpaceDE w:val="0"/>
        <w:autoSpaceDN w:val="0"/>
        <w:adjustRightInd w:val="0"/>
        <w:spacing w:line="276" w:lineRule="auto"/>
        <w:rPr>
          <w:rFonts w:ascii="Calibri" w:hAnsi="Calibri" w:cs="Calibri"/>
        </w:rPr>
      </w:pPr>
    </w:p>
    <w:p w14:paraId="2FAC0D54" w14:textId="10980FCC" w:rsidR="00756006" w:rsidRPr="00BD1D99" w:rsidRDefault="000E2522" w:rsidP="00BD1D99">
      <w:pPr>
        <w:spacing w:line="276" w:lineRule="auto"/>
        <w:rPr>
          <w:rFonts w:ascii="Calibri" w:hAnsi="Calibri" w:cs="Calibri"/>
        </w:rPr>
      </w:pPr>
      <w:r w:rsidRPr="00BD1D99">
        <w:rPr>
          <w:rFonts w:ascii="Calibri" w:hAnsi="Calibri" w:cs="Calibri"/>
        </w:rPr>
        <w:t xml:space="preserve">Table </w:t>
      </w:r>
      <w:r w:rsidR="00D7114C" w:rsidRPr="00BD1D99">
        <w:rPr>
          <w:rFonts w:ascii="Calibri" w:hAnsi="Calibri" w:cs="Calibri"/>
        </w:rPr>
        <w:t>1</w:t>
      </w:r>
      <w:r w:rsidRPr="00BD1D99">
        <w:rPr>
          <w:rFonts w:ascii="Calibri" w:hAnsi="Calibri" w:cs="Calibri"/>
        </w:rPr>
        <w:t xml:space="preserve">: </w:t>
      </w:r>
      <w:r w:rsidR="00051EAA" w:rsidRPr="00BD1D99">
        <w:rPr>
          <w:rFonts w:ascii="Calibri" w:hAnsi="Calibri" w:cs="Calibri"/>
        </w:rPr>
        <w:t>EMWG</w:t>
      </w:r>
      <w:r w:rsidRPr="00BD1D99">
        <w:rPr>
          <w:rFonts w:ascii="Calibri" w:hAnsi="Calibri" w:cs="Calibri"/>
        </w:rPr>
        <w:t xml:space="preserve"> Member Organizations</w:t>
      </w:r>
      <w:bookmarkEnd w:id="22"/>
      <w:bookmarkEnd w:id="23"/>
      <w:r w:rsidRPr="00BD1D99">
        <w:rPr>
          <w:rStyle w:val="FootnoteReference"/>
          <w:rFonts w:ascii="Calibri" w:hAnsi="Calibri" w:cs="Calibri"/>
        </w:rPr>
        <w:footnoteReference w:id="7"/>
      </w:r>
    </w:p>
    <w:tbl>
      <w:tblPr>
        <w:tblW w:w="9175" w:type="dxa"/>
        <w:tblLook w:val="04A0" w:firstRow="1" w:lastRow="0" w:firstColumn="1" w:lastColumn="0" w:noHBand="0" w:noVBand="1"/>
      </w:tblPr>
      <w:tblGrid>
        <w:gridCol w:w="9175"/>
      </w:tblGrid>
      <w:tr w:rsidR="00DE4A1F" w:rsidRPr="00BD1D99" w14:paraId="1CDC534B" w14:textId="77777777" w:rsidTr="00302E10">
        <w:trPr>
          <w:trHeight w:val="360"/>
        </w:trPr>
        <w:tc>
          <w:tcPr>
            <w:tcW w:w="9175"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51A40839" w14:textId="77777777" w:rsidR="00DE4A1F" w:rsidRPr="00BD1D99" w:rsidRDefault="00DE4A1F" w:rsidP="00BD1D99">
            <w:pPr>
              <w:spacing w:line="276" w:lineRule="auto"/>
              <w:rPr>
                <w:rFonts w:ascii="Calibri" w:hAnsi="Calibri" w:cs="Calibri"/>
                <w:b/>
                <w:bCs/>
                <w:color w:val="000000"/>
              </w:rPr>
            </w:pPr>
            <w:r w:rsidRPr="00BD1D99">
              <w:rPr>
                <w:rFonts w:ascii="Calibri" w:hAnsi="Calibri" w:cs="Calibri"/>
                <w:b/>
                <w:bCs/>
                <w:color w:val="000000"/>
              </w:rPr>
              <w:t>Organization</w:t>
            </w:r>
          </w:p>
        </w:tc>
      </w:tr>
      <w:tr w:rsidR="009A52BF" w:rsidRPr="00BD1D99" w14:paraId="5A815AE5"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B89A4BB"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Bay Area Regional Energy Network (BayREN)</w:t>
            </w:r>
          </w:p>
        </w:tc>
      </w:tr>
      <w:tr w:rsidR="009A52BF" w:rsidRPr="00BD1D99" w14:paraId="335A4DA3"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F88EF8A"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California Efficiency + Demand Management Council (CEDMC)</w:t>
            </w:r>
          </w:p>
        </w:tc>
      </w:tr>
      <w:tr w:rsidR="009A52BF" w:rsidRPr="00BD1D99" w14:paraId="6CC12ED6"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A612B27"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Center for Sustainable Energy (CSE)</w:t>
            </w:r>
          </w:p>
        </w:tc>
      </w:tr>
      <w:tr w:rsidR="009A52BF" w:rsidRPr="00BD1D99" w14:paraId="7F7D0373"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A2EC65F"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CodeCycle</w:t>
            </w:r>
          </w:p>
        </w:tc>
      </w:tr>
      <w:tr w:rsidR="009A52BF" w:rsidRPr="00BD1D99" w14:paraId="376AAD66"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5A49EBE" w14:textId="3C0773A5"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Energy Efficiency Council (EEC)*</w:t>
            </w:r>
          </w:p>
        </w:tc>
      </w:tr>
      <w:tr w:rsidR="009A52BF" w:rsidRPr="00BD1D99" w14:paraId="78E8921E"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128AFBBF" w14:textId="22308FC0"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High Sierra Energy Foundation*</w:t>
            </w:r>
          </w:p>
        </w:tc>
      </w:tr>
      <w:tr w:rsidR="009A52BF" w:rsidRPr="00BD1D99" w14:paraId="1AD56EBF"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0D3A90E6"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MCE</w:t>
            </w:r>
          </w:p>
        </w:tc>
      </w:tr>
      <w:tr w:rsidR="009A52BF" w:rsidRPr="00BD1D99" w14:paraId="51233816"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090648CB" w14:textId="79104B96"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Natural Resources Defense Council (NRDC)</w:t>
            </w:r>
          </w:p>
        </w:tc>
      </w:tr>
      <w:tr w:rsidR="009A52BF" w:rsidRPr="00BD1D99" w14:paraId="5313FFB7"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F2B8181"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Pacific Gas and Electric (PG&amp;E)</w:t>
            </w:r>
          </w:p>
        </w:tc>
      </w:tr>
      <w:tr w:rsidR="009A52BF" w:rsidRPr="00BD1D99" w14:paraId="307F72B2"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145DEC1"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Public Advocates Office (Cal Advocates)</w:t>
            </w:r>
          </w:p>
        </w:tc>
      </w:tr>
      <w:tr w:rsidR="009A52BF" w:rsidRPr="00BD1D99" w14:paraId="1060AD9D"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45FF5AD"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Redwood Coast Energy Authority (RCEA)</w:t>
            </w:r>
          </w:p>
        </w:tc>
      </w:tr>
      <w:tr w:rsidR="005D304D" w:rsidRPr="00BD1D99" w14:paraId="5E0FA8E4"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tcPr>
          <w:p w14:paraId="6B3EAA14" w14:textId="0285DBBA" w:rsidR="005D304D" w:rsidRPr="00BD1D99" w:rsidRDefault="005D304D" w:rsidP="00BD1D99">
            <w:pPr>
              <w:spacing w:line="276" w:lineRule="auto"/>
              <w:rPr>
                <w:rFonts w:ascii="Calibri" w:hAnsi="Calibri" w:cs="Calibri"/>
                <w:color w:val="000000"/>
              </w:rPr>
            </w:pPr>
            <w:r>
              <w:rPr>
                <w:rFonts w:ascii="Calibri" w:hAnsi="Calibri" w:cs="Calibri"/>
                <w:color w:val="000000"/>
              </w:rPr>
              <w:t>Resource Innovations*</w:t>
            </w:r>
          </w:p>
        </w:tc>
      </w:tr>
      <w:tr w:rsidR="009A52BF" w:rsidRPr="00BD1D99" w14:paraId="29D6541D"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67F1299D" w14:textId="0130ACD0"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Rising Sun Center for Opportunity*</w:t>
            </w:r>
          </w:p>
        </w:tc>
      </w:tr>
      <w:tr w:rsidR="009A52BF" w:rsidRPr="00BD1D99" w14:paraId="3B0A60FA"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1E659B7A"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San Joaquin Valley Clean Energy Organization (SJVCEO)</w:t>
            </w:r>
          </w:p>
        </w:tc>
      </w:tr>
      <w:tr w:rsidR="005D304D" w:rsidRPr="00BD1D99" w14:paraId="3D5894DA"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tcPr>
          <w:p w14:paraId="337F7FDA" w14:textId="7C4F2712" w:rsidR="005D304D" w:rsidRPr="00BD1D99" w:rsidRDefault="005D304D" w:rsidP="00BD1D99">
            <w:pPr>
              <w:spacing w:line="276" w:lineRule="auto"/>
              <w:rPr>
                <w:rFonts w:ascii="Calibri" w:hAnsi="Calibri" w:cs="Calibri"/>
                <w:color w:val="000000"/>
              </w:rPr>
            </w:pPr>
            <w:r>
              <w:rPr>
                <w:rFonts w:ascii="Calibri" w:hAnsi="Calibri" w:cs="Calibri"/>
                <w:color w:val="000000"/>
              </w:rPr>
              <w:t>San Diego Gas and Electric (SDG</w:t>
            </w:r>
            <w:r w:rsidR="009D4B8F">
              <w:rPr>
                <w:rFonts w:ascii="Calibri" w:hAnsi="Calibri" w:cs="Calibri"/>
                <w:color w:val="000000"/>
              </w:rPr>
              <w:t>&amp;</w:t>
            </w:r>
            <w:r>
              <w:rPr>
                <w:rFonts w:ascii="Calibri" w:hAnsi="Calibri" w:cs="Calibri"/>
                <w:color w:val="000000"/>
              </w:rPr>
              <w:t>E)</w:t>
            </w:r>
          </w:p>
        </w:tc>
      </w:tr>
      <w:tr w:rsidR="009A52BF" w:rsidRPr="00BD1D99" w14:paraId="014C7879"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0E30CD9B" w14:textId="2CB07E50"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Silent Running LLC*</w:t>
            </w:r>
          </w:p>
        </w:tc>
      </w:tr>
      <w:tr w:rsidR="009A52BF" w:rsidRPr="00BD1D99" w14:paraId="089443E4"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6DB6602B"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Small Business Utility Advocates (SBUA)</w:t>
            </w:r>
          </w:p>
        </w:tc>
      </w:tr>
      <w:tr w:rsidR="009A52BF" w:rsidRPr="00BD1D99" w14:paraId="20B32ED6"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3AFD40FE"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Southern California Edison (SCE)</w:t>
            </w:r>
          </w:p>
        </w:tc>
      </w:tr>
      <w:tr w:rsidR="009A52BF" w:rsidRPr="00BD1D99" w14:paraId="688F15C1"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15188410"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Southern California Gas (SCG)</w:t>
            </w:r>
          </w:p>
        </w:tc>
      </w:tr>
      <w:tr w:rsidR="009A52BF" w:rsidRPr="00BD1D99" w14:paraId="14405BA0"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544272F1"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Southern California Regional Energy Network (SoCalREN)</w:t>
            </w:r>
          </w:p>
        </w:tc>
      </w:tr>
      <w:tr w:rsidR="009A52BF" w:rsidRPr="00BD1D99" w14:paraId="36B5FECF"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0407B4F6" w14:textId="4C3E4F43"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The Energy Coalition</w:t>
            </w:r>
            <w:r w:rsidR="009D4B8F">
              <w:rPr>
                <w:rFonts w:ascii="Calibri" w:hAnsi="Calibri" w:cs="Calibri"/>
                <w:color w:val="000000"/>
              </w:rPr>
              <w:t xml:space="preserve"> (TEC)</w:t>
            </w:r>
          </w:p>
        </w:tc>
      </w:tr>
      <w:tr w:rsidR="009A52BF" w:rsidRPr="00BD1D99" w14:paraId="503245ED"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7EFD22F0" w14:textId="09EA7E8F"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TRC*</w:t>
            </w:r>
          </w:p>
        </w:tc>
      </w:tr>
      <w:tr w:rsidR="009A52BF" w:rsidRPr="00BD1D99" w14:paraId="38F9BEDC"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33B16EF0"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 xml:space="preserve">Tri-County Regional Energy Network (3C-REN) </w:t>
            </w:r>
          </w:p>
        </w:tc>
      </w:tr>
      <w:tr w:rsidR="009A52BF" w:rsidRPr="00BD1D99" w14:paraId="271FE64A"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601BD74F" w14:textId="0405EFF9"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Viridis Consulting*</w:t>
            </w:r>
          </w:p>
        </w:tc>
      </w:tr>
      <w:tr w:rsidR="009A52BF" w:rsidRPr="00BD1D99" w14:paraId="5D37E931"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DD270A4"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Ex-Officio/Resource (non-voting):</w:t>
            </w:r>
          </w:p>
        </w:tc>
      </w:tr>
      <w:tr w:rsidR="009A52BF" w:rsidRPr="00BD1D99" w14:paraId="40BA5718"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4F9DDAF"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American Council for an Energy-Efficient Economy (ACEEE)</w:t>
            </w:r>
          </w:p>
        </w:tc>
      </w:tr>
      <w:tr w:rsidR="009A52BF" w:rsidRPr="00BD1D99" w14:paraId="2DEFFFDD"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7AC095D"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California Air Resources Board (CARB)</w:t>
            </w:r>
          </w:p>
        </w:tc>
      </w:tr>
      <w:tr w:rsidR="009A52BF" w:rsidRPr="00BD1D99" w14:paraId="4F4CAC0A"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6B379B46"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California Energy Commission (CEC)</w:t>
            </w:r>
          </w:p>
        </w:tc>
      </w:tr>
      <w:tr w:rsidR="009A52BF" w:rsidRPr="00BD1D99" w14:paraId="416CE3A2"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B70CCC8"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California Public Utilities Commission (CPUC)</w:t>
            </w:r>
          </w:p>
        </w:tc>
      </w:tr>
    </w:tbl>
    <w:p w14:paraId="2E1704DB" w14:textId="399A315E" w:rsidR="00667F73" w:rsidRPr="00BD1D99" w:rsidRDefault="00667F73" w:rsidP="00BD1D99">
      <w:pPr>
        <w:pStyle w:val="Heading1"/>
        <w:spacing w:line="276" w:lineRule="auto"/>
        <w:rPr>
          <w:rFonts w:ascii="Calibri" w:hAnsi="Calibri" w:cs="Calibri"/>
        </w:rPr>
      </w:pPr>
      <w:bookmarkStart w:id="24" w:name="_Toc85613285"/>
      <w:r w:rsidRPr="00BD1D99">
        <w:rPr>
          <w:rFonts w:ascii="Calibri" w:hAnsi="Calibri" w:cs="Calibri"/>
        </w:rPr>
        <w:lastRenderedPageBreak/>
        <w:t>Section 2: Principles</w:t>
      </w:r>
      <w:bookmarkEnd w:id="24"/>
    </w:p>
    <w:p w14:paraId="44222265" w14:textId="6E11ABEE" w:rsidR="00667F73" w:rsidRPr="00BD1D99" w:rsidRDefault="00667F73" w:rsidP="00BD1D99">
      <w:pPr>
        <w:pStyle w:val="Heading2"/>
      </w:pPr>
      <w:bookmarkStart w:id="25" w:name="_Toc85613286"/>
      <w:r w:rsidRPr="00BD1D99">
        <w:t>2.1 Background</w:t>
      </w:r>
      <w:bookmarkEnd w:id="25"/>
    </w:p>
    <w:p w14:paraId="7AE2B696" w14:textId="5AE8D811" w:rsidR="002A0BDB" w:rsidRPr="00BD1D99" w:rsidRDefault="00667F73" w:rsidP="00BD1D99">
      <w:pPr>
        <w:spacing w:line="276" w:lineRule="auto"/>
        <w:rPr>
          <w:rFonts w:ascii="Calibri" w:hAnsi="Calibri" w:cs="Calibri"/>
        </w:rPr>
      </w:pPr>
      <w:r w:rsidRPr="00BD1D99">
        <w:rPr>
          <w:rFonts w:ascii="Calibri" w:hAnsi="Calibri" w:cs="Calibri"/>
        </w:rPr>
        <w:t xml:space="preserve">This section includes a series of recommended Principles related to how to </w:t>
      </w:r>
      <w:r w:rsidR="009A52BF" w:rsidRPr="00BD1D99">
        <w:rPr>
          <w:rFonts w:ascii="Calibri" w:hAnsi="Calibri" w:cs="Calibri"/>
        </w:rPr>
        <w:t xml:space="preserve">formulate and </w:t>
      </w:r>
      <w:r w:rsidRPr="00BD1D99">
        <w:rPr>
          <w:rFonts w:ascii="Calibri" w:hAnsi="Calibri" w:cs="Calibri"/>
        </w:rPr>
        <w:t xml:space="preserve">operationalize the Objective and Metrics within the new </w:t>
      </w:r>
      <w:r w:rsidR="00D87179" w:rsidRPr="00BD1D99">
        <w:rPr>
          <w:rFonts w:ascii="Calibri" w:hAnsi="Calibri" w:cs="Calibri"/>
        </w:rPr>
        <w:t>Equity</w:t>
      </w:r>
      <w:r w:rsidRPr="00BD1D99">
        <w:rPr>
          <w:rFonts w:ascii="Calibri" w:hAnsi="Calibri" w:cs="Calibri"/>
        </w:rPr>
        <w:t xml:space="preserve"> segment.</w:t>
      </w:r>
      <w:r w:rsidR="00DA6E41" w:rsidRPr="00BD1D99">
        <w:rPr>
          <w:rFonts w:ascii="Calibri" w:hAnsi="Calibri" w:cs="Calibri"/>
        </w:rPr>
        <w:t xml:space="preserve"> </w:t>
      </w:r>
      <w:r w:rsidR="006223EB" w:rsidRPr="00BD1D99">
        <w:rPr>
          <w:rFonts w:ascii="Calibri" w:hAnsi="Calibri" w:cs="Calibri"/>
        </w:rPr>
        <w:t>The</w:t>
      </w:r>
      <w:r w:rsidR="00444DFB" w:rsidRPr="00BD1D99">
        <w:rPr>
          <w:rFonts w:ascii="Calibri" w:hAnsi="Calibri" w:cs="Calibri"/>
        </w:rPr>
        <w:t xml:space="preserve"> E</w:t>
      </w:r>
      <w:r w:rsidR="002F592F" w:rsidRPr="00BD1D99">
        <w:rPr>
          <w:rFonts w:ascii="Calibri" w:hAnsi="Calibri" w:cs="Calibri"/>
        </w:rPr>
        <w:t>M</w:t>
      </w:r>
      <w:r w:rsidR="00444DFB" w:rsidRPr="00BD1D99">
        <w:rPr>
          <w:rFonts w:ascii="Calibri" w:hAnsi="Calibri" w:cs="Calibri"/>
        </w:rPr>
        <w:t>WG developed the</w:t>
      </w:r>
      <w:r w:rsidR="006223EB" w:rsidRPr="00BD1D99">
        <w:rPr>
          <w:rFonts w:ascii="Calibri" w:hAnsi="Calibri" w:cs="Calibri"/>
        </w:rPr>
        <w:t xml:space="preserve"> following</w:t>
      </w:r>
      <w:r w:rsidR="00DA6E41" w:rsidRPr="00BD1D99">
        <w:rPr>
          <w:rFonts w:ascii="Calibri" w:hAnsi="Calibri" w:cs="Calibri"/>
        </w:rPr>
        <w:t xml:space="preserve"> </w:t>
      </w:r>
      <w:r w:rsidR="00090954" w:rsidRPr="00BD1D99">
        <w:rPr>
          <w:rFonts w:ascii="Calibri" w:hAnsi="Calibri" w:cs="Calibri"/>
        </w:rPr>
        <w:t>P</w:t>
      </w:r>
      <w:r w:rsidR="006223EB" w:rsidRPr="00BD1D99">
        <w:rPr>
          <w:rFonts w:ascii="Calibri" w:hAnsi="Calibri" w:cs="Calibri"/>
        </w:rPr>
        <w:t xml:space="preserve">rinciples </w:t>
      </w:r>
      <w:r w:rsidR="00444DFB" w:rsidRPr="00BD1D99">
        <w:rPr>
          <w:rFonts w:ascii="Calibri" w:hAnsi="Calibri" w:cs="Calibri"/>
        </w:rPr>
        <w:t xml:space="preserve">based on the </w:t>
      </w:r>
      <w:r w:rsidR="00DA6E41" w:rsidRPr="00BD1D99">
        <w:rPr>
          <w:rFonts w:ascii="Calibri" w:hAnsi="Calibri" w:cs="Calibri"/>
        </w:rPr>
        <w:t>MSMWG</w:t>
      </w:r>
      <w:r w:rsidR="006223EB" w:rsidRPr="00BD1D99">
        <w:rPr>
          <w:rFonts w:ascii="Calibri" w:hAnsi="Calibri" w:cs="Calibri"/>
        </w:rPr>
        <w:t xml:space="preserve"> proposed set of Principles, </w:t>
      </w:r>
      <w:r w:rsidR="00DC4136" w:rsidRPr="00BD1D99">
        <w:rPr>
          <w:rFonts w:ascii="Calibri" w:hAnsi="Calibri" w:cs="Calibri"/>
        </w:rPr>
        <w:t xml:space="preserve">with </w:t>
      </w:r>
      <w:r w:rsidR="006223EB" w:rsidRPr="00BD1D99">
        <w:rPr>
          <w:rFonts w:ascii="Calibri" w:hAnsi="Calibri" w:cs="Calibri"/>
        </w:rPr>
        <w:t>modifi</w:t>
      </w:r>
      <w:r w:rsidR="00DC4136" w:rsidRPr="00BD1D99">
        <w:rPr>
          <w:rFonts w:ascii="Calibri" w:hAnsi="Calibri" w:cs="Calibri"/>
        </w:rPr>
        <w:t xml:space="preserve">cations </w:t>
      </w:r>
      <w:r w:rsidR="00FB4A57" w:rsidRPr="00BD1D99">
        <w:rPr>
          <w:rFonts w:ascii="Calibri" w:hAnsi="Calibri" w:cs="Calibri"/>
        </w:rPr>
        <w:t xml:space="preserve">and additions </w:t>
      </w:r>
      <w:r w:rsidR="003D3E14" w:rsidRPr="00BD1D99">
        <w:rPr>
          <w:rFonts w:ascii="Calibri" w:hAnsi="Calibri" w:cs="Calibri"/>
        </w:rPr>
        <w:t>when appropriate to align with the E</w:t>
      </w:r>
      <w:r w:rsidR="002F592F" w:rsidRPr="00BD1D99">
        <w:rPr>
          <w:rFonts w:ascii="Calibri" w:hAnsi="Calibri" w:cs="Calibri"/>
        </w:rPr>
        <w:t>M</w:t>
      </w:r>
      <w:r w:rsidR="003D3E14" w:rsidRPr="00BD1D99">
        <w:rPr>
          <w:rFonts w:ascii="Calibri" w:hAnsi="Calibri" w:cs="Calibri"/>
        </w:rPr>
        <w:t>WG structure and charge</w:t>
      </w:r>
      <w:r w:rsidR="006223EB" w:rsidRPr="00BD1D99">
        <w:rPr>
          <w:rFonts w:ascii="Calibri" w:hAnsi="Calibri" w:cs="Calibri"/>
        </w:rPr>
        <w:t>.</w:t>
      </w:r>
      <w:r w:rsidRPr="00BD1D99">
        <w:rPr>
          <w:rFonts w:ascii="Calibri" w:hAnsi="Calibri" w:cs="Calibri"/>
        </w:rPr>
        <w:t xml:space="preserve"> In addition, although the </w:t>
      </w:r>
      <w:r w:rsidR="009A52BF" w:rsidRPr="00BD1D99">
        <w:rPr>
          <w:rFonts w:ascii="Calibri" w:hAnsi="Calibri" w:cs="Calibri"/>
        </w:rPr>
        <w:t>EM</w:t>
      </w:r>
      <w:r w:rsidRPr="00BD1D99">
        <w:rPr>
          <w:rFonts w:ascii="Calibri" w:hAnsi="Calibri" w:cs="Calibri"/>
        </w:rPr>
        <w:t xml:space="preserve">WG was not tasked with setting the specific numeric Targets for the Metric(s) used in each PA’s filing, </w:t>
      </w:r>
      <w:r w:rsidR="00AF52BC" w:rsidRPr="00BD1D99">
        <w:rPr>
          <w:rFonts w:ascii="Calibri" w:hAnsi="Calibri" w:cs="Calibri"/>
        </w:rPr>
        <w:t>they were tasked with outlining guidance for how to set targets. As such, the EMWG recommends a Principle on target-setting</w:t>
      </w:r>
      <w:r w:rsidR="00AF52BC" w:rsidRPr="00BD1D99">
        <w:rPr>
          <w:rFonts w:ascii="Calibri" w:eastAsiaTheme="minorHAnsi" w:hAnsi="Calibri" w:cs="Calibri"/>
          <w:color w:val="3F3F3F"/>
          <w:sz w:val="26"/>
          <w:szCs w:val="26"/>
        </w:rPr>
        <w:t>.</w:t>
      </w:r>
      <w:r w:rsidR="00AF52BC" w:rsidRPr="00BD1D99">
        <w:rPr>
          <w:rFonts w:ascii="Calibri" w:hAnsi="Calibri" w:cs="Calibri"/>
        </w:rPr>
        <w:t xml:space="preserve"> </w:t>
      </w:r>
    </w:p>
    <w:p w14:paraId="0660DF0D" w14:textId="77777777" w:rsidR="002A0BDB" w:rsidRPr="00BD1D99" w:rsidRDefault="002A0BDB" w:rsidP="00BD1D99">
      <w:pPr>
        <w:spacing w:line="276" w:lineRule="auto"/>
        <w:rPr>
          <w:rFonts w:ascii="Calibri" w:hAnsi="Calibri" w:cs="Calibri"/>
        </w:rPr>
      </w:pPr>
    </w:p>
    <w:p w14:paraId="2189E088" w14:textId="5E67E423" w:rsidR="00CC0192" w:rsidRPr="00BD1D99" w:rsidRDefault="00667F73" w:rsidP="00BD1D99">
      <w:pPr>
        <w:pStyle w:val="Heading2"/>
      </w:pPr>
      <w:bookmarkStart w:id="26" w:name="_Toc85613287"/>
      <w:r w:rsidRPr="00BD1D99">
        <w:t xml:space="preserve">2.2 </w:t>
      </w:r>
      <w:r w:rsidR="00AB7EEB" w:rsidRPr="00BD1D99">
        <w:t xml:space="preserve">Consensus </w:t>
      </w:r>
      <w:r w:rsidRPr="00BD1D99">
        <w:t>Principles Recommendations</w:t>
      </w:r>
      <w:bookmarkEnd w:id="26"/>
    </w:p>
    <w:p w14:paraId="1AE41F25" w14:textId="77777777" w:rsidR="00F824E4" w:rsidRPr="00BD1D99" w:rsidRDefault="00F824E4" w:rsidP="00BD1D99">
      <w:pPr>
        <w:spacing w:before="40" w:line="276" w:lineRule="auto"/>
        <w:outlineLvl w:val="2"/>
        <w:rPr>
          <w:rFonts w:ascii="Calibri" w:hAnsi="Calibri" w:cs="Calibri"/>
          <w:color w:val="1F3763"/>
        </w:rPr>
      </w:pPr>
      <w:bookmarkStart w:id="27" w:name="_Toc82785262"/>
      <w:bookmarkStart w:id="28" w:name="_Toc85613288"/>
      <w:r w:rsidRPr="00BD1D99">
        <w:rPr>
          <w:rFonts w:ascii="Calibri" w:hAnsi="Calibri" w:cs="Calibri"/>
          <w:color w:val="1F3763"/>
          <w:u w:val="single"/>
        </w:rPr>
        <w:t>Principle #1: Segment vs. Program</w:t>
      </w:r>
      <w:bookmarkEnd w:id="27"/>
      <w:bookmarkEnd w:id="28"/>
    </w:p>
    <w:p w14:paraId="3C8B91CD" w14:textId="77777777" w:rsidR="00F824E4" w:rsidRPr="00BD1D99" w:rsidRDefault="00F824E4" w:rsidP="00760381">
      <w:pPr>
        <w:numPr>
          <w:ilvl w:val="0"/>
          <w:numId w:val="5"/>
        </w:numPr>
        <w:spacing w:line="276" w:lineRule="auto"/>
        <w:rPr>
          <w:rFonts w:ascii="Calibri" w:hAnsi="Calibri" w:cs="Calibri"/>
          <w:color w:val="000000"/>
        </w:rPr>
      </w:pPr>
      <w:r w:rsidRPr="00BD1D99">
        <w:rPr>
          <w:rFonts w:ascii="Calibri" w:hAnsi="Calibri" w:cs="Calibri"/>
          <w:color w:val="000000"/>
        </w:rPr>
        <w:t>New Equity metrics proposed by the working group (WG) should focus on measuring performance of the overall segment, not of individual programs.</w:t>
      </w:r>
    </w:p>
    <w:p w14:paraId="51654AA0" w14:textId="77777777" w:rsidR="00F824E4" w:rsidRPr="00BD1D99" w:rsidRDefault="00F824E4" w:rsidP="00760381">
      <w:pPr>
        <w:numPr>
          <w:ilvl w:val="0"/>
          <w:numId w:val="5"/>
        </w:numPr>
        <w:spacing w:line="276" w:lineRule="auto"/>
        <w:rPr>
          <w:rFonts w:ascii="Calibri" w:hAnsi="Calibri" w:cs="Calibri"/>
          <w:color w:val="000000"/>
        </w:rPr>
      </w:pPr>
      <w:r w:rsidRPr="00BD1D99">
        <w:rPr>
          <w:rFonts w:ascii="Calibri" w:hAnsi="Calibri" w:cs="Calibri"/>
          <w:color w:val="000000"/>
        </w:rPr>
        <w:t>When developing metrics, the WG should take a top-down approach meant to assess whether the Equity segment is performing against the primary Objective.</w:t>
      </w:r>
    </w:p>
    <w:p w14:paraId="35ECBE35" w14:textId="77777777" w:rsidR="00F824E4" w:rsidRPr="00BD1D99" w:rsidRDefault="00F824E4" w:rsidP="00BD1D99">
      <w:pPr>
        <w:spacing w:line="276" w:lineRule="auto"/>
        <w:rPr>
          <w:rFonts w:ascii="Calibri" w:hAnsi="Calibri" w:cs="Calibri"/>
          <w:color w:val="000000"/>
        </w:rPr>
      </w:pPr>
      <w:r w:rsidRPr="00BD1D99">
        <w:rPr>
          <w:rFonts w:ascii="Calibri" w:hAnsi="Calibri" w:cs="Calibri"/>
          <w:color w:val="000000"/>
        </w:rPr>
        <w:t> </w:t>
      </w:r>
    </w:p>
    <w:p w14:paraId="5649C82D" w14:textId="77777777" w:rsidR="00F824E4" w:rsidRPr="00BD1D99" w:rsidRDefault="00F824E4" w:rsidP="00BD1D99">
      <w:pPr>
        <w:spacing w:before="40" w:line="276" w:lineRule="auto"/>
        <w:outlineLvl w:val="2"/>
        <w:rPr>
          <w:rFonts w:ascii="Calibri" w:hAnsi="Calibri" w:cs="Calibri"/>
          <w:color w:val="1F3763"/>
        </w:rPr>
      </w:pPr>
      <w:bookmarkStart w:id="29" w:name="_Toc82785263"/>
      <w:bookmarkStart w:id="30" w:name="_Toc85613289"/>
      <w:r w:rsidRPr="00BD1D99">
        <w:rPr>
          <w:rFonts w:ascii="Calibri" w:hAnsi="Calibri" w:cs="Calibri"/>
          <w:color w:val="1F3763"/>
          <w:u w:val="single"/>
        </w:rPr>
        <w:t>Principle #2: Guidelines to Setting Metrics</w:t>
      </w:r>
      <w:bookmarkEnd w:id="29"/>
      <w:bookmarkEnd w:id="30"/>
    </w:p>
    <w:p w14:paraId="679146C7" w14:textId="77777777" w:rsidR="00F824E4" w:rsidRPr="00BD1D99" w:rsidRDefault="00F824E4" w:rsidP="00760381">
      <w:pPr>
        <w:numPr>
          <w:ilvl w:val="0"/>
          <w:numId w:val="6"/>
        </w:numPr>
        <w:spacing w:line="276" w:lineRule="auto"/>
        <w:rPr>
          <w:rFonts w:ascii="Calibri" w:hAnsi="Calibri" w:cs="Calibri"/>
          <w:color w:val="000000"/>
        </w:rPr>
      </w:pPr>
      <w:r w:rsidRPr="00BD1D99">
        <w:rPr>
          <w:rFonts w:ascii="Calibri" w:hAnsi="Calibri" w:cs="Calibri"/>
          <w:color w:val="000000"/>
        </w:rPr>
        <w:t>The recommendations of the WG should not prevent program and portfolio design flexibilities as this is important in the Equity segment.</w:t>
      </w:r>
    </w:p>
    <w:p w14:paraId="4B5537BA" w14:textId="2E9C67C2" w:rsidR="00F824E4" w:rsidRPr="00BD1D99" w:rsidRDefault="00F824E4" w:rsidP="00760381">
      <w:pPr>
        <w:numPr>
          <w:ilvl w:val="0"/>
          <w:numId w:val="6"/>
        </w:numPr>
        <w:spacing w:line="276" w:lineRule="auto"/>
        <w:rPr>
          <w:rFonts w:ascii="Calibri" w:hAnsi="Calibri" w:cs="Calibri"/>
          <w:color w:val="000000"/>
        </w:rPr>
      </w:pPr>
      <w:r w:rsidRPr="00BD1D99">
        <w:rPr>
          <w:rFonts w:ascii="Calibri" w:hAnsi="Calibri" w:cs="Calibri"/>
          <w:color w:val="000000"/>
        </w:rPr>
        <w:t>Metrics and indicators can be revisited in the future to adjust as needed, in a TBD stakeholder process.  </w:t>
      </w:r>
    </w:p>
    <w:p w14:paraId="09F8C9CC" w14:textId="50517B62" w:rsidR="00C20E31" w:rsidRPr="00BD1D99" w:rsidRDefault="00A43440" w:rsidP="00760381">
      <w:pPr>
        <w:numPr>
          <w:ilvl w:val="0"/>
          <w:numId w:val="6"/>
        </w:numPr>
        <w:spacing w:line="276" w:lineRule="auto"/>
        <w:rPr>
          <w:rFonts w:ascii="Calibri" w:hAnsi="Calibri" w:cs="Calibri"/>
          <w:color w:val="000000"/>
        </w:rPr>
      </w:pPr>
      <w:r w:rsidRPr="00BD1D99">
        <w:rPr>
          <w:rFonts w:ascii="Calibri" w:hAnsi="Calibri" w:cs="Calibri"/>
          <w:color w:val="000000"/>
        </w:rPr>
        <w:t>The EMWG did not address all definitions and methodologies for the metrics so PAs should pursue the most cost efficient and feasible approaches to collecting data</w:t>
      </w:r>
      <w:r w:rsidR="00A0159A">
        <w:rPr>
          <w:rFonts w:ascii="Calibri" w:hAnsi="Calibri" w:cs="Calibri"/>
          <w:color w:val="000000"/>
        </w:rPr>
        <w:t>.</w:t>
      </w:r>
    </w:p>
    <w:p w14:paraId="3B30C082" w14:textId="60F74B52" w:rsidR="00712A67" w:rsidRPr="00BD1D99" w:rsidRDefault="00712A67" w:rsidP="00760381">
      <w:pPr>
        <w:numPr>
          <w:ilvl w:val="0"/>
          <w:numId w:val="6"/>
        </w:numPr>
        <w:spacing w:line="276" w:lineRule="auto"/>
        <w:rPr>
          <w:rFonts w:ascii="Calibri" w:hAnsi="Calibri" w:cs="Calibri"/>
          <w:color w:val="000000"/>
        </w:rPr>
      </w:pPr>
      <w:r w:rsidRPr="00BD1D99">
        <w:rPr>
          <w:rFonts w:ascii="Calibri" w:hAnsi="Calibri" w:cs="Calibri"/>
        </w:rPr>
        <w:t>PAs should collaborate and share methodologies for tracking and reporting metrics and indicators. The methodologies would be outlined as part of the regular reporting for all metrics and indicators</w:t>
      </w:r>
      <w:r w:rsidR="00A0159A">
        <w:rPr>
          <w:rFonts w:ascii="Calibri" w:hAnsi="Calibri" w:cs="Calibri"/>
        </w:rPr>
        <w:t>.</w:t>
      </w:r>
    </w:p>
    <w:p w14:paraId="2388F604" w14:textId="26ADA947" w:rsidR="00D276DE" w:rsidRPr="00BD1D99" w:rsidRDefault="00D276DE" w:rsidP="00BD1D99">
      <w:pPr>
        <w:spacing w:line="276" w:lineRule="auto"/>
        <w:rPr>
          <w:rFonts w:ascii="Calibri" w:hAnsi="Calibri" w:cs="Calibri"/>
          <w:color w:val="1F3763"/>
          <w:u w:val="single"/>
        </w:rPr>
      </w:pPr>
      <w:bookmarkStart w:id="31" w:name="_Toc82785264"/>
    </w:p>
    <w:p w14:paraId="04070E5C" w14:textId="7510E0B2" w:rsidR="00F824E4" w:rsidRPr="00BD1D99" w:rsidRDefault="00F824E4" w:rsidP="00BD1D99">
      <w:pPr>
        <w:keepNext/>
        <w:spacing w:before="40" w:line="276" w:lineRule="auto"/>
        <w:outlineLvl w:val="2"/>
        <w:rPr>
          <w:rFonts w:ascii="Calibri" w:hAnsi="Calibri" w:cs="Calibri"/>
          <w:color w:val="1F3763"/>
        </w:rPr>
      </w:pPr>
      <w:bookmarkStart w:id="32" w:name="_Toc85613290"/>
      <w:r w:rsidRPr="00BD1D99">
        <w:rPr>
          <w:rFonts w:ascii="Calibri" w:hAnsi="Calibri" w:cs="Calibri"/>
          <w:color w:val="1F3763"/>
          <w:u w:val="single"/>
        </w:rPr>
        <w:t>Principle #3: </w:t>
      </w:r>
      <w:bookmarkEnd w:id="31"/>
      <w:r w:rsidRPr="00BD1D99">
        <w:rPr>
          <w:rFonts w:ascii="Calibri" w:hAnsi="Calibri" w:cs="Calibri"/>
          <w:color w:val="1F3763"/>
          <w:u w:val="single"/>
        </w:rPr>
        <w:t>Program Portfolios</w:t>
      </w:r>
      <w:bookmarkEnd w:id="32"/>
    </w:p>
    <w:p w14:paraId="4068C7E3" w14:textId="1D13DF2E" w:rsidR="00E14C0F" w:rsidRPr="00BD1D99" w:rsidRDefault="00E14C0F" w:rsidP="00760381">
      <w:pPr>
        <w:keepNext/>
        <w:numPr>
          <w:ilvl w:val="0"/>
          <w:numId w:val="7"/>
        </w:numPr>
        <w:spacing w:line="276" w:lineRule="auto"/>
        <w:rPr>
          <w:rFonts w:ascii="Calibri" w:hAnsi="Calibri" w:cs="Calibri"/>
          <w:color w:val="000000"/>
        </w:rPr>
      </w:pPr>
      <w:r w:rsidRPr="00BD1D99">
        <w:rPr>
          <w:rFonts w:ascii="Calibri" w:hAnsi="Calibri" w:cs="Calibri"/>
          <w:color w:val="000000"/>
        </w:rPr>
        <w:t>Equity programs must have a primary focus of “</w:t>
      </w:r>
      <w:r w:rsidR="003851CF" w:rsidRPr="00BD1D99">
        <w:rPr>
          <w:rFonts w:ascii="Calibri" w:hAnsi="Calibri" w:cs="Calibri"/>
        </w:rPr>
        <w:t xml:space="preserve">providing energy efficiency to hard-to-reach or underserved customers and disadvantaged communities in advancement of the Commission’s Environmental and Social Justice (ESJ) Action Plan. Improving access to energy efficiency for ESJ communities, as defined in the ESJ Action Plan, may provide </w:t>
      </w:r>
      <w:r w:rsidR="003851CF" w:rsidRPr="00BD1D99">
        <w:rPr>
          <w:rFonts w:ascii="Calibri" w:hAnsi="Calibri" w:cs="Calibri"/>
        </w:rPr>
        <w:lastRenderedPageBreak/>
        <w:t>corollary benefits such as increased comfort and safety, improved air quality, and more affordable utility bills, consistent with Goals 1, 2, and 5 in the ESJ Action Plan</w:t>
      </w:r>
      <w:r w:rsidR="0002388E" w:rsidRPr="00BD1D99">
        <w:rPr>
          <w:rFonts w:ascii="Calibri" w:hAnsi="Calibri" w:cs="Calibri"/>
        </w:rPr>
        <w:t>.</w:t>
      </w:r>
      <w:r w:rsidR="003851CF" w:rsidRPr="00BD1D99">
        <w:rPr>
          <w:rFonts w:ascii="Calibri" w:hAnsi="Calibri" w:cs="Calibri"/>
        </w:rPr>
        <w:t>”</w:t>
      </w:r>
      <w:r w:rsidR="003851CF" w:rsidRPr="00BD1D99">
        <w:rPr>
          <w:rStyle w:val="FootnoteReference"/>
          <w:rFonts w:ascii="Calibri" w:hAnsi="Calibri" w:cs="Calibri"/>
        </w:rPr>
        <w:footnoteReference w:id="8"/>
      </w:r>
    </w:p>
    <w:p w14:paraId="410CB294" w14:textId="77777777" w:rsidR="00F824E4" w:rsidRPr="00BD1D99" w:rsidRDefault="00F824E4" w:rsidP="00760381">
      <w:pPr>
        <w:numPr>
          <w:ilvl w:val="0"/>
          <w:numId w:val="7"/>
        </w:numPr>
        <w:spacing w:line="276" w:lineRule="auto"/>
        <w:rPr>
          <w:rFonts w:ascii="Calibri" w:hAnsi="Calibri" w:cs="Calibri"/>
          <w:color w:val="000000"/>
        </w:rPr>
      </w:pPr>
      <w:r w:rsidRPr="00BD1D99">
        <w:rPr>
          <w:rFonts w:ascii="Calibri" w:hAnsi="Calibri" w:cs="Calibri"/>
          <w:color w:val="000000"/>
        </w:rPr>
        <w:t>Although Equity segment programs can contribute to Resource Acquisition program participation in the short and long term, Equity segment programs are not required to do so.</w:t>
      </w:r>
    </w:p>
    <w:p w14:paraId="1F2BA0D3" w14:textId="20A7228F" w:rsidR="00F824E4" w:rsidRPr="00BD1D99" w:rsidRDefault="00F824E4" w:rsidP="00760381">
      <w:pPr>
        <w:numPr>
          <w:ilvl w:val="0"/>
          <w:numId w:val="7"/>
        </w:numPr>
        <w:spacing w:line="276" w:lineRule="auto"/>
        <w:rPr>
          <w:rFonts w:ascii="Calibri" w:hAnsi="Calibri" w:cs="Calibri"/>
          <w:color w:val="000000"/>
        </w:rPr>
      </w:pPr>
      <w:r w:rsidRPr="00BD1D99">
        <w:rPr>
          <w:rFonts w:ascii="Calibri" w:hAnsi="Calibri" w:cs="Calibri"/>
          <w:color w:val="000000"/>
        </w:rPr>
        <w:t>The Equity Segment should build and enable the foundation for future long-term energy savings that align with Commission and California climate policy.</w:t>
      </w:r>
    </w:p>
    <w:p w14:paraId="16917E1C" w14:textId="6F8E55CE" w:rsidR="00A43440" w:rsidRPr="00BD1D99" w:rsidRDefault="00A43440" w:rsidP="00760381">
      <w:pPr>
        <w:numPr>
          <w:ilvl w:val="0"/>
          <w:numId w:val="7"/>
        </w:numPr>
        <w:spacing w:line="276" w:lineRule="auto"/>
        <w:rPr>
          <w:rFonts w:ascii="Calibri" w:hAnsi="Calibri" w:cs="Calibri"/>
          <w:color w:val="000000"/>
        </w:rPr>
      </w:pPr>
      <w:r w:rsidRPr="00BD1D99">
        <w:rPr>
          <w:rFonts w:ascii="Calibri" w:hAnsi="Calibri" w:cs="Calibri"/>
          <w:color w:val="000000"/>
        </w:rPr>
        <w:t>PAs may file [in a formal proceeding] additional or refined Equity Segment Objective and associated Metric(s) if and when they identify an intervention that they believe fits into the overall Equity segment but does not clearly fit into the current framework of Equity Segment Objective and associated Metrics, after receiving feedback through CAEECC.</w:t>
      </w:r>
    </w:p>
    <w:p w14:paraId="1C52ADE9" w14:textId="60251A5F" w:rsidR="009F3FDF" w:rsidRPr="00BD1D99" w:rsidRDefault="00CA3D8B" w:rsidP="00760381">
      <w:pPr>
        <w:numPr>
          <w:ilvl w:val="0"/>
          <w:numId w:val="7"/>
        </w:numPr>
        <w:spacing w:line="276" w:lineRule="auto"/>
        <w:rPr>
          <w:rFonts w:ascii="Calibri" w:hAnsi="Calibri" w:cs="Calibri"/>
          <w:color w:val="000000"/>
        </w:rPr>
      </w:pPr>
      <w:r w:rsidRPr="00BD1D99">
        <w:rPr>
          <w:rFonts w:ascii="Calibri" w:hAnsi="Calibri" w:cs="Calibri"/>
          <w:color w:val="000000"/>
        </w:rPr>
        <w:t>PAs must propose program level metrics for all their Equity programs. Note: PAs may use common metrics, segment level metrics, or develop their own program level metrics</w:t>
      </w:r>
      <w:r w:rsidR="00CB6BA5">
        <w:rPr>
          <w:rFonts w:ascii="Calibri" w:hAnsi="Calibri" w:cs="Calibri"/>
          <w:color w:val="000000"/>
        </w:rPr>
        <w:t>.</w:t>
      </w:r>
      <w:r w:rsidRPr="00BD1D99">
        <w:rPr>
          <w:rFonts w:ascii="Calibri" w:hAnsi="Calibri" w:cs="Calibri"/>
          <w:color w:val="000000"/>
        </w:rPr>
        <w:t xml:space="preserve"> </w:t>
      </w:r>
      <w:bookmarkStart w:id="33" w:name="_Toc82785265"/>
    </w:p>
    <w:p w14:paraId="30D63665" w14:textId="77777777" w:rsidR="00BA6555" w:rsidRPr="00BD1D99" w:rsidRDefault="00BA6555" w:rsidP="00BD1D99">
      <w:pPr>
        <w:keepNext/>
        <w:spacing w:before="40" w:line="276" w:lineRule="auto"/>
        <w:outlineLvl w:val="2"/>
        <w:rPr>
          <w:rFonts w:ascii="Calibri" w:hAnsi="Calibri" w:cs="Calibri"/>
          <w:color w:val="000000"/>
        </w:rPr>
      </w:pPr>
    </w:p>
    <w:p w14:paraId="17BEB646" w14:textId="587AA502" w:rsidR="00DC7EB0" w:rsidRPr="00BD1D99" w:rsidRDefault="00DC7EB0" w:rsidP="00BD1D99">
      <w:pPr>
        <w:keepNext/>
        <w:spacing w:before="40" w:line="276" w:lineRule="auto"/>
        <w:outlineLvl w:val="2"/>
        <w:rPr>
          <w:rFonts w:ascii="Calibri" w:hAnsi="Calibri" w:cs="Calibri"/>
          <w:color w:val="1F3763"/>
          <w:u w:val="single"/>
        </w:rPr>
      </w:pPr>
      <w:bookmarkStart w:id="34" w:name="_Toc85613291"/>
      <w:r w:rsidRPr="00BD1D99">
        <w:rPr>
          <w:rFonts w:ascii="Calibri" w:hAnsi="Calibri" w:cs="Calibri"/>
          <w:color w:val="1F3763"/>
          <w:u w:val="single"/>
        </w:rPr>
        <w:t xml:space="preserve">Principle #4: </w:t>
      </w:r>
      <w:r w:rsidR="00090954" w:rsidRPr="00BD1D99">
        <w:rPr>
          <w:rFonts w:ascii="Calibri" w:hAnsi="Calibri" w:cs="Calibri"/>
          <w:color w:val="1F3763"/>
          <w:u w:val="single"/>
        </w:rPr>
        <w:t xml:space="preserve">Best Practices for </w:t>
      </w:r>
      <w:r w:rsidRPr="00BD1D99">
        <w:rPr>
          <w:rFonts w:ascii="Calibri" w:hAnsi="Calibri" w:cs="Calibri"/>
          <w:color w:val="1F3763"/>
          <w:u w:val="single"/>
        </w:rPr>
        <w:t xml:space="preserve">Program </w:t>
      </w:r>
      <w:r w:rsidR="00AF52BC" w:rsidRPr="00BD1D99">
        <w:rPr>
          <w:rFonts w:ascii="Calibri" w:hAnsi="Calibri" w:cs="Calibri"/>
          <w:color w:val="1F3763"/>
          <w:u w:val="single"/>
        </w:rPr>
        <w:t>Development</w:t>
      </w:r>
      <w:bookmarkEnd w:id="34"/>
    </w:p>
    <w:p w14:paraId="16F9877F" w14:textId="43C881D5" w:rsidR="00A10CE8" w:rsidRPr="00BD1D99" w:rsidRDefault="00DC7EB0" w:rsidP="00BD1D99">
      <w:pPr>
        <w:spacing w:line="276" w:lineRule="auto"/>
        <w:rPr>
          <w:rFonts w:ascii="Calibri" w:hAnsi="Calibri" w:cs="Calibri"/>
        </w:rPr>
      </w:pPr>
      <w:r w:rsidRPr="00BD1D99">
        <w:rPr>
          <w:rFonts w:ascii="Calibri" w:hAnsi="Calibri" w:cs="Calibri"/>
        </w:rPr>
        <w:t xml:space="preserve">The following principles for program design would be </w:t>
      </w:r>
      <w:r w:rsidR="00783E28" w:rsidRPr="00BD1D99">
        <w:rPr>
          <w:rFonts w:ascii="Calibri" w:hAnsi="Calibri" w:cs="Calibri"/>
        </w:rPr>
        <w:t xml:space="preserve">included </w:t>
      </w:r>
      <w:r w:rsidRPr="00BD1D99">
        <w:rPr>
          <w:rFonts w:ascii="Calibri" w:hAnsi="Calibri" w:cs="Calibri"/>
        </w:rPr>
        <w:t>in the forthcoming Program Implementation Plans (IPs)</w:t>
      </w:r>
      <w:r w:rsidR="00BA6555" w:rsidRPr="00BD1D99">
        <w:rPr>
          <w:rFonts w:ascii="Calibri" w:hAnsi="Calibri" w:cs="Calibri"/>
        </w:rPr>
        <w:t xml:space="preserve"> </w:t>
      </w:r>
      <w:r w:rsidRPr="00BD1D99">
        <w:rPr>
          <w:rFonts w:ascii="Calibri" w:hAnsi="Calibri" w:cs="Calibri"/>
        </w:rPr>
        <w:t xml:space="preserve">and/or via annual reporting to enable Energy Division and stakeholders to </w:t>
      </w:r>
      <w:r w:rsidR="00646AC9" w:rsidRPr="00BD1D99">
        <w:rPr>
          <w:rFonts w:ascii="Calibri" w:hAnsi="Calibri" w:cs="Calibri"/>
        </w:rPr>
        <w:t xml:space="preserve">assess how these principles are being integrated </w:t>
      </w:r>
      <w:r w:rsidR="00783E28" w:rsidRPr="00BD1D99">
        <w:rPr>
          <w:rFonts w:ascii="Calibri" w:hAnsi="Calibri" w:cs="Calibri"/>
        </w:rPr>
        <w:t xml:space="preserve">into </w:t>
      </w:r>
      <w:r w:rsidR="00646AC9" w:rsidRPr="00BD1D99">
        <w:rPr>
          <w:rFonts w:ascii="Calibri" w:hAnsi="Calibri" w:cs="Calibri"/>
        </w:rPr>
        <w:t xml:space="preserve">the </w:t>
      </w:r>
      <w:r w:rsidR="00783E28" w:rsidRPr="00BD1D99">
        <w:rPr>
          <w:rFonts w:ascii="Calibri" w:hAnsi="Calibri" w:cs="Calibri"/>
        </w:rPr>
        <w:t xml:space="preserve">Equity segment </w:t>
      </w:r>
      <w:r w:rsidR="00646AC9" w:rsidRPr="00BD1D99">
        <w:rPr>
          <w:rFonts w:ascii="Calibri" w:hAnsi="Calibri" w:cs="Calibri"/>
        </w:rPr>
        <w:t xml:space="preserve">portfolios. </w:t>
      </w:r>
      <w:r w:rsidR="00712A67" w:rsidRPr="00BD1D99">
        <w:rPr>
          <w:rFonts w:ascii="Calibri" w:hAnsi="Calibri" w:cs="Calibri"/>
        </w:rPr>
        <w:t xml:space="preserve">Note: these principles </w:t>
      </w:r>
      <w:r w:rsidR="00A8438F" w:rsidRPr="00BD1D99">
        <w:rPr>
          <w:rFonts w:ascii="Calibri" w:hAnsi="Calibri" w:cs="Calibri"/>
        </w:rPr>
        <w:t>should be applied when designing Equity segment programs</w:t>
      </w:r>
      <w:r w:rsidR="00712A67" w:rsidRPr="00BD1D99">
        <w:rPr>
          <w:rFonts w:ascii="Calibri" w:hAnsi="Calibri" w:cs="Calibri"/>
        </w:rPr>
        <w:t xml:space="preserve">, to the extent applicable. </w:t>
      </w:r>
    </w:p>
    <w:p w14:paraId="7FC0FE2A" w14:textId="06E1D9C1" w:rsidR="00DC7EB0" w:rsidRPr="00BD1D99" w:rsidRDefault="00DC7EB0" w:rsidP="00760381">
      <w:pPr>
        <w:pStyle w:val="ListParagraph"/>
        <w:numPr>
          <w:ilvl w:val="0"/>
          <w:numId w:val="12"/>
        </w:numPr>
        <w:spacing w:line="276" w:lineRule="auto"/>
        <w:rPr>
          <w:rFonts w:ascii="Calibri" w:hAnsi="Calibri" w:cs="Calibri"/>
        </w:rPr>
      </w:pPr>
      <w:r w:rsidRPr="00BD1D99">
        <w:rPr>
          <w:rFonts w:ascii="Calibri" w:hAnsi="Calibri" w:cs="Calibri"/>
        </w:rPr>
        <w:t>Prioritize customers in most need (need is defined in the main doc)</w:t>
      </w:r>
      <w:r w:rsidR="00BD416C">
        <w:rPr>
          <w:rFonts w:ascii="Calibri" w:hAnsi="Calibri" w:cs="Calibri"/>
        </w:rPr>
        <w:t>.</w:t>
      </w:r>
    </w:p>
    <w:p w14:paraId="29E392A9" w14:textId="77777777" w:rsidR="00DC7EB0" w:rsidRPr="00BD1D99" w:rsidRDefault="00DC7EB0" w:rsidP="00760381">
      <w:pPr>
        <w:pStyle w:val="ListParagraph"/>
        <w:numPr>
          <w:ilvl w:val="0"/>
          <w:numId w:val="12"/>
        </w:numPr>
        <w:spacing w:line="276" w:lineRule="auto"/>
        <w:rPr>
          <w:rFonts w:ascii="Calibri" w:hAnsi="Calibri" w:cs="Calibri"/>
        </w:rPr>
      </w:pPr>
      <w:r w:rsidRPr="00BD1D99">
        <w:rPr>
          <w:rFonts w:ascii="Calibri" w:hAnsi="Calibri" w:cs="Calibri"/>
        </w:rPr>
        <w:t>Support concurrent equity efforts, such as those that align with related Social Determinants of Health (e.g., physical environment).</w:t>
      </w:r>
    </w:p>
    <w:p w14:paraId="1A7E2B8C" w14:textId="77777777" w:rsidR="00DC7EB0" w:rsidRPr="00BD1D99" w:rsidRDefault="00DC7EB0" w:rsidP="00760381">
      <w:pPr>
        <w:pStyle w:val="ListParagraph"/>
        <w:numPr>
          <w:ilvl w:val="0"/>
          <w:numId w:val="12"/>
        </w:numPr>
        <w:spacing w:line="276" w:lineRule="auto"/>
        <w:rPr>
          <w:rFonts w:ascii="Calibri" w:hAnsi="Calibri" w:cs="Calibri"/>
        </w:rPr>
      </w:pPr>
      <w:r w:rsidRPr="00BD1D99">
        <w:rPr>
          <w:rFonts w:ascii="Calibri" w:hAnsi="Calibri" w:cs="Calibri"/>
        </w:rPr>
        <w:t>Advance climate resiliency (e.g., keeping indoors cool during heatwaves and ensuring tight building shell to protect from wildfire smoke).</w:t>
      </w:r>
    </w:p>
    <w:p w14:paraId="2B82D781" w14:textId="483F67F8" w:rsidR="00DC7EB0" w:rsidRPr="00BD1D99" w:rsidRDefault="00DC7EB0" w:rsidP="00760381">
      <w:pPr>
        <w:pStyle w:val="ListParagraph"/>
        <w:numPr>
          <w:ilvl w:val="0"/>
          <w:numId w:val="12"/>
        </w:numPr>
        <w:spacing w:line="276" w:lineRule="auto"/>
        <w:rPr>
          <w:rFonts w:ascii="Calibri" w:hAnsi="Calibri" w:cs="Calibri"/>
        </w:rPr>
      </w:pPr>
      <w:r w:rsidRPr="00BD1D99">
        <w:rPr>
          <w:rFonts w:ascii="Calibri" w:hAnsi="Calibri" w:cs="Calibri"/>
        </w:rPr>
        <w:t>Align with local grid reliability needs (e.g., focus efforts that reduce energy usage at critical times and locations).</w:t>
      </w:r>
    </w:p>
    <w:p w14:paraId="76484AA0" w14:textId="10E9FF6C" w:rsidR="00DC7EB0" w:rsidRPr="00BD1D99" w:rsidRDefault="00DC7EB0" w:rsidP="00BD1D99">
      <w:pPr>
        <w:spacing w:before="40" w:line="276" w:lineRule="auto"/>
        <w:outlineLvl w:val="2"/>
        <w:rPr>
          <w:rFonts w:ascii="Calibri" w:hAnsi="Calibri" w:cs="Calibri"/>
        </w:rPr>
      </w:pPr>
    </w:p>
    <w:p w14:paraId="47FDAEB5" w14:textId="77777777" w:rsidR="00120131" w:rsidRPr="00BD1D99" w:rsidRDefault="00120131" w:rsidP="00BD1D99">
      <w:pPr>
        <w:spacing w:before="40" w:line="276" w:lineRule="auto"/>
        <w:outlineLvl w:val="2"/>
        <w:rPr>
          <w:rFonts w:ascii="Calibri" w:hAnsi="Calibri" w:cs="Calibri"/>
          <w:color w:val="1F3763"/>
          <w:u w:val="single"/>
        </w:rPr>
      </w:pPr>
      <w:bookmarkStart w:id="35" w:name="_Toc85613292"/>
      <w:r w:rsidRPr="00BD1D99">
        <w:rPr>
          <w:rFonts w:ascii="Calibri" w:hAnsi="Calibri" w:cs="Calibri"/>
          <w:color w:val="1F3763"/>
          <w:u w:val="single"/>
        </w:rPr>
        <w:t>Principle #5: Reporting</w:t>
      </w:r>
      <w:bookmarkEnd w:id="35"/>
    </w:p>
    <w:p w14:paraId="6A24397B" w14:textId="453BC535" w:rsidR="00120131" w:rsidRPr="00BD1D99" w:rsidRDefault="00120131" w:rsidP="00760381">
      <w:pPr>
        <w:pStyle w:val="ListParagraph"/>
        <w:numPr>
          <w:ilvl w:val="0"/>
          <w:numId w:val="16"/>
        </w:numPr>
        <w:spacing w:line="276" w:lineRule="auto"/>
        <w:rPr>
          <w:rFonts w:ascii="Calibri" w:hAnsi="Calibri" w:cs="Calibri"/>
        </w:rPr>
      </w:pPr>
      <w:r w:rsidRPr="00BD1D99">
        <w:rPr>
          <w:rFonts w:ascii="Calibri" w:hAnsi="Calibri" w:cs="Calibri"/>
        </w:rPr>
        <w:t>PAs must propose Equity program-level metrics with targets in their applications that demonstrate progress toward segment defined Objectives in accordance with Equity principles. PAs may also propose Equity program-level indicators as appropriate</w:t>
      </w:r>
      <w:r w:rsidR="0092090F">
        <w:rPr>
          <w:rFonts w:ascii="Calibri" w:hAnsi="Calibri" w:cs="Calibri"/>
        </w:rPr>
        <w:t>.</w:t>
      </w:r>
      <w:r w:rsidRPr="00BD1D99">
        <w:rPr>
          <w:rFonts w:ascii="Calibri" w:hAnsi="Calibri" w:cs="Calibri"/>
        </w:rPr>
        <w:t xml:space="preserve"> </w:t>
      </w:r>
    </w:p>
    <w:p w14:paraId="72AF3E80" w14:textId="3CA0AA4C" w:rsidR="00120131" w:rsidRPr="00BD1D99" w:rsidRDefault="00120131" w:rsidP="00760381">
      <w:pPr>
        <w:pStyle w:val="ListParagraph"/>
        <w:numPr>
          <w:ilvl w:val="0"/>
          <w:numId w:val="16"/>
        </w:numPr>
        <w:spacing w:line="276" w:lineRule="auto"/>
        <w:rPr>
          <w:rFonts w:ascii="Calibri" w:hAnsi="Calibri" w:cs="Calibri"/>
        </w:rPr>
      </w:pPr>
      <w:r w:rsidRPr="00BD1D99">
        <w:rPr>
          <w:rFonts w:ascii="Calibri" w:hAnsi="Calibri" w:cs="Calibri"/>
        </w:rPr>
        <w:t>PAs should begin tracking all Equity relevant metrics and reporting on all Equity metrics during program years 2022-2023. Note</w:t>
      </w:r>
      <w:r w:rsidR="0092090F">
        <w:rPr>
          <w:rFonts w:ascii="Calibri" w:hAnsi="Calibri" w:cs="Calibri"/>
        </w:rPr>
        <w:t>,</w:t>
      </w:r>
      <w:r w:rsidRPr="00BD1D99">
        <w:rPr>
          <w:rFonts w:ascii="Calibri" w:hAnsi="Calibri" w:cs="Calibri"/>
        </w:rPr>
        <w:t xml:space="preserve"> if a particular metric is not being addressed by </w:t>
      </w:r>
      <w:r w:rsidRPr="00BD1D99">
        <w:rPr>
          <w:rFonts w:ascii="Calibri" w:hAnsi="Calibri" w:cs="Calibri"/>
        </w:rPr>
        <w:lastRenderedPageBreak/>
        <w:t xml:space="preserve">any PA program it would be reported as </w:t>
      </w:r>
      <w:r w:rsidR="00AC2C56">
        <w:rPr>
          <w:rFonts w:ascii="Calibri" w:hAnsi="Calibri" w:cs="Calibri"/>
        </w:rPr>
        <w:t>such</w:t>
      </w:r>
      <w:r w:rsidRPr="00BD1D99">
        <w:rPr>
          <w:rFonts w:ascii="Calibri" w:hAnsi="Calibri" w:cs="Calibri"/>
        </w:rPr>
        <w:t xml:space="preserve"> in the reporting. A consistent reporting format should be applied across PAs.</w:t>
      </w:r>
    </w:p>
    <w:bookmarkEnd w:id="33"/>
    <w:p w14:paraId="2CE16FD8" w14:textId="5ADA3B40" w:rsidR="00F824E4" w:rsidRPr="00BD1D99" w:rsidRDefault="00F824E4" w:rsidP="00BD1D99">
      <w:pPr>
        <w:spacing w:line="276" w:lineRule="auto"/>
        <w:rPr>
          <w:rFonts w:ascii="Calibri" w:hAnsi="Calibri" w:cs="Calibri"/>
        </w:rPr>
      </w:pPr>
    </w:p>
    <w:p w14:paraId="0A11A77D" w14:textId="1F89AA36" w:rsidR="00667F73" w:rsidRPr="00BD1D99" w:rsidRDefault="00667F73" w:rsidP="00BD1D99">
      <w:pPr>
        <w:pStyle w:val="Heading2"/>
        <w:rPr>
          <w:b/>
          <w:bCs/>
        </w:rPr>
      </w:pPr>
      <w:bookmarkStart w:id="36" w:name="_Toc85613293"/>
      <w:r w:rsidRPr="00BD1D99">
        <w:t>2.3 Non-Consensus Principles Recommendation</w:t>
      </w:r>
      <w:bookmarkEnd w:id="36"/>
    </w:p>
    <w:p w14:paraId="6253257F" w14:textId="6C847B46" w:rsidR="00667F73" w:rsidRPr="00BD1D99" w:rsidRDefault="00667F73" w:rsidP="00BD1D99">
      <w:pPr>
        <w:keepNext/>
        <w:spacing w:line="276" w:lineRule="auto"/>
        <w:rPr>
          <w:rFonts w:ascii="Calibri" w:hAnsi="Calibri" w:cs="Calibri"/>
        </w:rPr>
      </w:pPr>
      <w:r w:rsidRPr="00BD1D99">
        <w:rPr>
          <w:rFonts w:ascii="Calibri" w:hAnsi="Calibri" w:cs="Calibri"/>
        </w:rPr>
        <w:t xml:space="preserve">There </w:t>
      </w:r>
      <w:r w:rsidR="00A43440" w:rsidRPr="00BD1D99">
        <w:rPr>
          <w:rFonts w:ascii="Calibri" w:hAnsi="Calibri" w:cs="Calibri"/>
        </w:rPr>
        <w:t>were two</w:t>
      </w:r>
      <w:r w:rsidRPr="00BD1D99">
        <w:rPr>
          <w:rFonts w:ascii="Calibri" w:hAnsi="Calibri" w:cs="Calibri"/>
        </w:rPr>
        <w:t xml:space="preserve"> non-consensus Principle</w:t>
      </w:r>
      <w:r w:rsidR="00E86D50">
        <w:rPr>
          <w:rFonts w:ascii="Calibri" w:hAnsi="Calibri" w:cs="Calibri"/>
        </w:rPr>
        <w:t>s</w:t>
      </w:r>
      <w:r w:rsidRPr="00BD1D99">
        <w:rPr>
          <w:rFonts w:ascii="Calibri" w:hAnsi="Calibri" w:cs="Calibri"/>
        </w:rPr>
        <w:t xml:space="preserve"> recommendation</w:t>
      </w:r>
      <w:r w:rsidR="00A43440" w:rsidRPr="00BD1D99">
        <w:rPr>
          <w:rFonts w:ascii="Calibri" w:hAnsi="Calibri" w:cs="Calibri"/>
        </w:rPr>
        <w:t>s</w:t>
      </w:r>
      <w:r w:rsidRPr="00BD1D99">
        <w:rPr>
          <w:rFonts w:ascii="Calibri" w:hAnsi="Calibri" w:cs="Calibri"/>
        </w:rPr>
        <w:t>.</w:t>
      </w:r>
    </w:p>
    <w:p w14:paraId="2AD27718" w14:textId="2BEE3089" w:rsidR="00667F73" w:rsidRPr="00BD1D99" w:rsidRDefault="00667F73" w:rsidP="00BD1D99">
      <w:pPr>
        <w:keepNext/>
        <w:spacing w:line="276" w:lineRule="auto"/>
        <w:rPr>
          <w:rFonts w:ascii="Calibri" w:hAnsi="Calibri" w:cs="Calibri"/>
          <w:b/>
          <w:bCs/>
        </w:rPr>
      </w:pPr>
    </w:p>
    <w:p w14:paraId="672F9428" w14:textId="1ABC182D" w:rsidR="00667F73" w:rsidRPr="00BD1D99" w:rsidRDefault="00667F73" w:rsidP="00BD1D99">
      <w:pPr>
        <w:pStyle w:val="Heading3"/>
        <w:spacing w:line="276" w:lineRule="auto"/>
        <w:rPr>
          <w:rFonts w:ascii="Calibri" w:hAnsi="Calibri" w:cs="Calibri"/>
          <w:u w:val="single"/>
        </w:rPr>
      </w:pPr>
      <w:bookmarkStart w:id="37" w:name="_Toc85613294"/>
      <w:r w:rsidRPr="00BD1D99">
        <w:rPr>
          <w:rFonts w:ascii="Calibri" w:hAnsi="Calibri" w:cs="Calibri"/>
          <w:u w:val="single"/>
        </w:rPr>
        <w:t>Principle #</w:t>
      </w:r>
      <w:r w:rsidR="00DC7EB0" w:rsidRPr="00BD1D99">
        <w:rPr>
          <w:rFonts w:ascii="Calibri" w:hAnsi="Calibri" w:cs="Calibri"/>
          <w:u w:val="single"/>
        </w:rPr>
        <w:t>6</w:t>
      </w:r>
      <w:r w:rsidRPr="00BD1D99">
        <w:rPr>
          <w:rFonts w:ascii="Calibri" w:hAnsi="Calibri" w:cs="Calibri"/>
          <w:u w:val="single"/>
        </w:rPr>
        <w:t>: Target-</w:t>
      </w:r>
      <w:r w:rsidR="0010170C" w:rsidRPr="00BD1D99">
        <w:rPr>
          <w:rFonts w:ascii="Calibri" w:hAnsi="Calibri" w:cs="Calibri"/>
          <w:u w:val="single"/>
        </w:rPr>
        <w:t>S</w:t>
      </w:r>
      <w:r w:rsidRPr="00BD1D99">
        <w:rPr>
          <w:rFonts w:ascii="Calibri" w:hAnsi="Calibri" w:cs="Calibri"/>
          <w:u w:val="single"/>
        </w:rPr>
        <w:t>etting</w:t>
      </w:r>
      <w:bookmarkEnd w:id="37"/>
    </w:p>
    <w:p w14:paraId="2753A477" w14:textId="5E688F80" w:rsidR="00667F73" w:rsidRPr="00BD1D99" w:rsidRDefault="00667F73" w:rsidP="00BD1D99">
      <w:pPr>
        <w:spacing w:line="276" w:lineRule="auto"/>
        <w:rPr>
          <w:rFonts w:ascii="Calibri" w:hAnsi="Calibri" w:cs="Calibri"/>
        </w:rPr>
      </w:pPr>
      <w:r w:rsidRPr="00BD1D99">
        <w:rPr>
          <w:rFonts w:ascii="Calibri" w:hAnsi="Calibri" w:cs="Calibri"/>
        </w:rPr>
        <w:t xml:space="preserve">The </w:t>
      </w:r>
      <w:r w:rsidR="00D87179" w:rsidRPr="00BD1D99">
        <w:rPr>
          <w:rFonts w:ascii="Calibri" w:hAnsi="Calibri" w:cs="Calibri"/>
        </w:rPr>
        <w:t>E</w:t>
      </w:r>
      <w:r w:rsidRPr="00BD1D99">
        <w:rPr>
          <w:rFonts w:ascii="Calibri" w:hAnsi="Calibri" w:cs="Calibri"/>
        </w:rPr>
        <w:t xml:space="preserve">MWG members are divided on the approach to target-setting. </w:t>
      </w:r>
      <w:r w:rsidR="00F04B69" w:rsidRPr="00EA12A6">
        <w:rPr>
          <w:rFonts w:ascii="Calibri" w:hAnsi="Calibri" w:cs="Calibri"/>
        </w:rPr>
        <w:t xml:space="preserve">Two options are presented below for consideration. </w:t>
      </w:r>
      <w:r w:rsidR="00F04B69" w:rsidRPr="00F04B69">
        <w:rPr>
          <w:rFonts w:ascii="Calibri" w:hAnsi="Calibri" w:cs="Calibri"/>
        </w:rPr>
        <w:t>Members</w:t>
      </w:r>
      <w:r w:rsidR="00F04B69">
        <w:rPr>
          <w:rFonts w:ascii="Calibri" w:hAnsi="Calibri" w:cs="Calibri"/>
        </w:rPr>
        <w:t>’</w:t>
      </w:r>
      <w:r w:rsidR="00F04B69" w:rsidRPr="00F04B69">
        <w:rPr>
          <w:rFonts w:ascii="Calibri" w:hAnsi="Calibri" w:cs="Calibri"/>
        </w:rPr>
        <w:t xml:space="preserve"> first choice as well as acceptable options are shown in the table below the option descriptions and their rationales.</w:t>
      </w:r>
    </w:p>
    <w:p w14:paraId="7F50D545" w14:textId="77777777" w:rsidR="00BD1D99" w:rsidRPr="00BD1D99" w:rsidRDefault="00BD1D99" w:rsidP="00BD1D99">
      <w:pPr>
        <w:spacing w:line="276" w:lineRule="auto"/>
        <w:rPr>
          <w:rFonts w:ascii="Calibri" w:hAnsi="Calibri" w:cs="Calibri"/>
        </w:rPr>
      </w:pPr>
    </w:p>
    <w:p w14:paraId="5B12C468" w14:textId="77777777" w:rsidR="00BD1D99" w:rsidRPr="00BD1D99" w:rsidRDefault="00BD1D99" w:rsidP="00BD1D99">
      <w:pPr>
        <w:spacing w:line="276" w:lineRule="auto"/>
        <w:rPr>
          <w:rFonts w:ascii="Calibri" w:hAnsi="Calibri" w:cs="Calibri"/>
          <w:i/>
          <w:iCs/>
        </w:rPr>
      </w:pPr>
      <w:r w:rsidRPr="00BD1D99">
        <w:rPr>
          <w:rFonts w:ascii="Calibri" w:hAnsi="Calibri" w:cs="Calibri"/>
          <w:b/>
          <w:bCs/>
        </w:rPr>
        <w:t>Option 1: Targets will be set by the PAs for Equity segment metrics following the collection of the first two program years of data (or a baseline has been set using reasonable proxy data).</w:t>
      </w:r>
      <w:r w:rsidRPr="00BD1D99">
        <w:rPr>
          <w:rFonts w:ascii="Calibri" w:hAnsi="Calibri" w:cs="Calibri"/>
        </w:rPr>
        <w:t xml:space="preserve"> </w:t>
      </w:r>
    </w:p>
    <w:p w14:paraId="7A05ABDC" w14:textId="77777777" w:rsidR="00BD1D99" w:rsidRPr="00BD1D99" w:rsidRDefault="00BD1D99" w:rsidP="00BD1D99">
      <w:pPr>
        <w:spacing w:line="276" w:lineRule="auto"/>
        <w:rPr>
          <w:rFonts w:ascii="Calibri" w:hAnsi="Calibri" w:cs="Calibri"/>
        </w:rPr>
      </w:pPr>
      <w:r w:rsidRPr="00BD1D99">
        <w:rPr>
          <w:rFonts w:ascii="Calibri" w:hAnsi="Calibri" w:cs="Calibri"/>
        </w:rPr>
        <w:t> </w:t>
      </w:r>
    </w:p>
    <w:p w14:paraId="469F0E35" w14:textId="0A38B667" w:rsidR="00BD1D99" w:rsidRPr="00BD1D99" w:rsidRDefault="00BD1D99" w:rsidP="00BD1D99">
      <w:pPr>
        <w:spacing w:line="276" w:lineRule="auto"/>
        <w:rPr>
          <w:rFonts w:ascii="Calibri" w:hAnsi="Calibri" w:cs="Calibri"/>
        </w:rPr>
      </w:pPr>
      <w:r w:rsidRPr="00BD1D99">
        <w:rPr>
          <w:rFonts w:ascii="Calibri" w:hAnsi="Calibri" w:cs="Calibri"/>
        </w:rPr>
        <w:t>All Equity segment metrics should have meaningful targets based on available data. Since little or no data exists for new programs, pilots and/or programs still being designed, targets cannot be reasonably established. Similarly, existing programs that are moved into the Equity segment may not necessarily have relevant data to be able to report on the newly determined Equity segment metrics. PAs should have the time to collect baseline data so that targets are both appropriate and reportable. Additionally, D.18-05-041 O</w:t>
      </w:r>
      <w:r w:rsidR="00B80248">
        <w:rPr>
          <w:rFonts w:ascii="Calibri" w:hAnsi="Calibri" w:cs="Calibri"/>
        </w:rPr>
        <w:t xml:space="preserve">rdering </w:t>
      </w:r>
      <w:r w:rsidRPr="00BD1D99">
        <w:rPr>
          <w:rFonts w:ascii="Calibri" w:hAnsi="Calibri" w:cs="Calibri"/>
        </w:rPr>
        <w:t>P</w:t>
      </w:r>
      <w:r w:rsidR="00B80248">
        <w:rPr>
          <w:rFonts w:ascii="Calibri" w:hAnsi="Calibri" w:cs="Calibri"/>
        </w:rPr>
        <w:t xml:space="preserve">aragraph </w:t>
      </w:r>
      <w:r w:rsidRPr="00BD1D99">
        <w:rPr>
          <w:rFonts w:ascii="Calibri" w:hAnsi="Calibri" w:cs="Calibri"/>
        </w:rPr>
        <w:t xml:space="preserve">9 allows for new or modified metrics or indicators to be proposed in annual budget advice letter filings. Therefore, </w:t>
      </w:r>
      <w:r w:rsidR="00B80248">
        <w:rPr>
          <w:rFonts w:ascii="Calibri" w:hAnsi="Calibri" w:cs="Calibri"/>
        </w:rPr>
        <w:t>T</w:t>
      </w:r>
      <w:r w:rsidRPr="00BD1D99">
        <w:rPr>
          <w:rFonts w:ascii="Calibri" w:hAnsi="Calibri" w:cs="Calibri"/>
        </w:rPr>
        <w:t>ier 2 advice letters (such as the True Up Advice Letter) may be an appropriate avenue for also providing targets.</w:t>
      </w:r>
    </w:p>
    <w:p w14:paraId="5EF0E7AF" w14:textId="77777777" w:rsidR="00BD1D99" w:rsidRPr="00BD1D99" w:rsidRDefault="00BD1D99" w:rsidP="00BD1D99">
      <w:pPr>
        <w:spacing w:line="276" w:lineRule="auto"/>
        <w:rPr>
          <w:rFonts w:ascii="Calibri" w:hAnsi="Calibri" w:cs="Calibri"/>
        </w:rPr>
      </w:pPr>
    </w:p>
    <w:p w14:paraId="5AF51C02" w14:textId="77777777" w:rsidR="00BD1D99" w:rsidRPr="00BD1D99" w:rsidRDefault="00BD1D99" w:rsidP="00BD1D99">
      <w:pPr>
        <w:spacing w:line="276" w:lineRule="auto"/>
        <w:rPr>
          <w:rFonts w:ascii="Calibri" w:hAnsi="Calibri" w:cs="Calibri"/>
          <w:b/>
          <w:bCs/>
          <w:color w:val="000000"/>
        </w:rPr>
      </w:pPr>
      <w:r w:rsidRPr="00BD1D99">
        <w:rPr>
          <w:rFonts w:ascii="Calibri" w:hAnsi="Calibri" w:cs="Calibri"/>
          <w:b/>
          <w:bCs/>
        </w:rPr>
        <w:t xml:space="preserve">Option 2: </w:t>
      </w:r>
      <w:r w:rsidRPr="00BD1D99">
        <w:rPr>
          <w:rFonts w:ascii="Calibri" w:hAnsi="Calibri" w:cs="Calibri"/>
          <w:b/>
          <w:bCs/>
          <w:color w:val="000000"/>
        </w:rPr>
        <w:t>In their Budget Applications, PAs will propose targets and/or set a date certain by which they will propose targets for all Equity segment metrics</w:t>
      </w:r>
      <w:r w:rsidRPr="00BD1D99">
        <w:rPr>
          <w:rFonts w:ascii="Calibri" w:hAnsi="Calibri" w:cs="Calibri"/>
          <w:b/>
          <w:bCs/>
        </w:rPr>
        <w:t xml:space="preserve">. </w:t>
      </w:r>
    </w:p>
    <w:p w14:paraId="0840671A" w14:textId="77777777" w:rsidR="00BD1D99" w:rsidRPr="00BD1D99" w:rsidRDefault="00BD1D99" w:rsidP="00BD1D99">
      <w:pPr>
        <w:spacing w:line="276" w:lineRule="auto"/>
        <w:rPr>
          <w:rFonts w:ascii="Calibri" w:hAnsi="Calibri" w:cs="Calibri"/>
        </w:rPr>
      </w:pPr>
    </w:p>
    <w:p w14:paraId="29BFF2EA" w14:textId="77777777" w:rsidR="00BD1D99" w:rsidRPr="00BD1D99" w:rsidRDefault="00BD1D99" w:rsidP="00BD1D99">
      <w:pPr>
        <w:spacing w:line="276" w:lineRule="auto"/>
        <w:rPr>
          <w:rFonts w:ascii="Calibri" w:hAnsi="Calibri" w:cs="Calibri"/>
        </w:rPr>
      </w:pPr>
      <w:r w:rsidRPr="00BD1D99">
        <w:rPr>
          <w:rFonts w:ascii="Calibri" w:hAnsi="Calibri" w:cs="Calibri"/>
        </w:rPr>
        <w:t>All metrics proposed must have targets. The appropriate venue to propose and litigate targets is the budget application proceeding, where the evidence underlying proposed targets can be considered and alternatives proposed and considered. Most PAs already have the data and/or experience to set targets based on existing programs. </w:t>
      </w:r>
      <w:r w:rsidRPr="00BD1D99" w:rsidDel="00E00681">
        <w:rPr>
          <w:rFonts w:ascii="Calibri" w:hAnsi="Calibri" w:cs="Calibri"/>
        </w:rPr>
        <w:t xml:space="preserve"> </w:t>
      </w:r>
    </w:p>
    <w:p w14:paraId="43D6C3C3" w14:textId="77777777" w:rsidR="00BD1D99" w:rsidRPr="00BD1D99" w:rsidRDefault="00BD1D99" w:rsidP="00BD1D99">
      <w:pPr>
        <w:spacing w:line="276" w:lineRule="auto"/>
        <w:rPr>
          <w:rFonts w:ascii="Calibri" w:hAnsi="Calibri" w:cs="Calibri"/>
        </w:rPr>
      </w:pPr>
    </w:p>
    <w:p w14:paraId="2120F7FE" w14:textId="77777777" w:rsidR="00BD1D99" w:rsidRPr="00BD1D99" w:rsidRDefault="00BD1D99" w:rsidP="00BD1D99">
      <w:pPr>
        <w:spacing w:line="276" w:lineRule="auto"/>
        <w:rPr>
          <w:rFonts w:ascii="Calibri" w:hAnsi="Calibri" w:cs="Calibri"/>
        </w:rPr>
      </w:pPr>
      <w:r w:rsidRPr="00BD1D99">
        <w:rPr>
          <w:rFonts w:ascii="Calibri" w:hAnsi="Calibri" w:cs="Calibri"/>
        </w:rPr>
        <w:t>For any metrics that PAs think target setting isn't feasible without collecting baseline data, the proponents of Option 2 propose that the PAs include in their applications a proposal for a date certain by which the PAs will file a Petition for Modification (PFM) to the budget application decision. That PFM would include the proposed targets for each metric that had the targets deferred and include the evidentiary basis for the proposed target.</w:t>
      </w:r>
    </w:p>
    <w:p w14:paraId="08D6912F" w14:textId="77777777" w:rsidR="00BD1D99" w:rsidRPr="00BD1D99" w:rsidRDefault="00BD1D99" w:rsidP="00BD1D99">
      <w:pPr>
        <w:spacing w:line="276" w:lineRule="auto"/>
        <w:rPr>
          <w:rFonts w:ascii="Calibri" w:hAnsi="Calibri" w:cs="Calibri"/>
        </w:rPr>
      </w:pPr>
    </w:p>
    <w:p w14:paraId="2A8C7D9C" w14:textId="77777777" w:rsidR="00BD1D99" w:rsidRPr="00BD1D99" w:rsidRDefault="00BD1D99" w:rsidP="00BD1D99">
      <w:pPr>
        <w:spacing w:line="276" w:lineRule="auto"/>
        <w:rPr>
          <w:rFonts w:ascii="Calibri" w:hAnsi="Calibri" w:cs="Calibri"/>
        </w:rPr>
      </w:pPr>
      <w:r w:rsidRPr="00BD1D99">
        <w:rPr>
          <w:rFonts w:ascii="Calibri" w:hAnsi="Calibri" w:cs="Calibri"/>
        </w:rPr>
        <w:lastRenderedPageBreak/>
        <w:t>In addition, for those metrics that currently have uncertain baseline data, more significant adjustments to targets may be needed in the future after initial targets are set in applications or PFMs. The PAs should propose a process for making such adjustments (e.g., rely on the reporting requirements through CAEECC, use the annual reporting process to seek adjustment as needed, etc.) in their budget applications.</w:t>
      </w:r>
    </w:p>
    <w:p w14:paraId="26710756" w14:textId="77777777" w:rsidR="00667F73" w:rsidRPr="00BD1D99" w:rsidRDefault="00667F73" w:rsidP="00BD1D99">
      <w:pPr>
        <w:spacing w:line="276" w:lineRule="auto"/>
        <w:rPr>
          <w:rFonts w:ascii="Calibri" w:hAnsi="Calibri" w:cs="Calibri"/>
        </w:rPr>
      </w:pPr>
    </w:p>
    <w:p w14:paraId="1E80E964" w14:textId="0AFB87C8" w:rsidR="00667F73" w:rsidRDefault="00667F73" w:rsidP="001C60CE">
      <w:pPr>
        <w:spacing w:line="276" w:lineRule="auto"/>
        <w:rPr>
          <w:rFonts w:ascii="Calibri" w:hAnsi="Calibri" w:cs="Calibri"/>
        </w:rPr>
      </w:pPr>
      <w:r w:rsidRPr="00BD1D99">
        <w:rPr>
          <w:rFonts w:ascii="Calibri" w:hAnsi="Calibri" w:cs="Calibri"/>
        </w:rPr>
        <w:t xml:space="preserve">The </w:t>
      </w:r>
      <w:r w:rsidR="00057EBB" w:rsidRPr="00BD1D99">
        <w:rPr>
          <w:rFonts w:ascii="Calibri" w:hAnsi="Calibri" w:cs="Calibri"/>
        </w:rPr>
        <w:t>E</w:t>
      </w:r>
      <w:r w:rsidRPr="00BD1D99">
        <w:rPr>
          <w:rFonts w:ascii="Calibri" w:hAnsi="Calibri" w:cs="Calibri"/>
        </w:rPr>
        <w:t xml:space="preserve">MWG members who prefer each option and find each option acceptable </w:t>
      </w:r>
      <w:r w:rsidR="00CC6167" w:rsidRPr="00BD1D99">
        <w:rPr>
          <w:rFonts w:ascii="Calibri" w:hAnsi="Calibri" w:cs="Calibri"/>
        </w:rPr>
        <w:t>is presented</w:t>
      </w:r>
      <w:r w:rsidRPr="00BD1D99">
        <w:rPr>
          <w:rFonts w:ascii="Calibri" w:hAnsi="Calibri" w:cs="Calibri"/>
        </w:rPr>
        <w:t xml:space="preserve"> below in Table </w:t>
      </w:r>
      <w:r w:rsidR="00D7114C" w:rsidRPr="00BD1D99">
        <w:rPr>
          <w:rFonts w:ascii="Calibri" w:hAnsi="Calibri" w:cs="Calibri"/>
        </w:rPr>
        <w:t>2</w:t>
      </w:r>
      <w:r w:rsidRPr="00BD1D99">
        <w:rPr>
          <w:rFonts w:ascii="Calibri" w:hAnsi="Calibri" w:cs="Calibri"/>
        </w:rPr>
        <w:t xml:space="preserve">. </w:t>
      </w:r>
      <w:r w:rsidR="00987389" w:rsidRPr="00EA12A6">
        <w:rPr>
          <w:rFonts w:ascii="Calibri" w:hAnsi="Calibri" w:cs="Calibri"/>
        </w:rPr>
        <w:t xml:space="preserve">In addition, some </w:t>
      </w:r>
      <w:r w:rsidR="00987389">
        <w:rPr>
          <w:rFonts w:ascii="Calibri" w:hAnsi="Calibri" w:cs="Calibri"/>
        </w:rPr>
        <w:t>W</w:t>
      </w:r>
      <w:r w:rsidR="00987389" w:rsidRPr="00EA12A6">
        <w:rPr>
          <w:rFonts w:ascii="Calibri" w:hAnsi="Calibri" w:cs="Calibri"/>
        </w:rPr>
        <w:t xml:space="preserve">orking </w:t>
      </w:r>
      <w:r w:rsidR="00987389">
        <w:rPr>
          <w:rFonts w:ascii="Calibri" w:hAnsi="Calibri" w:cs="Calibri"/>
        </w:rPr>
        <w:t>G</w:t>
      </w:r>
      <w:r w:rsidR="00987389" w:rsidRPr="00EA12A6">
        <w:rPr>
          <w:rFonts w:ascii="Calibri" w:hAnsi="Calibri" w:cs="Calibri"/>
        </w:rPr>
        <w:t xml:space="preserve">roup </w:t>
      </w:r>
      <w:r w:rsidR="00987389">
        <w:rPr>
          <w:rFonts w:ascii="Calibri" w:hAnsi="Calibri" w:cs="Calibri"/>
        </w:rPr>
        <w:t>M</w:t>
      </w:r>
      <w:r w:rsidR="00987389" w:rsidRPr="00EA12A6">
        <w:rPr>
          <w:rFonts w:ascii="Calibri" w:hAnsi="Calibri" w:cs="Calibri"/>
        </w:rPr>
        <w:t>embers</w:t>
      </w:r>
      <w:r w:rsidR="00987389">
        <w:rPr>
          <w:rFonts w:ascii="Calibri" w:hAnsi="Calibri" w:cs="Calibri"/>
        </w:rPr>
        <w:t xml:space="preserve"> (indicated by a *)</w:t>
      </w:r>
      <w:r w:rsidR="00987389" w:rsidRPr="00EA12A6">
        <w:rPr>
          <w:rFonts w:ascii="Calibri" w:hAnsi="Calibri" w:cs="Calibri"/>
        </w:rPr>
        <w:t xml:space="preserve"> have provided comments on their option choices in Appendix </w:t>
      </w:r>
      <w:r w:rsidR="00987389">
        <w:rPr>
          <w:rFonts w:ascii="Calibri" w:hAnsi="Calibri" w:cs="Calibri"/>
        </w:rPr>
        <w:t>C</w:t>
      </w:r>
      <w:r w:rsidR="00987389" w:rsidRPr="00EA12A6">
        <w:rPr>
          <w:rFonts w:ascii="Calibri" w:hAnsi="Calibri" w:cs="Calibri"/>
        </w:rPr>
        <w:t>.</w:t>
      </w:r>
    </w:p>
    <w:p w14:paraId="6E94B2A2" w14:textId="77777777" w:rsidR="001C60CE" w:rsidRPr="001C60CE" w:rsidRDefault="001C60CE" w:rsidP="001C60CE">
      <w:pPr>
        <w:spacing w:line="276" w:lineRule="auto"/>
        <w:rPr>
          <w:rFonts w:ascii="Calibri" w:hAnsi="Calibri" w:cs="Calibri"/>
          <w:sz w:val="8"/>
          <w:szCs w:val="8"/>
        </w:rPr>
      </w:pPr>
    </w:p>
    <w:p w14:paraId="528662E4" w14:textId="60D644BF" w:rsidR="00667F73" w:rsidRPr="00BD1D99" w:rsidRDefault="00667F73" w:rsidP="00C63902">
      <w:pPr>
        <w:keepNext/>
        <w:keepLines/>
        <w:rPr>
          <w:rFonts w:ascii="Calibri" w:hAnsi="Calibri" w:cs="Calibri"/>
        </w:rPr>
      </w:pPr>
      <w:r w:rsidRPr="00BD1D99">
        <w:rPr>
          <w:rFonts w:ascii="Calibri" w:hAnsi="Calibri" w:cs="Calibri"/>
        </w:rPr>
        <w:t xml:space="preserve">Table </w:t>
      </w:r>
      <w:r w:rsidR="00D7114C" w:rsidRPr="00BD1D99">
        <w:rPr>
          <w:rFonts w:ascii="Calibri" w:hAnsi="Calibri" w:cs="Calibri"/>
        </w:rPr>
        <w:t>2</w:t>
      </w:r>
      <w:r w:rsidR="00AB7462" w:rsidRPr="00BD1D99">
        <w:rPr>
          <w:rFonts w:ascii="Calibri" w:hAnsi="Calibri" w:cs="Calibri"/>
        </w:rPr>
        <w:t>:</w:t>
      </w:r>
      <w:r w:rsidRPr="00BD1D99">
        <w:rPr>
          <w:rFonts w:ascii="Calibri" w:hAnsi="Calibri" w:cs="Calibri"/>
        </w:rPr>
        <w:t xml:space="preserve"> </w:t>
      </w:r>
      <w:r w:rsidR="00057EBB" w:rsidRPr="00BD1D99">
        <w:rPr>
          <w:rFonts w:ascii="Calibri" w:hAnsi="Calibri" w:cs="Calibri"/>
        </w:rPr>
        <w:t>E</w:t>
      </w:r>
      <w:r w:rsidRPr="00BD1D99">
        <w:rPr>
          <w:rFonts w:ascii="Calibri" w:hAnsi="Calibri" w:cs="Calibri"/>
        </w:rPr>
        <w:t xml:space="preserve">MWG Support of Target-Setting Options 1 and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3150"/>
        <w:gridCol w:w="3235"/>
      </w:tblGrid>
      <w:tr w:rsidR="00667F73" w:rsidRPr="00BD080E" w14:paraId="3AFC9640" w14:textId="77777777" w:rsidTr="001A2791">
        <w:trPr>
          <w:trHeight w:val="340"/>
        </w:trPr>
        <w:tc>
          <w:tcPr>
            <w:tcW w:w="2965" w:type="dxa"/>
            <w:tcBorders>
              <w:bottom w:val="single" w:sz="4" w:space="0" w:color="auto"/>
            </w:tcBorders>
            <w:shd w:val="clear" w:color="000000" w:fill="8EA9DB"/>
            <w:vAlign w:val="center"/>
            <w:hideMark/>
          </w:tcPr>
          <w:p w14:paraId="088C9C33" w14:textId="77777777" w:rsidR="00667F73" w:rsidRPr="00BD080E" w:rsidRDefault="00667F73" w:rsidP="001A2791">
            <w:pPr>
              <w:keepNext/>
              <w:keepLines/>
              <w:jc w:val="center"/>
              <w:rPr>
                <w:rFonts w:ascii="Calibri" w:hAnsi="Calibri" w:cs="Calibri"/>
                <w:b/>
                <w:bCs/>
                <w:color w:val="000000"/>
                <w:sz w:val="18"/>
                <w:szCs w:val="18"/>
              </w:rPr>
            </w:pPr>
            <w:r w:rsidRPr="00BD080E">
              <w:rPr>
                <w:rFonts w:ascii="Calibri" w:hAnsi="Calibri" w:cs="Calibri"/>
                <w:b/>
                <w:bCs/>
                <w:color w:val="000000"/>
                <w:sz w:val="18"/>
                <w:szCs w:val="18"/>
              </w:rPr>
              <w:t>Target-Setting Option</w:t>
            </w:r>
          </w:p>
        </w:tc>
        <w:tc>
          <w:tcPr>
            <w:tcW w:w="3150" w:type="dxa"/>
            <w:tcBorders>
              <w:bottom w:val="single" w:sz="4" w:space="0" w:color="auto"/>
            </w:tcBorders>
            <w:shd w:val="clear" w:color="000000" w:fill="8EA9DB"/>
            <w:vAlign w:val="center"/>
            <w:hideMark/>
          </w:tcPr>
          <w:p w14:paraId="1550FC10" w14:textId="77777777" w:rsidR="00667F73" w:rsidRPr="00BD080E" w:rsidRDefault="00667F73" w:rsidP="001A2791">
            <w:pPr>
              <w:keepNext/>
              <w:keepLines/>
              <w:jc w:val="center"/>
              <w:rPr>
                <w:rFonts w:ascii="Calibri" w:hAnsi="Calibri" w:cs="Calibri"/>
                <w:b/>
                <w:bCs/>
                <w:color w:val="000000"/>
                <w:sz w:val="18"/>
                <w:szCs w:val="18"/>
              </w:rPr>
            </w:pPr>
            <w:r w:rsidRPr="00BD080E">
              <w:rPr>
                <w:rFonts w:ascii="Calibri" w:hAnsi="Calibri" w:cs="Calibri"/>
                <w:b/>
                <w:bCs/>
                <w:color w:val="000000"/>
                <w:sz w:val="18"/>
                <w:szCs w:val="18"/>
              </w:rPr>
              <w:t>First Choice Option</w:t>
            </w:r>
          </w:p>
        </w:tc>
        <w:tc>
          <w:tcPr>
            <w:tcW w:w="3235" w:type="dxa"/>
            <w:tcBorders>
              <w:bottom w:val="single" w:sz="4" w:space="0" w:color="auto"/>
            </w:tcBorders>
            <w:shd w:val="clear" w:color="000000" w:fill="8EA9DB"/>
            <w:vAlign w:val="center"/>
            <w:hideMark/>
          </w:tcPr>
          <w:p w14:paraId="5EE2B9BE" w14:textId="77777777" w:rsidR="00667F73" w:rsidRPr="00BD080E" w:rsidRDefault="00667F73" w:rsidP="001A2791">
            <w:pPr>
              <w:keepNext/>
              <w:keepLines/>
              <w:jc w:val="center"/>
              <w:rPr>
                <w:rFonts w:ascii="Calibri" w:hAnsi="Calibri" w:cs="Calibri"/>
                <w:b/>
                <w:bCs/>
                <w:color w:val="000000"/>
                <w:sz w:val="18"/>
                <w:szCs w:val="18"/>
              </w:rPr>
            </w:pPr>
            <w:r w:rsidRPr="00BD080E">
              <w:rPr>
                <w:rFonts w:ascii="Calibri" w:hAnsi="Calibri" w:cs="Calibri"/>
                <w:b/>
                <w:bCs/>
                <w:color w:val="000000"/>
                <w:sz w:val="18"/>
                <w:szCs w:val="18"/>
              </w:rPr>
              <w:t>Acceptable Option</w:t>
            </w:r>
          </w:p>
        </w:tc>
      </w:tr>
      <w:tr w:rsidR="00402480" w:rsidRPr="00BD080E" w14:paraId="649E2E20" w14:textId="77777777" w:rsidTr="001C60CE">
        <w:trPr>
          <w:trHeight w:val="4571"/>
        </w:trPr>
        <w:tc>
          <w:tcPr>
            <w:tcW w:w="2965" w:type="dxa"/>
            <w:tcBorders>
              <w:bottom w:val="single" w:sz="4" w:space="0" w:color="auto"/>
            </w:tcBorders>
            <w:shd w:val="clear" w:color="auto" w:fill="auto"/>
            <w:hideMark/>
          </w:tcPr>
          <w:p w14:paraId="00DC393C" w14:textId="1F7ACEE3" w:rsidR="00402480" w:rsidRPr="00BD080E" w:rsidRDefault="00402480" w:rsidP="001C60CE">
            <w:pPr>
              <w:keepNext/>
              <w:keepLines/>
              <w:rPr>
                <w:rFonts w:ascii="Calibri" w:hAnsi="Calibri" w:cs="Calibri"/>
                <w:sz w:val="18"/>
                <w:szCs w:val="18"/>
              </w:rPr>
            </w:pPr>
            <w:r w:rsidRPr="00BD080E">
              <w:rPr>
                <w:rFonts w:ascii="Calibri" w:hAnsi="Calibri" w:cs="Calibri"/>
                <w:sz w:val="18"/>
                <w:szCs w:val="18"/>
              </w:rPr>
              <w:t>Option 1: Targets will be set by the PAs for Equity segment metrics following the collection of the first two program years of data (or a baseline has been set using reasonable proxy data).</w:t>
            </w:r>
            <w:r w:rsidR="007A7B24" w:rsidRPr="00BD080E">
              <w:rPr>
                <w:rFonts w:ascii="Calibri" w:hAnsi="Calibri" w:cs="Calibri"/>
                <w:sz w:val="18"/>
                <w:szCs w:val="18"/>
              </w:rPr>
              <w:t xml:space="preserve"> (</w:t>
            </w:r>
            <w:r w:rsidR="00BD080E" w:rsidRPr="00BD080E">
              <w:rPr>
                <w:rFonts w:ascii="Calibri" w:hAnsi="Calibri" w:cs="Calibri"/>
                <w:b/>
                <w:bCs/>
                <w:sz w:val="18"/>
                <w:szCs w:val="18"/>
              </w:rPr>
              <w:t>12</w:t>
            </w:r>
            <w:r w:rsidR="007A7B24" w:rsidRPr="00BD080E">
              <w:rPr>
                <w:rFonts w:ascii="Calibri" w:hAnsi="Calibri" w:cs="Calibri"/>
                <w:b/>
                <w:bCs/>
                <w:sz w:val="18"/>
                <w:szCs w:val="18"/>
              </w:rPr>
              <w:t xml:space="preserve"> first choice, </w:t>
            </w:r>
            <w:r w:rsidR="00BD080E" w:rsidRPr="00BD080E">
              <w:rPr>
                <w:rFonts w:ascii="Calibri" w:hAnsi="Calibri" w:cs="Calibri"/>
                <w:b/>
                <w:bCs/>
                <w:sz w:val="18"/>
                <w:szCs w:val="18"/>
              </w:rPr>
              <w:t>21</w:t>
            </w:r>
            <w:r w:rsidR="007A7B24" w:rsidRPr="00BD080E">
              <w:rPr>
                <w:rFonts w:ascii="Calibri" w:hAnsi="Calibri" w:cs="Calibri"/>
                <w:b/>
                <w:bCs/>
                <w:sz w:val="18"/>
                <w:szCs w:val="18"/>
              </w:rPr>
              <w:t xml:space="preserve"> acceptable</w:t>
            </w:r>
            <w:r w:rsidR="007A7B24" w:rsidRPr="00BD080E">
              <w:rPr>
                <w:rFonts w:ascii="Calibri" w:hAnsi="Calibri" w:cs="Calibri"/>
                <w:sz w:val="18"/>
                <w:szCs w:val="18"/>
              </w:rPr>
              <w:t>)</w:t>
            </w:r>
          </w:p>
        </w:tc>
        <w:tc>
          <w:tcPr>
            <w:tcW w:w="3150" w:type="dxa"/>
            <w:tcBorders>
              <w:bottom w:val="single" w:sz="4" w:space="0" w:color="auto"/>
            </w:tcBorders>
            <w:shd w:val="clear" w:color="auto" w:fill="auto"/>
            <w:hideMark/>
          </w:tcPr>
          <w:p w14:paraId="064E7F14" w14:textId="77777777" w:rsidR="00390A38" w:rsidRPr="00724892" w:rsidRDefault="00390A38"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3C-REN*</w:t>
            </w:r>
          </w:p>
          <w:p w14:paraId="0C6DD3F2" w14:textId="77777777" w:rsidR="00390A38" w:rsidRPr="00724892" w:rsidRDefault="00390A38"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BayREN*</w:t>
            </w:r>
          </w:p>
          <w:p w14:paraId="6C68AECC" w14:textId="77777777" w:rsidR="00390A38" w:rsidRPr="00724892" w:rsidRDefault="00390A38"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CEDMC</w:t>
            </w:r>
          </w:p>
          <w:p w14:paraId="0706B7AE" w14:textId="77777777" w:rsidR="00390A38" w:rsidRPr="00724892" w:rsidRDefault="00390A38"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MCE</w:t>
            </w:r>
          </w:p>
          <w:p w14:paraId="27C15385" w14:textId="77777777" w:rsidR="00390A38" w:rsidRPr="00724892" w:rsidRDefault="00390A38"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PG&amp;E</w:t>
            </w:r>
          </w:p>
          <w:p w14:paraId="3EADEFD5" w14:textId="77777777" w:rsidR="00390A38" w:rsidRPr="00724892" w:rsidRDefault="00390A38"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RCEA</w:t>
            </w:r>
          </w:p>
          <w:p w14:paraId="31D6820A" w14:textId="77777777" w:rsidR="00390A38" w:rsidRPr="00724892" w:rsidRDefault="00390A38"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SCE</w:t>
            </w:r>
          </w:p>
          <w:p w14:paraId="0D47944D" w14:textId="77777777" w:rsidR="00390A38" w:rsidRPr="00724892" w:rsidRDefault="00390A38"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SCG</w:t>
            </w:r>
          </w:p>
          <w:p w14:paraId="0E10F936" w14:textId="77777777" w:rsidR="00390A38" w:rsidRPr="00724892" w:rsidRDefault="00390A38"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SDGE*</w:t>
            </w:r>
          </w:p>
          <w:p w14:paraId="3C3538AD" w14:textId="77777777" w:rsidR="00390A38" w:rsidRPr="00724892" w:rsidRDefault="00390A38"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Silent Running LLC*</w:t>
            </w:r>
          </w:p>
          <w:p w14:paraId="7FBFE8FC" w14:textId="77777777" w:rsidR="00390A38" w:rsidRPr="00724892" w:rsidRDefault="00390A38"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 xml:space="preserve">SJVCEO </w:t>
            </w:r>
          </w:p>
          <w:p w14:paraId="1B8C5D82" w14:textId="510D2136" w:rsidR="00402480" w:rsidRPr="00724892" w:rsidRDefault="00390A38"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Viridis Consulting</w:t>
            </w:r>
          </w:p>
        </w:tc>
        <w:tc>
          <w:tcPr>
            <w:tcW w:w="3235" w:type="dxa"/>
            <w:tcBorders>
              <w:bottom w:val="single" w:sz="4" w:space="0" w:color="auto"/>
            </w:tcBorders>
            <w:shd w:val="clear" w:color="auto" w:fill="auto"/>
            <w:hideMark/>
          </w:tcPr>
          <w:p w14:paraId="1A1C4F40"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3C-REN</w:t>
            </w:r>
          </w:p>
          <w:p w14:paraId="4B1915B4"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BayREN</w:t>
            </w:r>
          </w:p>
          <w:p w14:paraId="1C6270DC"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CEDMC</w:t>
            </w:r>
          </w:p>
          <w:p w14:paraId="079072EE"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CodeCycle</w:t>
            </w:r>
          </w:p>
          <w:p w14:paraId="4B95C11E"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CSE</w:t>
            </w:r>
          </w:p>
          <w:p w14:paraId="4B1E7FA1"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High Sierra Energy Foundation</w:t>
            </w:r>
          </w:p>
          <w:p w14:paraId="6C131442"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MCE</w:t>
            </w:r>
          </w:p>
          <w:p w14:paraId="32FD20D6"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PG&amp;E</w:t>
            </w:r>
          </w:p>
          <w:p w14:paraId="33E18B22"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RCEA</w:t>
            </w:r>
          </w:p>
          <w:p w14:paraId="6EA36593"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Resource Innovations</w:t>
            </w:r>
          </w:p>
          <w:p w14:paraId="0D7CAA86"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Rising Sun Center for Opportunity</w:t>
            </w:r>
          </w:p>
          <w:p w14:paraId="02A67C5F"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SBUA</w:t>
            </w:r>
          </w:p>
          <w:p w14:paraId="47FE0A00"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SCE</w:t>
            </w:r>
          </w:p>
          <w:p w14:paraId="77D27266"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SCG</w:t>
            </w:r>
          </w:p>
          <w:p w14:paraId="5F7BA013"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SDGE</w:t>
            </w:r>
          </w:p>
          <w:p w14:paraId="24B8DDD5"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Silent Running LLC</w:t>
            </w:r>
          </w:p>
          <w:p w14:paraId="6323018E"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 xml:space="preserve">SJVCEO </w:t>
            </w:r>
          </w:p>
          <w:p w14:paraId="50FF81DF"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SoCalREN</w:t>
            </w:r>
          </w:p>
          <w:p w14:paraId="75262751"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The Energy Coalition</w:t>
            </w:r>
          </w:p>
          <w:p w14:paraId="072C4065"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TRC</w:t>
            </w:r>
          </w:p>
          <w:p w14:paraId="72EC0C3B" w14:textId="4194DE98" w:rsidR="00402480"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Viridis Consulting</w:t>
            </w:r>
          </w:p>
        </w:tc>
      </w:tr>
      <w:tr w:rsidR="00402480" w:rsidRPr="00BD080E" w14:paraId="549B5E40" w14:textId="77777777" w:rsidTr="001C60CE">
        <w:trPr>
          <w:trHeight w:val="340"/>
        </w:trPr>
        <w:tc>
          <w:tcPr>
            <w:tcW w:w="2965" w:type="dxa"/>
            <w:tcBorders>
              <w:top w:val="single" w:sz="4" w:space="0" w:color="auto"/>
              <w:bottom w:val="single" w:sz="4" w:space="0" w:color="auto"/>
              <w:right w:val="single" w:sz="4" w:space="0" w:color="auto"/>
            </w:tcBorders>
            <w:shd w:val="clear" w:color="auto" w:fill="auto"/>
          </w:tcPr>
          <w:p w14:paraId="235C7F6F" w14:textId="7F123426" w:rsidR="00402480" w:rsidRPr="00BD080E" w:rsidRDefault="00402480" w:rsidP="001C60CE">
            <w:pPr>
              <w:keepNext/>
              <w:keepLines/>
              <w:rPr>
                <w:rFonts w:ascii="Calibri" w:hAnsi="Calibri" w:cs="Calibri"/>
                <w:color w:val="000000"/>
                <w:sz w:val="18"/>
                <w:szCs w:val="18"/>
              </w:rPr>
            </w:pPr>
            <w:r w:rsidRPr="00BD080E">
              <w:rPr>
                <w:rFonts w:ascii="Calibri" w:hAnsi="Calibri" w:cs="Calibri"/>
                <w:sz w:val="18"/>
                <w:szCs w:val="18"/>
              </w:rPr>
              <w:t xml:space="preserve">Option 2: </w:t>
            </w:r>
            <w:r w:rsidRPr="00BD080E">
              <w:rPr>
                <w:rFonts w:ascii="Calibri" w:hAnsi="Calibri" w:cs="Calibri"/>
                <w:color w:val="000000"/>
                <w:sz w:val="18"/>
                <w:szCs w:val="18"/>
              </w:rPr>
              <w:t>In their Budget Applications, PAs will propose targets and/or set a date certain by which they will propose targets for all Equity segment metrics</w:t>
            </w:r>
            <w:r w:rsidR="007A7B24" w:rsidRPr="00BD080E">
              <w:rPr>
                <w:rFonts w:ascii="Calibri" w:hAnsi="Calibri" w:cs="Calibri"/>
                <w:color w:val="000000"/>
                <w:sz w:val="18"/>
                <w:szCs w:val="18"/>
              </w:rPr>
              <w:t xml:space="preserve"> </w:t>
            </w:r>
            <w:r w:rsidR="007A7B24" w:rsidRPr="00BD080E">
              <w:rPr>
                <w:rFonts w:ascii="Calibri" w:hAnsi="Calibri" w:cs="Calibri"/>
                <w:sz w:val="18"/>
                <w:szCs w:val="18"/>
              </w:rPr>
              <w:t>(</w:t>
            </w:r>
            <w:r w:rsidR="00BD080E" w:rsidRPr="007103C3">
              <w:rPr>
                <w:rFonts w:ascii="Calibri" w:hAnsi="Calibri" w:cs="Calibri"/>
                <w:b/>
                <w:bCs/>
                <w:sz w:val="18"/>
                <w:szCs w:val="18"/>
              </w:rPr>
              <w:t>12</w:t>
            </w:r>
            <w:r w:rsidR="007A7B24" w:rsidRPr="007103C3">
              <w:rPr>
                <w:rFonts w:ascii="Calibri" w:hAnsi="Calibri" w:cs="Calibri"/>
                <w:b/>
                <w:bCs/>
                <w:sz w:val="18"/>
                <w:szCs w:val="18"/>
              </w:rPr>
              <w:t xml:space="preserve"> first choice, </w:t>
            </w:r>
            <w:r w:rsidR="007103C3">
              <w:rPr>
                <w:rFonts w:ascii="Calibri" w:hAnsi="Calibri" w:cs="Calibri"/>
                <w:b/>
                <w:bCs/>
                <w:sz w:val="18"/>
                <w:szCs w:val="18"/>
              </w:rPr>
              <w:t>19</w:t>
            </w:r>
            <w:r w:rsidR="007A7B24" w:rsidRPr="007103C3">
              <w:rPr>
                <w:rFonts w:ascii="Calibri" w:hAnsi="Calibri" w:cs="Calibri"/>
                <w:b/>
                <w:bCs/>
                <w:sz w:val="18"/>
                <w:szCs w:val="18"/>
              </w:rPr>
              <w:t xml:space="preserve"> acceptable)</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411CD177" w14:textId="77777777" w:rsidR="001C60CE" w:rsidRPr="00724892" w:rsidRDefault="001C60CE"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Cal Advocates</w:t>
            </w:r>
          </w:p>
          <w:p w14:paraId="099C8FA3" w14:textId="77777777" w:rsidR="001C60CE" w:rsidRPr="00724892" w:rsidRDefault="001C60CE"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CodeCycle</w:t>
            </w:r>
          </w:p>
          <w:p w14:paraId="563F05AE" w14:textId="77777777" w:rsidR="001C60CE" w:rsidRPr="00724892" w:rsidRDefault="001C60CE"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CSE</w:t>
            </w:r>
          </w:p>
          <w:p w14:paraId="4AC9B728" w14:textId="77777777" w:rsidR="001C60CE" w:rsidRPr="00724892" w:rsidRDefault="001C60CE"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EEC</w:t>
            </w:r>
          </w:p>
          <w:p w14:paraId="3784564B" w14:textId="77777777" w:rsidR="001C60CE" w:rsidRPr="00724892" w:rsidRDefault="001C60CE"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High Sierra Energy Foundation</w:t>
            </w:r>
          </w:p>
          <w:p w14:paraId="6AEF5023" w14:textId="77777777" w:rsidR="001C60CE" w:rsidRPr="00724892" w:rsidRDefault="001C60CE"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NRDC</w:t>
            </w:r>
          </w:p>
          <w:p w14:paraId="79E24732" w14:textId="77777777" w:rsidR="001C60CE" w:rsidRPr="00724892" w:rsidRDefault="001C60CE"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Resource Innovations*</w:t>
            </w:r>
          </w:p>
          <w:p w14:paraId="78D24C5C" w14:textId="77777777" w:rsidR="001C60CE" w:rsidRPr="00724892" w:rsidRDefault="001C60CE"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Rising Sun Center for Opportunity</w:t>
            </w:r>
          </w:p>
          <w:p w14:paraId="36C867B9" w14:textId="77777777" w:rsidR="001C60CE" w:rsidRPr="00724892" w:rsidRDefault="001C60CE"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SBUA*</w:t>
            </w:r>
          </w:p>
          <w:p w14:paraId="413FF940" w14:textId="77777777" w:rsidR="001C60CE" w:rsidRPr="00724892" w:rsidRDefault="001C60CE"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SoCalREN*</w:t>
            </w:r>
          </w:p>
          <w:p w14:paraId="7D7AD123" w14:textId="77777777" w:rsidR="001C60CE" w:rsidRPr="00724892" w:rsidRDefault="001C60CE"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The Energy Coalition</w:t>
            </w:r>
          </w:p>
          <w:p w14:paraId="2E9177D4" w14:textId="46351531" w:rsidR="00402480" w:rsidRPr="00724892" w:rsidRDefault="001C60CE" w:rsidP="00724892">
            <w:pPr>
              <w:keepNext/>
              <w:keepLines/>
              <w:ind w:left="78"/>
              <w:rPr>
                <w:rFonts w:ascii="Calibri" w:hAnsi="Calibri" w:cs="Calibri"/>
                <w:color w:val="000000"/>
                <w:sz w:val="18"/>
                <w:szCs w:val="18"/>
              </w:rPr>
            </w:pPr>
            <w:r w:rsidRPr="00724892">
              <w:rPr>
                <w:rFonts w:ascii="Calibri" w:hAnsi="Calibri" w:cs="Calibri"/>
                <w:color w:val="000000"/>
                <w:sz w:val="18"/>
                <w:szCs w:val="18"/>
              </w:rPr>
              <w:t>TRC</w:t>
            </w:r>
          </w:p>
        </w:tc>
        <w:tc>
          <w:tcPr>
            <w:tcW w:w="3235" w:type="dxa"/>
            <w:tcBorders>
              <w:top w:val="single" w:sz="4" w:space="0" w:color="auto"/>
              <w:left w:val="single" w:sz="4" w:space="0" w:color="auto"/>
              <w:bottom w:val="single" w:sz="4" w:space="0" w:color="auto"/>
              <w:right w:val="single" w:sz="4" w:space="0" w:color="auto"/>
            </w:tcBorders>
            <w:shd w:val="clear" w:color="auto" w:fill="auto"/>
          </w:tcPr>
          <w:p w14:paraId="231565DA"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3C-REN</w:t>
            </w:r>
          </w:p>
          <w:p w14:paraId="06F12C73"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BayREN</w:t>
            </w:r>
          </w:p>
          <w:p w14:paraId="6D42D97E"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Cal Advocates</w:t>
            </w:r>
          </w:p>
          <w:p w14:paraId="389EACF0"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CEDMC</w:t>
            </w:r>
          </w:p>
          <w:p w14:paraId="3A5D37E6"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CodeCycle</w:t>
            </w:r>
          </w:p>
          <w:p w14:paraId="25363BB0"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CSE</w:t>
            </w:r>
          </w:p>
          <w:p w14:paraId="2C9C8D34"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EEC</w:t>
            </w:r>
          </w:p>
          <w:p w14:paraId="0CE1DB8F"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High Sierra Energy Foundation</w:t>
            </w:r>
          </w:p>
          <w:p w14:paraId="4FB0C45B"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MCE</w:t>
            </w:r>
          </w:p>
          <w:p w14:paraId="4B69B4DE"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NRDC</w:t>
            </w:r>
          </w:p>
          <w:p w14:paraId="314C9260"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Resource Innovations</w:t>
            </w:r>
          </w:p>
          <w:p w14:paraId="61982BAA"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Rising Sun Center for Opportunity</w:t>
            </w:r>
          </w:p>
          <w:p w14:paraId="25CFFAD7"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SBUA</w:t>
            </w:r>
          </w:p>
          <w:p w14:paraId="36D6DB07"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SCG</w:t>
            </w:r>
          </w:p>
          <w:p w14:paraId="6B9D7BF9"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Silent Running LLC</w:t>
            </w:r>
          </w:p>
          <w:p w14:paraId="13A9F6E5"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SoCalREN</w:t>
            </w:r>
          </w:p>
          <w:p w14:paraId="7A717758" w14:textId="77777777" w:rsidR="001C60C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The Energy Coalition</w:t>
            </w:r>
          </w:p>
          <w:p w14:paraId="4108584A" w14:textId="77777777" w:rsidR="00832E0E"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TRC</w:t>
            </w:r>
          </w:p>
          <w:p w14:paraId="1DAEC3D4" w14:textId="31D4853E" w:rsidR="00402480" w:rsidRPr="00724892" w:rsidRDefault="001C60CE" w:rsidP="00724892">
            <w:pPr>
              <w:keepNext/>
              <w:keepLines/>
              <w:ind w:left="158"/>
              <w:rPr>
                <w:rFonts w:ascii="Calibri" w:hAnsi="Calibri" w:cs="Calibri"/>
                <w:color w:val="000000"/>
                <w:sz w:val="18"/>
                <w:szCs w:val="18"/>
              </w:rPr>
            </w:pPr>
            <w:r w:rsidRPr="00724892">
              <w:rPr>
                <w:rFonts w:ascii="Calibri" w:hAnsi="Calibri" w:cs="Calibri"/>
                <w:color w:val="000000"/>
                <w:sz w:val="18"/>
                <w:szCs w:val="18"/>
              </w:rPr>
              <w:t>Viridis Consulting</w:t>
            </w:r>
          </w:p>
        </w:tc>
      </w:tr>
    </w:tbl>
    <w:p w14:paraId="3B1D89C9" w14:textId="77777777" w:rsidR="002A0BDB" w:rsidRPr="00BD1D99" w:rsidRDefault="002A0BDB" w:rsidP="00BD1D99">
      <w:pPr>
        <w:spacing w:line="276" w:lineRule="auto"/>
        <w:rPr>
          <w:rFonts w:ascii="Calibri" w:hAnsi="Calibri" w:cs="Calibri"/>
          <w:b/>
          <w:bCs/>
        </w:rPr>
      </w:pPr>
    </w:p>
    <w:p w14:paraId="4096D277" w14:textId="4EB08E27" w:rsidR="005C7E85" w:rsidRPr="00BD1D99" w:rsidRDefault="0037335B" w:rsidP="00BD1D99">
      <w:pPr>
        <w:pStyle w:val="Heading3"/>
        <w:spacing w:line="276" w:lineRule="auto"/>
        <w:rPr>
          <w:rFonts w:ascii="Calibri" w:hAnsi="Calibri" w:cs="Calibri"/>
          <w:u w:val="single"/>
        </w:rPr>
      </w:pPr>
      <w:bookmarkStart w:id="38" w:name="_Toc85613295"/>
      <w:r w:rsidRPr="00BD1D99">
        <w:rPr>
          <w:rFonts w:ascii="Calibri" w:hAnsi="Calibri" w:cs="Calibri"/>
          <w:u w:val="single"/>
        </w:rPr>
        <w:lastRenderedPageBreak/>
        <w:t xml:space="preserve">Principle #7: Community </w:t>
      </w:r>
      <w:r w:rsidR="00D6772A" w:rsidRPr="00BD1D99">
        <w:rPr>
          <w:rFonts w:ascii="Calibri" w:hAnsi="Calibri" w:cs="Calibri"/>
          <w:u w:val="single"/>
        </w:rPr>
        <w:t>E</w:t>
      </w:r>
      <w:r w:rsidRPr="00BD1D99">
        <w:rPr>
          <w:rFonts w:ascii="Calibri" w:hAnsi="Calibri" w:cs="Calibri"/>
          <w:u w:val="single"/>
        </w:rPr>
        <w:t>ngagement</w:t>
      </w:r>
      <w:bookmarkEnd w:id="38"/>
      <w:r w:rsidRPr="00BD1D99">
        <w:rPr>
          <w:rFonts w:ascii="Calibri" w:hAnsi="Calibri" w:cs="Calibri"/>
          <w:u w:val="single"/>
        </w:rPr>
        <w:t xml:space="preserve"> </w:t>
      </w:r>
    </w:p>
    <w:p w14:paraId="451E3DCB" w14:textId="669F1174" w:rsidR="009B7CF4" w:rsidRPr="00BD1D99" w:rsidRDefault="009B7CF4" w:rsidP="00BD1D99">
      <w:pPr>
        <w:spacing w:line="276" w:lineRule="auto"/>
        <w:rPr>
          <w:rFonts w:ascii="Calibri" w:hAnsi="Calibri" w:cs="Calibri"/>
        </w:rPr>
      </w:pPr>
      <w:r w:rsidRPr="00BD1D99">
        <w:rPr>
          <w:rFonts w:ascii="Calibri" w:hAnsi="Calibri" w:cs="Calibri"/>
        </w:rPr>
        <w:t>The EMWG members are divided on the approach to community engagement. The two option</w:t>
      </w:r>
      <w:r w:rsidR="00F5513F">
        <w:rPr>
          <w:rFonts w:ascii="Calibri" w:hAnsi="Calibri" w:cs="Calibri"/>
        </w:rPr>
        <w:t>s</w:t>
      </w:r>
      <w:r w:rsidRPr="00BD1D99">
        <w:rPr>
          <w:rFonts w:ascii="Calibri" w:hAnsi="Calibri" w:cs="Calibri"/>
        </w:rPr>
        <w:t xml:space="preserve"> are presented below</w:t>
      </w:r>
      <w:r w:rsidR="00F5513F">
        <w:rPr>
          <w:rFonts w:ascii="Calibri" w:hAnsi="Calibri" w:cs="Calibri"/>
        </w:rPr>
        <w:t xml:space="preserve"> with the </w:t>
      </w:r>
      <w:r w:rsidRPr="00BD1D99">
        <w:rPr>
          <w:rFonts w:ascii="Calibri" w:hAnsi="Calibri" w:cs="Calibri"/>
        </w:rPr>
        <w:t xml:space="preserve"> full rationales </w:t>
      </w:r>
      <w:r w:rsidR="00BD1D99">
        <w:rPr>
          <w:rFonts w:ascii="Calibri" w:hAnsi="Calibri" w:cs="Calibri"/>
        </w:rPr>
        <w:t xml:space="preserve">and summary table of EMWG Member preferences </w:t>
      </w:r>
      <w:r w:rsidRPr="00BD1D99">
        <w:rPr>
          <w:rFonts w:ascii="Calibri" w:hAnsi="Calibri" w:cs="Calibri"/>
        </w:rPr>
        <w:t xml:space="preserve">are provided in Appendix </w:t>
      </w:r>
      <w:r w:rsidR="00BD1D99">
        <w:rPr>
          <w:rFonts w:ascii="Calibri" w:hAnsi="Calibri" w:cs="Calibri"/>
        </w:rPr>
        <w:t>B.</w:t>
      </w:r>
    </w:p>
    <w:p w14:paraId="34355E2D" w14:textId="77777777" w:rsidR="009B7CF4" w:rsidRPr="00BD1D99" w:rsidRDefault="009B7CF4" w:rsidP="00BD1D99">
      <w:pPr>
        <w:spacing w:line="276" w:lineRule="auto"/>
        <w:rPr>
          <w:rFonts w:ascii="Calibri" w:hAnsi="Calibri" w:cs="Calibri"/>
        </w:rPr>
      </w:pPr>
    </w:p>
    <w:p w14:paraId="7E6ABE7C" w14:textId="77777777" w:rsidR="009B7CF4" w:rsidRPr="00BD1D99" w:rsidRDefault="009B7CF4" w:rsidP="00BD1D99">
      <w:pPr>
        <w:spacing w:line="276" w:lineRule="auto"/>
        <w:rPr>
          <w:rFonts w:ascii="Calibri" w:hAnsi="Calibri" w:cs="Calibri"/>
          <w:b/>
          <w:bCs/>
        </w:rPr>
      </w:pPr>
      <w:r w:rsidRPr="00BD1D99">
        <w:rPr>
          <w:rFonts w:ascii="Calibri" w:hAnsi="Calibri" w:cs="Calibri"/>
          <w:b/>
          <w:bCs/>
        </w:rPr>
        <w:t>Option 1: Community engagement as an Indicator</w:t>
      </w:r>
    </w:p>
    <w:p w14:paraId="601A8897" w14:textId="77777777" w:rsidR="009B7CF4" w:rsidRPr="00BD1D99" w:rsidRDefault="009B7CF4" w:rsidP="00BD1D99">
      <w:pPr>
        <w:spacing w:line="276" w:lineRule="auto"/>
        <w:rPr>
          <w:rFonts w:ascii="Calibri" w:hAnsi="Calibri" w:cs="Calibri"/>
          <w:b/>
          <w:bCs/>
        </w:rPr>
      </w:pPr>
    </w:p>
    <w:p w14:paraId="74F6F845" w14:textId="7F6D8214" w:rsidR="009B7CF4" w:rsidRPr="00BD1D99" w:rsidRDefault="009B7CF4" w:rsidP="00BD1D99">
      <w:pPr>
        <w:spacing w:line="276" w:lineRule="auto"/>
        <w:rPr>
          <w:rFonts w:ascii="Calibri" w:hAnsi="Calibri" w:cs="Calibri"/>
          <w:b/>
          <w:bCs/>
        </w:rPr>
      </w:pPr>
      <w:r w:rsidRPr="00BD1D99">
        <w:rPr>
          <w:rFonts w:ascii="Calibri" w:hAnsi="Calibri" w:cs="Calibri"/>
          <w:b/>
          <w:bCs/>
        </w:rPr>
        <w:t xml:space="preserve">Option 2: Community engagement as a </w:t>
      </w:r>
      <w:r w:rsidR="00F5513F">
        <w:rPr>
          <w:rFonts w:ascii="Calibri" w:hAnsi="Calibri" w:cs="Calibri"/>
          <w:b/>
          <w:bCs/>
        </w:rPr>
        <w:t>P</w:t>
      </w:r>
      <w:r w:rsidRPr="00BD1D99">
        <w:rPr>
          <w:rFonts w:ascii="Calibri" w:hAnsi="Calibri" w:cs="Calibri"/>
          <w:b/>
          <w:bCs/>
        </w:rPr>
        <w:t>rinciple</w:t>
      </w:r>
    </w:p>
    <w:p w14:paraId="14E7E584" w14:textId="77777777" w:rsidR="009B7CF4" w:rsidRPr="00BD1D99" w:rsidRDefault="009B7CF4" w:rsidP="00BD1D99">
      <w:pPr>
        <w:spacing w:line="276" w:lineRule="auto"/>
        <w:rPr>
          <w:rFonts w:ascii="Calibri" w:hAnsi="Calibri" w:cs="Calibri"/>
        </w:rPr>
      </w:pPr>
    </w:p>
    <w:p w14:paraId="626521B4" w14:textId="77777777" w:rsidR="00C95C44" w:rsidRPr="00BD1D99" w:rsidRDefault="00C95C44" w:rsidP="00BD1D99">
      <w:pPr>
        <w:spacing w:line="276" w:lineRule="auto"/>
        <w:rPr>
          <w:rFonts w:ascii="Calibri" w:eastAsiaTheme="majorEastAsia" w:hAnsi="Calibri" w:cs="Calibri"/>
          <w:color w:val="2F5496" w:themeColor="accent1" w:themeShade="BF"/>
          <w:sz w:val="32"/>
          <w:szCs w:val="32"/>
          <w:highlight w:val="cyan"/>
        </w:rPr>
      </w:pPr>
      <w:r w:rsidRPr="00BD1D99">
        <w:rPr>
          <w:rFonts w:ascii="Calibri" w:hAnsi="Calibri" w:cs="Calibri"/>
          <w:highlight w:val="cyan"/>
        </w:rPr>
        <w:br w:type="page"/>
      </w:r>
    </w:p>
    <w:p w14:paraId="3EC5A350" w14:textId="75E3F17B" w:rsidR="007848A7" w:rsidRPr="00BD1D99" w:rsidRDefault="007848A7" w:rsidP="00BD1D99">
      <w:pPr>
        <w:pStyle w:val="Heading1"/>
        <w:spacing w:line="276" w:lineRule="auto"/>
        <w:rPr>
          <w:rFonts w:ascii="Calibri" w:hAnsi="Calibri" w:cs="Calibri"/>
        </w:rPr>
      </w:pPr>
      <w:bookmarkStart w:id="39" w:name="_Toc85613296"/>
      <w:r w:rsidRPr="00BD1D99">
        <w:rPr>
          <w:rFonts w:ascii="Calibri" w:hAnsi="Calibri" w:cs="Calibri"/>
        </w:rPr>
        <w:t xml:space="preserve">Section </w:t>
      </w:r>
      <w:r w:rsidR="00667F73" w:rsidRPr="00BD1D99">
        <w:rPr>
          <w:rFonts w:ascii="Calibri" w:hAnsi="Calibri" w:cs="Calibri"/>
        </w:rPr>
        <w:t>3</w:t>
      </w:r>
      <w:r w:rsidRPr="00BD1D99">
        <w:rPr>
          <w:rFonts w:ascii="Calibri" w:hAnsi="Calibri" w:cs="Calibri"/>
        </w:rPr>
        <w:t>: Objective</w:t>
      </w:r>
      <w:bookmarkEnd w:id="39"/>
      <w:r w:rsidR="00E276E9" w:rsidRPr="00BD1D99">
        <w:rPr>
          <w:rFonts w:ascii="Calibri" w:hAnsi="Calibri" w:cs="Calibri"/>
        </w:rPr>
        <w:t xml:space="preserve"> </w:t>
      </w:r>
    </w:p>
    <w:p w14:paraId="6955F738" w14:textId="2A09BC17" w:rsidR="007848A7" w:rsidRPr="00BD1D99" w:rsidRDefault="00667F73" w:rsidP="00BD1D99">
      <w:pPr>
        <w:pStyle w:val="Heading2"/>
      </w:pPr>
      <w:bookmarkStart w:id="40" w:name="_Toc85613297"/>
      <w:r w:rsidRPr="00BD1D99">
        <w:t>3</w:t>
      </w:r>
      <w:r w:rsidR="007848A7" w:rsidRPr="00BD1D99">
        <w:t>.1 Background</w:t>
      </w:r>
      <w:bookmarkEnd w:id="40"/>
    </w:p>
    <w:p w14:paraId="6BE5D24D" w14:textId="772F1265" w:rsidR="002F6218" w:rsidRPr="00BD1D99" w:rsidRDefault="002F6218" w:rsidP="00BD1D99">
      <w:pPr>
        <w:spacing w:line="276" w:lineRule="auto"/>
        <w:rPr>
          <w:rFonts w:ascii="Calibri" w:hAnsi="Calibri" w:cs="Calibri"/>
        </w:rPr>
      </w:pPr>
      <w:r w:rsidRPr="00BD1D99">
        <w:rPr>
          <w:rFonts w:ascii="Calibri" w:hAnsi="Calibri" w:cs="Calibri"/>
        </w:rPr>
        <w:t xml:space="preserve">CPUC Decision 21-05-031 defines the </w:t>
      </w:r>
      <w:r w:rsidR="00057EBB" w:rsidRPr="00BD1D99">
        <w:rPr>
          <w:rFonts w:ascii="Calibri" w:hAnsi="Calibri" w:cs="Calibri"/>
        </w:rPr>
        <w:t>Equity</w:t>
      </w:r>
      <w:r w:rsidRPr="00BD1D99">
        <w:rPr>
          <w:rFonts w:ascii="Calibri" w:hAnsi="Calibri" w:cs="Calibri"/>
        </w:rPr>
        <w:t xml:space="preserve"> segment as “</w:t>
      </w:r>
      <w:r w:rsidR="00057EBB" w:rsidRPr="00BD1D99">
        <w:rPr>
          <w:rFonts w:ascii="Calibri" w:hAnsi="Calibri" w:cs="Calibri"/>
        </w:rPr>
        <w:t xml:space="preserve">programs with a </w:t>
      </w:r>
      <w:r w:rsidR="00057EBB" w:rsidRPr="00BD1D99">
        <w:rPr>
          <w:rFonts w:ascii="Calibri" w:hAnsi="Calibri" w:cs="Calibri"/>
          <w:i/>
          <w:iCs/>
        </w:rPr>
        <w:t>primary purpose of providing energy efficiency to hard-to-reach or underserved customers and disadvantaged communities in advancement of the Commission’s Environmental and Social Justice (ESJ) Action Plan. Improving access to energy efficiency for ESJ communities, as defined in the ESJ Action Plan, may provide corollary benefits such as increased comfort and safety, improved air quality, and more affordable utility bills, consistent with Goals 1, 2, and 5 in the ESJ Action Plan</w:t>
      </w:r>
      <w:r w:rsidR="00870FC3" w:rsidRPr="00BD1D99">
        <w:rPr>
          <w:rFonts w:ascii="Calibri" w:hAnsi="Calibri" w:cs="Calibri"/>
          <w:i/>
          <w:iCs/>
        </w:rPr>
        <w:t>.</w:t>
      </w:r>
      <w:r w:rsidR="00057EBB" w:rsidRPr="00BD1D99">
        <w:rPr>
          <w:rFonts w:ascii="Calibri" w:hAnsi="Calibri" w:cs="Calibri"/>
        </w:rPr>
        <w:t>”</w:t>
      </w:r>
      <w:r w:rsidR="00057EBB" w:rsidRPr="00BD1D99">
        <w:rPr>
          <w:rStyle w:val="FootnoteReference"/>
          <w:rFonts w:ascii="Calibri" w:hAnsi="Calibri" w:cs="Calibri"/>
        </w:rPr>
        <w:footnoteReference w:id="9"/>
      </w:r>
    </w:p>
    <w:p w14:paraId="0F72829B" w14:textId="370923D0" w:rsidR="002F6218" w:rsidRPr="00BD1D99" w:rsidRDefault="002F6218" w:rsidP="00BD1D99">
      <w:pPr>
        <w:spacing w:line="276" w:lineRule="auto"/>
        <w:rPr>
          <w:rFonts w:ascii="Calibri" w:hAnsi="Calibri" w:cs="Calibri"/>
        </w:rPr>
      </w:pPr>
    </w:p>
    <w:p w14:paraId="74AFC28B" w14:textId="360F382E" w:rsidR="002F6218" w:rsidRPr="00BD1D99" w:rsidRDefault="002F6218" w:rsidP="00BD1D99">
      <w:pPr>
        <w:spacing w:line="276" w:lineRule="auto"/>
        <w:rPr>
          <w:rFonts w:ascii="Calibri" w:hAnsi="Calibri" w:cs="Calibri"/>
        </w:rPr>
      </w:pPr>
      <w:r w:rsidRPr="00BD1D99">
        <w:rPr>
          <w:rFonts w:ascii="Calibri" w:hAnsi="Calibri" w:cs="Calibri"/>
        </w:rPr>
        <w:t xml:space="preserve">The </w:t>
      </w:r>
      <w:r w:rsidR="009A52BF" w:rsidRPr="00BD1D99">
        <w:rPr>
          <w:rFonts w:ascii="Calibri" w:hAnsi="Calibri" w:cs="Calibri"/>
        </w:rPr>
        <w:t>EM</w:t>
      </w:r>
      <w:r w:rsidRPr="00BD1D99">
        <w:rPr>
          <w:rFonts w:ascii="Calibri" w:hAnsi="Calibri" w:cs="Calibri"/>
        </w:rPr>
        <w:t>WG used this language as a foundation for developing a</w:t>
      </w:r>
      <w:r w:rsidR="00057EBB" w:rsidRPr="00BD1D99">
        <w:rPr>
          <w:rFonts w:ascii="Calibri" w:hAnsi="Calibri" w:cs="Calibri"/>
        </w:rPr>
        <w:t xml:space="preserve">n </w:t>
      </w:r>
      <w:r w:rsidRPr="00BD1D99">
        <w:rPr>
          <w:rFonts w:ascii="Calibri" w:hAnsi="Calibri" w:cs="Calibri"/>
        </w:rPr>
        <w:t>Objective</w:t>
      </w:r>
      <w:r w:rsidR="00057EBB" w:rsidRPr="00BD1D99">
        <w:rPr>
          <w:rFonts w:ascii="Calibri" w:hAnsi="Calibri" w:cs="Calibri"/>
        </w:rPr>
        <w:t xml:space="preserve"> </w:t>
      </w:r>
      <w:r w:rsidRPr="00BD1D99">
        <w:rPr>
          <w:rFonts w:ascii="Calibri" w:hAnsi="Calibri" w:cs="Calibri"/>
        </w:rPr>
        <w:t>that capture</w:t>
      </w:r>
      <w:r w:rsidR="00057EBB" w:rsidRPr="00BD1D99">
        <w:rPr>
          <w:rFonts w:ascii="Calibri" w:hAnsi="Calibri" w:cs="Calibri"/>
        </w:rPr>
        <w:t>s</w:t>
      </w:r>
      <w:r w:rsidRPr="00BD1D99">
        <w:rPr>
          <w:rFonts w:ascii="Calibri" w:hAnsi="Calibri" w:cs="Calibri"/>
        </w:rPr>
        <w:t xml:space="preserve"> the key activities </w:t>
      </w:r>
      <w:r w:rsidR="00057EBB" w:rsidRPr="00BD1D99">
        <w:rPr>
          <w:rFonts w:ascii="Calibri" w:hAnsi="Calibri" w:cs="Calibri"/>
        </w:rPr>
        <w:t xml:space="preserve">and purposes </w:t>
      </w:r>
      <w:r w:rsidRPr="00BD1D99">
        <w:rPr>
          <w:rFonts w:ascii="Calibri" w:hAnsi="Calibri" w:cs="Calibri"/>
        </w:rPr>
        <w:t xml:space="preserve">the </w:t>
      </w:r>
      <w:r w:rsidR="00057EBB" w:rsidRPr="00BD1D99">
        <w:rPr>
          <w:rFonts w:ascii="Calibri" w:hAnsi="Calibri" w:cs="Calibri"/>
        </w:rPr>
        <w:t>Equity</w:t>
      </w:r>
      <w:r w:rsidRPr="00BD1D99">
        <w:rPr>
          <w:rFonts w:ascii="Calibri" w:hAnsi="Calibri" w:cs="Calibri"/>
        </w:rPr>
        <w:t xml:space="preserve"> segment</w:t>
      </w:r>
      <w:r w:rsidR="001760A2" w:rsidRPr="00BD1D99">
        <w:rPr>
          <w:rFonts w:ascii="Calibri" w:hAnsi="Calibri" w:cs="Calibri"/>
        </w:rPr>
        <w:t xml:space="preserve"> is intended to support</w:t>
      </w:r>
      <w:r w:rsidRPr="00BD1D99">
        <w:rPr>
          <w:rFonts w:ascii="Calibri" w:hAnsi="Calibri" w:cs="Calibri"/>
        </w:rPr>
        <w:t>.</w:t>
      </w:r>
    </w:p>
    <w:p w14:paraId="4E40175E" w14:textId="77777777" w:rsidR="00BF481D" w:rsidRPr="00BD1D99" w:rsidRDefault="00BF481D" w:rsidP="00BD1D99">
      <w:pPr>
        <w:spacing w:line="276" w:lineRule="auto"/>
        <w:rPr>
          <w:rFonts w:ascii="Calibri" w:hAnsi="Calibri" w:cs="Calibri"/>
        </w:rPr>
      </w:pPr>
    </w:p>
    <w:p w14:paraId="17AC65DB" w14:textId="4F23E645" w:rsidR="007848A7" w:rsidRPr="00BD1D99" w:rsidRDefault="00667F73" w:rsidP="00BD1D99">
      <w:pPr>
        <w:pStyle w:val="Heading2"/>
      </w:pPr>
      <w:bookmarkStart w:id="41" w:name="_Toc85613298"/>
      <w:r w:rsidRPr="00BD1D99">
        <w:t>3</w:t>
      </w:r>
      <w:r w:rsidR="007848A7" w:rsidRPr="00BD1D99">
        <w:t xml:space="preserve">.2 </w:t>
      </w:r>
      <w:r w:rsidR="00893E5C" w:rsidRPr="00BD1D99">
        <w:t xml:space="preserve">Primary </w:t>
      </w:r>
      <w:r w:rsidR="00B66AE7" w:rsidRPr="00BD1D99">
        <w:t>Objectiv</w:t>
      </w:r>
      <w:r w:rsidR="00893E5C" w:rsidRPr="00BD1D99">
        <w:t>e</w:t>
      </w:r>
      <w:r w:rsidR="00B66AE7" w:rsidRPr="00BD1D99">
        <w:t xml:space="preserve"> </w:t>
      </w:r>
      <w:r w:rsidR="007848A7" w:rsidRPr="00BD1D99">
        <w:t>Recommendation</w:t>
      </w:r>
      <w:bookmarkEnd w:id="41"/>
    </w:p>
    <w:p w14:paraId="7FAB8E7D" w14:textId="718B4359" w:rsidR="00146F22" w:rsidRPr="00BD1D99" w:rsidRDefault="00893E5C" w:rsidP="00BD1D99">
      <w:pPr>
        <w:spacing w:line="276" w:lineRule="auto"/>
        <w:rPr>
          <w:rFonts w:ascii="Calibri" w:hAnsi="Calibri" w:cs="Calibri"/>
        </w:rPr>
      </w:pPr>
      <w:r w:rsidRPr="00BD1D99">
        <w:rPr>
          <w:rFonts w:ascii="Calibri" w:hAnsi="Calibri" w:cs="Calibri"/>
        </w:rPr>
        <w:t xml:space="preserve">The </w:t>
      </w:r>
      <w:r w:rsidR="009A52BF" w:rsidRPr="00BD1D99">
        <w:rPr>
          <w:rFonts w:ascii="Calibri" w:hAnsi="Calibri" w:cs="Calibri"/>
        </w:rPr>
        <w:t>EM</w:t>
      </w:r>
      <w:r w:rsidRPr="00BD1D99">
        <w:rPr>
          <w:rFonts w:ascii="Calibri" w:hAnsi="Calibri" w:cs="Calibri"/>
        </w:rPr>
        <w:t>WG recommends</w:t>
      </w:r>
      <w:r w:rsidR="00582E9A" w:rsidRPr="00BD1D99">
        <w:rPr>
          <w:rFonts w:ascii="Calibri" w:hAnsi="Calibri" w:cs="Calibri"/>
        </w:rPr>
        <w:t xml:space="preserve"> </w:t>
      </w:r>
      <w:r w:rsidRPr="00BD1D99">
        <w:rPr>
          <w:rFonts w:ascii="Calibri" w:hAnsi="Calibri" w:cs="Calibri"/>
        </w:rPr>
        <w:t xml:space="preserve">the following primary Objective for the </w:t>
      </w:r>
      <w:r w:rsidR="00057EBB" w:rsidRPr="00BD1D99">
        <w:rPr>
          <w:rFonts w:ascii="Calibri" w:hAnsi="Calibri" w:cs="Calibri"/>
        </w:rPr>
        <w:t>Equity</w:t>
      </w:r>
      <w:r w:rsidRPr="00BD1D99">
        <w:rPr>
          <w:rFonts w:ascii="Calibri" w:hAnsi="Calibri" w:cs="Calibri"/>
        </w:rPr>
        <w:t xml:space="preserve"> segment</w:t>
      </w:r>
      <w:r w:rsidR="002F6218" w:rsidRPr="00BD1D99">
        <w:rPr>
          <w:rFonts w:ascii="Calibri" w:hAnsi="Calibri" w:cs="Calibri"/>
        </w:rPr>
        <w:t xml:space="preserve">: </w:t>
      </w:r>
    </w:p>
    <w:p w14:paraId="2A50E447" w14:textId="12451BA1" w:rsidR="00893E5C" w:rsidRPr="00BD1D99" w:rsidRDefault="00893E5C" w:rsidP="00BD1D99">
      <w:pPr>
        <w:spacing w:line="276" w:lineRule="auto"/>
        <w:rPr>
          <w:rFonts w:ascii="Calibri" w:hAnsi="Calibri" w:cs="Calibri"/>
        </w:rPr>
      </w:pPr>
    </w:p>
    <w:p w14:paraId="1D27115E" w14:textId="425FF599" w:rsidR="00C515F7" w:rsidRPr="00BD1D99" w:rsidRDefault="00C515F7" w:rsidP="00BD1D99">
      <w:pPr>
        <w:widowControl w:val="0"/>
        <w:autoSpaceDE w:val="0"/>
        <w:autoSpaceDN w:val="0"/>
        <w:adjustRightInd w:val="0"/>
        <w:spacing w:before="10" w:after="10" w:line="276" w:lineRule="auto"/>
        <w:rPr>
          <w:rFonts w:ascii="Calibri" w:hAnsi="Calibri" w:cs="Calibri"/>
          <w:b/>
          <w:bCs/>
          <w:color w:val="000000"/>
        </w:rPr>
      </w:pPr>
      <w:r w:rsidRPr="00BD1D99">
        <w:rPr>
          <w:rFonts w:ascii="Calibri" w:hAnsi="Calibri" w:cs="Calibri"/>
          <w:b/>
          <w:bCs/>
          <w:color w:val="000000"/>
        </w:rPr>
        <w:t>For hard-to-reach, disadvantaged, and/or underserved individuals, households, businesses, and communities: address disparities in access to energy efficiency programs and workforce opportunitie</w:t>
      </w:r>
      <w:r w:rsidR="00090954" w:rsidRPr="00BD1D99">
        <w:rPr>
          <w:rFonts w:ascii="Calibri" w:hAnsi="Calibri" w:cs="Calibri"/>
          <w:b/>
          <w:bCs/>
          <w:color w:val="000000"/>
        </w:rPr>
        <w:t>s*</w:t>
      </w:r>
      <w:r w:rsidRPr="00BD1D99">
        <w:rPr>
          <w:rFonts w:ascii="Calibri" w:hAnsi="Calibri" w:cs="Calibri"/>
          <w:b/>
          <w:bCs/>
          <w:color w:val="000000"/>
        </w:rPr>
        <w:t>; promote</w:t>
      </w:r>
      <w:r w:rsidR="0028228A" w:rsidRPr="00BD1D99">
        <w:rPr>
          <w:rFonts w:ascii="Calibri" w:hAnsi="Calibri" w:cs="Calibri"/>
          <w:b/>
          <w:bCs/>
          <w:color w:val="000000"/>
        </w:rPr>
        <w:t xml:space="preserve"> </w:t>
      </w:r>
      <w:r w:rsidRPr="00BD1D99">
        <w:rPr>
          <w:rFonts w:ascii="Calibri" w:hAnsi="Calibri" w:cs="Calibri"/>
          <w:b/>
          <w:bCs/>
          <w:color w:val="000000"/>
        </w:rPr>
        <w:t xml:space="preserve">resilience, health, comfort, safety, </w:t>
      </w:r>
      <w:r w:rsidR="00234AF6" w:rsidRPr="00BD1D99">
        <w:rPr>
          <w:rFonts w:ascii="Calibri" w:hAnsi="Calibri" w:cs="Calibri"/>
          <w:b/>
          <w:bCs/>
          <w:color w:val="000000"/>
        </w:rPr>
        <w:t>energy affordability</w:t>
      </w:r>
      <w:r w:rsidR="009F3FDF" w:rsidRPr="00BD1D99">
        <w:rPr>
          <w:rFonts w:ascii="Calibri" w:hAnsi="Calibri" w:cs="Calibri"/>
          <w:b/>
          <w:bCs/>
          <w:color w:val="000000"/>
        </w:rPr>
        <w:t>**</w:t>
      </w:r>
      <w:r w:rsidR="00234AF6" w:rsidRPr="00BD1D99">
        <w:rPr>
          <w:rFonts w:ascii="Calibri" w:hAnsi="Calibri" w:cs="Calibri"/>
          <w:b/>
          <w:bCs/>
          <w:color w:val="000000"/>
        </w:rPr>
        <w:t xml:space="preserve">, </w:t>
      </w:r>
      <w:r w:rsidRPr="00BD1D99">
        <w:rPr>
          <w:rFonts w:ascii="Calibri" w:hAnsi="Calibri" w:cs="Calibri"/>
          <w:b/>
          <w:bCs/>
          <w:color w:val="000000"/>
        </w:rPr>
        <w:t>and/or energy savings; and reduce energy-related greenhouse gas and criteria pollutant emissions</w:t>
      </w:r>
      <w:r w:rsidR="0075304F" w:rsidRPr="00BD1D99">
        <w:rPr>
          <w:rFonts w:ascii="Calibri" w:hAnsi="Calibri" w:cs="Calibri"/>
          <w:b/>
          <w:bCs/>
          <w:color w:val="000000"/>
        </w:rPr>
        <w:t>*</w:t>
      </w:r>
      <w:r w:rsidR="00600CFC">
        <w:rPr>
          <w:rFonts w:ascii="Calibri" w:hAnsi="Calibri" w:cs="Calibri"/>
          <w:b/>
          <w:bCs/>
          <w:color w:val="000000"/>
        </w:rPr>
        <w:t>*</w:t>
      </w:r>
      <w:r w:rsidR="0075304F" w:rsidRPr="00BD1D99">
        <w:rPr>
          <w:rFonts w:ascii="Calibri" w:hAnsi="Calibri" w:cs="Calibri"/>
          <w:b/>
          <w:bCs/>
          <w:color w:val="000000"/>
        </w:rPr>
        <w:t>*</w:t>
      </w:r>
      <w:r w:rsidR="009F3FDF" w:rsidRPr="00BD1D99">
        <w:rPr>
          <w:rFonts w:ascii="Calibri" w:hAnsi="Calibri" w:cs="Calibri"/>
          <w:b/>
          <w:bCs/>
          <w:color w:val="000000"/>
        </w:rPr>
        <w:t>.</w:t>
      </w:r>
    </w:p>
    <w:p w14:paraId="7E1FE2D8" w14:textId="77777777" w:rsidR="0089658C" w:rsidRPr="00BD1D99" w:rsidRDefault="0089658C" w:rsidP="00BD1D99">
      <w:pPr>
        <w:widowControl w:val="0"/>
        <w:autoSpaceDE w:val="0"/>
        <w:autoSpaceDN w:val="0"/>
        <w:adjustRightInd w:val="0"/>
        <w:spacing w:before="10" w:after="10" w:line="276" w:lineRule="auto"/>
        <w:rPr>
          <w:rFonts w:ascii="Calibri" w:hAnsi="Calibri" w:cs="Calibri"/>
          <w:color w:val="000000"/>
        </w:rPr>
      </w:pPr>
    </w:p>
    <w:p w14:paraId="486CB606" w14:textId="36B4C841" w:rsidR="0075304F" w:rsidRPr="00BD1D99" w:rsidRDefault="00C515F7" w:rsidP="00BD1D99">
      <w:pPr>
        <w:spacing w:line="276" w:lineRule="auto"/>
        <w:rPr>
          <w:rFonts w:ascii="Calibri" w:hAnsi="Calibri" w:cs="Calibri"/>
          <w:i/>
          <w:iCs/>
        </w:rPr>
      </w:pPr>
      <w:r w:rsidRPr="00BD1D99">
        <w:rPr>
          <w:rFonts w:ascii="Calibri" w:hAnsi="Calibri" w:cs="Calibri"/>
          <w:i/>
          <w:iCs/>
        </w:rPr>
        <w:t xml:space="preserve">* </w:t>
      </w:r>
      <w:r w:rsidR="0075304F" w:rsidRPr="00BD1D99">
        <w:rPr>
          <w:rFonts w:ascii="Calibri" w:hAnsi="Calibri" w:cs="Calibri"/>
          <w:i/>
          <w:iCs/>
        </w:rPr>
        <w:t>T</w:t>
      </w:r>
      <w:r w:rsidR="00FC2F00" w:rsidRPr="00BD1D99">
        <w:rPr>
          <w:rFonts w:ascii="Calibri" w:hAnsi="Calibri" w:cs="Calibri"/>
          <w:i/>
          <w:iCs/>
        </w:rPr>
        <w:t>he term “</w:t>
      </w:r>
      <w:r w:rsidRPr="00BD1D99">
        <w:rPr>
          <w:rFonts w:ascii="Calibri" w:hAnsi="Calibri" w:cs="Calibri"/>
          <w:i/>
          <w:iCs/>
        </w:rPr>
        <w:t>workforce opportunities</w:t>
      </w:r>
      <w:r w:rsidR="00FC2F00" w:rsidRPr="00BD1D99">
        <w:rPr>
          <w:rFonts w:ascii="Calibri" w:hAnsi="Calibri" w:cs="Calibri"/>
          <w:i/>
          <w:iCs/>
        </w:rPr>
        <w:t>”</w:t>
      </w:r>
      <w:r w:rsidR="001F56D2" w:rsidRPr="00BD1D99">
        <w:rPr>
          <w:rFonts w:ascii="Calibri" w:hAnsi="Calibri" w:cs="Calibri"/>
          <w:i/>
          <w:iCs/>
        </w:rPr>
        <w:t xml:space="preserve"> </w:t>
      </w:r>
      <w:r w:rsidR="00FC2F00" w:rsidRPr="00BD1D99">
        <w:rPr>
          <w:rFonts w:ascii="Calibri" w:hAnsi="Calibri" w:cs="Calibri"/>
          <w:i/>
          <w:iCs/>
        </w:rPr>
        <w:t xml:space="preserve">includes, but is not limited to, </w:t>
      </w:r>
      <w:r w:rsidR="00B80B58" w:rsidRPr="00BD1D99">
        <w:rPr>
          <w:rFonts w:ascii="Calibri" w:hAnsi="Calibri" w:cs="Calibri"/>
          <w:i/>
          <w:iCs/>
        </w:rPr>
        <w:t xml:space="preserve">the </w:t>
      </w:r>
      <w:r w:rsidR="004A1EBC" w:rsidRPr="00BD1D99">
        <w:rPr>
          <w:rFonts w:ascii="Calibri" w:hAnsi="Calibri" w:cs="Calibri"/>
          <w:i/>
          <w:iCs/>
        </w:rPr>
        <w:t xml:space="preserve">energy efficiency </w:t>
      </w:r>
      <w:r w:rsidR="00B80B58" w:rsidRPr="00BD1D99">
        <w:rPr>
          <w:rFonts w:ascii="Calibri" w:hAnsi="Calibri" w:cs="Calibri"/>
          <w:i/>
          <w:iCs/>
        </w:rPr>
        <w:t xml:space="preserve">supply chain, companies/non-profits that deliver efficiency services, as well as the workers who </w:t>
      </w:r>
      <w:r w:rsidR="00FC2F00" w:rsidRPr="00BD1D99">
        <w:rPr>
          <w:rFonts w:ascii="Calibri" w:hAnsi="Calibri" w:cs="Calibri"/>
          <w:i/>
          <w:iCs/>
        </w:rPr>
        <w:t>implement the work</w:t>
      </w:r>
      <w:r w:rsidR="004A1EBC" w:rsidRPr="00BD1D99">
        <w:rPr>
          <w:rFonts w:ascii="Calibri" w:hAnsi="Calibri" w:cs="Calibri"/>
          <w:i/>
          <w:iCs/>
        </w:rPr>
        <w:t xml:space="preserve"> </w:t>
      </w:r>
      <w:r w:rsidR="004A1EBC" w:rsidRPr="00BD1D99">
        <w:rPr>
          <w:rFonts w:ascii="Calibri" w:hAnsi="Calibri" w:cs="Calibri"/>
          <w:b/>
          <w:bCs/>
          <w:i/>
          <w:iCs/>
        </w:rPr>
        <w:t>within equity segment</w:t>
      </w:r>
      <w:r w:rsidR="00E71028" w:rsidRPr="00BD1D99">
        <w:rPr>
          <w:rFonts w:ascii="Calibri" w:hAnsi="Calibri" w:cs="Calibri"/>
          <w:b/>
          <w:bCs/>
          <w:i/>
          <w:iCs/>
        </w:rPr>
        <w:t xml:space="preserve"> programs</w:t>
      </w:r>
      <w:r w:rsidR="00FC2F00" w:rsidRPr="00BD1D99">
        <w:rPr>
          <w:rFonts w:ascii="Calibri" w:hAnsi="Calibri" w:cs="Calibri"/>
          <w:i/>
          <w:iCs/>
        </w:rPr>
        <w:t xml:space="preserve">. </w:t>
      </w:r>
      <w:r w:rsidR="0089658C" w:rsidRPr="00BD1D99">
        <w:rPr>
          <w:rFonts w:ascii="Calibri" w:hAnsi="Calibri" w:cs="Calibri"/>
          <w:i/>
          <w:iCs/>
        </w:rPr>
        <w:t xml:space="preserve">This language does not presume that PAs must create programs to </w:t>
      </w:r>
      <w:r w:rsidR="009124D5" w:rsidRPr="00BD1D99">
        <w:rPr>
          <w:rFonts w:ascii="Calibri" w:hAnsi="Calibri" w:cs="Calibri"/>
          <w:i/>
          <w:iCs/>
        </w:rPr>
        <w:t>address all or some of the items listed</w:t>
      </w:r>
      <w:r w:rsidR="00881C59" w:rsidRPr="00BD1D99">
        <w:rPr>
          <w:rFonts w:ascii="Calibri" w:hAnsi="Calibri" w:cs="Calibri"/>
          <w:i/>
          <w:iCs/>
        </w:rPr>
        <w:t xml:space="preserve"> here</w:t>
      </w:r>
      <w:r w:rsidR="00A729D0" w:rsidRPr="00BD1D99">
        <w:rPr>
          <w:rFonts w:ascii="Calibri" w:hAnsi="Calibri" w:cs="Calibri"/>
          <w:i/>
          <w:iCs/>
        </w:rPr>
        <w:t>,</w:t>
      </w:r>
      <w:r w:rsidR="0089658C" w:rsidRPr="00BD1D99">
        <w:rPr>
          <w:rFonts w:ascii="Calibri" w:hAnsi="Calibri" w:cs="Calibri"/>
          <w:i/>
          <w:iCs/>
        </w:rPr>
        <w:t xml:space="preserve"> </w:t>
      </w:r>
      <w:r w:rsidR="009124D5" w:rsidRPr="00BD1D99">
        <w:rPr>
          <w:rFonts w:ascii="Calibri" w:hAnsi="Calibri" w:cs="Calibri"/>
          <w:i/>
          <w:iCs/>
        </w:rPr>
        <w:t>n</w:t>
      </w:r>
      <w:r w:rsidR="0089658C" w:rsidRPr="00BD1D99">
        <w:rPr>
          <w:rFonts w:ascii="Calibri" w:hAnsi="Calibri" w:cs="Calibri"/>
          <w:i/>
          <w:iCs/>
        </w:rPr>
        <w:t xml:space="preserve">or does it infer that we have consensus that this segment should have workforce specific programs. The </w:t>
      </w:r>
      <w:r w:rsidR="006B2A99" w:rsidRPr="00BD1D99">
        <w:rPr>
          <w:rFonts w:ascii="Calibri" w:hAnsi="Calibri" w:cs="Calibri"/>
          <w:i/>
          <w:iCs/>
        </w:rPr>
        <w:t xml:space="preserve">purpose of the </w:t>
      </w:r>
      <w:r w:rsidR="0089658C" w:rsidRPr="00BD1D99">
        <w:rPr>
          <w:rFonts w:ascii="Calibri" w:hAnsi="Calibri" w:cs="Calibri"/>
          <w:i/>
          <w:iCs/>
        </w:rPr>
        <w:t xml:space="preserve">“*” is to clarify </w:t>
      </w:r>
      <w:r w:rsidR="006B2A99" w:rsidRPr="00BD1D99">
        <w:rPr>
          <w:rFonts w:ascii="Calibri" w:hAnsi="Calibri" w:cs="Calibri"/>
          <w:i/>
          <w:iCs/>
        </w:rPr>
        <w:t xml:space="preserve">what </w:t>
      </w:r>
      <w:r w:rsidR="0089658C" w:rsidRPr="00BD1D99">
        <w:rPr>
          <w:rFonts w:ascii="Calibri" w:hAnsi="Calibri" w:cs="Calibri"/>
          <w:i/>
          <w:iCs/>
        </w:rPr>
        <w:t xml:space="preserve">the term “workforce opportunities” </w:t>
      </w:r>
      <w:r w:rsidR="00A729D0" w:rsidRPr="00BD1D99">
        <w:rPr>
          <w:rFonts w:ascii="Calibri" w:hAnsi="Calibri" w:cs="Calibri"/>
          <w:i/>
          <w:iCs/>
        </w:rPr>
        <w:t>e</w:t>
      </w:r>
      <w:r w:rsidR="00881C59" w:rsidRPr="00BD1D99">
        <w:rPr>
          <w:rFonts w:ascii="Calibri" w:hAnsi="Calibri" w:cs="Calibri"/>
          <w:i/>
          <w:iCs/>
        </w:rPr>
        <w:t xml:space="preserve">ncompasses. </w:t>
      </w:r>
      <w:r w:rsidR="00A729D0" w:rsidRPr="00BD1D99">
        <w:rPr>
          <w:rFonts w:ascii="Calibri" w:hAnsi="Calibri" w:cs="Calibri"/>
          <w:i/>
          <w:iCs/>
        </w:rPr>
        <w:t>Any substantive issues should be addressed within the context of the workforce metric</w:t>
      </w:r>
      <w:r w:rsidR="00044BD5" w:rsidRPr="00BD1D99">
        <w:rPr>
          <w:rFonts w:ascii="Calibri" w:hAnsi="Calibri" w:cs="Calibri"/>
          <w:i/>
          <w:iCs/>
        </w:rPr>
        <w:t>(s)</w:t>
      </w:r>
      <w:r w:rsidR="00A729D0" w:rsidRPr="00BD1D99">
        <w:rPr>
          <w:rFonts w:ascii="Calibri" w:hAnsi="Calibri" w:cs="Calibri"/>
          <w:i/>
          <w:iCs/>
        </w:rPr>
        <w:t xml:space="preserve">. </w:t>
      </w:r>
    </w:p>
    <w:p w14:paraId="29DB7D1B" w14:textId="645B3864" w:rsidR="00EE4907" w:rsidRPr="00BD1D99" w:rsidRDefault="00EE4907" w:rsidP="00BD1D99">
      <w:pPr>
        <w:spacing w:line="276" w:lineRule="auto"/>
        <w:rPr>
          <w:rFonts w:ascii="Calibri" w:hAnsi="Calibri" w:cs="Calibri"/>
          <w:i/>
          <w:iCs/>
          <w:highlight w:val="cyan"/>
        </w:rPr>
      </w:pPr>
    </w:p>
    <w:p w14:paraId="5220EF8C" w14:textId="27242B88" w:rsidR="00EE4907" w:rsidRDefault="00EE4907" w:rsidP="00BD1D99">
      <w:pPr>
        <w:spacing w:line="276" w:lineRule="auto"/>
        <w:rPr>
          <w:rFonts w:ascii="Calibri" w:hAnsi="Calibri" w:cs="Calibri"/>
          <w:i/>
          <w:iCs/>
        </w:rPr>
      </w:pPr>
      <w:r w:rsidRPr="00BD1D99">
        <w:rPr>
          <w:rFonts w:ascii="Calibri" w:hAnsi="Calibri" w:cs="Calibri"/>
          <w:i/>
          <w:iCs/>
        </w:rPr>
        <w:t>** Energy affordability pertains to bill savings achieved through increased efficiency in energy use, delivering the same or improved level of service with a lower cost to the customer</w:t>
      </w:r>
      <w:r w:rsidR="00C01CE4">
        <w:rPr>
          <w:rFonts w:ascii="Calibri" w:hAnsi="Calibri" w:cs="Calibri"/>
          <w:i/>
          <w:iCs/>
        </w:rPr>
        <w:t>.</w:t>
      </w:r>
    </w:p>
    <w:p w14:paraId="1A7BA984" w14:textId="77777777" w:rsidR="00CA37B7" w:rsidRDefault="00CA37B7" w:rsidP="00BD1D99">
      <w:pPr>
        <w:spacing w:line="276" w:lineRule="auto"/>
        <w:rPr>
          <w:rFonts w:ascii="Calibri" w:hAnsi="Calibri" w:cs="Calibri"/>
          <w:i/>
          <w:iCs/>
        </w:rPr>
      </w:pPr>
    </w:p>
    <w:p w14:paraId="23D38300" w14:textId="77777777" w:rsidR="00C01CE4" w:rsidRPr="00BD1D99" w:rsidRDefault="00C01CE4" w:rsidP="00C01CE4">
      <w:pPr>
        <w:spacing w:line="276" w:lineRule="auto"/>
        <w:rPr>
          <w:rFonts w:ascii="Calibri" w:hAnsi="Calibri" w:cs="Calibri"/>
          <w:i/>
          <w:iCs/>
        </w:rPr>
      </w:pPr>
      <w:r>
        <w:rPr>
          <w:rFonts w:ascii="Calibri" w:hAnsi="Calibri" w:cs="Calibri"/>
          <w:i/>
          <w:iCs/>
        </w:rPr>
        <w:t>*</w:t>
      </w:r>
      <w:r w:rsidRPr="00BD1D99">
        <w:rPr>
          <w:rFonts w:ascii="Calibri" w:hAnsi="Calibri" w:cs="Calibri"/>
          <w:i/>
          <w:iCs/>
        </w:rPr>
        <w:t>**The term “criteria pollutant” refers to: ground-level ozone, particulate matter, carbon monoxide, lead, sulfur dioxide, and nitrogen dioxide (</w:t>
      </w:r>
      <w:hyperlink r:id="rId9" w:history="1">
        <w:r w:rsidRPr="00BD1D99">
          <w:rPr>
            <w:rStyle w:val="Hyperlink"/>
            <w:rFonts w:ascii="Calibri" w:hAnsi="Calibri" w:cs="Calibri"/>
            <w:i/>
            <w:iCs/>
          </w:rPr>
          <w:t>https://www.epa.gov/criteria-air-pollutants</w:t>
        </w:r>
      </w:hyperlink>
      <w:r w:rsidRPr="00BD1D99">
        <w:rPr>
          <w:rFonts w:ascii="Calibri" w:hAnsi="Calibri" w:cs="Calibri"/>
          <w:i/>
          <w:iCs/>
        </w:rPr>
        <w:t xml:space="preserve">). </w:t>
      </w:r>
    </w:p>
    <w:p w14:paraId="27528560" w14:textId="77777777" w:rsidR="00C01CE4" w:rsidRPr="00BD1D99" w:rsidRDefault="00C01CE4" w:rsidP="00BD1D99">
      <w:pPr>
        <w:spacing w:line="276" w:lineRule="auto"/>
        <w:rPr>
          <w:rFonts w:ascii="Calibri" w:hAnsi="Calibri" w:cs="Calibri"/>
          <w:i/>
          <w:iCs/>
        </w:rPr>
      </w:pPr>
    </w:p>
    <w:p w14:paraId="0435788B" w14:textId="6B1325FB" w:rsidR="00B158CD" w:rsidRPr="00BD1D99" w:rsidRDefault="007848A7" w:rsidP="00BD1D99">
      <w:pPr>
        <w:pStyle w:val="Heading1"/>
        <w:spacing w:line="276" w:lineRule="auto"/>
        <w:rPr>
          <w:rFonts w:ascii="Calibri" w:hAnsi="Calibri" w:cs="Calibri"/>
        </w:rPr>
      </w:pPr>
      <w:bookmarkStart w:id="42" w:name="_Toc85613299"/>
      <w:r w:rsidRPr="00BD1D99">
        <w:rPr>
          <w:rFonts w:ascii="Calibri" w:hAnsi="Calibri" w:cs="Calibri"/>
        </w:rPr>
        <w:t xml:space="preserve">Section </w:t>
      </w:r>
      <w:r w:rsidR="00667F73" w:rsidRPr="00BD1D99">
        <w:rPr>
          <w:rFonts w:ascii="Calibri" w:hAnsi="Calibri" w:cs="Calibri"/>
        </w:rPr>
        <w:t>4</w:t>
      </w:r>
      <w:r w:rsidRPr="00BD1D99">
        <w:rPr>
          <w:rFonts w:ascii="Calibri" w:hAnsi="Calibri" w:cs="Calibri"/>
        </w:rPr>
        <w:t>: Metrics</w:t>
      </w:r>
      <w:r w:rsidR="004C7DF7" w:rsidRPr="00BD1D99">
        <w:rPr>
          <w:rFonts w:ascii="Calibri" w:hAnsi="Calibri" w:cs="Calibri"/>
        </w:rPr>
        <w:t xml:space="preserve"> and Indicators</w:t>
      </w:r>
      <w:bookmarkEnd w:id="42"/>
    </w:p>
    <w:p w14:paraId="623B048A" w14:textId="50C32D99" w:rsidR="007848A7" w:rsidRPr="00BD1D99" w:rsidRDefault="00667F73" w:rsidP="00BD1D99">
      <w:pPr>
        <w:pStyle w:val="Heading2"/>
      </w:pPr>
      <w:bookmarkStart w:id="43" w:name="_Toc85613300"/>
      <w:r w:rsidRPr="00BD1D99">
        <w:t>4</w:t>
      </w:r>
      <w:r w:rsidR="007848A7" w:rsidRPr="00BD1D99">
        <w:t>.1 Background</w:t>
      </w:r>
      <w:bookmarkEnd w:id="43"/>
    </w:p>
    <w:p w14:paraId="7D8A51A2" w14:textId="2976DC79" w:rsidR="002F6218" w:rsidRPr="00BD1D99" w:rsidRDefault="002F6218" w:rsidP="00BD1D99">
      <w:pPr>
        <w:spacing w:line="276" w:lineRule="auto"/>
        <w:rPr>
          <w:rFonts w:ascii="Calibri" w:hAnsi="Calibri" w:cs="Calibri"/>
        </w:rPr>
      </w:pPr>
      <w:r w:rsidRPr="00BD1D99">
        <w:rPr>
          <w:rFonts w:ascii="Calibri" w:hAnsi="Calibri" w:cs="Calibri"/>
        </w:rPr>
        <w:t xml:space="preserve">Metrics for the new </w:t>
      </w:r>
      <w:r w:rsidR="00057EBB" w:rsidRPr="00BD1D99">
        <w:rPr>
          <w:rFonts w:ascii="Calibri" w:hAnsi="Calibri" w:cs="Calibri"/>
        </w:rPr>
        <w:t>Equity</w:t>
      </w:r>
      <w:r w:rsidR="00833F99" w:rsidRPr="00BD1D99">
        <w:rPr>
          <w:rFonts w:ascii="Calibri" w:hAnsi="Calibri" w:cs="Calibri"/>
        </w:rPr>
        <w:t xml:space="preserve"> </w:t>
      </w:r>
      <w:r w:rsidRPr="00BD1D99">
        <w:rPr>
          <w:rFonts w:ascii="Calibri" w:hAnsi="Calibri" w:cs="Calibri"/>
        </w:rPr>
        <w:t>segment</w:t>
      </w:r>
      <w:r w:rsidR="00833F99" w:rsidRPr="00BD1D99">
        <w:rPr>
          <w:rFonts w:ascii="Calibri" w:hAnsi="Calibri" w:cs="Calibri"/>
        </w:rPr>
        <w:t xml:space="preserve"> </w:t>
      </w:r>
      <w:r w:rsidR="000A7C28" w:rsidRPr="00BD1D99">
        <w:rPr>
          <w:rFonts w:ascii="Calibri" w:hAnsi="Calibri" w:cs="Calibri"/>
        </w:rPr>
        <w:t xml:space="preserve">will be used </w:t>
      </w:r>
      <w:r w:rsidR="009E06C9" w:rsidRPr="00BD1D99">
        <w:rPr>
          <w:rFonts w:ascii="Calibri" w:hAnsi="Calibri" w:cs="Calibri"/>
        </w:rPr>
        <w:t>as</w:t>
      </w:r>
      <w:r w:rsidR="00944EB6" w:rsidRPr="00BD1D99">
        <w:rPr>
          <w:rFonts w:ascii="Calibri" w:hAnsi="Calibri" w:cs="Calibri"/>
        </w:rPr>
        <w:t xml:space="preserve"> rationale for </w:t>
      </w:r>
      <w:r w:rsidRPr="00BD1D99">
        <w:rPr>
          <w:rFonts w:ascii="Calibri" w:hAnsi="Calibri" w:cs="Calibri"/>
        </w:rPr>
        <w:t xml:space="preserve">portfolio segmentation and </w:t>
      </w:r>
      <w:r w:rsidR="00771B15" w:rsidRPr="00BD1D99">
        <w:rPr>
          <w:rFonts w:ascii="Calibri" w:hAnsi="Calibri" w:cs="Calibri"/>
        </w:rPr>
        <w:t xml:space="preserve">program </w:t>
      </w:r>
      <w:r w:rsidRPr="00BD1D99">
        <w:rPr>
          <w:rFonts w:ascii="Calibri" w:hAnsi="Calibri" w:cs="Calibri"/>
        </w:rPr>
        <w:t>design</w:t>
      </w:r>
      <w:r w:rsidR="009E06C9" w:rsidRPr="00BD1D99">
        <w:rPr>
          <w:rFonts w:ascii="Calibri" w:hAnsi="Calibri" w:cs="Calibri"/>
        </w:rPr>
        <w:t xml:space="preserve"> </w:t>
      </w:r>
      <w:r w:rsidRPr="00BD1D99">
        <w:rPr>
          <w:rFonts w:ascii="Calibri" w:hAnsi="Calibri" w:cs="Calibri"/>
        </w:rPr>
        <w:t>and for program tracking and evaluation</w:t>
      </w:r>
      <w:r w:rsidR="009E06C9" w:rsidRPr="00BD1D99">
        <w:rPr>
          <w:rFonts w:ascii="Calibri" w:hAnsi="Calibri" w:cs="Calibri"/>
        </w:rPr>
        <w:t xml:space="preserve"> within the Equity segment</w:t>
      </w:r>
      <w:r w:rsidRPr="00BD1D99">
        <w:rPr>
          <w:rFonts w:ascii="Calibri" w:hAnsi="Calibri" w:cs="Calibri"/>
        </w:rPr>
        <w:t>.</w:t>
      </w:r>
    </w:p>
    <w:p w14:paraId="74B7DA1B" w14:textId="78F3F478" w:rsidR="00057EBB" w:rsidRPr="00BD1D99" w:rsidRDefault="00057EBB" w:rsidP="00BD1D99">
      <w:pPr>
        <w:spacing w:line="276" w:lineRule="auto"/>
        <w:rPr>
          <w:rFonts w:ascii="Calibri" w:hAnsi="Calibri" w:cs="Calibri"/>
        </w:rPr>
      </w:pPr>
    </w:p>
    <w:p w14:paraId="333CC712" w14:textId="6BC2A855" w:rsidR="00D009B3" w:rsidRPr="00BD1D99" w:rsidRDefault="00BC1709" w:rsidP="00BD1D99">
      <w:pPr>
        <w:spacing w:line="276" w:lineRule="auto"/>
        <w:rPr>
          <w:rFonts w:ascii="Calibri" w:hAnsi="Calibri" w:cs="Calibri"/>
        </w:rPr>
      </w:pPr>
      <w:r w:rsidRPr="00BD1D99">
        <w:rPr>
          <w:rFonts w:ascii="Calibri" w:hAnsi="Calibri" w:cs="Calibri"/>
        </w:rPr>
        <w:t>As we move</w:t>
      </w:r>
      <w:r w:rsidR="002E1D41" w:rsidRPr="00BD1D99">
        <w:rPr>
          <w:rFonts w:ascii="Calibri" w:hAnsi="Calibri" w:cs="Calibri"/>
        </w:rPr>
        <w:t xml:space="preserve"> away</w:t>
      </w:r>
      <w:r w:rsidRPr="00BD1D99">
        <w:rPr>
          <w:rFonts w:ascii="Calibri" w:hAnsi="Calibri" w:cs="Calibri"/>
        </w:rPr>
        <w:t xml:space="preserve"> from traditional cost-effectiveness metrics to this new </w:t>
      </w:r>
      <w:r w:rsidR="002E1D41" w:rsidRPr="00BD1D99">
        <w:rPr>
          <w:rFonts w:ascii="Calibri" w:hAnsi="Calibri" w:cs="Calibri"/>
        </w:rPr>
        <w:t>segmentation</w:t>
      </w:r>
      <w:r w:rsidRPr="00BD1D99">
        <w:rPr>
          <w:rFonts w:ascii="Calibri" w:hAnsi="Calibri" w:cs="Calibri"/>
        </w:rPr>
        <w:t xml:space="preserve"> approach, it is important to </w:t>
      </w:r>
      <w:r w:rsidR="00DE4BD6" w:rsidRPr="00BD1D99">
        <w:rPr>
          <w:rFonts w:ascii="Calibri" w:hAnsi="Calibri" w:cs="Calibri"/>
        </w:rPr>
        <w:t xml:space="preserve">use </w:t>
      </w:r>
      <w:r w:rsidR="00D009B3" w:rsidRPr="00BD1D99">
        <w:rPr>
          <w:rFonts w:ascii="Calibri" w:hAnsi="Calibri" w:cs="Calibri"/>
        </w:rPr>
        <w:t>M</w:t>
      </w:r>
      <w:r w:rsidR="00DE4BD6" w:rsidRPr="00BD1D99">
        <w:rPr>
          <w:rFonts w:ascii="Calibri" w:hAnsi="Calibri" w:cs="Calibri"/>
        </w:rPr>
        <w:t xml:space="preserve">etrics as a way of </w:t>
      </w:r>
      <w:r w:rsidRPr="00BD1D99">
        <w:rPr>
          <w:rFonts w:ascii="Calibri" w:hAnsi="Calibri" w:cs="Calibri"/>
        </w:rPr>
        <w:t>assess</w:t>
      </w:r>
      <w:r w:rsidR="00DE4BD6" w:rsidRPr="00BD1D99">
        <w:rPr>
          <w:rFonts w:ascii="Calibri" w:hAnsi="Calibri" w:cs="Calibri"/>
        </w:rPr>
        <w:t>ing</w:t>
      </w:r>
      <w:r w:rsidRPr="00BD1D99">
        <w:rPr>
          <w:rFonts w:ascii="Calibri" w:hAnsi="Calibri" w:cs="Calibri"/>
        </w:rPr>
        <w:t xml:space="preserve"> progress and </w:t>
      </w:r>
      <w:r w:rsidR="00DE4BD6" w:rsidRPr="00BD1D99">
        <w:rPr>
          <w:rFonts w:ascii="Calibri" w:hAnsi="Calibri" w:cs="Calibri"/>
        </w:rPr>
        <w:t xml:space="preserve">to </w:t>
      </w:r>
      <w:r w:rsidRPr="00BD1D99">
        <w:rPr>
          <w:rFonts w:ascii="Calibri" w:hAnsi="Calibri" w:cs="Calibri"/>
        </w:rPr>
        <w:t xml:space="preserve">ensure </w:t>
      </w:r>
      <w:r w:rsidR="00DE4BD6" w:rsidRPr="00BD1D99">
        <w:rPr>
          <w:rFonts w:ascii="Calibri" w:hAnsi="Calibri" w:cs="Calibri"/>
        </w:rPr>
        <w:t xml:space="preserve">that </w:t>
      </w:r>
      <w:r w:rsidRPr="00BD1D99">
        <w:rPr>
          <w:rFonts w:ascii="Calibri" w:hAnsi="Calibri" w:cs="Calibri"/>
        </w:rPr>
        <w:t xml:space="preserve">customer funds are being prudently spent. As noted above in Figure 1, </w:t>
      </w:r>
      <w:r w:rsidR="00D009B3" w:rsidRPr="00BD1D99">
        <w:rPr>
          <w:rFonts w:ascii="Calibri" w:hAnsi="Calibri" w:cs="Calibri"/>
        </w:rPr>
        <w:t>M</w:t>
      </w:r>
      <w:r w:rsidR="00880C1C" w:rsidRPr="00BD1D99">
        <w:rPr>
          <w:rFonts w:ascii="Calibri" w:hAnsi="Calibri" w:cs="Calibri"/>
        </w:rPr>
        <w:t xml:space="preserve">etrics are </w:t>
      </w:r>
      <w:r w:rsidRPr="00BD1D99">
        <w:rPr>
          <w:rFonts w:ascii="Calibri" w:hAnsi="Calibri" w:cs="Calibri"/>
        </w:rPr>
        <w:t xml:space="preserve">the most important yardstick by which progress in the Equity segment is tracked, measured, and reported. </w:t>
      </w:r>
      <w:r w:rsidR="00D009B3" w:rsidRPr="00BD1D99">
        <w:rPr>
          <w:rFonts w:ascii="Calibri" w:hAnsi="Calibri" w:cs="Calibri"/>
        </w:rPr>
        <w:t>Indicators can be associated with Metrics, but are distinct in that Indicators, while tracked, measured, and reported do not have associated Targets.</w:t>
      </w:r>
    </w:p>
    <w:p w14:paraId="0B112C59" w14:textId="2CDF15D8" w:rsidR="00D009B3" w:rsidRPr="00BD1D99" w:rsidRDefault="00D009B3" w:rsidP="00BD1D99">
      <w:pPr>
        <w:spacing w:line="276" w:lineRule="auto"/>
        <w:rPr>
          <w:rFonts w:ascii="Calibri" w:hAnsi="Calibri" w:cs="Calibri"/>
        </w:rPr>
      </w:pPr>
    </w:p>
    <w:p w14:paraId="0555CC33" w14:textId="0216D8AA" w:rsidR="00D009B3" w:rsidRPr="00BD1D99" w:rsidRDefault="00D009B3" w:rsidP="00BD1D99">
      <w:pPr>
        <w:spacing w:line="276" w:lineRule="auto"/>
        <w:rPr>
          <w:rFonts w:ascii="Calibri" w:hAnsi="Calibri" w:cs="Calibri"/>
        </w:rPr>
      </w:pPr>
      <w:r w:rsidRPr="00BD1D99">
        <w:rPr>
          <w:rFonts w:ascii="Calibri" w:hAnsi="Calibri" w:cs="Calibri"/>
        </w:rPr>
        <w:t>The Metrics and Indicators listed below are organized into the following three categories</w:t>
      </w:r>
    </w:p>
    <w:p w14:paraId="33E9BA7A" w14:textId="6907FF9E" w:rsidR="00D009B3" w:rsidRPr="00BD1D99" w:rsidRDefault="00D009B3" w:rsidP="00760381">
      <w:pPr>
        <w:pStyle w:val="ListParagraph"/>
        <w:numPr>
          <w:ilvl w:val="0"/>
          <w:numId w:val="14"/>
        </w:numPr>
        <w:spacing w:line="276" w:lineRule="auto"/>
        <w:rPr>
          <w:rFonts w:ascii="Calibri" w:hAnsi="Calibri" w:cs="Calibri"/>
        </w:rPr>
      </w:pPr>
      <w:r w:rsidRPr="00BD1D99">
        <w:rPr>
          <w:rFonts w:ascii="Calibri" w:hAnsi="Calibri" w:cs="Calibri"/>
        </w:rPr>
        <w:t xml:space="preserve">Metrics and Indicators </w:t>
      </w:r>
      <w:r w:rsidR="009D635F" w:rsidRPr="00BD1D99">
        <w:rPr>
          <w:rFonts w:ascii="Calibri" w:hAnsi="Calibri" w:cs="Calibri"/>
        </w:rPr>
        <w:t>t</w:t>
      </w:r>
      <w:r w:rsidRPr="00BD1D99">
        <w:rPr>
          <w:rFonts w:ascii="Calibri" w:hAnsi="Calibri" w:cs="Calibri"/>
        </w:rPr>
        <w:t xml:space="preserve">o Measure Who and How Target Populations are “Served”  </w:t>
      </w:r>
    </w:p>
    <w:p w14:paraId="4FD0416D" w14:textId="38058461" w:rsidR="00D009B3" w:rsidRPr="00BD1D99" w:rsidRDefault="00D009B3" w:rsidP="00760381">
      <w:pPr>
        <w:pStyle w:val="ListParagraph"/>
        <w:numPr>
          <w:ilvl w:val="0"/>
          <w:numId w:val="14"/>
        </w:numPr>
        <w:spacing w:line="276" w:lineRule="auto"/>
        <w:rPr>
          <w:rFonts w:ascii="Calibri" w:hAnsi="Calibri" w:cs="Calibri"/>
        </w:rPr>
      </w:pPr>
      <w:r w:rsidRPr="00BD1D99">
        <w:rPr>
          <w:rFonts w:ascii="Calibri" w:hAnsi="Calibri" w:cs="Calibri"/>
        </w:rPr>
        <w:t xml:space="preserve">Metrics and Indicators to Assess Energy </w:t>
      </w:r>
      <w:r w:rsidR="00945092" w:rsidRPr="00BD1D99">
        <w:rPr>
          <w:rFonts w:ascii="Calibri" w:hAnsi="Calibri" w:cs="Calibri"/>
        </w:rPr>
        <w:t xml:space="preserve">and/or Cost </w:t>
      </w:r>
      <w:r w:rsidRPr="00BD1D99">
        <w:rPr>
          <w:rFonts w:ascii="Calibri" w:hAnsi="Calibri" w:cs="Calibri"/>
        </w:rPr>
        <w:t>Savings in Targeted Populations</w:t>
      </w:r>
    </w:p>
    <w:p w14:paraId="288FAC6D" w14:textId="2299A16C" w:rsidR="00D009B3" w:rsidRPr="00BD1D99" w:rsidRDefault="00D009B3" w:rsidP="00760381">
      <w:pPr>
        <w:pStyle w:val="ListParagraph"/>
        <w:numPr>
          <w:ilvl w:val="0"/>
          <w:numId w:val="14"/>
        </w:numPr>
        <w:spacing w:line="276" w:lineRule="auto"/>
        <w:rPr>
          <w:rFonts w:ascii="Calibri" w:hAnsi="Calibri" w:cs="Calibri"/>
        </w:rPr>
      </w:pPr>
      <w:r w:rsidRPr="00BD1D99">
        <w:rPr>
          <w:rFonts w:ascii="Calibri" w:hAnsi="Calibri" w:cs="Calibri"/>
        </w:rPr>
        <w:t xml:space="preserve">Indicator to </w:t>
      </w:r>
      <w:r w:rsidR="009D635F" w:rsidRPr="00BD1D99">
        <w:rPr>
          <w:rFonts w:ascii="Calibri" w:hAnsi="Calibri" w:cs="Calibri"/>
        </w:rPr>
        <w:t>Assess “Holistic” Benefits</w:t>
      </w:r>
    </w:p>
    <w:p w14:paraId="44397E2B" w14:textId="77777777" w:rsidR="009B6DD0" w:rsidRPr="00BD1D99" w:rsidRDefault="009B6DD0" w:rsidP="00BD1D99">
      <w:pPr>
        <w:spacing w:line="276" w:lineRule="auto"/>
        <w:rPr>
          <w:rFonts w:ascii="Calibri" w:hAnsi="Calibri" w:cs="Calibri"/>
        </w:rPr>
      </w:pPr>
    </w:p>
    <w:p w14:paraId="78163BEB" w14:textId="27B3B42C" w:rsidR="003614CC" w:rsidRPr="00BD58F3" w:rsidRDefault="00667F73" w:rsidP="00BD1D99">
      <w:pPr>
        <w:pStyle w:val="Heading2"/>
      </w:pPr>
      <w:bookmarkStart w:id="44" w:name="_Toc85613301"/>
      <w:r w:rsidRPr="00941B7C">
        <w:t>4</w:t>
      </w:r>
      <w:r w:rsidR="007848A7" w:rsidRPr="00941B7C">
        <w:t xml:space="preserve">.2 </w:t>
      </w:r>
      <w:r w:rsidR="00C36FBC" w:rsidRPr="00941B7C">
        <w:t>A</w:t>
      </w:r>
      <w:r w:rsidR="000C0871" w:rsidRPr="00A66914">
        <w:t xml:space="preserve">: </w:t>
      </w:r>
      <w:r w:rsidR="00B66AE7" w:rsidRPr="00A66914">
        <w:t xml:space="preserve">Metrics </w:t>
      </w:r>
      <w:r w:rsidR="00D009B3" w:rsidRPr="00A66914">
        <w:t xml:space="preserve">and Indicators </w:t>
      </w:r>
      <w:r w:rsidR="009D635F" w:rsidRPr="00A66914">
        <w:t>t</w:t>
      </w:r>
      <w:r w:rsidR="00407444" w:rsidRPr="00A66914">
        <w:t>o Measure</w:t>
      </w:r>
      <w:r w:rsidR="00996EC8" w:rsidRPr="00A66914">
        <w:t xml:space="preserve"> Who and How Target Populations are “Served”</w:t>
      </w:r>
      <w:bookmarkEnd w:id="44"/>
      <w:r w:rsidR="00996EC8" w:rsidRPr="00A66914">
        <w:t xml:space="preserve"> </w:t>
      </w:r>
      <w:r w:rsidR="00667566" w:rsidRPr="00A66914">
        <w:t xml:space="preserve"> </w:t>
      </w:r>
    </w:p>
    <w:p w14:paraId="41A0B7EF" w14:textId="743D6290" w:rsidR="00A70A52" w:rsidRPr="00BD1D99" w:rsidRDefault="0025334D" w:rsidP="00BD1D99">
      <w:pPr>
        <w:pStyle w:val="Heading3"/>
        <w:spacing w:line="276" w:lineRule="auto"/>
        <w:rPr>
          <w:rFonts w:ascii="Calibri" w:hAnsi="Calibri" w:cs="Calibri"/>
          <w:b/>
          <w:bCs/>
        </w:rPr>
      </w:pPr>
      <w:bookmarkStart w:id="45" w:name="_Toc85613302"/>
      <w:r w:rsidRPr="00BD1D99">
        <w:rPr>
          <w:rFonts w:ascii="Calibri" w:hAnsi="Calibri" w:cs="Calibri"/>
          <w:b/>
          <w:bCs/>
        </w:rPr>
        <w:t xml:space="preserve">Consensus </w:t>
      </w:r>
      <w:r w:rsidR="00996EC8" w:rsidRPr="00BD1D99">
        <w:rPr>
          <w:rFonts w:ascii="Calibri" w:hAnsi="Calibri" w:cs="Calibri"/>
          <w:b/>
          <w:bCs/>
        </w:rPr>
        <w:t>Metrics Recommendations</w:t>
      </w:r>
      <w:r w:rsidR="00D276DE" w:rsidRPr="00BD1D99">
        <w:rPr>
          <w:rFonts w:ascii="Calibri" w:hAnsi="Calibri" w:cs="Calibri"/>
          <w:b/>
          <w:bCs/>
        </w:rPr>
        <w:t xml:space="preserve"> – Who and How Target Populations are “Served”</w:t>
      </w:r>
      <w:bookmarkEnd w:id="45"/>
    </w:p>
    <w:p w14:paraId="3C6A9501" w14:textId="0CE62D54" w:rsidR="00210939" w:rsidRPr="00BD1D99" w:rsidRDefault="00440F42" w:rsidP="00BD1D99">
      <w:pPr>
        <w:keepNext/>
        <w:spacing w:before="40" w:line="276" w:lineRule="auto"/>
        <w:outlineLvl w:val="2"/>
        <w:rPr>
          <w:rFonts w:ascii="Calibri" w:hAnsi="Calibri" w:cs="Calibri"/>
          <w:highlight w:val="cyan"/>
        </w:rPr>
      </w:pPr>
      <w:bookmarkStart w:id="46" w:name="_Toc85613303"/>
      <w:r w:rsidRPr="00BD1D99">
        <w:rPr>
          <w:rFonts w:ascii="Calibri" w:hAnsi="Calibri" w:cs="Calibri"/>
          <w:color w:val="1F3763"/>
          <w:u w:val="single"/>
        </w:rPr>
        <w:t xml:space="preserve">Metric </w:t>
      </w:r>
      <w:r w:rsidR="00684818" w:rsidRPr="00BD1D99">
        <w:rPr>
          <w:rFonts w:ascii="Calibri" w:hAnsi="Calibri" w:cs="Calibri"/>
          <w:color w:val="1F3763"/>
          <w:u w:val="single"/>
        </w:rPr>
        <w:t>A</w:t>
      </w:r>
      <w:r w:rsidRPr="00BD1D99">
        <w:rPr>
          <w:rFonts w:ascii="Calibri" w:hAnsi="Calibri" w:cs="Calibri"/>
          <w:color w:val="1F3763"/>
          <w:u w:val="single"/>
        </w:rPr>
        <w:t xml:space="preserve">.1: </w:t>
      </w:r>
      <w:r w:rsidR="009B6DD0" w:rsidRPr="00BD1D99">
        <w:rPr>
          <w:rFonts w:ascii="Calibri" w:hAnsi="Calibri" w:cs="Calibri"/>
          <w:color w:val="1F3763"/>
          <w:u w:val="single"/>
        </w:rPr>
        <w:t>Total # residential (</w:t>
      </w:r>
      <w:r w:rsidR="00090954" w:rsidRPr="00BD1D99">
        <w:rPr>
          <w:rFonts w:ascii="Calibri" w:hAnsi="Calibri" w:cs="Calibri"/>
          <w:color w:val="1F3763"/>
          <w:u w:val="single"/>
        </w:rPr>
        <w:t>single family (</w:t>
      </w:r>
      <w:r w:rsidR="009B6DD0" w:rsidRPr="00BD1D99">
        <w:rPr>
          <w:rFonts w:ascii="Calibri" w:hAnsi="Calibri" w:cs="Calibri"/>
          <w:color w:val="1F3763"/>
          <w:u w:val="single"/>
        </w:rPr>
        <w:t>SF</w:t>
      </w:r>
      <w:r w:rsidR="00090954" w:rsidRPr="00BD1D99">
        <w:rPr>
          <w:rFonts w:ascii="Calibri" w:hAnsi="Calibri" w:cs="Calibri"/>
          <w:color w:val="1F3763"/>
          <w:u w:val="single"/>
        </w:rPr>
        <w:t>)</w:t>
      </w:r>
      <w:r w:rsidR="009B6DD0" w:rsidRPr="00BD1D99">
        <w:rPr>
          <w:rFonts w:ascii="Calibri" w:hAnsi="Calibri" w:cs="Calibri"/>
          <w:color w:val="1F3763"/>
          <w:u w:val="single"/>
        </w:rPr>
        <w:t xml:space="preserve"> or</w:t>
      </w:r>
      <w:r w:rsidR="00090954" w:rsidRPr="00BD1D99">
        <w:rPr>
          <w:rFonts w:ascii="Calibri" w:hAnsi="Calibri" w:cs="Calibri"/>
          <w:color w:val="1F3763"/>
          <w:u w:val="single"/>
        </w:rPr>
        <w:t xml:space="preserve"> multifamily (</w:t>
      </w:r>
      <w:r w:rsidR="009B6DD0" w:rsidRPr="00BD1D99">
        <w:rPr>
          <w:rFonts w:ascii="Calibri" w:hAnsi="Calibri" w:cs="Calibri"/>
          <w:color w:val="1F3763"/>
          <w:u w:val="single"/>
        </w:rPr>
        <w:t>MF</w:t>
      </w:r>
      <w:r w:rsidR="00090954" w:rsidRPr="00BD1D99">
        <w:rPr>
          <w:rFonts w:ascii="Calibri" w:hAnsi="Calibri" w:cs="Calibri"/>
          <w:color w:val="1F3763"/>
          <w:u w:val="single"/>
        </w:rPr>
        <w:t>)</w:t>
      </w:r>
      <w:r w:rsidR="009B6DD0" w:rsidRPr="00BD1D99">
        <w:rPr>
          <w:rFonts w:ascii="Calibri" w:hAnsi="Calibri" w:cs="Calibri"/>
          <w:color w:val="1F3763"/>
          <w:u w:val="single"/>
        </w:rPr>
        <w:t xml:space="preserve"> unit) equity-</w:t>
      </w:r>
      <w:r w:rsidR="00D04446" w:rsidRPr="00BD1D99">
        <w:rPr>
          <w:rFonts w:ascii="Calibri" w:hAnsi="Calibri" w:cs="Calibri"/>
          <w:color w:val="1F3763"/>
          <w:u w:val="single"/>
        </w:rPr>
        <w:t>targeted</w:t>
      </w:r>
      <w:r w:rsidR="00146E7F" w:rsidRPr="00BD1D99">
        <w:rPr>
          <w:rStyle w:val="FootnoteReference"/>
          <w:rFonts w:ascii="Calibri" w:hAnsi="Calibri" w:cs="Calibri"/>
          <w:color w:val="1F3763"/>
          <w:u w:val="single"/>
        </w:rPr>
        <w:footnoteReference w:id="10"/>
      </w:r>
      <w:r w:rsidR="009B6DD0" w:rsidRPr="00BD1D99">
        <w:rPr>
          <w:rFonts w:ascii="Calibri" w:hAnsi="Calibri" w:cs="Calibri"/>
          <w:color w:val="1F3763"/>
          <w:u w:val="single"/>
        </w:rPr>
        <w:t xml:space="preserve"> </w:t>
      </w:r>
      <w:r w:rsidR="00090954" w:rsidRPr="00BD1D99">
        <w:rPr>
          <w:rFonts w:ascii="Calibri" w:hAnsi="Calibri" w:cs="Calibri"/>
          <w:color w:val="1F3763"/>
          <w:u w:val="single"/>
        </w:rPr>
        <w:t>households (</w:t>
      </w:r>
      <w:r w:rsidR="009B6DD0" w:rsidRPr="00BD1D99">
        <w:rPr>
          <w:rFonts w:ascii="Calibri" w:hAnsi="Calibri" w:cs="Calibri"/>
          <w:color w:val="1F3763"/>
          <w:u w:val="single"/>
        </w:rPr>
        <w:t>HHs</w:t>
      </w:r>
      <w:r w:rsidR="00090954" w:rsidRPr="00BD1D99">
        <w:rPr>
          <w:rFonts w:ascii="Calibri" w:hAnsi="Calibri" w:cs="Calibri"/>
          <w:color w:val="1F3763"/>
          <w:u w:val="single"/>
        </w:rPr>
        <w:t>)</w:t>
      </w:r>
      <w:r w:rsidR="009B6DD0" w:rsidRPr="00BD1D99">
        <w:rPr>
          <w:rFonts w:ascii="Calibri" w:hAnsi="Calibri" w:cs="Calibri"/>
          <w:color w:val="1F3763"/>
          <w:u w:val="single"/>
        </w:rPr>
        <w:t xml:space="preserve"> served</w:t>
      </w:r>
      <w:r w:rsidR="00586AE6" w:rsidRPr="00BD1D99">
        <w:rPr>
          <w:rFonts w:ascii="Calibri" w:hAnsi="Calibri" w:cs="Calibri"/>
          <w:color w:val="1F3763"/>
          <w:u w:val="single"/>
        </w:rPr>
        <w:t xml:space="preserve"> by the Equity programs</w:t>
      </w:r>
      <w:bookmarkEnd w:id="46"/>
    </w:p>
    <w:p w14:paraId="088CD370" w14:textId="77777777" w:rsidR="00AF52BC" w:rsidRPr="00BD1D99" w:rsidRDefault="00AF52BC" w:rsidP="00BD1D99">
      <w:pPr>
        <w:spacing w:line="276" w:lineRule="auto"/>
        <w:rPr>
          <w:rFonts w:ascii="Calibri" w:hAnsi="Calibri" w:cs="Calibri"/>
        </w:rPr>
      </w:pPr>
    </w:p>
    <w:p w14:paraId="4ABDAFD6" w14:textId="0E6F2202" w:rsidR="009B6DD0" w:rsidRPr="00BD1D99" w:rsidRDefault="00440F42" w:rsidP="00BD1D99">
      <w:pPr>
        <w:keepNext/>
        <w:spacing w:before="40" w:line="276" w:lineRule="auto"/>
        <w:outlineLvl w:val="2"/>
        <w:rPr>
          <w:rFonts w:ascii="Calibri" w:hAnsi="Calibri" w:cs="Calibri"/>
          <w:color w:val="1F3763"/>
          <w:u w:val="single"/>
        </w:rPr>
      </w:pPr>
      <w:bookmarkStart w:id="47" w:name="_Toc85613304"/>
      <w:r w:rsidRPr="00BD1D99">
        <w:rPr>
          <w:rFonts w:ascii="Calibri" w:hAnsi="Calibri" w:cs="Calibri"/>
          <w:color w:val="1F3763"/>
          <w:u w:val="single"/>
        </w:rPr>
        <w:t xml:space="preserve">Metric </w:t>
      </w:r>
      <w:r w:rsidR="00D90462" w:rsidRPr="00BD1D99">
        <w:rPr>
          <w:rFonts w:ascii="Calibri" w:hAnsi="Calibri" w:cs="Calibri"/>
          <w:color w:val="1F3763"/>
          <w:u w:val="single"/>
        </w:rPr>
        <w:t>A</w:t>
      </w:r>
      <w:r w:rsidRPr="00BD1D99">
        <w:rPr>
          <w:rFonts w:ascii="Calibri" w:hAnsi="Calibri" w:cs="Calibri"/>
          <w:color w:val="1F3763"/>
          <w:u w:val="single"/>
        </w:rPr>
        <w:t xml:space="preserve">.2: </w:t>
      </w:r>
      <w:r w:rsidR="009B6DD0" w:rsidRPr="00BD1D99">
        <w:rPr>
          <w:rFonts w:ascii="Calibri" w:hAnsi="Calibri" w:cs="Calibri"/>
          <w:color w:val="1F3763"/>
          <w:u w:val="single"/>
        </w:rPr>
        <w:t>Total # MF equity-</w:t>
      </w:r>
      <w:r w:rsidR="00586AE6" w:rsidRPr="00BD1D99">
        <w:rPr>
          <w:rFonts w:ascii="Calibri" w:hAnsi="Calibri" w:cs="Calibri"/>
          <w:color w:val="1F3763"/>
          <w:u w:val="single"/>
        </w:rPr>
        <w:t xml:space="preserve">targeted </w:t>
      </w:r>
      <w:r w:rsidR="009B6DD0" w:rsidRPr="00BD1D99">
        <w:rPr>
          <w:rFonts w:ascii="Calibri" w:hAnsi="Calibri" w:cs="Calibri"/>
          <w:color w:val="1F3763"/>
          <w:u w:val="single"/>
        </w:rPr>
        <w:t>buildings served</w:t>
      </w:r>
      <w:r w:rsidR="00586AE6" w:rsidRPr="00BD1D99">
        <w:rPr>
          <w:rFonts w:ascii="Calibri" w:hAnsi="Calibri" w:cs="Calibri"/>
          <w:color w:val="1F3763"/>
          <w:u w:val="single"/>
        </w:rPr>
        <w:t xml:space="preserve"> by the Equity programs</w:t>
      </w:r>
      <w:bookmarkEnd w:id="47"/>
      <w:r w:rsidR="009B6DD0" w:rsidRPr="00BD1D99">
        <w:rPr>
          <w:rFonts w:ascii="Calibri" w:hAnsi="Calibri" w:cs="Calibri"/>
          <w:color w:val="1F3763"/>
          <w:u w:val="single"/>
        </w:rPr>
        <w:t xml:space="preserve"> </w:t>
      </w:r>
    </w:p>
    <w:p w14:paraId="57661FF2" w14:textId="77777777" w:rsidR="009B6DD0" w:rsidRPr="00BD1D99" w:rsidRDefault="009B6DD0" w:rsidP="00BD1D99">
      <w:pPr>
        <w:pStyle w:val="ListParagraph"/>
        <w:spacing w:line="276" w:lineRule="auto"/>
        <w:ind w:left="1420"/>
        <w:rPr>
          <w:rFonts w:ascii="Calibri" w:eastAsia="Times New Roman" w:hAnsi="Calibri" w:cs="Calibri"/>
          <w:b/>
          <w:bCs/>
        </w:rPr>
      </w:pPr>
    </w:p>
    <w:p w14:paraId="7A0A3C07" w14:textId="3E2683F8" w:rsidR="00F67009" w:rsidRPr="00BD1D99" w:rsidRDefault="00440F42" w:rsidP="00BD1D99">
      <w:pPr>
        <w:keepNext/>
        <w:spacing w:before="40" w:line="276" w:lineRule="auto"/>
        <w:outlineLvl w:val="2"/>
        <w:rPr>
          <w:rFonts w:ascii="Calibri" w:hAnsi="Calibri" w:cs="Calibri"/>
          <w:color w:val="1F3763"/>
          <w:u w:val="single"/>
        </w:rPr>
      </w:pPr>
      <w:bookmarkStart w:id="48" w:name="_Toc85613305"/>
      <w:r w:rsidRPr="00BD1D99">
        <w:rPr>
          <w:rFonts w:ascii="Calibri" w:hAnsi="Calibri" w:cs="Calibri"/>
          <w:color w:val="1F3763"/>
          <w:u w:val="single"/>
        </w:rPr>
        <w:t xml:space="preserve">Metric </w:t>
      </w:r>
      <w:r w:rsidR="00BF4A80" w:rsidRPr="00BD1D99">
        <w:rPr>
          <w:rFonts w:ascii="Calibri" w:hAnsi="Calibri" w:cs="Calibri"/>
          <w:color w:val="1F3763"/>
          <w:u w:val="single"/>
        </w:rPr>
        <w:t>A</w:t>
      </w:r>
      <w:r w:rsidRPr="00BD1D99">
        <w:rPr>
          <w:rFonts w:ascii="Calibri" w:hAnsi="Calibri" w:cs="Calibri"/>
          <w:color w:val="1F3763"/>
          <w:u w:val="single"/>
        </w:rPr>
        <w:t>.</w:t>
      </w:r>
      <w:r w:rsidR="00181428" w:rsidRPr="00BD1D99">
        <w:rPr>
          <w:rFonts w:ascii="Calibri" w:hAnsi="Calibri" w:cs="Calibri"/>
          <w:color w:val="1F3763"/>
          <w:u w:val="single"/>
        </w:rPr>
        <w:t>3</w:t>
      </w:r>
      <w:r w:rsidRPr="00BD1D99">
        <w:rPr>
          <w:rFonts w:ascii="Calibri" w:hAnsi="Calibri" w:cs="Calibri"/>
          <w:color w:val="1F3763"/>
          <w:u w:val="single"/>
        </w:rPr>
        <w:t xml:space="preserve">: </w:t>
      </w:r>
      <w:r w:rsidR="00D04446" w:rsidRPr="00BD1D99">
        <w:rPr>
          <w:rFonts w:ascii="Calibri" w:hAnsi="Calibri" w:cs="Calibri"/>
          <w:color w:val="1F3763"/>
          <w:u w:val="single"/>
        </w:rPr>
        <w:t>Total # Ag or Ind. equity-</w:t>
      </w:r>
      <w:r w:rsidR="00586AE6" w:rsidRPr="00BD1D99">
        <w:rPr>
          <w:rFonts w:ascii="Calibri" w:hAnsi="Calibri" w:cs="Calibri"/>
          <w:color w:val="1F3763"/>
          <w:u w:val="single"/>
        </w:rPr>
        <w:t>targeted</w:t>
      </w:r>
      <w:r w:rsidR="00D04446" w:rsidRPr="00BD1D99">
        <w:rPr>
          <w:rFonts w:ascii="Calibri" w:hAnsi="Calibri" w:cs="Calibri"/>
          <w:color w:val="1F3763"/>
          <w:u w:val="single"/>
        </w:rPr>
        <w:t xml:space="preserve"> customers served</w:t>
      </w:r>
      <w:r w:rsidR="00586AE6" w:rsidRPr="00BD1D99">
        <w:rPr>
          <w:rFonts w:ascii="Calibri" w:hAnsi="Calibri" w:cs="Calibri"/>
          <w:color w:val="1F3763"/>
          <w:u w:val="single"/>
        </w:rPr>
        <w:t xml:space="preserve"> by the Equity programs</w:t>
      </w:r>
      <w:bookmarkEnd w:id="48"/>
    </w:p>
    <w:p w14:paraId="263DACF7" w14:textId="77777777" w:rsidR="00A33DD8" w:rsidRPr="00BD1D99" w:rsidRDefault="00A33DD8" w:rsidP="00BD1D99">
      <w:pPr>
        <w:keepNext/>
        <w:spacing w:before="40" w:line="276" w:lineRule="auto"/>
        <w:outlineLvl w:val="2"/>
        <w:rPr>
          <w:rFonts w:ascii="Calibri" w:hAnsi="Calibri" w:cs="Calibri"/>
          <w:color w:val="1F3763"/>
          <w:u w:val="single"/>
        </w:rPr>
      </w:pPr>
    </w:p>
    <w:p w14:paraId="3204A0B8" w14:textId="272144E4" w:rsidR="00A33DD8" w:rsidRPr="00BD1D99" w:rsidRDefault="00A33DD8" w:rsidP="00BD1D99">
      <w:pPr>
        <w:keepNext/>
        <w:spacing w:before="40" w:line="276" w:lineRule="auto"/>
        <w:outlineLvl w:val="2"/>
        <w:rPr>
          <w:rFonts w:ascii="Calibri" w:hAnsi="Calibri" w:cs="Calibri"/>
          <w:color w:val="1F3763"/>
          <w:u w:val="single"/>
        </w:rPr>
      </w:pPr>
      <w:bookmarkStart w:id="49" w:name="_Toc85613306"/>
      <w:r w:rsidRPr="00BD1D99">
        <w:rPr>
          <w:rFonts w:ascii="Calibri" w:hAnsi="Calibri" w:cs="Calibri"/>
          <w:color w:val="1F3763"/>
          <w:u w:val="single"/>
        </w:rPr>
        <w:t>Metric A.4: Total # equity-targeted public facilities and equipment or community projects served by the Equity programs</w:t>
      </w:r>
      <w:bookmarkEnd w:id="49"/>
    </w:p>
    <w:p w14:paraId="425CAB68" w14:textId="77777777" w:rsidR="00A33DD8" w:rsidRPr="00BD1D99" w:rsidRDefault="00A33DD8" w:rsidP="00BD1D99">
      <w:pPr>
        <w:keepNext/>
        <w:spacing w:before="40" w:line="276" w:lineRule="auto"/>
        <w:outlineLvl w:val="2"/>
        <w:rPr>
          <w:rFonts w:ascii="Calibri" w:hAnsi="Calibri" w:cs="Calibri"/>
          <w:color w:val="1F3763"/>
          <w:u w:val="single"/>
        </w:rPr>
      </w:pPr>
    </w:p>
    <w:p w14:paraId="216DB531" w14:textId="28CCD4E9" w:rsidR="00DE3FB9" w:rsidRPr="002C1426" w:rsidRDefault="00A33DD8" w:rsidP="00BD1D99">
      <w:pPr>
        <w:keepNext/>
        <w:spacing w:before="40" w:line="276" w:lineRule="auto"/>
        <w:outlineLvl w:val="2"/>
        <w:rPr>
          <w:rFonts w:ascii="Calibri" w:hAnsi="Calibri" w:cs="Calibri"/>
          <w:color w:val="1F3763"/>
          <w:u w:val="single"/>
        </w:rPr>
      </w:pPr>
      <w:bookmarkStart w:id="50" w:name="_Toc85613307"/>
      <w:r w:rsidRPr="00BD1D99">
        <w:rPr>
          <w:rFonts w:ascii="Calibri" w:hAnsi="Calibri" w:cs="Calibri"/>
          <w:color w:val="1F3763"/>
          <w:u w:val="single"/>
        </w:rPr>
        <w:t xml:space="preserve">Metric A.5: </w:t>
      </w:r>
      <w:r w:rsidRPr="002C1426">
        <w:rPr>
          <w:rFonts w:ascii="Calibri" w:hAnsi="Calibri" w:cs="Calibri"/>
          <w:color w:val="1F3763"/>
          <w:u w:val="single"/>
        </w:rPr>
        <w:t>Total # small and medium business</w:t>
      </w:r>
      <w:r w:rsidR="00D27188" w:rsidRPr="002C1426">
        <w:rPr>
          <w:rFonts w:ascii="Calibri" w:hAnsi="Calibri" w:cs="Calibri"/>
          <w:color w:val="1F3763"/>
          <w:u w:val="single"/>
        </w:rPr>
        <w:t xml:space="preserve"> (SMB)</w:t>
      </w:r>
      <w:r w:rsidRPr="002C1426">
        <w:rPr>
          <w:rFonts w:ascii="Calibri" w:hAnsi="Calibri" w:cs="Calibri"/>
          <w:color w:val="1F3763"/>
          <w:u w:val="single"/>
        </w:rPr>
        <w:t>* equity-targeted</w:t>
      </w:r>
      <w:r w:rsidR="00C431AD" w:rsidRPr="002C1426">
        <w:rPr>
          <w:rFonts w:ascii="Calibri" w:hAnsi="Calibri" w:cs="Calibri"/>
          <w:color w:val="1F3763"/>
          <w:u w:val="single"/>
        </w:rPr>
        <w:t>**</w:t>
      </w:r>
      <w:r w:rsidRPr="002C1426">
        <w:rPr>
          <w:rFonts w:ascii="Calibri" w:hAnsi="Calibri" w:cs="Calibri"/>
          <w:color w:val="1F3763"/>
          <w:u w:val="single"/>
        </w:rPr>
        <w:t xml:space="preserve"> participants served by the Equity programs.</w:t>
      </w:r>
      <w:bookmarkEnd w:id="50"/>
      <w:r w:rsidRPr="002C1426">
        <w:rPr>
          <w:rFonts w:ascii="Calibri" w:hAnsi="Calibri" w:cs="Calibri"/>
          <w:color w:val="1F3763"/>
          <w:u w:val="single"/>
        </w:rPr>
        <w:t xml:space="preserve"> </w:t>
      </w:r>
    </w:p>
    <w:p w14:paraId="5B429C66" w14:textId="6B0BEC85" w:rsidR="00A33DD8" w:rsidRPr="00BD1D99" w:rsidRDefault="00A33DD8" w:rsidP="00BD1D99">
      <w:pPr>
        <w:spacing w:line="276" w:lineRule="auto"/>
        <w:rPr>
          <w:rFonts w:ascii="Calibri" w:hAnsi="Calibri" w:cs="Calibri"/>
          <w:color w:val="1F3763"/>
          <w:u w:val="single"/>
        </w:rPr>
      </w:pPr>
      <w:r w:rsidRPr="00BD1D99">
        <w:rPr>
          <w:rFonts w:ascii="Calibri" w:hAnsi="Calibri" w:cs="Calibri"/>
        </w:rPr>
        <w:t xml:space="preserve"> *</w:t>
      </w:r>
      <w:r w:rsidR="00C431AD" w:rsidRPr="00BD1D99">
        <w:rPr>
          <w:rFonts w:ascii="Calibri" w:hAnsi="Calibri" w:cs="Calibri"/>
        </w:rPr>
        <w:t xml:space="preserve">See Appendix </w:t>
      </w:r>
      <w:r w:rsidR="00987389">
        <w:rPr>
          <w:rFonts w:ascii="Calibri" w:hAnsi="Calibri" w:cs="Calibri"/>
        </w:rPr>
        <w:t>E</w:t>
      </w:r>
      <w:r w:rsidR="00C431AD" w:rsidRPr="00BD1D99">
        <w:rPr>
          <w:rFonts w:ascii="Calibri" w:hAnsi="Calibri" w:cs="Calibri"/>
        </w:rPr>
        <w:t xml:space="preserve"> for SMB definitions.</w:t>
      </w:r>
      <w:r w:rsidRPr="00BD1D99">
        <w:rPr>
          <w:rFonts w:ascii="Calibri" w:hAnsi="Calibri" w:cs="Calibri"/>
        </w:rPr>
        <w:t xml:space="preserve"> </w:t>
      </w:r>
      <w:r w:rsidR="00C431AD" w:rsidRPr="00BD1D99">
        <w:rPr>
          <w:rFonts w:ascii="Calibri" w:hAnsi="Calibri" w:cs="Calibri"/>
        </w:rPr>
        <w:t>*</w:t>
      </w:r>
      <w:r w:rsidRPr="00BD1D99">
        <w:rPr>
          <w:rFonts w:ascii="Calibri" w:hAnsi="Calibri" w:cs="Calibri"/>
        </w:rPr>
        <w:t>*The benefits of the program must accrue to eligible populations</w:t>
      </w:r>
    </w:p>
    <w:p w14:paraId="5215CBA7" w14:textId="77777777" w:rsidR="009A0605" w:rsidRPr="00BD1D99" w:rsidRDefault="009A0605" w:rsidP="00BD1D99">
      <w:pPr>
        <w:spacing w:line="276" w:lineRule="auto"/>
        <w:rPr>
          <w:rFonts w:ascii="Calibri" w:hAnsi="Calibri" w:cs="Calibri"/>
          <w:i/>
          <w:iCs/>
        </w:rPr>
      </w:pPr>
    </w:p>
    <w:p w14:paraId="72961756" w14:textId="77777777" w:rsidR="00B53597" w:rsidRDefault="00A70A52" w:rsidP="00BD1D99">
      <w:pPr>
        <w:spacing w:line="276" w:lineRule="auto"/>
        <w:rPr>
          <w:rFonts w:ascii="Calibri" w:hAnsi="Calibri" w:cs="Calibri"/>
          <w:i/>
          <w:iCs/>
        </w:rPr>
      </w:pPr>
      <w:r w:rsidRPr="00BD1D99">
        <w:rPr>
          <w:rFonts w:ascii="Calibri" w:hAnsi="Calibri" w:cs="Calibri"/>
          <w:i/>
          <w:iCs/>
        </w:rPr>
        <w:t>Note</w:t>
      </w:r>
      <w:r w:rsidR="00B53597">
        <w:rPr>
          <w:rFonts w:ascii="Calibri" w:hAnsi="Calibri" w:cs="Calibri"/>
          <w:i/>
          <w:iCs/>
        </w:rPr>
        <w:t>s:</w:t>
      </w:r>
    </w:p>
    <w:p w14:paraId="0FB05CEF" w14:textId="01F7CA72" w:rsidR="004C2BCA" w:rsidRPr="00B53597" w:rsidRDefault="00B53597" w:rsidP="00A66914">
      <w:pPr>
        <w:pStyle w:val="ListParagraph"/>
        <w:numPr>
          <w:ilvl w:val="0"/>
          <w:numId w:val="25"/>
        </w:numPr>
        <w:spacing w:line="276" w:lineRule="auto"/>
        <w:rPr>
          <w:rFonts w:ascii="Calibri" w:hAnsi="Calibri" w:cs="Calibri"/>
        </w:rPr>
      </w:pPr>
      <w:r>
        <w:rPr>
          <w:rFonts w:ascii="Calibri" w:hAnsi="Calibri" w:cs="Calibri"/>
        </w:rPr>
        <w:t>F</w:t>
      </w:r>
      <w:r w:rsidR="00A70A52" w:rsidRPr="00B53597">
        <w:rPr>
          <w:rFonts w:ascii="Calibri" w:hAnsi="Calibri" w:cs="Calibri"/>
        </w:rPr>
        <w:t xml:space="preserve">or A.1-A.5: See </w:t>
      </w:r>
      <w:r w:rsidR="00D27188" w:rsidRPr="00B53597">
        <w:rPr>
          <w:rFonts w:ascii="Calibri" w:hAnsi="Calibri" w:cs="Calibri"/>
        </w:rPr>
        <w:t>Section 5.4 Reporting Expectations</w:t>
      </w:r>
      <w:r w:rsidR="00A70A52" w:rsidRPr="00B53597">
        <w:rPr>
          <w:rFonts w:ascii="Calibri" w:hAnsi="Calibri" w:cs="Calibri"/>
        </w:rPr>
        <w:t xml:space="preserve"> for additional details. </w:t>
      </w:r>
    </w:p>
    <w:p w14:paraId="5563FC48" w14:textId="3092B1AA" w:rsidR="00F73964" w:rsidRPr="00B53597" w:rsidRDefault="00B53597" w:rsidP="00A66914">
      <w:pPr>
        <w:pStyle w:val="ListParagraph"/>
        <w:numPr>
          <w:ilvl w:val="0"/>
          <w:numId w:val="25"/>
        </w:numPr>
        <w:spacing w:line="276" w:lineRule="auto"/>
        <w:rPr>
          <w:rFonts w:ascii="Calibri" w:hAnsi="Calibri" w:cs="Calibri"/>
        </w:rPr>
      </w:pPr>
      <w:r>
        <w:rPr>
          <w:rFonts w:ascii="Calibri" w:hAnsi="Calibri" w:cs="Calibri"/>
        </w:rPr>
        <w:t>F</w:t>
      </w:r>
      <w:r w:rsidR="00F73964" w:rsidRPr="00B53597">
        <w:rPr>
          <w:rFonts w:ascii="Calibri" w:hAnsi="Calibri" w:cs="Calibri"/>
        </w:rPr>
        <w:t>or A</w:t>
      </w:r>
      <w:r>
        <w:rPr>
          <w:rFonts w:ascii="Calibri" w:hAnsi="Calibri" w:cs="Calibri"/>
        </w:rPr>
        <w:t>.</w:t>
      </w:r>
      <w:r w:rsidR="00F73964" w:rsidRPr="00B53597">
        <w:rPr>
          <w:rFonts w:ascii="Calibri" w:hAnsi="Calibri" w:cs="Calibri"/>
        </w:rPr>
        <w:t>6-A</w:t>
      </w:r>
      <w:r>
        <w:rPr>
          <w:rFonts w:ascii="Calibri" w:hAnsi="Calibri" w:cs="Calibri"/>
        </w:rPr>
        <w:t>.</w:t>
      </w:r>
      <w:r w:rsidR="00F73964" w:rsidRPr="00B53597">
        <w:rPr>
          <w:rFonts w:ascii="Calibri" w:hAnsi="Calibri" w:cs="Calibri"/>
        </w:rPr>
        <w:t>7:</w:t>
      </w:r>
      <w:r w:rsidR="00437B49" w:rsidRPr="00B53597">
        <w:rPr>
          <w:rFonts w:ascii="Calibri" w:hAnsi="Calibri" w:cs="Calibri"/>
        </w:rPr>
        <w:t xml:space="preserve"> </w:t>
      </w:r>
      <w:r>
        <w:rPr>
          <w:rFonts w:ascii="Calibri" w:hAnsi="Calibri" w:cs="Calibri"/>
        </w:rPr>
        <w:t>T</w:t>
      </w:r>
      <w:r w:rsidR="00F73964" w:rsidRPr="00B53597">
        <w:rPr>
          <w:rFonts w:ascii="Calibri" w:hAnsi="Calibri" w:cs="Calibri"/>
        </w:rPr>
        <w:t>here are already two workforce, education, and training (WE&amp;T) program metrics that could potentially capture some of the activities in this segment</w:t>
      </w:r>
      <w:r w:rsidR="00D7364F">
        <w:rPr>
          <w:rFonts w:ascii="Calibri" w:hAnsi="Calibri" w:cs="Calibri"/>
        </w:rPr>
        <w:t xml:space="preserve">. </w:t>
      </w:r>
      <w:r w:rsidR="00F73964" w:rsidRPr="00B53597">
        <w:rPr>
          <w:rFonts w:ascii="Calibri" w:hAnsi="Calibri" w:cs="Calibri"/>
        </w:rPr>
        <w:t xml:space="preserve"> (1) Percent of total WE&amp;T training program participants that meet the definition of disadvantaged worker and (2) Percent of incentive dollars spent on contracts* with a demonstrated commitment to provide career pathways to disadvantaged workers.</w:t>
      </w:r>
      <w:r w:rsidR="00F73964" w:rsidRPr="00BD1D99">
        <w:rPr>
          <w:rStyle w:val="FootnoteReference"/>
          <w:rFonts w:ascii="Calibri" w:hAnsi="Calibri" w:cs="Calibri"/>
        </w:rPr>
        <w:footnoteReference w:id="11"/>
      </w:r>
    </w:p>
    <w:p w14:paraId="77D22B32" w14:textId="77777777" w:rsidR="00F73964" w:rsidRPr="00BD1D99" w:rsidRDefault="00F73964" w:rsidP="00BD1D99">
      <w:pPr>
        <w:spacing w:line="276" w:lineRule="auto"/>
        <w:rPr>
          <w:rFonts w:ascii="Calibri" w:hAnsi="Calibri" w:cs="Calibri"/>
          <w:i/>
          <w:iCs/>
          <w:color w:val="000000"/>
        </w:rPr>
      </w:pPr>
    </w:p>
    <w:p w14:paraId="4CBCA5B2" w14:textId="451B8A65" w:rsidR="00F73964" w:rsidRPr="00BD1D99" w:rsidRDefault="00F73964" w:rsidP="00BD1D99">
      <w:pPr>
        <w:spacing w:line="276" w:lineRule="auto"/>
        <w:rPr>
          <w:rFonts w:ascii="Calibri" w:hAnsi="Calibri" w:cs="Calibri"/>
        </w:rPr>
      </w:pPr>
      <w:r w:rsidRPr="00BD1D99">
        <w:rPr>
          <w:rFonts w:ascii="Calibri" w:hAnsi="Calibri" w:cs="Calibri"/>
          <w:i/>
          <w:iCs/>
          <w:color w:val="000000"/>
        </w:rPr>
        <w:t>*Applies only to programs that install, modify, repair, or maintain EE equipment where the incentive is paid to an entity other than a manufacturer, distributor, or retailer of equipment. This applicability standard is adopted from the language the July 9th ruling on workforce standards. It excludes contracts such as those for upstream incentives, Codes and Standards, and mid-stream distributor programs.</w:t>
      </w:r>
    </w:p>
    <w:p w14:paraId="719B760A" w14:textId="77777777" w:rsidR="00A33DD8" w:rsidRPr="00BD1D99" w:rsidRDefault="00A33DD8" w:rsidP="00BD1D99">
      <w:pPr>
        <w:spacing w:line="276" w:lineRule="auto"/>
        <w:rPr>
          <w:rFonts w:ascii="Calibri" w:hAnsi="Calibri" w:cs="Calibri"/>
        </w:rPr>
      </w:pPr>
    </w:p>
    <w:p w14:paraId="367B6386" w14:textId="35D38B6B" w:rsidR="00A33DD8" w:rsidRPr="00BD1D99" w:rsidRDefault="00A33DD8" w:rsidP="00BD1D99">
      <w:pPr>
        <w:keepNext/>
        <w:spacing w:before="40" w:line="276" w:lineRule="auto"/>
        <w:outlineLvl w:val="2"/>
        <w:rPr>
          <w:rFonts w:ascii="Calibri" w:hAnsi="Calibri" w:cs="Calibri"/>
          <w:color w:val="1F3763"/>
          <w:u w:val="single"/>
        </w:rPr>
      </w:pPr>
      <w:bookmarkStart w:id="51" w:name="_Toc85613308"/>
      <w:r w:rsidRPr="00BD1D99">
        <w:rPr>
          <w:rFonts w:ascii="Calibri" w:hAnsi="Calibri" w:cs="Calibri"/>
          <w:color w:val="1F3763"/>
          <w:u w:val="single"/>
        </w:rPr>
        <w:t>Metric A.6: Total # of companies/non-profits served by Equity Segment programs</w:t>
      </w:r>
      <w:bookmarkEnd w:id="51"/>
      <w:r w:rsidRPr="00BD1D99">
        <w:rPr>
          <w:rFonts w:ascii="Calibri" w:hAnsi="Calibri" w:cs="Calibri"/>
          <w:color w:val="1F3763"/>
          <w:u w:val="single"/>
        </w:rPr>
        <w:t xml:space="preserve"> </w:t>
      </w:r>
    </w:p>
    <w:p w14:paraId="17C332AA" w14:textId="069143FF" w:rsidR="00A33DD8" w:rsidRPr="00BD1D99" w:rsidRDefault="00A33DD8" w:rsidP="00BD1D99">
      <w:pPr>
        <w:keepNext/>
        <w:spacing w:before="40" w:line="276" w:lineRule="auto"/>
        <w:outlineLvl w:val="2"/>
        <w:rPr>
          <w:rFonts w:ascii="Calibri" w:hAnsi="Calibri" w:cs="Calibri"/>
        </w:rPr>
      </w:pPr>
    </w:p>
    <w:p w14:paraId="0DEA45E9" w14:textId="4F1ED9EF" w:rsidR="0025334D" w:rsidRPr="00BD1D99" w:rsidRDefault="0025334D" w:rsidP="00BD1D99">
      <w:pPr>
        <w:keepNext/>
        <w:spacing w:before="40" w:line="276" w:lineRule="auto"/>
        <w:outlineLvl w:val="2"/>
        <w:rPr>
          <w:rFonts w:ascii="Calibri" w:hAnsi="Calibri" w:cs="Calibri"/>
          <w:color w:val="1F3763"/>
          <w:u w:val="single"/>
        </w:rPr>
      </w:pPr>
      <w:bookmarkStart w:id="52" w:name="_Toc85613309"/>
      <w:r w:rsidRPr="00BD1D99">
        <w:rPr>
          <w:rFonts w:ascii="Calibri" w:hAnsi="Calibri" w:cs="Calibri"/>
          <w:color w:val="1F3763"/>
          <w:u w:val="single"/>
        </w:rPr>
        <w:t>Metric A.7: Total # of contractors/workers served by Equity Segment programs</w:t>
      </w:r>
      <w:bookmarkEnd w:id="52"/>
      <w:r w:rsidRPr="00BD1D99">
        <w:rPr>
          <w:rFonts w:ascii="Calibri" w:hAnsi="Calibri" w:cs="Calibri"/>
          <w:color w:val="1F3763"/>
          <w:u w:val="single"/>
        </w:rPr>
        <w:t xml:space="preserve"> </w:t>
      </w:r>
    </w:p>
    <w:p w14:paraId="37460C28" w14:textId="77777777" w:rsidR="0025334D" w:rsidRPr="00BD1D99" w:rsidRDefault="0025334D" w:rsidP="00BD1D99">
      <w:pPr>
        <w:spacing w:line="276" w:lineRule="auto"/>
        <w:rPr>
          <w:rFonts w:ascii="Calibri" w:hAnsi="Calibri" w:cs="Calibri"/>
        </w:rPr>
      </w:pPr>
    </w:p>
    <w:p w14:paraId="21EEDAD8" w14:textId="50ABFA77" w:rsidR="007E7817" w:rsidRDefault="00F73964" w:rsidP="00FF10CC">
      <w:pPr>
        <w:keepNext/>
        <w:spacing w:before="40" w:line="276" w:lineRule="auto"/>
        <w:outlineLvl w:val="2"/>
        <w:rPr>
          <w:rFonts w:ascii="Calibri" w:hAnsi="Calibri" w:cs="Calibri"/>
          <w:color w:val="1F3763"/>
          <w:u w:val="single"/>
        </w:rPr>
      </w:pPr>
      <w:bookmarkStart w:id="53" w:name="_Toc85613310"/>
      <w:r w:rsidRPr="00BD1D99">
        <w:rPr>
          <w:rFonts w:ascii="Calibri" w:hAnsi="Calibri" w:cs="Calibri"/>
          <w:color w:val="1F3763"/>
          <w:u w:val="single"/>
        </w:rPr>
        <w:t>A.8</w:t>
      </w:r>
      <w:r w:rsidR="00AA2DA9" w:rsidRPr="00FB2427">
        <w:rPr>
          <w:rFonts w:ascii="Calibri" w:hAnsi="Calibri" w:cs="Calibri"/>
          <w:color w:val="1F3763"/>
          <w:u w:val="single"/>
        </w:rPr>
        <w:t xml:space="preserve">: </w:t>
      </w:r>
      <w:r w:rsidR="004A312C" w:rsidRPr="00FB2427">
        <w:rPr>
          <w:rFonts w:ascii="Calibri" w:hAnsi="Calibri" w:cs="Calibri"/>
          <w:color w:val="1F3763"/>
          <w:u w:val="single"/>
        </w:rPr>
        <w:t xml:space="preserve">Total </w:t>
      </w:r>
      <w:r w:rsidR="00FB2427" w:rsidRPr="00FB2427">
        <w:rPr>
          <w:rFonts w:ascii="Calibri" w:hAnsi="Calibri" w:cs="Calibri"/>
          <w:color w:val="1F3763"/>
          <w:u w:val="single"/>
        </w:rPr>
        <w:t>[(</w:t>
      </w:r>
      <w:r w:rsidR="004A312C" w:rsidRPr="00FB2427">
        <w:rPr>
          <w:rFonts w:ascii="Calibri" w:hAnsi="Calibri" w:cs="Calibri"/>
          <w:color w:val="1F3763"/>
          <w:u w:val="single"/>
        </w:rPr>
        <w:t xml:space="preserve"># indicator for all) and </w:t>
      </w:r>
      <w:r w:rsidR="00FB2427" w:rsidRPr="00FB2427">
        <w:rPr>
          <w:rFonts w:ascii="Calibri" w:hAnsi="Calibri" w:cs="Calibri"/>
          <w:color w:val="1F3763"/>
          <w:u w:val="single"/>
        </w:rPr>
        <w:t>(</w:t>
      </w:r>
      <w:r w:rsidR="004A312C" w:rsidRPr="00FB2427">
        <w:rPr>
          <w:rFonts w:ascii="Calibri" w:hAnsi="Calibri" w:cs="Calibri"/>
          <w:color w:val="1F3763"/>
          <w:u w:val="single"/>
        </w:rPr>
        <w:t>% metric for PAs with no relevant legal restriction)</w:t>
      </w:r>
      <w:r w:rsidR="008028ED">
        <w:rPr>
          <w:rFonts w:ascii="Calibri" w:hAnsi="Calibri" w:cs="Calibri"/>
          <w:color w:val="1F3763"/>
          <w:u w:val="single"/>
        </w:rPr>
        <w:t xml:space="preserve"> of</w:t>
      </w:r>
      <w:r w:rsidR="004A312C" w:rsidRPr="00FB2427">
        <w:rPr>
          <w:rFonts w:ascii="Calibri" w:hAnsi="Calibri" w:cs="Calibri"/>
          <w:color w:val="1F3763"/>
          <w:u w:val="single"/>
        </w:rPr>
        <w:t>]</w:t>
      </w:r>
      <w:r w:rsidR="004A312C" w:rsidRPr="004A312C">
        <w:rPr>
          <w:rFonts w:ascii="Calibri" w:hAnsi="Calibri" w:cs="Calibri"/>
          <w:color w:val="1F3763"/>
          <w:u w:val="single"/>
        </w:rPr>
        <w:t xml:space="preserve"> contractors and/or workers that are disadvantaged workers or otherwise underrepresented, who are directly involved in implementing Equity Segment programs</w:t>
      </w:r>
      <w:r w:rsidR="00FB2427">
        <w:rPr>
          <w:rStyle w:val="FootnoteReference"/>
          <w:rFonts w:ascii="Calibri" w:hAnsi="Calibri" w:cs="Calibri"/>
          <w:color w:val="1F3763"/>
          <w:u w:val="single"/>
        </w:rPr>
        <w:footnoteReference w:id="12"/>
      </w:r>
      <w:bookmarkEnd w:id="53"/>
    </w:p>
    <w:p w14:paraId="5D815F4A" w14:textId="77777777" w:rsidR="00AA2DA9" w:rsidRPr="00FF10CC" w:rsidRDefault="00AA2DA9" w:rsidP="00FF10CC">
      <w:pPr>
        <w:rPr>
          <w:rFonts w:ascii="Calibri" w:hAnsi="Calibri" w:cs="Calibri"/>
          <w:b/>
          <w:bCs/>
        </w:rPr>
      </w:pPr>
      <w:r w:rsidRPr="00FF10CC">
        <w:rPr>
          <w:rFonts w:ascii="Calibri" w:hAnsi="Calibri" w:cs="Calibri"/>
          <w:i/>
          <w:iCs/>
        </w:rPr>
        <w:t>Metric for those PAs for whom there’s not a legal restriction:</w:t>
      </w:r>
      <w:r w:rsidRPr="00FF10CC">
        <w:rPr>
          <w:rFonts w:ascii="Calibri" w:hAnsi="Calibri" w:cs="Calibri"/>
          <w:b/>
          <w:bCs/>
        </w:rPr>
        <w:t xml:space="preserve"> </w:t>
      </w:r>
      <w:r w:rsidRPr="00FF10CC">
        <w:rPr>
          <w:rFonts w:ascii="Calibri" w:hAnsi="Calibri" w:cs="Calibri"/>
        </w:rPr>
        <w:t>% of contractors and/or workers that are disadvantaged workers</w:t>
      </w:r>
      <w:r w:rsidRPr="00FF10CC">
        <w:rPr>
          <w:rStyle w:val="FootnoteReference"/>
          <w:rFonts w:ascii="Calibri" w:hAnsi="Calibri" w:cs="Calibri"/>
        </w:rPr>
        <w:footnoteReference w:id="13"/>
      </w:r>
      <w:r w:rsidRPr="00FF10CC">
        <w:rPr>
          <w:rFonts w:ascii="Calibri" w:hAnsi="Calibri" w:cs="Calibri"/>
        </w:rPr>
        <w:t xml:space="preserve"> or otherwise underrepresented, who are directly involved in implementing Equity Segment programs.</w:t>
      </w:r>
      <w:r w:rsidRPr="00FF10CC">
        <w:rPr>
          <w:rStyle w:val="FootnoteReference"/>
          <w:rFonts w:ascii="Calibri" w:hAnsi="Calibri" w:cs="Calibri"/>
        </w:rPr>
        <w:footnoteReference w:id="14"/>
      </w:r>
    </w:p>
    <w:p w14:paraId="47318F4C" w14:textId="77777777" w:rsidR="00AA2DA9" w:rsidRPr="00FF10CC" w:rsidRDefault="00AA2DA9" w:rsidP="00FF10CC">
      <w:pPr>
        <w:rPr>
          <w:rFonts w:ascii="Calibri" w:hAnsi="Calibri" w:cs="Calibri"/>
          <w:b/>
          <w:bCs/>
        </w:rPr>
      </w:pPr>
    </w:p>
    <w:p w14:paraId="53532249" w14:textId="77777777" w:rsidR="00AA2DA9" w:rsidRPr="00FF10CC" w:rsidRDefault="00AA2DA9" w:rsidP="00FF10CC">
      <w:pPr>
        <w:rPr>
          <w:rFonts w:ascii="Calibri" w:hAnsi="Calibri" w:cs="Calibri"/>
        </w:rPr>
      </w:pPr>
      <w:r w:rsidRPr="00FF10CC">
        <w:rPr>
          <w:rFonts w:ascii="Calibri" w:hAnsi="Calibri" w:cs="Calibri"/>
          <w:i/>
          <w:iCs/>
        </w:rPr>
        <w:t>Indicator (without targets) for all PAs:</w:t>
      </w:r>
      <w:r w:rsidRPr="00FF10CC">
        <w:rPr>
          <w:rFonts w:ascii="Calibri" w:hAnsi="Calibri" w:cs="Calibri"/>
          <w:b/>
          <w:bCs/>
        </w:rPr>
        <w:t xml:space="preserve"> </w:t>
      </w:r>
      <w:r w:rsidRPr="00FF10CC">
        <w:rPr>
          <w:rFonts w:ascii="Calibri" w:hAnsi="Calibri" w:cs="Calibri"/>
        </w:rPr>
        <w:t># of contractors</w:t>
      </w:r>
      <w:r w:rsidRPr="00FF10CC">
        <w:rPr>
          <w:rFonts w:ascii="Calibri" w:hAnsi="Calibri" w:cs="Calibri"/>
          <w:b/>
          <w:bCs/>
        </w:rPr>
        <w:t xml:space="preserve"> </w:t>
      </w:r>
      <w:r w:rsidRPr="00FF10CC">
        <w:rPr>
          <w:rFonts w:ascii="Calibri" w:hAnsi="Calibri" w:cs="Calibri"/>
        </w:rPr>
        <w:t>of contractors and/or workers that are disadvantaged workers</w:t>
      </w:r>
      <w:r w:rsidRPr="00FF10CC">
        <w:rPr>
          <w:rStyle w:val="FootnoteReference"/>
          <w:rFonts w:ascii="Calibri" w:hAnsi="Calibri" w:cs="Calibri"/>
        </w:rPr>
        <w:footnoteReference w:id="15"/>
      </w:r>
      <w:r w:rsidRPr="00FF10CC">
        <w:rPr>
          <w:rFonts w:ascii="Calibri" w:hAnsi="Calibri" w:cs="Calibri"/>
        </w:rPr>
        <w:t xml:space="preserve"> or otherwise underrepresented, who are directly involved in implementing Equity Segment programs.</w:t>
      </w:r>
    </w:p>
    <w:p w14:paraId="484F044B" w14:textId="77777777" w:rsidR="00BE64EB" w:rsidRPr="00BD1D99" w:rsidRDefault="00BE64EB" w:rsidP="00BD1D99">
      <w:pPr>
        <w:spacing w:line="276" w:lineRule="auto"/>
        <w:rPr>
          <w:rFonts w:ascii="Calibri" w:hAnsi="Calibri" w:cs="Calibri"/>
        </w:rPr>
      </w:pPr>
    </w:p>
    <w:p w14:paraId="46A76FE0" w14:textId="452A8254" w:rsidR="00AA2DA9" w:rsidRDefault="00F73964" w:rsidP="00BD1D99">
      <w:pPr>
        <w:keepNext/>
        <w:spacing w:before="40" w:line="276" w:lineRule="auto"/>
        <w:outlineLvl w:val="2"/>
        <w:rPr>
          <w:rFonts w:ascii="Calibri" w:hAnsi="Calibri" w:cs="Calibri"/>
          <w:color w:val="1F3763"/>
          <w:u w:val="single"/>
        </w:rPr>
      </w:pPr>
      <w:bookmarkStart w:id="54" w:name="_Toc85613311"/>
      <w:r w:rsidRPr="00B0312F">
        <w:rPr>
          <w:rFonts w:ascii="Calibri" w:hAnsi="Calibri" w:cs="Calibri"/>
          <w:color w:val="1F3763"/>
          <w:u w:val="single"/>
        </w:rPr>
        <w:t>A.9</w:t>
      </w:r>
      <w:r w:rsidR="00B20CB5" w:rsidRPr="00B0312F">
        <w:rPr>
          <w:rFonts w:ascii="Calibri" w:hAnsi="Calibri" w:cs="Calibri"/>
          <w:color w:val="1F3763"/>
          <w:u w:val="single"/>
        </w:rPr>
        <w:t xml:space="preserve">: </w:t>
      </w:r>
      <w:r w:rsidR="004A312C" w:rsidRPr="00B0312F">
        <w:rPr>
          <w:rFonts w:ascii="Calibri" w:hAnsi="Calibri" w:cs="Calibri"/>
          <w:color w:val="1F3763"/>
          <w:u w:val="single"/>
        </w:rPr>
        <w:t xml:space="preserve">Total </w:t>
      </w:r>
      <w:r w:rsidR="00B0312F" w:rsidRPr="00B0312F">
        <w:rPr>
          <w:rFonts w:ascii="Calibri" w:hAnsi="Calibri" w:cs="Calibri"/>
          <w:color w:val="1F3763"/>
          <w:u w:val="single"/>
        </w:rPr>
        <w:t>[(</w:t>
      </w:r>
      <w:r w:rsidR="004A312C" w:rsidRPr="00B0312F">
        <w:rPr>
          <w:rFonts w:ascii="Calibri" w:hAnsi="Calibri" w:cs="Calibri"/>
          <w:color w:val="1F3763"/>
          <w:u w:val="single"/>
        </w:rPr>
        <w:t xml:space="preserve"># indicator for all) and </w:t>
      </w:r>
      <w:r w:rsidR="00B0312F" w:rsidRPr="00B0312F">
        <w:rPr>
          <w:rFonts w:ascii="Calibri" w:hAnsi="Calibri" w:cs="Calibri"/>
          <w:color w:val="1F3763"/>
          <w:u w:val="single"/>
        </w:rPr>
        <w:t>(</w:t>
      </w:r>
      <w:r w:rsidR="004A312C" w:rsidRPr="00B0312F">
        <w:rPr>
          <w:rFonts w:ascii="Calibri" w:hAnsi="Calibri" w:cs="Calibri"/>
          <w:color w:val="1F3763"/>
          <w:u w:val="single"/>
        </w:rPr>
        <w:t>% metric for PAs with no relevant legal restriction)</w:t>
      </w:r>
      <w:r w:rsidR="008028ED">
        <w:rPr>
          <w:rFonts w:ascii="Calibri" w:hAnsi="Calibri" w:cs="Calibri"/>
          <w:color w:val="1F3763"/>
          <w:u w:val="single"/>
        </w:rPr>
        <w:t xml:space="preserve"> of</w:t>
      </w:r>
      <w:r w:rsidR="004A312C" w:rsidRPr="00B0312F">
        <w:rPr>
          <w:rFonts w:ascii="Calibri" w:hAnsi="Calibri" w:cs="Calibri"/>
          <w:color w:val="1F3763"/>
          <w:u w:val="single"/>
        </w:rPr>
        <w:t xml:space="preserve">] </w:t>
      </w:r>
      <w:r w:rsidR="004A312C" w:rsidRPr="004A312C">
        <w:rPr>
          <w:rFonts w:ascii="Calibri" w:hAnsi="Calibri" w:cs="Calibri"/>
          <w:color w:val="1F3763"/>
          <w:u w:val="single"/>
        </w:rPr>
        <w:t>companies/non-profits who are Diverse Business Enterprises (DBE) or otherwise underrepresented (e.g., BIPOC-owned) with contracts to implement Equity Segment programs</w:t>
      </w:r>
      <w:r w:rsidR="00FB2427">
        <w:rPr>
          <w:rStyle w:val="FootnoteReference"/>
          <w:rFonts w:ascii="Calibri" w:hAnsi="Calibri" w:cs="Calibri"/>
          <w:color w:val="1F3763"/>
          <w:u w:val="single"/>
        </w:rPr>
        <w:footnoteReference w:id="16"/>
      </w:r>
      <w:bookmarkEnd w:id="54"/>
    </w:p>
    <w:p w14:paraId="4F228398" w14:textId="77777777" w:rsidR="00AA2DA9" w:rsidRPr="00FF10CC" w:rsidRDefault="00AA2DA9" w:rsidP="00FF10CC">
      <w:pPr>
        <w:rPr>
          <w:rFonts w:ascii="Calibri" w:hAnsi="Calibri" w:cs="Calibri"/>
          <w:b/>
          <w:bCs/>
        </w:rPr>
      </w:pPr>
      <w:r w:rsidRPr="00FF10CC">
        <w:rPr>
          <w:rFonts w:ascii="Calibri" w:hAnsi="Calibri" w:cs="Calibri"/>
          <w:i/>
          <w:iCs/>
        </w:rPr>
        <w:t>Metric for those PAs for whom there’s not a legal restriction:</w:t>
      </w:r>
      <w:r w:rsidRPr="00FF10CC">
        <w:rPr>
          <w:rFonts w:ascii="Calibri" w:hAnsi="Calibri" w:cs="Calibri"/>
        </w:rPr>
        <w:t xml:space="preserve"> % of companies/non-profits who are Diverse Business Enterprises (DBE)</w:t>
      </w:r>
      <w:r w:rsidRPr="00FF10CC">
        <w:rPr>
          <w:rStyle w:val="FootnoteReference"/>
          <w:rFonts w:ascii="Calibri" w:hAnsi="Calibri" w:cs="Calibri"/>
        </w:rPr>
        <w:footnoteReference w:id="17"/>
      </w:r>
      <w:r w:rsidRPr="00FF10CC">
        <w:rPr>
          <w:rFonts w:ascii="Calibri" w:hAnsi="Calibri" w:cs="Calibri"/>
        </w:rPr>
        <w:t xml:space="preserve"> or otherwise underrepresented (e.g., BIPOC-owned) with contracts to implement Equity segment programs</w:t>
      </w:r>
    </w:p>
    <w:p w14:paraId="7A1F3655" w14:textId="77777777" w:rsidR="00AA2DA9" w:rsidRPr="00FF10CC" w:rsidRDefault="00AA2DA9" w:rsidP="00FF10CC">
      <w:pPr>
        <w:rPr>
          <w:rFonts w:ascii="Calibri" w:hAnsi="Calibri" w:cs="Calibri"/>
          <w:b/>
          <w:bCs/>
        </w:rPr>
      </w:pPr>
    </w:p>
    <w:p w14:paraId="1A744C19" w14:textId="77777777" w:rsidR="00AA2DA9" w:rsidRPr="00FF10CC" w:rsidRDefault="00AA2DA9" w:rsidP="00FF10CC">
      <w:pPr>
        <w:rPr>
          <w:rFonts w:ascii="Calibri" w:hAnsi="Calibri" w:cs="Calibri"/>
          <w:b/>
          <w:bCs/>
        </w:rPr>
      </w:pPr>
      <w:r w:rsidRPr="00FF10CC">
        <w:rPr>
          <w:rFonts w:ascii="Calibri" w:hAnsi="Calibri" w:cs="Calibri"/>
          <w:i/>
          <w:iCs/>
        </w:rPr>
        <w:t>Indicator (without targets) for all PAs:</w:t>
      </w:r>
      <w:r w:rsidRPr="00FF10CC">
        <w:rPr>
          <w:rFonts w:ascii="Calibri" w:hAnsi="Calibri" w:cs="Calibri"/>
          <w:b/>
          <w:bCs/>
        </w:rPr>
        <w:t xml:space="preserve"> </w:t>
      </w:r>
      <w:r w:rsidRPr="00FF10CC">
        <w:rPr>
          <w:rFonts w:ascii="Calibri" w:hAnsi="Calibri" w:cs="Calibri"/>
        </w:rPr>
        <w:t># of companies/non-profits who are Diverse Business Enterprises (DBE)</w:t>
      </w:r>
      <w:r w:rsidRPr="00FF10CC">
        <w:rPr>
          <w:rStyle w:val="FootnoteReference"/>
          <w:rFonts w:ascii="Calibri" w:hAnsi="Calibri" w:cs="Calibri"/>
        </w:rPr>
        <w:footnoteReference w:id="18"/>
      </w:r>
      <w:r w:rsidRPr="00FF10CC">
        <w:rPr>
          <w:rFonts w:ascii="Calibri" w:hAnsi="Calibri" w:cs="Calibri"/>
        </w:rPr>
        <w:t xml:space="preserve"> or otherwise underrepresented (e.g., BIPOC-owned) with contracts to implement Equity segment programs</w:t>
      </w:r>
    </w:p>
    <w:p w14:paraId="1C019179" w14:textId="77777777" w:rsidR="00B73EA4" w:rsidRPr="00BD1D99" w:rsidRDefault="00B73EA4" w:rsidP="00BD1D99">
      <w:pPr>
        <w:spacing w:line="276" w:lineRule="auto"/>
        <w:rPr>
          <w:rFonts w:ascii="Calibri" w:hAnsi="Calibri" w:cs="Calibri"/>
          <w:color w:val="1F3763"/>
          <w:highlight w:val="cyan"/>
          <w:u w:val="single"/>
        </w:rPr>
      </w:pPr>
    </w:p>
    <w:p w14:paraId="126E18FB" w14:textId="77777777" w:rsidR="008B1EDA" w:rsidRPr="00BD1D99" w:rsidRDefault="008B1EDA" w:rsidP="00BD1D99">
      <w:pPr>
        <w:spacing w:line="276" w:lineRule="auto"/>
        <w:rPr>
          <w:rFonts w:ascii="Calibri" w:hAnsi="Calibri" w:cs="Calibri"/>
        </w:rPr>
      </w:pPr>
    </w:p>
    <w:p w14:paraId="6FEBD679" w14:textId="76DD1FA5" w:rsidR="009B6DD0" w:rsidRPr="00A66914" w:rsidRDefault="00996EC8" w:rsidP="00BD1D99">
      <w:pPr>
        <w:pStyle w:val="Heading2"/>
      </w:pPr>
      <w:bookmarkStart w:id="55" w:name="_Toc85613312"/>
      <w:r w:rsidRPr="00A66914">
        <w:t>4.</w:t>
      </w:r>
      <w:r w:rsidR="00C00E38" w:rsidRPr="00A66914">
        <w:t>3</w:t>
      </w:r>
      <w:r w:rsidRPr="00A66914">
        <w:t xml:space="preserve"> </w:t>
      </w:r>
      <w:r w:rsidR="00B148CC" w:rsidRPr="00A66914">
        <w:t xml:space="preserve">B: </w:t>
      </w:r>
      <w:r w:rsidRPr="00A66914">
        <w:t>Metrics</w:t>
      </w:r>
      <w:r w:rsidR="00D009B3" w:rsidRPr="00A66914">
        <w:t xml:space="preserve"> and Indicators</w:t>
      </w:r>
      <w:r w:rsidRPr="00A66914">
        <w:t xml:space="preserve"> to Assess E</w:t>
      </w:r>
      <w:r w:rsidR="009B6DD0" w:rsidRPr="00A66914">
        <w:t xml:space="preserve">nergy </w:t>
      </w:r>
      <w:r w:rsidR="00D83156" w:rsidRPr="00A66914">
        <w:t xml:space="preserve">and/or Cost </w:t>
      </w:r>
      <w:r w:rsidRPr="00A66914">
        <w:t>S</w:t>
      </w:r>
      <w:r w:rsidR="009B6DD0" w:rsidRPr="00A66914">
        <w:t xml:space="preserve">avings in </w:t>
      </w:r>
      <w:r w:rsidRPr="00A66914">
        <w:t>T</w:t>
      </w:r>
      <w:r w:rsidR="009B6DD0" w:rsidRPr="00A66914">
        <w:t xml:space="preserve">argeted </w:t>
      </w:r>
      <w:r w:rsidRPr="00A66914">
        <w:t>P</w:t>
      </w:r>
      <w:r w:rsidR="009B6DD0" w:rsidRPr="00A66914">
        <w:t>opulations</w:t>
      </w:r>
      <w:bookmarkEnd w:id="55"/>
      <w:r w:rsidR="009B6DD0" w:rsidRPr="00A66914">
        <w:t xml:space="preserve"> </w:t>
      </w:r>
    </w:p>
    <w:p w14:paraId="55EB53B2" w14:textId="2511C956" w:rsidR="009B6DD0" w:rsidRPr="00BD1D99" w:rsidRDefault="00604221" w:rsidP="00604221">
      <w:pPr>
        <w:pStyle w:val="Heading3"/>
        <w:spacing w:line="276" w:lineRule="auto"/>
        <w:rPr>
          <w:rFonts w:ascii="Calibri" w:hAnsi="Calibri" w:cs="Calibri"/>
          <w:b/>
          <w:bCs/>
        </w:rPr>
      </w:pPr>
      <w:bookmarkStart w:id="56" w:name="_Toc85613313"/>
      <w:r>
        <w:rPr>
          <w:rFonts w:ascii="Calibri" w:hAnsi="Calibri" w:cs="Calibri"/>
          <w:b/>
          <w:bCs/>
        </w:rPr>
        <w:t xml:space="preserve">Consensus </w:t>
      </w:r>
      <w:r w:rsidR="00996EC8" w:rsidRPr="00BD1D99">
        <w:rPr>
          <w:rFonts w:ascii="Calibri" w:hAnsi="Calibri" w:cs="Calibri"/>
          <w:b/>
          <w:bCs/>
        </w:rPr>
        <w:t>Metric Recommendation</w:t>
      </w:r>
      <w:r w:rsidR="00D276DE" w:rsidRPr="00BD1D99">
        <w:rPr>
          <w:rFonts w:ascii="Calibri" w:hAnsi="Calibri" w:cs="Calibri"/>
          <w:b/>
          <w:bCs/>
        </w:rPr>
        <w:t xml:space="preserve"> – to Assess Energy and/or Cost Savings in Targeted Populations</w:t>
      </w:r>
      <w:bookmarkEnd w:id="56"/>
    </w:p>
    <w:p w14:paraId="20669DDE" w14:textId="3489C634" w:rsidR="00B73EA4" w:rsidRPr="00BD1D99" w:rsidRDefault="00A91696" w:rsidP="00BD1D99">
      <w:pPr>
        <w:keepNext/>
        <w:spacing w:before="40" w:line="276" w:lineRule="auto"/>
        <w:outlineLvl w:val="2"/>
        <w:rPr>
          <w:rFonts w:ascii="Calibri" w:hAnsi="Calibri" w:cs="Calibri"/>
          <w:color w:val="1F3763"/>
          <w:u w:val="single"/>
        </w:rPr>
      </w:pPr>
      <w:bookmarkStart w:id="57" w:name="_Toc85613314"/>
      <w:r w:rsidRPr="00BD1D99">
        <w:rPr>
          <w:rFonts w:ascii="Calibri" w:hAnsi="Calibri" w:cs="Calibri"/>
          <w:color w:val="1F3763"/>
          <w:u w:val="single"/>
        </w:rPr>
        <w:t xml:space="preserve">Metric </w:t>
      </w:r>
      <w:r w:rsidR="008E114A" w:rsidRPr="00BD1D99">
        <w:rPr>
          <w:rFonts w:ascii="Calibri" w:hAnsi="Calibri" w:cs="Calibri"/>
          <w:color w:val="1F3763"/>
          <w:u w:val="single"/>
        </w:rPr>
        <w:t>B</w:t>
      </w:r>
      <w:r w:rsidRPr="00BD1D99">
        <w:rPr>
          <w:rFonts w:ascii="Calibri" w:hAnsi="Calibri" w:cs="Calibri"/>
          <w:color w:val="1F3763"/>
          <w:u w:val="single"/>
        </w:rPr>
        <w:t>.</w:t>
      </w:r>
      <w:r w:rsidR="00CD4C78" w:rsidRPr="00BD1D99">
        <w:rPr>
          <w:rFonts w:ascii="Calibri" w:hAnsi="Calibri" w:cs="Calibri"/>
          <w:color w:val="1F3763"/>
          <w:u w:val="single"/>
        </w:rPr>
        <w:t>1</w:t>
      </w:r>
      <w:r w:rsidRPr="00BD1D99">
        <w:rPr>
          <w:rFonts w:ascii="Calibri" w:hAnsi="Calibri" w:cs="Calibri"/>
          <w:color w:val="1F3763"/>
          <w:u w:val="single"/>
        </w:rPr>
        <w:t xml:space="preserve">: </w:t>
      </w:r>
      <w:r w:rsidR="009B6DD0" w:rsidRPr="00BD1D99">
        <w:rPr>
          <w:rFonts w:ascii="Calibri" w:hAnsi="Calibri" w:cs="Calibri"/>
          <w:color w:val="1F3763"/>
          <w:u w:val="single"/>
        </w:rPr>
        <w:t xml:space="preserve">Expected first-year bill savings in total $ for </w:t>
      </w:r>
      <w:r w:rsidR="00EC22DF" w:rsidRPr="00BD1D99">
        <w:rPr>
          <w:rFonts w:ascii="Calibri" w:hAnsi="Calibri" w:cs="Calibri"/>
          <w:color w:val="1F3763"/>
          <w:u w:val="single"/>
        </w:rPr>
        <w:t>E</w:t>
      </w:r>
      <w:r w:rsidR="009B6DD0" w:rsidRPr="00BD1D99">
        <w:rPr>
          <w:rFonts w:ascii="Calibri" w:hAnsi="Calibri" w:cs="Calibri"/>
          <w:color w:val="1F3763"/>
          <w:u w:val="single"/>
        </w:rPr>
        <w:t>quity-</w:t>
      </w:r>
      <w:r w:rsidR="009F2291" w:rsidRPr="00BD1D99">
        <w:rPr>
          <w:rFonts w:ascii="Calibri" w:hAnsi="Calibri" w:cs="Calibri"/>
          <w:color w:val="1F3763"/>
          <w:u w:val="single"/>
        </w:rPr>
        <w:t>targeted participants</w:t>
      </w:r>
      <w:r w:rsidR="00624768" w:rsidRPr="00BD1D99">
        <w:rPr>
          <w:rFonts w:ascii="Calibri" w:hAnsi="Calibri" w:cs="Calibri"/>
          <w:color w:val="1F3763"/>
          <w:u w:val="single"/>
        </w:rPr>
        <w:t>*</w:t>
      </w:r>
      <w:r w:rsidR="00B73EA4" w:rsidRPr="00BD1D99">
        <w:rPr>
          <w:rFonts w:ascii="Calibri" w:hAnsi="Calibri" w:cs="Calibri"/>
          <w:color w:val="1F3763"/>
          <w:u w:val="single"/>
        </w:rPr>
        <w:t>.</w:t>
      </w:r>
      <w:bookmarkEnd w:id="57"/>
      <w:r w:rsidR="00B73EA4" w:rsidRPr="00BD1D99">
        <w:rPr>
          <w:rFonts w:ascii="Calibri" w:hAnsi="Calibri" w:cs="Calibri"/>
          <w:color w:val="1F3763"/>
          <w:u w:val="single"/>
        </w:rPr>
        <w:t xml:space="preserve"> </w:t>
      </w:r>
    </w:p>
    <w:p w14:paraId="7A97C32D" w14:textId="1BC307A5" w:rsidR="005B6027" w:rsidRPr="00BD1D99" w:rsidRDefault="00B73EA4" w:rsidP="00BD1D99">
      <w:pPr>
        <w:spacing w:line="276" w:lineRule="auto"/>
        <w:rPr>
          <w:rFonts w:ascii="Calibri" w:hAnsi="Calibri" w:cs="Calibri"/>
        </w:rPr>
      </w:pPr>
      <w:r w:rsidRPr="00BD1D99">
        <w:rPr>
          <w:rFonts w:ascii="Calibri" w:hAnsi="Calibri" w:cs="Calibri"/>
        </w:rPr>
        <w:t>*There still needs to be clarity on the methodology, including how to manage for fuel substitution.</w:t>
      </w:r>
    </w:p>
    <w:p w14:paraId="24090F0C" w14:textId="77777777" w:rsidR="00B73EA4" w:rsidRPr="00BD1D99" w:rsidRDefault="00B73EA4" w:rsidP="00BD1D99">
      <w:pPr>
        <w:keepNext/>
        <w:spacing w:before="40" w:line="276" w:lineRule="auto"/>
        <w:outlineLvl w:val="2"/>
        <w:rPr>
          <w:rFonts w:ascii="Calibri" w:hAnsi="Calibri" w:cs="Calibri"/>
          <w:b/>
          <w:bCs/>
          <w:color w:val="1F3763"/>
          <w:u w:val="single"/>
        </w:rPr>
      </w:pPr>
    </w:p>
    <w:p w14:paraId="67589874" w14:textId="3A782A9C" w:rsidR="00CD4C78" w:rsidRPr="00BD1D99" w:rsidRDefault="00D01C67" w:rsidP="00BD1D99">
      <w:pPr>
        <w:spacing w:line="276" w:lineRule="auto"/>
        <w:rPr>
          <w:rFonts w:ascii="Calibri" w:hAnsi="Calibri" w:cs="Calibri"/>
        </w:rPr>
      </w:pPr>
      <w:r w:rsidRPr="00BD1D99">
        <w:rPr>
          <w:rFonts w:ascii="Calibri" w:hAnsi="Calibri" w:cs="Calibri"/>
        </w:rPr>
        <w:t xml:space="preserve">Given the time constraint of this process, the proposal at this stage is </w:t>
      </w:r>
      <w:r w:rsidR="00394E06" w:rsidRPr="00BD1D99">
        <w:rPr>
          <w:rFonts w:ascii="Calibri" w:hAnsi="Calibri" w:cs="Calibri"/>
        </w:rPr>
        <w:t xml:space="preserve">two-fold. First, </w:t>
      </w:r>
      <w:r w:rsidRPr="00BD1D99">
        <w:rPr>
          <w:rFonts w:ascii="Calibri" w:hAnsi="Calibri" w:cs="Calibri"/>
        </w:rPr>
        <w:t xml:space="preserve">use this metric </w:t>
      </w:r>
      <w:r w:rsidR="00F36147" w:rsidRPr="00BD1D99">
        <w:rPr>
          <w:rFonts w:ascii="Calibri" w:hAnsi="Calibri" w:cs="Calibri"/>
        </w:rPr>
        <w:t xml:space="preserve">as an initial proxy to start to look at how </w:t>
      </w:r>
      <w:r w:rsidR="00A7356A" w:rsidRPr="00BD1D99">
        <w:rPr>
          <w:rFonts w:ascii="Calibri" w:hAnsi="Calibri" w:cs="Calibri"/>
        </w:rPr>
        <w:t xml:space="preserve">programs strive to </w:t>
      </w:r>
      <w:r w:rsidR="008C7682" w:rsidRPr="00BD1D99">
        <w:rPr>
          <w:rFonts w:ascii="Calibri" w:hAnsi="Calibri" w:cs="Calibri"/>
        </w:rPr>
        <w:t>reduce a customer’s energy burden (i.e., the percentage of gross household income spent on energy costs)</w:t>
      </w:r>
      <w:r w:rsidR="00394E06" w:rsidRPr="00BD1D99">
        <w:rPr>
          <w:rFonts w:ascii="Calibri" w:hAnsi="Calibri" w:cs="Calibri"/>
        </w:rPr>
        <w:t xml:space="preserve">. Second, </w:t>
      </w:r>
      <w:r w:rsidR="00A7356A" w:rsidRPr="00BD1D99">
        <w:rPr>
          <w:rFonts w:ascii="Calibri" w:hAnsi="Calibri" w:cs="Calibri"/>
        </w:rPr>
        <w:t xml:space="preserve">by mid-cycle, </w:t>
      </w:r>
      <w:r w:rsidRPr="00BD1D99">
        <w:rPr>
          <w:rFonts w:ascii="Calibri" w:hAnsi="Calibri" w:cs="Calibri"/>
        </w:rPr>
        <w:t>review</w:t>
      </w:r>
      <w:r w:rsidR="00A7356A" w:rsidRPr="00BD1D99">
        <w:rPr>
          <w:rFonts w:ascii="Calibri" w:hAnsi="Calibri" w:cs="Calibri"/>
        </w:rPr>
        <w:t xml:space="preserve"> </w:t>
      </w:r>
      <w:r w:rsidRPr="00BD1D99">
        <w:rPr>
          <w:rFonts w:ascii="Calibri" w:hAnsi="Calibri" w:cs="Calibri"/>
        </w:rPr>
        <w:t xml:space="preserve">whether this is the most </w:t>
      </w:r>
      <w:r w:rsidR="00394E06" w:rsidRPr="00BD1D99">
        <w:rPr>
          <w:rFonts w:ascii="Calibri" w:hAnsi="Calibri" w:cs="Calibri"/>
        </w:rPr>
        <w:t>appropriate</w:t>
      </w:r>
      <w:r w:rsidRPr="00BD1D99">
        <w:rPr>
          <w:rFonts w:ascii="Calibri" w:hAnsi="Calibri" w:cs="Calibri"/>
        </w:rPr>
        <w:t xml:space="preserve"> metric to </w:t>
      </w:r>
      <w:r w:rsidR="008C7682" w:rsidRPr="00BD1D99">
        <w:rPr>
          <w:rFonts w:ascii="Calibri" w:hAnsi="Calibri" w:cs="Calibri"/>
        </w:rPr>
        <w:t>do so</w:t>
      </w:r>
      <w:r w:rsidR="004B4E15" w:rsidRPr="00BD1D99">
        <w:rPr>
          <w:rFonts w:ascii="Calibri" w:hAnsi="Calibri" w:cs="Calibri"/>
        </w:rPr>
        <w:t>. If not</w:t>
      </w:r>
      <w:r w:rsidR="00A7356A" w:rsidRPr="00BD1D99">
        <w:rPr>
          <w:rFonts w:ascii="Calibri" w:hAnsi="Calibri" w:cs="Calibri"/>
        </w:rPr>
        <w:t xml:space="preserve">, </w:t>
      </w:r>
      <w:r w:rsidRPr="00BD1D99">
        <w:rPr>
          <w:rFonts w:ascii="Calibri" w:hAnsi="Calibri" w:cs="Calibri"/>
        </w:rPr>
        <w:t>the PAs should propose</w:t>
      </w:r>
      <w:r w:rsidR="00A7356A" w:rsidRPr="00BD1D99">
        <w:rPr>
          <w:rFonts w:ascii="Calibri" w:hAnsi="Calibri" w:cs="Calibri"/>
        </w:rPr>
        <w:t xml:space="preserve"> (in line with </w:t>
      </w:r>
      <w:r w:rsidR="006B142F" w:rsidRPr="00BD1D99">
        <w:rPr>
          <w:rFonts w:ascii="Calibri" w:hAnsi="Calibri" w:cs="Calibri"/>
        </w:rPr>
        <w:t>p</w:t>
      </w:r>
      <w:r w:rsidR="00A7356A" w:rsidRPr="00BD1D99">
        <w:rPr>
          <w:rFonts w:ascii="Calibri" w:hAnsi="Calibri" w:cs="Calibri"/>
        </w:rPr>
        <w:t xml:space="preserve">roposed </w:t>
      </w:r>
      <w:r w:rsidR="006B142F" w:rsidRPr="00BD1D99">
        <w:rPr>
          <w:rFonts w:ascii="Calibri" w:hAnsi="Calibri" w:cs="Calibri"/>
        </w:rPr>
        <w:t>Pr</w:t>
      </w:r>
      <w:r w:rsidR="00A7356A" w:rsidRPr="00BD1D99">
        <w:rPr>
          <w:rFonts w:ascii="Calibri" w:hAnsi="Calibri" w:cs="Calibri"/>
        </w:rPr>
        <w:t>inciple #3D)</w:t>
      </w:r>
      <w:r w:rsidRPr="00BD1D99">
        <w:rPr>
          <w:rFonts w:ascii="Calibri" w:hAnsi="Calibri" w:cs="Calibri"/>
        </w:rPr>
        <w:t xml:space="preserve"> whether this </w:t>
      </w:r>
      <w:r w:rsidR="00A7356A" w:rsidRPr="00BD1D99">
        <w:rPr>
          <w:rFonts w:ascii="Calibri" w:hAnsi="Calibri" w:cs="Calibri"/>
        </w:rPr>
        <w:t xml:space="preserve">metric </w:t>
      </w:r>
      <w:r w:rsidRPr="00BD1D99">
        <w:rPr>
          <w:rFonts w:ascii="Calibri" w:hAnsi="Calibri" w:cs="Calibri"/>
        </w:rPr>
        <w:t xml:space="preserve">should be modified or if an additional metric should be adopted. </w:t>
      </w:r>
    </w:p>
    <w:p w14:paraId="336AB2E9" w14:textId="2517D35E" w:rsidR="0037335B" w:rsidRPr="00BD1D99" w:rsidRDefault="0037335B" w:rsidP="00BD1D99">
      <w:pPr>
        <w:spacing w:line="276" w:lineRule="auto"/>
        <w:rPr>
          <w:rFonts w:ascii="Calibri" w:hAnsi="Calibri" w:cs="Calibri"/>
        </w:rPr>
      </w:pPr>
    </w:p>
    <w:p w14:paraId="231DFA09" w14:textId="0B770B80" w:rsidR="00996EC8" w:rsidRPr="00BD1D99" w:rsidRDefault="00604221" w:rsidP="00604221">
      <w:pPr>
        <w:pStyle w:val="Heading3"/>
        <w:spacing w:line="276" w:lineRule="auto"/>
        <w:rPr>
          <w:rFonts w:ascii="Calibri" w:hAnsi="Calibri" w:cs="Calibri"/>
          <w:b/>
          <w:bCs/>
        </w:rPr>
      </w:pPr>
      <w:bookmarkStart w:id="58" w:name="_Toc85613315"/>
      <w:r>
        <w:rPr>
          <w:rFonts w:ascii="Calibri" w:hAnsi="Calibri" w:cs="Calibri"/>
          <w:b/>
          <w:bCs/>
        </w:rPr>
        <w:t xml:space="preserve">Consensus </w:t>
      </w:r>
      <w:r w:rsidR="00996EC8" w:rsidRPr="00BD1D99">
        <w:rPr>
          <w:rFonts w:ascii="Calibri" w:hAnsi="Calibri" w:cs="Calibri"/>
          <w:b/>
          <w:bCs/>
        </w:rPr>
        <w:t>Indicator Recommendation</w:t>
      </w:r>
      <w:r w:rsidR="00D276DE" w:rsidRPr="00BD1D99">
        <w:rPr>
          <w:rFonts w:ascii="Calibri" w:hAnsi="Calibri" w:cs="Calibri"/>
          <w:b/>
          <w:bCs/>
        </w:rPr>
        <w:t xml:space="preserve"> – to Assess Energy and/or Cost Savings in Targeted Populations</w:t>
      </w:r>
      <w:bookmarkEnd w:id="58"/>
    </w:p>
    <w:p w14:paraId="4F9072DE" w14:textId="4A5303A4" w:rsidR="00936471" w:rsidRPr="00BD1D99" w:rsidRDefault="00936471" w:rsidP="00BD1D99">
      <w:pPr>
        <w:keepNext/>
        <w:spacing w:before="40" w:line="276" w:lineRule="auto"/>
        <w:outlineLvl w:val="2"/>
        <w:rPr>
          <w:rFonts w:ascii="Calibri" w:hAnsi="Calibri" w:cs="Calibri"/>
          <w:color w:val="1F3763"/>
          <w:u w:val="single"/>
        </w:rPr>
      </w:pPr>
      <w:bookmarkStart w:id="59" w:name="_Toc85613316"/>
      <w:r w:rsidRPr="00BD1D99">
        <w:rPr>
          <w:rFonts w:ascii="Calibri" w:hAnsi="Calibri" w:cs="Calibri"/>
          <w:color w:val="1F3763"/>
          <w:u w:val="single"/>
        </w:rPr>
        <w:t>Indicator B.2: Direct Savings</w:t>
      </w:r>
      <w:r w:rsidR="00F36147" w:rsidRPr="00BD1D99">
        <w:rPr>
          <w:rFonts w:ascii="Calibri" w:hAnsi="Calibri" w:cs="Calibri"/>
          <w:color w:val="1F3763"/>
          <w:u w:val="single"/>
        </w:rPr>
        <w:t xml:space="preserve"> from Equity-segment programs </w:t>
      </w:r>
      <w:r w:rsidRPr="00BD1D99">
        <w:rPr>
          <w:rFonts w:ascii="Calibri" w:hAnsi="Calibri" w:cs="Calibri"/>
          <w:color w:val="1F3763"/>
          <w:u w:val="single"/>
        </w:rPr>
        <w:t>*</w:t>
      </w:r>
      <w:bookmarkEnd w:id="59"/>
      <w:r w:rsidRPr="00BD1D99">
        <w:rPr>
          <w:rFonts w:ascii="Calibri" w:hAnsi="Calibri" w:cs="Calibri"/>
          <w:color w:val="1F3763"/>
          <w:u w:val="single"/>
        </w:rPr>
        <w:t xml:space="preserve"> </w:t>
      </w:r>
    </w:p>
    <w:p w14:paraId="73939FCA" w14:textId="77777777" w:rsidR="00936471" w:rsidRPr="00BD1D99" w:rsidRDefault="00936471" w:rsidP="00760381">
      <w:pPr>
        <w:pStyle w:val="ListParagraph"/>
        <w:numPr>
          <w:ilvl w:val="0"/>
          <w:numId w:val="15"/>
        </w:numPr>
        <w:spacing w:line="276" w:lineRule="auto"/>
        <w:rPr>
          <w:rFonts w:ascii="Calibri" w:hAnsi="Calibri" w:cs="Calibri"/>
        </w:rPr>
      </w:pPr>
      <w:r w:rsidRPr="00BD1D99">
        <w:rPr>
          <w:rFonts w:ascii="Calibri" w:hAnsi="Calibri" w:cs="Calibri"/>
        </w:rPr>
        <w:t xml:space="preserve">GHG reductions (tons) </w:t>
      </w:r>
    </w:p>
    <w:p w14:paraId="0165ECDE" w14:textId="77777777" w:rsidR="00936471" w:rsidRPr="00BD1D99" w:rsidRDefault="00936471" w:rsidP="00760381">
      <w:pPr>
        <w:pStyle w:val="ListParagraph"/>
        <w:numPr>
          <w:ilvl w:val="0"/>
          <w:numId w:val="15"/>
        </w:numPr>
        <w:spacing w:line="276" w:lineRule="auto"/>
        <w:rPr>
          <w:rFonts w:ascii="Calibri" w:hAnsi="Calibri" w:cs="Calibri"/>
        </w:rPr>
      </w:pPr>
      <w:r w:rsidRPr="00BD1D99">
        <w:rPr>
          <w:rFonts w:ascii="Calibri" w:hAnsi="Calibri" w:cs="Calibri"/>
        </w:rPr>
        <w:t xml:space="preserve">Total kWh savings </w:t>
      </w:r>
    </w:p>
    <w:p w14:paraId="3E3CA417" w14:textId="77777777" w:rsidR="00936471" w:rsidRPr="00BD1D99" w:rsidRDefault="00936471" w:rsidP="00760381">
      <w:pPr>
        <w:pStyle w:val="ListParagraph"/>
        <w:numPr>
          <w:ilvl w:val="0"/>
          <w:numId w:val="15"/>
        </w:numPr>
        <w:spacing w:line="276" w:lineRule="auto"/>
        <w:rPr>
          <w:rFonts w:ascii="Calibri" w:hAnsi="Calibri" w:cs="Calibri"/>
        </w:rPr>
      </w:pPr>
      <w:r w:rsidRPr="00BD1D99">
        <w:rPr>
          <w:rFonts w:ascii="Calibri" w:hAnsi="Calibri" w:cs="Calibri"/>
        </w:rPr>
        <w:t>Total therm savings</w:t>
      </w:r>
    </w:p>
    <w:p w14:paraId="376FDCF9" w14:textId="77777777" w:rsidR="00936471" w:rsidRPr="00BD1D99" w:rsidRDefault="00936471" w:rsidP="00760381">
      <w:pPr>
        <w:pStyle w:val="ListParagraph"/>
        <w:numPr>
          <w:ilvl w:val="0"/>
          <w:numId w:val="15"/>
        </w:numPr>
        <w:spacing w:line="276" w:lineRule="auto"/>
        <w:rPr>
          <w:rFonts w:ascii="Calibri" w:hAnsi="Calibri" w:cs="Calibri"/>
        </w:rPr>
      </w:pPr>
      <w:r w:rsidRPr="00BD1D99">
        <w:rPr>
          <w:rFonts w:ascii="Calibri" w:hAnsi="Calibri" w:cs="Calibri"/>
        </w:rPr>
        <w:t>Total kW savings</w:t>
      </w:r>
    </w:p>
    <w:p w14:paraId="597D20DC" w14:textId="77777777" w:rsidR="00936471" w:rsidRPr="00BD1D99" w:rsidRDefault="00936471" w:rsidP="00BD1D99">
      <w:pPr>
        <w:spacing w:line="276" w:lineRule="auto"/>
        <w:rPr>
          <w:rFonts w:ascii="Calibri" w:eastAsiaTheme="minorHAnsi" w:hAnsi="Calibri" w:cs="Calibri"/>
        </w:rPr>
      </w:pPr>
      <w:r w:rsidRPr="00BD1D99">
        <w:rPr>
          <w:rFonts w:ascii="Calibri" w:eastAsiaTheme="minorHAnsi" w:hAnsi="Calibri" w:cs="Calibri"/>
        </w:rPr>
        <w:t>*apply existing methodology</w:t>
      </w:r>
    </w:p>
    <w:p w14:paraId="22811935" w14:textId="77777777" w:rsidR="00936471" w:rsidRPr="00BD1D99" w:rsidRDefault="00936471" w:rsidP="00BD1D99">
      <w:pPr>
        <w:spacing w:line="276" w:lineRule="auto"/>
        <w:rPr>
          <w:rFonts w:ascii="Calibri" w:hAnsi="Calibri" w:cs="Calibri"/>
          <w:b/>
          <w:bCs/>
          <w:u w:val="single"/>
        </w:rPr>
      </w:pPr>
    </w:p>
    <w:p w14:paraId="3111341A" w14:textId="200ADC66" w:rsidR="00604221" w:rsidRPr="00604221" w:rsidRDefault="00604221" w:rsidP="00604221">
      <w:pPr>
        <w:pStyle w:val="Heading3"/>
        <w:spacing w:line="276" w:lineRule="auto"/>
        <w:rPr>
          <w:rFonts w:ascii="Calibri" w:hAnsi="Calibri" w:cs="Calibri"/>
          <w:b/>
          <w:bCs/>
        </w:rPr>
      </w:pPr>
      <w:bookmarkStart w:id="60" w:name="_Toc85613317"/>
      <w:bookmarkStart w:id="61" w:name="_Toc83132989"/>
      <w:r>
        <w:rPr>
          <w:rFonts w:ascii="Calibri" w:hAnsi="Calibri" w:cs="Calibri"/>
          <w:b/>
          <w:bCs/>
        </w:rPr>
        <w:t xml:space="preserve">Non-Consensus </w:t>
      </w:r>
      <w:r w:rsidRPr="00BD1D99">
        <w:rPr>
          <w:rFonts w:ascii="Calibri" w:hAnsi="Calibri" w:cs="Calibri"/>
          <w:b/>
          <w:bCs/>
        </w:rPr>
        <w:t>Indicator Recommendation – to Assess Energy and/or Cost Savings in Targeted Populations</w:t>
      </w:r>
      <w:bookmarkEnd w:id="60"/>
    </w:p>
    <w:p w14:paraId="4B3A800D" w14:textId="4A4AC26A" w:rsidR="00D009B3" w:rsidRPr="00BD1D99" w:rsidRDefault="00EC22DF" w:rsidP="00BD1D99">
      <w:pPr>
        <w:keepNext/>
        <w:spacing w:before="40" w:line="276" w:lineRule="auto"/>
        <w:outlineLvl w:val="2"/>
        <w:rPr>
          <w:rFonts w:ascii="Calibri" w:hAnsi="Calibri" w:cs="Calibri"/>
          <w:color w:val="1F3763"/>
          <w:u w:val="single"/>
        </w:rPr>
      </w:pPr>
      <w:bookmarkStart w:id="62" w:name="_Toc85613318"/>
      <w:r w:rsidRPr="00BD1D99">
        <w:rPr>
          <w:rFonts w:ascii="Calibri" w:hAnsi="Calibri" w:cs="Calibri"/>
          <w:color w:val="1F3763"/>
          <w:u w:val="single"/>
        </w:rPr>
        <w:t xml:space="preserve">Indicator </w:t>
      </w:r>
      <w:r w:rsidR="00CD4C78" w:rsidRPr="00BD1D99">
        <w:rPr>
          <w:rFonts w:ascii="Calibri" w:hAnsi="Calibri" w:cs="Calibri"/>
          <w:color w:val="1F3763"/>
          <w:u w:val="single"/>
        </w:rPr>
        <w:t>B</w:t>
      </w:r>
      <w:r w:rsidR="00414A6D" w:rsidRPr="00BD1D99">
        <w:rPr>
          <w:rFonts w:ascii="Calibri" w:hAnsi="Calibri" w:cs="Calibri"/>
          <w:color w:val="1F3763"/>
          <w:u w:val="single"/>
        </w:rPr>
        <w:t>.</w:t>
      </w:r>
      <w:r w:rsidR="00B148CC" w:rsidRPr="00BD1D99">
        <w:rPr>
          <w:rFonts w:ascii="Calibri" w:hAnsi="Calibri" w:cs="Calibri"/>
          <w:color w:val="1F3763"/>
          <w:u w:val="single"/>
        </w:rPr>
        <w:t>3</w:t>
      </w:r>
      <w:r w:rsidR="00414A6D" w:rsidRPr="00BD1D99">
        <w:rPr>
          <w:rFonts w:ascii="Calibri" w:hAnsi="Calibri" w:cs="Calibri"/>
          <w:color w:val="1F3763"/>
          <w:u w:val="single"/>
        </w:rPr>
        <w:t xml:space="preserve"> </w:t>
      </w:r>
      <w:r w:rsidR="00D009B3" w:rsidRPr="00BD1D99">
        <w:rPr>
          <w:rFonts w:ascii="Calibri" w:hAnsi="Calibri" w:cs="Calibri"/>
          <w:color w:val="1F3763"/>
          <w:u w:val="single"/>
        </w:rPr>
        <w:t>Community Engagement</w:t>
      </w:r>
      <w:bookmarkEnd w:id="61"/>
      <w:bookmarkEnd w:id="62"/>
    </w:p>
    <w:p w14:paraId="1E4F49B7" w14:textId="446AD755" w:rsidR="00D009B3" w:rsidRPr="00BD1D99" w:rsidRDefault="00D009B3" w:rsidP="00BD1D99">
      <w:pPr>
        <w:spacing w:line="276" w:lineRule="auto"/>
        <w:rPr>
          <w:rFonts w:ascii="Calibri" w:hAnsi="Calibri" w:cs="Calibri"/>
        </w:rPr>
      </w:pPr>
      <w:r w:rsidRPr="00BD1D99">
        <w:rPr>
          <w:rFonts w:ascii="Calibri" w:hAnsi="Calibri" w:cs="Calibri"/>
        </w:rPr>
        <w:t>The Equity Metrics Working Group (</w:t>
      </w:r>
      <w:r w:rsidR="00090954" w:rsidRPr="00BD1D99">
        <w:rPr>
          <w:rFonts w:ascii="Calibri" w:hAnsi="Calibri" w:cs="Calibri"/>
        </w:rPr>
        <w:t>EM</w:t>
      </w:r>
      <w:r w:rsidRPr="00BD1D99">
        <w:rPr>
          <w:rFonts w:ascii="Calibri" w:hAnsi="Calibri" w:cs="Calibri"/>
        </w:rPr>
        <w:t xml:space="preserve">WG) members are divided on the approach to community engagement. </w:t>
      </w:r>
      <w:r w:rsidR="00936471" w:rsidRPr="00BD1D99">
        <w:rPr>
          <w:rFonts w:ascii="Calibri" w:hAnsi="Calibri" w:cs="Calibri"/>
        </w:rPr>
        <w:t xml:space="preserve">One option is to include it as a Principle, and another option is to include it as an Indicator. </w:t>
      </w:r>
      <w:r w:rsidR="000E68E1" w:rsidRPr="00BD1D99">
        <w:rPr>
          <w:rFonts w:ascii="Calibri" w:hAnsi="Calibri" w:cs="Calibri"/>
        </w:rPr>
        <w:t xml:space="preserve">The full rationales </w:t>
      </w:r>
      <w:r w:rsidR="00F04B69">
        <w:rPr>
          <w:rFonts w:ascii="Calibri" w:hAnsi="Calibri" w:cs="Calibri"/>
        </w:rPr>
        <w:t xml:space="preserve">and the table of EMWG Member preferences </w:t>
      </w:r>
      <w:r w:rsidR="000E68E1" w:rsidRPr="00BD1D99">
        <w:rPr>
          <w:rFonts w:ascii="Calibri" w:hAnsi="Calibri" w:cs="Calibri"/>
        </w:rPr>
        <w:t>are provided in Appendix B</w:t>
      </w:r>
      <w:r w:rsidR="00F04B69">
        <w:rPr>
          <w:rFonts w:ascii="Calibri" w:hAnsi="Calibri" w:cs="Calibri"/>
        </w:rPr>
        <w:t>.</w:t>
      </w:r>
    </w:p>
    <w:p w14:paraId="4E16659F" w14:textId="77777777" w:rsidR="0037335B" w:rsidRPr="00BD1D99" w:rsidRDefault="0037335B" w:rsidP="00BD1D99">
      <w:pPr>
        <w:pStyle w:val="Heading2"/>
        <w:rPr>
          <w:b/>
          <w:bCs/>
        </w:rPr>
      </w:pPr>
    </w:p>
    <w:p w14:paraId="7DA35B75" w14:textId="5115D843" w:rsidR="009B6DD0" w:rsidRPr="00A66914" w:rsidRDefault="00996EC8" w:rsidP="00BD1D99">
      <w:pPr>
        <w:pStyle w:val="Heading2"/>
      </w:pPr>
      <w:bookmarkStart w:id="63" w:name="_Toc85613319"/>
      <w:r w:rsidRPr="00A66914">
        <w:t>4.</w:t>
      </w:r>
      <w:r w:rsidR="00C00E38" w:rsidRPr="00A66914">
        <w:t>4</w:t>
      </w:r>
      <w:r w:rsidRPr="00A66914">
        <w:t xml:space="preserve"> </w:t>
      </w:r>
      <w:r w:rsidR="00B148CC" w:rsidRPr="00A66914">
        <w:t xml:space="preserve">C: </w:t>
      </w:r>
      <w:r w:rsidRPr="00A66914">
        <w:t>Metrics</w:t>
      </w:r>
      <w:r w:rsidR="00D009B3" w:rsidRPr="00A66914">
        <w:t xml:space="preserve"> and Indicators</w:t>
      </w:r>
      <w:r w:rsidRPr="00A66914">
        <w:t xml:space="preserve"> for “Holistic” Benefits</w:t>
      </w:r>
      <w:bookmarkEnd w:id="63"/>
    </w:p>
    <w:p w14:paraId="7EF892D5" w14:textId="052A2FE7" w:rsidR="009B6DD0" w:rsidRPr="00BD1D99" w:rsidRDefault="00996EC8" w:rsidP="00BD1D99">
      <w:pPr>
        <w:pStyle w:val="Heading4"/>
        <w:spacing w:line="276" w:lineRule="auto"/>
        <w:rPr>
          <w:rFonts w:ascii="Calibri" w:hAnsi="Calibri" w:cs="Calibri"/>
          <w:b/>
          <w:bCs/>
        </w:rPr>
      </w:pPr>
      <w:r w:rsidRPr="00BD1D99">
        <w:rPr>
          <w:rFonts w:ascii="Calibri" w:hAnsi="Calibri" w:cs="Calibri"/>
          <w:b/>
          <w:bCs/>
        </w:rPr>
        <w:t>Metric Recommendation</w:t>
      </w:r>
      <w:r w:rsidR="00D276DE" w:rsidRPr="00BD1D99">
        <w:rPr>
          <w:rFonts w:ascii="Calibri" w:hAnsi="Calibri" w:cs="Calibri"/>
          <w:b/>
          <w:bCs/>
        </w:rPr>
        <w:t xml:space="preserve"> – for “Holistic” Benefit</w:t>
      </w:r>
    </w:p>
    <w:p w14:paraId="1CB4C3E0" w14:textId="531898D0" w:rsidR="00EC22DF" w:rsidRPr="00BD1D99" w:rsidRDefault="00EC22DF" w:rsidP="00BD1D99">
      <w:pPr>
        <w:spacing w:line="276" w:lineRule="auto"/>
        <w:rPr>
          <w:rFonts w:ascii="Calibri" w:hAnsi="Calibri" w:cs="Calibri"/>
        </w:rPr>
      </w:pPr>
      <w:r w:rsidRPr="00BD1D99">
        <w:rPr>
          <w:rFonts w:ascii="Calibri" w:hAnsi="Calibri" w:cs="Calibri"/>
        </w:rPr>
        <w:t>There are no</w:t>
      </w:r>
      <w:r w:rsidR="001147DE" w:rsidRPr="00BD1D99">
        <w:rPr>
          <w:rFonts w:ascii="Calibri" w:hAnsi="Calibri" w:cs="Calibri"/>
        </w:rPr>
        <w:t xml:space="preserve"> </w:t>
      </w:r>
      <w:r w:rsidR="00DE22BC" w:rsidRPr="00BD1D99">
        <w:rPr>
          <w:rFonts w:ascii="Calibri" w:hAnsi="Calibri" w:cs="Calibri"/>
        </w:rPr>
        <w:t xml:space="preserve">proposed </w:t>
      </w:r>
      <w:r w:rsidRPr="00BD1D99">
        <w:rPr>
          <w:rFonts w:ascii="Calibri" w:hAnsi="Calibri" w:cs="Calibri"/>
        </w:rPr>
        <w:t>metrics in this category.</w:t>
      </w:r>
    </w:p>
    <w:p w14:paraId="71AB4305" w14:textId="77777777" w:rsidR="00936471" w:rsidRPr="00BD1D99" w:rsidRDefault="00936471" w:rsidP="00BD1D99">
      <w:pPr>
        <w:spacing w:line="276" w:lineRule="auto"/>
        <w:rPr>
          <w:rFonts w:ascii="Calibri" w:hAnsi="Calibri" w:cs="Calibri"/>
        </w:rPr>
      </w:pPr>
    </w:p>
    <w:p w14:paraId="7AE068BA" w14:textId="627B18F7" w:rsidR="009831E4" w:rsidRPr="00604221" w:rsidRDefault="00604221" w:rsidP="00BD1D99">
      <w:pPr>
        <w:pStyle w:val="Heading4"/>
        <w:spacing w:line="276" w:lineRule="auto"/>
        <w:rPr>
          <w:rFonts w:ascii="Calibri" w:hAnsi="Calibri" w:cs="Calibri"/>
          <w:b/>
          <w:bCs/>
          <w:i w:val="0"/>
          <w:iCs w:val="0"/>
          <w:color w:val="1F3763" w:themeColor="accent1" w:themeShade="7F"/>
        </w:rPr>
      </w:pPr>
      <w:r>
        <w:rPr>
          <w:rFonts w:ascii="Calibri" w:hAnsi="Calibri" w:cs="Calibri"/>
          <w:b/>
          <w:bCs/>
          <w:i w:val="0"/>
          <w:iCs w:val="0"/>
          <w:color w:val="1F3763" w:themeColor="accent1" w:themeShade="7F"/>
        </w:rPr>
        <w:t xml:space="preserve">Consensus </w:t>
      </w:r>
      <w:r w:rsidR="0093291A" w:rsidRPr="00604221">
        <w:rPr>
          <w:rFonts w:ascii="Calibri" w:hAnsi="Calibri" w:cs="Calibri"/>
          <w:b/>
          <w:bCs/>
          <w:i w:val="0"/>
          <w:iCs w:val="0"/>
          <w:color w:val="1F3763" w:themeColor="accent1" w:themeShade="7F"/>
        </w:rPr>
        <w:t xml:space="preserve">Indicator Recommendation </w:t>
      </w:r>
      <w:r w:rsidR="00D276DE" w:rsidRPr="00604221">
        <w:rPr>
          <w:rFonts w:ascii="Calibri" w:hAnsi="Calibri" w:cs="Calibri"/>
          <w:b/>
          <w:bCs/>
          <w:i w:val="0"/>
          <w:iCs w:val="0"/>
          <w:color w:val="1F3763" w:themeColor="accent1" w:themeShade="7F"/>
        </w:rPr>
        <w:t xml:space="preserve">– for </w:t>
      </w:r>
      <w:r w:rsidR="006A3797">
        <w:rPr>
          <w:rFonts w:ascii="Calibri" w:hAnsi="Calibri" w:cs="Calibri"/>
          <w:b/>
          <w:bCs/>
          <w:i w:val="0"/>
          <w:iCs w:val="0"/>
          <w:color w:val="1F3763" w:themeColor="accent1" w:themeShade="7F"/>
        </w:rPr>
        <w:t>“</w:t>
      </w:r>
      <w:r w:rsidR="00D276DE" w:rsidRPr="00604221">
        <w:rPr>
          <w:rFonts w:ascii="Calibri" w:hAnsi="Calibri" w:cs="Calibri"/>
          <w:b/>
          <w:bCs/>
          <w:i w:val="0"/>
          <w:iCs w:val="0"/>
          <w:color w:val="1F3763" w:themeColor="accent1" w:themeShade="7F"/>
        </w:rPr>
        <w:t>Holistic” Benefit</w:t>
      </w:r>
    </w:p>
    <w:p w14:paraId="48B45BC9" w14:textId="6E27DAFA" w:rsidR="008137E6" w:rsidRPr="00BD1D99" w:rsidRDefault="00B54C31" w:rsidP="00BD1D99">
      <w:pPr>
        <w:keepNext/>
        <w:spacing w:before="40" w:line="276" w:lineRule="auto"/>
        <w:outlineLvl w:val="2"/>
        <w:rPr>
          <w:rFonts w:ascii="Calibri" w:hAnsi="Calibri" w:cs="Calibri"/>
          <w:color w:val="1F3763"/>
          <w:u w:val="single"/>
        </w:rPr>
      </w:pPr>
      <w:bookmarkStart w:id="64" w:name="_Toc85613320"/>
      <w:r w:rsidRPr="00BD1D99">
        <w:rPr>
          <w:rFonts w:ascii="Calibri" w:hAnsi="Calibri" w:cs="Calibri"/>
          <w:color w:val="1F3763"/>
          <w:u w:val="single"/>
        </w:rPr>
        <w:t xml:space="preserve">Indicator </w:t>
      </w:r>
      <w:r w:rsidR="00B148CC" w:rsidRPr="00BD1D99">
        <w:rPr>
          <w:rFonts w:ascii="Calibri" w:hAnsi="Calibri" w:cs="Calibri"/>
          <w:color w:val="1F3763"/>
          <w:u w:val="single"/>
        </w:rPr>
        <w:t>C</w:t>
      </w:r>
      <w:r w:rsidRPr="00BD1D99">
        <w:rPr>
          <w:rFonts w:ascii="Calibri" w:hAnsi="Calibri" w:cs="Calibri"/>
          <w:color w:val="1F3763"/>
          <w:u w:val="single"/>
        </w:rPr>
        <w:t>.1: Benefits to participants and to society as a whole</w:t>
      </w:r>
      <w:bookmarkEnd w:id="64"/>
      <w:r w:rsidRPr="00BD1D99">
        <w:rPr>
          <w:rFonts w:ascii="Calibri" w:hAnsi="Calibri" w:cs="Calibri"/>
          <w:color w:val="1F3763"/>
          <w:u w:val="single"/>
        </w:rPr>
        <w:t xml:space="preserve"> </w:t>
      </w:r>
    </w:p>
    <w:p w14:paraId="1A861AC2" w14:textId="08225598" w:rsidR="00E50E52" w:rsidRPr="00BD1D99" w:rsidRDefault="00920CB0" w:rsidP="00BD1D99">
      <w:pPr>
        <w:spacing w:after="160" w:line="276" w:lineRule="auto"/>
        <w:rPr>
          <w:rFonts w:ascii="Calibri" w:eastAsiaTheme="minorHAnsi" w:hAnsi="Calibri" w:cs="Calibri"/>
        </w:rPr>
      </w:pPr>
      <w:r w:rsidRPr="00BD1D99">
        <w:rPr>
          <w:rFonts w:ascii="Calibri" w:eastAsiaTheme="minorHAnsi" w:hAnsi="Calibri" w:cs="Calibri"/>
        </w:rPr>
        <w:t xml:space="preserve">The EMWG is proposing this </w:t>
      </w:r>
      <w:r w:rsidR="00F36147" w:rsidRPr="00BD1D99">
        <w:rPr>
          <w:rFonts w:ascii="Calibri" w:eastAsiaTheme="minorHAnsi" w:hAnsi="Calibri" w:cs="Calibri"/>
        </w:rPr>
        <w:t xml:space="preserve">indicator </w:t>
      </w:r>
      <w:r w:rsidRPr="00BD1D99">
        <w:rPr>
          <w:rFonts w:ascii="Calibri" w:eastAsiaTheme="minorHAnsi" w:hAnsi="Calibri" w:cs="Calibri"/>
        </w:rPr>
        <w:t xml:space="preserve">of “combined total benefits” for the Equity Segment to advance the industry by exploring ways to look at both energy and non-energy benefits together – under a “combined total benefits” metric – that would be used for programs in the Equity segment. </w:t>
      </w:r>
      <w:r w:rsidR="00E50E52" w:rsidRPr="00BD1D99">
        <w:rPr>
          <w:rFonts w:ascii="Calibri" w:hAnsi="Calibri" w:cs="Calibri"/>
        </w:rPr>
        <w:t>All A-</w:t>
      </w:r>
      <w:r w:rsidR="00146E7F" w:rsidRPr="00BD1D99">
        <w:rPr>
          <w:rFonts w:ascii="Calibri" w:hAnsi="Calibri" w:cs="Calibri"/>
        </w:rPr>
        <w:t>E</w:t>
      </w:r>
      <w:r w:rsidR="00E50E52" w:rsidRPr="00BD1D99">
        <w:rPr>
          <w:rFonts w:ascii="Calibri" w:hAnsi="Calibri" w:cs="Calibri"/>
        </w:rPr>
        <w:t xml:space="preserve"> below in $ and</w:t>
      </w:r>
      <w:r w:rsidR="00F36147" w:rsidRPr="00BD1D99">
        <w:rPr>
          <w:rFonts w:ascii="Calibri" w:hAnsi="Calibri" w:cs="Calibri"/>
        </w:rPr>
        <w:t>/or</w:t>
      </w:r>
      <w:r w:rsidR="00E50E52" w:rsidRPr="00BD1D99">
        <w:rPr>
          <w:rFonts w:ascii="Calibri" w:hAnsi="Calibri" w:cs="Calibri"/>
        </w:rPr>
        <w:t xml:space="preserve"> units until units can be monetized</w:t>
      </w:r>
      <w:r w:rsidR="00242A0A">
        <w:rPr>
          <w:rFonts w:ascii="Calibri" w:hAnsi="Calibri" w:cs="Calibri"/>
        </w:rPr>
        <w:t>.</w:t>
      </w:r>
    </w:p>
    <w:p w14:paraId="13EBF09C" w14:textId="070D3DA9" w:rsidR="009B6DD0" w:rsidRPr="00BD1D99" w:rsidRDefault="00F36147" w:rsidP="00760381">
      <w:pPr>
        <w:pStyle w:val="ListParagraph"/>
        <w:numPr>
          <w:ilvl w:val="0"/>
          <w:numId w:val="4"/>
        </w:numPr>
        <w:spacing w:line="276" w:lineRule="auto"/>
        <w:rPr>
          <w:rFonts w:ascii="Calibri" w:eastAsia="Times New Roman" w:hAnsi="Calibri" w:cs="Calibri"/>
        </w:rPr>
      </w:pPr>
      <w:r w:rsidRPr="00BD1D99">
        <w:rPr>
          <w:rFonts w:ascii="Calibri" w:eastAsia="Times New Roman" w:hAnsi="Calibri" w:cs="Calibri"/>
        </w:rPr>
        <w:t>Energy and climate benefits</w:t>
      </w:r>
      <w:r w:rsidR="009B6DD0" w:rsidRPr="00BD1D99">
        <w:rPr>
          <w:rFonts w:ascii="Calibri" w:eastAsia="Times New Roman" w:hAnsi="Calibri" w:cs="Calibri"/>
        </w:rPr>
        <w:t xml:space="preserve"> </w:t>
      </w:r>
      <w:r w:rsidR="00146E7F" w:rsidRPr="00BD1D99">
        <w:rPr>
          <w:rFonts w:ascii="Calibri" w:eastAsia="Times New Roman" w:hAnsi="Calibri" w:cs="Calibri"/>
        </w:rPr>
        <w:t>(monetized within TSB)</w:t>
      </w:r>
    </w:p>
    <w:p w14:paraId="5D7A57C7" w14:textId="6FDD2958" w:rsidR="009B6DD0" w:rsidRPr="00BD1D99" w:rsidRDefault="009B6DD0" w:rsidP="00760381">
      <w:pPr>
        <w:pStyle w:val="ListParagraph"/>
        <w:numPr>
          <w:ilvl w:val="0"/>
          <w:numId w:val="4"/>
        </w:numPr>
        <w:spacing w:line="276" w:lineRule="auto"/>
        <w:rPr>
          <w:rFonts w:ascii="Calibri" w:eastAsia="Times New Roman" w:hAnsi="Calibri" w:cs="Calibri"/>
        </w:rPr>
      </w:pPr>
      <w:r w:rsidRPr="00BD1D99">
        <w:rPr>
          <w:rFonts w:ascii="Calibri" w:eastAsia="Times New Roman" w:hAnsi="Calibri" w:cs="Calibri"/>
        </w:rPr>
        <w:t xml:space="preserve">Health “counts of </w:t>
      </w:r>
      <w:r w:rsidR="00F36147" w:rsidRPr="00BD1D99">
        <w:rPr>
          <w:rFonts w:ascii="Calibri" w:eastAsia="Times New Roman" w:hAnsi="Calibri" w:cs="Calibri"/>
        </w:rPr>
        <w:t xml:space="preserve">participants receiving </w:t>
      </w:r>
      <w:r w:rsidRPr="00BD1D99">
        <w:rPr>
          <w:rFonts w:ascii="Calibri" w:eastAsia="Times New Roman" w:hAnsi="Calibri" w:cs="Calibri"/>
        </w:rPr>
        <w:t>this benefit” until we can monetize. Reporting at least one of:</w:t>
      </w:r>
    </w:p>
    <w:p w14:paraId="39865598" w14:textId="77777777" w:rsidR="009B6DD0" w:rsidRPr="00BD1D99" w:rsidRDefault="009B6DD0" w:rsidP="00760381">
      <w:pPr>
        <w:pStyle w:val="ListParagraph"/>
        <w:numPr>
          <w:ilvl w:val="1"/>
          <w:numId w:val="4"/>
        </w:numPr>
        <w:spacing w:after="80" w:line="276" w:lineRule="auto"/>
        <w:rPr>
          <w:rFonts w:ascii="Calibri" w:eastAsia="Times New Roman" w:hAnsi="Calibri" w:cs="Calibri"/>
        </w:rPr>
      </w:pPr>
      <w:r w:rsidRPr="00BD1D99">
        <w:rPr>
          <w:rFonts w:ascii="Calibri" w:eastAsia="Times New Roman" w:hAnsi="Calibri" w:cs="Calibri"/>
        </w:rPr>
        <w:t>Indoor air quality</w:t>
      </w:r>
    </w:p>
    <w:p w14:paraId="718E7C10" w14:textId="77777777" w:rsidR="009B6DD0" w:rsidRPr="00BD1D99" w:rsidRDefault="009B6DD0" w:rsidP="00760381">
      <w:pPr>
        <w:pStyle w:val="ListParagraph"/>
        <w:numPr>
          <w:ilvl w:val="1"/>
          <w:numId w:val="4"/>
        </w:numPr>
        <w:spacing w:after="80" w:line="276" w:lineRule="auto"/>
        <w:rPr>
          <w:rFonts w:ascii="Calibri" w:eastAsia="Times New Roman" w:hAnsi="Calibri" w:cs="Calibri"/>
        </w:rPr>
      </w:pPr>
      <w:r w:rsidRPr="00BD1D99">
        <w:rPr>
          <w:rFonts w:ascii="Calibri" w:eastAsia="Times New Roman" w:hAnsi="Calibri" w:cs="Calibri"/>
        </w:rPr>
        <w:t>Outdoor air quality (e.g., reduction in emissions from gas combustion appliances that vent to nearby outdoor air)</w:t>
      </w:r>
    </w:p>
    <w:p w14:paraId="023A5579" w14:textId="5A332A18" w:rsidR="009B6DD0" w:rsidRPr="00BD1D99" w:rsidRDefault="009B6DD0" w:rsidP="00760381">
      <w:pPr>
        <w:pStyle w:val="ListParagraph"/>
        <w:numPr>
          <w:ilvl w:val="1"/>
          <w:numId w:val="4"/>
        </w:numPr>
        <w:spacing w:after="80" w:line="276" w:lineRule="auto"/>
        <w:rPr>
          <w:rFonts w:ascii="Calibri" w:eastAsia="Times New Roman" w:hAnsi="Calibri" w:cs="Calibri"/>
        </w:rPr>
      </w:pPr>
      <w:r w:rsidRPr="00BD1D99">
        <w:rPr>
          <w:rFonts w:ascii="Calibri" w:eastAsia="Times New Roman" w:hAnsi="Calibri" w:cs="Calibri"/>
        </w:rPr>
        <w:t xml:space="preserve">Reduction in </w:t>
      </w:r>
      <w:r w:rsidR="0093291A" w:rsidRPr="00BD1D99">
        <w:rPr>
          <w:rFonts w:ascii="Calibri" w:eastAsia="Times New Roman" w:hAnsi="Calibri" w:cs="Calibri"/>
        </w:rPr>
        <w:t>interior contaminants/biologics</w:t>
      </w:r>
    </w:p>
    <w:p w14:paraId="12EDA68D" w14:textId="742393F6" w:rsidR="009B6DD0" w:rsidRPr="00BD1D99" w:rsidRDefault="009B6DD0" w:rsidP="00760381">
      <w:pPr>
        <w:pStyle w:val="ListParagraph"/>
        <w:numPr>
          <w:ilvl w:val="1"/>
          <w:numId w:val="4"/>
        </w:numPr>
        <w:spacing w:after="80" w:line="276" w:lineRule="auto"/>
        <w:rPr>
          <w:rFonts w:ascii="Calibri" w:hAnsi="Calibri" w:cs="Calibri"/>
        </w:rPr>
      </w:pPr>
      <w:r w:rsidRPr="00BD1D99">
        <w:rPr>
          <w:rFonts w:ascii="Calibri" w:eastAsia="Times New Roman" w:hAnsi="Calibri" w:cs="Calibri"/>
        </w:rPr>
        <w:t>Other</w:t>
      </w:r>
      <w:r w:rsidR="00B30CE1" w:rsidRPr="00BD1D99">
        <w:rPr>
          <w:rFonts w:ascii="Calibri" w:eastAsia="Times New Roman" w:hAnsi="Calibri" w:cs="Calibri"/>
        </w:rPr>
        <w:t xml:space="preserve"> (e.g., </w:t>
      </w:r>
      <w:r w:rsidR="00D770E7" w:rsidRPr="00BD1D99">
        <w:rPr>
          <w:rFonts w:ascii="Calibri" w:eastAsia="Times New Roman" w:hAnsi="Calibri" w:cs="Calibri"/>
        </w:rPr>
        <w:t>c</w:t>
      </w:r>
      <w:r w:rsidR="00121DDE" w:rsidRPr="00BD1D99">
        <w:rPr>
          <w:rFonts w:ascii="Calibri" w:eastAsia="Times New Roman" w:hAnsi="Calibri" w:cs="Calibri"/>
        </w:rPr>
        <w:t>hange in healthcare utilization</w:t>
      </w:r>
      <w:r w:rsidR="00D770E7" w:rsidRPr="00BD1D99">
        <w:rPr>
          <w:rFonts w:ascii="Calibri" w:eastAsia="Times New Roman" w:hAnsi="Calibri" w:cs="Calibri"/>
        </w:rPr>
        <w:t>, c</w:t>
      </w:r>
      <w:r w:rsidR="00121DDE" w:rsidRPr="00BD1D99">
        <w:rPr>
          <w:rFonts w:ascii="Calibri" w:eastAsia="Times New Roman" w:hAnsi="Calibri" w:cs="Calibri"/>
        </w:rPr>
        <w:t>hange in ability to utilize healthcare</w:t>
      </w:r>
      <w:r w:rsidR="00D770E7" w:rsidRPr="00BD1D99">
        <w:rPr>
          <w:rFonts w:ascii="Calibri" w:eastAsia="Times New Roman" w:hAnsi="Calibri" w:cs="Calibri"/>
        </w:rPr>
        <w:t xml:space="preserve">, </w:t>
      </w:r>
      <w:r w:rsidR="00121DDE" w:rsidRPr="00BD1D99">
        <w:rPr>
          <w:rFonts w:ascii="Calibri" w:eastAsia="Times New Roman" w:hAnsi="Calibri" w:cs="Calibri"/>
        </w:rPr>
        <w:t>change in healthcare expenditure</w:t>
      </w:r>
      <w:r w:rsidR="00D770E7" w:rsidRPr="00BD1D99">
        <w:rPr>
          <w:rFonts w:ascii="Calibri" w:eastAsia="Times New Roman" w:hAnsi="Calibri" w:cs="Calibri"/>
        </w:rPr>
        <w:t>,</w:t>
      </w:r>
      <w:r w:rsidR="00121DDE" w:rsidRPr="00BD1D99">
        <w:rPr>
          <w:rFonts w:ascii="Calibri" w:eastAsia="Times New Roman" w:hAnsi="Calibri" w:cs="Calibri"/>
        </w:rPr>
        <w:t xml:space="preserve"> change in indoor environmental quality</w:t>
      </w:r>
      <w:r w:rsidR="00D770E7" w:rsidRPr="00BD1D99">
        <w:rPr>
          <w:rFonts w:ascii="Calibri" w:eastAsia="Times New Roman" w:hAnsi="Calibri" w:cs="Calibri"/>
        </w:rPr>
        <w:t xml:space="preserve">, </w:t>
      </w:r>
      <w:r w:rsidR="00D770E7" w:rsidRPr="00BD1D99">
        <w:rPr>
          <w:rFonts w:ascii="Calibri" w:hAnsi="Calibri" w:cs="Calibri"/>
        </w:rPr>
        <w:t xml:space="preserve"># households treated who are already working with community health worker, etc.) </w:t>
      </w:r>
    </w:p>
    <w:p w14:paraId="421B2D6A" w14:textId="080BBD0B" w:rsidR="009B6DD0" w:rsidRPr="00BD1D99" w:rsidRDefault="009B6DD0" w:rsidP="00760381">
      <w:pPr>
        <w:pStyle w:val="ListParagraph"/>
        <w:numPr>
          <w:ilvl w:val="0"/>
          <w:numId w:val="4"/>
        </w:numPr>
        <w:spacing w:line="276" w:lineRule="auto"/>
        <w:rPr>
          <w:rFonts w:ascii="Calibri" w:eastAsia="Times New Roman" w:hAnsi="Calibri" w:cs="Calibri"/>
        </w:rPr>
      </w:pPr>
      <w:r w:rsidRPr="00BD1D99">
        <w:rPr>
          <w:rFonts w:ascii="Calibri" w:eastAsia="Times New Roman" w:hAnsi="Calibri" w:cs="Calibri"/>
        </w:rPr>
        <w:t xml:space="preserve">Comfort - in “counts of </w:t>
      </w:r>
      <w:r w:rsidR="00F36147" w:rsidRPr="00BD1D99">
        <w:rPr>
          <w:rFonts w:ascii="Calibri" w:eastAsia="Times New Roman" w:hAnsi="Calibri" w:cs="Calibri"/>
        </w:rPr>
        <w:t xml:space="preserve">participants receiving </w:t>
      </w:r>
      <w:r w:rsidRPr="00BD1D99">
        <w:rPr>
          <w:rFonts w:ascii="Calibri" w:eastAsia="Times New Roman" w:hAnsi="Calibri" w:cs="Calibri"/>
        </w:rPr>
        <w:t>this benefit” until we can monetize. Reporting at least one of:</w:t>
      </w:r>
    </w:p>
    <w:p w14:paraId="27AA2336" w14:textId="77777777" w:rsidR="009B6DD0" w:rsidRPr="00BD1D99" w:rsidRDefault="009B6DD0" w:rsidP="00760381">
      <w:pPr>
        <w:pStyle w:val="ListParagraph"/>
        <w:numPr>
          <w:ilvl w:val="1"/>
          <w:numId w:val="4"/>
        </w:numPr>
        <w:spacing w:after="80" w:line="276" w:lineRule="auto"/>
        <w:rPr>
          <w:rFonts w:ascii="Calibri" w:eastAsia="Times New Roman" w:hAnsi="Calibri" w:cs="Calibri"/>
        </w:rPr>
      </w:pPr>
      <w:r w:rsidRPr="00BD1D99">
        <w:rPr>
          <w:rFonts w:ascii="Calibri" w:eastAsia="Times New Roman" w:hAnsi="Calibri" w:cs="Calibri"/>
        </w:rPr>
        <w:t xml:space="preserve">Reduced drafts </w:t>
      </w:r>
    </w:p>
    <w:p w14:paraId="45159114" w14:textId="77777777" w:rsidR="009B6DD0" w:rsidRPr="00BD1D99" w:rsidRDefault="009B6DD0" w:rsidP="00760381">
      <w:pPr>
        <w:pStyle w:val="ListParagraph"/>
        <w:numPr>
          <w:ilvl w:val="1"/>
          <w:numId w:val="4"/>
        </w:numPr>
        <w:spacing w:after="80" w:line="276" w:lineRule="auto"/>
        <w:rPr>
          <w:rFonts w:ascii="Calibri" w:eastAsia="Times New Roman" w:hAnsi="Calibri" w:cs="Calibri"/>
        </w:rPr>
      </w:pPr>
      <w:r w:rsidRPr="00BD1D99">
        <w:rPr>
          <w:rFonts w:ascii="Calibri" w:eastAsia="Times New Roman" w:hAnsi="Calibri" w:cs="Calibri"/>
        </w:rPr>
        <w:t>Quieter interior</w:t>
      </w:r>
    </w:p>
    <w:p w14:paraId="676B8A86" w14:textId="77777777" w:rsidR="009B6DD0" w:rsidRPr="00BD1D99" w:rsidRDefault="009B6DD0" w:rsidP="00760381">
      <w:pPr>
        <w:pStyle w:val="ListParagraph"/>
        <w:numPr>
          <w:ilvl w:val="1"/>
          <w:numId w:val="4"/>
        </w:numPr>
        <w:spacing w:after="80" w:line="276" w:lineRule="auto"/>
        <w:rPr>
          <w:rFonts w:ascii="Calibri" w:eastAsia="Times New Roman" w:hAnsi="Calibri" w:cs="Calibri"/>
        </w:rPr>
      </w:pPr>
      <w:r w:rsidRPr="00BD1D99">
        <w:rPr>
          <w:rFonts w:ascii="Calibri" w:eastAsia="Times New Roman" w:hAnsi="Calibri" w:cs="Calibri"/>
        </w:rPr>
        <w:t>Managed interior temperature (e.g., cool during heatwave, warm during cold spell)</w:t>
      </w:r>
    </w:p>
    <w:p w14:paraId="4DEB1E8E" w14:textId="55E5093B" w:rsidR="00FC29C8" w:rsidRPr="00BD1D99" w:rsidRDefault="009B6DD0" w:rsidP="00760381">
      <w:pPr>
        <w:pStyle w:val="ListParagraph"/>
        <w:numPr>
          <w:ilvl w:val="1"/>
          <w:numId w:val="4"/>
        </w:numPr>
        <w:spacing w:after="80" w:line="276" w:lineRule="auto"/>
        <w:rPr>
          <w:rFonts w:ascii="Calibri" w:eastAsia="Times New Roman" w:hAnsi="Calibri" w:cs="Calibri"/>
        </w:rPr>
      </w:pPr>
      <w:r w:rsidRPr="00BD1D99">
        <w:rPr>
          <w:rFonts w:ascii="Calibri" w:eastAsia="Times New Roman" w:hAnsi="Calibri" w:cs="Calibri"/>
        </w:rPr>
        <w:t>Other</w:t>
      </w:r>
      <w:r w:rsidR="00FC29C8" w:rsidRPr="00BD1D99">
        <w:rPr>
          <w:rFonts w:ascii="Calibri" w:eastAsia="Times New Roman" w:hAnsi="Calibri" w:cs="Calibri"/>
        </w:rPr>
        <w:t xml:space="preserve"> (e.g., improvements in temperature stability between rooms and floors; increase in usability of interior space</w:t>
      </w:r>
      <w:r w:rsidR="002A4D75" w:rsidRPr="00BD1D99">
        <w:rPr>
          <w:rFonts w:ascii="Calibri" w:eastAsia="Times New Roman" w:hAnsi="Calibri" w:cs="Calibri"/>
        </w:rPr>
        <w:t>)</w:t>
      </w:r>
    </w:p>
    <w:p w14:paraId="6AA22E9F" w14:textId="45601594" w:rsidR="009B6DD0" w:rsidRPr="00BD1D99" w:rsidRDefault="009B6DD0" w:rsidP="00760381">
      <w:pPr>
        <w:pStyle w:val="ListParagraph"/>
        <w:numPr>
          <w:ilvl w:val="0"/>
          <w:numId w:val="4"/>
        </w:numPr>
        <w:spacing w:line="276" w:lineRule="auto"/>
        <w:rPr>
          <w:rFonts w:ascii="Calibri" w:eastAsia="Times New Roman" w:hAnsi="Calibri" w:cs="Calibri"/>
        </w:rPr>
      </w:pPr>
      <w:r w:rsidRPr="00BD1D99">
        <w:rPr>
          <w:rFonts w:ascii="Calibri" w:eastAsia="Times New Roman" w:hAnsi="Calibri" w:cs="Calibri"/>
        </w:rPr>
        <w:t>Safety -</w:t>
      </w:r>
      <w:r w:rsidR="00737243" w:rsidRPr="00BD1D99">
        <w:rPr>
          <w:rFonts w:ascii="Calibri" w:eastAsia="Times New Roman" w:hAnsi="Calibri" w:cs="Calibri"/>
        </w:rPr>
        <w:t xml:space="preserve"> </w:t>
      </w:r>
      <w:r w:rsidRPr="00BD1D99">
        <w:rPr>
          <w:rFonts w:ascii="Calibri" w:eastAsia="Times New Roman" w:hAnsi="Calibri" w:cs="Calibri"/>
        </w:rPr>
        <w:t xml:space="preserve">in “counts of </w:t>
      </w:r>
      <w:r w:rsidR="00F36147" w:rsidRPr="00BD1D99">
        <w:rPr>
          <w:rFonts w:ascii="Calibri" w:eastAsia="Times New Roman" w:hAnsi="Calibri" w:cs="Calibri"/>
        </w:rPr>
        <w:t xml:space="preserve">participants receiving </w:t>
      </w:r>
      <w:r w:rsidRPr="00BD1D99">
        <w:rPr>
          <w:rFonts w:ascii="Calibri" w:eastAsia="Times New Roman" w:hAnsi="Calibri" w:cs="Calibri"/>
        </w:rPr>
        <w:t>this benefit” until we can monetize</w:t>
      </w:r>
      <w:r w:rsidR="00737243" w:rsidRPr="00BD1D99">
        <w:rPr>
          <w:rFonts w:ascii="Calibri" w:eastAsia="Times New Roman" w:hAnsi="Calibri" w:cs="Calibri"/>
        </w:rPr>
        <w:t>. Reporting at least one of:</w:t>
      </w:r>
    </w:p>
    <w:p w14:paraId="3AC8A0B0" w14:textId="0CFBC5BA" w:rsidR="00576DDE" w:rsidRPr="00BD1D99" w:rsidRDefault="00576DDE" w:rsidP="00760381">
      <w:pPr>
        <w:pStyle w:val="ListParagraph"/>
        <w:numPr>
          <w:ilvl w:val="1"/>
          <w:numId w:val="4"/>
        </w:numPr>
        <w:spacing w:after="80" w:line="276" w:lineRule="auto"/>
        <w:rPr>
          <w:rFonts w:ascii="Calibri" w:eastAsia="Times New Roman" w:hAnsi="Calibri" w:cs="Calibri"/>
        </w:rPr>
      </w:pPr>
      <w:r w:rsidRPr="00BD1D99">
        <w:rPr>
          <w:rFonts w:ascii="Calibri" w:eastAsia="Times New Roman" w:hAnsi="Calibri" w:cs="Calibri"/>
        </w:rPr>
        <w:t>Improved safe</w:t>
      </w:r>
      <w:r w:rsidR="004467B1" w:rsidRPr="00BD1D99">
        <w:rPr>
          <w:rFonts w:ascii="Calibri" w:eastAsia="Times New Roman" w:hAnsi="Calibri" w:cs="Calibri"/>
        </w:rPr>
        <w:t>ty of appliances (e.g., no gas leaks, combustion safety, etc.)</w:t>
      </w:r>
    </w:p>
    <w:p w14:paraId="0EAFC85C" w14:textId="23874601" w:rsidR="004467B1" w:rsidRPr="00BD1D99" w:rsidRDefault="004467B1" w:rsidP="00760381">
      <w:pPr>
        <w:pStyle w:val="ListParagraph"/>
        <w:numPr>
          <w:ilvl w:val="1"/>
          <w:numId w:val="4"/>
        </w:numPr>
        <w:spacing w:after="80" w:line="276" w:lineRule="auto"/>
        <w:rPr>
          <w:rFonts w:ascii="Calibri" w:eastAsia="Times New Roman" w:hAnsi="Calibri" w:cs="Calibri"/>
        </w:rPr>
      </w:pPr>
      <w:r w:rsidRPr="00BD1D99">
        <w:rPr>
          <w:rFonts w:ascii="Calibri" w:eastAsia="Times New Roman" w:hAnsi="Calibri" w:cs="Calibri"/>
        </w:rPr>
        <w:t>Other (e.g., railings, steps, floors</w:t>
      </w:r>
      <w:r w:rsidR="0093291A" w:rsidRPr="00BD1D99">
        <w:rPr>
          <w:rFonts w:ascii="Calibri" w:eastAsia="Times New Roman" w:hAnsi="Calibri" w:cs="Calibri"/>
        </w:rPr>
        <w:t xml:space="preserve">, </w:t>
      </w:r>
      <w:r w:rsidRPr="00BD1D99">
        <w:rPr>
          <w:rFonts w:ascii="Calibri" w:eastAsia="Times New Roman" w:hAnsi="Calibri" w:cs="Calibri"/>
        </w:rPr>
        <w:t>improvements in lumens of travel areas in living spaces</w:t>
      </w:r>
      <w:r w:rsidR="0093291A" w:rsidRPr="00BD1D99">
        <w:rPr>
          <w:rFonts w:ascii="Calibri" w:eastAsia="Times New Roman" w:hAnsi="Calibri" w:cs="Calibri"/>
        </w:rPr>
        <w:t xml:space="preserve">, </w:t>
      </w:r>
      <w:r w:rsidRPr="00BD1D99">
        <w:rPr>
          <w:rFonts w:ascii="Calibri" w:eastAsia="Times New Roman" w:hAnsi="Calibri" w:cs="Calibri"/>
        </w:rPr>
        <w:t>improvements to landscaping to reduce wildfire risk</w:t>
      </w:r>
      <w:r w:rsidR="00DC49FB" w:rsidRPr="00BD1D99">
        <w:rPr>
          <w:rFonts w:ascii="Calibri" w:eastAsia="Times New Roman" w:hAnsi="Calibri" w:cs="Calibri"/>
        </w:rPr>
        <w:t>; door locks; outdoor lighting</w:t>
      </w:r>
      <w:r w:rsidR="00D770E7" w:rsidRPr="00BD1D99">
        <w:rPr>
          <w:rFonts w:ascii="Calibri" w:eastAsia="Times New Roman" w:hAnsi="Calibri" w:cs="Calibri"/>
        </w:rPr>
        <w:t>,</w:t>
      </w:r>
      <w:r w:rsidR="0093291A" w:rsidRPr="00BD1D99">
        <w:rPr>
          <w:rFonts w:ascii="Calibri" w:eastAsia="Times New Roman" w:hAnsi="Calibri" w:cs="Calibri"/>
        </w:rPr>
        <w:t xml:space="preserve"> </w:t>
      </w:r>
      <w:r w:rsidR="00D770E7" w:rsidRPr="00BD1D99">
        <w:rPr>
          <w:rFonts w:ascii="Calibri" w:eastAsia="Times New Roman" w:hAnsi="Calibri" w:cs="Calibri"/>
        </w:rPr>
        <w:t>improved panels to ensure safe electrification upgrades</w:t>
      </w:r>
      <w:r w:rsidR="0093291A" w:rsidRPr="00BD1D99">
        <w:rPr>
          <w:rFonts w:ascii="Calibri" w:eastAsia="Times New Roman" w:hAnsi="Calibri" w:cs="Calibri"/>
        </w:rPr>
        <w:t>, e</w:t>
      </w:r>
      <w:r w:rsidR="00D770E7" w:rsidRPr="00BD1D99">
        <w:rPr>
          <w:rFonts w:ascii="Calibri" w:hAnsi="Calibri" w:cs="Calibri"/>
        </w:rPr>
        <w:t>lectrical hazard reduction – building sealing and reducing use of out-of-date space heaters or stoves for indoor heating</w:t>
      </w:r>
      <w:r w:rsidR="0093291A" w:rsidRPr="00BD1D99">
        <w:rPr>
          <w:rFonts w:ascii="Calibri" w:hAnsi="Calibri" w:cs="Calibri"/>
        </w:rPr>
        <w:t xml:space="preserve">, </w:t>
      </w:r>
      <w:r w:rsidR="00D770E7" w:rsidRPr="00BD1D99">
        <w:rPr>
          <w:rFonts w:ascii="Calibri" w:hAnsi="Calibri" w:cs="Calibri"/>
        </w:rPr>
        <w:t xml:space="preserve"># of </w:t>
      </w:r>
      <w:r w:rsidR="00BE18AD">
        <w:rPr>
          <w:rFonts w:ascii="Calibri" w:hAnsi="Calibri" w:cs="Calibri"/>
        </w:rPr>
        <w:t>households</w:t>
      </w:r>
      <w:r w:rsidR="00BE18AD" w:rsidRPr="00BD1D99">
        <w:rPr>
          <w:rFonts w:ascii="Calibri" w:hAnsi="Calibri" w:cs="Calibri"/>
        </w:rPr>
        <w:t xml:space="preserve"> </w:t>
      </w:r>
      <w:r w:rsidR="00D770E7" w:rsidRPr="00BD1D99">
        <w:rPr>
          <w:rFonts w:ascii="Calibri" w:hAnsi="Calibri" w:cs="Calibri"/>
        </w:rPr>
        <w:t>treated with existing safety issues</w:t>
      </w:r>
      <w:r w:rsidR="0093291A" w:rsidRPr="00BD1D99">
        <w:rPr>
          <w:rFonts w:ascii="Calibri" w:hAnsi="Calibri" w:cs="Calibri"/>
        </w:rPr>
        <w:t>, etc.)</w:t>
      </w:r>
      <w:r w:rsidR="00D770E7" w:rsidRPr="00BD1D99">
        <w:rPr>
          <w:rFonts w:ascii="Calibri" w:hAnsi="Calibri" w:cs="Calibri"/>
        </w:rPr>
        <w:t xml:space="preserve"> </w:t>
      </w:r>
    </w:p>
    <w:p w14:paraId="721D65F2" w14:textId="1228ACA7" w:rsidR="00BF481D" w:rsidRPr="00BD1D99" w:rsidRDefault="009B6DD0" w:rsidP="00760381">
      <w:pPr>
        <w:pStyle w:val="ListParagraph"/>
        <w:numPr>
          <w:ilvl w:val="0"/>
          <w:numId w:val="4"/>
        </w:numPr>
        <w:spacing w:line="276" w:lineRule="auto"/>
        <w:rPr>
          <w:rFonts w:ascii="Calibri" w:hAnsi="Calibri" w:cs="Calibri"/>
        </w:rPr>
      </w:pPr>
      <w:r w:rsidRPr="00BD1D99">
        <w:rPr>
          <w:rFonts w:ascii="Calibri" w:eastAsia="Times New Roman" w:hAnsi="Calibri" w:cs="Calibri"/>
        </w:rPr>
        <w:t xml:space="preserve">Economic or other “non-energy benefits” (as proposed by the PAs or program) in dollars or “counts of </w:t>
      </w:r>
      <w:r w:rsidR="00F36147" w:rsidRPr="00BD1D99">
        <w:rPr>
          <w:rFonts w:ascii="Calibri" w:eastAsia="Times New Roman" w:hAnsi="Calibri" w:cs="Calibri"/>
        </w:rPr>
        <w:t xml:space="preserve">participants receiving </w:t>
      </w:r>
      <w:r w:rsidRPr="00BD1D99">
        <w:rPr>
          <w:rFonts w:ascii="Calibri" w:eastAsia="Times New Roman" w:hAnsi="Calibri" w:cs="Calibri"/>
        </w:rPr>
        <w:t>this benefit” until we can monetize</w:t>
      </w:r>
      <w:r w:rsidR="002A4D75" w:rsidRPr="00BD1D99">
        <w:rPr>
          <w:rFonts w:ascii="Calibri" w:eastAsia="Times New Roman" w:hAnsi="Calibri" w:cs="Calibri"/>
        </w:rPr>
        <w:t>.</w:t>
      </w:r>
    </w:p>
    <w:p w14:paraId="448EBAEF" w14:textId="77777777" w:rsidR="000C0871" w:rsidRPr="00BD1D99" w:rsidRDefault="000C0871" w:rsidP="00BD1D99">
      <w:pPr>
        <w:spacing w:line="276" w:lineRule="auto"/>
        <w:rPr>
          <w:rFonts w:ascii="Calibri" w:hAnsi="Calibri" w:cs="Calibri"/>
        </w:rPr>
      </w:pPr>
    </w:p>
    <w:p w14:paraId="2809D849" w14:textId="7E87F6C6" w:rsidR="000C0871" w:rsidRPr="00BD1D99" w:rsidRDefault="000C0871" w:rsidP="00BD1D99">
      <w:pPr>
        <w:spacing w:line="276" w:lineRule="auto"/>
        <w:rPr>
          <w:rFonts w:ascii="Calibri" w:hAnsi="Calibri" w:cs="Calibri"/>
        </w:rPr>
      </w:pPr>
      <w:r w:rsidRPr="00BD1D99">
        <w:rPr>
          <w:rFonts w:ascii="Calibri" w:hAnsi="Calibri" w:cs="Calibri"/>
        </w:rPr>
        <w:t>The proposal is to commit to establishing a methodology and approach in order to make this a Metric for the 2028-2031 cycle (i.e., we would need a Commission approved methodology before 2026, when the next application would be submitted for the 2028 program cycle)</w:t>
      </w:r>
      <w:r w:rsidR="002C1426">
        <w:rPr>
          <w:rFonts w:ascii="Calibri" w:hAnsi="Calibri" w:cs="Calibri"/>
        </w:rPr>
        <w:t>.</w:t>
      </w:r>
      <w:r w:rsidRPr="00BD1D99">
        <w:rPr>
          <w:rFonts w:ascii="Calibri" w:hAnsi="Calibri" w:cs="Calibri"/>
        </w:rPr>
        <w:t xml:space="preserve"> This proposal is a first step to exploring alternative ways of measuring non-energy benefits, per D.21-05-031.</w:t>
      </w:r>
      <w:r w:rsidRPr="00BD1D99">
        <w:rPr>
          <w:rStyle w:val="FootnoteReference"/>
          <w:rFonts w:ascii="Calibri" w:hAnsi="Calibri" w:cs="Calibri"/>
        </w:rPr>
        <w:footnoteReference w:id="19"/>
      </w:r>
      <w:r w:rsidRPr="00BD1D99">
        <w:rPr>
          <w:rFonts w:ascii="Calibri" w:hAnsi="Calibri" w:cs="Calibri"/>
        </w:rPr>
        <w:t xml:space="preserve"> </w:t>
      </w:r>
    </w:p>
    <w:p w14:paraId="31037D23" w14:textId="6A504C12" w:rsidR="00AC2CDA" w:rsidRPr="00BD1D99" w:rsidRDefault="00AC2CDA" w:rsidP="00BD1D99">
      <w:pPr>
        <w:spacing w:line="276" w:lineRule="auto"/>
        <w:rPr>
          <w:rFonts w:ascii="Calibri" w:hAnsi="Calibri" w:cs="Calibri"/>
        </w:rPr>
      </w:pPr>
      <w:r w:rsidRPr="00BD1D99">
        <w:rPr>
          <w:rFonts w:ascii="Calibri" w:hAnsi="Calibri" w:cs="Calibri"/>
        </w:rPr>
        <w:br w:type="page"/>
      </w:r>
    </w:p>
    <w:p w14:paraId="1A1A199F" w14:textId="5A543DBF" w:rsidR="00E276E9" w:rsidRPr="00BD1D99" w:rsidRDefault="007848A7" w:rsidP="00BD1D99">
      <w:pPr>
        <w:pStyle w:val="Heading1"/>
        <w:spacing w:line="276" w:lineRule="auto"/>
        <w:rPr>
          <w:rFonts w:ascii="Calibri" w:hAnsi="Calibri" w:cs="Calibri"/>
        </w:rPr>
      </w:pPr>
      <w:bookmarkStart w:id="65" w:name="_Toc85613321"/>
      <w:r w:rsidRPr="00BD1D99">
        <w:rPr>
          <w:rFonts w:ascii="Calibri" w:hAnsi="Calibri" w:cs="Calibri"/>
        </w:rPr>
        <w:t xml:space="preserve">Section 5: </w:t>
      </w:r>
      <w:r w:rsidR="003C4AB3" w:rsidRPr="00BD1D99">
        <w:rPr>
          <w:rFonts w:ascii="Calibri" w:hAnsi="Calibri" w:cs="Calibri"/>
        </w:rPr>
        <w:t xml:space="preserve">Additional Issues from the Prospectus and Raised Through </w:t>
      </w:r>
      <w:r w:rsidR="00FF10CC">
        <w:rPr>
          <w:rFonts w:ascii="Calibri" w:hAnsi="Calibri" w:cs="Calibri"/>
        </w:rPr>
        <w:t>EMWG</w:t>
      </w:r>
      <w:r w:rsidR="003C4AB3" w:rsidRPr="00BD1D99">
        <w:rPr>
          <w:rFonts w:ascii="Calibri" w:hAnsi="Calibri" w:cs="Calibri"/>
        </w:rPr>
        <w:t xml:space="preserve"> Process</w:t>
      </w:r>
      <w:bookmarkEnd w:id="65"/>
      <w:r w:rsidR="00B66AE7" w:rsidRPr="00BD1D99">
        <w:rPr>
          <w:rFonts w:ascii="Calibri" w:hAnsi="Calibri" w:cs="Calibri"/>
        </w:rPr>
        <w:t xml:space="preserve"> </w:t>
      </w:r>
    </w:p>
    <w:p w14:paraId="266E3CB1" w14:textId="37ED7782" w:rsidR="00F04B69" w:rsidRDefault="00F04B69" w:rsidP="00A66914">
      <w:pPr>
        <w:pStyle w:val="Heading2"/>
      </w:pPr>
      <w:bookmarkStart w:id="66" w:name="_Toc85613322"/>
      <w:r>
        <w:t>5.1 Background</w:t>
      </w:r>
      <w:bookmarkEnd w:id="66"/>
    </w:p>
    <w:p w14:paraId="207EC6E3" w14:textId="2ED1170E" w:rsidR="003C4AB3" w:rsidRPr="00BD1D99" w:rsidRDefault="008745DA" w:rsidP="00BD1D99">
      <w:pPr>
        <w:spacing w:line="276" w:lineRule="auto"/>
        <w:rPr>
          <w:rFonts w:ascii="Calibri" w:eastAsiaTheme="minorHAnsi" w:hAnsi="Calibri" w:cs="Calibri"/>
        </w:rPr>
      </w:pPr>
      <w:r w:rsidRPr="00BD1D99">
        <w:rPr>
          <w:rFonts w:ascii="Calibri" w:hAnsi="Calibri" w:cs="Calibri"/>
        </w:rPr>
        <w:t>This section includes topics outlined in the Prospectus as key questions for the EMWG to address (such as how to address non-consensus issues in the February 2022 filings). It also presents topics and proposals that the EMWG discussed but did not finalize (such as a definition for “underserved” and reporting expectations).</w:t>
      </w:r>
    </w:p>
    <w:p w14:paraId="6C1959E7" w14:textId="77777777" w:rsidR="00E276E9" w:rsidRPr="00BD1D99" w:rsidRDefault="00E276E9" w:rsidP="00BD1D99">
      <w:pPr>
        <w:spacing w:line="276" w:lineRule="auto"/>
        <w:rPr>
          <w:rFonts w:ascii="Calibri" w:hAnsi="Calibri" w:cs="Calibri"/>
        </w:rPr>
      </w:pPr>
    </w:p>
    <w:p w14:paraId="2E50FA9B" w14:textId="45972F66" w:rsidR="00667F73" w:rsidRPr="00BD1D99" w:rsidRDefault="00667F73" w:rsidP="00BD1D99">
      <w:pPr>
        <w:pStyle w:val="Heading2"/>
      </w:pPr>
      <w:bookmarkStart w:id="67" w:name="_Toc85613323"/>
      <w:r w:rsidRPr="00BD1D99">
        <w:t>5.</w:t>
      </w:r>
      <w:r w:rsidR="00F04B69">
        <w:t>2</w:t>
      </w:r>
      <w:r w:rsidRPr="00BD1D99">
        <w:t xml:space="preserve"> </w:t>
      </w:r>
      <w:r w:rsidR="00ED6372" w:rsidRPr="00BD1D99">
        <w:t>H</w:t>
      </w:r>
      <w:r w:rsidRPr="00BD1D99">
        <w:t xml:space="preserve">ow </w:t>
      </w:r>
      <w:r w:rsidR="00ED6372" w:rsidRPr="00BD1D99">
        <w:t>to</w:t>
      </w:r>
      <w:r w:rsidRPr="00BD1D99">
        <w:t xml:space="preserve"> </w:t>
      </w:r>
      <w:r w:rsidR="006F5443" w:rsidRPr="00BD1D99">
        <w:t>A</w:t>
      </w:r>
      <w:r w:rsidRPr="00BD1D99">
        <w:t xml:space="preserve">ddress </w:t>
      </w:r>
      <w:r w:rsidR="006F5443" w:rsidRPr="00BD1D99">
        <w:t>N</w:t>
      </w:r>
      <w:r w:rsidRPr="00BD1D99">
        <w:t>on-</w:t>
      </w:r>
      <w:r w:rsidR="006F5443" w:rsidRPr="00BD1D99">
        <w:t>C</w:t>
      </w:r>
      <w:r w:rsidRPr="00BD1D99">
        <w:t xml:space="preserve">onsensus </w:t>
      </w:r>
      <w:r w:rsidR="006F5443" w:rsidRPr="00BD1D99">
        <w:t>Issues</w:t>
      </w:r>
      <w:r w:rsidRPr="00BD1D99">
        <w:t xml:space="preserve"> in February 2022 </w:t>
      </w:r>
      <w:r w:rsidR="00ED6372" w:rsidRPr="00BD1D99">
        <w:t>F</w:t>
      </w:r>
      <w:r w:rsidRPr="00BD1D99">
        <w:t>ilings</w:t>
      </w:r>
      <w:bookmarkEnd w:id="67"/>
    </w:p>
    <w:p w14:paraId="080DC1BC" w14:textId="7A7B7D34" w:rsidR="00962C76" w:rsidRPr="00BD1D99" w:rsidRDefault="00CB3BCD" w:rsidP="00BD1D99">
      <w:pPr>
        <w:spacing w:line="276" w:lineRule="auto"/>
        <w:rPr>
          <w:rFonts w:ascii="Calibri" w:hAnsi="Calibri" w:cs="Calibri"/>
        </w:rPr>
      </w:pPr>
      <w:r w:rsidRPr="00BD1D99">
        <w:rPr>
          <w:rFonts w:ascii="Calibri" w:hAnsi="Calibri" w:cs="Calibri"/>
        </w:rPr>
        <w:t xml:space="preserve">The PAs will follow any consensus recommendations in developing their Equity programs, metrics, and targets for their </w:t>
      </w:r>
      <w:r w:rsidR="007A7B24">
        <w:rPr>
          <w:rFonts w:ascii="Calibri" w:hAnsi="Calibri" w:cs="Calibri"/>
        </w:rPr>
        <w:t>Business</w:t>
      </w:r>
      <w:r w:rsidRPr="00BD1D99">
        <w:rPr>
          <w:rFonts w:ascii="Calibri" w:hAnsi="Calibri" w:cs="Calibri"/>
        </w:rPr>
        <w:t xml:space="preserve"> Plans/4 Year Applications to be filed in February 2022. There is no current plan for the Commission to resolve any non-consensus issues prior to the February 2022 filings. Therefore</w:t>
      </w:r>
      <w:r w:rsidR="00E0340F" w:rsidRPr="00D22CC5">
        <w:rPr>
          <w:rFonts w:ascii="Calibri" w:hAnsi="Calibri" w:cs="Calibri"/>
        </w:rPr>
        <w:t>,</w:t>
      </w:r>
      <w:r w:rsidRPr="00BD1D99">
        <w:rPr>
          <w:rFonts w:ascii="Calibri" w:hAnsi="Calibri" w:cs="Calibri"/>
        </w:rPr>
        <w:t xml:space="preserve"> for any non-consensus issues, the PAs will be free to use their best judgement but should either select one or the other option, or both, but should not propose a new and different option.</w:t>
      </w:r>
    </w:p>
    <w:p w14:paraId="2A7F8DCB" w14:textId="77777777" w:rsidR="00936471" w:rsidRPr="00BD1D99" w:rsidRDefault="00936471" w:rsidP="00BD1D99">
      <w:pPr>
        <w:spacing w:line="276" w:lineRule="auto"/>
        <w:rPr>
          <w:rFonts w:ascii="Calibri" w:hAnsi="Calibri" w:cs="Calibri"/>
          <w:sz w:val="20"/>
          <w:szCs w:val="20"/>
        </w:rPr>
      </w:pPr>
    </w:p>
    <w:p w14:paraId="1B886A68" w14:textId="7572917F" w:rsidR="00936471" w:rsidRPr="00BD1D99" w:rsidRDefault="00D308F1" w:rsidP="00BD1D99">
      <w:pPr>
        <w:pStyle w:val="Heading2"/>
      </w:pPr>
      <w:bookmarkStart w:id="68" w:name="_Toc85613324"/>
      <w:r w:rsidRPr="00BD1D99">
        <w:t>5.</w:t>
      </w:r>
      <w:r w:rsidR="00F04B69">
        <w:t>3</w:t>
      </w:r>
      <w:r w:rsidR="00936471" w:rsidRPr="00BD1D99">
        <w:t xml:space="preserve"> Definition of “Underserved”</w:t>
      </w:r>
      <w:bookmarkEnd w:id="68"/>
    </w:p>
    <w:p w14:paraId="7C35D9C7" w14:textId="48D6BEB8" w:rsidR="0069447D" w:rsidRDefault="00936471" w:rsidP="00BD1D99">
      <w:pPr>
        <w:spacing w:line="276" w:lineRule="auto"/>
        <w:rPr>
          <w:rFonts w:ascii="Calibri" w:hAnsi="Calibri" w:cs="Calibri"/>
        </w:rPr>
      </w:pPr>
      <w:r w:rsidRPr="00BD1D99">
        <w:rPr>
          <w:rFonts w:ascii="Calibri" w:hAnsi="Calibri" w:cs="Calibri"/>
        </w:rPr>
        <w:t>While there are specific definitions for Hard-to-Reach</w:t>
      </w:r>
      <w:r w:rsidRPr="00BD1D99">
        <w:rPr>
          <w:rFonts w:ascii="Calibri" w:hAnsi="Calibri" w:cs="Calibri"/>
          <w:vertAlign w:val="superscript"/>
        </w:rPr>
        <w:footnoteReference w:id="20"/>
      </w:r>
      <w:r w:rsidRPr="00BD1D99">
        <w:rPr>
          <w:rFonts w:ascii="Calibri" w:hAnsi="Calibri" w:cs="Calibri"/>
        </w:rPr>
        <w:t xml:space="preserve"> and Disadvantaged Communities,</w:t>
      </w:r>
      <w:r w:rsidRPr="00BD1D99">
        <w:rPr>
          <w:rFonts w:ascii="Calibri" w:hAnsi="Calibri" w:cs="Calibri"/>
          <w:vertAlign w:val="superscript"/>
        </w:rPr>
        <w:footnoteReference w:id="21"/>
      </w:r>
      <w:r w:rsidRPr="00BD1D99">
        <w:rPr>
          <w:rFonts w:ascii="Calibri" w:hAnsi="Calibri" w:cs="Calibri"/>
        </w:rPr>
        <w:t xml:space="preserve"> there is no clear definition of “underserved.” While a number of options were discussed, the EMWG members preferred to present a non-consensus issue given the </w:t>
      </w:r>
      <w:r w:rsidR="00D930B7">
        <w:rPr>
          <w:rFonts w:ascii="Calibri" w:hAnsi="Calibri" w:cs="Calibri"/>
        </w:rPr>
        <w:t xml:space="preserve">limited </w:t>
      </w:r>
      <w:r w:rsidRPr="00BD1D99">
        <w:rPr>
          <w:rFonts w:ascii="Calibri" w:hAnsi="Calibri" w:cs="Calibri"/>
        </w:rPr>
        <w:t xml:space="preserve">time </w:t>
      </w:r>
      <w:r w:rsidR="00D930B7">
        <w:rPr>
          <w:rFonts w:ascii="Calibri" w:hAnsi="Calibri" w:cs="Calibri"/>
        </w:rPr>
        <w:t>to complete</w:t>
      </w:r>
      <w:r w:rsidRPr="00BD1D99">
        <w:rPr>
          <w:rFonts w:ascii="Calibri" w:hAnsi="Calibri" w:cs="Calibri"/>
        </w:rPr>
        <w:t xml:space="preserve"> this process. </w:t>
      </w:r>
      <w:r w:rsidR="00F04B69">
        <w:rPr>
          <w:rFonts w:ascii="Calibri" w:hAnsi="Calibri" w:cs="Calibri"/>
        </w:rPr>
        <w:t>Three</w:t>
      </w:r>
      <w:r w:rsidR="00F04B69" w:rsidRPr="00EA12A6">
        <w:rPr>
          <w:rFonts w:ascii="Calibri" w:hAnsi="Calibri" w:cs="Calibri"/>
        </w:rPr>
        <w:t xml:space="preserve"> options are presented below for consideration. </w:t>
      </w:r>
      <w:r w:rsidR="00F04B69" w:rsidRPr="00F04B69">
        <w:rPr>
          <w:rFonts w:ascii="Calibri" w:hAnsi="Calibri" w:cs="Calibri"/>
        </w:rPr>
        <w:t>Members</w:t>
      </w:r>
      <w:r w:rsidR="00F04B69">
        <w:rPr>
          <w:rFonts w:ascii="Calibri" w:hAnsi="Calibri" w:cs="Calibri"/>
        </w:rPr>
        <w:t>’</w:t>
      </w:r>
      <w:r w:rsidR="00F04B69" w:rsidRPr="00F04B69">
        <w:rPr>
          <w:rFonts w:ascii="Calibri" w:hAnsi="Calibri" w:cs="Calibri"/>
        </w:rPr>
        <w:t xml:space="preserve"> first choice as well as acceptable options are shown in the table below the option descriptions and their rationales.</w:t>
      </w:r>
    </w:p>
    <w:p w14:paraId="0228B28B" w14:textId="77777777" w:rsidR="0069447D" w:rsidRDefault="0069447D" w:rsidP="00BD1D99">
      <w:pPr>
        <w:spacing w:line="276" w:lineRule="auto"/>
        <w:rPr>
          <w:rFonts w:ascii="Calibri" w:hAnsi="Calibri" w:cs="Calibri"/>
        </w:rPr>
      </w:pPr>
    </w:p>
    <w:p w14:paraId="5B66DE5D" w14:textId="38F09FA1" w:rsidR="00936471" w:rsidRPr="00BD1D99" w:rsidRDefault="00936471" w:rsidP="00BD1D99">
      <w:pPr>
        <w:spacing w:line="276" w:lineRule="auto"/>
        <w:rPr>
          <w:rFonts w:ascii="Calibri" w:hAnsi="Calibri" w:cs="Calibri"/>
        </w:rPr>
      </w:pPr>
      <w:r w:rsidRPr="00BD1D99">
        <w:rPr>
          <w:rFonts w:ascii="Calibri" w:hAnsi="Calibri" w:cs="Calibri"/>
        </w:rPr>
        <w:t>Before delving into the specific options, it is important to note that the Equity Metrics Workshop input yielded a number of additional considerations for who might be deemed “underserved” that extend beyond setting inclusive definitions:</w:t>
      </w:r>
    </w:p>
    <w:p w14:paraId="146D73AC" w14:textId="77777777" w:rsidR="00936471" w:rsidRPr="00BD1D99" w:rsidRDefault="00936471" w:rsidP="00760381">
      <w:pPr>
        <w:pStyle w:val="ListParagraph"/>
        <w:numPr>
          <w:ilvl w:val="0"/>
          <w:numId w:val="10"/>
        </w:numPr>
        <w:spacing w:line="276" w:lineRule="auto"/>
        <w:rPr>
          <w:rFonts w:ascii="Calibri" w:hAnsi="Calibri" w:cs="Calibri"/>
        </w:rPr>
      </w:pPr>
      <w:r w:rsidRPr="00BD1D99">
        <w:rPr>
          <w:rFonts w:ascii="Calibri" w:hAnsi="Calibri" w:cs="Calibri"/>
        </w:rPr>
        <w:t xml:space="preserve">Some customers will be left behind not because they do not fit into one of the defined categories, but rather because of ongoing systemic racism that continues to influence where funding is invested and how programs are designed. </w:t>
      </w:r>
    </w:p>
    <w:p w14:paraId="45FB57D0" w14:textId="77777777" w:rsidR="00936471" w:rsidRPr="00BD1D99" w:rsidRDefault="00936471" w:rsidP="00760381">
      <w:pPr>
        <w:pStyle w:val="ListParagraph"/>
        <w:numPr>
          <w:ilvl w:val="0"/>
          <w:numId w:val="10"/>
        </w:numPr>
        <w:spacing w:line="276" w:lineRule="auto"/>
        <w:rPr>
          <w:rFonts w:ascii="Calibri" w:hAnsi="Calibri" w:cs="Calibri"/>
        </w:rPr>
      </w:pPr>
      <w:r w:rsidRPr="00BD1D99">
        <w:rPr>
          <w:rFonts w:ascii="Calibri" w:hAnsi="Calibri" w:cs="Calibri"/>
        </w:rPr>
        <w:t xml:space="preserve">There are a number of groups that have been marginalized, left out, or otherwise negatively impacted by government/regulated programs in the past and may continue to lack trust in such offerings. This would result in being left out even if these customers fit into one of the categories. </w:t>
      </w:r>
    </w:p>
    <w:p w14:paraId="5664A798" w14:textId="17956BF5" w:rsidR="00936471" w:rsidRPr="00BD1D99" w:rsidRDefault="00936471" w:rsidP="00760381">
      <w:pPr>
        <w:pStyle w:val="ListParagraph"/>
        <w:numPr>
          <w:ilvl w:val="0"/>
          <w:numId w:val="10"/>
        </w:numPr>
        <w:spacing w:line="276" w:lineRule="auto"/>
        <w:rPr>
          <w:rFonts w:ascii="Calibri" w:hAnsi="Calibri" w:cs="Calibri"/>
        </w:rPr>
      </w:pPr>
      <w:r w:rsidRPr="00BD1D99">
        <w:rPr>
          <w:rFonts w:ascii="Calibri" w:hAnsi="Calibri" w:cs="Calibri"/>
        </w:rPr>
        <w:t>There are a number of customers who are eligible for equity segment programs that may still be left out because homes and/or community buildings need additional repairs prior to being able to participate in energy efficiency or electrification programs (e.g., upgrading electrical panels, fixing holes in the wall or roof, etc.)</w:t>
      </w:r>
      <w:r w:rsidR="002D13AF">
        <w:rPr>
          <w:rFonts w:ascii="Calibri" w:hAnsi="Calibri" w:cs="Calibri"/>
        </w:rPr>
        <w:t>.</w:t>
      </w:r>
      <w:r w:rsidRPr="00BD1D99">
        <w:rPr>
          <w:rFonts w:ascii="Calibri" w:hAnsi="Calibri" w:cs="Calibri"/>
        </w:rPr>
        <w:t xml:space="preserve"> </w:t>
      </w:r>
    </w:p>
    <w:p w14:paraId="6E7E54AC" w14:textId="77777777" w:rsidR="00936471" w:rsidRPr="00BD1D99" w:rsidRDefault="00936471" w:rsidP="00760381">
      <w:pPr>
        <w:pStyle w:val="ListParagraph"/>
        <w:numPr>
          <w:ilvl w:val="0"/>
          <w:numId w:val="10"/>
        </w:numPr>
        <w:spacing w:line="276" w:lineRule="auto"/>
        <w:rPr>
          <w:rFonts w:ascii="Calibri" w:hAnsi="Calibri" w:cs="Calibri"/>
        </w:rPr>
      </w:pPr>
      <w:r w:rsidRPr="00BD1D99">
        <w:rPr>
          <w:rFonts w:ascii="Calibri" w:hAnsi="Calibri" w:cs="Calibri"/>
        </w:rPr>
        <w:t xml:space="preserve">There are a number of people who choose to decline to participate in the Energy Savings Assistance (ESA) program. These people would also be left behind if there were no alternative approaches that may be more appealing. </w:t>
      </w:r>
    </w:p>
    <w:p w14:paraId="7F833E3F" w14:textId="77777777" w:rsidR="00936471" w:rsidRPr="00BD1D99" w:rsidRDefault="00936471" w:rsidP="00BD1D99">
      <w:pPr>
        <w:spacing w:line="276" w:lineRule="auto"/>
        <w:rPr>
          <w:rFonts w:ascii="Calibri" w:hAnsi="Calibri" w:cs="Calibri"/>
        </w:rPr>
      </w:pPr>
      <w:r w:rsidRPr="00BD1D99">
        <w:rPr>
          <w:rFonts w:ascii="Calibri" w:hAnsi="Calibri" w:cs="Calibri"/>
        </w:rPr>
        <w:t>These factors will need to be considered in program design and highlight the importance of community engagement to ensure programs are meeting the needs of communities.</w:t>
      </w:r>
    </w:p>
    <w:p w14:paraId="68F7E926" w14:textId="1E5860DF" w:rsidR="00936471" w:rsidRDefault="00936471" w:rsidP="00BD1D99">
      <w:pPr>
        <w:spacing w:line="276" w:lineRule="auto"/>
        <w:rPr>
          <w:rFonts w:ascii="Calibri" w:hAnsi="Calibri" w:cs="Calibri"/>
        </w:rPr>
      </w:pPr>
    </w:p>
    <w:p w14:paraId="0A381DCE" w14:textId="547EB4E2" w:rsidR="00CF704E" w:rsidRPr="00965915" w:rsidRDefault="00CF704E" w:rsidP="00CF704E">
      <w:pPr>
        <w:spacing w:line="276" w:lineRule="auto"/>
        <w:rPr>
          <w:rFonts w:ascii="Calibri" w:hAnsi="Calibri" w:cs="Calibri"/>
        </w:rPr>
      </w:pPr>
      <w:r>
        <w:rPr>
          <w:rFonts w:ascii="Calibri" w:hAnsi="Calibri" w:cs="Calibri"/>
        </w:rPr>
        <w:t>Another suggestion was to rely on the CPUC’s 2019 Affordability Report</w:t>
      </w:r>
      <w:r w:rsidR="006D44F2">
        <w:rPr>
          <w:rFonts w:ascii="Calibri" w:hAnsi="Calibri" w:cs="Calibri"/>
        </w:rPr>
        <w:t>,</w:t>
      </w:r>
      <w:r>
        <w:rPr>
          <w:rStyle w:val="FootnoteReference"/>
          <w:rFonts w:ascii="Calibri" w:hAnsi="Calibri" w:cs="Calibri"/>
        </w:rPr>
        <w:footnoteReference w:id="22"/>
      </w:r>
      <w:r>
        <w:rPr>
          <w:rFonts w:ascii="Calibri" w:hAnsi="Calibri" w:cs="Calibri"/>
        </w:rPr>
        <w:t xml:space="preserve"> which notes that “</w:t>
      </w:r>
      <w:r w:rsidRPr="00965915">
        <w:rPr>
          <w:rFonts w:ascii="Calibri" w:hAnsi="Calibri" w:cs="Calibri"/>
        </w:rPr>
        <w:t>Essential utility service charge” refers to the costs borne by a representative household for the quantity of utility service required to enable a ratepayer’s health, safety, and full participation in society</w:t>
      </w:r>
      <w:r>
        <w:rPr>
          <w:rFonts w:ascii="Calibri" w:hAnsi="Calibri" w:cs="Calibri"/>
        </w:rPr>
        <w:t>.</w:t>
      </w:r>
      <w:r w:rsidRPr="00965915">
        <w:rPr>
          <w:rFonts w:ascii="Calibri" w:hAnsi="Calibri" w:cs="Calibri"/>
        </w:rPr>
        <w:t>”</w:t>
      </w:r>
      <w:r>
        <w:rPr>
          <w:rFonts w:ascii="Calibri" w:hAnsi="Calibri" w:cs="Calibri"/>
        </w:rPr>
        <w:t xml:space="preserve"> Therefore, </w:t>
      </w:r>
      <w:r w:rsidRPr="00BD2C6A">
        <w:rPr>
          <w:rFonts w:ascii="Calibri" w:hAnsi="Calibri" w:cs="Calibri"/>
        </w:rPr>
        <w:t>a customer who is underserved would be one whose level of (affordable) utility service does not enable their health, safety, and/or full participation in society</w:t>
      </w:r>
      <w:r>
        <w:rPr>
          <w:rFonts w:ascii="Calibri" w:hAnsi="Calibri" w:cs="Calibri"/>
        </w:rPr>
        <w:t xml:space="preserve">. However, since this is not an easily quantifiable approach at this moment, we include it here for reference in the event the PAs, stakeholders, or the Commission would like to take it up at a later time. </w:t>
      </w:r>
    </w:p>
    <w:p w14:paraId="25DC10F9" w14:textId="77777777" w:rsidR="00CF704E" w:rsidRPr="00BD1D99" w:rsidRDefault="00CF704E" w:rsidP="00CF704E">
      <w:pPr>
        <w:spacing w:line="276" w:lineRule="auto"/>
        <w:rPr>
          <w:rFonts w:ascii="Calibri" w:hAnsi="Calibri" w:cs="Calibri"/>
        </w:rPr>
      </w:pPr>
    </w:p>
    <w:p w14:paraId="0683EF96" w14:textId="77777777" w:rsidR="00CF704E" w:rsidRPr="00CF704E" w:rsidRDefault="00CF704E" w:rsidP="00CF704E">
      <w:pPr>
        <w:keepNext/>
        <w:keepLines/>
        <w:spacing w:line="276" w:lineRule="auto"/>
        <w:rPr>
          <w:rFonts w:ascii="Calibri" w:hAnsi="Calibri" w:cs="Calibri"/>
          <w:b/>
          <w:bCs/>
        </w:rPr>
      </w:pPr>
      <w:r w:rsidRPr="00CF704E">
        <w:rPr>
          <w:rFonts w:ascii="Calibri" w:hAnsi="Calibri" w:cs="Calibri"/>
          <w:b/>
          <w:bCs/>
        </w:rPr>
        <w:t>Option 1: Use ESJ Action Plan Definition</w:t>
      </w:r>
    </w:p>
    <w:p w14:paraId="0E8AF9C7" w14:textId="77777777" w:rsidR="00CF704E" w:rsidRPr="00CF704E" w:rsidRDefault="00CF704E" w:rsidP="00CF704E">
      <w:pPr>
        <w:spacing w:line="276" w:lineRule="auto"/>
        <w:rPr>
          <w:rFonts w:ascii="Calibri" w:hAnsi="Calibri" w:cs="Calibri"/>
        </w:rPr>
      </w:pPr>
      <w:r w:rsidRPr="00CF704E">
        <w:rPr>
          <w:rFonts w:ascii="Calibri" w:hAnsi="Calibri" w:cs="Calibri"/>
          <w:i/>
          <w:iCs/>
        </w:rPr>
        <w:t xml:space="preserve"> </w:t>
      </w:r>
      <w:r w:rsidRPr="00CF704E">
        <w:rPr>
          <w:rFonts w:ascii="Calibri" w:hAnsi="Calibri" w:cs="Calibri"/>
        </w:rPr>
        <w:t>The first option is to use the CPUC’s Environmental and Social Justice (ESJ) Action Plan definition.</w:t>
      </w:r>
      <w:r w:rsidRPr="00CF704E">
        <w:rPr>
          <w:rFonts w:ascii="Calibri" w:hAnsi="Calibri" w:cs="Calibri"/>
          <w:vertAlign w:val="superscript"/>
        </w:rPr>
        <w:footnoteReference w:id="23"/>
      </w:r>
      <w:r w:rsidRPr="00CF704E">
        <w:rPr>
          <w:rFonts w:ascii="Calibri" w:hAnsi="Calibri" w:cs="Calibri"/>
        </w:rPr>
        <w:t xml:space="preserve"> In the plan, ESJ communities that are underserved would include the following:</w:t>
      </w:r>
    </w:p>
    <w:p w14:paraId="049D082F" w14:textId="77777777" w:rsidR="00CF704E" w:rsidRPr="00CF704E" w:rsidRDefault="00CF704E" w:rsidP="00760381">
      <w:pPr>
        <w:numPr>
          <w:ilvl w:val="0"/>
          <w:numId w:val="8"/>
        </w:numPr>
        <w:spacing w:line="276" w:lineRule="auto"/>
        <w:rPr>
          <w:rFonts w:ascii="Calibri" w:hAnsi="Calibri" w:cs="Calibri"/>
        </w:rPr>
      </w:pPr>
      <w:r w:rsidRPr="00CF704E">
        <w:rPr>
          <w:rFonts w:ascii="Calibri" w:hAnsi="Calibri" w:cs="Calibri"/>
        </w:rPr>
        <w:t>Predominantly communities of color or low-income.</w:t>
      </w:r>
    </w:p>
    <w:p w14:paraId="174FB217" w14:textId="77777777" w:rsidR="00CF704E" w:rsidRPr="00CF704E" w:rsidRDefault="00CF704E" w:rsidP="00760381">
      <w:pPr>
        <w:numPr>
          <w:ilvl w:val="0"/>
          <w:numId w:val="8"/>
        </w:numPr>
        <w:spacing w:line="276" w:lineRule="auto"/>
        <w:rPr>
          <w:rFonts w:ascii="Calibri" w:hAnsi="Calibri" w:cs="Calibri"/>
        </w:rPr>
      </w:pPr>
      <w:r w:rsidRPr="00CF704E">
        <w:rPr>
          <w:rFonts w:ascii="Calibri" w:hAnsi="Calibri" w:cs="Calibri"/>
        </w:rPr>
        <w:t>Underrepresented in the policy setting or decision-making process.</w:t>
      </w:r>
    </w:p>
    <w:p w14:paraId="676FECFA" w14:textId="77777777" w:rsidR="00CF704E" w:rsidRPr="00CF704E" w:rsidRDefault="00CF704E" w:rsidP="00760381">
      <w:pPr>
        <w:numPr>
          <w:ilvl w:val="0"/>
          <w:numId w:val="8"/>
        </w:numPr>
        <w:spacing w:line="276" w:lineRule="auto"/>
        <w:rPr>
          <w:rFonts w:ascii="Calibri" w:hAnsi="Calibri" w:cs="Calibri"/>
        </w:rPr>
      </w:pPr>
      <w:r w:rsidRPr="00CF704E">
        <w:rPr>
          <w:rFonts w:ascii="Calibri" w:hAnsi="Calibri" w:cs="Calibri"/>
        </w:rPr>
        <w:t>Subject to a disproportionate impact from one or more environmental hazards.</w:t>
      </w:r>
    </w:p>
    <w:p w14:paraId="4BE31DBE" w14:textId="77777777" w:rsidR="00CF704E" w:rsidRPr="00CF704E" w:rsidRDefault="00CF704E" w:rsidP="00760381">
      <w:pPr>
        <w:numPr>
          <w:ilvl w:val="0"/>
          <w:numId w:val="8"/>
        </w:numPr>
        <w:spacing w:line="276" w:lineRule="auto"/>
        <w:rPr>
          <w:rFonts w:ascii="Calibri" w:hAnsi="Calibri" w:cs="Calibri"/>
        </w:rPr>
      </w:pPr>
      <w:r w:rsidRPr="00CF704E">
        <w:rPr>
          <w:rFonts w:ascii="Calibri" w:hAnsi="Calibri" w:cs="Calibri"/>
        </w:rPr>
        <w:t>Likely to experience disparate implementation of environmental regulations and socio-economic investments in their communities.</w:t>
      </w:r>
      <w:r w:rsidRPr="00CF704E">
        <w:rPr>
          <w:rFonts w:ascii="Calibri" w:hAnsi="Calibri" w:cs="Calibri"/>
          <w:vertAlign w:val="superscript"/>
        </w:rPr>
        <w:footnoteReference w:id="24"/>
      </w:r>
    </w:p>
    <w:p w14:paraId="62F8E394" w14:textId="77777777" w:rsidR="00CF704E" w:rsidRPr="00CF704E" w:rsidRDefault="00CF704E" w:rsidP="00CF704E">
      <w:pPr>
        <w:keepNext/>
        <w:spacing w:line="276" w:lineRule="auto"/>
        <w:rPr>
          <w:rFonts w:ascii="Calibri" w:hAnsi="Calibri" w:cs="Calibri"/>
        </w:rPr>
      </w:pPr>
      <w:r w:rsidRPr="00CF704E">
        <w:rPr>
          <w:rFonts w:ascii="Calibri" w:hAnsi="Calibri" w:cs="Calibri"/>
        </w:rPr>
        <w:t>This would include, but not be limited to:</w:t>
      </w:r>
    </w:p>
    <w:p w14:paraId="013F91A4" w14:textId="77777777" w:rsidR="00CF704E" w:rsidRPr="00CF704E" w:rsidRDefault="00CF704E" w:rsidP="00760381">
      <w:pPr>
        <w:keepNext/>
        <w:numPr>
          <w:ilvl w:val="0"/>
          <w:numId w:val="9"/>
        </w:numPr>
        <w:spacing w:line="276" w:lineRule="auto"/>
        <w:rPr>
          <w:rFonts w:ascii="Calibri" w:hAnsi="Calibri" w:cs="Calibri"/>
        </w:rPr>
      </w:pPr>
      <w:r w:rsidRPr="00CF704E">
        <w:rPr>
          <w:rFonts w:ascii="Calibri" w:hAnsi="Calibri" w:cs="Calibri"/>
        </w:rPr>
        <w:t>Disadvantage Communities located in the top 25% of communities identified by Cal EPA’s CalEnviroScreen.</w:t>
      </w:r>
      <w:r w:rsidRPr="00CF704E">
        <w:rPr>
          <w:rFonts w:ascii="Calibri" w:hAnsi="Calibri" w:cs="Calibri"/>
          <w:vertAlign w:val="superscript"/>
        </w:rPr>
        <w:footnoteReference w:id="25"/>
      </w:r>
    </w:p>
    <w:p w14:paraId="7EC2F121" w14:textId="77777777" w:rsidR="00CF704E" w:rsidRPr="00CF704E" w:rsidRDefault="00CF704E" w:rsidP="00760381">
      <w:pPr>
        <w:numPr>
          <w:ilvl w:val="0"/>
          <w:numId w:val="9"/>
        </w:numPr>
        <w:spacing w:line="276" w:lineRule="auto"/>
        <w:rPr>
          <w:rFonts w:ascii="Calibri" w:hAnsi="Calibri" w:cs="Calibri"/>
        </w:rPr>
      </w:pPr>
      <w:r w:rsidRPr="00CF704E">
        <w:rPr>
          <w:rFonts w:ascii="Calibri" w:hAnsi="Calibri" w:cs="Calibri"/>
        </w:rPr>
        <w:t>All Tribal lands.</w:t>
      </w:r>
    </w:p>
    <w:p w14:paraId="17A973CE" w14:textId="77777777" w:rsidR="00CF704E" w:rsidRPr="00CF704E" w:rsidRDefault="00CF704E" w:rsidP="00760381">
      <w:pPr>
        <w:numPr>
          <w:ilvl w:val="0"/>
          <w:numId w:val="9"/>
        </w:numPr>
        <w:spacing w:line="276" w:lineRule="auto"/>
        <w:rPr>
          <w:rFonts w:ascii="Calibri" w:hAnsi="Calibri" w:cs="Calibri"/>
        </w:rPr>
      </w:pPr>
      <w:r w:rsidRPr="00CF704E">
        <w:rPr>
          <w:rFonts w:ascii="Calibri" w:hAnsi="Calibri" w:cs="Calibri"/>
        </w:rPr>
        <w:t>Low-income households.</w:t>
      </w:r>
      <w:r w:rsidRPr="00CF704E">
        <w:rPr>
          <w:rFonts w:ascii="Calibri" w:hAnsi="Calibri" w:cs="Calibri"/>
          <w:vertAlign w:val="superscript"/>
        </w:rPr>
        <w:footnoteReference w:id="26"/>
      </w:r>
    </w:p>
    <w:p w14:paraId="5ACC6BBE" w14:textId="77777777" w:rsidR="00CF704E" w:rsidRPr="00CF704E" w:rsidRDefault="00CF704E" w:rsidP="00760381">
      <w:pPr>
        <w:numPr>
          <w:ilvl w:val="0"/>
          <w:numId w:val="9"/>
        </w:numPr>
        <w:spacing w:line="276" w:lineRule="auto"/>
        <w:rPr>
          <w:rFonts w:ascii="Calibri" w:hAnsi="Calibri" w:cs="Calibri"/>
        </w:rPr>
      </w:pPr>
      <w:r w:rsidRPr="00CF704E">
        <w:rPr>
          <w:rFonts w:ascii="Calibri" w:hAnsi="Calibri" w:cs="Calibri"/>
        </w:rPr>
        <w:t>Low-income census tracts.</w:t>
      </w:r>
      <w:r w:rsidRPr="00CF704E">
        <w:rPr>
          <w:rFonts w:ascii="Calibri" w:hAnsi="Calibri" w:cs="Calibri"/>
          <w:vertAlign w:val="superscript"/>
        </w:rPr>
        <w:footnoteReference w:id="27"/>
      </w:r>
      <w:r w:rsidRPr="00CF704E">
        <w:rPr>
          <w:rFonts w:ascii="Calibri" w:hAnsi="Calibri" w:cs="Calibri"/>
        </w:rPr>
        <w:t xml:space="preserve"> </w:t>
      </w:r>
    </w:p>
    <w:p w14:paraId="6F4E43EB" w14:textId="77777777" w:rsidR="00CF704E" w:rsidRPr="00CF704E" w:rsidRDefault="00CF704E" w:rsidP="00CF704E">
      <w:pPr>
        <w:spacing w:line="276" w:lineRule="auto"/>
        <w:rPr>
          <w:rFonts w:ascii="Calibri" w:hAnsi="Calibri" w:cs="Calibri"/>
        </w:rPr>
      </w:pPr>
    </w:p>
    <w:p w14:paraId="28907DCB" w14:textId="77777777" w:rsidR="00CF704E" w:rsidRPr="00CF704E" w:rsidRDefault="00CF704E" w:rsidP="00CF704E">
      <w:pPr>
        <w:spacing w:line="276" w:lineRule="auto"/>
        <w:rPr>
          <w:rFonts w:ascii="Calibri" w:hAnsi="Calibri" w:cs="Calibri"/>
          <w:b/>
          <w:bCs/>
        </w:rPr>
      </w:pPr>
      <w:r w:rsidRPr="00CF704E">
        <w:rPr>
          <w:rFonts w:ascii="Calibri" w:hAnsi="Calibri" w:cs="Calibri"/>
          <w:b/>
          <w:bCs/>
        </w:rPr>
        <w:t>Option 2: Use ESJ Action Plan Definition + allow an avenue for PAs to propose additional ‘underserved’ with rationale</w:t>
      </w:r>
    </w:p>
    <w:p w14:paraId="29AA3DA8" w14:textId="1A5079AE" w:rsidR="00CF704E" w:rsidRPr="00BD1D99" w:rsidRDefault="00CF704E" w:rsidP="00CF704E">
      <w:pPr>
        <w:spacing w:line="276" w:lineRule="auto"/>
        <w:rPr>
          <w:rFonts w:ascii="Calibri" w:hAnsi="Calibri" w:cs="Calibri"/>
        </w:rPr>
      </w:pPr>
      <w:r w:rsidRPr="00CF704E">
        <w:rPr>
          <w:rFonts w:ascii="Calibri" w:hAnsi="Calibri" w:cs="Calibri"/>
        </w:rPr>
        <w:t>Even with the addition of the ESJ definition, members and stakeholders continue to be</w:t>
      </w:r>
      <w:r w:rsidRPr="00BD1D99">
        <w:rPr>
          <w:rFonts w:ascii="Calibri" w:hAnsi="Calibri" w:cs="Calibri"/>
        </w:rPr>
        <w:t xml:space="preserve"> concerned that certain communities or individuals will be left out (e.g., renters, housing type, Black customers/workers, undocumented customers/workers, non-English speakers, isolated/remote communities, seniors, public agencies/facilities, those with barriers to employment, etc.). In addition, other members referenced the need to define various customer types, such as socially disadvantaged farmers (e.g., via AB 1348</w:t>
      </w:r>
      <w:r w:rsidRPr="00BD1D99">
        <w:rPr>
          <w:rFonts w:ascii="Calibri" w:hAnsi="Calibri" w:cs="Calibri"/>
          <w:vertAlign w:val="superscript"/>
        </w:rPr>
        <w:footnoteReference w:id="28"/>
      </w:r>
      <w:r w:rsidRPr="00BD1D99">
        <w:rPr>
          <w:rFonts w:ascii="Calibri" w:hAnsi="Calibri" w:cs="Calibri"/>
        </w:rPr>
        <w:t>) and small business (e.g., via the Department of General Services Certification Programs</w:t>
      </w:r>
      <w:r w:rsidRPr="00BD1D99">
        <w:rPr>
          <w:rFonts w:ascii="Calibri" w:hAnsi="Calibri" w:cs="Calibri"/>
          <w:vertAlign w:val="superscript"/>
        </w:rPr>
        <w:footnoteReference w:id="29"/>
      </w:r>
      <w:r w:rsidRPr="00BD1D99">
        <w:rPr>
          <w:rFonts w:ascii="Calibri" w:hAnsi="Calibri" w:cs="Calibri"/>
        </w:rPr>
        <w:t xml:space="preserve">). </w:t>
      </w:r>
    </w:p>
    <w:p w14:paraId="27687AFD" w14:textId="77777777" w:rsidR="00A10136" w:rsidRDefault="00A10136" w:rsidP="00CF704E">
      <w:pPr>
        <w:spacing w:line="276" w:lineRule="auto"/>
        <w:rPr>
          <w:rFonts w:ascii="Calibri" w:hAnsi="Calibri" w:cs="Calibri"/>
        </w:rPr>
      </w:pPr>
    </w:p>
    <w:p w14:paraId="030C18F2" w14:textId="2618FB2C" w:rsidR="00CF704E" w:rsidRPr="00BD1D99" w:rsidRDefault="00CF704E" w:rsidP="00CF704E">
      <w:pPr>
        <w:spacing w:line="276" w:lineRule="auto"/>
        <w:rPr>
          <w:rFonts w:ascii="Calibri" w:hAnsi="Calibri" w:cs="Calibri"/>
        </w:rPr>
      </w:pPr>
      <w:r w:rsidRPr="00BD1D99">
        <w:rPr>
          <w:rFonts w:ascii="Calibri" w:hAnsi="Calibri" w:cs="Calibri"/>
        </w:rPr>
        <w:t xml:space="preserve">Therefore, Option 2 is including the ESJ definition as in Option 1, plus the opportunity for PAs to propose inclusion of additional potential customers, participants, or communities that may not fall squarely within these definitions (e.g., a school in a location that does not meet any definition but the students who attend would meet eligibility requirements). </w:t>
      </w:r>
    </w:p>
    <w:p w14:paraId="0225B743" w14:textId="77777777" w:rsidR="00CF704E" w:rsidRPr="00BD1D99" w:rsidRDefault="00CF704E" w:rsidP="00CF704E">
      <w:pPr>
        <w:spacing w:line="276" w:lineRule="auto"/>
        <w:rPr>
          <w:rFonts w:ascii="Calibri" w:hAnsi="Calibri" w:cs="Calibri"/>
        </w:rPr>
      </w:pPr>
    </w:p>
    <w:p w14:paraId="7BF4336B" w14:textId="77777777" w:rsidR="00CF704E" w:rsidRPr="00BD1D99" w:rsidRDefault="00CF704E" w:rsidP="00CF704E">
      <w:pPr>
        <w:keepNext/>
        <w:spacing w:line="276" w:lineRule="auto"/>
        <w:rPr>
          <w:rFonts w:ascii="Calibri" w:hAnsi="Calibri" w:cs="Calibri"/>
          <w:b/>
          <w:bCs/>
        </w:rPr>
      </w:pPr>
      <w:r w:rsidRPr="00CF704E">
        <w:rPr>
          <w:rFonts w:ascii="Calibri" w:hAnsi="Calibri" w:cs="Calibri"/>
          <w:b/>
          <w:bCs/>
        </w:rPr>
        <w:t>Option 3: Allow the PAs to determine underserved</w:t>
      </w:r>
    </w:p>
    <w:p w14:paraId="3F891D5C" w14:textId="5A881853" w:rsidR="00CF704E" w:rsidRDefault="00CF704E" w:rsidP="00CF704E">
      <w:pPr>
        <w:keepNext/>
        <w:spacing w:line="276" w:lineRule="auto"/>
        <w:rPr>
          <w:rFonts w:ascii="Calibri" w:hAnsi="Calibri" w:cs="Calibri"/>
        </w:rPr>
      </w:pPr>
      <w:r w:rsidRPr="00BD1D99">
        <w:rPr>
          <w:rFonts w:ascii="Calibri" w:hAnsi="Calibri" w:cs="Calibri"/>
        </w:rPr>
        <w:t xml:space="preserve">Option 3 would be to allow the PAs to define what “underserved” is in their applications as well as through a to-be-determined mechanism to allow for future modifications that would occur after a decision is made on the applications. </w:t>
      </w:r>
    </w:p>
    <w:p w14:paraId="5D5B9B0E" w14:textId="77777777" w:rsidR="00CF704E" w:rsidRPr="00BD1D99" w:rsidRDefault="00CF704E" w:rsidP="00BD1D99">
      <w:pPr>
        <w:spacing w:line="276" w:lineRule="auto"/>
        <w:rPr>
          <w:rFonts w:ascii="Calibri" w:hAnsi="Calibri" w:cs="Calibri"/>
        </w:rPr>
      </w:pPr>
    </w:p>
    <w:p w14:paraId="39CD9A96" w14:textId="36060B20" w:rsidR="009B7CF4" w:rsidRPr="00BD1D99" w:rsidRDefault="009B7CF4" w:rsidP="00BD1D99">
      <w:pPr>
        <w:spacing w:line="276" w:lineRule="auto"/>
        <w:rPr>
          <w:rFonts w:ascii="Calibri" w:hAnsi="Calibri" w:cs="Calibri"/>
        </w:rPr>
      </w:pPr>
      <w:r w:rsidRPr="00BD1D99">
        <w:rPr>
          <w:rFonts w:ascii="Calibri" w:hAnsi="Calibri" w:cs="Calibri"/>
        </w:rPr>
        <w:t xml:space="preserve">The EMWG members who prefer each option and find each option acceptable is presented below in Table </w:t>
      </w:r>
      <w:r w:rsidR="002C1426">
        <w:rPr>
          <w:rFonts w:ascii="Calibri" w:hAnsi="Calibri" w:cs="Calibri"/>
        </w:rPr>
        <w:t>3</w:t>
      </w:r>
      <w:r w:rsidRPr="00BD1D99">
        <w:rPr>
          <w:rFonts w:ascii="Calibri" w:hAnsi="Calibri" w:cs="Calibri"/>
        </w:rPr>
        <w:t xml:space="preserve">. </w:t>
      </w:r>
      <w:r w:rsidR="00987389" w:rsidRPr="00EA12A6">
        <w:rPr>
          <w:rFonts w:ascii="Calibri" w:hAnsi="Calibri" w:cs="Calibri"/>
        </w:rPr>
        <w:t xml:space="preserve">In addition, some </w:t>
      </w:r>
      <w:r w:rsidR="00987389">
        <w:rPr>
          <w:rFonts w:ascii="Calibri" w:hAnsi="Calibri" w:cs="Calibri"/>
        </w:rPr>
        <w:t>W</w:t>
      </w:r>
      <w:r w:rsidR="00987389" w:rsidRPr="00EA12A6">
        <w:rPr>
          <w:rFonts w:ascii="Calibri" w:hAnsi="Calibri" w:cs="Calibri"/>
        </w:rPr>
        <w:t xml:space="preserve">orking </w:t>
      </w:r>
      <w:r w:rsidR="00987389">
        <w:rPr>
          <w:rFonts w:ascii="Calibri" w:hAnsi="Calibri" w:cs="Calibri"/>
        </w:rPr>
        <w:t>G</w:t>
      </w:r>
      <w:r w:rsidR="00987389" w:rsidRPr="00EA12A6">
        <w:rPr>
          <w:rFonts w:ascii="Calibri" w:hAnsi="Calibri" w:cs="Calibri"/>
        </w:rPr>
        <w:t xml:space="preserve">roup </w:t>
      </w:r>
      <w:r w:rsidR="00987389">
        <w:rPr>
          <w:rFonts w:ascii="Calibri" w:hAnsi="Calibri" w:cs="Calibri"/>
        </w:rPr>
        <w:t>M</w:t>
      </w:r>
      <w:r w:rsidR="00987389" w:rsidRPr="00EA12A6">
        <w:rPr>
          <w:rFonts w:ascii="Calibri" w:hAnsi="Calibri" w:cs="Calibri"/>
        </w:rPr>
        <w:t>embers</w:t>
      </w:r>
      <w:r w:rsidR="00987389">
        <w:rPr>
          <w:rFonts w:ascii="Calibri" w:hAnsi="Calibri" w:cs="Calibri"/>
        </w:rPr>
        <w:t xml:space="preserve"> (indicated by a *)</w:t>
      </w:r>
      <w:r w:rsidR="00987389" w:rsidRPr="00EA12A6">
        <w:rPr>
          <w:rFonts w:ascii="Calibri" w:hAnsi="Calibri" w:cs="Calibri"/>
        </w:rPr>
        <w:t xml:space="preserve"> have provided comments </w:t>
      </w:r>
      <w:r w:rsidR="00912FF0" w:rsidRPr="00D22AAE">
        <w:rPr>
          <w:rFonts w:ascii="Calibri" w:hAnsi="Calibri" w:cs="Calibri"/>
        </w:rPr>
        <w:t>to clarify and elaborate</w:t>
      </w:r>
      <w:r w:rsidR="00912FF0">
        <w:rPr>
          <w:rFonts w:ascii="Calibri" w:hAnsi="Calibri" w:cs="Calibri"/>
        </w:rPr>
        <w:t xml:space="preserve"> </w:t>
      </w:r>
      <w:r w:rsidR="00987389" w:rsidRPr="00EA12A6">
        <w:rPr>
          <w:rFonts w:ascii="Calibri" w:hAnsi="Calibri" w:cs="Calibri"/>
        </w:rPr>
        <w:t>on their option choices in Appendix</w:t>
      </w:r>
      <w:r w:rsidR="00987389">
        <w:rPr>
          <w:rFonts w:ascii="Calibri" w:hAnsi="Calibri" w:cs="Calibri"/>
        </w:rPr>
        <w:t xml:space="preserve"> C</w:t>
      </w:r>
      <w:r w:rsidR="00987389" w:rsidRPr="00EA12A6">
        <w:rPr>
          <w:rFonts w:ascii="Calibri" w:hAnsi="Calibri" w:cs="Calibri"/>
        </w:rPr>
        <w:t>.</w:t>
      </w:r>
    </w:p>
    <w:p w14:paraId="08D01B8E" w14:textId="77777777" w:rsidR="00936471" w:rsidRPr="00BD1D99" w:rsidRDefault="00936471" w:rsidP="00BD1D99">
      <w:pPr>
        <w:spacing w:line="276" w:lineRule="auto"/>
        <w:rPr>
          <w:rFonts w:ascii="Calibri" w:hAnsi="Calibri" w:cs="Calibri"/>
        </w:rPr>
      </w:pPr>
    </w:p>
    <w:p w14:paraId="32BDDA8C" w14:textId="22954C42" w:rsidR="00936471" w:rsidRPr="00BD1D99" w:rsidRDefault="00936471" w:rsidP="003D492E">
      <w:pPr>
        <w:keepNext/>
        <w:keepLines/>
        <w:spacing w:line="276" w:lineRule="auto"/>
        <w:rPr>
          <w:rFonts w:ascii="Calibri" w:hAnsi="Calibri" w:cs="Calibri"/>
        </w:rPr>
      </w:pPr>
      <w:r w:rsidRPr="00BD1D99">
        <w:rPr>
          <w:rFonts w:ascii="Calibri" w:hAnsi="Calibri" w:cs="Calibri"/>
        </w:rPr>
        <w:t xml:space="preserve">Table </w:t>
      </w:r>
      <w:r w:rsidR="002C1426">
        <w:rPr>
          <w:rFonts w:ascii="Calibri" w:hAnsi="Calibri" w:cs="Calibri"/>
        </w:rPr>
        <w:t>3</w:t>
      </w:r>
      <w:r w:rsidRPr="00BD1D99">
        <w:rPr>
          <w:rFonts w:ascii="Calibri" w:hAnsi="Calibri" w:cs="Calibri"/>
        </w:rPr>
        <w:t xml:space="preserve">: EMWG </w:t>
      </w:r>
      <w:r w:rsidR="007A7B24">
        <w:rPr>
          <w:rFonts w:ascii="Calibri" w:hAnsi="Calibri" w:cs="Calibri"/>
        </w:rPr>
        <w:t>Support of</w:t>
      </w:r>
      <w:r w:rsidRPr="00BD1D99">
        <w:rPr>
          <w:rFonts w:ascii="Calibri" w:hAnsi="Calibri" w:cs="Calibri"/>
        </w:rPr>
        <w:t xml:space="preserve"> “Underserved” </w:t>
      </w:r>
      <w:r w:rsidR="007A7B24">
        <w:rPr>
          <w:rFonts w:ascii="Calibri" w:hAnsi="Calibri" w:cs="Calibri"/>
        </w:rPr>
        <w:t>Definitions Options 1, 2, and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3356"/>
        <w:gridCol w:w="3384"/>
      </w:tblGrid>
      <w:tr w:rsidR="00936471" w:rsidRPr="00CD650E" w14:paraId="65CBCAF0" w14:textId="77777777" w:rsidTr="003D492E">
        <w:trPr>
          <w:trHeight w:val="340"/>
        </w:trPr>
        <w:tc>
          <w:tcPr>
            <w:tcW w:w="3468" w:type="dxa"/>
            <w:shd w:val="clear" w:color="000000" w:fill="8EA9DB"/>
            <w:vAlign w:val="bottom"/>
            <w:hideMark/>
          </w:tcPr>
          <w:p w14:paraId="3875FD09" w14:textId="77777777" w:rsidR="00936471" w:rsidRPr="00CD650E" w:rsidRDefault="00936471" w:rsidP="003D492E">
            <w:pPr>
              <w:keepNext/>
              <w:keepLines/>
              <w:spacing w:line="276" w:lineRule="auto"/>
              <w:rPr>
                <w:rFonts w:ascii="Calibri" w:hAnsi="Calibri" w:cs="Calibri"/>
                <w:b/>
                <w:bCs/>
                <w:color w:val="000000"/>
                <w:sz w:val="18"/>
                <w:szCs w:val="18"/>
              </w:rPr>
            </w:pPr>
            <w:r w:rsidRPr="00CD650E">
              <w:rPr>
                <w:rFonts w:ascii="Calibri" w:hAnsi="Calibri" w:cs="Calibri"/>
                <w:b/>
                <w:bCs/>
                <w:color w:val="000000"/>
                <w:sz w:val="18"/>
                <w:szCs w:val="18"/>
              </w:rPr>
              <w:t>Underserved Definition</w:t>
            </w:r>
          </w:p>
        </w:tc>
        <w:tc>
          <w:tcPr>
            <w:tcW w:w="3356" w:type="dxa"/>
            <w:shd w:val="clear" w:color="000000" w:fill="8EA9DB"/>
            <w:vAlign w:val="bottom"/>
            <w:hideMark/>
          </w:tcPr>
          <w:p w14:paraId="21790362" w14:textId="77777777" w:rsidR="00936471" w:rsidRPr="00CD650E" w:rsidRDefault="00936471" w:rsidP="003D492E">
            <w:pPr>
              <w:keepNext/>
              <w:keepLines/>
              <w:spacing w:line="276" w:lineRule="auto"/>
              <w:rPr>
                <w:rFonts w:ascii="Calibri" w:hAnsi="Calibri" w:cs="Calibri"/>
                <w:b/>
                <w:bCs/>
                <w:color w:val="000000"/>
                <w:sz w:val="18"/>
                <w:szCs w:val="18"/>
              </w:rPr>
            </w:pPr>
            <w:r w:rsidRPr="00CD650E">
              <w:rPr>
                <w:rFonts w:ascii="Calibri" w:hAnsi="Calibri" w:cs="Calibri"/>
                <w:b/>
                <w:bCs/>
                <w:color w:val="000000"/>
                <w:sz w:val="18"/>
                <w:szCs w:val="18"/>
              </w:rPr>
              <w:t>First Choice Option</w:t>
            </w:r>
          </w:p>
        </w:tc>
        <w:tc>
          <w:tcPr>
            <w:tcW w:w="2526" w:type="dxa"/>
            <w:shd w:val="clear" w:color="000000" w:fill="8EA9DB"/>
            <w:vAlign w:val="bottom"/>
            <w:hideMark/>
          </w:tcPr>
          <w:p w14:paraId="3A839A86" w14:textId="77777777" w:rsidR="00936471" w:rsidRPr="00CD650E" w:rsidRDefault="00936471" w:rsidP="003D492E">
            <w:pPr>
              <w:keepNext/>
              <w:keepLines/>
              <w:spacing w:line="276" w:lineRule="auto"/>
              <w:rPr>
                <w:rFonts w:ascii="Calibri" w:hAnsi="Calibri" w:cs="Calibri"/>
                <w:b/>
                <w:bCs/>
                <w:color w:val="000000"/>
                <w:sz w:val="18"/>
                <w:szCs w:val="18"/>
              </w:rPr>
            </w:pPr>
            <w:r w:rsidRPr="00CD650E">
              <w:rPr>
                <w:rFonts w:ascii="Calibri" w:hAnsi="Calibri" w:cs="Calibri"/>
                <w:b/>
                <w:bCs/>
                <w:color w:val="000000"/>
                <w:sz w:val="18"/>
                <w:szCs w:val="18"/>
              </w:rPr>
              <w:t>Acceptable Option</w:t>
            </w:r>
          </w:p>
        </w:tc>
      </w:tr>
      <w:tr w:rsidR="003D492E" w:rsidRPr="00CD650E" w14:paraId="1949D403" w14:textId="77777777" w:rsidTr="009367C0">
        <w:trPr>
          <w:trHeight w:val="216"/>
        </w:trPr>
        <w:tc>
          <w:tcPr>
            <w:tcW w:w="3468" w:type="dxa"/>
            <w:shd w:val="clear" w:color="auto" w:fill="auto"/>
            <w:hideMark/>
          </w:tcPr>
          <w:p w14:paraId="5635453C" w14:textId="64474889" w:rsidR="003D492E" w:rsidRPr="00CD650E" w:rsidRDefault="003D492E" w:rsidP="009367C0">
            <w:pPr>
              <w:keepNext/>
              <w:keepLines/>
              <w:spacing w:line="276" w:lineRule="auto"/>
              <w:rPr>
                <w:rFonts w:ascii="Calibri" w:hAnsi="Calibri" w:cs="Calibri"/>
                <w:color w:val="000000"/>
                <w:sz w:val="18"/>
                <w:szCs w:val="18"/>
              </w:rPr>
            </w:pPr>
            <w:r w:rsidRPr="00CD650E">
              <w:rPr>
                <w:rFonts w:ascii="Calibri" w:hAnsi="Calibri" w:cs="Calibri"/>
                <w:color w:val="000000"/>
                <w:sz w:val="18"/>
                <w:szCs w:val="18"/>
              </w:rPr>
              <w:t xml:space="preserve">Option 1: Use ESJ Action Plan Definition </w:t>
            </w:r>
            <w:r w:rsidRPr="00CD650E">
              <w:rPr>
                <w:rFonts w:ascii="Calibri" w:hAnsi="Calibri" w:cs="Calibri"/>
                <w:b/>
                <w:bCs/>
                <w:sz w:val="18"/>
                <w:szCs w:val="18"/>
              </w:rPr>
              <w:t>(</w:t>
            </w:r>
            <w:r w:rsidR="00CD650E" w:rsidRPr="00CD650E">
              <w:rPr>
                <w:rFonts w:ascii="Calibri" w:hAnsi="Calibri" w:cs="Calibri"/>
                <w:b/>
                <w:bCs/>
                <w:sz w:val="18"/>
                <w:szCs w:val="18"/>
              </w:rPr>
              <w:t>2</w:t>
            </w:r>
            <w:r w:rsidR="00CD650E" w:rsidRPr="00CD650E">
              <w:rPr>
                <w:rFonts w:ascii="Calibri" w:hAnsi="Calibri" w:cs="Calibri"/>
                <w:sz w:val="18"/>
                <w:szCs w:val="18"/>
              </w:rPr>
              <w:t xml:space="preserve"> </w:t>
            </w:r>
            <w:r w:rsidRPr="00CD650E">
              <w:rPr>
                <w:rFonts w:ascii="Calibri" w:hAnsi="Calibri" w:cs="Calibri"/>
                <w:b/>
                <w:bCs/>
                <w:sz w:val="18"/>
                <w:szCs w:val="18"/>
              </w:rPr>
              <w:t xml:space="preserve">first choice, </w:t>
            </w:r>
            <w:r w:rsidR="00CD650E">
              <w:rPr>
                <w:rFonts w:ascii="Calibri" w:hAnsi="Calibri" w:cs="Calibri"/>
                <w:b/>
                <w:bCs/>
                <w:sz w:val="18"/>
                <w:szCs w:val="18"/>
              </w:rPr>
              <w:t xml:space="preserve">13 </w:t>
            </w:r>
            <w:r w:rsidRPr="00CD650E">
              <w:rPr>
                <w:rFonts w:ascii="Calibri" w:hAnsi="Calibri" w:cs="Calibri"/>
                <w:b/>
                <w:bCs/>
                <w:sz w:val="18"/>
                <w:szCs w:val="18"/>
              </w:rPr>
              <w:t>acceptable</w:t>
            </w:r>
            <w:r w:rsidR="002E23AB">
              <w:rPr>
                <w:rStyle w:val="FootnoteReference"/>
                <w:rFonts w:ascii="Calibri" w:hAnsi="Calibri" w:cs="Calibri"/>
                <w:b/>
                <w:bCs/>
                <w:sz w:val="18"/>
                <w:szCs w:val="18"/>
              </w:rPr>
              <w:footnoteReference w:id="30"/>
            </w:r>
            <w:r w:rsidRPr="00CD650E">
              <w:rPr>
                <w:rFonts w:ascii="Calibri" w:hAnsi="Calibri" w:cs="Calibri"/>
                <w:sz w:val="18"/>
                <w:szCs w:val="18"/>
              </w:rPr>
              <w:t>)</w:t>
            </w:r>
          </w:p>
        </w:tc>
        <w:tc>
          <w:tcPr>
            <w:tcW w:w="3356" w:type="dxa"/>
            <w:shd w:val="clear" w:color="auto" w:fill="auto"/>
            <w:hideMark/>
          </w:tcPr>
          <w:tbl>
            <w:tblPr>
              <w:tblW w:w="3140" w:type="dxa"/>
              <w:tblLook w:val="04A0" w:firstRow="1" w:lastRow="0" w:firstColumn="1" w:lastColumn="0" w:noHBand="0" w:noVBand="1"/>
            </w:tblPr>
            <w:tblGrid>
              <w:gridCol w:w="3140"/>
            </w:tblGrid>
            <w:tr w:rsidR="003D492E" w:rsidRPr="00CD650E" w14:paraId="24A54311" w14:textId="77777777" w:rsidTr="00CD650E">
              <w:trPr>
                <w:trHeight w:val="216"/>
              </w:trPr>
              <w:tc>
                <w:tcPr>
                  <w:tcW w:w="3140" w:type="dxa"/>
                  <w:shd w:val="clear" w:color="auto" w:fill="auto"/>
                  <w:noWrap/>
                  <w:vAlign w:val="bottom"/>
                  <w:hideMark/>
                </w:tcPr>
                <w:p w14:paraId="0D7D8D60"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Cal Advocates</w:t>
                  </w:r>
                </w:p>
              </w:tc>
            </w:tr>
            <w:tr w:rsidR="003D492E" w:rsidRPr="00CD650E" w14:paraId="783F7677" w14:textId="77777777" w:rsidTr="00CD650E">
              <w:trPr>
                <w:trHeight w:val="216"/>
              </w:trPr>
              <w:tc>
                <w:tcPr>
                  <w:tcW w:w="3140" w:type="dxa"/>
                  <w:shd w:val="clear" w:color="auto" w:fill="auto"/>
                  <w:noWrap/>
                  <w:vAlign w:val="bottom"/>
                  <w:hideMark/>
                </w:tcPr>
                <w:p w14:paraId="730A9693"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CodeCycle</w:t>
                  </w:r>
                </w:p>
              </w:tc>
            </w:tr>
          </w:tbl>
          <w:p w14:paraId="54ADE5CA" w14:textId="255D75D1" w:rsidR="003D492E" w:rsidRPr="00CD650E" w:rsidRDefault="003D492E" w:rsidP="009367C0">
            <w:pPr>
              <w:rPr>
                <w:rFonts w:ascii="Calibri" w:hAnsi="Calibri" w:cs="Calibri"/>
                <w:color w:val="000000"/>
                <w:sz w:val="18"/>
                <w:szCs w:val="18"/>
              </w:rPr>
            </w:pPr>
          </w:p>
        </w:tc>
        <w:tc>
          <w:tcPr>
            <w:tcW w:w="2526" w:type="dxa"/>
            <w:shd w:val="clear" w:color="auto" w:fill="auto"/>
            <w:hideMark/>
          </w:tcPr>
          <w:tbl>
            <w:tblPr>
              <w:tblW w:w="3168" w:type="dxa"/>
              <w:tblLook w:val="04A0" w:firstRow="1" w:lastRow="0" w:firstColumn="1" w:lastColumn="0" w:noHBand="0" w:noVBand="1"/>
            </w:tblPr>
            <w:tblGrid>
              <w:gridCol w:w="3168"/>
            </w:tblGrid>
            <w:tr w:rsidR="00CD650E" w:rsidRPr="00CD650E" w14:paraId="4D954E83" w14:textId="77777777" w:rsidTr="00CD650E">
              <w:trPr>
                <w:trHeight w:val="216"/>
              </w:trPr>
              <w:tc>
                <w:tcPr>
                  <w:tcW w:w="3168" w:type="dxa"/>
                  <w:shd w:val="clear" w:color="auto" w:fill="auto"/>
                  <w:noWrap/>
                  <w:vAlign w:val="bottom"/>
                  <w:hideMark/>
                </w:tcPr>
                <w:p w14:paraId="7F4322A7" w14:textId="77777777" w:rsidR="00CD650E" w:rsidRPr="00CD650E" w:rsidRDefault="00CD650E" w:rsidP="009367C0">
                  <w:pPr>
                    <w:rPr>
                      <w:rFonts w:ascii="Calibri" w:hAnsi="Calibri" w:cs="Calibri"/>
                      <w:color w:val="000000"/>
                      <w:sz w:val="18"/>
                      <w:szCs w:val="18"/>
                    </w:rPr>
                  </w:pPr>
                  <w:r w:rsidRPr="00CD650E">
                    <w:rPr>
                      <w:rFonts w:ascii="Calibri" w:hAnsi="Calibri" w:cs="Calibri"/>
                      <w:color w:val="000000"/>
                      <w:sz w:val="18"/>
                      <w:szCs w:val="18"/>
                    </w:rPr>
                    <w:t>3C-REN</w:t>
                  </w:r>
                </w:p>
              </w:tc>
            </w:tr>
            <w:tr w:rsidR="00CD650E" w:rsidRPr="00CD650E" w14:paraId="20A5A77F" w14:textId="77777777" w:rsidTr="00CD650E">
              <w:trPr>
                <w:trHeight w:val="216"/>
              </w:trPr>
              <w:tc>
                <w:tcPr>
                  <w:tcW w:w="3168" w:type="dxa"/>
                  <w:shd w:val="clear" w:color="auto" w:fill="auto"/>
                  <w:noWrap/>
                  <w:vAlign w:val="bottom"/>
                  <w:hideMark/>
                </w:tcPr>
                <w:p w14:paraId="73F1DC84" w14:textId="77777777" w:rsidR="00CD650E" w:rsidRPr="00CD650E" w:rsidRDefault="00CD650E" w:rsidP="009367C0">
                  <w:pPr>
                    <w:rPr>
                      <w:rFonts w:ascii="Calibri" w:hAnsi="Calibri" w:cs="Calibri"/>
                      <w:color w:val="000000"/>
                      <w:sz w:val="18"/>
                      <w:szCs w:val="18"/>
                    </w:rPr>
                  </w:pPr>
                  <w:r w:rsidRPr="00CD650E">
                    <w:rPr>
                      <w:rFonts w:ascii="Calibri" w:hAnsi="Calibri" w:cs="Calibri"/>
                      <w:color w:val="000000"/>
                      <w:sz w:val="18"/>
                      <w:szCs w:val="18"/>
                    </w:rPr>
                    <w:t>BayREN</w:t>
                  </w:r>
                </w:p>
              </w:tc>
            </w:tr>
            <w:tr w:rsidR="00CD650E" w:rsidRPr="00CD650E" w14:paraId="33526080" w14:textId="77777777" w:rsidTr="00CD650E">
              <w:trPr>
                <w:trHeight w:val="216"/>
              </w:trPr>
              <w:tc>
                <w:tcPr>
                  <w:tcW w:w="3168" w:type="dxa"/>
                  <w:shd w:val="clear" w:color="auto" w:fill="auto"/>
                  <w:noWrap/>
                  <w:vAlign w:val="bottom"/>
                  <w:hideMark/>
                </w:tcPr>
                <w:p w14:paraId="0E176A36" w14:textId="77777777" w:rsidR="00CD650E" w:rsidRPr="00CD650E" w:rsidRDefault="00CD650E" w:rsidP="009367C0">
                  <w:pPr>
                    <w:rPr>
                      <w:rFonts w:ascii="Calibri" w:hAnsi="Calibri" w:cs="Calibri"/>
                      <w:color w:val="000000"/>
                      <w:sz w:val="18"/>
                      <w:szCs w:val="18"/>
                    </w:rPr>
                  </w:pPr>
                  <w:r w:rsidRPr="00CD650E">
                    <w:rPr>
                      <w:rFonts w:ascii="Calibri" w:hAnsi="Calibri" w:cs="Calibri"/>
                      <w:color w:val="000000"/>
                      <w:sz w:val="18"/>
                      <w:szCs w:val="18"/>
                    </w:rPr>
                    <w:t>Cal Advocates</w:t>
                  </w:r>
                </w:p>
              </w:tc>
            </w:tr>
            <w:tr w:rsidR="00CD650E" w:rsidRPr="00CD650E" w14:paraId="7282EE66" w14:textId="77777777" w:rsidTr="00CD650E">
              <w:trPr>
                <w:trHeight w:val="216"/>
              </w:trPr>
              <w:tc>
                <w:tcPr>
                  <w:tcW w:w="3168" w:type="dxa"/>
                  <w:shd w:val="clear" w:color="auto" w:fill="auto"/>
                  <w:noWrap/>
                  <w:vAlign w:val="bottom"/>
                  <w:hideMark/>
                </w:tcPr>
                <w:p w14:paraId="7A4CE1E4" w14:textId="77777777" w:rsidR="00CD650E" w:rsidRPr="00CD650E" w:rsidRDefault="00CD650E" w:rsidP="009367C0">
                  <w:pPr>
                    <w:rPr>
                      <w:rFonts w:ascii="Calibri" w:hAnsi="Calibri" w:cs="Calibri"/>
                      <w:color w:val="000000"/>
                      <w:sz w:val="18"/>
                      <w:szCs w:val="18"/>
                    </w:rPr>
                  </w:pPr>
                  <w:r w:rsidRPr="00CD650E">
                    <w:rPr>
                      <w:rFonts w:ascii="Calibri" w:hAnsi="Calibri" w:cs="Calibri"/>
                      <w:color w:val="000000"/>
                      <w:sz w:val="18"/>
                      <w:szCs w:val="18"/>
                    </w:rPr>
                    <w:t>CEDMC</w:t>
                  </w:r>
                </w:p>
              </w:tc>
            </w:tr>
            <w:tr w:rsidR="00CD650E" w:rsidRPr="00CD650E" w14:paraId="4743CBF0" w14:textId="77777777" w:rsidTr="00CD650E">
              <w:trPr>
                <w:trHeight w:val="216"/>
              </w:trPr>
              <w:tc>
                <w:tcPr>
                  <w:tcW w:w="3168" w:type="dxa"/>
                  <w:shd w:val="clear" w:color="auto" w:fill="auto"/>
                  <w:noWrap/>
                  <w:vAlign w:val="bottom"/>
                  <w:hideMark/>
                </w:tcPr>
                <w:p w14:paraId="2400A196" w14:textId="77777777" w:rsidR="00CD650E" w:rsidRPr="00CD650E" w:rsidRDefault="00CD650E" w:rsidP="009367C0">
                  <w:pPr>
                    <w:rPr>
                      <w:rFonts w:ascii="Calibri" w:hAnsi="Calibri" w:cs="Calibri"/>
                      <w:color w:val="000000"/>
                      <w:sz w:val="18"/>
                      <w:szCs w:val="18"/>
                    </w:rPr>
                  </w:pPr>
                  <w:r w:rsidRPr="00CD650E">
                    <w:rPr>
                      <w:rFonts w:ascii="Calibri" w:hAnsi="Calibri" w:cs="Calibri"/>
                      <w:color w:val="000000"/>
                      <w:sz w:val="18"/>
                      <w:szCs w:val="18"/>
                    </w:rPr>
                    <w:t>CodeCycle</w:t>
                  </w:r>
                </w:p>
              </w:tc>
            </w:tr>
            <w:tr w:rsidR="00CD650E" w:rsidRPr="00CD650E" w14:paraId="2F3CE17C" w14:textId="77777777" w:rsidTr="00CD650E">
              <w:trPr>
                <w:trHeight w:val="216"/>
              </w:trPr>
              <w:tc>
                <w:tcPr>
                  <w:tcW w:w="3168" w:type="dxa"/>
                  <w:shd w:val="clear" w:color="auto" w:fill="auto"/>
                  <w:noWrap/>
                  <w:vAlign w:val="bottom"/>
                  <w:hideMark/>
                </w:tcPr>
                <w:p w14:paraId="0EF384DE" w14:textId="77777777" w:rsidR="00CD650E" w:rsidRPr="00CD650E" w:rsidRDefault="00CD650E" w:rsidP="009367C0">
                  <w:pPr>
                    <w:rPr>
                      <w:rFonts w:ascii="Calibri" w:hAnsi="Calibri" w:cs="Calibri"/>
                      <w:color w:val="000000"/>
                      <w:sz w:val="18"/>
                      <w:szCs w:val="18"/>
                    </w:rPr>
                  </w:pPr>
                  <w:r w:rsidRPr="00CD650E">
                    <w:rPr>
                      <w:rFonts w:ascii="Calibri" w:hAnsi="Calibri" w:cs="Calibri"/>
                      <w:color w:val="000000"/>
                      <w:sz w:val="18"/>
                      <w:szCs w:val="18"/>
                    </w:rPr>
                    <w:t>High Sierra Energy Foundation</w:t>
                  </w:r>
                </w:p>
              </w:tc>
            </w:tr>
            <w:tr w:rsidR="00CD650E" w:rsidRPr="00CD650E" w14:paraId="07CED587" w14:textId="77777777" w:rsidTr="00CD650E">
              <w:trPr>
                <w:trHeight w:val="216"/>
              </w:trPr>
              <w:tc>
                <w:tcPr>
                  <w:tcW w:w="3168" w:type="dxa"/>
                  <w:shd w:val="clear" w:color="auto" w:fill="auto"/>
                  <w:noWrap/>
                  <w:vAlign w:val="bottom"/>
                  <w:hideMark/>
                </w:tcPr>
                <w:p w14:paraId="4DA32BA9" w14:textId="77777777" w:rsidR="00CD650E" w:rsidRPr="00CD650E" w:rsidRDefault="00CD650E" w:rsidP="009367C0">
                  <w:pPr>
                    <w:rPr>
                      <w:rFonts w:ascii="Calibri" w:hAnsi="Calibri" w:cs="Calibri"/>
                      <w:color w:val="000000"/>
                      <w:sz w:val="18"/>
                      <w:szCs w:val="18"/>
                    </w:rPr>
                  </w:pPr>
                  <w:r w:rsidRPr="00CD650E">
                    <w:rPr>
                      <w:rFonts w:ascii="Calibri" w:hAnsi="Calibri" w:cs="Calibri"/>
                      <w:color w:val="000000"/>
                      <w:sz w:val="18"/>
                      <w:szCs w:val="18"/>
                    </w:rPr>
                    <w:t>Resource Innovations</w:t>
                  </w:r>
                </w:p>
              </w:tc>
            </w:tr>
            <w:tr w:rsidR="00CD650E" w:rsidRPr="00CD650E" w14:paraId="196013D4" w14:textId="77777777" w:rsidTr="00CD650E">
              <w:trPr>
                <w:trHeight w:val="216"/>
              </w:trPr>
              <w:tc>
                <w:tcPr>
                  <w:tcW w:w="3168" w:type="dxa"/>
                  <w:shd w:val="clear" w:color="auto" w:fill="auto"/>
                  <w:noWrap/>
                  <w:vAlign w:val="bottom"/>
                </w:tcPr>
                <w:p w14:paraId="3D58F948" w14:textId="5511AA1E" w:rsidR="00CD650E" w:rsidRPr="00CD650E" w:rsidRDefault="00CD650E" w:rsidP="009367C0">
                  <w:pPr>
                    <w:rPr>
                      <w:rFonts w:ascii="Calibri" w:hAnsi="Calibri" w:cs="Calibri"/>
                      <w:color w:val="000000"/>
                      <w:sz w:val="18"/>
                      <w:szCs w:val="18"/>
                    </w:rPr>
                  </w:pPr>
                  <w:r w:rsidRPr="00CD650E">
                    <w:rPr>
                      <w:rFonts w:ascii="Calibri" w:hAnsi="Calibri" w:cs="Calibri"/>
                      <w:color w:val="000000"/>
                      <w:sz w:val="18"/>
                      <w:szCs w:val="18"/>
                    </w:rPr>
                    <w:t>Rising Sun Center for Opportunity</w:t>
                  </w:r>
                </w:p>
              </w:tc>
            </w:tr>
            <w:tr w:rsidR="00CD650E" w:rsidRPr="00CD650E" w14:paraId="2FBD8170" w14:textId="77777777" w:rsidTr="00CD650E">
              <w:trPr>
                <w:trHeight w:val="216"/>
              </w:trPr>
              <w:tc>
                <w:tcPr>
                  <w:tcW w:w="3168" w:type="dxa"/>
                  <w:shd w:val="clear" w:color="auto" w:fill="auto"/>
                  <w:noWrap/>
                  <w:vAlign w:val="bottom"/>
                  <w:hideMark/>
                </w:tcPr>
                <w:p w14:paraId="4B30F1EA" w14:textId="77777777" w:rsidR="00CD650E" w:rsidRPr="00CD650E" w:rsidRDefault="00CD650E" w:rsidP="009367C0">
                  <w:pPr>
                    <w:rPr>
                      <w:rFonts w:ascii="Calibri" w:hAnsi="Calibri" w:cs="Calibri"/>
                      <w:color w:val="000000"/>
                      <w:sz w:val="18"/>
                      <w:szCs w:val="18"/>
                    </w:rPr>
                  </w:pPr>
                  <w:r w:rsidRPr="00CD650E">
                    <w:rPr>
                      <w:rFonts w:ascii="Calibri" w:hAnsi="Calibri" w:cs="Calibri"/>
                      <w:color w:val="000000"/>
                      <w:sz w:val="18"/>
                      <w:szCs w:val="18"/>
                    </w:rPr>
                    <w:t>SBUA</w:t>
                  </w:r>
                </w:p>
              </w:tc>
            </w:tr>
            <w:tr w:rsidR="00CD650E" w:rsidRPr="00CD650E" w14:paraId="7E2ECD41" w14:textId="77777777" w:rsidTr="00CD650E">
              <w:trPr>
                <w:trHeight w:val="216"/>
              </w:trPr>
              <w:tc>
                <w:tcPr>
                  <w:tcW w:w="3168" w:type="dxa"/>
                  <w:shd w:val="clear" w:color="auto" w:fill="auto"/>
                  <w:noWrap/>
                  <w:vAlign w:val="bottom"/>
                  <w:hideMark/>
                </w:tcPr>
                <w:p w14:paraId="141B80F4" w14:textId="77777777" w:rsidR="00CD650E" w:rsidRPr="00CD650E" w:rsidRDefault="00CD650E" w:rsidP="009367C0">
                  <w:pPr>
                    <w:rPr>
                      <w:rFonts w:ascii="Calibri" w:hAnsi="Calibri" w:cs="Calibri"/>
                      <w:color w:val="000000"/>
                      <w:sz w:val="18"/>
                      <w:szCs w:val="18"/>
                    </w:rPr>
                  </w:pPr>
                  <w:r w:rsidRPr="00CD650E">
                    <w:rPr>
                      <w:rFonts w:ascii="Calibri" w:hAnsi="Calibri" w:cs="Calibri"/>
                      <w:color w:val="000000"/>
                      <w:sz w:val="18"/>
                      <w:szCs w:val="18"/>
                    </w:rPr>
                    <w:t>SCE</w:t>
                  </w:r>
                </w:p>
              </w:tc>
            </w:tr>
            <w:tr w:rsidR="00CD650E" w:rsidRPr="00CD650E" w14:paraId="65472516" w14:textId="77777777" w:rsidTr="00CD650E">
              <w:trPr>
                <w:trHeight w:val="216"/>
              </w:trPr>
              <w:tc>
                <w:tcPr>
                  <w:tcW w:w="3168" w:type="dxa"/>
                  <w:shd w:val="clear" w:color="auto" w:fill="auto"/>
                  <w:noWrap/>
                  <w:vAlign w:val="bottom"/>
                  <w:hideMark/>
                </w:tcPr>
                <w:p w14:paraId="648534CA" w14:textId="77777777" w:rsidR="00CD650E" w:rsidRPr="00CD650E" w:rsidRDefault="00CD650E" w:rsidP="009367C0">
                  <w:pPr>
                    <w:rPr>
                      <w:rFonts w:ascii="Calibri" w:hAnsi="Calibri" w:cs="Calibri"/>
                      <w:color w:val="000000"/>
                      <w:sz w:val="18"/>
                      <w:szCs w:val="18"/>
                    </w:rPr>
                  </w:pPr>
                  <w:r w:rsidRPr="00CD650E">
                    <w:rPr>
                      <w:rFonts w:ascii="Calibri" w:hAnsi="Calibri" w:cs="Calibri"/>
                      <w:color w:val="000000"/>
                      <w:sz w:val="18"/>
                      <w:szCs w:val="18"/>
                    </w:rPr>
                    <w:t>SCG</w:t>
                  </w:r>
                </w:p>
              </w:tc>
            </w:tr>
            <w:tr w:rsidR="00CD650E" w:rsidRPr="00CD650E" w14:paraId="00D12036" w14:textId="77777777" w:rsidTr="00CD650E">
              <w:trPr>
                <w:trHeight w:val="216"/>
              </w:trPr>
              <w:tc>
                <w:tcPr>
                  <w:tcW w:w="3168" w:type="dxa"/>
                  <w:shd w:val="clear" w:color="auto" w:fill="auto"/>
                  <w:noWrap/>
                  <w:vAlign w:val="bottom"/>
                  <w:hideMark/>
                </w:tcPr>
                <w:p w14:paraId="7566B8EC" w14:textId="77777777" w:rsidR="00CD650E" w:rsidRPr="00CD650E" w:rsidRDefault="00CD650E" w:rsidP="009367C0">
                  <w:pPr>
                    <w:rPr>
                      <w:rFonts w:ascii="Calibri" w:hAnsi="Calibri" w:cs="Calibri"/>
                      <w:color w:val="000000"/>
                      <w:sz w:val="18"/>
                      <w:szCs w:val="18"/>
                    </w:rPr>
                  </w:pPr>
                  <w:r w:rsidRPr="00CD650E">
                    <w:rPr>
                      <w:rFonts w:ascii="Calibri" w:hAnsi="Calibri" w:cs="Calibri"/>
                      <w:color w:val="000000"/>
                      <w:sz w:val="18"/>
                      <w:szCs w:val="18"/>
                    </w:rPr>
                    <w:t xml:space="preserve">SJVCEO </w:t>
                  </w:r>
                </w:p>
              </w:tc>
            </w:tr>
            <w:tr w:rsidR="00CD650E" w:rsidRPr="00CD650E" w14:paraId="713901E3" w14:textId="77777777" w:rsidTr="00CD650E">
              <w:trPr>
                <w:trHeight w:val="216"/>
              </w:trPr>
              <w:tc>
                <w:tcPr>
                  <w:tcW w:w="3168" w:type="dxa"/>
                  <w:shd w:val="clear" w:color="auto" w:fill="auto"/>
                  <w:noWrap/>
                  <w:vAlign w:val="bottom"/>
                  <w:hideMark/>
                </w:tcPr>
                <w:p w14:paraId="71CD6F70" w14:textId="77777777" w:rsidR="00CD650E" w:rsidRPr="00CD650E" w:rsidRDefault="00CD650E" w:rsidP="009367C0">
                  <w:pPr>
                    <w:rPr>
                      <w:rFonts w:ascii="Calibri" w:hAnsi="Calibri" w:cs="Calibri"/>
                      <w:color w:val="000000"/>
                      <w:sz w:val="18"/>
                      <w:szCs w:val="18"/>
                    </w:rPr>
                  </w:pPr>
                  <w:r w:rsidRPr="00CD650E">
                    <w:rPr>
                      <w:rFonts w:ascii="Calibri" w:hAnsi="Calibri" w:cs="Calibri"/>
                      <w:color w:val="000000"/>
                      <w:sz w:val="18"/>
                      <w:szCs w:val="18"/>
                    </w:rPr>
                    <w:t>TRC</w:t>
                  </w:r>
                </w:p>
              </w:tc>
            </w:tr>
          </w:tbl>
          <w:p w14:paraId="2E554BCD" w14:textId="3C10DD72" w:rsidR="003D492E" w:rsidRPr="00CD650E" w:rsidRDefault="003D492E" w:rsidP="009367C0">
            <w:pPr>
              <w:keepNext/>
              <w:keepLines/>
              <w:spacing w:line="276" w:lineRule="auto"/>
              <w:rPr>
                <w:rFonts w:ascii="Calibri" w:hAnsi="Calibri" w:cs="Calibri"/>
                <w:color w:val="000000"/>
                <w:sz w:val="18"/>
                <w:szCs w:val="18"/>
                <w:highlight w:val="yellow"/>
              </w:rPr>
            </w:pPr>
          </w:p>
        </w:tc>
      </w:tr>
      <w:tr w:rsidR="003D492E" w:rsidRPr="00CD650E" w14:paraId="396DAA4B" w14:textId="77777777" w:rsidTr="009367C0">
        <w:trPr>
          <w:trHeight w:val="216"/>
        </w:trPr>
        <w:tc>
          <w:tcPr>
            <w:tcW w:w="3468" w:type="dxa"/>
            <w:shd w:val="clear" w:color="auto" w:fill="auto"/>
          </w:tcPr>
          <w:p w14:paraId="40573714" w14:textId="6F592B09" w:rsidR="003D492E" w:rsidRPr="00CD650E" w:rsidRDefault="003D492E" w:rsidP="009367C0">
            <w:pPr>
              <w:keepNext/>
              <w:keepLines/>
              <w:spacing w:line="276" w:lineRule="auto"/>
              <w:rPr>
                <w:rFonts w:ascii="Calibri" w:hAnsi="Calibri" w:cs="Calibri"/>
                <w:color w:val="000000"/>
                <w:sz w:val="18"/>
                <w:szCs w:val="18"/>
              </w:rPr>
            </w:pPr>
            <w:r w:rsidRPr="00CD650E">
              <w:rPr>
                <w:rFonts w:ascii="Calibri" w:hAnsi="Calibri" w:cs="Calibri"/>
                <w:color w:val="000000"/>
                <w:sz w:val="18"/>
                <w:szCs w:val="18"/>
              </w:rPr>
              <w:t xml:space="preserve">Option 2: Use ESJ Action Plan Definition + allow an avenue for PAs to propose additional ‘underserved’ with rationale. </w:t>
            </w:r>
            <w:r w:rsidRPr="00CD650E">
              <w:rPr>
                <w:rFonts w:ascii="Calibri" w:hAnsi="Calibri" w:cs="Calibri"/>
                <w:b/>
                <w:bCs/>
                <w:sz w:val="18"/>
                <w:szCs w:val="18"/>
              </w:rPr>
              <w:t xml:space="preserve"> </w:t>
            </w:r>
            <w:r w:rsidR="00CD650E" w:rsidRPr="00CD650E">
              <w:rPr>
                <w:rFonts w:ascii="Calibri" w:hAnsi="Calibri" w:cs="Calibri"/>
                <w:b/>
                <w:bCs/>
                <w:sz w:val="18"/>
                <w:szCs w:val="18"/>
              </w:rPr>
              <w:t xml:space="preserve">(19 </w:t>
            </w:r>
            <w:r w:rsidRPr="00CD650E">
              <w:rPr>
                <w:rFonts w:ascii="Calibri" w:hAnsi="Calibri" w:cs="Calibri"/>
                <w:b/>
                <w:bCs/>
                <w:sz w:val="18"/>
                <w:szCs w:val="18"/>
              </w:rPr>
              <w:t xml:space="preserve">first choice, </w:t>
            </w:r>
            <w:r w:rsidR="00CD650E">
              <w:rPr>
                <w:rFonts w:ascii="Calibri" w:hAnsi="Calibri" w:cs="Calibri"/>
                <w:b/>
                <w:bCs/>
                <w:sz w:val="18"/>
                <w:szCs w:val="18"/>
              </w:rPr>
              <w:t>21</w:t>
            </w:r>
            <w:r w:rsidRPr="00CD650E">
              <w:rPr>
                <w:rFonts w:ascii="Calibri" w:hAnsi="Calibri" w:cs="Calibri"/>
                <w:b/>
                <w:bCs/>
                <w:sz w:val="18"/>
                <w:szCs w:val="18"/>
              </w:rPr>
              <w:t xml:space="preserve"> acceptable</w:t>
            </w:r>
            <w:r w:rsidRPr="00CD650E">
              <w:rPr>
                <w:rFonts w:ascii="Calibri" w:hAnsi="Calibri" w:cs="Calibri"/>
                <w:sz w:val="18"/>
                <w:szCs w:val="18"/>
              </w:rPr>
              <w:t xml:space="preserve">) </w:t>
            </w:r>
          </w:p>
        </w:tc>
        <w:tc>
          <w:tcPr>
            <w:tcW w:w="3356" w:type="dxa"/>
            <w:shd w:val="clear" w:color="auto" w:fill="auto"/>
          </w:tcPr>
          <w:tbl>
            <w:tblPr>
              <w:tblW w:w="3140" w:type="dxa"/>
              <w:tblLook w:val="04A0" w:firstRow="1" w:lastRow="0" w:firstColumn="1" w:lastColumn="0" w:noHBand="0" w:noVBand="1"/>
            </w:tblPr>
            <w:tblGrid>
              <w:gridCol w:w="3140"/>
            </w:tblGrid>
            <w:tr w:rsidR="003D492E" w:rsidRPr="00CD650E" w14:paraId="2043851E" w14:textId="77777777" w:rsidTr="00CD650E">
              <w:trPr>
                <w:trHeight w:val="216"/>
              </w:trPr>
              <w:tc>
                <w:tcPr>
                  <w:tcW w:w="3140" w:type="dxa"/>
                  <w:shd w:val="clear" w:color="auto" w:fill="auto"/>
                  <w:noWrap/>
                  <w:vAlign w:val="bottom"/>
                  <w:hideMark/>
                </w:tcPr>
                <w:p w14:paraId="41BD8FD4"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3C-REN</w:t>
                  </w:r>
                </w:p>
              </w:tc>
            </w:tr>
            <w:tr w:rsidR="003D492E" w:rsidRPr="00CD650E" w14:paraId="6C336F68" w14:textId="77777777" w:rsidTr="00CD650E">
              <w:trPr>
                <w:trHeight w:val="216"/>
              </w:trPr>
              <w:tc>
                <w:tcPr>
                  <w:tcW w:w="3140" w:type="dxa"/>
                  <w:shd w:val="clear" w:color="auto" w:fill="auto"/>
                  <w:noWrap/>
                  <w:vAlign w:val="bottom"/>
                  <w:hideMark/>
                </w:tcPr>
                <w:p w14:paraId="5956A637"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BayREN</w:t>
                  </w:r>
                </w:p>
              </w:tc>
            </w:tr>
            <w:tr w:rsidR="003D492E" w:rsidRPr="00CD650E" w14:paraId="713E7AE9" w14:textId="77777777" w:rsidTr="00CD650E">
              <w:trPr>
                <w:trHeight w:val="216"/>
              </w:trPr>
              <w:tc>
                <w:tcPr>
                  <w:tcW w:w="3140" w:type="dxa"/>
                  <w:shd w:val="clear" w:color="auto" w:fill="auto"/>
                  <w:noWrap/>
                  <w:vAlign w:val="bottom"/>
                  <w:hideMark/>
                </w:tcPr>
                <w:p w14:paraId="0C45EA69"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CEDMC</w:t>
                  </w:r>
                </w:p>
              </w:tc>
            </w:tr>
            <w:tr w:rsidR="003D492E" w:rsidRPr="00CD650E" w14:paraId="247A704F" w14:textId="77777777" w:rsidTr="00CD650E">
              <w:trPr>
                <w:trHeight w:val="216"/>
              </w:trPr>
              <w:tc>
                <w:tcPr>
                  <w:tcW w:w="3140" w:type="dxa"/>
                  <w:shd w:val="clear" w:color="auto" w:fill="auto"/>
                  <w:noWrap/>
                  <w:vAlign w:val="bottom"/>
                  <w:hideMark/>
                </w:tcPr>
                <w:p w14:paraId="04FE2267" w14:textId="460338B4"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CSE</w:t>
                  </w:r>
                  <w:r w:rsidR="004569F9">
                    <w:rPr>
                      <w:rFonts w:ascii="Calibri" w:hAnsi="Calibri" w:cs="Calibri"/>
                      <w:color w:val="000000"/>
                      <w:sz w:val="18"/>
                      <w:szCs w:val="18"/>
                    </w:rPr>
                    <w:t>*</w:t>
                  </w:r>
                </w:p>
              </w:tc>
            </w:tr>
            <w:tr w:rsidR="003D492E" w:rsidRPr="00CD650E" w14:paraId="31DB300B" w14:textId="77777777" w:rsidTr="00CD650E">
              <w:trPr>
                <w:trHeight w:val="216"/>
              </w:trPr>
              <w:tc>
                <w:tcPr>
                  <w:tcW w:w="3140" w:type="dxa"/>
                  <w:shd w:val="clear" w:color="auto" w:fill="auto"/>
                  <w:noWrap/>
                  <w:vAlign w:val="bottom"/>
                  <w:hideMark/>
                </w:tcPr>
                <w:p w14:paraId="08334498" w14:textId="04A325D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EEC</w:t>
                  </w:r>
                  <w:r w:rsidR="004569F9">
                    <w:rPr>
                      <w:rFonts w:ascii="Calibri" w:hAnsi="Calibri" w:cs="Calibri"/>
                      <w:color w:val="000000"/>
                      <w:sz w:val="18"/>
                      <w:szCs w:val="18"/>
                    </w:rPr>
                    <w:t>*</w:t>
                  </w:r>
                </w:p>
              </w:tc>
            </w:tr>
            <w:tr w:rsidR="003D492E" w:rsidRPr="00CD650E" w14:paraId="5E2712A9" w14:textId="77777777" w:rsidTr="00CD650E">
              <w:trPr>
                <w:trHeight w:val="216"/>
              </w:trPr>
              <w:tc>
                <w:tcPr>
                  <w:tcW w:w="3140" w:type="dxa"/>
                  <w:shd w:val="clear" w:color="auto" w:fill="auto"/>
                  <w:noWrap/>
                  <w:vAlign w:val="bottom"/>
                  <w:hideMark/>
                </w:tcPr>
                <w:p w14:paraId="40CEF202"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NRDC</w:t>
                  </w:r>
                </w:p>
              </w:tc>
            </w:tr>
            <w:tr w:rsidR="003D492E" w:rsidRPr="00CD650E" w14:paraId="5A9E30A9" w14:textId="77777777" w:rsidTr="00CD650E">
              <w:trPr>
                <w:trHeight w:val="216"/>
              </w:trPr>
              <w:tc>
                <w:tcPr>
                  <w:tcW w:w="3140" w:type="dxa"/>
                  <w:shd w:val="clear" w:color="auto" w:fill="auto"/>
                  <w:noWrap/>
                  <w:vAlign w:val="bottom"/>
                  <w:hideMark/>
                </w:tcPr>
                <w:p w14:paraId="1C03D8BB"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PG&amp;E</w:t>
                  </w:r>
                </w:p>
              </w:tc>
            </w:tr>
            <w:tr w:rsidR="003D492E" w:rsidRPr="00CD650E" w14:paraId="621ABA68" w14:textId="77777777" w:rsidTr="00CD650E">
              <w:trPr>
                <w:trHeight w:val="216"/>
              </w:trPr>
              <w:tc>
                <w:tcPr>
                  <w:tcW w:w="3140" w:type="dxa"/>
                  <w:shd w:val="clear" w:color="auto" w:fill="auto"/>
                  <w:noWrap/>
                  <w:vAlign w:val="bottom"/>
                  <w:hideMark/>
                </w:tcPr>
                <w:p w14:paraId="01BD9C1D"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Resource Innovations</w:t>
                  </w:r>
                </w:p>
              </w:tc>
            </w:tr>
            <w:tr w:rsidR="003D492E" w:rsidRPr="00CD650E" w14:paraId="38B391BC" w14:textId="77777777" w:rsidTr="00CD650E">
              <w:trPr>
                <w:trHeight w:val="216"/>
              </w:trPr>
              <w:tc>
                <w:tcPr>
                  <w:tcW w:w="3140" w:type="dxa"/>
                  <w:shd w:val="clear" w:color="auto" w:fill="auto"/>
                  <w:noWrap/>
                  <w:vAlign w:val="bottom"/>
                  <w:hideMark/>
                </w:tcPr>
                <w:p w14:paraId="366E18A0" w14:textId="01EF516C"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Rising Sun Center for Opportunity</w:t>
                  </w:r>
                  <w:r w:rsidR="004569F9">
                    <w:rPr>
                      <w:rFonts w:ascii="Calibri" w:hAnsi="Calibri" w:cs="Calibri"/>
                      <w:color w:val="000000"/>
                      <w:sz w:val="18"/>
                      <w:szCs w:val="18"/>
                    </w:rPr>
                    <w:t>*</w:t>
                  </w:r>
                </w:p>
              </w:tc>
            </w:tr>
            <w:tr w:rsidR="003D492E" w:rsidRPr="00CD650E" w14:paraId="5499A663" w14:textId="77777777" w:rsidTr="00CD650E">
              <w:trPr>
                <w:trHeight w:val="216"/>
              </w:trPr>
              <w:tc>
                <w:tcPr>
                  <w:tcW w:w="3140" w:type="dxa"/>
                  <w:shd w:val="clear" w:color="auto" w:fill="auto"/>
                  <w:noWrap/>
                  <w:vAlign w:val="bottom"/>
                  <w:hideMark/>
                </w:tcPr>
                <w:p w14:paraId="5BEAAA71" w14:textId="5F4D9D2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SBUA</w:t>
                  </w:r>
                  <w:r w:rsidR="004569F9">
                    <w:rPr>
                      <w:rFonts w:ascii="Calibri" w:hAnsi="Calibri" w:cs="Calibri"/>
                      <w:color w:val="000000"/>
                      <w:sz w:val="18"/>
                      <w:szCs w:val="18"/>
                    </w:rPr>
                    <w:t>*</w:t>
                  </w:r>
                </w:p>
              </w:tc>
            </w:tr>
            <w:tr w:rsidR="003D492E" w:rsidRPr="00CD650E" w14:paraId="48FABBC3" w14:textId="77777777" w:rsidTr="00CD650E">
              <w:trPr>
                <w:trHeight w:val="216"/>
              </w:trPr>
              <w:tc>
                <w:tcPr>
                  <w:tcW w:w="3140" w:type="dxa"/>
                  <w:shd w:val="clear" w:color="auto" w:fill="auto"/>
                  <w:noWrap/>
                  <w:vAlign w:val="bottom"/>
                  <w:hideMark/>
                </w:tcPr>
                <w:p w14:paraId="25910F0A"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SCE</w:t>
                  </w:r>
                </w:p>
              </w:tc>
            </w:tr>
            <w:tr w:rsidR="003D492E" w:rsidRPr="00CD650E" w14:paraId="27A52F43" w14:textId="77777777" w:rsidTr="00CD650E">
              <w:trPr>
                <w:trHeight w:val="216"/>
              </w:trPr>
              <w:tc>
                <w:tcPr>
                  <w:tcW w:w="3140" w:type="dxa"/>
                  <w:shd w:val="clear" w:color="auto" w:fill="auto"/>
                  <w:noWrap/>
                  <w:vAlign w:val="bottom"/>
                  <w:hideMark/>
                </w:tcPr>
                <w:p w14:paraId="56020C78"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SCG</w:t>
                  </w:r>
                </w:p>
              </w:tc>
            </w:tr>
            <w:tr w:rsidR="003D492E" w:rsidRPr="00CD650E" w14:paraId="7ADE5132" w14:textId="77777777" w:rsidTr="00CD650E">
              <w:trPr>
                <w:trHeight w:val="216"/>
              </w:trPr>
              <w:tc>
                <w:tcPr>
                  <w:tcW w:w="3140" w:type="dxa"/>
                  <w:shd w:val="clear" w:color="auto" w:fill="auto"/>
                  <w:noWrap/>
                  <w:vAlign w:val="bottom"/>
                  <w:hideMark/>
                </w:tcPr>
                <w:p w14:paraId="0712E4C0"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SDGE</w:t>
                  </w:r>
                </w:p>
              </w:tc>
            </w:tr>
            <w:tr w:rsidR="003D492E" w:rsidRPr="00CD650E" w14:paraId="023CEDB2" w14:textId="77777777" w:rsidTr="00CD650E">
              <w:trPr>
                <w:trHeight w:val="216"/>
              </w:trPr>
              <w:tc>
                <w:tcPr>
                  <w:tcW w:w="3140" w:type="dxa"/>
                  <w:shd w:val="clear" w:color="auto" w:fill="auto"/>
                  <w:noWrap/>
                  <w:vAlign w:val="bottom"/>
                  <w:hideMark/>
                </w:tcPr>
                <w:p w14:paraId="3DDDD4E3" w14:textId="55134512"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Silent Running LLC</w:t>
                  </w:r>
                  <w:r w:rsidR="004569F9">
                    <w:rPr>
                      <w:rFonts w:ascii="Calibri" w:hAnsi="Calibri" w:cs="Calibri"/>
                      <w:color w:val="000000"/>
                      <w:sz w:val="18"/>
                      <w:szCs w:val="18"/>
                    </w:rPr>
                    <w:t>*</w:t>
                  </w:r>
                </w:p>
              </w:tc>
            </w:tr>
            <w:tr w:rsidR="003D492E" w:rsidRPr="00CD650E" w14:paraId="62B6B17F" w14:textId="77777777" w:rsidTr="00CD650E">
              <w:trPr>
                <w:trHeight w:val="216"/>
              </w:trPr>
              <w:tc>
                <w:tcPr>
                  <w:tcW w:w="3140" w:type="dxa"/>
                  <w:shd w:val="clear" w:color="auto" w:fill="auto"/>
                  <w:noWrap/>
                  <w:vAlign w:val="bottom"/>
                  <w:hideMark/>
                </w:tcPr>
                <w:p w14:paraId="76778859"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 xml:space="preserve">SJVCEO </w:t>
                  </w:r>
                </w:p>
              </w:tc>
            </w:tr>
            <w:tr w:rsidR="003D492E" w:rsidRPr="00CD650E" w14:paraId="26C8CAC3" w14:textId="77777777" w:rsidTr="00CD650E">
              <w:trPr>
                <w:trHeight w:val="216"/>
              </w:trPr>
              <w:tc>
                <w:tcPr>
                  <w:tcW w:w="3140" w:type="dxa"/>
                  <w:shd w:val="clear" w:color="auto" w:fill="auto"/>
                  <w:noWrap/>
                  <w:vAlign w:val="bottom"/>
                  <w:hideMark/>
                </w:tcPr>
                <w:p w14:paraId="15C44CF3" w14:textId="3F92DB4D"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SoCalREN</w:t>
                  </w:r>
                  <w:r w:rsidR="004569F9">
                    <w:rPr>
                      <w:rFonts w:ascii="Calibri" w:hAnsi="Calibri" w:cs="Calibri"/>
                      <w:color w:val="000000"/>
                      <w:sz w:val="18"/>
                      <w:szCs w:val="18"/>
                    </w:rPr>
                    <w:t>*</w:t>
                  </w:r>
                </w:p>
              </w:tc>
            </w:tr>
            <w:tr w:rsidR="003D492E" w:rsidRPr="00CD650E" w14:paraId="1F00C798" w14:textId="77777777" w:rsidTr="00CD650E">
              <w:trPr>
                <w:trHeight w:val="216"/>
              </w:trPr>
              <w:tc>
                <w:tcPr>
                  <w:tcW w:w="3140" w:type="dxa"/>
                  <w:shd w:val="clear" w:color="auto" w:fill="auto"/>
                  <w:noWrap/>
                  <w:vAlign w:val="bottom"/>
                  <w:hideMark/>
                </w:tcPr>
                <w:p w14:paraId="0017756F"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The Energy Coalition</w:t>
                  </w:r>
                </w:p>
              </w:tc>
            </w:tr>
            <w:tr w:rsidR="003D492E" w:rsidRPr="00CD650E" w14:paraId="1E2FA2AA" w14:textId="77777777" w:rsidTr="00CD650E">
              <w:trPr>
                <w:trHeight w:val="216"/>
              </w:trPr>
              <w:tc>
                <w:tcPr>
                  <w:tcW w:w="3140" w:type="dxa"/>
                  <w:shd w:val="clear" w:color="auto" w:fill="auto"/>
                  <w:noWrap/>
                  <w:vAlign w:val="bottom"/>
                  <w:hideMark/>
                </w:tcPr>
                <w:p w14:paraId="7BF5C265"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TRC</w:t>
                  </w:r>
                </w:p>
              </w:tc>
            </w:tr>
            <w:tr w:rsidR="003D492E" w:rsidRPr="00CD650E" w14:paraId="6314A741" w14:textId="77777777" w:rsidTr="00CD650E">
              <w:trPr>
                <w:trHeight w:val="216"/>
              </w:trPr>
              <w:tc>
                <w:tcPr>
                  <w:tcW w:w="3140" w:type="dxa"/>
                  <w:shd w:val="clear" w:color="auto" w:fill="auto"/>
                  <w:noWrap/>
                  <w:vAlign w:val="bottom"/>
                  <w:hideMark/>
                </w:tcPr>
                <w:p w14:paraId="248024E8"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Viridis Consulting</w:t>
                  </w:r>
                </w:p>
              </w:tc>
            </w:tr>
          </w:tbl>
          <w:p w14:paraId="6CE8D8BF" w14:textId="0A69ACB7" w:rsidR="003D492E" w:rsidRPr="00CD650E" w:rsidRDefault="003D492E" w:rsidP="009367C0">
            <w:pPr>
              <w:keepNext/>
              <w:keepLines/>
              <w:spacing w:line="276" w:lineRule="auto"/>
              <w:rPr>
                <w:rFonts w:ascii="Calibri" w:hAnsi="Calibri" w:cs="Calibri"/>
                <w:color w:val="000000"/>
                <w:sz w:val="18"/>
                <w:szCs w:val="18"/>
                <w:highlight w:val="yellow"/>
              </w:rPr>
            </w:pPr>
          </w:p>
        </w:tc>
        <w:tc>
          <w:tcPr>
            <w:tcW w:w="2526" w:type="dxa"/>
            <w:shd w:val="clear" w:color="auto" w:fill="auto"/>
          </w:tcPr>
          <w:tbl>
            <w:tblPr>
              <w:tblW w:w="3140" w:type="dxa"/>
              <w:tblLook w:val="04A0" w:firstRow="1" w:lastRow="0" w:firstColumn="1" w:lastColumn="0" w:noHBand="0" w:noVBand="1"/>
            </w:tblPr>
            <w:tblGrid>
              <w:gridCol w:w="3140"/>
            </w:tblGrid>
            <w:tr w:rsidR="003D492E" w:rsidRPr="00CD650E" w14:paraId="2779AF03" w14:textId="77777777" w:rsidTr="00CD650E">
              <w:trPr>
                <w:trHeight w:val="216"/>
              </w:trPr>
              <w:tc>
                <w:tcPr>
                  <w:tcW w:w="3140" w:type="dxa"/>
                  <w:shd w:val="clear" w:color="auto" w:fill="auto"/>
                  <w:noWrap/>
                  <w:vAlign w:val="bottom"/>
                  <w:hideMark/>
                </w:tcPr>
                <w:p w14:paraId="712B5C1D"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3C-REN</w:t>
                  </w:r>
                </w:p>
              </w:tc>
            </w:tr>
            <w:tr w:rsidR="003D492E" w:rsidRPr="00CD650E" w14:paraId="48F179D9" w14:textId="77777777" w:rsidTr="00CD650E">
              <w:trPr>
                <w:trHeight w:val="216"/>
              </w:trPr>
              <w:tc>
                <w:tcPr>
                  <w:tcW w:w="3140" w:type="dxa"/>
                  <w:shd w:val="clear" w:color="auto" w:fill="auto"/>
                  <w:noWrap/>
                  <w:vAlign w:val="bottom"/>
                  <w:hideMark/>
                </w:tcPr>
                <w:p w14:paraId="023BBDEA"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BayREN</w:t>
                  </w:r>
                </w:p>
              </w:tc>
            </w:tr>
            <w:tr w:rsidR="003D492E" w:rsidRPr="00CD650E" w14:paraId="081E6633" w14:textId="77777777" w:rsidTr="00CD650E">
              <w:trPr>
                <w:trHeight w:val="216"/>
              </w:trPr>
              <w:tc>
                <w:tcPr>
                  <w:tcW w:w="3140" w:type="dxa"/>
                  <w:shd w:val="clear" w:color="auto" w:fill="auto"/>
                  <w:noWrap/>
                  <w:vAlign w:val="bottom"/>
                  <w:hideMark/>
                </w:tcPr>
                <w:p w14:paraId="72DC4A61"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CEDMC</w:t>
                  </w:r>
                </w:p>
              </w:tc>
            </w:tr>
            <w:tr w:rsidR="00CD650E" w:rsidRPr="00CD650E" w14:paraId="3051F7D5" w14:textId="77777777" w:rsidTr="00CD650E">
              <w:trPr>
                <w:trHeight w:val="216"/>
              </w:trPr>
              <w:tc>
                <w:tcPr>
                  <w:tcW w:w="3140" w:type="dxa"/>
                  <w:shd w:val="clear" w:color="auto" w:fill="auto"/>
                  <w:noWrap/>
                  <w:vAlign w:val="bottom"/>
                </w:tcPr>
                <w:p w14:paraId="4FFCCD04" w14:textId="7D63A866" w:rsidR="00CD650E" w:rsidRPr="00CD650E" w:rsidRDefault="00CD650E" w:rsidP="009367C0">
                  <w:pPr>
                    <w:rPr>
                      <w:rFonts w:ascii="Calibri" w:hAnsi="Calibri" w:cs="Calibri"/>
                      <w:color w:val="000000"/>
                      <w:sz w:val="18"/>
                      <w:szCs w:val="18"/>
                    </w:rPr>
                  </w:pPr>
                  <w:r>
                    <w:rPr>
                      <w:rFonts w:ascii="Calibri" w:hAnsi="Calibri" w:cs="Calibri"/>
                      <w:color w:val="000000"/>
                      <w:sz w:val="18"/>
                      <w:szCs w:val="18"/>
                    </w:rPr>
                    <w:t>CodeCycle</w:t>
                  </w:r>
                </w:p>
              </w:tc>
            </w:tr>
            <w:tr w:rsidR="003D492E" w:rsidRPr="00CD650E" w14:paraId="621A411E" w14:textId="77777777" w:rsidTr="00CD650E">
              <w:trPr>
                <w:trHeight w:val="216"/>
              </w:trPr>
              <w:tc>
                <w:tcPr>
                  <w:tcW w:w="3140" w:type="dxa"/>
                  <w:shd w:val="clear" w:color="auto" w:fill="auto"/>
                  <w:noWrap/>
                  <w:vAlign w:val="bottom"/>
                  <w:hideMark/>
                </w:tcPr>
                <w:p w14:paraId="114368DB"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CSE</w:t>
                  </w:r>
                </w:p>
              </w:tc>
            </w:tr>
            <w:tr w:rsidR="003D492E" w:rsidRPr="00CD650E" w14:paraId="7055E952" w14:textId="77777777" w:rsidTr="00CD650E">
              <w:trPr>
                <w:trHeight w:val="216"/>
              </w:trPr>
              <w:tc>
                <w:tcPr>
                  <w:tcW w:w="3140" w:type="dxa"/>
                  <w:shd w:val="clear" w:color="auto" w:fill="auto"/>
                  <w:noWrap/>
                  <w:vAlign w:val="bottom"/>
                  <w:hideMark/>
                </w:tcPr>
                <w:p w14:paraId="24411882"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EEC</w:t>
                  </w:r>
                </w:p>
              </w:tc>
            </w:tr>
            <w:tr w:rsidR="00CD650E" w:rsidRPr="00CD650E" w14:paraId="0EA07468" w14:textId="77777777" w:rsidTr="00CD650E">
              <w:trPr>
                <w:trHeight w:val="216"/>
              </w:trPr>
              <w:tc>
                <w:tcPr>
                  <w:tcW w:w="3140" w:type="dxa"/>
                  <w:shd w:val="clear" w:color="auto" w:fill="auto"/>
                  <w:noWrap/>
                  <w:vAlign w:val="bottom"/>
                </w:tcPr>
                <w:p w14:paraId="03271D6C" w14:textId="69385FC6" w:rsidR="00CD650E" w:rsidRPr="00CD650E" w:rsidRDefault="00CD650E" w:rsidP="009367C0">
                  <w:pPr>
                    <w:rPr>
                      <w:rFonts w:ascii="Calibri" w:hAnsi="Calibri" w:cs="Calibri"/>
                      <w:color w:val="000000"/>
                      <w:sz w:val="18"/>
                      <w:szCs w:val="18"/>
                    </w:rPr>
                  </w:pPr>
                  <w:r>
                    <w:rPr>
                      <w:rFonts w:ascii="Calibri" w:hAnsi="Calibri" w:cs="Calibri"/>
                      <w:color w:val="000000"/>
                      <w:sz w:val="18"/>
                      <w:szCs w:val="18"/>
                    </w:rPr>
                    <w:t>High Sierra Energy Foundation</w:t>
                  </w:r>
                </w:p>
              </w:tc>
            </w:tr>
            <w:tr w:rsidR="003D492E" w:rsidRPr="00CD650E" w14:paraId="2C860E74" w14:textId="77777777" w:rsidTr="00CD650E">
              <w:trPr>
                <w:trHeight w:val="216"/>
              </w:trPr>
              <w:tc>
                <w:tcPr>
                  <w:tcW w:w="3140" w:type="dxa"/>
                  <w:shd w:val="clear" w:color="auto" w:fill="auto"/>
                  <w:noWrap/>
                  <w:vAlign w:val="bottom"/>
                  <w:hideMark/>
                </w:tcPr>
                <w:p w14:paraId="2AE4F48A"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NRDC</w:t>
                  </w:r>
                </w:p>
              </w:tc>
            </w:tr>
            <w:tr w:rsidR="003D492E" w:rsidRPr="00CD650E" w14:paraId="4D0BEF75" w14:textId="77777777" w:rsidTr="00CD650E">
              <w:trPr>
                <w:trHeight w:val="216"/>
              </w:trPr>
              <w:tc>
                <w:tcPr>
                  <w:tcW w:w="3140" w:type="dxa"/>
                  <w:shd w:val="clear" w:color="auto" w:fill="auto"/>
                  <w:noWrap/>
                  <w:vAlign w:val="bottom"/>
                  <w:hideMark/>
                </w:tcPr>
                <w:p w14:paraId="2DE53416"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PG&amp;E</w:t>
                  </w:r>
                </w:p>
              </w:tc>
            </w:tr>
            <w:tr w:rsidR="003D492E" w:rsidRPr="00CD650E" w14:paraId="15A3EC9A" w14:textId="77777777" w:rsidTr="00CD650E">
              <w:trPr>
                <w:trHeight w:val="216"/>
              </w:trPr>
              <w:tc>
                <w:tcPr>
                  <w:tcW w:w="3140" w:type="dxa"/>
                  <w:shd w:val="clear" w:color="auto" w:fill="auto"/>
                  <w:noWrap/>
                  <w:vAlign w:val="bottom"/>
                  <w:hideMark/>
                </w:tcPr>
                <w:p w14:paraId="5DEE2F92"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Resource Innovations</w:t>
                  </w:r>
                </w:p>
              </w:tc>
            </w:tr>
            <w:tr w:rsidR="003D492E" w:rsidRPr="00CD650E" w14:paraId="5F14E6B4" w14:textId="77777777" w:rsidTr="00CD650E">
              <w:trPr>
                <w:trHeight w:val="216"/>
              </w:trPr>
              <w:tc>
                <w:tcPr>
                  <w:tcW w:w="3140" w:type="dxa"/>
                  <w:shd w:val="clear" w:color="auto" w:fill="auto"/>
                  <w:noWrap/>
                  <w:vAlign w:val="bottom"/>
                  <w:hideMark/>
                </w:tcPr>
                <w:p w14:paraId="4CB88D63"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Rising Sun Center for Opportunity</w:t>
                  </w:r>
                </w:p>
              </w:tc>
            </w:tr>
            <w:tr w:rsidR="003D492E" w:rsidRPr="00CD650E" w14:paraId="151DD7AE" w14:textId="77777777" w:rsidTr="00CD650E">
              <w:trPr>
                <w:trHeight w:val="216"/>
              </w:trPr>
              <w:tc>
                <w:tcPr>
                  <w:tcW w:w="3140" w:type="dxa"/>
                  <w:shd w:val="clear" w:color="auto" w:fill="auto"/>
                  <w:noWrap/>
                  <w:vAlign w:val="bottom"/>
                  <w:hideMark/>
                </w:tcPr>
                <w:p w14:paraId="3FE37C21"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SBUA</w:t>
                  </w:r>
                </w:p>
              </w:tc>
            </w:tr>
            <w:tr w:rsidR="003D492E" w:rsidRPr="00CD650E" w14:paraId="4139B28C" w14:textId="77777777" w:rsidTr="00CD650E">
              <w:trPr>
                <w:trHeight w:val="216"/>
              </w:trPr>
              <w:tc>
                <w:tcPr>
                  <w:tcW w:w="3140" w:type="dxa"/>
                  <w:shd w:val="clear" w:color="auto" w:fill="auto"/>
                  <w:noWrap/>
                  <w:vAlign w:val="bottom"/>
                  <w:hideMark/>
                </w:tcPr>
                <w:p w14:paraId="34E7F1F2"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SCE</w:t>
                  </w:r>
                </w:p>
              </w:tc>
            </w:tr>
            <w:tr w:rsidR="003D492E" w:rsidRPr="00CD650E" w14:paraId="16C6200A" w14:textId="77777777" w:rsidTr="00CD650E">
              <w:trPr>
                <w:trHeight w:val="216"/>
              </w:trPr>
              <w:tc>
                <w:tcPr>
                  <w:tcW w:w="3140" w:type="dxa"/>
                  <w:shd w:val="clear" w:color="auto" w:fill="auto"/>
                  <w:noWrap/>
                  <w:vAlign w:val="bottom"/>
                  <w:hideMark/>
                </w:tcPr>
                <w:p w14:paraId="5D837255"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SCG</w:t>
                  </w:r>
                </w:p>
              </w:tc>
            </w:tr>
            <w:tr w:rsidR="003D492E" w:rsidRPr="00CD650E" w14:paraId="1613DBA5" w14:textId="77777777" w:rsidTr="00CD650E">
              <w:trPr>
                <w:trHeight w:val="216"/>
              </w:trPr>
              <w:tc>
                <w:tcPr>
                  <w:tcW w:w="3140" w:type="dxa"/>
                  <w:shd w:val="clear" w:color="auto" w:fill="auto"/>
                  <w:noWrap/>
                  <w:vAlign w:val="bottom"/>
                  <w:hideMark/>
                </w:tcPr>
                <w:p w14:paraId="49C7EE75"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SDGE</w:t>
                  </w:r>
                </w:p>
              </w:tc>
            </w:tr>
            <w:tr w:rsidR="003D492E" w:rsidRPr="00CD650E" w14:paraId="67E49528" w14:textId="77777777" w:rsidTr="00CD650E">
              <w:trPr>
                <w:trHeight w:val="216"/>
              </w:trPr>
              <w:tc>
                <w:tcPr>
                  <w:tcW w:w="3140" w:type="dxa"/>
                  <w:shd w:val="clear" w:color="auto" w:fill="auto"/>
                  <w:noWrap/>
                  <w:vAlign w:val="bottom"/>
                  <w:hideMark/>
                </w:tcPr>
                <w:p w14:paraId="12DDF3F4"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Silent Running LLC</w:t>
                  </w:r>
                </w:p>
              </w:tc>
            </w:tr>
            <w:tr w:rsidR="003D492E" w:rsidRPr="00CD650E" w14:paraId="3D385AC7" w14:textId="77777777" w:rsidTr="00CD650E">
              <w:trPr>
                <w:trHeight w:val="216"/>
              </w:trPr>
              <w:tc>
                <w:tcPr>
                  <w:tcW w:w="3140" w:type="dxa"/>
                  <w:shd w:val="clear" w:color="auto" w:fill="auto"/>
                  <w:noWrap/>
                  <w:vAlign w:val="bottom"/>
                  <w:hideMark/>
                </w:tcPr>
                <w:p w14:paraId="473AFE3E"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 xml:space="preserve">SJVCEO </w:t>
                  </w:r>
                </w:p>
              </w:tc>
            </w:tr>
            <w:tr w:rsidR="003D492E" w:rsidRPr="00CD650E" w14:paraId="20D3AFA3" w14:textId="77777777" w:rsidTr="00CD650E">
              <w:trPr>
                <w:trHeight w:val="216"/>
              </w:trPr>
              <w:tc>
                <w:tcPr>
                  <w:tcW w:w="3140" w:type="dxa"/>
                  <w:shd w:val="clear" w:color="auto" w:fill="auto"/>
                  <w:noWrap/>
                  <w:vAlign w:val="bottom"/>
                  <w:hideMark/>
                </w:tcPr>
                <w:p w14:paraId="35FF5E5C"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SoCalREN</w:t>
                  </w:r>
                </w:p>
              </w:tc>
            </w:tr>
            <w:tr w:rsidR="003D492E" w:rsidRPr="00CD650E" w14:paraId="1D9F92E0" w14:textId="77777777" w:rsidTr="00CD650E">
              <w:trPr>
                <w:trHeight w:val="216"/>
              </w:trPr>
              <w:tc>
                <w:tcPr>
                  <w:tcW w:w="3140" w:type="dxa"/>
                  <w:shd w:val="clear" w:color="auto" w:fill="auto"/>
                  <w:noWrap/>
                  <w:vAlign w:val="bottom"/>
                  <w:hideMark/>
                </w:tcPr>
                <w:p w14:paraId="7405CD3D"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The Energy Coalition</w:t>
                  </w:r>
                </w:p>
              </w:tc>
            </w:tr>
            <w:tr w:rsidR="003D492E" w:rsidRPr="00CD650E" w14:paraId="5A38BB12" w14:textId="77777777" w:rsidTr="00CD650E">
              <w:trPr>
                <w:trHeight w:val="216"/>
              </w:trPr>
              <w:tc>
                <w:tcPr>
                  <w:tcW w:w="3140" w:type="dxa"/>
                  <w:shd w:val="clear" w:color="auto" w:fill="auto"/>
                  <w:noWrap/>
                  <w:vAlign w:val="bottom"/>
                  <w:hideMark/>
                </w:tcPr>
                <w:p w14:paraId="0DD25CA4"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TRC</w:t>
                  </w:r>
                </w:p>
              </w:tc>
            </w:tr>
            <w:tr w:rsidR="003D492E" w:rsidRPr="00CD650E" w14:paraId="7D6ABB2A" w14:textId="77777777" w:rsidTr="00CD650E">
              <w:trPr>
                <w:trHeight w:val="216"/>
              </w:trPr>
              <w:tc>
                <w:tcPr>
                  <w:tcW w:w="3140" w:type="dxa"/>
                  <w:shd w:val="clear" w:color="auto" w:fill="auto"/>
                  <w:noWrap/>
                  <w:vAlign w:val="bottom"/>
                  <w:hideMark/>
                </w:tcPr>
                <w:p w14:paraId="4D6D83EB" w14:textId="77777777" w:rsidR="003D492E" w:rsidRPr="00CD650E" w:rsidRDefault="003D492E" w:rsidP="009367C0">
                  <w:pPr>
                    <w:rPr>
                      <w:rFonts w:ascii="Calibri" w:hAnsi="Calibri" w:cs="Calibri"/>
                      <w:color w:val="000000"/>
                      <w:sz w:val="18"/>
                      <w:szCs w:val="18"/>
                    </w:rPr>
                  </w:pPr>
                  <w:r w:rsidRPr="00CD650E">
                    <w:rPr>
                      <w:rFonts w:ascii="Calibri" w:hAnsi="Calibri" w:cs="Calibri"/>
                      <w:color w:val="000000"/>
                      <w:sz w:val="18"/>
                      <w:szCs w:val="18"/>
                    </w:rPr>
                    <w:t>Viridis Consulting</w:t>
                  </w:r>
                </w:p>
              </w:tc>
            </w:tr>
          </w:tbl>
          <w:p w14:paraId="3BD01976" w14:textId="6A699FFB" w:rsidR="003D492E" w:rsidRPr="00CD650E" w:rsidRDefault="003D492E" w:rsidP="009367C0">
            <w:pPr>
              <w:keepNext/>
              <w:keepLines/>
              <w:spacing w:line="276" w:lineRule="auto"/>
              <w:rPr>
                <w:rFonts w:ascii="Calibri" w:hAnsi="Calibri" w:cs="Calibri"/>
                <w:color w:val="000000"/>
                <w:sz w:val="18"/>
                <w:szCs w:val="18"/>
                <w:highlight w:val="yellow"/>
              </w:rPr>
            </w:pPr>
          </w:p>
        </w:tc>
      </w:tr>
      <w:tr w:rsidR="003D492E" w:rsidRPr="00CD650E" w14:paraId="7FF33874" w14:textId="77777777" w:rsidTr="00593B36">
        <w:trPr>
          <w:trHeight w:val="216"/>
        </w:trPr>
        <w:tc>
          <w:tcPr>
            <w:tcW w:w="3468" w:type="dxa"/>
            <w:shd w:val="clear" w:color="auto" w:fill="auto"/>
          </w:tcPr>
          <w:p w14:paraId="3F2AE4B3" w14:textId="433361C9" w:rsidR="003D492E" w:rsidRPr="00CD650E" w:rsidRDefault="003D492E" w:rsidP="00593B36">
            <w:pPr>
              <w:keepNext/>
              <w:keepLines/>
              <w:spacing w:line="276" w:lineRule="auto"/>
              <w:rPr>
                <w:rFonts w:ascii="Calibri" w:hAnsi="Calibri" w:cs="Calibri"/>
                <w:color w:val="000000"/>
                <w:sz w:val="18"/>
                <w:szCs w:val="18"/>
              </w:rPr>
            </w:pPr>
            <w:r w:rsidRPr="00CD650E">
              <w:rPr>
                <w:rFonts w:ascii="Calibri" w:hAnsi="Calibri" w:cs="Calibri"/>
                <w:color w:val="000000"/>
                <w:sz w:val="18"/>
                <w:szCs w:val="18"/>
              </w:rPr>
              <w:t xml:space="preserve">Option 3: Allow the PAs to determine underserved. </w:t>
            </w:r>
            <w:r w:rsidRPr="00CD650E">
              <w:rPr>
                <w:rFonts w:ascii="Calibri" w:hAnsi="Calibri" w:cs="Calibri"/>
                <w:b/>
                <w:bCs/>
                <w:sz w:val="18"/>
                <w:szCs w:val="18"/>
              </w:rPr>
              <w:t>(</w:t>
            </w:r>
            <w:r w:rsidR="00CD650E" w:rsidRPr="00CD650E">
              <w:rPr>
                <w:rFonts w:ascii="Calibri" w:hAnsi="Calibri" w:cs="Calibri"/>
                <w:b/>
                <w:bCs/>
                <w:sz w:val="18"/>
                <w:szCs w:val="18"/>
              </w:rPr>
              <w:t>3</w:t>
            </w:r>
            <w:r w:rsidR="00CD650E" w:rsidRPr="00CD650E">
              <w:rPr>
                <w:rFonts w:ascii="Calibri" w:hAnsi="Calibri" w:cs="Calibri"/>
                <w:sz w:val="18"/>
                <w:szCs w:val="18"/>
              </w:rPr>
              <w:t xml:space="preserve"> </w:t>
            </w:r>
            <w:r w:rsidRPr="00CD650E">
              <w:rPr>
                <w:rFonts w:ascii="Calibri" w:hAnsi="Calibri" w:cs="Calibri"/>
                <w:b/>
                <w:bCs/>
                <w:sz w:val="18"/>
                <w:szCs w:val="18"/>
              </w:rPr>
              <w:t xml:space="preserve">first choice, </w:t>
            </w:r>
            <w:r w:rsidR="00CD650E">
              <w:rPr>
                <w:rFonts w:ascii="Calibri" w:hAnsi="Calibri" w:cs="Calibri"/>
                <w:b/>
                <w:bCs/>
                <w:sz w:val="18"/>
                <w:szCs w:val="18"/>
              </w:rPr>
              <w:t>14</w:t>
            </w:r>
            <w:r w:rsidRPr="00CD650E">
              <w:rPr>
                <w:rFonts w:ascii="Calibri" w:hAnsi="Calibri" w:cs="Calibri"/>
                <w:b/>
                <w:bCs/>
                <w:sz w:val="18"/>
                <w:szCs w:val="18"/>
              </w:rPr>
              <w:t xml:space="preserve"> acceptable</w:t>
            </w:r>
            <w:r w:rsidRPr="00CD650E">
              <w:rPr>
                <w:rFonts w:ascii="Calibri" w:hAnsi="Calibri" w:cs="Calibri"/>
                <w:sz w:val="18"/>
                <w:szCs w:val="18"/>
              </w:rPr>
              <w:t>)</w:t>
            </w:r>
          </w:p>
        </w:tc>
        <w:tc>
          <w:tcPr>
            <w:tcW w:w="3356" w:type="dxa"/>
            <w:shd w:val="clear" w:color="auto" w:fill="auto"/>
          </w:tcPr>
          <w:tbl>
            <w:tblPr>
              <w:tblW w:w="3140" w:type="dxa"/>
              <w:tblLook w:val="04A0" w:firstRow="1" w:lastRow="0" w:firstColumn="1" w:lastColumn="0" w:noHBand="0" w:noVBand="1"/>
            </w:tblPr>
            <w:tblGrid>
              <w:gridCol w:w="3140"/>
            </w:tblGrid>
            <w:tr w:rsidR="003D492E" w:rsidRPr="00CD650E" w14:paraId="6A03F854" w14:textId="77777777" w:rsidTr="00CD650E">
              <w:trPr>
                <w:trHeight w:val="216"/>
              </w:trPr>
              <w:tc>
                <w:tcPr>
                  <w:tcW w:w="3140" w:type="dxa"/>
                  <w:shd w:val="clear" w:color="auto" w:fill="auto"/>
                  <w:noWrap/>
                  <w:vAlign w:val="bottom"/>
                  <w:hideMark/>
                </w:tcPr>
                <w:p w14:paraId="296A31C4" w14:textId="77777777" w:rsidR="003D492E" w:rsidRPr="00CD650E" w:rsidRDefault="003D492E" w:rsidP="00593B36">
                  <w:pPr>
                    <w:rPr>
                      <w:rFonts w:ascii="Calibri" w:hAnsi="Calibri" w:cs="Calibri"/>
                      <w:color w:val="000000"/>
                      <w:sz w:val="18"/>
                      <w:szCs w:val="18"/>
                    </w:rPr>
                  </w:pPr>
                  <w:r w:rsidRPr="00CD650E">
                    <w:rPr>
                      <w:rFonts w:ascii="Calibri" w:hAnsi="Calibri" w:cs="Calibri"/>
                      <w:color w:val="000000"/>
                      <w:sz w:val="18"/>
                      <w:szCs w:val="18"/>
                    </w:rPr>
                    <w:t>High Sierra Energy Foundation</w:t>
                  </w:r>
                </w:p>
              </w:tc>
            </w:tr>
            <w:tr w:rsidR="003D492E" w:rsidRPr="00CD650E" w14:paraId="7052B884" w14:textId="77777777" w:rsidTr="00CD650E">
              <w:trPr>
                <w:trHeight w:val="216"/>
              </w:trPr>
              <w:tc>
                <w:tcPr>
                  <w:tcW w:w="3140" w:type="dxa"/>
                  <w:shd w:val="clear" w:color="auto" w:fill="auto"/>
                  <w:noWrap/>
                  <w:vAlign w:val="bottom"/>
                  <w:hideMark/>
                </w:tcPr>
                <w:p w14:paraId="355A9D56" w14:textId="7FF3F5A8" w:rsidR="003D492E" w:rsidRPr="00CD650E" w:rsidRDefault="003D492E" w:rsidP="00593B36">
                  <w:pPr>
                    <w:rPr>
                      <w:rFonts w:ascii="Calibri" w:hAnsi="Calibri" w:cs="Calibri"/>
                      <w:color w:val="000000"/>
                      <w:sz w:val="18"/>
                      <w:szCs w:val="18"/>
                    </w:rPr>
                  </w:pPr>
                  <w:r w:rsidRPr="00CD650E">
                    <w:rPr>
                      <w:rFonts w:ascii="Calibri" w:hAnsi="Calibri" w:cs="Calibri"/>
                      <w:color w:val="000000"/>
                      <w:sz w:val="18"/>
                      <w:szCs w:val="18"/>
                    </w:rPr>
                    <w:t>MCE</w:t>
                  </w:r>
                  <w:r w:rsidR="004569F9">
                    <w:rPr>
                      <w:rFonts w:ascii="Calibri" w:hAnsi="Calibri" w:cs="Calibri"/>
                      <w:color w:val="000000"/>
                      <w:sz w:val="18"/>
                      <w:szCs w:val="18"/>
                    </w:rPr>
                    <w:t>*</w:t>
                  </w:r>
                </w:p>
              </w:tc>
            </w:tr>
            <w:tr w:rsidR="003D492E" w:rsidRPr="00CD650E" w14:paraId="5DF1B63A" w14:textId="77777777" w:rsidTr="00CD650E">
              <w:trPr>
                <w:trHeight w:val="216"/>
              </w:trPr>
              <w:tc>
                <w:tcPr>
                  <w:tcW w:w="3140" w:type="dxa"/>
                  <w:shd w:val="clear" w:color="auto" w:fill="auto"/>
                  <w:noWrap/>
                  <w:vAlign w:val="bottom"/>
                  <w:hideMark/>
                </w:tcPr>
                <w:p w14:paraId="307D9CB6" w14:textId="77777777" w:rsidR="003D492E" w:rsidRPr="00CD650E" w:rsidRDefault="003D492E" w:rsidP="00593B36">
                  <w:pPr>
                    <w:rPr>
                      <w:rFonts w:ascii="Calibri" w:hAnsi="Calibri" w:cs="Calibri"/>
                      <w:color w:val="000000"/>
                      <w:sz w:val="18"/>
                      <w:szCs w:val="18"/>
                    </w:rPr>
                  </w:pPr>
                  <w:r w:rsidRPr="00CD650E">
                    <w:rPr>
                      <w:rFonts w:ascii="Calibri" w:hAnsi="Calibri" w:cs="Calibri"/>
                      <w:color w:val="000000"/>
                      <w:sz w:val="18"/>
                      <w:szCs w:val="18"/>
                    </w:rPr>
                    <w:t>RCEA</w:t>
                  </w:r>
                </w:p>
              </w:tc>
            </w:tr>
          </w:tbl>
          <w:p w14:paraId="6B947E9E" w14:textId="486A19BD" w:rsidR="003D492E" w:rsidRPr="00CD650E" w:rsidRDefault="003D492E" w:rsidP="00593B36">
            <w:pPr>
              <w:keepNext/>
              <w:keepLines/>
              <w:spacing w:line="276" w:lineRule="auto"/>
              <w:rPr>
                <w:rFonts w:ascii="Calibri" w:hAnsi="Calibri" w:cs="Calibri"/>
                <w:color w:val="000000"/>
                <w:sz w:val="18"/>
                <w:szCs w:val="18"/>
                <w:highlight w:val="yellow"/>
              </w:rPr>
            </w:pPr>
          </w:p>
        </w:tc>
        <w:tc>
          <w:tcPr>
            <w:tcW w:w="2526" w:type="dxa"/>
            <w:shd w:val="clear" w:color="auto" w:fill="auto"/>
          </w:tcPr>
          <w:tbl>
            <w:tblPr>
              <w:tblW w:w="3011" w:type="dxa"/>
              <w:tblLook w:val="04A0" w:firstRow="1" w:lastRow="0" w:firstColumn="1" w:lastColumn="0" w:noHBand="0" w:noVBand="1"/>
            </w:tblPr>
            <w:tblGrid>
              <w:gridCol w:w="3011"/>
            </w:tblGrid>
            <w:tr w:rsidR="00CD650E" w14:paraId="78A6B58D" w14:textId="77777777" w:rsidTr="00CD650E">
              <w:trPr>
                <w:trHeight w:val="216"/>
              </w:trPr>
              <w:tc>
                <w:tcPr>
                  <w:tcW w:w="3011" w:type="dxa"/>
                  <w:tcBorders>
                    <w:top w:val="nil"/>
                    <w:left w:val="nil"/>
                    <w:bottom w:val="nil"/>
                    <w:right w:val="nil"/>
                  </w:tcBorders>
                  <w:shd w:val="clear" w:color="auto" w:fill="auto"/>
                  <w:noWrap/>
                  <w:vAlign w:val="bottom"/>
                  <w:hideMark/>
                </w:tcPr>
                <w:p w14:paraId="5650E67A" w14:textId="77777777" w:rsidR="00CD650E" w:rsidRDefault="00CD650E" w:rsidP="00593B36">
                  <w:pPr>
                    <w:rPr>
                      <w:rFonts w:ascii="Calibri" w:hAnsi="Calibri" w:cs="Calibri"/>
                      <w:color w:val="000000"/>
                      <w:sz w:val="18"/>
                      <w:szCs w:val="18"/>
                    </w:rPr>
                  </w:pPr>
                  <w:r>
                    <w:rPr>
                      <w:rFonts w:ascii="Calibri" w:hAnsi="Calibri" w:cs="Calibri"/>
                      <w:color w:val="000000"/>
                      <w:sz w:val="18"/>
                      <w:szCs w:val="18"/>
                    </w:rPr>
                    <w:t>3C-REN</w:t>
                  </w:r>
                </w:p>
              </w:tc>
            </w:tr>
            <w:tr w:rsidR="00CD650E" w14:paraId="6027EA57" w14:textId="77777777" w:rsidTr="00CD650E">
              <w:trPr>
                <w:trHeight w:val="216"/>
              </w:trPr>
              <w:tc>
                <w:tcPr>
                  <w:tcW w:w="3011" w:type="dxa"/>
                  <w:tcBorders>
                    <w:top w:val="nil"/>
                    <w:left w:val="nil"/>
                    <w:bottom w:val="nil"/>
                    <w:right w:val="nil"/>
                  </w:tcBorders>
                  <w:shd w:val="clear" w:color="auto" w:fill="auto"/>
                  <w:noWrap/>
                  <w:vAlign w:val="bottom"/>
                  <w:hideMark/>
                </w:tcPr>
                <w:p w14:paraId="2E8FDD42" w14:textId="77777777" w:rsidR="00CD650E" w:rsidRDefault="00CD650E" w:rsidP="00593B36">
                  <w:pPr>
                    <w:rPr>
                      <w:rFonts w:ascii="Calibri" w:hAnsi="Calibri" w:cs="Calibri"/>
                      <w:color w:val="000000"/>
                      <w:sz w:val="18"/>
                      <w:szCs w:val="18"/>
                    </w:rPr>
                  </w:pPr>
                  <w:r>
                    <w:rPr>
                      <w:rFonts w:ascii="Calibri" w:hAnsi="Calibri" w:cs="Calibri"/>
                      <w:color w:val="000000"/>
                      <w:sz w:val="18"/>
                      <w:szCs w:val="18"/>
                    </w:rPr>
                    <w:t>BayREN</w:t>
                  </w:r>
                </w:p>
              </w:tc>
            </w:tr>
            <w:tr w:rsidR="00CD650E" w14:paraId="5CB40585" w14:textId="77777777" w:rsidTr="00CD650E">
              <w:trPr>
                <w:trHeight w:val="216"/>
              </w:trPr>
              <w:tc>
                <w:tcPr>
                  <w:tcW w:w="3011" w:type="dxa"/>
                  <w:tcBorders>
                    <w:top w:val="nil"/>
                    <w:left w:val="nil"/>
                    <w:bottom w:val="nil"/>
                    <w:right w:val="nil"/>
                  </w:tcBorders>
                  <w:shd w:val="clear" w:color="auto" w:fill="auto"/>
                  <w:noWrap/>
                  <w:vAlign w:val="bottom"/>
                  <w:hideMark/>
                </w:tcPr>
                <w:p w14:paraId="765602BD" w14:textId="77777777" w:rsidR="00CD650E" w:rsidRDefault="00CD650E" w:rsidP="00593B36">
                  <w:pPr>
                    <w:rPr>
                      <w:rFonts w:ascii="Calibri" w:hAnsi="Calibri" w:cs="Calibri"/>
                      <w:color w:val="000000"/>
                      <w:sz w:val="18"/>
                      <w:szCs w:val="18"/>
                    </w:rPr>
                  </w:pPr>
                  <w:r>
                    <w:rPr>
                      <w:rFonts w:ascii="Calibri" w:hAnsi="Calibri" w:cs="Calibri"/>
                      <w:color w:val="000000"/>
                      <w:sz w:val="18"/>
                      <w:szCs w:val="18"/>
                    </w:rPr>
                    <w:t>CEDMC</w:t>
                  </w:r>
                </w:p>
              </w:tc>
            </w:tr>
            <w:tr w:rsidR="00CD650E" w14:paraId="3FA325FB" w14:textId="77777777" w:rsidTr="00CD650E">
              <w:trPr>
                <w:trHeight w:val="216"/>
              </w:trPr>
              <w:tc>
                <w:tcPr>
                  <w:tcW w:w="3011" w:type="dxa"/>
                  <w:tcBorders>
                    <w:top w:val="nil"/>
                    <w:left w:val="nil"/>
                    <w:bottom w:val="nil"/>
                    <w:right w:val="nil"/>
                  </w:tcBorders>
                  <w:shd w:val="clear" w:color="auto" w:fill="auto"/>
                  <w:noWrap/>
                  <w:vAlign w:val="bottom"/>
                  <w:hideMark/>
                </w:tcPr>
                <w:p w14:paraId="014498B6" w14:textId="77777777" w:rsidR="00CD650E" w:rsidRDefault="00CD650E" w:rsidP="00593B36">
                  <w:pPr>
                    <w:rPr>
                      <w:rFonts w:ascii="Calibri" w:hAnsi="Calibri" w:cs="Calibri"/>
                      <w:color w:val="000000"/>
                      <w:sz w:val="18"/>
                      <w:szCs w:val="18"/>
                    </w:rPr>
                  </w:pPr>
                  <w:r>
                    <w:rPr>
                      <w:rFonts w:ascii="Calibri" w:hAnsi="Calibri" w:cs="Calibri"/>
                      <w:color w:val="000000"/>
                      <w:sz w:val="18"/>
                      <w:szCs w:val="18"/>
                    </w:rPr>
                    <w:t>CodeCycle</w:t>
                  </w:r>
                </w:p>
              </w:tc>
            </w:tr>
            <w:tr w:rsidR="00CD650E" w14:paraId="7C59A3A0" w14:textId="77777777" w:rsidTr="00CD650E">
              <w:trPr>
                <w:trHeight w:val="216"/>
              </w:trPr>
              <w:tc>
                <w:tcPr>
                  <w:tcW w:w="3011" w:type="dxa"/>
                  <w:tcBorders>
                    <w:top w:val="nil"/>
                    <w:left w:val="nil"/>
                    <w:bottom w:val="nil"/>
                    <w:right w:val="nil"/>
                  </w:tcBorders>
                  <w:shd w:val="clear" w:color="auto" w:fill="auto"/>
                  <w:noWrap/>
                  <w:vAlign w:val="center"/>
                  <w:hideMark/>
                </w:tcPr>
                <w:p w14:paraId="70F4D9EF" w14:textId="77777777" w:rsidR="00CD650E" w:rsidRDefault="00CD650E" w:rsidP="00593B36">
                  <w:pPr>
                    <w:rPr>
                      <w:rFonts w:ascii="Calibri" w:hAnsi="Calibri" w:cs="Calibri"/>
                      <w:color w:val="000000"/>
                      <w:sz w:val="18"/>
                      <w:szCs w:val="18"/>
                    </w:rPr>
                  </w:pPr>
                  <w:r>
                    <w:rPr>
                      <w:rFonts w:ascii="Calibri" w:hAnsi="Calibri" w:cs="Calibri"/>
                      <w:color w:val="000000"/>
                      <w:sz w:val="18"/>
                      <w:szCs w:val="18"/>
                    </w:rPr>
                    <w:t>High Sierra Energy Foundation</w:t>
                  </w:r>
                </w:p>
              </w:tc>
            </w:tr>
            <w:tr w:rsidR="00CD650E" w14:paraId="6139B6D0" w14:textId="77777777" w:rsidTr="00CD650E">
              <w:trPr>
                <w:trHeight w:val="216"/>
              </w:trPr>
              <w:tc>
                <w:tcPr>
                  <w:tcW w:w="3011" w:type="dxa"/>
                  <w:tcBorders>
                    <w:top w:val="nil"/>
                    <w:left w:val="nil"/>
                    <w:bottom w:val="nil"/>
                    <w:right w:val="nil"/>
                  </w:tcBorders>
                  <w:shd w:val="clear" w:color="auto" w:fill="auto"/>
                  <w:noWrap/>
                  <w:vAlign w:val="center"/>
                  <w:hideMark/>
                </w:tcPr>
                <w:p w14:paraId="15E7306E" w14:textId="77777777" w:rsidR="00CD650E" w:rsidRDefault="00CD650E" w:rsidP="00593B36">
                  <w:pPr>
                    <w:rPr>
                      <w:rFonts w:ascii="Calibri" w:hAnsi="Calibri" w:cs="Calibri"/>
                      <w:color w:val="000000"/>
                      <w:sz w:val="18"/>
                      <w:szCs w:val="18"/>
                    </w:rPr>
                  </w:pPr>
                  <w:r>
                    <w:rPr>
                      <w:rFonts w:ascii="Calibri" w:hAnsi="Calibri" w:cs="Calibri"/>
                      <w:color w:val="000000"/>
                      <w:sz w:val="18"/>
                      <w:szCs w:val="18"/>
                    </w:rPr>
                    <w:t>MCE</w:t>
                  </w:r>
                </w:p>
              </w:tc>
            </w:tr>
            <w:tr w:rsidR="00CD650E" w14:paraId="412979B3" w14:textId="77777777" w:rsidTr="00CD650E">
              <w:trPr>
                <w:trHeight w:val="216"/>
              </w:trPr>
              <w:tc>
                <w:tcPr>
                  <w:tcW w:w="3011" w:type="dxa"/>
                  <w:tcBorders>
                    <w:top w:val="nil"/>
                    <w:left w:val="nil"/>
                    <w:bottom w:val="nil"/>
                    <w:right w:val="nil"/>
                  </w:tcBorders>
                  <w:shd w:val="clear" w:color="auto" w:fill="auto"/>
                  <w:noWrap/>
                  <w:vAlign w:val="center"/>
                  <w:hideMark/>
                </w:tcPr>
                <w:p w14:paraId="7E273502" w14:textId="77777777" w:rsidR="00CD650E" w:rsidRDefault="00CD650E" w:rsidP="00593B36">
                  <w:pPr>
                    <w:rPr>
                      <w:rFonts w:ascii="Calibri" w:hAnsi="Calibri" w:cs="Calibri"/>
                      <w:color w:val="000000"/>
                      <w:sz w:val="18"/>
                      <w:szCs w:val="18"/>
                    </w:rPr>
                  </w:pPr>
                  <w:r>
                    <w:rPr>
                      <w:rFonts w:ascii="Calibri" w:hAnsi="Calibri" w:cs="Calibri"/>
                      <w:color w:val="000000"/>
                      <w:sz w:val="18"/>
                      <w:szCs w:val="18"/>
                    </w:rPr>
                    <w:t>RCEA</w:t>
                  </w:r>
                </w:p>
              </w:tc>
            </w:tr>
            <w:tr w:rsidR="00CD650E" w14:paraId="698EE421" w14:textId="77777777" w:rsidTr="00CD650E">
              <w:trPr>
                <w:trHeight w:val="216"/>
              </w:trPr>
              <w:tc>
                <w:tcPr>
                  <w:tcW w:w="3011" w:type="dxa"/>
                  <w:tcBorders>
                    <w:top w:val="nil"/>
                    <w:left w:val="nil"/>
                    <w:bottom w:val="nil"/>
                    <w:right w:val="nil"/>
                  </w:tcBorders>
                  <w:shd w:val="clear" w:color="auto" w:fill="auto"/>
                  <w:noWrap/>
                  <w:vAlign w:val="bottom"/>
                  <w:hideMark/>
                </w:tcPr>
                <w:p w14:paraId="6F2E9820" w14:textId="77777777" w:rsidR="00CD650E" w:rsidRDefault="00CD650E" w:rsidP="00593B36">
                  <w:pPr>
                    <w:rPr>
                      <w:rFonts w:ascii="Calibri" w:hAnsi="Calibri" w:cs="Calibri"/>
                      <w:color w:val="000000"/>
                      <w:sz w:val="18"/>
                      <w:szCs w:val="18"/>
                    </w:rPr>
                  </w:pPr>
                  <w:r>
                    <w:rPr>
                      <w:rFonts w:ascii="Calibri" w:hAnsi="Calibri" w:cs="Calibri"/>
                      <w:color w:val="000000"/>
                      <w:sz w:val="18"/>
                      <w:szCs w:val="18"/>
                    </w:rPr>
                    <w:t>Resource Innovations</w:t>
                  </w:r>
                </w:p>
              </w:tc>
            </w:tr>
            <w:tr w:rsidR="00CD650E" w14:paraId="15C51A94" w14:textId="77777777" w:rsidTr="00CD650E">
              <w:trPr>
                <w:trHeight w:val="216"/>
              </w:trPr>
              <w:tc>
                <w:tcPr>
                  <w:tcW w:w="3011" w:type="dxa"/>
                  <w:tcBorders>
                    <w:top w:val="nil"/>
                    <w:left w:val="nil"/>
                    <w:bottom w:val="nil"/>
                    <w:right w:val="nil"/>
                  </w:tcBorders>
                  <w:shd w:val="clear" w:color="auto" w:fill="auto"/>
                  <w:noWrap/>
                  <w:vAlign w:val="bottom"/>
                  <w:hideMark/>
                </w:tcPr>
                <w:p w14:paraId="29D2C465" w14:textId="77777777" w:rsidR="00CD650E" w:rsidRDefault="00CD650E" w:rsidP="00593B36">
                  <w:pPr>
                    <w:rPr>
                      <w:rFonts w:ascii="Calibri" w:hAnsi="Calibri" w:cs="Calibri"/>
                      <w:color w:val="000000"/>
                      <w:sz w:val="18"/>
                      <w:szCs w:val="18"/>
                    </w:rPr>
                  </w:pPr>
                  <w:r>
                    <w:rPr>
                      <w:rFonts w:ascii="Calibri" w:hAnsi="Calibri" w:cs="Calibri"/>
                      <w:color w:val="000000"/>
                      <w:sz w:val="18"/>
                      <w:szCs w:val="18"/>
                    </w:rPr>
                    <w:t>Rising Sun Center for Opportunity</w:t>
                  </w:r>
                </w:p>
              </w:tc>
            </w:tr>
            <w:tr w:rsidR="00CD650E" w14:paraId="295CDDB1" w14:textId="77777777" w:rsidTr="00CD650E">
              <w:trPr>
                <w:trHeight w:val="216"/>
              </w:trPr>
              <w:tc>
                <w:tcPr>
                  <w:tcW w:w="3011" w:type="dxa"/>
                  <w:tcBorders>
                    <w:top w:val="nil"/>
                    <w:left w:val="nil"/>
                    <w:bottom w:val="nil"/>
                    <w:right w:val="nil"/>
                  </w:tcBorders>
                  <w:shd w:val="clear" w:color="auto" w:fill="auto"/>
                  <w:noWrap/>
                  <w:vAlign w:val="bottom"/>
                  <w:hideMark/>
                </w:tcPr>
                <w:p w14:paraId="459968F8" w14:textId="77777777" w:rsidR="00CD650E" w:rsidRDefault="00CD650E" w:rsidP="00593B36">
                  <w:pPr>
                    <w:rPr>
                      <w:rFonts w:ascii="Calibri" w:hAnsi="Calibri" w:cs="Calibri"/>
                      <w:color w:val="000000"/>
                      <w:sz w:val="18"/>
                      <w:szCs w:val="18"/>
                    </w:rPr>
                  </w:pPr>
                  <w:r>
                    <w:rPr>
                      <w:rFonts w:ascii="Calibri" w:hAnsi="Calibri" w:cs="Calibri"/>
                      <w:color w:val="000000"/>
                      <w:sz w:val="18"/>
                      <w:szCs w:val="18"/>
                    </w:rPr>
                    <w:t>SBUA</w:t>
                  </w:r>
                </w:p>
              </w:tc>
            </w:tr>
            <w:tr w:rsidR="00CD650E" w14:paraId="3BC1269D" w14:textId="77777777" w:rsidTr="00CD650E">
              <w:trPr>
                <w:trHeight w:val="216"/>
              </w:trPr>
              <w:tc>
                <w:tcPr>
                  <w:tcW w:w="3011" w:type="dxa"/>
                  <w:tcBorders>
                    <w:top w:val="nil"/>
                    <w:left w:val="nil"/>
                    <w:bottom w:val="nil"/>
                    <w:right w:val="nil"/>
                  </w:tcBorders>
                  <w:shd w:val="clear" w:color="auto" w:fill="auto"/>
                  <w:noWrap/>
                  <w:vAlign w:val="bottom"/>
                  <w:hideMark/>
                </w:tcPr>
                <w:p w14:paraId="6AB1A2D8" w14:textId="77777777" w:rsidR="00CD650E" w:rsidRDefault="00CD650E" w:rsidP="00593B36">
                  <w:pPr>
                    <w:rPr>
                      <w:rFonts w:ascii="Calibri" w:hAnsi="Calibri" w:cs="Calibri"/>
                      <w:color w:val="000000"/>
                      <w:sz w:val="18"/>
                      <w:szCs w:val="18"/>
                    </w:rPr>
                  </w:pPr>
                  <w:r>
                    <w:rPr>
                      <w:rFonts w:ascii="Calibri" w:hAnsi="Calibri" w:cs="Calibri"/>
                      <w:color w:val="000000"/>
                      <w:sz w:val="18"/>
                      <w:szCs w:val="18"/>
                    </w:rPr>
                    <w:t>SCE</w:t>
                  </w:r>
                </w:p>
              </w:tc>
            </w:tr>
            <w:tr w:rsidR="00CD650E" w14:paraId="3B6B5846" w14:textId="77777777" w:rsidTr="00CD650E">
              <w:trPr>
                <w:trHeight w:val="216"/>
              </w:trPr>
              <w:tc>
                <w:tcPr>
                  <w:tcW w:w="3011" w:type="dxa"/>
                  <w:tcBorders>
                    <w:top w:val="nil"/>
                    <w:left w:val="nil"/>
                    <w:bottom w:val="nil"/>
                    <w:right w:val="nil"/>
                  </w:tcBorders>
                  <w:shd w:val="clear" w:color="auto" w:fill="auto"/>
                  <w:noWrap/>
                  <w:vAlign w:val="bottom"/>
                  <w:hideMark/>
                </w:tcPr>
                <w:p w14:paraId="7BF32F52" w14:textId="77777777" w:rsidR="00CD650E" w:rsidRDefault="00CD650E" w:rsidP="00593B36">
                  <w:pPr>
                    <w:rPr>
                      <w:rFonts w:ascii="Calibri" w:hAnsi="Calibri" w:cs="Calibri"/>
                      <w:color w:val="000000"/>
                      <w:sz w:val="18"/>
                      <w:szCs w:val="18"/>
                    </w:rPr>
                  </w:pPr>
                  <w:r>
                    <w:rPr>
                      <w:rFonts w:ascii="Calibri" w:hAnsi="Calibri" w:cs="Calibri"/>
                      <w:color w:val="000000"/>
                      <w:sz w:val="18"/>
                      <w:szCs w:val="18"/>
                    </w:rPr>
                    <w:t>SCG</w:t>
                  </w:r>
                </w:p>
              </w:tc>
            </w:tr>
            <w:tr w:rsidR="00CD650E" w14:paraId="74F60730" w14:textId="77777777" w:rsidTr="00CD650E">
              <w:trPr>
                <w:trHeight w:val="216"/>
              </w:trPr>
              <w:tc>
                <w:tcPr>
                  <w:tcW w:w="3011" w:type="dxa"/>
                  <w:tcBorders>
                    <w:top w:val="nil"/>
                    <w:left w:val="nil"/>
                    <w:bottom w:val="nil"/>
                    <w:right w:val="nil"/>
                  </w:tcBorders>
                  <w:shd w:val="clear" w:color="auto" w:fill="auto"/>
                  <w:noWrap/>
                  <w:vAlign w:val="bottom"/>
                  <w:hideMark/>
                </w:tcPr>
                <w:p w14:paraId="20263618" w14:textId="77777777" w:rsidR="00CD650E" w:rsidRDefault="00CD650E" w:rsidP="00593B36">
                  <w:pPr>
                    <w:rPr>
                      <w:rFonts w:ascii="Calibri" w:hAnsi="Calibri" w:cs="Calibri"/>
                      <w:color w:val="000000"/>
                      <w:sz w:val="18"/>
                      <w:szCs w:val="18"/>
                    </w:rPr>
                  </w:pPr>
                  <w:r>
                    <w:rPr>
                      <w:rFonts w:ascii="Calibri" w:hAnsi="Calibri" w:cs="Calibri"/>
                      <w:color w:val="000000"/>
                      <w:sz w:val="18"/>
                      <w:szCs w:val="18"/>
                    </w:rPr>
                    <w:t xml:space="preserve">SJVCEO </w:t>
                  </w:r>
                </w:p>
              </w:tc>
            </w:tr>
            <w:tr w:rsidR="00CD650E" w14:paraId="22906BE5" w14:textId="77777777" w:rsidTr="00CD650E">
              <w:trPr>
                <w:trHeight w:val="216"/>
              </w:trPr>
              <w:tc>
                <w:tcPr>
                  <w:tcW w:w="3011" w:type="dxa"/>
                  <w:tcBorders>
                    <w:top w:val="nil"/>
                    <w:left w:val="nil"/>
                    <w:bottom w:val="nil"/>
                    <w:right w:val="nil"/>
                  </w:tcBorders>
                  <w:shd w:val="clear" w:color="auto" w:fill="auto"/>
                  <w:noWrap/>
                  <w:vAlign w:val="bottom"/>
                  <w:hideMark/>
                </w:tcPr>
                <w:p w14:paraId="1D7EBFCA" w14:textId="77777777" w:rsidR="00CD650E" w:rsidRDefault="00CD650E" w:rsidP="00593B36">
                  <w:pPr>
                    <w:rPr>
                      <w:rFonts w:ascii="Calibri" w:hAnsi="Calibri" w:cs="Calibri"/>
                      <w:color w:val="000000"/>
                      <w:sz w:val="18"/>
                      <w:szCs w:val="18"/>
                    </w:rPr>
                  </w:pPr>
                  <w:r>
                    <w:rPr>
                      <w:rFonts w:ascii="Calibri" w:hAnsi="Calibri" w:cs="Calibri"/>
                      <w:color w:val="000000"/>
                      <w:sz w:val="18"/>
                      <w:szCs w:val="18"/>
                    </w:rPr>
                    <w:t>TRC</w:t>
                  </w:r>
                </w:p>
              </w:tc>
            </w:tr>
          </w:tbl>
          <w:p w14:paraId="3ACA5A33" w14:textId="029B3093" w:rsidR="003D492E" w:rsidRPr="00CD650E" w:rsidRDefault="003D492E" w:rsidP="00593B36">
            <w:pPr>
              <w:keepNext/>
              <w:keepLines/>
              <w:spacing w:line="276" w:lineRule="auto"/>
              <w:rPr>
                <w:rFonts w:ascii="Calibri" w:hAnsi="Calibri" w:cs="Calibri"/>
                <w:color w:val="000000"/>
                <w:sz w:val="18"/>
                <w:szCs w:val="18"/>
                <w:highlight w:val="yellow"/>
              </w:rPr>
            </w:pPr>
          </w:p>
        </w:tc>
      </w:tr>
    </w:tbl>
    <w:p w14:paraId="07C7CCB4" w14:textId="77777777" w:rsidR="001E6AF9" w:rsidRPr="00BD1D99" w:rsidRDefault="001E6AF9" w:rsidP="00BD1D99">
      <w:pPr>
        <w:spacing w:line="276" w:lineRule="auto"/>
        <w:rPr>
          <w:rFonts w:ascii="Calibri" w:hAnsi="Calibri" w:cs="Calibri"/>
        </w:rPr>
      </w:pPr>
    </w:p>
    <w:p w14:paraId="03209992" w14:textId="5C55BFCD" w:rsidR="001E6AF9" w:rsidRPr="00BD1D99" w:rsidRDefault="00D308F1" w:rsidP="00BD1D99">
      <w:pPr>
        <w:pStyle w:val="Heading2"/>
      </w:pPr>
      <w:bookmarkStart w:id="69" w:name="_Toc85613325"/>
      <w:r w:rsidRPr="00BD1D99">
        <w:t>5.</w:t>
      </w:r>
      <w:r w:rsidR="00F04B69">
        <w:t>4</w:t>
      </w:r>
      <w:r w:rsidR="001E6AF9" w:rsidRPr="00BD1D99">
        <w:t xml:space="preserve"> Reporting </w:t>
      </w:r>
      <w:r w:rsidR="005F5829">
        <w:t>Templates</w:t>
      </w:r>
      <w:bookmarkEnd w:id="69"/>
    </w:p>
    <w:p w14:paraId="119B6998" w14:textId="1B35F07C" w:rsidR="001E6AF9" w:rsidRPr="00BD1D99" w:rsidRDefault="001E6AF9" w:rsidP="00BD1D99">
      <w:pPr>
        <w:spacing w:line="276" w:lineRule="auto"/>
        <w:rPr>
          <w:rFonts w:ascii="Calibri" w:hAnsi="Calibri" w:cs="Calibri"/>
        </w:rPr>
      </w:pPr>
      <w:r w:rsidRPr="00BD1D99">
        <w:rPr>
          <w:rFonts w:ascii="Calibri" w:hAnsi="Calibri" w:cs="Calibri"/>
        </w:rPr>
        <w:t xml:space="preserve">PG&amp;E, BayREN, and SCE collaborated on the development of these tables as a </w:t>
      </w:r>
      <w:r w:rsidRPr="00D22AAE">
        <w:rPr>
          <w:rFonts w:ascii="Calibri" w:hAnsi="Calibri" w:cs="Calibri"/>
        </w:rPr>
        <w:t xml:space="preserve">visual </w:t>
      </w:r>
      <w:r w:rsidR="00912FF0" w:rsidRPr="00EA32A7">
        <w:rPr>
          <w:rFonts w:ascii="Calibri" w:hAnsi="Calibri" w:cs="Calibri"/>
        </w:rPr>
        <w:t>illustration</w:t>
      </w:r>
      <w:r w:rsidRPr="00BD1D99">
        <w:rPr>
          <w:rFonts w:ascii="Calibri" w:hAnsi="Calibri" w:cs="Calibri"/>
        </w:rPr>
        <w:t xml:space="preserve"> of how the reporting of the new Equity segment metrics and indicators would work in practice. The intent of these tables is to help PAs understand the information they would be expected to collect, track, and report, and for stakeholders to see what information would be available, and how it would be presented, for their review, if the CAEECC WG current proposal were to be adopted.</w:t>
      </w:r>
    </w:p>
    <w:p w14:paraId="67BC39B0" w14:textId="77777777" w:rsidR="001E6AF9" w:rsidRPr="00BD1D99" w:rsidRDefault="001E6AF9" w:rsidP="00BD1D99">
      <w:pPr>
        <w:spacing w:line="276" w:lineRule="auto"/>
        <w:rPr>
          <w:rFonts w:ascii="Calibri" w:hAnsi="Calibri" w:cs="Calibri"/>
          <w:highlight w:val="yellow"/>
        </w:rPr>
      </w:pPr>
    </w:p>
    <w:p w14:paraId="5A068DC3" w14:textId="1F6F29EA" w:rsidR="001E6AF9" w:rsidRPr="00BD1D99" w:rsidRDefault="001E6AF9" w:rsidP="00BD1D99">
      <w:pPr>
        <w:spacing w:line="276" w:lineRule="auto"/>
        <w:rPr>
          <w:rFonts w:ascii="Calibri" w:hAnsi="Calibri" w:cs="Calibri"/>
        </w:rPr>
      </w:pPr>
      <w:r w:rsidRPr="00BD1D99">
        <w:rPr>
          <w:rFonts w:ascii="Calibri" w:hAnsi="Calibri" w:cs="Calibri"/>
        </w:rPr>
        <w:t xml:space="preserve">It is included </w:t>
      </w:r>
      <w:r w:rsidR="000E68E1" w:rsidRPr="00BD1D99">
        <w:rPr>
          <w:rFonts w:ascii="Calibri" w:hAnsi="Calibri" w:cs="Calibri"/>
        </w:rPr>
        <w:t>here</w:t>
      </w:r>
      <w:r w:rsidRPr="00BD1D99">
        <w:rPr>
          <w:rFonts w:ascii="Calibri" w:hAnsi="Calibri" w:cs="Calibri"/>
        </w:rPr>
        <w:t xml:space="preserve"> based on advocates’ interest in holding a conversation with interested stakeholders prior to the February 2022 filing to discuss issues such as the following: what happens with programs that fit into multiple categories, how do you show progress in the Equity segment for program categorized as Resource Acquisition that also make significant impact towards the Equity segment objective, and how to consistently track programs that aren’t applicable.</w:t>
      </w:r>
    </w:p>
    <w:p w14:paraId="72ECD9AC" w14:textId="77777777" w:rsidR="001E6AF9" w:rsidRPr="00BD1D99" w:rsidRDefault="001E6AF9" w:rsidP="00BD1D99">
      <w:pPr>
        <w:spacing w:line="276" w:lineRule="auto"/>
        <w:rPr>
          <w:rFonts w:ascii="Calibri" w:hAnsi="Calibri" w:cs="Calibri"/>
        </w:rPr>
      </w:pPr>
    </w:p>
    <w:p w14:paraId="48795DF6" w14:textId="3D744CFF" w:rsidR="001E6AF9" w:rsidRPr="00BD1D99" w:rsidRDefault="001E6AF9" w:rsidP="00BD1D99">
      <w:pPr>
        <w:pStyle w:val="Heading4"/>
        <w:spacing w:line="276" w:lineRule="auto"/>
        <w:rPr>
          <w:rFonts w:ascii="Calibri" w:hAnsi="Calibri" w:cs="Calibri"/>
        </w:rPr>
      </w:pPr>
      <w:r w:rsidRPr="00BD1D99">
        <w:rPr>
          <w:rFonts w:ascii="Calibri" w:hAnsi="Calibri" w:cs="Calibri"/>
          <w:i w:val="0"/>
          <w:iCs w:val="0"/>
          <w:color w:val="auto"/>
        </w:rPr>
        <w:t xml:space="preserve">Note, the categories proposed below each metric are ways to define what “served” means in the context of the metric. These were designed with the intention of being manageable to track (i.e., only 2-3 </w:t>
      </w:r>
      <w:r w:rsidR="00537AF5" w:rsidRPr="00BD1D99">
        <w:rPr>
          <w:rFonts w:ascii="Calibri" w:hAnsi="Calibri" w:cs="Calibri"/>
          <w:i w:val="0"/>
          <w:iCs w:val="0"/>
          <w:color w:val="auto"/>
        </w:rPr>
        <w:t xml:space="preserve">categories </w:t>
      </w:r>
      <w:r w:rsidRPr="00BD1D99">
        <w:rPr>
          <w:rFonts w:ascii="Calibri" w:hAnsi="Calibri" w:cs="Calibri"/>
          <w:i w:val="0"/>
          <w:iCs w:val="0"/>
          <w:color w:val="auto"/>
        </w:rPr>
        <w:t xml:space="preserve">are listed per metric). As noted </w:t>
      </w:r>
      <w:r w:rsidRPr="0069447D">
        <w:rPr>
          <w:rFonts w:ascii="Calibri" w:hAnsi="Calibri" w:cs="Calibri"/>
          <w:i w:val="0"/>
          <w:iCs w:val="0"/>
          <w:color w:val="auto"/>
        </w:rPr>
        <w:t xml:space="preserve">in Principle 5B, </w:t>
      </w:r>
      <w:r w:rsidRPr="0069447D">
        <w:rPr>
          <w:rFonts w:ascii="Calibri" w:hAnsi="Calibri" w:cs="Calibri"/>
          <w:b/>
          <w:bCs/>
          <w:i w:val="0"/>
          <w:iCs w:val="0"/>
          <w:color w:val="auto"/>
        </w:rPr>
        <w:t>only</w:t>
      </w:r>
      <w:r w:rsidRPr="00BD1D99">
        <w:rPr>
          <w:rFonts w:ascii="Calibri" w:hAnsi="Calibri" w:cs="Calibri"/>
          <w:b/>
          <w:bCs/>
          <w:i w:val="0"/>
          <w:iCs w:val="0"/>
          <w:color w:val="auto"/>
        </w:rPr>
        <w:t xml:space="preserve"> applicable programs would have to report</w:t>
      </w:r>
      <w:r w:rsidRPr="00BD1D99">
        <w:rPr>
          <w:rFonts w:ascii="Calibri" w:hAnsi="Calibri" w:cs="Calibri"/>
          <w:i w:val="0"/>
          <w:iCs w:val="0"/>
          <w:color w:val="auto"/>
        </w:rPr>
        <w:t xml:space="preserve">. These categories would be indicators to help inform overall progress toward the metric. </w:t>
      </w:r>
    </w:p>
    <w:p w14:paraId="41DF5BD0" w14:textId="2796DA9A" w:rsidR="001E6AF9" w:rsidRPr="00BD1D99" w:rsidRDefault="001E6AF9" w:rsidP="00BD1D99">
      <w:pPr>
        <w:spacing w:line="276" w:lineRule="auto"/>
        <w:rPr>
          <w:rFonts w:ascii="Calibri" w:hAnsi="Calibri" w:cs="Calibri"/>
        </w:rPr>
      </w:pPr>
    </w:p>
    <w:p w14:paraId="614D160B" w14:textId="7A50F63A" w:rsidR="001E6AF9" w:rsidRPr="00BD1D99" w:rsidRDefault="001E6AF9" w:rsidP="00BD1D99">
      <w:pPr>
        <w:spacing w:line="276" w:lineRule="auto"/>
        <w:rPr>
          <w:rFonts w:ascii="Calibri" w:hAnsi="Calibri" w:cs="Calibri"/>
        </w:rPr>
      </w:pPr>
      <w:r w:rsidRPr="00BD1D99">
        <w:rPr>
          <w:rFonts w:ascii="Calibri" w:hAnsi="Calibri" w:cs="Calibri"/>
        </w:rPr>
        <w:t>The tables below can be found on the CAEECC website</w:t>
      </w:r>
      <w:r w:rsidR="00E265F0">
        <w:rPr>
          <w:rStyle w:val="FootnoteReference"/>
          <w:rFonts w:ascii="Calibri" w:hAnsi="Calibri" w:cs="Calibri"/>
        </w:rPr>
        <w:footnoteReference w:id="31"/>
      </w:r>
      <w:r w:rsidRPr="00BD1D99">
        <w:rPr>
          <w:rFonts w:ascii="Calibri" w:hAnsi="Calibri" w:cs="Calibri"/>
        </w:rPr>
        <w:t xml:space="preserve"> and are reproduced here for illustrative purposes.</w:t>
      </w:r>
    </w:p>
    <w:p w14:paraId="62B4D92D" w14:textId="77777777" w:rsidR="001E6AF9" w:rsidRPr="00BD1D99" w:rsidRDefault="001E6AF9" w:rsidP="00BD1D99">
      <w:pPr>
        <w:spacing w:line="276" w:lineRule="auto"/>
        <w:rPr>
          <w:rFonts w:ascii="Calibri" w:hAnsi="Calibri" w:cs="Calibri"/>
        </w:rPr>
      </w:pPr>
    </w:p>
    <w:p w14:paraId="30D2178D" w14:textId="68E63128" w:rsidR="001E6AF9" w:rsidRDefault="00EF0ACD" w:rsidP="00BD1D99">
      <w:pPr>
        <w:pStyle w:val="Heading3"/>
        <w:spacing w:line="276" w:lineRule="auto"/>
        <w:rPr>
          <w:rFonts w:ascii="Calibri" w:hAnsi="Calibri" w:cs="Calibri"/>
        </w:rPr>
      </w:pPr>
      <w:bookmarkStart w:id="70" w:name="_Toc85613326"/>
      <w:r>
        <w:rPr>
          <w:rFonts w:ascii="Calibri" w:hAnsi="Calibri" w:cs="Calibri"/>
        </w:rPr>
        <w:t xml:space="preserve">A.1-A.9: </w:t>
      </w:r>
      <w:r w:rsidR="001E6AF9" w:rsidRPr="00BD1D99">
        <w:rPr>
          <w:rFonts w:ascii="Calibri" w:hAnsi="Calibri" w:cs="Calibri"/>
        </w:rPr>
        <w:t>Metrics &amp; Indicators</w:t>
      </w:r>
      <w:r w:rsidR="00824D40">
        <w:rPr>
          <w:rFonts w:ascii="Calibri" w:hAnsi="Calibri" w:cs="Calibri"/>
        </w:rPr>
        <w:t xml:space="preserve"> </w:t>
      </w:r>
      <w:r>
        <w:rPr>
          <w:rFonts w:ascii="Calibri" w:hAnsi="Calibri" w:cs="Calibri"/>
        </w:rPr>
        <w:t xml:space="preserve">to </w:t>
      </w:r>
      <w:r w:rsidRPr="00D22AAE">
        <w:rPr>
          <w:rFonts w:ascii="Calibri" w:hAnsi="Calibri" w:cs="Calibri"/>
        </w:rPr>
        <w:t>Measure Who</w:t>
      </w:r>
      <w:r w:rsidRPr="00EA32A7">
        <w:rPr>
          <w:rFonts w:ascii="Calibri" w:hAnsi="Calibri" w:cs="Calibri"/>
        </w:rPr>
        <w:t xml:space="preserve"> and</w:t>
      </w:r>
      <w:r>
        <w:rPr>
          <w:rFonts w:ascii="Calibri" w:hAnsi="Calibri" w:cs="Calibri"/>
        </w:rPr>
        <w:t xml:space="preserve"> How Target Populations are “Served”</w:t>
      </w:r>
      <w:bookmarkEnd w:id="70"/>
    </w:p>
    <w:p w14:paraId="45F98CCD" w14:textId="49C0E3E5" w:rsidR="001E6AF9" w:rsidRPr="00BD1D99" w:rsidRDefault="004824D3" w:rsidP="00BD1D99">
      <w:pPr>
        <w:spacing w:line="276" w:lineRule="auto"/>
        <w:rPr>
          <w:rFonts w:ascii="Calibri" w:hAnsi="Calibri" w:cs="Calibri"/>
        </w:rPr>
      </w:pPr>
      <w:r w:rsidRPr="004824D3">
        <w:rPr>
          <w:rFonts w:ascii="Calibri" w:hAnsi="Calibri" w:cs="Calibri"/>
          <w:noProof/>
        </w:rPr>
        <w:drawing>
          <wp:inline distT="0" distB="0" distL="0" distR="0" wp14:anchorId="07F3A3E8" wp14:editId="4680972D">
            <wp:extent cx="5943600" cy="4966335"/>
            <wp:effectExtent l="12700" t="12700" r="1270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966335"/>
                    </a:xfrm>
                    <a:prstGeom prst="rect">
                      <a:avLst/>
                    </a:prstGeom>
                    <a:ln>
                      <a:solidFill>
                        <a:schemeClr val="tx1"/>
                      </a:solidFill>
                    </a:ln>
                  </pic:spPr>
                </pic:pic>
              </a:graphicData>
            </a:graphic>
          </wp:inline>
        </w:drawing>
      </w:r>
    </w:p>
    <w:p w14:paraId="447BFA85" w14:textId="016736AA" w:rsidR="00713B59" w:rsidRPr="00BD1D99" w:rsidRDefault="00713B59" w:rsidP="00BD1D99">
      <w:pPr>
        <w:spacing w:line="276" w:lineRule="auto"/>
        <w:rPr>
          <w:rFonts w:ascii="Calibri" w:hAnsi="Calibri" w:cs="Calibri"/>
        </w:rPr>
      </w:pPr>
    </w:p>
    <w:p w14:paraId="21E9495B" w14:textId="4C97D28F" w:rsidR="001E6AF9" w:rsidRDefault="0000139F" w:rsidP="00BD1D99">
      <w:pPr>
        <w:pStyle w:val="Heading3"/>
        <w:spacing w:line="276" w:lineRule="auto"/>
        <w:rPr>
          <w:rFonts w:ascii="Calibri" w:hAnsi="Calibri" w:cs="Calibri"/>
        </w:rPr>
      </w:pPr>
      <w:bookmarkStart w:id="71" w:name="_Toc85613327"/>
      <w:r>
        <w:rPr>
          <w:rFonts w:ascii="Calibri" w:hAnsi="Calibri" w:cs="Calibri"/>
        </w:rPr>
        <w:t>B.1-B.3: Metrics &amp; Indicators to Assess Energy and/or Cost Savings in Targeted Populations</w:t>
      </w:r>
      <w:bookmarkEnd w:id="71"/>
    </w:p>
    <w:p w14:paraId="20A8976D" w14:textId="6DEAADAA" w:rsidR="001E6AF9" w:rsidRPr="00BD1D99" w:rsidRDefault="004824D3" w:rsidP="00BD1D99">
      <w:pPr>
        <w:spacing w:line="276" w:lineRule="auto"/>
        <w:rPr>
          <w:rFonts w:ascii="Calibri" w:hAnsi="Calibri" w:cs="Calibri"/>
        </w:rPr>
      </w:pPr>
      <w:r w:rsidRPr="004824D3">
        <w:rPr>
          <w:rFonts w:ascii="Calibri" w:hAnsi="Calibri" w:cs="Calibri"/>
          <w:noProof/>
        </w:rPr>
        <w:drawing>
          <wp:inline distT="0" distB="0" distL="0" distR="0" wp14:anchorId="5F153E0E" wp14:editId="4CC0CF48">
            <wp:extent cx="5943600" cy="2644140"/>
            <wp:effectExtent l="12700" t="12700" r="1270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644140"/>
                    </a:xfrm>
                    <a:prstGeom prst="rect">
                      <a:avLst/>
                    </a:prstGeom>
                    <a:ln>
                      <a:solidFill>
                        <a:schemeClr val="tx1"/>
                      </a:solidFill>
                    </a:ln>
                  </pic:spPr>
                </pic:pic>
              </a:graphicData>
            </a:graphic>
          </wp:inline>
        </w:drawing>
      </w:r>
    </w:p>
    <w:p w14:paraId="6B2716C4" w14:textId="77777777" w:rsidR="001E6AF9" w:rsidRPr="00BD1D99" w:rsidRDefault="001E6AF9" w:rsidP="00BD1D99">
      <w:pPr>
        <w:spacing w:line="276" w:lineRule="auto"/>
        <w:rPr>
          <w:rFonts w:ascii="Calibri" w:hAnsi="Calibri" w:cs="Calibri"/>
        </w:rPr>
      </w:pPr>
    </w:p>
    <w:p w14:paraId="45B53AB2" w14:textId="3FFF1730" w:rsidR="001E6AF9" w:rsidRDefault="0000139F" w:rsidP="00BD1D99">
      <w:pPr>
        <w:pStyle w:val="Heading3"/>
        <w:spacing w:line="276" w:lineRule="auto"/>
        <w:rPr>
          <w:rFonts w:ascii="Calibri" w:hAnsi="Calibri" w:cs="Calibri"/>
        </w:rPr>
      </w:pPr>
      <w:bookmarkStart w:id="72" w:name="_Toc85613328"/>
      <w:r>
        <w:rPr>
          <w:rFonts w:ascii="Calibri" w:hAnsi="Calibri" w:cs="Calibri"/>
        </w:rPr>
        <w:t>C.1: Indicators for “Holistic” Benefits</w:t>
      </w:r>
      <w:bookmarkEnd w:id="72"/>
      <w:r>
        <w:rPr>
          <w:rFonts w:ascii="Calibri" w:hAnsi="Calibri" w:cs="Calibri"/>
        </w:rPr>
        <w:t xml:space="preserve"> </w:t>
      </w:r>
    </w:p>
    <w:p w14:paraId="2C90BBBD" w14:textId="23E7112D" w:rsidR="001E6AF9" w:rsidRPr="00BD1D99" w:rsidRDefault="004824D3" w:rsidP="00BD1D99">
      <w:pPr>
        <w:spacing w:line="276" w:lineRule="auto"/>
        <w:rPr>
          <w:rFonts w:ascii="Calibri" w:eastAsiaTheme="majorEastAsia" w:hAnsi="Calibri" w:cs="Calibri"/>
          <w:color w:val="2F5496" w:themeColor="accent1" w:themeShade="BF"/>
          <w:sz w:val="32"/>
          <w:szCs w:val="32"/>
        </w:rPr>
      </w:pPr>
      <w:r w:rsidRPr="004824D3">
        <w:rPr>
          <w:rFonts w:ascii="Calibri" w:eastAsiaTheme="majorEastAsia" w:hAnsi="Calibri" w:cs="Calibri"/>
          <w:noProof/>
          <w:color w:val="2F5496" w:themeColor="accent1" w:themeShade="BF"/>
          <w:sz w:val="32"/>
          <w:szCs w:val="32"/>
        </w:rPr>
        <w:drawing>
          <wp:inline distT="0" distB="0" distL="0" distR="0" wp14:anchorId="728A9F45" wp14:editId="06837BC8">
            <wp:extent cx="5943600" cy="1568450"/>
            <wp:effectExtent l="12700" t="12700" r="1270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68450"/>
                    </a:xfrm>
                    <a:prstGeom prst="rect">
                      <a:avLst/>
                    </a:prstGeom>
                    <a:ln>
                      <a:solidFill>
                        <a:schemeClr val="tx1"/>
                      </a:solidFill>
                    </a:ln>
                  </pic:spPr>
                </pic:pic>
              </a:graphicData>
            </a:graphic>
          </wp:inline>
        </w:drawing>
      </w:r>
    </w:p>
    <w:p w14:paraId="5D55FC43" w14:textId="77777777" w:rsidR="009328D9" w:rsidRDefault="009328D9">
      <w:pPr>
        <w:rPr>
          <w:rFonts w:ascii="Calibri" w:hAnsi="Calibri" w:cs="Calibri"/>
        </w:rPr>
      </w:pPr>
    </w:p>
    <w:p w14:paraId="75948E1C" w14:textId="479F59B5" w:rsidR="009328D9" w:rsidRDefault="009328D9" w:rsidP="009328D9">
      <w:pPr>
        <w:pStyle w:val="Heading2"/>
      </w:pPr>
      <w:bookmarkStart w:id="73" w:name="_Toc85613329"/>
      <w:r>
        <w:t>5.</w:t>
      </w:r>
      <w:r w:rsidR="00F04B69">
        <w:t>5</w:t>
      </w:r>
      <w:r>
        <w:t xml:space="preserve"> Demographic Data and </w:t>
      </w:r>
      <w:r w:rsidR="0021141A">
        <w:t>Data Systems Integration</w:t>
      </w:r>
      <w:r w:rsidR="00604221">
        <w:t xml:space="preserve"> Ideas</w:t>
      </w:r>
      <w:bookmarkEnd w:id="73"/>
    </w:p>
    <w:p w14:paraId="4C6A729B" w14:textId="46C6303C" w:rsidR="009328D9" w:rsidRPr="0021141A" w:rsidRDefault="009328D9" w:rsidP="0021141A">
      <w:pPr>
        <w:spacing w:line="276" w:lineRule="auto"/>
        <w:rPr>
          <w:rFonts w:ascii="Calibri" w:hAnsi="Calibri" w:cs="Calibri"/>
          <w:color w:val="000000"/>
        </w:rPr>
      </w:pPr>
      <w:r w:rsidRPr="0021141A">
        <w:rPr>
          <w:rFonts w:ascii="Calibri" w:hAnsi="Calibri" w:cs="Calibri"/>
          <w:color w:val="000000"/>
        </w:rPr>
        <w:t xml:space="preserve">The following two items were raised at the 9/29/2021 EMWG meeting but were not thoroughly discussed. </w:t>
      </w:r>
    </w:p>
    <w:p w14:paraId="5DEFA940" w14:textId="497ED556" w:rsidR="009328D9" w:rsidRPr="0021141A" w:rsidRDefault="009328D9" w:rsidP="00760381">
      <w:pPr>
        <w:pStyle w:val="ListParagraph"/>
        <w:numPr>
          <w:ilvl w:val="0"/>
          <w:numId w:val="19"/>
        </w:numPr>
        <w:spacing w:line="276" w:lineRule="auto"/>
        <w:rPr>
          <w:rFonts w:ascii="Calibri" w:hAnsi="Calibri" w:cs="Calibri"/>
        </w:rPr>
      </w:pPr>
      <w:r w:rsidRPr="0021141A">
        <w:rPr>
          <w:rFonts w:ascii="Calibri" w:hAnsi="Calibri" w:cs="Calibri"/>
        </w:rPr>
        <w:t>Collect and track specific demographic data</w:t>
      </w:r>
      <w:r w:rsidRPr="0021141A" w:rsidDel="00F5219E">
        <w:rPr>
          <w:rFonts w:ascii="Calibri" w:hAnsi="Calibri" w:cs="Calibri"/>
        </w:rPr>
        <w:t xml:space="preserve"> </w:t>
      </w:r>
      <w:r w:rsidRPr="0021141A">
        <w:rPr>
          <w:rFonts w:ascii="Calibri" w:hAnsi="Calibri" w:cs="Calibri"/>
        </w:rPr>
        <w:t>(race, ethnicity, gender, geography, and/or income (REGGI))</w:t>
      </w:r>
    </w:p>
    <w:p w14:paraId="0C8DE130" w14:textId="72350795" w:rsidR="009328D9" w:rsidRPr="0021141A" w:rsidRDefault="009328D9" w:rsidP="00760381">
      <w:pPr>
        <w:pStyle w:val="ListParagraph"/>
        <w:numPr>
          <w:ilvl w:val="0"/>
          <w:numId w:val="19"/>
        </w:numPr>
        <w:spacing w:line="276" w:lineRule="auto"/>
        <w:rPr>
          <w:rFonts w:ascii="Calibri" w:hAnsi="Calibri" w:cs="Calibri"/>
          <w:color w:val="000000"/>
        </w:rPr>
      </w:pPr>
      <w:r w:rsidRPr="0021141A">
        <w:rPr>
          <w:rFonts w:ascii="Calibri" w:hAnsi="Calibri" w:cs="Calibri"/>
        </w:rPr>
        <w:t xml:space="preserve">Data Systems Integration: Track yes/no </w:t>
      </w:r>
    </w:p>
    <w:p w14:paraId="76C37F63" w14:textId="77777777" w:rsidR="009328D9" w:rsidRPr="0021141A" w:rsidRDefault="009328D9" w:rsidP="0021141A">
      <w:pPr>
        <w:spacing w:line="276" w:lineRule="auto"/>
        <w:rPr>
          <w:rFonts w:ascii="Calibri" w:hAnsi="Calibri" w:cs="Calibri"/>
          <w:color w:val="000000"/>
        </w:rPr>
      </w:pPr>
    </w:p>
    <w:p w14:paraId="73FDFA2D" w14:textId="0592D3A7" w:rsidR="009328D9" w:rsidRPr="0021141A" w:rsidRDefault="009328D9" w:rsidP="0021141A">
      <w:pPr>
        <w:spacing w:line="276" w:lineRule="auto"/>
      </w:pPr>
      <w:r w:rsidRPr="0021141A">
        <w:rPr>
          <w:rFonts w:ascii="Calibri" w:hAnsi="Calibri" w:cs="Calibri"/>
          <w:color w:val="000000"/>
        </w:rPr>
        <w:t xml:space="preserve">One or </w:t>
      </w:r>
      <w:r w:rsidRPr="00D22CC5">
        <w:rPr>
          <w:rFonts w:ascii="Calibri" w:hAnsi="Calibri" w:cs="Calibri"/>
          <w:color w:val="000000"/>
        </w:rPr>
        <w:t xml:space="preserve">more </w:t>
      </w:r>
      <w:r w:rsidR="00D22CC5" w:rsidRPr="00D22CC5">
        <w:rPr>
          <w:rFonts w:ascii="Calibri" w:hAnsi="Calibri" w:cs="Calibri"/>
          <w:color w:val="000000"/>
        </w:rPr>
        <w:t>M</w:t>
      </w:r>
      <w:r w:rsidRPr="00D22CC5">
        <w:rPr>
          <w:rFonts w:ascii="Calibri" w:hAnsi="Calibri" w:cs="Calibri"/>
          <w:color w:val="000000"/>
        </w:rPr>
        <w:t>embers found</w:t>
      </w:r>
      <w:r w:rsidRPr="0021141A">
        <w:rPr>
          <w:rFonts w:ascii="Calibri" w:hAnsi="Calibri" w:cs="Calibri"/>
          <w:color w:val="000000"/>
        </w:rPr>
        <w:t xml:space="preserve"> value in these items and inquired as to whether such issues could be taken up by the CPUC’s reporting team or through another avenue that would enable data tracking of demographics</w:t>
      </w:r>
      <w:r w:rsidR="0021141A" w:rsidRPr="0021141A">
        <w:rPr>
          <w:rFonts w:ascii="Calibri" w:hAnsi="Calibri" w:cs="Calibri"/>
          <w:color w:val="000000"/>
        </w:rPr>
        <w:t xml:space="preserve"> and/or data systems (two separate topics)</w:t>
      </w:r>
      <w:r w:rsidRPr="0021141A">
        <w:rPr>
          <w:rFonts w:ascii="Calibri" w:hAnsi="Calibri" w:cs="Calibri"/>
          <w:color w:val="000000"/>
        </w:rPr>
        <w:t xml:space="preserve"> to apply to the full energy efficiency portfolio.</w:t>
      </w:r>
    </w:p>
    <w:p w14:paraId="52A1C071" w14:textId="77777777" w:rsidR="009328D9" w:rsidRDefault="009328D9">
      <w:pPr>
        <w:rPr>
          <w:rFonts w:ascii="Calibri" w:hAnsi="Calibri" w:cs="Calibri"/>
        </w:rPr>
      </w:pPr>
    </w:p>
    <w:p w14:paraId="5E3EF216" w14:textId="67D76FBF" w:rsidR="009328D9" w:rsidRDefault="009328D9">
      <w:pPr>
        <w:rPr>
          <w:rFonts w:ascii="Calibri" w:eastAsiaTheme="majorEastAsia" w:hAnsi="Calibri" w:cs="Calibri"/>
          <w:color w:val="2F5496" w:themeColor="accent1" w:themeShade="BF"/>
          <w:sz w:val="32"/>
          <w:szCs w:val="32"/>
        </w:rPr>
      </w:pPr>
      <w:r>
        <w:rPr>
          <w:rFonts w:ascii="Calibri" w:hAnsi="Calibri" w:cs="Calibri"/>
        </w:rPr>
        <w:br w:type="page"/>
      </w:r>
    </w:p>
    <w:p w14:paraId="27E975CC" w14:textId="03FCACA0" w:rsidR="007848A7" w:rsidRDefault="007848A7" w:rsidP="00BD1D99">
      <w:pPr>
        <w:pStyle w:val="Heading1"/>
        <w:spacing w:line="276" w:lineRule="auto"/>
        <w:rPr>
          <w:rFonts w:ascii="Calibri" w:hAnsi="Calibri" w:cs="Calibri"/>
        </w:rPr>
      </w:pPr>
      <w:bookmarkStart w:id="74" w:name="_Toc85613330"/>
      <w:r w:rsidRPr="00BD1D99">
        <w:rPr>
          <w:rFonts w:ascii="Calibri" w:hAnsi="Calibri" w:cs="Calibri"/>
        </w:rPr>
        <w:t>Appendix A: W</w:t>
      </w:r>
      <w:r w:rsidR="00756006" w:rsidRPr="00BD1D99">
        <w:rPr>
          <w:rFonts w:ascii="Calibri" w:hAnsi="Calibri" w:cs="Calibri"/>
        </w:rPr>
        <w:t xml:space="preserve">orking Group </w:t>
      </w:r>
      <w:r w:rsidRPr="00BD1D99">
        <w:rPr>
          <w:rFonts w:ascii="Calibri" w:hAnsi="Calibri" w:cs="Calibri"/>
        </w:rPr>
        <w:t xml:space="preserve">Member Organizations </w:t>
      </w:r>
      <w:r w:rsidR="00263F5B" w:rsidRPr="00BD1D99">
        <w:rPr>
          <w:rFonts w:ascii="Calibri" w:hAnsi="Calibri" w:cs="Calibri"/>
        </w:rPr>
        <w:t>and</w:t>
      </w:r>
      <w:r w:rsidRPr="00BD1D99">
        <w:rPr>
          <w:rFonts w:ascii="Calibri" w:hAnsi="Calibri" w:cs="Calibri"/>
        </w:rPr>
        <w:t xml:space="preserve"> Representatives</w:t>
      </w:r>
      <w:bookmarkEnd w:id="74"/>
    </w:p>
    <w:p w14:paraId="0F7717EC" w14:textId="2DE52FA5" w:rsidR="002C1426" w:rsidRPr="002C1426" w:rsidRDefault="002C1426" w:rsidP="002C1426">
      <w:pPr>
        <w:rPr>
          <w:rFonts w:ascii="Calibri" w:hAnsi="Calibri" w:cs="Calibri"/>
        </w:rPr>
      </w:pPr>
      <w:r w:rsidRPr="002C1426">
        <w:rPr>
          <w:rFonts w:ascii="Calibri" w:hAnsi="Calibri" w:cs="Calibri"/>
        </w:rPr>
        <w:t>Table A.1: EMWG Member Leads and Alternates</w:t>
      </w:r>
    </w:p>
    <w:tbl>
      <w:tblPr>
        <w:tblW w:w="10170" w:type="dxa"/>
        <w:tblInd w:w="-275" w:type="dxa"/>
        <w:tblLook w:val="04A0" w:firstRow="1" w:lastRow="0" w:firstColumn="1" w:lastColumn="0" w:noHBand="0" w:noVBand="1"/>
      </w:tblPr>
      <w:tblGrid>
        <w:gridCol w:w="5760"/>
        <w:gridCol w:w="2520"/>
        <w:gridCol w:w="1890"/>
      </w:tblGrid>
      <w:tr w:rsidR="009A52BF" w:rsidRPr="006504F3" w14:paraId="74D0FE16" w14:textId="77777777" w:rsidTr="006504F3">
        <w:trPr>
          <w:trHeight w:val="320"/>
        </w:trPr>
        <w:tc>
          <w:tcPr>
            <w:tcW w:w="576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74C3219" w14:textId="77777777" w:rsidR="009A52BF" w:rsidRPr="006504F3" w:rsidRDefault="009A52BF" w:rsidP="006504F3">
            <w:pPr>
              <w:spacing w:line="276" w:lineRule="auto"/>
              <w:rPr>
                <w:rFonts w:ascii="Calibri" w:hAnsi="Calibri" w:cs="Calibri"/>
                <w:b/>
                <w:bCs/>
                <w:color w:val="000000"/>
                <w:sz w:val="22"/>
                <w:szCs w:val="22"/>
              </w:rPr>
            </w:pPr>
            <w:r w:rsidRPr="006504F3">
              <w:rPr>
                <w:rFonts w:ascii="Calibri" w:hAnsi="Calibri" w:cs="Calibri"/>
                <w:b/>
                <w:bCs/>
                <w:color w:val="000000"/>
                <w:sz w:val="22"/>
                <w:szCs w:val="22"/>
              </w:rPr>
              <w:t>Organization</w:t>
            </w:r>
          </w:p>
        </w:tc>
        <w:tc>
          <w:tcPr>
            <w:tcW w:w="2520" w:type="dxa"/>
            <w:tcBorders>
              <w:top w:val="single" w:sz="4" w:space="0" w:color="auto"/>
              <w:left w:val="nil"/>
              <w:bottom w:val="single" w:sz="4" w:space="0" w:color="auto"/>
              <w:right w:val="single" w:sz="4" w:space="0" w:color="auto"/>
            </w:tcBorders>
            <w:shd w:val="clear" w:color="000000" w:fill="A6A6A6"/>
            <w:noWrap/>
            <w:vAlign w:val="center"/>
            <w:hideMark/>
          </w:tcPr>
          <w:p w14:paraId="712AE815" w14:textId="77777777" w:rsidR="009A52BF" w:rsidRPr="006504F3" w:rsidRDefault="009A52BF" w:rsidP="006504F3">
            <w:pPr>
              <w:spacing w:line="276" w:lineRule="auto"/>
              <w:rPr>
                <w:rFonts w:ascii="Calibri" w:hAnsi="Calibri" w:cs="Calibri"/>
                <w:b/>
                <w:bCs/>
                <w:color w:val="000000"/>
                <w:sz w:val="22"/>
                <w:szCs w:val="22"/>
              </w:rPr>
            </w:pPr>
            <w:r w:rsidRPr="006504F3">
              <w:rPr>
                <w:rFonts w:ascii="Calibri" w:hAnsi="Calibri" w:cs="Calibri"/>
                <w:b/>
                <w:bCs/>
                <w:color w:val="000000"/>
                <w:sz w:val="22"/>
                <w:szCs w:val="22"/>
              </w:rPr>
              <w:t xml:space="preserve">Lead </w:t>
            </w:r>
          </w:p>
        </w:tc>
        <w:tc>
          <w:tcPr>
            <w:tcW w:w="1890" w:type="dxa"/>
            <w:tcBorders>
              <w:top w:val="single" w:sz="4" w:space="0" w:color="auto"/>
              <w:left w:val="nil"/>
              <w:bottom w:val="single" w:sz="4" w:space="0" w:color="auto"/>
              <w:right w:val="single" w:sz="4" w:space="0" w:color="auto"/>
            </w:tcBorders>
            <w:shd w:val="clear" w:color="000000" w:fill="A6A6A6"/>
            <w:noWrap/>
            <w:vAlign w:val="center"/>
            <w:hideMark/>
          </w:tcPr>
          <w:p w14:paraId="16166943" w14:textId="77777777" w:rsidR="009A52BF" w:rsidRPr="006504F3" w:rsidRDefault="009A52BF" w:rsidP="006504F3">
            <w:pPr>
              <w:spacing w:line="276" w:lineRule="auto"/>
              <w:rPr>
                <w:rFonts w:ascii="Calibri" w:hAnsi="Calibri" w:cs="Calibri"/>
                <w:b/>
                <w:bCs/>
                <w:color w:val="000000"/>
                <w:sz w:val="22"/>
                <w:szCs w:val="22"/>
              </w:rPr>
            </w:pPr>
            <w:r w:rsidRPr="006504F3">
              <w:rPr>
                <w:rFonts w:ascii="Calibri" w:hAnsi="Calibri" w:cs="Calibri"/>
                <w:b/>
                <w:bCs/>
                <w:color w:val="000000"/>
                <w:sz w:val="22"/>
                <w:szCs w:val="22"/>
              </w:rPr>
              <w:t>Alternate</w:t>
            </w:r>
          </w:p>
        </w:tc>
      </w:tr>
      <w:tr w:rsidR="009A52BF" w:rsidRPr="006504F3" w14:paraId="2DFEA06D"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10B08E87"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Bay Area Regional Energy Network (BayREN)</w:t>
            </w:r>
          </w:p>
        </w:tc>
        <w:tc>
          <w:tcPr>
            <w:tcW w:w="2520" w:type="dxa"/>
            <w:tcBorders>
              <w:top w:val="nil"/>
              <w:left w:val="nil"/>
              <w:bottom w:val="single" w:sz="4" w:space="0" w:color="auto"/>
              <w:right w:val="single" w:sz="4" w:space="0" w:color="auto"/>
            </w:tcBorders>
            <w:shd w:val="clear" w:color="auto" w:fill="auto"/>
            <w:vAlign w:val="center"/>
            <w:hideMark/>
          </w:tcPr>
          <w:p w14:paraId="60588052"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Jennifer Mitchell-Jackson</w:t>
            </w:r>
          </w:p>
        </w:tc>
        <w:tc>
          <w:tcPr>
            <w:tcW w:w="1890" w:type="dxa"/>
            <w:tcBorders>
              <w:top w:val="nil"/>
              <w:left w:val="nil"/>
              <w:bottom w:val="single" w:sz="4" w:space="0" w:color="auto"/>
              <w:right w:val="single" w:sz="4" w:space="0" w:color="auto"/>
            </w:tcBorders>
            <w:shd w:val="clear" w:color="auto" w:fill="auto"/>
            <w:vAlign w:val="center"/>
            <w:hideMark/>
          </w:tcPr>
          <w:p w14:paraId="3E3FBB3B"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Jenny Berg</w:t>
            </w:r>
          </w:p>
        </w:tc>
      </w:tr>
      <w:tr w:rsidR="009A52BF" w:rsidRPr="006504F3" w14:paraId="68B30095"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1C5D2ED8"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California Efficiency + Demand Management Council (CEDMC)</w:t>
            </w:r>
          </w:p>
        </w:tc>
        <w:tc>
          <w:tcPr>
            <w:tcW w:w="2520" w:type="dxa"/>
            <w:tcBorders>
              <w:top w:val="nil"/>
              <w:left w:val="nil"/>
              <w:bottom w:val="single" w:sz="4" w:space="0" w:color="auto"/>
              <w:right w:val="single" w:sz="4" w:space="0" w:color="auto"/>
            </w:tcBorders>
            <w:shd w:val="clear" w:color="auto" w:fill="auto"/>
            <w:vAlign w:val="center"/>
            <w:hideMark/>
          </w:tcPr>
          <w:p w14:paraId="3DDAE59E"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Serj Berelson</w:t>
            </w:r>
          </w:p>
        </w:tc>
        <w:tc>
          <w:tcPr>
            <w:tcW w:w="1890" w:type="dxa"/>
            <w:tcBorders>
              <w:top w:val="nil"/>
              <w:left w:val="nil"/>
              <w:bottom w:val="single" w:sz="4" w:space="0" w:color="auto"/>
              <w:right w:val="single" w:sz="4" w:space="0" w:color="auto"/>
            </w:tcBorders>
            <w:shd w:val="clear" w:color="auto" w:fill="auto"/>
            <w:vAlign w:val="center"/>
            <w:hideMark/>
          </w:tcPr>
          <w:p w14:paraId="11A7AD60"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Greg Wikler</w:t>
            </w:r>
          </w:p>
        </w:tc>
      </w:tr>
      <w:tr w:rsidR="009A52BF" w:rsidRPr="006504F3" w14:paraId="15786C0C"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362A43A0"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Center for Sustainable Energy (CSE)</w:t>
            </w:r>
          </w:p>
        </w:tc>
        <w:tc>
          <w:tcPr>
            <w:tcW w:w="2520" w:type="dxa"/>
            <w:tcBorders>
              <w:top w:val="nil"/>
              <w:left w:val="nil"/>
              <w:bottom w:val="single" w:sz="4" w:space="0" w:color="auto"/>
              <w:right w:val="single" w:sz="4" w:space="0" w:color="auto"/>
            </w:tcBorders>
            <w:shd w:val="clear" w:color="auto" w:fill="auto"/>
            <w:vAlign w:val="center"/>
            <w:hideMark/>
          </w:tcPr>
          <w:p w14:paraId="0E710F65"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Stephen Gunther</w:t>
            </w:r>
          </w:p>
        </w:tc>
        <w:tc>
          <w:tcPr>
            <w:tcW w:w="1890" w:type="dxa"/>
            <w:tcBorders>
              <w:top w:val="nil"/>
              <w:left w:val="nil"/>
              <w:bottom w:val="single" w:sz="4" w:space="0" w:color="auto"/>
              <w:right w:val="single" w:sz="4" w:space="0" w:color="auto"/>
            </w:tcBorders>
            <w:shd w:val="clear" w:color="auto" w:fill="auto"/>
            <w:vAlign w:val="center"/>
            <w:hideMark/>
          </w:tcPr>
          <w:p w14:paraId="226846FF"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 xml:space="preserve">Fabi Lao </w:t>
            </w:r>
          </w:p>
        </w:tc>
      </w:tr>
      <w:tr w:rsidR="009A52BF" w:rsidRPr="006504F3" w14:paraId="4047B1AD"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47D5BFCE"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CodeCycle</w:t>
            </w:r>
          </w:p>
        </w:tc>
        <w:tc>
          <w:tcPr>
            <w:tcW w:w="2520" w:type="dxa"/>
            <w:tcBorders>
              <w:top w:val="nil"/>
              <w:left w:val="nil"/>
              <w:bottom w:val="single" w:sz="4" w:space="0" w:color="auto"/>
              <w:right w:val="single" w:sz="4" w:space="0" w:color="auto"/>
            </w:tcBorders>
            <w:shd w:val="clear" w:color="auto" w:fill="auto"/>
            <w:vAlign w:val="center"/>
            <w:hideMark/>
          </w:tcPr>
          <w:p w14:paraId="6E2C2B8F"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Dan Suyeyasu</w:t>
            </w:r>
          </w:p>
        </w:tc>
        <w:tc>
          <w:tcPr>
            <w:tcW w:w="1890" w:type="dxa"/>
            <w:tcBorders>
              <w:top w:val="nil"/>
              <w:left w:val="nil"/>
              <w:bottom w:val="single" w:sz="4" w:space="0" w:color="auto"/>
              <w:right w:val="single" w:sz="4" w:space="0" w:color="auto"/>
            </w:tcBorders>
            <w:shd w:val="clear" w:color="auto" w:fill="auto"/>
            <w:vAlign w:val="center"/>
            <w:hideMark/>
          </w:tcPr>
          <w:p w14:paraId="2F8FF21B"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 </w:t>
            </w:r>
          </w:p>
        </w:tc>
      </w:tr>
      <w:tr w:rsidR="009A52BF" w:rsidRPr="006504F3" w14:paraId="1D8A16CA"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45608F2F"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Energy Efficiency Council (EEC)</w:t>
            </w:r>
          </w:p>
        </w:tc>
        <w:tc>
          <w:tcPr>
            <w:tcW w:w="2520" w:type="dxa"/>
            <w:tcBorders>
              <w:top w:val="nil"/>
              <w:left w:val="nil"/>
              <w:bottom w:val="single" w:sz="4" w:space="0" w:color="auto"/>
              <w:right w:val="single" w:sz="4" w:space="0" w:color="auto"/>
            </w:tcBorders>
            <w:shd w:val="clear" w:color="auto" w:fill="auto"/>
            <w:vAlign w:val="center"/>
            <w:hideMark/>
          </w:tcPr>
          <w:p w14:paraId="2461D19F"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Allan Rago</w:t>
            </w:r>
          </w:p>
        </w:tc>
        <w:tc>
          <w:tcPr>
            <w:tcW w:w="1890" w:type="dxa"/>
            <w:tcBorders>
              <w:top w:val="nil"/>
              <w:left w:val="nil"/>
              <w:bottom w:val="single" w:sz="4" w:space="0" w:color="auto"/>
              <w:right w:val="single" w:sz="4" w:space="0" w:color="auto"/>
            </w:tcBorders>
            <w:shd w:val="clear" w:color="auto" w:fill="auto"/>
            <w:vAlign w:val="center"/>
            <w:hideMark/>
          </w:tcPr>
          <w:p w14:paraId="57B3888B"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Ron Garcia</w:t>
            </w:r>
          </w:p>
        </w:tc>
      </w:tr>
      <w:tr w:rsidR="009A52BF" w:rsidRPr="006504F3" w14:paraId="7A92311F"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5598F223"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High Sierra Energy Foundation</w:t>
            </w:r>
          </w:p>
        </w:tc>
        <w:tc>
          <w:tcPr>
            <w:tcW w:w="2520" w:type="dxa"/>
            <w:tcBorders>
              <w:top w:val="nil"/>
              <w:left w:val="nil"/>
              <w:bottom w:val="single" w:sz="4" w:space="0" w:color="auto"/>
              <w:right w:val="single" w:sz="4" w:space="0" w:color="auto"/>
            </w:tcBorders>
            <w:shd w:val="clear" w:color="auto" w:fill="auto"/>
            <w:vAlign w:val="center"/>
            <w:hideMark/>
          </w:tcPr>
          <w:p w14:paraId="678E0FBD"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Pam Bold</w:t>
            </w:r>
          </w:p>
        </w:tc>
        <w:tc>
          <w:tcPr>
            <w:tcW w:w="1890" w:type="dxa"/>
            <w:tcBorders>
              <w:top w:val="nil"/>
              <w:left w:val="nil"/>
              <w:bottom w:val="single" w:sz="4" w:space="0" w:color="auto"/>
              <w:right w:val="single" w:sz="4" w:space="0" w:color="auto"/>
            </w:tcBorders>
            <w:shd w:val="clear" w:color="auto" w:fill="auto"/>
            <w:vAlign w:val="center"/>
            <w:hideMark/>
          </w:tcPr>
          <w:p w14:paraId="4FFEBC7F"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 </w:t>
            </w:r>
          </w:p>
        </w:tc>
      </w:tr>
      <w:tr w:rsidR="009A52BF" w:rsidRPr="006504F3" w14:paraId="44CEC34C"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55735C0F"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MCE</w:t>
            </w:r>
          </w:p>
        </w:tc>
        <w:tc>
          <w:tcPr>
            <w:tcW w:w="2520" w:type="dxa"/>
            <w:tcBorders>
              <w:top w:val="nil"/>
              <w:left w:val="nil"/>
              <w:bottom w:val="single" w:sz="4" w:space="0" w:color="auto"/>
              <w:right w:val="single" w:sz="4" w:space="0" w:color="auto"/>
            </w:tcBorders>
            <w:shd w:val="clear" w:color="auto" w:fill="auto"/>
            <w:vAlign w:val="center"/>
            <w:hideMark/>
          </w:tcPr>
          <w:p w14:paraId="459F9792"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Stephanie Chen</w:t>
            </w:r>
          </w:p>
        </w:tc>
        <w:tc>
          <w:tcPr>
            <w:tcW w:w="1890" w:type="dxa"/>
            <w:tcBorders>
              <w:top w:val="nil"/>
              <w:left w:val="nil"/>
              <w:bottom w:val="single" w:sz="4" w:space="0" w:color="auto"/>
              <w:right w:val="single" w:sz="4" w:space="0" w:color="auto"/>
            </w:tcBorders>
            <w:shd w:val="clear" w:color="auto" w:fill="auto"/>
            <w:vAlign w:val="center"/>
            <w:hideMark/>
          </w:tcPr>
          <w:p w14:paraId="16869A01"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Qua Vallery</w:t>
            </w:r>
          </w:p>
        </w:tc>
      </w:tr>
      <w:tr w:rsidR="009A52BF" w:rsidRPr="006504F3" w14:paraId="1BEC522A"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4B271785" w14:textId="061A0FE8"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Natural Resources Defen</w:t>
            </w:r>
            <w:r w:rsidR="00F66F69" w:rsidRPr="006504F3">
              <w:rPr>
                <w:rFonts w:ascii="Calibri" w:hAnsi="Calibri" w:cs="Calibri"/>
                <w:color w:val="000000"/>
                <w:sz w:val="22"/>
                <w:szCs w:val="22"/>
              </w:rPr>
              <w:t>s</w:t>
            </w:r>
            <w:r w:rsidRPr="006504F3">
              <w:rPr>
                <w:rFonts w:ascii="Calibri" w:hAnsi="Calibri" w:cs="Calibri"/>
                <w:color w:val="000000"/>
                <w:sz w:val="22"/>
                <w:szCs w:val="22"/>
              </w:rPr>
              <w:t>e Council (NRDC)</w:t>
            </w:r>
          </w:p>
        </w:tc>
        <w:tc>
          <w:tcPr>
            <w:tcW w:w="2520" w:type="dxa"/>
            <w:tcBorders>
              <w:top w:val="nil"/>
              <w:left w:val="nil"/>
              <w:bottom w:val="single" w:sz="4" w:space="0" w:color="auto"/>
              <w:right w:val="single" w:sz="4" w:space="0" w:color="auto"/>
            </w:tcBorders>
            <w:shd w:val="clear" w:color="auto" w:fill="auto"/>
            <w:vAlign w:val="center"/>
            <w:hideMark/>
          </w:tcPr>
          <w:p w14:paraId="35BE2C26"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Julia de Lamare </w:t>
            </w:r>
          </w:p>
        </w:tc>
        <w:tc>
          <w:tcPr>
            <w:tcW w:w="1890" w:type="dxa"/>
            <w:tcBorders>
              <w:top w:val="nil"/>
              <w:left w:val="nil"/>
              <w:bottom w:val="single" w:sz="4" w:space="0" w:color="auto"/>
              <w:right w:val="single" w:sz="4" w:space="0" w:color="auto"/>
            </w:tcBorders>
            <w:shd w:val="clear" w:color="auto" w:fill="auto"/>
            <w:vAlign w:val="center"/>
            <w:hideMark/>
          </w:tcPr>
          <w:p w14:paraId="5BB077AF"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Lara Ettenson</w:t>
            </w:r>
          </w:p>
        </w:tc>
      </w:tr>
      <w:tr w:rsidR="009A52BF" w:rsidRPr="006504F3" w14:paraId="3D7709B0"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5418C3B6"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Pacific Gas and Electric (PG&amp;E)</w:t>
            </w:r>
          </w:p>
        </w:tc>
        <w:tc>
          <w:tcPr>
            <w:tcW w:w="2520" w:type="dxa"/>
            <w:tcBorders>
              <w:top w:val="nil"/>
              <w:left w:val="nil"/>
              <w:bottom w:val="single" w:sz="4" w:space="0" w:color="auto"/>
              <w:right w:val="single" w:sz="4" w:space="0" w:color="auto"/>
            </w:tcBorders>
            <w:shd w:val="clear" w:color="auto" w:fill="auto"/>
            <w:vAlign w:val="center"/>
            <w:hideMark/>
          </w:tcPr>
          <w:p w14:paraId="55190EA2"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Lucy Morris</w:t>
            </w:r>
          </w:p>
        </w:tc>
        <w:tc>
          <w:tcPr>
            <w:tcW w:w="1890" w:type="dxa"/>
            <w:tcBorders>
              <w:top w:val="nil"/>
              <w:left w:val="nil"/>
              <w:bottom w:val="single" w:sz="4" w:space="0" w:color="auto"/>
              <w:right w:val="single" w:sz="4" w:space="0" w:color="auto"/>
            </w:tcBorders>
            <w:shd w:val="clear" w:color="auto" w:fill="auto"/>
            <w:vAlign w:val="center"/>
            <w:hideMark/>
          </w:tcPr>
          <w:p w14:paraId="3D533DCF"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 </w:t>
            </w:r>
          </w:p>
        </w:tc>
      </w:tr>
      <w:tr w:rsidR="009A52BF" w:rsidRPr="006504F3" w14:paraId="3AD066FB"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1ABB7676"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Public Advocates Office (Cal Advocates)</w:t>
            </w:r>
          </w:p>
        </w:tc>
        <w:tc>
          <w:tcPr>
            <w:tcW w:w="2520" w:type="dxa"/>
            <w:tcBorders>
              <w:top w:val="nil"/>
              <w:left w:val="nil"/>
              <w:bottom w:val="single" w:sz="4" w:space="0" w:color="auto"/>
              <w:right w:val="single" w:sz="4" w:space="0" w:color="auto"/>
            </w:tcBorders>
            <w:shd w:val="clear" w:color="auto" w:fill="auto"/>
            <w:vAlign w:val="center"/>
            <w:hideMark/>
          </w:tcPr>
          <w:p w14:paraId="24BC5852"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Dan Buch</w:t>
            </w:r>
          </w:p>
        </w:tc>
        <w:tc>
          <w:tcPr>
            <w:tcW w:w="1890" w:type="dxa"/>
            <w:tcBorders>
              <w:top w:val="nil"/>
              <w:left w:val="nil"/>
              <w:bottom w:val="single" w:sz="4" w:space="0" w:color="auto"/>
              <w:right w:val="single" w:sz="4" w:space="0" w:color="auto"/>
            </w:tcBorders>
            <w:shd w:val="clear" w:color="auto" w:fill="auto"/>
            <w:vAlign w:val="center"/>
            <w:hideMark/>
          </w:tcPr>
          <w:p w14:paraId="68951841"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Augie Clements</w:t>
            </w:r>
          </w:p>
        </w:tc>
      </w:tr>
      <w:tr w:rsidR="009A52BF" w:rsidRPr="006504F3" w14:paraId="1E250245"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680B7E34"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Redwood Coast Energy Authority (RCEA)</w:t>
            </w:r>
          </w:p>
        </w:tc>
        <w:tc>
          <w:tcPr>
            <w:tcW w:w="2520" w:type="dxa"/>
            <w:tcBorders>
              <w:top w:val="nil"/>
              <w:left w:val="nil"/>
              <w:bottom w:val="single" w:sz="4" w:space="0" w:color="auto"/>
              <w:right w:val="single" w:sz="4" w:space="0" w:color="auto"/>
            </w:tcBorders>
            <w:shd w:val="clear" w:color="auto" w:fill="auto"/>
            <w:vAlign w:val="center"/>
            <w:hideMark/>
          </w:tcPr>
          <w:p w14:paraId="1BF5749F"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 xml:space="preserve">Aisha Cissna </w:t>
            </w:r>
          </w:p>
        </w:tc>
        <w:tc>
          <w:tcPr>
            <w:tcW w:w="1890" w:type="dxa"/>
            <w:tcBorders>
              <w:top w:val="nil"/>
              <w:left w:val="nil"/>
              <w:bottom w:val="single" w:sz="4" w:space="0" w:color="auto"/>
              <w:right w:val="single" w:sz="4" w:space="0" w:color="auto"/>
            </w:tcBorders>
            <w:shd w:val="clear" w:color="auto" w:fill="auto"/>
            <w:vAlign w:val="center"/>
            <w:hideMark/>
          </w:tcPr>
          <w:p w14:paraId="3287C889"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Stephen Kullmann</w:t>
            </w:r>
          </w:p>
        </w:tc>
      </w:tr>
      <w:tr w:rsidR="005D304D" w:rsidRPr="006504F3" w14:paraId="1177A6F5"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tcPr>
          <w:p w14:paraId="0EBC872D" w14:textId="618DA421" w:rsidR="005D304D" w:rsidRPr="006504F3" w:rsidRDefault="005D304D" w:rsidP="006504F3">
            <w:pPr>
              <w:spacing w:line="276" w:lineRule="auto"/>
              <w:rPr>
                <w:rFonts w:ascii="Calibri" w:hAnsi="Calibri" w:cs="Calibri"/>
                <w:color w:val="000000"/>
                <w:sz w:val="22"/>
                <w:szCs w:val="22"/>
              </w:rPr>
            </w:pPr>
            <w:r w:rsidRPr="006504F3">
              <w:rPr>
                <w:rFonts w:ascii="Calibri" w:hAnsi="Calibri" w:cs="Calibri"/>
                <w:color w:val="000000"/>
                <w:sz w:val="22"/>
                <w:szCs w:val="22"/>
              </w:rPr>
              <w:t>Resource Innovations</w:t>
            </w:r>
          </w:p>
        </w:tc>
        <w:tc>
          <w:tcPr>
            <w:tcW w:w="2520" w:type="dxa"/>
            <w:tcBorders>
              <w:top w:val="nil"/>
              <w:left w:val="nil"/>
              <w:bottom w:val="single" w:sz="4" w:space="0" w:color="auto"/>
              <w:right w:val="single" w:sz="4" w:space="0" w:color="auto"/>
            </w:tcBorders>
            <w:shd w:val="clear" w:color="auto" w:fill="auto"/>
            <w:vAlign w:val="center"/>
          </w:tcPr>
          <w:p w14:paraId="719A898F" w14:textId="0ADE7CCC" w:rsidR="005D304D" w:rsidRPr="006504F3" w:rsidRDefault="005D304D" w:rsidP="006504F3">
            <w:pPr>
              <w:spacing w:line="276" w:lineRule="auto"/>
              <w:rPr>
                <w:rFonts w:ascii="Calibri" w:hAnsi="Calibri" w:cs="Calibri"/>
                <w:color w:val="000000"/>
                <w:sz w:val="22"/>
                <w:szCs w:val="22"/>
              </w:rPr>
            </w:pPr>
            <w:r w:rsidRPr="006504F3">
              <w:rPr>
                <w:rFonts w:ascii="Calibri" w:hAnsi="Calibri" w:cs="Calibri"/>
                <w:color w:val="000000"/>
                <w:sz w:val="22"/>
                <w:szCs w:val="22"/>
              </w:rPr>
              <w:t>Corey Grace</w:t>
            </w:r>
          </w:p>
        </w:tc>
        <w:tc>
          <w:tcPr>
            <w:tcW w:w="1890" w:type="dxa"/>
            <w:tcBorders>
              <w:top w:val="nil"/>
              <w:left w:val="nil"/>
              <w:bottom w:val="single" w:sz="4" w:space="0" w:color="auto"/>
              <w:right w:val="single" w:sz="4" w:space="0" w:color="auto"/>
            </w:tcBorders>
            <w:shd w:val="clear" w:color="auto" w:fill="auto"/>
            <w:vAlign w:val="center"/>
          </w:tcPr>
          <w:p w14:paraId="509C2657" w14:textId="4EAF06D7" w:rsidR="005D304D" w:rsidRPr="006504F3" w:rsidRDefault="005D304D" w:rsidP="006504F3">
            <w:pPr>
              <w:spacing w:line="276" w:lineRule="auto"/>
              <w:rPr>
                <w:rFonts w:ascii="Calibri" w:hAnsi="Calibri" w:cs="Calibri"/>
                <w:color w:val="000000"/>
                <w:sz w:val="22"/>
                <w:szCs w:val="22"/>
              </w:rPr>
            </w:pPr>
            <w:r w:rsidRPr="006504F3">
              <w:rPr>
                <w:rFonts w:ascii="Calibri" w:hAnsi="Calibri" w:cs="Calibri"/>
                <w:color w:val="000000"/>
                <w:sz w:val="22"/>
                <w:szCs w:val="22"/>
              </w:rPr>
              <w:t>Bobby Johnson</w:t>
            </w:r>
          </w:p>
        </w:tc>
      </w:tr>
      <w:tr w:rsidR="009A52BF" w:rsidRPr="006504F3" w14:paraId="3B5C78E5"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0CD4C405"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Rising Sun Center for Opportunity</w:t>
            </w:r>
          </w:p>
        </w:tc>
        <w:tc>
          <w:tcPr>
            <w:tcW w:w="2520" w:type="dxa"/>
            <w:tcBorders>
              <w:top w:val="nil"/>
              <w:left w:val="nil"/>
              <w:bottom w:val="single" w:sz="4" w:space="0" w:color="auto"/>
              <w:right w:val="single" w:sz="4" w:space="0" w:color="auto"/>
            </w:tcBorders>
            <w:shd w:val="clear" w:color="auto" w:fill="auto"/>
            <w:vAlign w:val="center"/>
            <w:hideMark/>
          </w:tcPr>
          <w:p w14:paraId="5970BB12"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 xml:space="preserve">Alejandro Castelan </w:t>
            </w:r>
          </w:p>
        </w:tc>
        <w:tc>
          <w:tcPr>
            <w:tcW w:w="1890" w:type="dxa"/>
            <w:tcBorders>
              <w:top w:val="nil"/>
              <w:left w:val="nil"/>
              <w:bottom w:val="single" w:sz="4" w:space="0" w:color="auto"/>
              <w:right w:val="single" w:sz="4" w:space="0" w:color="auto"/>
            </w:tcBorders>
            <w:shd w:val="clear" w:color="auto" w:fill="auto"/>
            <w:vAlign w:val="center"/>
            <w:hideMark/>
          </w:tcPr>
          <w:p w14:paraId="54C597C6"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Julia Hatton</w:t>
            </w:r>
          </w:p>
        </w:tc>
      </w:tr>
      <w:tr w:rsidR="005D304D" w:rsidRPr="006504F3" w14:paraId="31F24E29"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tcPr>
          <w:p w14:paraId="21BDAB52" w14:textId="5965BC2A" w:rsidR="005D304D" w:rsidRPr="006504F3" w:rsidRDefault="005D304D" w:rsidP="006504F3">
            <w:pPr>
              <w:spacing w:line="276" w:lineRule="auto"/>
              <w:rPr>
                <w:rFonts w:ascii="Calibri" w:hAnsi="Calibri" w:cs="Calibri"/>
                <w:color w:val="000000"/>
                <w:sz w:val="22"/>
                <w:szCs w:val="22"/>
              </w:rPr>
            </w:pPr>
            <w:r w:rsidRPr="006504F3">
              <w:rPr>
                <w:rFonts w:ascii="Calibri" w:hAnsi="Calibri" w:cs="Calibri"/>
                <w:color w:val="000000"/>
                <w:sz w:val="22"/>
                <w:szCs w:val="22"/>
              </w:rPr>
              <w:t>San Diego Gas and Electric (SDGE)</w:t>
            </w:r>
          </w:p>
        </w:tc>
        <w:tc>
          <w:tcPr>
            <w:tcW w:w="2520" w:type="dxa"/>
            <w:tcBorders>
              <w:top w:val="nil"/>
              <w:left w:val="nil"/>
              <w:bottom w:val="single" w:sz="4" w:space="0" w:color="auto"/>
              <w:right w:val="single" w:sz="4" w:space="0" w:color="auto"/>
            </w:tcBorders>
            <w:shd w:val="clear" w:color="auto" w:fill="auto"/>
            <w:vAlign w:val="center"/>
          </w:tcPr>
          <w:p w14:paraId="046225EF" w14:textId="79767A68" w:rsidR="005D304D" w:rsidRPr="006504F3" w:rsidRDefault="005D304D" w:rsidP="006504F3">
            <w:pPr>
              <w:spacing w:line="276" w:lineRule="auto"/>
              <w:rPr>
                <w:rFonts w:ascii="Calibri" w:hAnsi="Calibri" w:cs="Calibri"/>
                <w:color w:val="000000"/>
                <w:sz w:val="22"/>
                <w:szCs w:val="22"/>
              </w:rPr>
            </w:pPr>
            <w:r w:rsidRPr="006504F3">
              <w:rPr>
                <w:rFonts w:ascii="Calibri" w:hAnsi="Calibri" w:cs="Calibri"/>
                <w:color w:val="000000"/>
                <w:sz w:val="22"/>
                <w:szCs w:val="22"/>
              </w:rPr>
              <w:t>Elaine Allyn</w:t>
            </w:r>
          </w:p>
        </w:tc>
        <w:tc>
          <w:tcPr>
            <w:tcW w:w="1890" w:type="dxa"/>
            <w:tcBorders>
              <w:top w:val="nil"/>
              <w:left w:val="nil"/>
              <w:bottom w:val="single" w:sz="4" w:space="0" w:color="auto"/>
              <w:right w:val="single" w:sz="4" w:space="0" w:color="auto"/>
            </w:tcBorders>
            <w:shd w:val="clear" w:color="auto" w:fill="auto"/>
            <w:vAlign w:val="center"/>
          </w:tcPr>
          <w:p w14:paraId="4455FDB1" w14:textId="03A8CA09" w:rsidR="005D304D" w:rsidRPr="006504F3" w:rsidRDefault="005D304D" w:rsidP="006504F3">
            <w:pPr>
              <w:spacing w:line="276" w:lineRule="auto"/>
              <w:rPr>
                <w:rFonts w:ascii="Calibri" w:hAnsi="Calibri" w:cs="Calibri"/>
                <w:color w:val="000000"/>
                <w:sz w:val="22"/>
                <w:szCs w:val="22"/>
              </w:rPr>
            </w:pPr>
            <w:r w:rsidRPr="006504F3">
              <w:rPr>
                <w:rFonts w:ascii="Calibri" w:hAnsi="Calibri" w:cs="Calibri"/>
                <w:color w:val="000000"/>
                <w:sz w:val="22"/>
                <w:szCs w:val="22"/>
              </w:rPr>
              <w:t>DeDe Henry</w:t>
            </w:r>
          </w:p>
        </w:tc>
      </w:tr>
      <w:tr w:rsidR="009A52BF" w:rsidRPr="006504F3" w14:paraId="0B1D775A"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6596CD98"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San Joaquin Valley Clean Energy Organization (SJVCEO)</w:t>
            </w:r>
          </w:p>
        </w:tc>
        <w:tc>
          <w:tcPr>
            <w:tcW w:w="2520" w:type="dxa"/>
            <w:tcBorders>
              <w:top w:val="nil"/>
              <w:left w:val="nil"/>
              <w:bottom w:val="single" w:sz="4" w:space="0" w:color="auto"/>
              <w:right w:val="single" w:sz="4" w:space="0" w:color="auto"/>
            </w:tcBorders>
            <w:shd w:val="clear" w:color="auto" w:fill="auto"/>
            <w:vAlign w:val="center"/>
            <w:hideMark/>
          </w:tcPr>
          <w:p w14:paraId="655A2957"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Courtney Kalashian</w:t>
            </w:r>
          </w:p>
        </w:tc>
        <w:tc>
          <w:tcPr>
            <w:tcW w:w="1890" w:type="dxa"/>
            <w:tcBorders>
              <w:top w:val="nil"/>
              <w:left w:val="nil"/>
              <w:bottom w:val="single" w:sz="4" w:space="0" w:color="auto"/>
              <w:right w:val="single" w:sz="4" w:space="0" w:color="auto"/>
            </w:tcBorders>
            <w:shd w:val="clear" w:color="auto" w:fill="auto"/>
            <w:vAlign w:val="center"/>
            <w:hideMark/>
          </w:tcPr>
          <w:p w14:paraId="4EF0E8BD"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Samantha Dodero</w:t>
            </w:r>
          </w:p>
        </w:tc>
      </w:tr>
      <w:tr w:rsidR="009A52BF" w:rsidRPr="006504F3" w14:paraId="64272564"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375CBDF3"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Silent Running LLC</w:t>
            </w:r>
          </w:p>
        </w:tc>
        <w:tc>
          <w:tcPr>
            <w:tcW w:w="2520" w:type="dxa"/>
            <w:tcBorders>
              <w:top w:val="nil"/>
              <w:left w:val="nil"/>
              <w:bottom w:val="single" w:sz="4" w:space="0" w:color="auto"/>
              <w:right w:val="single" w:sz="4" w:space="0" w:color="auto"/>
            </w:tcBorders>
            <w:shd w:val="clear" w:color="auto" w:fill="auto"/>
            <w:vAlign w:val="center"/>
            <w:hideMark/>
          </w:tcPr>
          <w:p w14:paraId="7BEFEE9D"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James Dodenhoff</w:t>
            </w:r>
          </w:p>
        </w:tc>
        <w:tc>
          <w:tcPr>
            <w:tcW w:w="1890" w:type="dxa"/>
            <w:tcBorders>
              <w:top w:val="nil"/>
              <w:left w:val="nil"/>
              <w:bottom w:val="single" w:sz="4" w:space="0" w:color="auto"/>
              <w:right w:val="single" w:sz="4" w:space="0" w:color="auto"/>
            </w:tcBorders>
            <w:shd w:val="clear" w:color="auto" w:fill="auto"/>
            <w:vAlign w:val="center"/>
            <w:hideMark/>
          </w:tcPr>
          <w:p w14:paraId="3EA1E6FC"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 </w:t>
            </w:r>
          </w:p>
        </w:tc>
      </w:tr>
      <w:tr w:rsidR="009A52BF" w:rsidRPr="006504F3" w14:paraId="7A604200"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4CD250FB"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Small Business Utility Advocates (SBUA)</w:t>
            </w:r>
          </w:p>
        </w:tc>
        <w:tc>
          <w:tcPr>
            <w:tcW w:w="2520" w:type="dxa"/>
            <w:tcBorders>
              <w:top w:val="nil"/>
              <w:left w:val="nil"/>
              <w:bottom w:val="single" w:sz="4" w:space="0" w:color="auto"/>
              <w:right w:val="single" w:sz="4" w:space="0" w:color="auto"/>
            </w:tcBorders>
            <w:shd w:val="clear" w:color="auto" w:fill="auto"/>
            <w:vAlign w:val="center"/>
            <w:hideMark/>
          </w:tcPr>
          <w:p w14:paraId="3B799D5A"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 xml:space="preserve">Ted Howard </w:t>
            </w:r>
          </w:p>
        </w:tc>
        <w:tc>
          <w:tcPr>
            <w:tcW w:w="1890" w:type="dxa"/>
            <w:tcBorders>
              <w:top w:val="nil"/>
              <w:left w:val="nil"/>
              <w:bottom w:val="single" w:sz="4" w:space="0" w:color="auto"/>
              <w:right w:val="single" w:sz="4" w:space="0" w:color="auto"/>
            </w:tcBorders>
            <w:shd w:val="clear" w:color="auto" w:fill="auto"/>
            <w:vAlign w:val="center"/>
            <w:hideMark/>
          </w:tcPr>
          <w:p w14:paraId="43965C50"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Theo Love</w:t>
            </w:r>
          </w:p>
        </w:tc>
      </w:tr>
      <w:tr w:rsidR="009A52BF" w:rsidRPr="006504F3" w14:paraId="493899A4"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59D0EB24"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Southern California Edison (SCE)</w:t>
            </w:r>
          </w:p>
        </w:tc>
        <w:tc>
          <w:tcPr>
            <w:tcW w:w="2520" w:type="dxa"/>
            <w:tcBorders>
              <w:top w:val="nil"/>
              <w:left w:val="nil"/>
              <w:bottom w:val="single" w:sz="4" w:space="0" w:color="auto"/>
              <w:right w:val="single" w:sz="4" w:space="0" w:color="auto"/>
            </w:tcBorders>
            <w:shd w:val="clear" w:color="auto" w:fill="auto"/>
            <w:vAlign w:val="center"/>
            <w:hideMark/>
          </w:tcPr>
          <w:p w14:paraId="3ED9A8B5"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Christopher Malotte</w:t>
            </w:r>
          </w:p>
        </w:tc>
        <w:tc>
          <w:tcPr>
            <w:tcW w:w="1890" w:type="dxa"/>
            <w:tcBorders>
              <w:top w:val="nil"/>
              <w:left w:val="nil"/>
              <w:bottom w:val="single" w:sz="4" w:space="0" w:color="auto"/>
              <w:right w:val="single" w:sz="4" w:space="0" w:color="auto"/>
            </w:tcBorders>
            <w:shd w:val="clear" w:color="auto" w:fill="auto"/>
            <w:vAlign w:val="center"/>
            <w:hideMark/>
          </w:tcPr>
          <w:p w14:paraId="3F29FF6C"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Patty Neri</w:t>
            </w:r>
          </w:p>
        </w:tc>
      </w:tr>
      <w:tr w:rsidR="009A52BF" w:rsidRPr="006504F3" w14:paraId="2A257A97"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1B6B0664"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Southern California Gas (SCG)</w:t>
            </w:r>
          </w:p>
        </w:tc>
        <w:tc>
          <w:tcPr>
            <w:tcW w:w="2520" w:type="dxa"/>
            <w:tcBorders>
              <w:top w:val="nil"/>
              <w:left w:val="nil"/>
              <w:bottom w:val="single" w:sz="4" w:space="0" w:color="auto"/>
              <w:right w:val="single" w:sz="4" w:space="0" w:color="auto"/>
            </w:tcBorders>
            <w:shd w:val="clear" w:color="auto" w:fill="auto"/>
            <w:vAlign w:val="center"/>
            <w:hideMark/>
          </w:tcPr>
          <w:p w14:paraId="73E0EDB0"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 xml:space="preserve">Kevin Ehsani </w:t>
            </w:r>
          </w:p>
        </w:tc>
        <w:tc>
          <w:tcPr>
            <w:tcW w:w="1890" w:type="dxa"/>
            <w:tcBorders>
              <w:top w:val="nil"/>
              <w:left w:val="nil"/>
              <w:bottom w:val="single" w:sz="4" w:space="0" w:color="auto"/>
              <w:right w:val="single" w:sz="4" w:space="0" w:color="auto"/>
            </w:tcBorders>
            <w:shd w:val="clear" w:color="auto" w:fill="auto"/>
            <w:vAlign w:val="center"/>
            <w:hideMark/>
          </w:tcPr>
          <w:p w14:paraId="170B5E18"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Halley Fitzpatrick/Art Montoya</w:t>
            </w:r>
          </w:p>
        </w:tc>
      </w:tr>
      <w:tr w:rsidR="009A52BF" w:rsidRPr="006504F3" w14:paraId="0F79C0CB"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7ADCAB59"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Southern California Regional Energy Network (SoCalREN)</w:t>
            </w:r>
          </w:p>
        </w:tc>
        <w:tc>
          <w:tcPr>
            <w:tcW w:w="2520" w:type="dxa"/>
            <w:tcBorders>
              <w:top w:val="nil"/>
              <w:left w:val="nil"/>
              <w:bottom w:val="single" w:sz="4" w:space="0" w:color="auto"/>
              <w:right w:val="single" w:sz="4" w:space="0" w:color="auto"/>
            </w:tcBorders>
            <w:shd w:val="clear" w:color="auto" w:fill="auto"/>
            <w:vAlign w:val="center"/>
            <w:hideMark/>
          </w:tcPr>
          <w:p w14:paraId="7EA673E2"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Lujuana Medina</w:t>
            </w:r>
          </w:p>
        </w:tc>
        <w:tc>
          <w:tcPr>
            <w:tcW w:w="1890" w:type="dxa"/>
            <w:tcBorders>
              <w:top w:val="nil"/>
              <w:left w:val="nil"/>
              <w:bottom w:val="single" w:sz="4" w:space="0" w:color="auto"/>
              <w:right w:val="single" w:sz="4" w:space="0" w:color="auto"/>
            </w:tcBorders>
            <w:shd w:val="clear" w:color="auto" w:fill="auto"/>
            <w:vAlign w:val="center"/>
            <w:hideMark/>
          </w:tcPr>
          <w:p w14:paraId="52B89D5C"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Sheena Tran</w:t>
            </w:r>
          </w:p>
        </w:tc>
      </w:tr>
      <w:tr w:rsidR="009A52BF" w:rsidRPr="006504F3" w14:paraId="40FF6981"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4CE5F493"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The Energy Coalition</w:t>
            </w:r>
          </w:p>
        </w:tc>
        <w:tc>
          <w:tcPr>
            <w:tcW w:w="2520" w:type="dxa"/>
            <w:tcBorders>
              <w:top w:val="nil"/>
              <w:left w:val="nil"/>
              <w:bottom w:val="single" w:sz="4" w:space="0" w:color="auto"/>
              <w:right w:val="single" w:sz="4" w:space="0" w:color="auto"/>
            </w:tcBorders>
            <w:shd w:val="clear" w:color="auto" w:fill="auto"/>
            <w:vAlign w:val="center"/>
            <w:hideMark/>
          </w:tcPr>
          <w:p w14:paraId="2CE49A86"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 xml:space="preserve">Laurel Rothschild </w:t>
            </w:r>
          </w:p>
        </w:tc>
        <w:tc>
          <w:tcPr>
            <w:tcW w:w="1890" w:type="dxa"/>
            <w:tcBorders>
              <w:top w:val="nil"/>
              <w:left w:val="nil"/>
              <w:bottom w:val="single" w:sz="4" w:space="0" w:color="auto"/>
              <w:right w:val="single" w:sz="4" w:space="0" w:color="auto"/>
            </w:tcBorders>
            <w:shd w:val="clear" w:color="auto" w:fill="auto"/>
            <w:vAlign w:val="center"/>
            <w:hideMark/>
          </w:tcPr>
          <w:p w14:paraId="5908C877"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Melanie Peck</w:t>
            </w:r>
          </w:p>
        </w:tc>
      </w:tr>
      <w:tr w:rsidR="009A52BF" w:rsidRPr="006504F3" w14:paraId="66A1972A"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217F3F66"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TRC</w:t>
            </w:r>
          </w:p>
        </w:tc>
        <w:tc>
          <w:tcPr>
            <w:tcW w:w="2520" w:type="dxa"/>
            <w:tcBorders>
              <w:top w:val="nil"/>
              <w:left w:val="nil"/>
              <w:bottom w:val="single" w:sz="4" w:space="0" w:color="auto"/>
              <w:right w:val="single" w:sz="4" w:space="0" w:color="auto"/>
            </w:tcBorders>
            <w:shd w:val="clear" w:color="auto" w:fill="auto"/>
            <w:vAlign w:val="center"/>
            <w:hideMark/>
          </w:tcPr>
          <w:p w14:paraId="29AFF51D"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Sophia Hartkopf</w:t>
            </w:r>
          </w:p>
        </w:tc>
        <w:tc>
          <w:tcPr>
            <w:tcW w:w="1890" w:type="dxa"/>
            <w:tcBorders>
              <w:top w:val="nil"/>
              <w:left w:val="nil"/>
              <w:bottom w:val="single" w:sz="4" w:space="0" w:color="auto"/>
              <w:right w:val="single" w:sz="4" w:space="0" w:color="auto"/>
            </w:tcBorders>
            <w:shd w:val="clear" w:color="auto" w:fill="auto"/>
            <w:vAlign w:val="center"/>
            <w:hideMark/>
          </w:tcPr>
          <w:p w14:paraId="5E5B10D5"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Marissa Van Sant</w:t>
            </w:r>
          </w:p>
        </w:tc>
      </w:tr>
      <w:tr w:rsidR="009A52BF" w:rsidRPr="006504F3" w14:paraId="1C9E8903"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603113A7"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 xml:space="preserve">Tri-County Regional Energy Network (3C-REN) </w:t>
            </w:r>
          </w:p>
        </w:tc>
        <w:tc>
          <w:tcPr>
            <w:tcW w:w="2520" w:type="dxa"/>
            <w:tcBorders>
              <w:top w:val="nil"/>
              <w:left w:val="nil"/>
              <w:bottom w:val="single" w:sz="4" w:space="0" w:color="auto"/>
              <w:right w:val="single" w:sz="4" w:space="0" w:color="auto"/>
            </w:tcBorders>
            <w:shd w:val="clear" w:color="auto" w:fill="auto"/>
            <w:vAlign w:val="center"/>
            <w:hideMark/>
          </w:tcPr>
          <w:p w14:paraId="55CBCF00"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Alejandra Tellez</w:t>
            </w:r>
          </w:p>
        </w:tc>
        <w:tc>
          <w:tcPr>
            <w:tcW w:w="1890" w:type="dxa"/>
            <w:tcBorders>
              <w:top w:val="nil"/>
              <w:left w:val="nil"/>
              <w:bottom w:val="single" w:sz="4" w:space="0" w:color="auto"/>
              <w:right w:val="single" w:sz="4" w:space="0" w:color="auto"/>
            </w:tcBorders>
            <w:shd w:val="clear" w:color="auto" w:fill="auto"/>
            <w:vAlign w:val="center"/>
            <w:hideMark/>
          </w:tcPr>
          <w:p w14:paraId="06D10AF8"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Marisa Hanson-Lopez</w:t>
            </w:r>
          </w:p>
        </w:tc>
      </w:tr>
      <w:tr w:rsidR="009A52BF" w:rsidRPr="006504F3" w14:paraId="71783362"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08FB056B"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Viridis Consulting</w:t>
            </w:r>
          </w:p>
        </w:tc>
        <w:tc>
          <w:tcPr>
            <w:tcW w:w="2520" w:type="dxa"/>
            <w:tcBorders>
              <w:top w:val="nil"/>
              <w:left w:val="nil"/>
              <w:bottom w:val="single" w:sz="4" w:space="0" w:color="auto"/>
              <w:right w:val="single" w:sz="4" w:space="0" w:color="auto"/>
            </w:tcBorders>
            <w:shd w:val="clear" w:color="auto" w:fill="auto"/>
            <w:vAlign w:val="center"/>
            <w:hideMark/>
          </w:tcPr>
          <w:p w14:paraId="210B9EBB"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 xml:space="preserve">Mabell Garcia Paine     </w:t>
            </w:r>
          </w:p>
        </w:tc>
        <w:tc>
          <w:tcPr>
            <w:tcW w:w="1890" w:type="dxa"/>
            <w:tcBorders>
              <w:top w:val="nil"/>
              <w:left w:val="nil"/>
              <w:bottom w:val="single" w:sz="4" w:space="0" w:color="auto"/>
              <w:right w:val="single" w:sz="4" w:space="0" w:color="auto"/>
            </w:tcBorders>
            <w:shd w:val="clear" w:color="auto" w:fill="auto"/>
            <w:vAlign w:val="center"/>
            <w:hideMark/>
          </w:tcPr>
          <w:p w14:paraId="55D54300"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Don Arambula</w:t>
            </w:r>
          </w:p>
        </w:tc>
      </w:tr>
      <w:tr w:rsidR="009A52BF" w:rsidRPr="006504F3" w14:paraId="2ED749EC" w14:textId="77777777" w:rsidTr="006504F3">
        <w:trPr>
          <w:trHeight w:val="320"/>
        </w:trPr>
        <w:tc>
          <w:tcPr>
            <w:tcW w:w="5760" w:type="dxa"/>
            <w:tcBorders>
              <w:top w:val="nil"/>
              <w:left w:val="single" w:sz="4" w:space="0" w:color="auto"/>
              <w:bottom w:val="single" w:sz="4" w:space="0" w:color="auto"/>
              <w:right w:val="nil"/>
            </w:tcBorders>
            <w:shd w:val="clear" w:color="000000" w:fill="D9D9D9"/>
            <w:noWrap/>
            <w:vAlign w:val="center"/>
            <w:hideMark/>
          </w:tcPr>
          <w:p w14:paraId="2B583562" w14:textId="77777777" w:rsidR="009A52BF" w:rsidRPr="006504F3" w:rsidRDefault="009A52BF" w:rsidP="006504F3">
            <w:pPr>
              <w:spacing w:line="276" w:lineRule="auto"/>
              <w:rPr>
                <w:rFonts w:ascii="Calibri" w:hAnsi="Calibri" w:cs="Calibri"/>
                <w:b/>
                <w:bCs/>
                <w:color w:val="000000"/>
                <w:sz w:val="22"/>
                <w:szCs w:val="22"/>
              </w:rPr>
            </w:pPr>
            <w:r w:rsidRPr="006504F3">
              <w:rPr>
                <w:rFonts w:ascii="Calibri" w:hAnsi="Calibri" w:cs="Calibri"/>
                <w:b/>
                <w:bCs/>
                <w:color w:val="000000"/>
                <w:sz w:val="22"/>
                <w:szCs w:val="22"/>
              </w:rPr>
              <w:t>Ex-Officio/Resource (non-voting):</w:t>
            </w:r>
          </w:p>
        </w:tc>
        <w:tc>
          <w:tcPr>
            <w:tcW w:w="2520" w:type="dxa"/>
            <w:tcBorders>
              <w:top w:val="nil"/>
              <w:left w:val="nil"/>
              <w:bottom w:val="single" w:sz="4" w:space="0" w:color="auto"/>
              <w:right w:val="nil"/>
            </w:tcBorders>
            <w:shd w:val="clear" w:color="000000" w:fill="D9D9D9"/>
            <w:noWrap/>
            <w:vAlign w:val="center"/>
            <w:hideMark/>
          </w:tcPr>
          <w:p w14:paraId="7204B0F6" w14:textId="77777777" w:rsidR="009A52BF" w:rsidRPr="006504F3" w:rsidRDefault="009A52BF" w:rsidP="006504F3">
            <w:pPr>
              <w:spacing w:line="276" w:lineRule="auto"/>
              <w:rPr>
                <w:rFonts w:ascii="Calibri" w:hAnsi="Calibri" w:cs="Calibri"/>
                <w:b/>
                <w:bCs/>
                <w:color w:val="000000"/>
                <w:sz w:val="22"/>
                <w:szCs w:val="22"/>
              </w:rPr>
            </w:pPr>
            <w:r w:rsidRPr="006504F3">
              <w:rPr>
                <w:rFonts w:ascii="Calibri" w:hAnsi="Calibri" w:cs="Calibri"/>
                <w:b/>
                <w:bCs/>
                <w:color w:val="000000"/>
                <w:sz w:val="22"/>
                <w:szCs w:val="22"/>
              </w:rPr>
              <w:t> </w:t>
            </w:r>
          </w:p>
        </w:tc>
        <w:tc>
          <w:tcPr>
            <w:tcW w:w="1890" w:type="dxa"/>
            <w:tcBorders>
              <w:top w:val="nil"/>
              <w:left w:val="nil"/>
              <w:bottom w:val="single" w:sz="4" w:space="0" w:color="auto"/>
              <w:right w:val="single" w:sz="4" w:space="0" w:color="auto"/>
            </w:tcBorders>
            <w:shd w:val="clear" w:color="000000" w:fill="D9D9D9"/>
            <w:noWrap/>
            <w:vAlign w:val="center"/>
            <w:hideMark/>
          </w:tcPr>
          <w:p w14:paraId="3905CEB2" w14:textId="77777777" w:rsidR="009A52BF" w:rsidRPr="006504F3" w:rsidRDefault="009A52BF" w:rsidP="006504F3">
            <w:pPr>
              <w:spacing w:line="276" w:lineRule="auto"/>
              <w:rPr>
                <w:rFonts w:ascii="Calibri" w:hAnsi="Calibri" w:cs="Calibri"/>
                <w:b/>
                <w:bCs/>
                <w:color w:val="000000"/>
                <w:sz w:val="22"/>
                <w:szCs w:val="22"/>
              </w:rPr>
            </w:pPr>
            <w:r w:rsidRPr="006504F3">
              <w:rPr>
                <w:rFonts w:ascii="Calibri" w:hAnsi="Calibri" w:cs="Calibri"/>
                <w:b/>
                <w:bCs/>
                <w:color w:val="000000"/>
                <w:sz w:val="22"/>
                <w:szCs w:val="22"/>
              </w:rPr>
              <w:t> </w:t>
            </w:r>
          </w:p>
        </w:tc>
      </w:tr>
      <w:tr w:rsidR="009A52BF" w:rsidRPr="006504F3" w14:paraId="012E1782"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143BB29C"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American Council for an Energy-Efficient Economy (ACEEE)</w:t>
            </w:r>
          </w:p>
        </w:tc>
        <w:tc>
          <w:tcPr>
            <w:tcW w:w="2520" w:type="dxa"/>
            <w:tcBorders>
              <w:top w:val="nil"/>
              <w:left w:val="nil"/>
              <w:bottom w:val="single" w:sz="4" w:space="0" w:color="auto"/>
              <w:right w:val="single" w:sz="4" w:space="0" w:color="auto"/>
            </w:tcBorders>
            <w:shd w:val="clear" w:color="auto" w:fill="auto"/>
            <w:vAlign w:val="center"/>
            <w:hideMark/>
          </w:tcPr>
          <w:p w14:paraId="513FD646"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Roxana Ayala</w:t>
            </w:r>
          </w:p>
        </w:tc>
        <w:tc>
          <w:tcPr>
            <w:tcW w:w="1890" w:type="dxa"/>
            <w:tcBorders>
              <w:top w:val="nil"/>
              <w:left w:val="nil"/>
              <w:bottom w:val="single" w:sz="4" w:space="0" w:color="auto"/>
              <w:right w:val="single" w:sz="4" w:space="0" w:color="auto"/>
            </w:tcBorders>
            <w:shd w:val="clear" w:color="auto" w:fill="auto"/>
            <w:vAlign w:val="center"/>
            <w:hideMark/>
          </w:tcPr>
          <w:p w14:paraId="190C1FD6"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Ariel Drehobl</w:t>
            </w:r>
          </w:p>
        </w:tc>
      </w:tr>
      <w:tr w:rsidR="009A52BF" w:rsidRPr="006504F3" w14:paraId="491AF7E8" w14:textId="77777777" w:rsidTr="006504F3">
        <w:trPr>
          <w:trHeight w:val="4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604883A2"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California Air Resources Board (CARB)</w:t>
            </w:r>
          </w:p>
        </w:tc>
        <w:tc>
          <w:tcPr>
            <w:tcW w:w="2520" w:type="dxa"/>
            <w:tcBorders>
              <w:top w:val="nil"/>
              <w:left w:val="nil"/>
              <w:bottom w:val="single" w:sz="4" w:space="0" w:color="auto"/>
              <w:right w:val="single" w:sz="4" w:space="0" w:color="auto"/>
            </w:tcBorders>
            <w:shd w:val="clear" w:color="auto" w:fill="auto"/>
            <w:vAlign w:val="center"/>
            <w:hideMark/>
          </w:tcPr>
          <w:p w14:paraId="58EEBA8A"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Emma Tome</w:t>
            </w:r>
          </w:p>
        </w:tc>
        <w:tc>
          <w:tcPr>
            <w:tcW w:w="1890" w:type="dxa"/>
            <w:tcBorders>
              <w:top w:val="nil"/>
              <w:left w:val="nil"/>
              <w:bottom w:val="single" w:sz="4" w:space="0" w:color="auto"/>
              <w:right w:val="single" w:sz="4" w:space="0" w:color="auto"/>
            </w:tcBorders>
            <w:shd w:val="clear" w:color="auto" w:fill="auto"/>
            <w:vAlign w:val="center"/>
            <w:hideMark/>
          </w:tcPr>
          <w:p w14:paraId="59771985"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Melanie Zauscher</w:t>
            </w:r>
          </w:p>
        </w:tc>
      </w:tr>
      <w:tr w:rsidR="009A52BF" w:rsidRPr="006504F3" w14:paraId="558A4B16"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2AA54B09"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California Energy Commission (CEC)</w:t>
            </w:r>
          </w:p>
        </w:tc>
        <w:tc>
          <w:tcPr>
            <w:tcW w:w="2520" w:type="dxa"/>
            <w:tcBorders>
              <w:top w:val="nil"/>
              <w:left w:val="nil"/>
              <w:bottom w:val="single" w:sz="4" w:space="0" w:color="auto"/>
              <w:right w:val="single" w:sz="4" w:space="0" w:color="auto"/>
            </w:tcBorders>
            <w:shd w:val="clear" w:color="auto" w:fill="auto"/>
            <w:vAlign w:val="center"/>
            <w:hideMark/>
          </w:tcPr>
          <w:p w14:paraId="223C6440"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Brian Samuelson</w:t>
            </w:r>
          </w:p>
        </w:tc>
        <w:tc>
          <w:tcPr>
            <w:tcW w:w="1890" w:type="dxa"/>
            <w:tcBorders>
              <w:top w:val="nil"/>
              <w:left w:val="nil"/>
              <w:bottom w:val="single" w:sz="4" w:space="0" w:color="auto"/>
              <w:right w:val="single" w:sz="4" w:space="0" w:color="auto"/>
            </w:tcBorders>
            <w:shd w:val="clear" w:color="auto" w:fill="auto"/>
            <w:vAlign w:val="center"/>
            <w:hideMark/>
          </w:tcPr>
          <w:p w14:paraId="01DEA5C6"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 </w:t>
            </w:r>
          </w:p>
        </w:tc>
      </w:tr>
      <w:tr w:rsidR="009A52BF" w:rsidRPr="006504F3" w14:paraId="056F0CD8" w14:textId="77777777" w:rsidTr="006504F3">
        <w:trPr>
          <w:trHeight w:val="340"/>
        </w:trPr>
        <w:tc>
          <w:tcPr>
            <w:tcW w:w="5760" w:type="dxa"/>
            <w:tcBorders>
              <w:top w:val="nil"/>
              <w:left w:val="single" w:sz="4" w:space="0" w:color="auto"/>
              <w:bottom w:val="single" w:sz="4" w:space="0" w:color="auto"/>
              <w:right w:val="single" w:sz="4" w:space="0" w:color="auto"/>
            </w:tcBorders>
            <w:shd w:val="clear" w:color="auto" w:fill="auto"/>
            <w:vAlign w:val="center"/>
            <w:hideMark/>
          </w:tcPr>
          <w:p w14:paraId="356F60A3"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California Public Utilities Commission (CPUC)</w:t>
            </w:r>
          </w:p>
        </w:tc>
        <w:tc>
          <w:tcPr>
            <w:tcW w:w="2520" w:type="dxa"/>
            <w:tcBorders>
              <w:top w:val="nil"/>
              <w:left w:val="nil"/>
              <w:bottom w:val="single" w:sz="4" w:space="0" w:color="auto"/>
              <w:right w:val="single" w:sz="4" w:space="0" w:color="auto"/>
            </w:tcBorders>
            <w:shd w:val="clear" w:color="auto" w:fill="auto"/>
            <w:vAlign w:val="center"/>
            <w:hideMark/>
          </w:tcPr>
          <w:p w14:paraId="0CDB2F4D"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Ely Jacobsohn</w:t>
            </w:r>
          </w:p>
        </w:tc>
        <w:tc>
          <w:tcPr>
            <w:tcW w:w="1890" w:type="dxa"/>
            <w:tcBorders>
              <w:top w:val="nil"/>
              <w:left w:val="nil"/>
              <w:bottom w:val="single" w:sz="4" w:space="0" w:color="auto"/>
              <w:right w:val="single" w:sz="4" w:space="0" w:color="auto"/>
            </w:tcBorders>
            <w:shd w:val="clear" w:color="auto" w:fill="auto"/>
            <w:vAlign w:val="center"/>
            <w:hideMark/>
          </w:tcPr>
          <w:p w14:paraId="4FB24788" w14:textId="77777777" w:rsidR="009A52BF" w:rsidRPr="006504F3" w:rsidRDefault="009A52BF" w:rsidP="006504F3">
            <w:pPr>
              <w:spacing w:line="276" w:lineRule="auto"/>
              <w:rPr>
                <w:rFonts w:ascii="Calibri" w:hAnsi="Calibri" w:cs="Calibri"/>
                <w:color w:val="000000"/>
                <w:sz w:val="22"/>
                <w:szCs w:val="22"/>
              </w:rPr>
            </w:pPr>
            <w:r w:rsidRPr="006504F3">
              <w:rPr>
                <w:rFonts w:ascii="Calibri" w:hAnsi="Calibri" w:cs="Calibri"/>
                <w:color w:val="000000"/>
                <w:sz w:val="22"/>
                <w:szCs w:val="22"/>
              </w:rPr>
              <w:t> </w:t>
            </w:r>
          </w:p>
        </w:tc>
      </w:tr>
    </w:tbl>
    <w:p w14:paraId="58B3AD1F" w14:textId="6538FB4C" w:rsidR="00962C76" w:rsidRPr="00BD1D99" w:rsidRDefault="00962C76" w:rsidP="00BD1D99">
      <w:pPr>
        <w:pStyle w:val="Heading1"/>
        <w:spacing w:line="276" w:lineRule="auto"/>
        <w:rPr>
          <w:rFonts w:ascii="Calibri" w:hAnsi="Calibri" w:cs="Calibri"/>
        </w:rPr>
      </w:pPr>
      <w:bookmarkStart w:id="75" w:name="_Toc85613331"/>
      <w:r w:rsidRPr="00BD1D99">
        <w:rPr>
          <w:rFonts w:ascii="Calibri" w:hAnsi="Calibri" w:cs="Calibri"/>
        </w:rPr>
        <w:t xml:space="preserve">Appendix </w:t>
      </w:r>
      <w:r w:rsidR="00BD1D99">
        <w:rPr>
          <w:rFonts w:ascii="Calibri" w:hAnsi="Calibri" w:cs="Calibri"/>
        </w:rPr>
        <w:t>B</w:t>
      </w:r>
      <w:r w:rsidRPr="00BD1D99">
        <w:rPr>
          <w:rFonts w:ascii="Calibri" w:hAnsi="Calibri" w:cs="Calibri"/>
        </w:rPr>
        <w:t>: Rationale</w:t>
      </w:r>
      <w:r w:rsidR="00BD1D99">
        <w:rPr>
          <w:rFonts w:ascii="Calibri" w:hAnsi="Calibri" w:cs="Calibri"/>
        </w:rPr>
        <w:t xml:space="preserve"> and EMWG Member Preferences</w:t>
      </w:r>
      <w:r w:rsidRPr="00BD1D99">
        <w:rPr>
          <w:rFonts w:ascii="Calibri" w:hAnsi="Calibri" w:cs="Calibri"/>
        </w:rPr>
        <w:t xml:space="preserve"> for Community Engagement Non-Consensus Options</w:t>
      </w:r>
      <w:bookmarkEnd w:id="75"/>
    </w:p>
    <w:p w14:paraId="6C7E3C29" w14:textId="1B3F6857" w:rsidR="00962C76" w:rsidRDefault="00BD1D99" w:rsidP="00BD1D99">
      <w:pPr>
        <w:spacing w:line="276" w:lineRule="auto"/>
        <w:rPr>
          <w:rFonts w:ascii="Calibri" w:hAnsi="Calibri" w:cs="Calibri"/>
        </w:rPr>
      </w:pPr>
      <w:r>
        <w:rPr>
          <w:rFonts w:ascii="Calibri" w:hAnsi="Calibri" w:cs="Calibri"/>
        </w:rPr>
        <w:t>The high-level description of options for how to frame community engagement appear in the</w:t>
      </w:r>
      <w:r w:rsidR="00CF704E">
        <w:rPr>
          <w:rFonts w:ascii="Calibri" w:hAnsi="Calibri" w:cs="Calibri"/>
        </w:rPr>
        <w:t xml:space="preserve"> related section (i.e., Section 2 for Principle and Section 4 for Indicator</w:t>
      </w:r>
      <w:r>
        <w:rPr>
          <w:rFonts w:ascii="Calibri" w:hAnsi="Calibri" w:cs="Calibri"/>
        </w:rPr>
        <w:t>)</w:t>
      </w:r>
      <w:r w:rsidR="00CF704E">
        <w:rPr>
          <w:rFonts w:ascii="Calibri" w:hAnsi="Calibri" w:cs="Calibri"/>
        </w:rPr>
        <w:t xml:space="preserve">. Because the options span multiple chapters in this report, we’ve included the detailed rationale text in this appendix, as well as </w:t>
      </w:r>
      <w:r w:rsidR="00F04B69">
        <w:rPr>
          <w:rFonts w:ascii="Calibri" w:hAnsi="Calibri" w:cs="Calibri"/>
        </w:rPr>
        <w:t>a</w:t>
      </w:r>
      <w:r w:rsidR="00CF704E">
        <w:rPr>
          <w:rFonts w:ascii="Calibri" w:hAnsi="Calibri" w:cs="Calibri"/>
        </w:rPr>
        <w:t xml:space="preserve"> table summarizing EMWG Member preferences.</w:t>
      </w:r>
      <w:r w:rsidR="00F04B69">
        <w:rPr>
          <w:rFonts w:ascii="Calibri" w:hAnsi="Calibri" w:cs="Calibri"/>
        </w:rPr>
        <w:t xml:space="preserve"> </w:t>
      </w:r>
    </w:p>
    <w:p w14:paraId="7D8389DB" w14:textId="77777777" w:rsidR="00BD1D99" w:rsidRPr="00BD1D99" w:rsidRDefault="00BD1D99" w:rsidP="00BD1D99">
      <w:pPr>
        <w:spacing w:line="276" w:lineRule="auto"/>
        <w:rPr>
          <w:rFonts w:ascii="Calibri" w:hAnsi="Calibri" w:cs="Calibri"/>
        </w:rPr>
      </w:pPr>
    </w:p>
    <w:p w14:paraId="6A300882" w14:textId="7EE688D1" w:rsidR="00CC0BB0" w:rsidRPr="00BD1D99" w:rsidRDefault="00CC0BB0" w:rsidP="00BD1D99">
      <w:pPr>
        <w:spacing w:line="276" w:lineRule="auto"/>
        <w:rPr>
          <w:rFonts w:ascii="Calibri" w:hAnsi="Calibri" w:cs="Calibri"/>
        </w:rPr>
      </w:pPr>
      <w:r w:rsidRPr="00BD1D99">
        <w:rPr>
          <w:rFonts w:ascii="Calibri" w:hAnsi="Calibri" w:cs="Calibri"/>
          <w:b/>
          <w:bCs/>
        </w:rPr>
        <w:t>Option 1: PAs should track and report the counts and types of community engagement activities targeted at disadvantaged, hard-to-reach, and underserved communities as the following three sub-indicators:</w:t>
      </w:r>
    </w:p>
    <w:p w14:paraId="4FC360E1" w14:textId="73C36D09" w:rsidR="00CC0BB0" w:rsidRPr="00BD1D99" w:rsidRDefault="0005734C" w:rsidP="00760381">
      <w:pPr>
        <w:pStyle w:val="ListParagraph"/>
        <w:numPr>
          <w:ilvl w:val="0"/>
          <w:numId w:val="13"/>
        </w:numPr>
        <w:spacing w:line="276" w:lineRule="auto"/>
        <w:rPr>
          <w:rFonts w:ascii="Calibri" w:hAnsi="Calibri" w:cs="Calibri"/>
        </w:rPr>
      </w:pPr>
      <w:r w:rsidRPr="00BD1D99">
        <w:rPr>
          <w:rFonts w:ascii="Calibri" w:hAnsi="Calibri" w:cs="Calibri"/>
        </w:rPr>
        <w:t>Sub-</w:t>
      </w:r>
      <w:r w:rsidR="00CC0BB0" w:rsidRPr="00BD1D99">
        <w:rPr>
          <w:rFonts w:ascii="Calibri" w:hAnsi="Calibri" w:cs="Calibri"/>
        </w:rPr>
        <w:t xml:space="preserve">Indicator 1: Community engagement activities during </w:t>
      </w:r>
      <w:bookmarkStart w:id="76" w:name="_Hlk84321142"/>
      <w:r w:rsidR="00CC0BB0" w:rsidRPr="00BD1D99">
        <w:rPr>
          <w:rFonts w:ascii="Calibri" w:hAnsi="Calibri" w:cs="Calibri"/>
        </w:rPr>
        <w:t>program design and to identify community needs and solutions</w:t>
      </w:r>
    </w:p>
    <w:bookmarkEnd w:id="76"/>
    <w:p w14:paraId="15688908" w14:textId="3296D018" w:rsidR="00CC0BB0" w:rsidRPr="00BD1D99" w:rsidRDefault="0005734C" w:rsidP="00760381">
      <w:pPr>
        <w:pStyle w:val="ListParagraph"/>
        <w:numPr>
          <w:ilvl w:val="0"/>
          <w:numId w:val="13"/>
        </w:numPr>
        <w:spacing w:line="276" w:lineRule="auto"/>
        <w:rPr>
          <w:rFonts w:ascii="Calibri" w:hAnsi="Calibri" w:cs="Calibri"/>
        </w:rPr>
      </w:pPr>
      <w:r w:rsidRPr="00BD1D99">
        <w:rPr>
          <w:rFonts w:ascii="Calibri" w:hAnsi="Calibri" w:cs="Calibri"/>
        </w:rPr>
        <w:t>Sub-</w:t>
      </w:r>
      <w:r w:rsidR="00CC0BB0" w:rsidRPr="00BD1D99">
        <w:rPr>
          <w:rFonts w:ascii="Calibri" w:hAnsi="Calibri" w:cs="Calibri"/>
        </w:rPr>
        <w:t>Indicator 2: Community engagement activities during program implementation</w:t>
      </w:r>
    </w:p>
    <w:p w14:paraId="665DC3F5" w14:textId="6D1BAC44" w:rsidR="00CC0BB0" w:rsidRPr="00BD1D99" w:rsidRDefault="0005734C" w:rsidP="00760381">
      <w:pPr>
        <w:pStyle w:val="ListParagraph"/>
        <w:numPr>
          <w:ilvl w:val="0"/>
          <w:numId w:val="13"/>
        </w:numPr>
        <w:spacing w:line="276" w:lineRule="auto"/>
        <w:rPr>
          <w:rFonts w:ascii="Calibri" w:hAnsi="Calibri" w:cs="Calibri"/>
        </w:rPr>
      </w:pPr>
      <w:r w:rsidRPr="00BD1D99">
        <w:rPr>
          <w:rFonts w:ascii="Calibri" w:hAnsi="Calibri" w:cs="Calibri"/>
        </w:rPr>
        <w:t>Sub-</w:t>
      </w:r>
      <w:r w:rsidR="00CC0BB0" w:rsidRPr="00BD1D99">
        <w:rPr>
          <w:rFonts w:ascii="Calibri" w:hAnsi="Calibri" w:cs="Calibri"/>
        </w:rPr>
        <w:t>Indicator 3: Community engagement activities during program assessment</w:t>
      </w:r>
    </w:p>
    <w:p w14:paraId="363375DB" w14:textId="77777777" w:rsidR="00CC0BB0" w:rsidRPr="00BD1D99" w:rsidRDefault="00CC0BB0" w:rsidP="00BD1D99">
      <w:pPr>
        <w:spacing w:line="276" w:lineRule="auto"/>
        <w:rPr>
          <w:rFonts w:ascii="Calibri" w:hAnsi="Calibri" w:cs="Calibri"/>
          <w:b/>
          <w:bCs/>
        </w:rPr>
      </w:pPr>
    </w:p>
    <w:p w14:paraId="6F3D22F4" w14:textId="63AB4EB4" w:rsidR="00CC0BB0" w:rsidRPr="00BD1D99" w:rsidRDefault="00CC0BB0" w:rsidP="00BD1D99">
      <w:pPr>
        <w:spacing w:line="276" w:lineRule="auto"/>
        <w:rPr>
          <w:rFonts w:ascii="Calibri" w:hAnsi="Calibri" w:cs="Calibri"/>
        </w:rPr>
      </w:pPr>
      <w:r w:rsidRPr="00BD1D99">
        <w:rPr>
          <w:rFonts w:ascii="Calibri" w:hAnsi="Calibri" w:cs="Calibri"/>
        </w:rPr>
        <w:t xml:space="preserve">PAs should track and report the counts and types of community engagement activities as the three sub-indicators listed for the Equity Segment. It may be the case that activities are tracked at the program level and then aggregated for reporting on segment level indicators (please refer to Figure </w:t>
      </w:r>
      <w:r w:rsidR="00CF704E">
        <w:rPr>
          <w:rFonts w:ascii="Calibri" w:hAnsi="Calibri" w:cs="Calibri"/>
        </w:rPr>
        <w:t>B.</w:t>
      </w:r>
      <w:r w:rsidR="00BD1D99" w:rsidRPr="00BD1D99">
        <w:rPr>
          <w:rFonts w:ascii="Calibri" w:hAnsi="Calibri" w:cs="Calibri"/>
        </w:rPr>
        <w:t>1</w:t>
      </w:r>
      <w:r w:rsidRPr="00BD1D99">
        <w:rPr>
          <w:rFonts w:ascii="Calibri" w:hAnsi="Calibri" w:cs="Calibri"/>
        </w:rPr>
        <w:t xml:space="preserve"> for a visual illustration). Regarding community engagement as</w:t>
      </w:r>
      <w:r w:rsidR="0005734C" w:rsidRPr="00BD1D99">
        <w:rPr>
          <w:rFonts w:ascii="Calibri" w:hAnsi="Calibri" w:cs="Calibri"/>
        </w:rPr>
        <w:t xml:space="preserve"> an</w:t>
      </w:r>
      <w:r w:rsidRPr="00BD1D99">
        <w:rPr>
          <w:rFonts w:ascii="Calibri" w:hAnsi="Calibri" w:cs="Calibri"/>
        </w:rPr>
        <w:t xml:space="preserve"> indicator will demonstrate the PAs are intentional about operationalizing equity in their Equity Segment programs. Considering community engagement solely as a principle, which would not be required to be tracked and reported on consistently, is not sufficient to demonstrate the prioritization of equity. Furthermore, no two communities are the same, therefore, the energy efficiency needs and solutions identified by residents in one community will vary from those identified by another. It would be less effective and impactful for PAs to execute the same types and number of community engagement activities to address this range of needs and solutions. A more targeted approach is for PAs to develop engagement activities tailored for the communities in each of their territories.</w:t>
      </w:r>
      <w:r w:rsidRPr="00BD1D99">
        <w:rPr>
          <w:rStyle w:val="FootnoteReference"/>
          <w:rFonts w:ascii="Calibri" w:hAnsi="Calibri" w:cs="Calibri"/>
        </w:rPr>
        <w:footnoteReference w:id="32"/>
      </w:r>
      <w:r w:rsidRPr="00BD1D99">
        <w:rPr>
          <w:rFonts w:ascii="Calibri" w:hAnsi="Calibri" w:cs="Calibri"/>
        </w:rPr>
        <w:t xml:space="preserve">Additionally, tracking community engagement </w:t>
      </w:r>
      <w:r w:rsidR="0005734C" w:rsidRPr="00BD1D99">
        <w:rPr>
          <w:rFonts w:ascii="Calibri" w:hAnsi="Calibri" w:cs="Calibri"/>
        </w:rPr>
        <w:t xml:space="preserve">as an </w:t>
      </w:r>
      <w:r w:rsidRPr="00BD1D99">
        <w:rPr>
          <w:rFonts w:ascii="Calibri" w:hAnsi="Calibri" w:cs="Calibri"/>
        </w:rPr>
        <w:t>indicator</w:t>
      </w:r>
      <w:r w:rsidR="0005734C" w:rsidRPr="00BD1D99">
        <w:rPr>
          <w:rFonts w:ascii="Calibri" w:hAnsi="Calibri" w:cs="Calibri"/>
        </w:rPr>
        <w:t xml:space="preserve"> (with sub-indicator</w:t>
      </w:r>
      <w:r w:rsidRPr="00BD1D99">
        <w:rPr>
          <w:rFonts w:ascii="Calibri" w:hAnsi="Calibri" w:cs="Calibri"/>
        </w:rPr>
        <w:t>s</w:t>
      </w:r>
      <w:r w:rsidR="0005734C" w:rsidRPr="00BD1D99">
        <w:rPr>
          <w:rFonts w:ascii="Calibri" w:hAnsi="Calibri" w:cs="Calibri"/>
        </w:rPr>
        <w:t>)</w:t>
      </w:r>
      <w:r w:rsidRPr="00BD1D99">
        <w:rPr>
          <w:rFonts w:ascii="Calibri" w:hAnsi="Calibri" w:cs="Calibri"/>
        </w:rPr>
        <w:t xml:space="preserve"> will provide insights and establish processes for potential future metric development for Equity Segment programs.</w:t>
      </w:r>
    </w:p>
    <w:p w14:paraId="1772E706" w14:textId="77777777" w:rsidR="00CC0BB0" w:rsidRPr="00BD1D99" w:rsidRDefault="00CC0BB0" w:rsidP="00BD1D99">
      <w:pPr>
        <w:spacing w:line="276" w:lineRule="auto"/>
        <w:rPr>
          <w:rFonts w:ascii="Calibri" w:hAnsi="Calibri" w:cs="Calibri"/>
        </w:rPr>
      </w:pPr>
      <w:r w:rsidRPr="00BD1D99">
        <w:rPr>
          <w:rFonts w:ascii="Calibri" w:hAnsi="Calibri" w:cs="Calibri"/>
        </w:rPr>
        <w:br/>
        <w:t>Recommended community engagement and outreach activities that PAs could execute include, but are not limited to:</w:t>
      </w:r>
    </w:p>
    <w:p w14:paraId="2E1598BD" w14:textId="77777777" w:rsidR="00CC0BB0" w:rsidRPr="00BD1D99" w:rsidRDefault="00CC0BB0" w:rsidP="00BD1D99">
      <w:pPr>
        <w:spacing w:line="276" w:lineRule="auto"/>
        <w:rPr>
          <w:rFonts w:ascii="Calibri" w:hAnsi="Calibri" w:cs="Calibri"/>
        </w:rPr>
      </w:pPr>
    </w:p>
    <w:p w14:paraId="0D91500C" w14:textId="7932A813" w:rsidR="00CC0BB0" w:rsidRPr="00BD1D99" w:rsidRDefault="00CC0BB0" w:rsidP="00BD1D99">
      <w:pPr>
        <w:keepNext/>
        <w:spacing w:line="276" w:lineRule="auto"/>
        <w:rPr>
          <w:rFonts w:ascii="Calibri" w:hAnsi="Calibri" w:cs="Calibri"/>
        </w:rPr>
      </w:pPr>
      <w:r w:rsidRPr="00BD1D99">
        <w:rPr>
          <w:rFonts w:ascii="Calibri" w:hAnsi="Calibri" w:cs="Calibri"/>
        </w:rPr>
        <w:t xml:space="preserve">Table </w:t>
      </w:r>
      <w:r w:rsidR="00CF704E">
        <w:rPr>
          <w:rFonts w:ascii="Calibri" w:hAnsi="Calibri" w:cs="Calibri"/>
        </w:rPr>
        <w:t>B.</w:t>
      </w:r>
      <w:r w:rsidRPr="00BD1D99">
        <w:rPr>
          <w:rFonts w:ascii="Calibri" w:hAnsi="Calibri" w:cs="Calibri"/>
        </w:rPr>
        <w:t>1: Recommended Community Engagement Activities</w:t>
      </w:r>
    </w:p>
    <w:tbl>
      <w:tblPr>
        <w:tblStyle w:val="TableGrid"/>
        <w:tblW w:w="0" w:type="auto"/>
        <w:tblLook w:val="04A0" w:firstRow="1" w:lastRow="0" w:firstColumn="1" w:lastColumn="0" w:noHBand="0" w:noVBand="1"/>
      </w:tblPr>
      <w:tblGrid>
        <w:gridCol w:w="2949"/>
        <w:gridCol w:w="2401"/>
        <w:gridCol w:w="2004"/>
        <w:gridCol w:w="1996"/>
      </w:tblGrid>
      <w:tr w:rsidR="00CF704E" w14:paraId="4A2E002E" w14:textId="77777777" w:rsidTr="00942BBB">
        <w:tc>
          <w:tcPr>
            <w:tcW w:w="9350" w:type="dxa"/>
            <w:gridSpan w:val="4"/>
            <w:shd w:val="clear" w:color="auto" w:fill="D9D9D9" w:themeFill="background1" w:themeFillShade="D9"/>
          </w:tcPr>
          <w:p w14:paraId="64FC9D5E" w14:textId="77777777" w:rsidR="00CF704E" w:rsidRPr="00E335F5" w:rsidRDefault="00CF704E" w:rsidP="00942BBB">
            <w:pPr>
              <w:tabs>
                <w:tab w:val="left" w:pos="5583"/>
              </w:tabs>
              <w:spacing w:line="276" w:lineRule="auto"/>
              <w:jc w:val="center"/>
              <w:rPr>
                <w:b/>
                <w:bCs/>
              </w:rPr>
            </w:pPr>
            <w:r>
              <w:rPr>
                <w:b/>
                <w:bCs/>
              </w:rPr>
              <w:t>Recommended Community Engagement Activities</w:t>
            </w:r>
            <w:r>
              <w:rPr>
                <w:rStyle w:val="FootnoteReference"/>
              </w:rPr>
              <w:footnoteReference w:id="33"/>
            </w:r>
          </w:p>
        </w:tc>
      </w:tr>
      <w:tr w:rsidR="00CF704E" w14:paraId="6C145A3E" w14:textId="77777777" w:rsidTr="00942BBB">
        <w:tc>
          <w:tcPr>
            <w:tcW w:w="2949" w:type="dxa"/>
            <w:shd w:val="clear" w:color="auto" w:fill="D9D9D9" w:themeFill="background1" w:themeFillShade="D9"/>
          </w:tcPr>
          <w:p w14:paraId="61C9C72A" w14:textId="77777777" w:rsidR="00CF704E" w:rsidRDefault="00CF704E" w:rsidP="00942BBB">
            <w:pPr>
              <w:spacing w:line="276" w:lineRule="auto"/>
            </w:pPr>
          </w:p>
        </w:tc>
        <w:tc>
          <w:tcPr>
            <w:tcW w:w="2401" w:type="dxa"/>
            <w:shd w:val="clear" w:color="auto" w:fill="D9D9D9" w:themeFill="background1" w:themeFillShade="D9"/>
          </w:tcPr>
          <w:p w14:paraId="14EA8A06" w14:textId="70D07323" w:rsidR="00CF704E" w:rsidRDefault="00A13882" w:rsidP="00942BBB">
            <w:pPr>
              <w:spacing w:line="276" w:lineRule="auto"/>
              <w:jc w:val="center"/>
            </w:pPr>
            <w:r>
              <w:rPr>
                <w:b/>
                <w:bCs/>
              </w:rPr>
              <w:t>Sub-</w:t>
            </w:r>
            <w:r w:rsidR="00CF704E">
              <w:rPr>
                <w:b/>
                <w:bCs/>
              </w:rPr>
              <w:t xml:space="preserve">Indicator 1: </w:t>
            </w:r>
            <w:r w:rsidR="00CF704E">
              <w:t>Community Engagement Activities During Program Design and to Identify Community Needs and Solutions</w:t>
            </w:r>
          </w:p>
        </w:tc>
        <w:tc>
          <w:tcPr>
            <w:tcW w:w="2004" w:type="dxa"/>
            <w:shd w:val="clear" w:color="auto" w:fill="D9D9D9" w:themeFill="background1" w:themeFillShade="D9"/>
          </w:tcPr>
          <w:p w14:paraId="04BDD403" w14:textId="4E4CEA4E" w:rsidR="00CF704E" w:rsidRDefault="00A13882" w:rsidP="00942BBB">
            <w:pPr>
              <w:spacing w:line="276" w:lineRule="auto"/>
              <w:jc w:val="center"/>
            </w:pPr>
            <w:r>
              <w:rPr>
                <w:b/>
                <w:bCs/>
              </w:rPr>
              <w:t>Sub-</w:t>
            </w:r>
            <w:r w:rsidR="00CF704E">
              <w:rPr>
                <w:b/>
                <w:bCs/>
              </w:rPr>
              <w:t xml:space="preserve">Indicator 2: </w:t>
            </w:r>
            <w:r w:rsidR="00CF704E">
              <w:t>Community Engagement Activities During Program Implementation</w:t>
            </w:r>
          </w:p>
        </w:tc>
        <w:tc>
          <w:tcPr>
            <w:tcW w:w="1996" w:type="dxa"/>
            <w:shd w:val="clear" w:color="auto" w:fill="D9D9D9" w:themeFill="background1" w:themeFillShade="D9"/>
          </w:tcPr>
          <w:p w14:paraId="017B23AD" w14:textId="605A6BA6" w:rsidR="00CF704E" w:rsidRDefault="00A13882" w:rsidP="00942BBB">
            <w:pPr>
              <w:spacing w:line="276" w:lineRule="auto"/>
              <w:jc w:val="center"/>
            </w:pPr>
            <w:r>
              <w:rPr>
                <w:b/>
                <w:bCs/>
              </w:rPr>
              <w:t>Sub-</w:t>
            </w:r>
            <w:r w:rsidR="00CF704E">
              <w:rPr>
                <w:b/>
                <w:bCs/>
              </w:rPr>
              <w:t xml:space="preserve">Indicator 3: </w:t>
            </w:r>
            <w:r w:rsidR="00CF704E">
              <w:t>Community Engagement Activities During Program Assessment</w:t>
            </w:r>
          </w:p>
        </w:tc>
      </w:tr>
      <w:tr w:rsidR="00CF704E" w14:paraId="508481A0" w14:textId="77777777" w:rsidTr="00942BBB">
        <w:tc>
          <w:tcPr>
            <w:tcW w:w="2949" w:type="dxa"/>
          </w:tcPr>
          <w:p w14:paraId="63D6F7C8" w14:textId="77777777" w:rsidR="00CF704E" w:rsidRDefault="00CF704E" w:rsidP="00942BBB">
            <w:r>
              <w:t>Consult with advisory board/council/committee</w:t>
            </w:r>
            <w:r>
              <w:rPr>
                <w:rStyle w:val="FootnoteReference"/>
              </w:rPr>
              <w:footnoteReference w:id="34"/>
            </w:r>
            <w:r>
              <w:t xml:space="preserve"> </w:t>
            </w:r>
          </w:p>
        </w:tc>
        <w:tc>
          <w:tcPr>
            <w:tcW w:w="2401" w:type="dxa"/>
            <w:vAlign w:val="center"/>
          </w:tcPr>
          <w:p w14:paraId="48EC9164" w14:textId="77777777" w:rsidR="00CF704E" w:rsidRDefault="00CF704E" w:rsidP="00942BBB">
            <w:pPr>
              <w:spacing w:line="276" w:lineRule="auto"/>
              <w:jc w:val="center"/>
            </w:pPr>
            <w:r>
              <w:rPr>
                <w:rFonts w:ascii="Wingdings" w:eastAsia="Wingdings" w:hAnsi="Wingdings" w:cs="Wingdings"/>
              </w:rPr>
              <w:t>ü</w:t>
            </w:r>
          </w:p>
        </w:tc>
        <w:tc>
          <w:tcPr>
            <w:tcW w:w="2004" w:type="dxa"/>
            <w:vAlign w:val="center"/>
          </w:tcPr>
          <w:p w14:paraId="36928C16" w14:textId="77777777" w:rsidR="00CF704E" w:rsidRDefault="00CF704E" w:rsidP="00942BBB">
            <w:pPr>
              <w:spacing w:line="276" w:lineRule="auto"/>
              <w:jc w:val="center"/>
            </w:pPr>
            <w:r>
              <w:rPr>
                <w:rFonts w:ascii="Wingdings" w:eastAsia="Wingdings" w:hAnsi="Wingdings" w:cs="Wingdings"/>
              </w:rPr>
              <w:t>ü</w:t>
            </w:r>
          </w:p>
        </w:tc>
        <w:tc>
          <w:tcPr>
            <w:tcW w:w="1996" w:type="dxa"/>
            <w:vAlign w:val="center"/>
          </w:tcPr>
          <w:p w14:paraId="2F14EAE8" w14:textId="77777777" w:rsidR="00CF704E" w:rsidRDefault="00CF704E" w:rsidP="00942BBB">
            <w:pPr>
              <w:spacing w:line="276" w:lineRule="auto"/>
              <w:jc w:val="center"/>
            </w:pPr>
            <w:r>
              <w:rPr>
                <w:rFonts w:ascii="Wingdings" w:eastAsia="Wingdings" w:hAnsi="Wingdings" w:cs="Wingdings"/>
              </w:rPr>
              <w:t>ü</w:t>
            </w:r>
          </w:p>
        </w:tc>
      </w:tr>
      <w:tr w:rsidR="00CF704E" w14:paraId="673896C8" w14:textId="77777777" w:rsidTr="00942BBB">
        <w:tc>
          <w:tcPr>
            <w:tcW w:w="2949" w:type="dxa"/>
          </w:tcPr>
          <w:p w14:paraId="066DAB93" w14:textId="77777777" w:rsidR="00CF704E" w:rsidRDefault="00CF704E" w:rsidP="00942BBB">
            <w:r>
              <w:t>Partner with community-based organizations (CBOs) to conduct engagement, education and outreach</w:t>
            </w:r>
          </w:p>
        </w:tc>
        <w:tc>
          <w:tcPr>
            <w:tcW w:w="2401" w:type="dxa"/>
            <w:vAlign w:val="center"/>
          </w:tcPr>
          <w:p w14:paraId="385BCEB7" w14:textId="77777777" w:rsidR="00CF704E" w:rsidRDefault="00CF704E" w:rsidP="00942BBB">
            <w:pPr>
              <w:spacing w:line="276" w:lineRule="auto"/>
              <w:jc w:val="center"/>
            </w:pPr>
            <w:r>
              <w:rPr>
                <w:rFonts w:ascii="Wingdings" w:eastAsia="Wingdings" w:hAnsi="Wingdings" w:cs="Wingdings"/>
              </w:rPr>
              <w:t>ü</w:t>
            </w:r>
          </w:p>
        </w:tc>
        <w:tc>
          <w:tcPr>
            <w:tcW w:w="2004" w:type="dxa"/>
            <w:vAlign w:val="center"/>
          </w:tcPr>
          <w:p w14:paraId="351611AE" w14:textId="77777777" w:rsidR="00CF704E" w:rsidRDefault="00CF704E" w:rsidP="00942BBB">
            <w:pPr>
              <w:spacing w:line="276" w:lineRule="auto"/>
              <w:jc w:val="center"/>
            </w:pPr>
            <w:r>
              <w:rPr>
                <w:rFonts w:ascii="Wingdings" w:eastAsia="Wingdings" w:hAnsi="Wingdings" w:cs="Wingdings"/>
              </w:rPr>
              <w:t>ü</w:t>
            </w:r>
          </w:p>
        </w:tc>
        <w:tc>
          <w:tcPr>
            <w:tcW w:w="1996" w:type="dxa"/>
            <w:vAlign w:val="center"/>
          </w:tcPr>
          <w:p w14:paraId="2AB119D4" w14:textId="77777777" w:rsidR="00CF704E" w:rsidRDefault="00CF704E" w:rsidP="00942BBB">
            <w:pPr>
              <w:spacing w:line="276" w:lineRule="auto"/>
              <w:jc w:val="center"/>
            </w:pPr>
            <w:r>
              <w:rPr>
                <w:rFonts w:ascii="Wingdings" w:eastAsia="Wingdings" w:hAnsi="Wingdings" w:cs="Wingdings"/>
              </w:rPr>
              <w:t>ü</w:t>
            </w:r>
          </w:p>
        </w:tc>
      </w:tr>
      <w:tr w:rsidR="00CF704E" w14:paraId="31851F34" w14:textId="77777777" w:rsidTr="00942BBB">
        <w:tc>
          <w:tcPr>
            <w:tcW w:w="2949" w:type="dxa"/>
          </w:tcPr>
          <w:p w14:paraId="00FD5C6A" w14:textId="77777777" w:rsidR="00CF704E" w:rsidRDefault="00CF704E" w:rsidP="00942BBB">
            <w:r>
              <w:t>Community-based participatory research and pre- and post-treatment participant satisfaction surveys</w:t>
            </w:r>
          </w:p>
        </w:tc>
        <w:tc>
          <w:tcPr>
            <w:tcW w:w="2401" w:type="dxa"/>
            <w:vAlign w:val="center"/>
          </w:tcPr>
          <w:p w14:paraId="12CEF540" w14:textId="77777777" w:rsidR="00CF704E" w:rsidRDefault="00CF704E" w:rsidP="00942BBB">
            <w:pPr>
              <w:spacing w:line="276" w:lineRule="auto"/>
              <w:jc w:val="center"/>
            </w:pPr>
            <w:r>
              <w:rPr>
                <w:rFonts w:ascii="Wingdings" w:eastAsia="Wingdings" w:hAnsi="Wingdings" w:cs="Wingdings"/>
              </w:rPr>
              <w:t>ü</w:t>
            </w:r>
          </w:p>
        </w:tc>
        <w:tc>
          <w:tcPr>
            <w:tcW w:w="2004" w:type="dxa"/>
            <w:vAlign w:val="center"/>
          </w:tcPr>
          <w:p w14:paraId="28A34835" w14:textId="77777777" w:rsidR="00CF704E" w:rsidRDefault="00CF704E" w:rsidP="00942BBB">
            <w:pPr>
              <w:spacing w:line="276" w:lineRule="auto"/>
              <w:jc w:val="center"/>
            </w:pPr>
            <w:r>
              <w:rPr>
                <w:rFonts w:ascii="Wingdings" w:eastAsia="Wingdings" w:hAnsi="Wingdings" w:cs="Wingdings"/>
              </w:rPr>
              <w:t>ü</w:t>
            </w:r>
          </w:p>
        </w:tc>
        <w:tc>
          <w:tcPr>
            <w:tcW w:w="1996" w:type="dxa"/>
            <w:vAlign w:val="center"/>
          </w:tcPr>
          <w:p w14:paraId="1B15E1D3" w14:textId="77777777" w:rsidR="00CF704E" w:rsidRDefault="00CF704E" w:rsidP="00942BBB">
            <w:pPr>
              <w:spacing w:line="276" w:lineRule="auto"/>
              <w:jc w:val="center"/>
            </w:pPr>
            <w:r>
              <w:rPr>
                <w:rFonts w:ascii="Wingdings" w:eastAsia="Wingdings" w:hAnsi="Wingdings" w:cs="Wingdings"/>
              </w:rPr>
              <w:t>ü</w:t>
            </w:r>
          </w:p>
        </w:tc>
      </w:tr>
      <w:tr w:rsidR="00CF704E" w14:paraId="08A10D0C" w14:textId="77777777" w:rsidTr="00942BBB">
        <w:tc>
          <w:tcPr>
            <w:tcW w:w="2949" w:type="dxa"/>
          </w:tcPr>
          <w:p w14:paraId="5B0ACAEB" w14:textId="77777777" w:rsidR="00CF704E" w:rsidRDefault="00CF704E" w:rsidP="00942BBB">
            <w:r>
              <w:t>Community and stakeholder meetings, webinars and calls</w:t>
            </w:r>
          </w:p>
        </w:tc>
        <w:tc>
          <w:tcPr>
            <w:tcW w:w="2401" w:type="dxa"/>
            <w:vAlign w:val="center"/>
          </w:tcPr>
          <w:p w14:paraId="48178455" w14:textId="77777777" w:rsidR="00CF704E" w:rsidRDefault="00CF704E" w:rsidP="00942BBB">
            <w:pPr>
              <w:spacing w:line="276" w:lineRule="auto"/>
              <w:jc w:val="center"/>
            </w:pPr>
            <w:r>
              <w:rPr>
                <w:rFonts w:ascii="Wingdings" w:eastAsia="Wingdings" w:hAnsi="Wingdings" w:cs="Wingdings"/>
              </w:rPr>
              <w:t>ü</w:t>
            </w:r>
          </w:p>
        </w:tc>
        <w:tc>
          <w:tcPr>
            <w:tcW w:w="2004" w:type="dxa"/>
            <w:vAlign w:val="center"/>
          </w:tcPr>
          <w:p w14:paraId="493C82B3" w14:textId="77777777" w:rsidR="00CF704E" w:rsidRDefault="00CF704E" w:rsidP="00942BBB">
            <w:pPr>
              <w:spacing w:line="276" w:lineRule="auto"/>
              <w:jc w:val="center"/>
            </w:pPr>
            <w:r>
              <w:rPr>
                <w:rFonts w:ascii="Wingdings" w:eastAsia="Wingdings" w:hAnsi="Wingdings" w:cs="Wingdings"/>
              </w:rPr>
              <w:t>ü</w:t>
            </w:r>
          </w:p>
        </w:tc>
        <w:tc>
          <w:tcPr>
            <w:tcW w:w="1996" w:type="dxa"/>
            <w:vAlign w:val="center"/>
          </w:tcPr>
          <w:p w14:paraId="316EF45B" w14:textId="77777777" w:rsidR="00CF704E" w:rsidRDefault="00CF704E" w:rsidP="00942BBB">
            <w:pPr>
              <w:spacing w:line="276" w:lineRule="auto"/>
              <w:jc w:val="center"/>
            </w:pPr>
            <w:r>
              <w:rPr>
                <w:rFonts w:ascii="Wingdings" w:eastAsia="Wingdings" w:hAnsi="Wingdings" w:cs="Wingdings"/>
              </w:rPr>
              <w:t>ü</w:t>
            </w:r>
          </w:p>
        </w:tc>
      </w:tr>
      <w:tr w:rsidR="00CF704E" w14:paraId="7F2BEF98" w14:textId="77777777" w:rsidTr="00942BBB">
        <w:tc>
          <w:tcPr>
            <w:tcW w:w="2949" w:type="dxa"/>
          </w:tcPr>
          <w:p w14:paraId="257E2B80" w14:textId="77777777" w:rsidR="00CF704E" w:rsidRDefault="00CF704E" w:rsidP="00942BBB">
            <w:r>
              <w:t>Community benefit agreements</w:t>
            </w:r>
          </w:p>
        </w:tc>
        <w:tc>
          <w:tcPr>
            <w:tcW w:w="2401" w:type="dxa"/>
            <w:vAlign w:val="center"/>
          </w:tcPr>
          <w:p w14:paraId="7457926E" w14:textId="77777777" w:rsidR="00CF704E" w:rsidRDefault="00CF704E" w:rsidP="00942BBB">
            <w:pPr>
              <w:spacing w:line="276" w:lineRule="auto"/>
              <w:jc w:val="center"/>
            </w:pPr>
            <w:r>
              <w:rPr>
                <w:rFonts w:ascii="Wingdings" w:eastAsia="Wingdings" w:hAnsi="Wingdings" w:cs="Wingdings"/>
              </w:rPr>
              <w:t>ü</w:t>
            </w:r>
          </w:p>
        </w:tc>
        <w:tc>
          <w:tcPr>
            <w:tcW w:w="2004" w:type="dxa"/>
            <w:vAlign w:val="center"/>
          </w:tcPr>
          <w:p w14:paraId="5E998A5C" w14:textId="77777777" w:rsidR="00CF704E" w:rsidRDefault="00CF704E" w:rsidP="00942BBB">
            <w:pPr>
              <w:spacing w:line="276" w:lineRule="auto"/>
              <w:jc w:val="center"/>
            </w:pPr>
          </w:p>
        </w:tc>
        <w:tc>
          <w:tcPr>
            <w:tcW w:w="1996" w:type="dxa"/>
            <w:vAlign w:val="center"/>
          </w:tcPr>
          <w:p w14:paraId="435DC3C3" w14:textId="77777777" w:rsidR="00CF704E" w:rsidRDefault="00CF704E" w:rsidP="00942BBB">
            <w:pPr>
              <w:spacing w:line="276" w:lineRule="auto"/>
              <w:jc w:val="center"/>
            </w:pPr>
          </w:p>
        </w:tc>
      </w:tr>
      <w:tr w:rsidR="00CF704E" w14:paraId="35BE08E7" w14:textId="77777777" w:rsidTr="00942BBB">
        <w:tc>
          <w:tcPr>
            <w:tcW w:w="2949" w:type="dxa"/>
          </w:tcPr>
          <w:p w14:paraId="53939FAA" w14:textId="77777777" w:rsidR="00CF704E" w:rsidRDefault="00CF704E" w:rsidP="00942BBB">
            <w:pPr>
              <w:spacing w:line="276" w:lineRule="auto"/>
            </w:pPr>
            <w:r w:rsidRPr="009B3439">
              <w:t>Door-to-door canvassing</w:t>
            </w:r>
          </w:p>
        </w:tc>
        <w:tc>
          <w:tcPr>
            <w:tcW w:w="2401" w:type="dxa"/>
            <w:vAlign w:val="center"/>
          </w:tcPr>
          <w:p w14:paraId="616129ED" w14:textId="77777777" w:rsidR="00CF704E" w:rsidRDefault="00CF704E" w:rsidP="00942BBB">
            <w:pPr>
              <w:spacing w:line="276" w:lineRule="auto"/>
              <w:jc w:val="center"/>
            </w:pPr>
            <w:r>
              <w:rPr>
                <w:rFonts w:ascii="Wingdings" w:eastAsia="Wingdings" w:hAnsi="Wingdings" w:cs="Wingdings"/>
              </w:rPr>
              <w:t>ü</w:t>
            </w:r>
          </w:p>
        </w:tc>
        <w:tc>
          <w:tcPr>
            <w:tcW w:w="2004" w:type="dxa"/>
            <w:vAlign w:val="center"/>
          </w:tcPr>
          <w:p w14:paraId="67925BE3" w14:textId="77777777" w:rsidR="00CF704E" w:rsidRDefault="00CF704E" w:rsidP="00942BBB">
            <w:pPr>
              <w:spacing w:line="276" w:lineRule="auto"/>
              <w:jc w:val="center"/>
            </w:pPr>
            <w:r>
              <w:rPr>
                <w:rFonts w:ascii="Wingdings" w:eastAsia="Wingdings" w:hAnsi="Wingdings" w:cs="Wingdings"/>
              </w:rPr>
              <w:t>ü</w:t>
            </w:r>
          </w:p>
        </w:tc>
        <w:tc>
          <w:tcPr>
            <w:tcW w:w="1996" w:type="dxa"/>
            <w:vAlign w:val="center"/>
          </w:tcPr>
          <w:p w14:paraId="74DBF7CA" w14:textId="77777777" w:rsidR="00CF704E" w:rsidRDefault="00CF704E" w:rsidP="00942BBB">
            <w:pPr>
              <w:spacing w:line="276" w:lineRule="auto"/>
              <w:jc w:val="center"/>
            </w:pPr>
          </w:p>
        </w:tc>
      </w:tr>
      <w:tr w:rsidR="00CF704E" w14:paraId="14403919" w14:textId="77777777" w:rsidTr="00942BBB">
        <w:tc>
          <w:tcPr>
            <w:tcW w:w="2949" w:type="dxa"/>
          </w:tcPr>
          <w:p w14:paraId="56685DF5" w14:textId="77777777" w:rsidR="00CF704E" w:rsidRPr="009B7294" w:rsidRDefault="00CF704E" w:rsidP="00942BBB">
            <w:r w:rsidRPr="009B7294">
              <w:t>Educational events (e.g., workshops, present during existing community events)</w:t>
            </w:r>
          </w:p>
        </w:tc>
        <w:tc>
          <w:tcPr>
            <w:tcW w:w="2401" w:type="dxa"/>
            <w:vAlign w:val="center"/>
          </w:tcPr>
          <w:p w14:paraId="7CE96A40" w14:textId="77777777" w:rsidR="00CF704E" w:rsidRPr="001253D1" w:rsidRDefault="00CF704E" w:rsidP="00942BBB">
            <w:pPr>
              <w:jc w:val="center"/>
            </w:pPr>
            <w:r>
              <w:rPr>
                <w:rFonts w:ascii="Wingdings" w:eastAsia="Wingdings" w:hAnsi="Wingdings" w:cs="Wingdings"/>
              </w:rPr>
              <w:t>ü</w:t>
            </w:r>
          </w:p>
        </w:tc>
        <w:tc>
          <w:tcPr>
            <w:tcW w:w="2004" w:type="dxa"/>
            <w:vAlign w:val="center"/>
          </w:tcPr>
          <w:p w14:paraId="219E08D2" w14:textId="77777777" w:rsidR="00CF704E" w:rsidRDefault="00CF704E" w:rsidP="00942BBB">
            <w:pPr>
              <w:spacing w:line="276" w:lineRule="auto"/>
              <w:jc w:val="center"/>
            </w:pPr>
            <w:r>
              <w:rPr>
                <w:rFonts w:ascii="Wingdings" w:eastAsia="Wingdings" w:hAnsi="Wingdings" w:cs="Wingdings"/>
              </w:rPr>
              <w:t>ü</w:t>
            </w:r>
          </w:p>
        </w:tc>
        <w:tc>
          <w:tcPr>
            <w:tcW w:w="1996" w:type="dxa"/>
            <w:vAlign w:val="center"/>
          </w:tcPr>
          <w:p w14:paraId="46C52599" w14:textId="77777777" w:rsidR="00CF704E" w:rsidRPr="00D70244" w:rsidRDefault="00CF704E" w:rsidP="00942BBB">
            <w:pPr>
              <w:spacing w:line="276" w:lineRule="auto"/>
              <w:jc w:val="center"/>
            </w:pPr>
          </w:p>
        </w:tc>
      </w:tr>
      <w:tr w:rsidR="00CF704E" w14:paraId="73CCAEED" w14:textId="77777777" w:rsidTr="00942BBB">
        <w:tc>
          <w:tcPr>
            <w:tcW w:w="2949" w:type="dxa"/>
          </w:tcPr>
          <w:p w14:paraId="7EDB37BD" w14:textId="77777777" w:rsidR="00CF704E" w:rsidRPr="0011626A" w:rsidRDefault="00CF704E" w:rsidP="00942BBB">
            <w:pPr>
              <w:rPr>
                <w:highlight w:val="yellow"/>
              </w:rPr>
            </w:pPr>
            <w:r w:rsidRPr="009B7294">
              <w:t>Educational materials and information sharing (e.g., website, social media, flyers, signs in project area, radio, newspaper)</w:t>
            </w:r>
          </w:p>
        </w:tc>
        <w:tc>
          <w:tcPr>
            <w:tcW w:w="2401" w:type="dxa"/>
            <w:vAlign w:val="center"/>
          </w:tcPr>
          <w:p w14:paraId="3AF64EB0" w14:textId="77777777" w:rsidR="00CF704E" w:rsidRDefault="00CF704E" w:rsidP="00942BBB">
            <w:pPr>
              <w:spacing w:line="276" w:lineRule="auto"/>
              <w:jc w:val="center"/>
            </w:pPr>
            <w:r>
              <w:rPr>
                <w:rFonts w:ascii="Wingdings" w:eastAsia="Wingdings" w:hAnsi="Wingdings" w:cs="Wingdings"/>
              </w:rPr>
              <w:t>ü</w:t>
            </w:r>
          </w:p>
        </w:tc>
        <w:tc>
          <w:tcPr>
            <w:tcW w:w="2004" w:type="dxa"/>
            <w:vAlign w:val="center"/>
          </w:tcPr>
          <w:p w14:paraId="163587B0" w14:textId="77777777" w:rsidR="00CF704E" w:rsidRDefault="00CF704E" w:rsidP="00942BBB">
            <w:pPr>
              <w:spacing w:line="276" w:lineRule="auto"/>
              <w:jc w:val="center"/>
            </w:pPr>
            <w:r>
              <w:rPr>
                <w:rFonts w:ascii="Wingdings" w:eastAsia="Wingdings" w:hAnsi="Wingdings" w:cs="Wingdings"/>
              </w:rPr>
              <w:t>ü</w:t>
            </w:r>
          </w:p>
        </w:tc>
        <w:tc>
          <w:tcPr>
            <w:tcW w:w="1996" w:type="dxa"/>
            <w:vAlign w:val="center"/>
          </w:tcPr>
          <w:p w14:paraId="1EA324EF" w14:textId="77777777" w:rsidR="00CF704E" w:rsidRDefault="00CF704E" w:rsidP="00942BBB">
            <w:pPr>
              <w:spacing w:line="276" w:lineRule="auto"/>
              <w:jc w:val="center"/>
            </w:pPr>
          </w:p>
        </w:tc>
      </w:tr>
      <w:tr w:rsidR="00CF704E" w14:paraId="4B966E1C" w14:textId="77777777" w:rsidTr="00942BBB">
        <w:tc>
          <w:tcPr>
            <w:tcW w:w="2949" w:type="dxa"/>
          </w:tcPr>
          <w:p w14:paraId="0E5FAC97" w14:textId="77777777" w:rsidR="00CF704E" w:rsidRDefault="00CF704E" w:rsidP="00942BBB">
            <w:r>
              <w:t>Focus groups and listening sessions</w:t>
            </w:r>
          </w:p>
        </w:tc>
        <w:tc>
          <w:tcPr>
            <w:tcW w:w="2401" w:type="dxa"/>
            <w:vAlign w:val="center"/>
          </w:tcPr>
          <w:p w14:paraId="076CE551" w14:textId="77777777" w:rsidR="00CF704E" w:rsidRDefault="00CF704E" w:rsidP="00942BBB">
            <w:pPr>
              <w:spacing w:line="276" w:lineRule="auto"/>
              <w:jc w:val="center"/>
            </w:pPr>
            <w:r>
              <w:rPr>
                <w:rFonts w:ascii="Wingdings" w:eastAsia="Wingdings" w:hAnsi="Wingdings" w:cs="Wingdings"/>
              </w:rPr>
              <w:t>ü</w:t>
            </w:r>
          </w:p>
        </w:tc>
        <w:tc>
          <w:tcPr>
            <w:tcW w:w="2004" w:type="dxa"/>
            <w:vAlign w:val="center"/>
          </w:tcPr>
          <w:p w14:paraId="77A5FA56" w14:textId="77777777" w:rsidR="00CF704E" w:rsidRDefault="00CF704E" w:rsidP="00942BBB">
            <w:pPr>
              <w:spacing w:line="276" w:lineRule="auto"/>
              <w:jc w:val="center"/>
            </w:pPr>
            <w:r>
              <w:rPr>
                <w:rFonts w:ascii="Wingdings" w:eastAsia="Wingdings" w:hAnsi="Wingdings" w:cs="Wingdings"/>
              </w:rPr>
              <w:t>ü</w:t>
            </w:r>
          </w:p>
        </w:tc>
        <w:tc>
          <w:tcPr>
            <w:tcW w:w="1996" w:type="dxa"/>
            <w:vAlign w:val="center"/>
          </w:tcPr>
          <w:p w14:paraId="3581B200" w14:textId="77777777" w:rsidR="00CF704E" w:rsidRDefault="00CF704E" w:rsidP="00942BBB">
            <w:pPr>
              <w:spacing w:line="276" w:lineRule="auto"/>
              <w:jc w:val="center"/>
            </w:pPr>
            <w:r>
              <w:rPr>
                <w:rFonts w:ascii="Wingdings" w:eastAsia="Wingdings" w:hAnsi="Wingdings" w:cs="Wingdings"/>
              </w:rPr>
              <w:t>ü</w:t>
            </w:r>
          </w:p>
        </w:tc>
      </w:tr>
      <w:tr w:rsidR="00CF704E" w14:paraId="0FD5DBED" w14:textId="77777777" w:rsidTr="00942BBB">
        <w:tc>
          <w:tcPr>
            <w:tcW w:w="2949" w:type="dxa"/>
          </w:tcPr>
          <w:p w14:paraId="650B0648" w14:textId="77777777" w:rsidR="00CF704E" w:rsidRDefault="00CF704E" w:rsidP="00942BBB">
            <w:r>
              <w:t>Staff positions focused on community engagement, outreach and education</w:t>
            </w:r>
          </w:p>
        </w:tc>
        <w:tc>
          <w:tcPr>
            <w:tcW w:w="2401" w:type="dxa"/>
            <w:vAlign w:val="center"/>
          </w:tcPr>
          <w:p w14:paraId="72FCD763" w14:textId="77777777" w:rsidR="00CF704E" w:rsidRDefault="00CF704E" w:rsidP="00942BBB">
            <w:pPr>
              <w:spacing w:line="276" w:lineRule="auto"/>
              <w:jc w:val="center"/>
            </w:pPr>
            <w:r>
              <w:rPr>
                <w:rFonts w:ascii="Wingdings" w:eastAsia="Wingdings" w:hAnsi="Wingdings" w:cs="Wingdings"/>
              </w:rPr>
              <w:t>ü</w:t>
            </w:r>
          </w:p>
        </w:tc>
        <w:tc>
          <w:tcPr>
            <w:tcW w:w="2004" w:type="dxa"/>
            <w:vAlign w:val="center"/>
          </w:tcPr>
          <w:p w14:paraId="68DFEBFF" w14:textId="77777777" w:rsidR="00CF704E" w:rsidRDefault="00CF704E" w:rsidP="00942BBB">
            <w:pPr>
              <w:spacing w:line="276" w:lineRule="auto"/>
              <w:jc w:val="center"/>
            </w:pPr>
            <w:r>
              <w:rPr>
                <w:rFonts w:ascii="Wingdings" w:eastAsia="Wingdings" w:hAnsi="Wingdings" w:cs="Wingdings"/>
              </w:rPr>
              <w:t>ü</w:t>
            </w:r>
          </w:p>
        </w:tc>
        <w:tc>
          <w:tcPr>
            <w:tcW w:w="1996" w:type="dxa"/>
            <w:vAlign w:val="center"/>
          </w:tcPr>
          <w:p w14:paraId="716D795D" w14:textId="77777777" w:rsidR="00CF704E" w:rsidRDefault="00CF704E" w:rsidP="00942BBB">
            <w:pPr>
              <w:spacing w:line="276" w:lineRule="auto"/>
              <w:jc w:val="center"/>
            </w:pPr>
            <w:r>
              <w:rPr>
                <w:rFonts w:ascii="Wingdings" w:eastAsia="Wingdings" w:hAnsi="Wingdings" w:cs="Wingdings"/>
              </w:rPr>
              <w:t>ü</w:t>
            </w:r>
          </w:p>
        </w:tc>
      </w:tr>
    </w:tbl>
    <w:p w14:paraId="7BCE33F0" w14:textId="77777777" w:rsidR="00CC0BB0" w:rsidRPr="00BD1D99" w:rsidRDefault="00CC0BB0" w:rsidP="00BD1D99">
      <w:pPr>
        <w:spacing w:line="276" w:lineRule="auto"/>
        <w:rPr>
          <w:rFonts w:ascii="Calibri" w:hAnsi="Calibri" w:cs="Calibri"/>
        </w:rPr>
      </w:pPr>
    </w:p>
    <w:p w14:paraId="30AB8788" w14:textId="448EFB5B" w:rsidR="00CC0BB0" w:rsidRPr="00BD1D99" w:rsidRDefault="00CC0BB0" w:rsidP="00BD1D99">
      <w:pPr>
        <w:spacing w:line="276" w:lineRule="auto"/>
        <w:rPr>
          <w:rFonts w:ascii="Calibri" w:hAnsi="Calibri" w:cs="Calibri"/>
        </w:rPr>
      </w:pPr>
      <w:r w:rsidRPr="00BD1D99">
        <w:rPr>
          <w:rFonts w:ascii="Calibri" w:hAnsi="Calibri" w:cs="Calibri"/>
        </w:rPr>
        <w:t>This table serves as a guide, as a starting point for PAs. They should employ a combination of activities that is most appropriate to the context and needs of the communities in their territories. Consulting with community leaders and CBOs can help PAs identify which engagement activities would be the most effective and impactful, including ones that might not be listed in the table</w:t>
      </w:r>
      <w:r w:rsidR="000900AF">
        <w:rPr>
          <w:rFonts w:ascii="Calibri" w:hAnsi="Calibri" w:cs="Calibri"/>
        </w:rPr>
        <w:t>.</w:t>
      </w:r>
      <w:r w:rsidRPr="00BD1D99">
        <w:rPr>
          <w:rFonts w:ascii="Calibri" w:hAnsi="Calibri" w:cs="Calibri"/>
        </w:rPr>
        <w:t xml:space="preserve"> The check marks in the table are guides to help PAs determine which engagement activities will assist with different phases of program development (each sub-indicator represents a different phase). After incorporating community feedback into their decision-making, a PA can decide that for the context of a program, one of the recommended check marks does not fit their purposes. If so, the PA should indicate in their reporting narrative, including the input received from community leaders and CBOs, the rationale for this choice (e.g., X activity only applies to program design &amp; implementation; Y activity only applies to program implementation).</w:t>
      </w:r>
    </w:p>
    <w:p w14:paraId="3F7B444C" w14:textId="33F65D7B" w:rsidR="00CC0BB0" w:rsidRPr="00BD1D99" w:rsidRDefault="00CC0BB0" w:rsidP="00BD1D99">
      <w:pPr>
        <w:spacing w:line="276" w:lineRule="auto"/>
        <w:rPr>
          <w:rFonts w:ascii="Calibri" w:hAnsi="Calibri" w:cs="Calibri"/>
          <w:b/>
          <w:bCs/>
        </w:rPr>
      </w:pPr>
    </w:p>
    <w:p w14:paraId="76F7F3EB" w14:textId="5DA04BB7" w:rsidR="00CC0BB0" w:rsidRPr="000900AF" w:rsidRDefault="000900AF" w:rsidP="000900AF">
      <w:pPr>
        <w:keepNext/>
        <w:spacing w:line="276" w:lineRule="auto"/>
      </w:pPr>
      <w:r>
        <w:rPr>
          <w:noProof/>
        </w:rPr>
        <w:drawing>
          <wp:anchor distT="0" distB="0" distL="114300" distR="114300" simplePos="0" relativeHeight="251661312" behindDoc="0" locked="0" layoutInCell="1" allowOverlap="1" wp14:anchorId="44C87D93" wp14:editId="7EDCD8BD">
            <wp:simplePos x="0" y="0"/>
            <wp:positionH relativeFrom="margin">
              <wp:posOffset>-513413</wp:posOffset>
            </wp:positionH>
            <wp:positionV relativeFrom="paragraph">
              <wp:posOffset>572312</wp:posOffset>
            </wp:positionV>
            <wp:extent cx="7040880" cy="4130040"/>
            <wp:effectExtent l="12700" t="12700" r="7620" b="10160"/>
            <wp:wrapThrough wrapText="bothSides">
              <wp:wrapPolygon edited="0">
                <wp:start x="-39" y="-66"/>
                <wp:lineTo x="-39" y="21587"/>
                <wp:lineTo x="21584" y="21587"/>
                <wp:lineTo x="21584" y="-66"/>
                <wp:lineTo x="-39" y="-66"/>
              </wp:wrapPolygon>
            </wp:wrapThrough>
            <wp:docPr id="20" name="Picture 20"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7040880" cy="4130040"/>
                    </a:xfrm>
                    <a:prstGeom prst="rect">
                      <a:avLst/>
                    </a:prstGeom>
                    <a:ln>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r w:rsidR="00CC0BB0" w:rsidRPr="00BD1D99">
        <w:rPr>
          <w:rFonts w:ascii="Calibri" w:hAnsi="Calibri" w:cs="Calibri"/>
          <w:b/>
          <w:bCs/>
        </w:rPr>
        <w:t xml:space="preserve">Figure </w:t>
      </w:r>
      <w:r w:rsidR="00CF704E">
        <w:rPr>
          <w:rFonts w:ascii="Calibri" w:hAnsi="Calibri" w:cs="Calibri"/>
          <w:b/>
          <w:bCs/>
        </w:rPr>
        <w:t>B.</w:t>
      </w:r>
      <w:r w:rsidR="00BD1D99" w:rsidRPr="00BD1D99">
        <w:rPr>
          <w:rFonts w:ascii="Calibri" w:hAnsi="Calibri" w:cs="Calibri"/>
          <w:b/>
          <w:bCs/>
        </w:rPr>
        <w:t>1</w:t>
      </w:r>
      <w:r w:rsidR="00CC0BB0" w:rsidRPr="00BD1D99">
        <w:rPr>
          <w:rFonts w:ascii="Calibri" w:hAnsi="Calibri" w:cs="Calibri"/>
          <w:b/>
          <w:bCs/>
        </w:rPr>
        <w:t xml:space="preserve">: Example Visual Illustration of </w:t>
      </w:r>
      <w:r w:rsidR="00604221">
        <w:rPr>
          <w:rFonts w:ascii="Calibri" w:hAnsi="Calibri" w:cs="Calibri"/>
          <w:b/>
          <w:bCs/>
        </w:rPr>
        <w:t xml:space="preserve">Community Engagement </w:t>
      </w:r>
      <w:r w:rsidR="00CC0BB0" w:rsidRPr="00BD1D99">
        <w:rPr>
          <w:rFonts w:ascii="Calibri" w:hAnsi="Calibri" w:cs="Calibri"/>
          <w:b/>
          <w:bCs/>
        </w:rPr>
        <w:t xml:space="preserve">Option 1 </w:t>
      </w:r>
      <w:r w:rsidR="00604221">
        <w:rPr>
          <w:rFonts w:ascii="Calibri" w:hAnsi="Calibri" w:cs="Calibri"/>
          <w:b/>
          <w:bCs/>
        </w:rPr>
        <w:t>P</w:t>
      </w:r>
      <w:r w:rsidR="00CC0BB0" w:rsidRPr="00BD1D99">
        <w:rPr>
          <w:rFonts w:ascii="Calibri" w:hAnsi="Calibri" w:cs="Calibri"/>
          <w:b/>
          <w:bCs/>
        </w:rPr>
        <w:t>roposal</w:t>
      </w:r>
      <w:r w:rsidR="00CC4BD6" w:rsidRPr="00BD1D99">
        <w:rPr>
          <w:rFonts w:ascii="Calibri" w:hAnsi="Calibri" w:cs="Calibri"/>
          <w:b/>
          <w:bCs/>
        </w:rPr>
        <w:t xml:space="preserve"> </w:t>
      </w:r>
      <w:r w:rsidR="00CC0BB0" w:rsidRPr="00762578">
        <w:rPr>
          <w:rFonts w:ascii="Calibri" w:hAnsi="Calibri" w:cs="Calibri"/>
        </w:rPr>
        <w:br/>
      </w:r>
      <w:r w:rsidR="00CC0BB0" w:rsidRPr="00BD1D99">
        <w:rPr>
          <w:rFonts w:ascii="Calibri" w:hAnsi="Calibri" w:cs="Calibri"/>
        </w:rPr>
        <w:t>(</w:t>
      </w:r>
      <w:r w:rsidR="00CC0BB0" w:rsidRPr="00BD1D99">
        <w:rPr>
          <w:rFonts w:ascii="Calibri" w:hAnsi="Calibri" w:cs="Calibri"/>
          <w:i/>
          <w:iCs/>
        </w:rPr>
        <w:t>Note: there could be one program or more than two programs for the Equity segment</w:t>
      </w:r>
      <w:r w:rsidR="00CC0BB0" w:rsidRPr="00BD1D99">
        <w:rPr>
          <w:rFonts w:ascii="Calibri" w:hAnsi="Calibri" w:cs="Calibri"/>
        </w:rPr>
        <w:t>)</w:t>
      </w:r>
    </w:p>
    <w:p w14:paraId="66A3ADA2" w14:textId="7D9BD0A5" w:rsidR="00CC0BB0" w:rsidRPr="00BD1D99" w:rsidRDefault="00CC0BB0" w:rsidP="00BD1D99">
      <w:pPr>
        <w:spacing w:line="276" w:lineRule="auto"/>
        <w:rPr>
          <w:rFonts w:ascii="Calibri" w:hAnsi="Calibri" w:cs="Calibri"/>
        </w:rPr>
      </w:pPr>
    </w:p>
    <w:p w14:paraId="30490169" w14:textId="77777777" w:rsidR="00CC0BB0" w:rsidRPr="00BD1D99" w:rsidRDefault="00CC0BB0" w:rsidP="00BD1D99">
      <w:pPr>
        <w:spacing w:line="276" w:lineRule="auto"/>
        <w:rPr>
          <w:rFonts w:ascii="Calibri" w:hAnsi="Calibri" w:cs="Calibri"/>
        </w:rPr>
      </w:pPr>
      <w:r w:rsidRPr="00BD1D99">
        <w:rPr>
          <w:rFonts w:ascii="Calibri" w:hAnsi="Calibri" w:cs="Calibri"/>
        </w:rPr>
        <w:t>If an engagement activity includes partnering with community leaders and CBOs, PAs should compensate them for their time and expertise.</w:t>
      </w:r>
      <w:r w:rsidRPr="00BD1D99">
        <w:rPr>
          <w:rStyle w:val="FootnoteReference"/>
          <w:rFonts w:ascii="Calibri" w:hAnsi="Calibri" w:cs="Calibri"/>
        </w:rPr>
        <w:footnoteReference w:id="35"/>
      </w:r>
      <w:r w:rsidRPr="00BD1D99">
        <w:rPr>
          <w:rFonts w:ascii="Calibri" w:hAnsi="Calibri" w:cs="Calibri"/>
        </w:rPr>
        <w:t xml:space="preserve"> Along with conducting education and outreach tasks, CBOs and community leaders should also be consulted in the design and iterative assessment of the program’s overall outreach and engagement strategies. Their feedback should be incorporated as program updates and changes are made. </w:t>
      </w:r>
    </w:p>
    <w:p w14:paraId="7BC7DFA6" w14:textId="77777777" w:rsidR="00CC0BB0" w:rsidRPr="00BD1D99" w:rsidRDefault="00CC0BB0" w:rsidP="00BD1D99">
      <w:pPr>
        <w:spacing w:line="276" w:lineRule="auto"/>
        <w:rPr>
          <w:rFonts w:ascii="Calibri" w:hAnsi="Calibri" w:cs="Calibri"/>
        </w:rPr>
      </w:pPr>
    </w:p>
    <w:p w14:paraId="3DDBE096" w14:textId="77777777" w:rsidR="00CC0BB0" w:rsidRPr="00BD1D99" w:rsidRDefault="00CC0BB0" w:rsidP="00BD1D99">
      <w:pPr>
        <w:spacing w:line="276" w:lineRule="auto"/>
        <w:rPr>
          <w:rFonts w:ascii="Calibri" w:hAnsi="Calibri" w:cs="Calibri"/>
        </w:rPr>
      </w:pPr>
      <w:r w:rsidRPr="00BD1D99">
        <w:rPr>
          <w:rFonts w:ascii="Calibri" w:hAnsi="Calibri" w:cs="Calibri"/>
        </w:rPr>
        <w:t>PAs should address both the quantity and quality of their engagement and outreach activities in the narrative of the program reporting to ensure accountability of the Equity Segment. For example, if a PA chooses to hold community meetings to inform customers about the Equity Segment program(s), the PA should include in its report the number of meetings that were held, the number of attendees in each meeting, and a description of what was discussed during those meetings. If a PA chooses to consult with an advisory body, such as a council or committee, the PA should describe in its report when it consulted this body, as well as the topics that were discussed and the feedback received.</w:t>
      </w:r>
    </w:p>
    <w:p w14:paraId="0C6ED0CB" w14:textId="77777777" w:rsidR="00962C76" w:rsidRPr="00BD1D99" w:rsidRDefault="00962C76" w:rsidP="00BD1D99">
      <w:pPr>
        <w:spacing w:line="276" w:lineRule="auto"/>
        <w:rPr>
          <w:rFonts w:ascii="Calibri" w:hAnsi="Calibri" w:cs="Calibri"/>
          <w:b/>
          <w:bCs/>
        </w:rPr>
      </w:pPr>
    </w:p>
    <w:p w14:paraId="124CBDC3" w14:textId="77777777" w:rsidR="00962C76" w:rsidRPr="00BD1D99" w:rsidRDefault="00962C76" w:rsidP="00BD1D99">
      <w:pPr>
        <w:spacing w:line="276" w:lineRule="auto"/>
        <w:rPr>
          <w:rFonts w:ascii="Calibri" w:hAnsi="Calibri" w:cs="Calibri"/>
          <w:b/>
          <w:bCs/>
        </w:rPr>
      </w:pPr>
      <w:r w:rsidRPr="00BD1D99">
        <w:rPr>
          <w:rFonts w:ascii="Calibri" w:hAnsi="Calibri" w:cs="Calibri"/>
          <w:b/>
          <w:bCs/>
        </w:rPr>
        <w:t xml:space="preserve">Option 2: Community engagement as a principle. </w:t>
      </w:r>
    </w:p>
    <w:p w14:paraId="220266BB" w14:textId="77777777" w:rsidR="00BD1D99" w:rsidRPr="00BD1D99" w:rsidRDefault="00BD1D99" w:rsidP="00BD1D99">
      <w:pPr>
        <w:spacing w:line="276" w:lineRule="auto"/>
        <w:rPr>
          <w:rFonts w:ascii="Calibri" w:hAnsi="Calibri" w:cs="Calibri"/>
          <w:b/>
          <w:bCs/>
        </w:rPr>
      </w:pPr>
      <w:r w:rsidRPr="00BD1D99">
        <w:rPr>
          <w:rFonts w:ascii="Calibri" w:hAnsi="Calibri" w:cs="Calibri"/>
        </w:rPr>
        <w:t>Community Engagement should be a stand-alone principle that indicates the importance of engaging community members (at the appropriate levels) when designing, implementing and evaluating programs. This position is based on the following:</w:t>
      </w:r>
    </w:p>
    <w:p w14:paraId="512BE082" w14:textId="7F578C13" w:rsidR="00BD1D99" w:rsidRPr="00BD1D99" w:rsidRDefault="00BD1D99" w:rsidP="00AE26A9">
      <w:pPr>
        <w:pStyle w:val="ListParagraph"/>
        <w:numPr>
          <w:ilvl w:val="0"/>
          <w:numId w:val="17"/>
        </w:numPr>
        <w:spacing w:after="80"/>
        <w:ind w:left="630"/>
        <w:contextualSpacing w:val="0"/>
        <w:rPr>
          <w:rFonts w:ascii="Calibri" w:hAnsi="Calibri" w:cs="Calibri"/>
        </w:rPr>
      </w:pPr>
      <w:r w:rsidRPr="00BD1D99">
        <w:rPr>
          <w:rFonts w:ascii="Calibri" w:hAnsi="Calibri" w:cs="Calibri"/>
        </w:rPr>
        <w:t xml:space="preserve">The deadlines for the working group report did not </w:t>
      </w:r>
      <w:r w:rsidRPr="00D22AAE">
        <w:rPr>
          <w:rFonts w:ascii="Calibri" w:hAnsi="Calibri" w:cs="Calibri"/>
        </w:rPr>
        <w:t xml:space="preserve">allow </w:t>
      </w:r>
      <w:r w:rsidR="00912FF0" w:rsidRPr="00D22AAE">
        <w:rPr>
          <w:rFonts w:ascii="Calibri" w:hAnsi="Calibri" w:cs="Calibri"/>
        </w:rPr>
        <w:t>sufficient</w:t>
      </w:r>
      <w:r w:rsidR="00912FF0" w:rsidRPr="00EA32A7">
        <w:rPr>
          <w:rFonts w:ascii="Calibri" w:hAnsi="Calibri" w:cs="Calibri"/>
        </w:rPr>
        <w:t xml:space="preserve"> </w:t>
      </w:r>
      <w:r w:rsidRPr="00EA32A7">
        <w:rPr>
          <w:rFonts w:ascii="Calibri" w:hAnsi="Calibri" w:cs="Calibri"/>
        </w:rPr>
        <w:t>time</w:t>
      </w:r>
      <w:r w:rsidRPr="00BD1D99">
        <w:rPr>
          <w:rFonts w:ascii="Calibri" w:hAnsi="Calibri" w:cs="Calibri"/>
        </w:rPr>
        <w:t xml:space="preserve"> for discussion of a community engagement indicator. More time and thought should be put into how to measure community engagement. </w:t>
      </w:r>
    </w:p>
    <w:p w14:paraId="1B50CD7F" w14:textId="77777777" w:rsidR="00BD1D99" w:rsidRPr="00BD1D99" w:rsidRDefault="00BD1D99" w:rsidP="00AE26A9">
      <w:pPr>
        <w:pStyle w:val="ListParagraph"/>
        <w:numPr>
          <w:ilvl w:val="0"/>
          <w:numId w:val="17"/>
        </w:numPr>
        <w:spacing w:after="80"/>
        <w:ind w:left="630"/>
        <w:contextualSpacing w:val="0"/>
        <w:rPr>
          <w:rFonts w:ascii="Calibri" w:hAnsi="Calibri" w:cs="Calibri"/>
        </w:rPr>
      </w:pPr>
      <w:r w:rsidRPr="00BD1D99">
        <w:rPr>
          <w:rFonts w:ascii="Calibri" w:hAnsi="Calibri" w:cs="Calibri"/>
        </w:rPr>
        <w:t xml:space="preserve">We note that the current proposal is not one indicator, but rather a complex matrix and flow chart with supporting directions that was not vetted or agreed upon within the working group. </w:t>
      </w:r>
      <w:r w:rsidRPr="00BD1D99">
        <w:rPr>
          <w:rFonts w:ascii="Calibri" w:eastAsia="Times New Roman" w:hAnsi="Calibri" w:cs="Calibri"/>
        </w:rPr>
        <w:t xml:space="preserve">It was clarified days after the final meeting that the current proposal is for one indicator with three sub-indicators. </w:t>
      </w:r>
      <w:r w:rsidRPr="00BD1D99">
        <w:rPr>
          <w:rFonts w:ascii="Calibri" w:hAnsi="Calibri" w:cs="Calibri"/>
        </w:rPr>
        <w:t>While this clarification is useful (since previous iterations appeared to be 10, or perhaps even 30 indicators), there is a need for further discussion to make sure that the examples provided will really provide stakeholders with relevant and reliable information. Currently, it is not sufficiently clear to all of the PAs what is being requested in this formulation and moreover several of the PAs have alternative community engagement approaches that are underway and should also be discussed before adopting a suggested approach.</w:t>
      </w:r>
    </w:p>
    <w:p w14:paraId="05E834B1" w14:textId="77777777" w:rsidR="00BD1D99" w:rsidRPr="00BD1D99" w:rsidRDefault="00BD1D99" w:rsidP="00AE26A9">
      <w:pPr>
        <w:pStyle w:val="ListParagraph"/>
        <w:numPr>
          <w:ilvl w:val="0"/>
          <w:numId w:val="17"/>
        </w:numPr>
        <w:spacing w:after="80"/>
        <w:ind w:left="630"/>
        <w:contextualSpacing w:val="0"/>
        <w:rPr>
          <w:rFonts w:ascii="Calibri" w:eastAsia="Times New Roman" w:hAnsi="Calibri" w:cs="Calibri"/>
        </w:rPr>
      </w:pPr>
      <w:r w:rsidRPr="00BD1D99">
        <w:rPr>
          <w:rFonts w:ascii="Calibri" w:eastAsia="Times New Roman" w:hAnsi="Calibri" w:cs="Calibri"/>
        </w:rPr>
        <w:t xml:space="preserve">While indicators are not required to have targets, they should have most of the S.M.A.R.T. characteristics of a metric, i.e., they should be Specific, Measurable, Achievable, Relevant and Time-Bound. While we acknowledge that many of the 10 items shown in the “Recommended Community Engagement Activities” table of the proposal are valuable, some of the items in the current matrix (e.g., educational materials and information sharing described as website, social media, flyers, signs in project area, radio, newspaper) </w:t>
      </w:r>
      <w:r w:rsidRPr="00BD1D99">
        <w:rPr>
          <w:rFonts w:ascii="Calibri" w:hAnsi="Calibri" w:cs="Calibri"/>
        </w:rPr>
        <w:t>are shown to be within two different indicators and would need further clarification in terms of measurement and relevancy.</w:t>
      </w:r>
      <w:r w:rsidRPr="00BD1D99">
        <w:rPr>
          <w:rFonts w:ascii="Calibri" w:eastAsia="Times New Roman" w:hAnsi="Calibri" w:cs="Calibri"/>
        </w:rPr>
        <w:t xml:space="preserve"> In the proposed indicator example, it is unclear if a PA should count a website as one thing, and social media as a second thing, or if you would count the number of impressions for each  (e.g., 200,000 website hits and 20,000 social media impressions). Moreover, the educational materials – while an important part of any program – represent activities that inform (in one direction) rather than really engaging community members (in two directions)</w:t>
      </w:r>
      <w:r w:rsidRPr="00BD1D99">
        <w:rPr>
          <w:rFonts w:ascii="Calibri" w:hAnsi="Calibri" w:cs="Calibri"/>
        </w:rPr>
        <w:t xml:space="preserve"> and so may not be a specific (or relevant) indicator of community engagement.</w:t>
      </w:r>
      <w:r w:rsidRPr="00BD1D99">
        <w:rPr>
          <w:rFonts w:ascii="Calibri" w:eastAsia="Times New Roman" w:hAnsi="Calibri" w:cs="Calibri"/>
        </w:rPr>
        <w:t xml:space="preserve"> Other items in the table, such as door-to-door canvasing, may not be appropriate for some DAC, HTR or underserved HH, businesses and communities. While this is recognized in the text surrounding the proposed indicator, there is an assumption behind </w:t>
      </w:r>
      <w:r w:rsidRPr="00BD1D99">
        <w:rPr>
          <w:rFonts w:ascii="Calibri" w:hAnsi="Calibri" w:cs="Calibri"/>
        </w:rPr>
        <w:t xml:space="preserve">the measurement (and interpretation) of any </w:t>
      </w:r>
      <w:r w:rsidRPr="00BD1D99">
        <w:rPr>
          <w:rFonts w:ascii="Calibri" w:eastAsia="Times New Roman" w:hAnsi="Calibri" w:cs="Calibri"/>
        </w:rPr>
        <w:t>indicator that it should move in a specific direction, e.g., more is better or less is better. In the case of this proposed indicator, 200,000 engagements would most likely be viewed as more valuable than 400 engagements, but the 200,000 may be impressions while the 400 are in-depth discussions with equity-targeted groups. As such, we feel that the current proposal has not been vetted well enough to be specific, relevant or reliable and as currently presented, may not accurately convey the quantity or quality of the community engagement to stakeholders – especially if the PAs do not understand what is needed and could then provide inconsistent information.</w:t>
      </w:r>
    </w:p>
    <w:p w14:paraId="383A1C94" w14:textId="481911CF" w:rsidR="00BD1D99" w:rsidRPr="00BD1D99" w:rsidRDefault="00BD1D99" w:rsidP="00BD1D99">
      <w:pPr>
        <w:spacing w:line="276" w:lineRule="auto"/>
        <w:rPr>
          <w:rFonts w:ascii="Calibri" w:hAnsi="Calibri" w:cs="Calibri"/>
        </w:rPr>
      </w:pPr>
      <w:r w:rsidRPr="00BD1D99">
        <w:rPr>
          <w:rFonts w:ascii="Calibri" w:hAnsi="Calibri" w:cs="Calibri"/>
        </w:rPr>
        <w:t>As such, we propose that Community Engagement be a principle that is aligned with the ESJ Action Plan, as described below until there is sufficient time to consider and discuss this topic further.</w:t>
      </w:r>
    </w:p>
    <w:p w14:paraId="04CD0A2B" w14:textId="77777777" w:rsidR="00BD1D99" w:rsidRPr="00BD1D99" w:rsidRDefault="00BD1D99" w:rsidP="00BD1D99">
      <w:pPr>
        <w:spacing w:line="276" w:lineRule="auto"/>
        <w:rPr>
          <w:rFonts w:ascii="Calibri" w:hAnsi="Calibri" w:cs="Calibri"/>
        </w:rPr>
      </w:pPr>
    </w:p>
    <w:p w14:paraId="28672F09" w14:textId="490BD08A" w:rsidR="00BD1D99" w:rsidRPr="00BD1D99" w:rsidRDefault="00BD1D99" w:rsidP="00BD1D99">
      <w:pPr>
        <w:spacing w:line="276" w:lineRule="auto"/>
        <w:rPr>
          <w:rFonts w:ascii="Calibri" w:hAnsi="Calibri" w:cs="Calibri"/>
        </w:rPr>
      </w:pPr>
      <w:bookmarkStart w:id="84" w:name="_Toc83987330"/>
      <w:r w:rsidRPr="00BD1D99">
        <w:rPr>
          <w:rFonts w:ascii="Calibri" w:hAnsi="Calibri" w:cs="Calibri"/>
        </w:rPr>
        <w:t>Principle #7: </w:t>
      </w:r>
      <w:bookmarkEnd w:id="84"/>
      <w:r w:rsidRPr="00BD1D99">
        <w:rPr>
          <w:rFonts w:ascii="Calibri" w:hAnsi="Calibri" w:cs="Calibri"/>
        </w:rPr>
        <w:t>Community Engagement</w:t>
      </w:r>
    </w:p>
    <w:p w14:paraId="654C0B75" w14:textId="77777777" w:rsidR="00BD1D99" w:rsidRPr="00BD1D99" w:rsidRDefault="00BD1D99" w:rsidP="00BD1D99">
      <w:pPr>
        <w:spacing w:line="276" w:lineRule="auto"/>
        <w:rPr>
          <w:rFonts w:ascii="Calibri" w:hAnsi="Calibri" w:cs="Calibri"/>
        </w:rPr>
      </w:pPr>
    </w:p>
    <w:p w14:paraId="19843ADF" w14:textId="77777777" w:rsidR="00BD1D99" w:rsidRPr="00BD1D99" w:rsidRDefault="00BD1D99" w:rsidP="00BD1D99">
      <w:pPr>
        <w:spacing w:line="276" w:lineRule="auto"/>
        <w:rPr>
          <w:rFonts w:ascii="Calibri" w:hAnsi="Calibri" w:cs="Calibri"/>
        </w:rPr>
      </w:pPr>
      <w:r w:rsidRPr="00BD1D99">
        <w:rPr>
          <w:rFonts w:ascii="Calibri" w:hAnsi="Calibri" w:cs="Calibri"/>
          <w:color w:val="000000"/>
        </w:rPr>
        <w:t>Equity-segment programs must have a primary focus of “</w:t>
      </w:r>
      <w:r w:rsidRPr="00BD1D99">
        <w:rPr>
          <w:rFonts w:ascii="Calibri" w:hAnsi="Calibri" w:cs="Calibri"/>
        </w:rPr>
        <w:t xml:space="preserve">providing energy efficiency to hard-to-reach or underserved customers and disadvantaged communities in advancement of the Commission’s Environmental and Social Justice (ESJ) Action Plan.” Equity-segment programs should also seek to </w:t>
      </w:r>
      <w:r w:rsidRPr="00BD1D99">
        <w:rPr>
          <w:rFonts w:ascii="Calibri" w:hAnsi="Calibri" w:cs="Calibri"/>
          <w:b/>
          <w:bCs/>
        </w:rPr>
        <w:t xml:space="preserve">enhance outreach and public participation opportunities for ESJ communities to meaningfully participate in both the program development process and benefit from CPUC programs </w:t>
      </w:r>
      <w:r w:rsidRPr="00BD1D99">
        <w:rPr>
          <w:rFonts w:ascii="Calibri" w:hAnsi="Calibri" w:cs="Calibri"/>
        </w:rPr>
        <w:t>(as paraphrased by Goal 5 of the ESJ). This includes ESJ Goal 5 objectives that directly relate to Equity-segment programs, including:</w:t>
      </w:r>
    </w:p>
    <w:p w14:paraId="00D3453F" w14:textId="77777777" w:rsidR="00BD1D99" w:rsidRPr="00BD1D99" w:rsidRDefault="00BD1D99" w:rsidP="00BE117E">
      <w:pPr>
        <w:pStyle w:val="ListParagraph"/>
        <w:numPr>
          <w:ilvl w:val="0"/>
          <w:numId w:val="18"/>
        </w:numPr>
        <w:autoSpaceDE w:val="0"/>
        <w:autoSpaceDN w:val="0"/>
        <w:adjustRightInd w:val="0"/>
        <w:rPr>
          <w:rFonts w:ascii="Calibri" w:hAnsi="Calibri" w:cs="Calibri"/>
          <w:color w:val="000000"/>
        </w:rPr>
      </w:pPr>
      <w:r w:rsidRPr="00BD1D99">
        <w:rPr>
          <w:rFonts w:ascii="Calibri" w:hAnsi="Calibri" w:cs="Calibri"/>
          <w:color w:val="000000"/>
        </w:rPr>
        <w:t>Interacting directly with communities to understand how they want to engage with Equity-segment programs.</w:t>
      </w:r>
    </w:p>
    <w:p w14:paraId="44143942" w14:textId="77777777" w:rsidR="00BD1D99" w:rsidRPr="00BD1D99" w:rsidRDefault="00BD1D99" w:rsidP="00BE117E">
      <w:pPr>
        <w:pStyle w:val="ListParagraph"/>
        <w:numPr>
          <w:ilvl w:val="0"/>
          <w:numId w:val="18"/>
        </w:numPr>
        <w:autoSpaceDE w:val="0"/>
        <w:autoSpaceDN w:val="0"/>
        <w:adjustRightInd w:val="0"/>
        <w:rPr>
          <w:rFonts w:ascii="Calibri" w:hAnsi="Calibri" w:cs="Calibri"/>
          <w:color w:val="000000"/>
        </w:rPr>
      </w:pPr>
      <w:r w:rsidRPr="00BD1D99">
        <w:rPr>
          <w:rFonts w:ascii="Calibri" w:hAnsi="Calibri" w:cs="Calibri"/>
          <w:color w:val="000000"/>
        </w:rPr>
        <w:t>Creating outreach strategies that introduce Equity-segment program benefits to ESJ communities.</w:t>
      </w:r>
    </w:p>
    <w:p w14:paraId="56E57BBB" w14:textId="77777777" w:rsidR="00BD1D99" w:rsidRPr="00BD1D99" w:rsidRDefault="00BD1D99" w:rsidP="00BE117E">
      <w:pPr>
        <w:pStyle w:val="ListParagraph"/>
        <w:numPr>
          <w:ilvl w:val="0"/>
          <w:numId w:val="18"/>
        </w:numPr>
        <w:autoSpaceDE w:val="0"/>
        <w:autoSpaceDN w:val="0"/>
        <w:adjustRightInd w:val="0"/>
        <w:rPr>
          <w:rFonts w:ascii="Calibri" w:hAnsi="Calibri" w:cs="Calibri"/>
          <w:color w:val="000000"/>
        </w:rPr>
      </w:pPr>
      <w:r w:rsidRPr="00BD1D99">
        <w:rPr>
          <w:rFonts w:ascii="Calibri" w:hAnsi="Calibri" w:cs="Calibri"/>
          <w:color w:val="000000"/>
        </w:rPr>
        <w:t>Fostering open dialogues on environmental and social justice and enhancing program opportunities and delivery to ESJ communities.</w:t>
      </w:r>
    </w:p>
    <w:p w14:paraId="3CC8A9AC" w14:textId="77777777" w:rsidR="00BD1D99" w:rsidRPr="00BD1D99" w:rsidRDefault="00BD1D99" w:rsidP="00BE117E">
      <w:pPr>
        <w:pStyle w:val="ListParagraph"/>
        <w:numPr>
          <w:ilvl w:val="0"/>
          <w:numId w:val="18"/>
        </w:numPr>
        <w:autoSpaceDE w:val="0"/>
        <w:autoSpaceDN w:val="0"/>
        <w:adjustRightInd w:val="0"/>
        <w:rPr>
          <w:rFonts w:ascii="Calibri" w:hAnsi="Calibri" w:cs="Calibri"/>
        </w:rPr>
      </w:pPr>
      <w:r w:rsidRPr="00BD1D99">
        <w:rPr>
          <w:rFonts w:ascii="Calibri" w:hAnsi="Calibri" w:cs="Calibri"/>
          <w:color w:val="000000"/>
        </w:rPr>
        <w:t>Disseminating appropriate and useful information to key stakeholders affected in ESJ communities.</w:t>
      </w:r>
    </w:p>
    <w:p w14:paraId="7281DFB1" w14:textId="79790B71" w:rsidR="00BD1D99" w:rsidRPr="00B4459C" w:rsidRDefault="00BD1D99" w:rsidP="00BD1D99">
      <w:pPr>
        <w:spacing w:line="276" w:lineRule="auto"/>
        <w:rPr>
          <w:rFonts w:ascii="Calibri" w:hAnsi="Calibri" w:cs="Calibri"/>
        </w:rPr>
      </w:pPr>
      <w:r w:rsidRPr="00BD1D99">
        <w:rPr>
          <w:rFonts w:ascii="Calibri" w:hAnsi="Calibri" w:cs="Calibri"/>
        </w:rPr>
        <w:t xml:space="preserve">The </w:t>
      </w:r>
      <w:r w:rsidRPr="00B4459C">
        <w:rPr>
          <w:rFonts w:ascii="Calibri" w:hAnsi="Calibri" w:cs="Calibri"/>
        </w:rPr>
        <w:t xml:space="preserve">EMWG members who prefer each option and find each option acceptable is presented below in Table </w:t>
      </w:r>
      <w:r w:rsidR="00B4459C" w:rsidRPr="00B4459C">
        <w:rPr>
          <w:rFonts w:ascii="Calibri" w:hAnsi="Calibri" w:cs="Calibri"/>
        </w:rPr>
        <w:t>B.2</w:t>
      </w:r>
      <w:r w:rsidRPr="00B4459C">
        <w:rPr>
          <w:rFonts w:ascii="Calibri" w:hAnsi="Calibri" w:cs="Calibri"/>
        </w:rPr>
        <w:t xml:space="preserve">. </w:t>
      </w:r>
      <w:r w:rsidR="00987389" w:rsidRPr="00EA12A6">
        <w:rPr>
          <w:rFonts w:ascii="Calibri" w:hAnsi="Calibri" w:cs="Calibri"/>
        </w:rPr>
        <w:t xml:space="preserve">In addition, some </w:t>
      </w:r>
      <w:r w:rsidR="00987389">
        <w:rPr>
          <w:rFonts w:ascii="Calibri" w:hAnsi="Calibri" w:cs="Calibri"/>
        </w:rPr>
        <w:t>W</w:t>
      </w:r>
      <w:r w:rsidR="00987389" w:rsidRPr="00EA12A6">
        <w:rPr>
          <w:rFonts w:ascii="Calibri" w:hAnsi="Calibri" w:cs="Calibri"/>
        </w:rPr>
        <w:t xml:space="preserve">orking </w:t>
      </w:r>
      <w:r w:rsidR="00987389">
        <w:rPr>
          <w:rFonts w:ascii="Calibri" w:hAnsi="Calibri" w:cs="Calibri"/>
        </w:rPr>
        <w:t>G</w:t>
      </w:r>
      <w:r w:rsidR="00987389" w:rsidRPr="00EA12A6">
        <w:rPr>
          <w:rFonts w:ascii="Calibri" w:hAnsi="Calibri" w:cs="Calibri"/>
        </w:rPr>
        <w:t xml:space="preserve">roup </w:t>
      </w:r>
      <w:r w:rsidR="00987389">
        <w:rPr>
          <w:rFonts w:ascii="Calibri" w:hAnsi="Calibri" w:cs="Calibri"/>
        </w:rPr>
        <w:t>M</w:t>
      </w:r>
      <w:r w:rsidR="00987389" w:rsidRPr="00EA12A6">
        <w:rPr>
          <w:rFonts w:ascii="Calibri" w:hAnsi="Calibri" w:cs="Calibri"/>
        </w:rPr>
        <w:t>embers</w:t>
      </w:r>
      <w:r w:rsidR="00987389">
        <w:rPr>
          <w:rFonts w:ascii="Calibri" w:hAnsi="Calibri" w:cs="Calibri"/>
        </w:rPr>
        <w:t xml:space="preserve"> (indicated by a *)</w:t>
      </w:r>
      <w:r w:rsidR="00987389" w:rsidRPr="00EA12A6">
        <w:rPr>
          <w:rFonts w:ascii="Calibri" w:hAnsi="Calibri" w:cs="Calibri"/>
        </w:rPr>
        <w:t xml:space="preserve"> have provided </w:t>
      </w:r>
      <w:r w:rsidR="00987389" w:rsidRPr="00D22AAE">
        <w:rPr>
          <w:rFonts w:ascii="Calibri" w:hAnsi="Calibri" w:cs="Calibri"/>
        </w:rPr>
        <w:t xml:space="preserve">comments </w:t>
      </w:r>
      <w:r w:rsidR="00912FF0" w:rsidRPr="00D22AAE">
        <w:rPr>
          <w:rFonts w:ascii="Calibri" w:hAnsi="Calibri" w:cs="Calibri"/>
        </w:rPr>
        <w:t>to clarify and elaborate</w:t>
      </w:r>
      <w:r w:rsidR="00912FF0" w:rsidRPr="00EA32A7">
        <w:rPr>
          <w:rFonts w:ascii="Calibri" w:hAnsi="Calibri" w:cs="Calibri"/>
        </w:rPr>
        <w:t xml:space="preserve"> </w:t>
      </w:r>
      <w:r w:rsidR="00987389" w:rsidRPr="00EA32A7">
        <w:rPr>
          <w:rFonts w:ascii="Calibri" w:hAnsi="Calibri" w:cs="Calibri"/>
        </w:rPr>
        <w:t>on</w:t>
      </w:r>
      <w:r w:rsidR="00987389" w:rsidRPr="00EA12A6">
        <w:rPr>
          <w:rFonts w:ascii="Calibri" w:hAnsi="Calibri" w:cs="Calibri"/>
        </w:rPr>
        <w:t xml:space="preserve"> their option choices in Appendix </w:t>
      </w:r>
      <w:r w:rsidR="00987389">
        <w:rPr>
          <w:rFonts w:ascii="Calibri" w:hAnsi="Calibri" w:cs="Calibri"/>
        </w:rPr>
        <w:t>C</w:t>
      </w:r>
      <w:r w:rsidR="00987389" w:rsidRPr="00EA12A6">
        <w:rPr>
          <w:rFonts w:ascii="Calibri" w:hAnsi="Calibri" w:cs="Calibri"/>
        </w:rPr>
        <w:t>.</w:t>
      </w:r>
    </w:p>
    <w:p w14:paraId="7B6F7CE9" w14:textId="77777777" w:rsidR="00BD1D99" w:rsidRPr="00B4459C" w:rsidRDefault="00BD1D99" w:rsidP="00BD1D99">
      <w:pPr>
        <w:spacing w:line="276" w:lineRule="auto"/>
        <w:rPr>
          <w:rFonts w:ascii="Calibri" w:hAnsi="Calibri" w:cs="Calibri"/>
        </w:rPr>
      </w:pPr>
    </w:p>
    <w:p w14:paraId="7F180155" w14:textId="2797D722" w:rsidR="00BD1D99" w:rsidRPr="00BD1D99" w:rsidRDefault="00BD1D99" w:rsidP="00EF03DC">
      <w:pPr>
        <w:keepNext/>
        <w:keepLines/>
        <w:rPr>
          <w:rFonts w:ascii="Calibri" w:hAnsi="Calibri" w:cs="Calibri"/>
        </w:rPr>
      </w:pPr>
      <w:r w:rsidRPr="00B4459C">
        <w:rPr>
          <w:rFonts w:ascii="Calibri" w:hAnsi="Calibri" w:cs="Calibri"/>
        </w:rPr>
        <w:t xml:space="preserve">Table </w:t>
      </w:r>
      <w:r w:rsidR="00B4459C" w:rsidRPr="00B4459C">
        <w:rPr>
          <w:rFonts w:ascii="Calibri" w:hAnsi="Calibri" w:cs="Calibri"/>
        </w:rPr>
        <w:t>B.2</w:t>
      </w:r>
      <w:r w:rsidRPr="00B4459C">
        <w:rPr>
          <w:rFonts w:ascii="Calibri" w:hAnsi="Calibri" w:cs="Calibri"/>
        </w:rPr>
        <w:t>: EMWG</w:t>
      </w:r>
      <w:r w:rsidRPr="00BD1D99">
        <w:rPr>
          <w:rFonts w:ascii="Calibri" w:hAnsi="Calibri" w:cs="Calibri"/>
        </w:rPr>
        <w:t xml:space="preserve"> Support of Community Engagement Options 1 and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3366"/>
        <w:gridCol w:w="2516"/>
      </w:tblGrid>
      <w:tr w:rsidR="00BD1D99" w:rsidRPr="00EF03DC" w14:paraId="385EA69D" w14:textId="77777777" w:rsidTr="00EF03DC">
        <w:trPr>
          <w:trHeight w:val="340"/>
        </w:trPr>
        <w:tc>
          <w:tcPr>
            <w:tcW w:w="3468" w:type="dxa"/>
            <w:shd w:val="clear" w:color="000000" w:fill="8EA9DB"/>
            <w:vAlign w:val="bottom"/>
            <w:hideMark/>
          </w:tcPr>
          <w:p w14:paraId="56F82279" w14:textId="53FED112" w:rsidR="00BD1D99" w:rsidRPr="00EF03DC" w:rsidRDefault="00901B6D" w:rsidP="00EF03DC">
            <w:pPr>
              <w:keepNext/>
              <w:keepLines/>
              <w:rPr>
                <w:rFonts w:ascii="Calibri" w:hAnsi="Calibri" w:cs="Calibri"/>
                <w:b/>
                <w:bCs/>
                <w:color w:val="000000"/>
                <w:sz w:val="18"/>
                <w:szCs w:val="18"/>
              </w:rPr>
            </w:pPr>
            <w:r>
              <w:rPr>
                <w:rFonts w:ascii="Calibri" w:hAnsi="Calibri" w:cs="Calibri"/>
                <w:b/>
                <w:bCs/>
                <w:color w:val="000000"/>
                <w:sz w:val="18"/>
                <w:szCs w:val="18"/>
              </w:rPr>
              <w:t>Community Engagement</w:t>
            </w:r>
            <w:r w:rsidR="00BD1D99" w:rsidRPr="00EF03DC">
              <w:rPr>
                <w:rFonts w:ascii="Calibri" w:hAnsi="Calibri" w:cs="Calibri"/>
                <w:b/>
                <w:bCs/>
                <w:color w:val="000000"/>
                <w:sz w:val="18"/>
                <w:szCs w:val="18"/>
              </w:rPr>
              <w:t xml:space="preserve"> Option</w:t>
            </w:r>
          </w:p>
        </w:tc>
        <w:tc>
          <w:tcPr>
            <w:tcW w:w="3366" w:type="dxa"/>
            <w:shd w:val="clear" w:color="000000" w:fill="8EA9DB"/>
            <w:vAlign w:val="bottom"/>
            <w:hideMark/>
          </w:tcPr>
          <w:p w14:paraId="084F5AE5" w14:textId="77777777" w:rsidR="00BD1D99" w:rsidRPr="00EF03DC" w:rsidRDefault="00BD1D99" w:rsidP="00EF03DC">
            <w:pPr>
              <w:keepNext/>
              <w:keepLines/>
              <w:rPr>
                <w:rFonts w:ascii="Calibri" w:hAnsi="Calibri" w:cs="Calibri"/>
                <w:b/>
                <w:bCs/>
                <w:color w:val="000000"/>
                <w:sz w:val="18"/>
                <w:szCs w:val="18"/>
              </w:rPr>
            </w:pPr>
            <w:r w:rsidRPr="00EF03DC">
              <w:rPr>
                <w:rFonts w:ascii="Calibri" w:hAnsi="Calibri" w:cs="Calibri"/>
                <w:b/>
                <w:bCs/>
                <w:color w:val="000000"/>
                <w:sz w:val="18"/>
                <w:szCs w:val="18"/>
              </w:rPr>
              <w:t>First Choice Option</w:t>
            </w:r>
          </w:p>
        </w:tc>
        <w:tc>
          <w:tcPr>
            <w:tcW w:w="2516" w:type="dxa"/>
            <w:shd w:val="clear" w:color="000000" w:fill="8EA9DB"/>
            <w:vAlign w:val="bottom"/>
            <w:hideMark/>
          </w:tcPr>
          <w:p w14:paraId="675EBBFC" w14:textId="77777777" w:rsidR="00BD1D99" w:rsidRPr="00EF03DC" w:rsidRDefault="00BD1D99" w:rsidP="00EF03DC">
            <w:pPr>
              <w:keepNext/>
              <w:keepLines/>
              <w:rPr>
                <w:rFonts w:ascii="Calibri" w:hAnsi="Calibri" w:cs="Calibri"/>
                <w:b/>
                <w:bCs/>
                <w:color w:val="000000"/>
                <w:sz w:val="18"/>
                <w:szCs w:val="18"/>
              </w:rPr>
            </w:pPr>
            <w:r w:rsidRPr="00EF03DC">
              <w:rPr>
                <w:rFonts w:ascii="Calibri" w:hAnsi="Calibri" w:cs="Calibri"/>
                <w:b/>
                <w:bCs/>
                <w:color w:val="000000"/>
                <w:sz w:val="18"/>
                <w:szCs w:val="18"/>
              </w:rPr>
              <w:t>Acceptable Option</w:t>
            </w:r>
          </w:p>
        </w:tc>
      </w:tr>
      <w:tr w:rsidR="00EF03DC" w:rsidRPr="00EF03DC" w14:paraId="45C733AC" w14:textId="77777777" w:rsidTr="00656DF0">
        <w:trPr>
          <w:trHeight w:val="340"/>
        </w:trPr>
        <w:tc>
          <w:tcPr>
            <w:tcW w:w="3468" w:type="dxa"/>
            <w:shd w:val="clear" w:color="auto" w:fill="auto"/>
            <w:hideMark/>
          </w:tcPr>
          <w:p w14:paraId="222A9660" w14:textId="291B3B98" w:rsidR="00EF03DC" w:rsidRPr="00EF03DC" w:rsidRDefault="00EF03DC" w:rsidP="00656DF0">
            <w:pPr>
              <w:keepNext/>
              <w:keepLines/>
              <w:rPr>
                <w:rFonts w:ascii="Calibri" w:hAnsi="Calibri" w:cs="Calibri"/>
                <w:sz w:val="18"/>
                <w:szCs w:val="18"/>
              </w:rPr>
            </w:pPr>
            <w:r w:rsidRPr="00EF03DC">
              <w:rPr>
                <w:rFonts w:ascii="Calibri" w:hAnsi="Calibri" w:cs="Calibri"/>
                <w:sz w:val="18"/>
                <w:szCs w:val="18"/>
              </w:rPr>
              <w:t xml:space="preserve">Option 1: Community engagement as an Indicator </w:t>
            </w:r>
            <w:r w:rsidRPr="00EF03DC">
              <w:rPr>
                <w:rFonts w:ascii="Calibri" w:hAnsi="Calibri" w:cs="Calibri"/>
                <w:b/>
                <w:bCs/>
                <w:sz w:val="18"/>
                <w:szCs w:val="18"/>
              </w:rPr>
              <w:t>(8 first choice, 17 acceptable)</w:t>
            </w:r>
          </w:p>
        </w:tc>
        <w:tc>
          <w:tcPr>
            <w:tcW w:w="3366" w:type="dxa"/>
            <w:shd w:val="clear" w:color="auto" w:fill="auto"/>
            <w:hideMark/>
          </w:tcPr>
          <w:p w14:paraId="61C4A99D"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CSE</w:t>
            </w:r>
          </w:p>
          <w:p w14:paraId="50ABC739"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MCE</w:t>
            </w:r>
          </w:p>
          <w:p w14:paraId="6906B1B7"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NRDC</w:t>
            </w:r>
          </w:p>
          <w:p w14:paraId="40DCBBC8"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Rising Sun Center for Opportunity</w:t>
            </w:r>
          </w:p>
          <w:p w14:paraId="6F1CBC9F"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SBUA*</w:t>
            </w:r>
          </w:p>
          <w:p w14:paraId="3C7D1F37"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Silent Running LLC*</w:t>
            </w:r>
          </w:p>
          <w:p w14:paraId="272359C6"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SoCalREN</w:t>
            </w:r>
          </w:p>
          <w:p w14:paraId="56D7A356" w14:textId="1237BDC6" w:rsidR="00EF03DC" w:rsidRPr="00EF03DC" w:rsidRDefault="00656DF0" w:rsidP="00656DF0">
            <w:pPr>
              <w:keepNext/>
              <w:keepLines/>
              <w:rPr>
                <w:rFonts w:ascii="Calibri" w:hAnsi="Calibri" w:cs="Calibri"/>
                <w:color w:val="000000"/>
                <w:sz w:val="18"/>
                <w:szCs w:val="18"/>
                <w:highlight w:val="yellow"/>
              </w:rPr>
            </w:pPr>
            <w:r w:rsidRPr="00656DF0">
              <w:rPr>
                <w:rFonts w:ascii="Calibri" w:hAnsi="Calibri" w:cs="Calibri"/>
                <w:color w:val="000000"/>
                <w:sz w:val="18"/>
                <w:szCs w:val="18"/>
              </w:rPr>
              <w:t>The Energy Coalition*</w:t>
            </w:r>
          </w:p>
        </w:tc>
        <w:tc>
          <w:tcPr>
            <w:tcW w:w="2516" w:type="dxa"/>
            <w:shd w:val="clear" w:color="auto" w:fill="auto"/>
            <w:hideMark/>
          </w:tcPr>
          <w:p w14:paraId="7EF10485"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CEDMC</w:t>
            </w:r>
          </w:p>
          <w:p w14:paraId="7F475B8C"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CodeCycle</w:t>
            </w:r>
          </w:p>
          <w:p w14:paraId="6F90062A"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CSE</w:t>
            </w:r>
          </w:p>
          <w:p w14:paraId="0349604A"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EEC</w:t>
            </w:r>
          </w:p>
          <w:p w14:paraId="30FFA112"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High Sierra Energy Foundation</w:t>
            </w:r>
          </w:p>
          <w:p w14:paraId="59D2ED22"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MCE</w:t>
            </w:r>
          </w:p>
          <w:p w14:paraId="0BE007AC"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NRDC</w:t>
            </w:r>
          </w:p>
          <w:p w14:paraId="2C930E8D"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Rising Sun Center for Opportunity</w:t>
            </w:r>
          </w:p>
          <w:p w14:paraId="20A2127D"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RCEA</w:t>
            </w:r>
          </w:p>
          <w:p w14:paraId="04AC0208"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Resource Innovations</w:t>
            </w:r>
          </w:p>
          <w:p w14:paraId="55D69E5C"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SBUA</w:t>
            </w:r>
          </w:p>
          <w:p w14:paraId="258604C4"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Silent Running LLC</w:t>
            </w:r>
          </w:p>
          <w:p w14:paraId="2171A8C6"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SJVCEO</w:t>
            </w:r>
          </w:p>
          <w:p w14:paraId="2064780B"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SoCalREN</w:t>
            </w:r>
          </w:p>
          <w:p w14:paraId="495DF5BE"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The Energy Coalition</w:t>
            </w:r>
          </w:p>
          <w:p w14:paraId="34A95942"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TRC</w:t>
            </w:r>
          </w:p>
          <w:p w14:paraId="29A1F881" w14:textId="5FD20DA5" w:rsidR="00EF03DC" w:rsidRPr="00EF03DC" w:rsidRDefault="00656DF0" w:rsidP="00656DF0">
            <w:pPr>
              <w:keepNext/>
              <w:keepLines/>
              <w:rPr>
                <w:rFonts w:ascii="Calibri" w:hAnsi="Calibri" w:cs="Calibri"/>
                <w:color w:val="000000"/>
                <w:sz w:val="18"/>
                <w:szCs w:val="18"/>
                <w:highlight w:val="yellow"/>
              </w:rPr>
            </w:pPr>
            <w:r w:rsidRPr="00656DF0">
              <w:rPr>
                <w:rFonts w:ascii="Calibri" w:hAnsi="Calibri" w:cs="Calibri"/>
                <w:color w:val="000000"/>
                <w:sz w:val="18"/>
                <w:szCs w:val="18"/>
              </w:rPr>
              <w:t>Viridis Consulting</w:t>
            </w:r>
          </w:p>
        </w:tc>
      </w:tr>
      <w:tr w:rsidR="00EF03DC" w:rsidRPr="00EF03DC" w14:paraId="4261C3ED" w14:textId="77777777" w:rsidTr="00656DF0">
        <w:trPr>
          <w:trHeight w:val="340"/>
        </w:trPr>
        <w:tc>
          <w:tcPr>
            <w:tcW w:w="3468" w:type="dxa"/>
            <w:shd w:val="clear" w:color="auto" w:fill="auto"/>
          </w:tcPr>
          <w:p w14:paraId="061619EA" w14:textId="31912A94" w:rsidR="00EF03DC" w:rsidRPr="00EF03DC" w:rsidRDefault="00EF03DC" w:rsidP="00656DF0">
            <w:pPr>
              <w:keepNext/>
              <w:keepLines/>
              <w:rPr>
                <w:rFonts w:ascii="Calibri" w:hAnsi="Calibri" w:cs="Calibri"/>
                <w:sz w:val="18"/>
                <w:szCs w:val="18"/>
              </w:rPr>
            </w:pPr>
            <w:r w:rsidRPr="00EF03DC">
              <w:rPr>
                <w:rFonts w:ascii="Calibri" w:hAnsi="Calibri" w:cs="Calibri"/>
                <w:sz w:val="18"/>
                <w:szCs w:val="18"/>
              </w:rPr>
              <w:t xml:space="preserve">Option 2: Community engagement as a principle </w:t>
            </w:r>
            <w:r w:rsidRPr="00EF03DC">
              <w:rPr>
                <w:rFonts w:ascii="Calibri" w:hAnsi="Calibri" w:cs="Calibri"/>
                <w:b/>
                <w:bCs/>
                <w:sz w:val="18"/>
                <w:szCs w:val="18"/>
              </w:rPr>
              <w:t>(16 first choice, 22 acceptable)</w:t>
            </w:r>
          </w:p>
        </w:tc>
        <w:tc>
          <w:tcPr>
            <w:tcW w:w="3366" w:type="dxa"/>
            <w:shd w:val="clear" w:color="auto" w:fill="auto"/>
          </w:tcPr>
          <w:p w14:paraId="671A64FD"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3C-REN</w:t>
            </w:r>
          </w:p>
          <w:p w14:paraId="7AA131E6"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BayREN*</w:t>
            </w:r>
          </w:p>
          <w:p w14:paraId="150430C1"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Cal Advocates</w:t>
            </w:r>
          </w:p>
          <w:p w14:paraId="5CCF1AAD"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CEDMC</w:t>
            </w:r>
          </w:p>
          <w:p w14:paraId="103F5264"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CodeCycle</w:t>
            </w:r>
          </w:p>
          <w:p w14:paraId="68487D40"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EEC</w:t>
            </w:r>
          </w:p>
          <w:p w14:paraId="3FF9DF8F"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High Sierra Energy Foundation</w:t>
            </w:r>
          </w:p>
          <w:p w14:paraId="70024C95"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PG&amp;E</w:t>
            </w:r>
          </w:p>
          <w:p w14:paraId="2340F5F4"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RCEA</w:t>
            </w:r>
          </w:p>
          <w:p w14:paraId="0E285501"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Resource Innovations</w:t>
            </w:r>
          </w:p>
          <w:p w14:paraId="3C51C627"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SCE</w:t>
            </w:r>
          </w:p>
          <w:p w14:paraId="282BA840"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SCG</w:t>
            </w:r>
          </w:p>
          <w:p w14:paraId="2DE2702D"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SDGE</w:t>
            </w:r>
          </w:p>
          <w:p w14:paraId="62F6286A"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 xml:space="preserve">SJVCEO </w:t>
            </w:r>
          </w:p>
          <w:p w14:paraId="187961F2"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TRC</w:t>
            </w:r>
          </w:p>
          <w:p w14:paraId="18ECE3FA" w14:textId="03AF48ED" w:rsidR="00EF03DC" w:rsidRPr="00EF03DC" w:rsidRDefault="00656DF0" w:rsidP="00656DF0">
            <w:pPr>
              <w:keepNext/>
              <w:keepLines/>
              <w:rPr>
                <w:rFonts w:ascii="Calibri" w:hAnsi="Calibri" w:cs="Calibri"/>
                <w:color w:val="000000"/>
                <w:sz w:val="18"/>
                <w:szCs w:val="18"/>
                <w:highlight w:val="yellow"/>
              </w:rPr>
            </w:pPr>
            <w:r w:rsidRPr="00656DF0">
              <w:rPr>
                <w:rFonts w:ascii="Calibri" w:hAnsi="Calibri" w:cs="Calibri"/>
                <w:color w:val="000000"/>
                <w:sz w:val="18"/>
                <w:szCs w:val="18"/>
              </w:rPr>
              <w:t>Viridis Consulting</w:t>
            </w:r>
          </w:p>
        </w:tc>
        <w:tc>
          <w:tcPr>
            <w:tcW w:w="2516" w:type="dxa"/>
            <w:shd w:val="clear" w:color="auto" w:fill="auto"/>
          </w:tcPr>
          <w:p w14:paraId="7064A532"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3C-REN</w:t>
            </w:r>
          </w:p>
          <w:p w14:paraId="602254C4"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BayREN</w:t>
            </w:r>
          </w:p>
          <w:p w14:paraId="201AC8BC"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Cal Advocates</w:t>
            </w:r>
          </w:p>
          <w:p w14:paraId="3E938C7E"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CEDMC</w:t>
            </w:r>
          </w:p>
          <w:p w14:paraId="3D81A074"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CodeCycle</w:t>
            </w:r>
          </w:p>
          <w:p w14:paraId="30F56473"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EEC</w:t>
            </w:r>
          </w:p>
          <w:p w14:paraId="511B4F3E"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High Sierra Energy Foundation</w:t>
            </w:r>
          </w:p>
          <w:p w14:paraId="1FBBD198"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MCE</w:t>
            </w:r>
          </w:p>
          <w:p w14:paraId="0364866B"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NRDC</w:t>
            </w:r>
          </w:p>
          <w:p w14:paraId="42857450"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PG&amp;E</w:t>
            </w:r>
          </w:p>
          <w:p w14:paraId="14CBF8CE"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RCEA</w:t>
            </w:r>
          </w:p>
          <w:p w14:paraId="7014C535"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Resource Innovations</w:t>
            </w:r>
          </w:p>
          <w:p w14:paraId="67DE824E"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Rising Sun Center for Opportunity</w:t>
            </w:r>
          </w:p>
          <w:p w14:paraId="5E39D482"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SBUA</w:t>
            </w:r>
          </w:p>
          <w:p w14:paraId="6B9A67D3"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SCE</w:t>
            </w:r>
          </w:p>
          <w:p w14:paraId="1D8DF95F"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SCG</w:t>
            </w:r>
          </w:p>
          <w:p w14:paraId="6AA484C1"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SDGE</w:t>
            </w:r>
          </w:p>
          <w:p w14:paraId="4485D8BF"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 xml:space="preserve">SJVCEO </w:t>
            </w:r>
          </w:p>
          <w:p w14:paraId="5DD90228"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SoCalREN</w:t>
            </w:r>
          </w:p>
          <w:p w14:paraId="6934B283"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The Energy Coalition</w:t>
            </w:r>
          </w:p>
          <w:p w14:paraId="25B140B4" w14:textId="77777777" w:rsidR="00656DF0" w:rsidRPr="00656DF0" w:rsidRDefault="00656DF0" w:rsidP="00656DF0">
            <w:pPr>
              <w:keepNext/>
              <w:keepLines/>
              <w:rPr>
                <w:rFonts w:ascii="Calibri" w:hAnsi="Calibri" w:cs="Calibri"/>
                <w:color w:val="000000"/>
                <w:sz w:val="18"/>
                <w:szCs w:val="18"/>
              </w:rPr>
            </w:pPr>
            <w:r w:rsidRPr="00656DF0">
              <w:rPr>
                <w:rFonts w:ascii="Calibri" w:hAnsi="Calibri" w:cs="Calibri"/>
                <w:color w:val="000000"/>
                <w:sz w:val="18"/>
                <w:szCs w:val="18"/>
              </w:rPr>
              <w:t>TRC</w:t>
            </w:r>
          </w:p>
          <w:p w14:paraId="52F2A99D" w14:textId="1C0C0F90" w:rsidR="00EF03DC" w:rsidRPr="00EF03DC" w:rsidRDefault="00656DF0" w:rsidP="00656DF0">
            <w:pPr>
              <w:keepNext/>
              <w:keepLines/>
              <w:rPr>
                <w:rFonts w:ascii="Calibri" w:hAnsi="Calibri" w:cs="Calibri"/>
                <w:color w:val="000000"/>
                <w:sz w:val="18"/>
                <w:szCs w:val="18"/>
                <w:highlight w:val="yellow"/>
              </w:rPr>
            </w:pPr>
            <w:r w:rsidRPr="00656DF0">
              <w:rPr>
                <w:rFonts w:ascii="Calibri" w:hAnsi="Calibri" w:cs="Calibri"/>
                <w:color w:val="000000"/>
                <w:sz w:val="18"/>
                <w:szCs w:val="18"/>
              </w:rPr>
              <w:t>Viridis Consulting</w:t>
            </w:r>
          </w:p>
        </w:tc>
      </w:tr>
    </w:tbl>
    <w:p w14:paraId="0F130742" w14:textId="7F39A352" w:rsidR="00846A10" w:rsidRDefault="00846A10" w:rsidP="00987389">
      <w:pPr>
        <w:pStyle w:val="Heading1"/>
        <w:rPr>
          <w:rFonts w:ascii="Calibri" w:hAnsi="Calibri" w:cs="Calibri"/>
        </w:rPr>
      </w:pPr>
      <w:bookmarkStart w:id="85" w:name="_Toc63170058"/>
      <w:bookmarkStart w:id="86" w:name="_Toc84353145"/>
    </w:p>
    <w:p w14:paraId="613B81AA" w14:textId="77777777" w:rsidR="00846A10" w:rsidRDefault="00846A10">
      <w:pPr>
        <w:rPr>
          <w:rFonts w:ascii="Calibri" w:eastAsiaTheme="majorEastAsia" w:hAnsi="Calibri" w:cs="Calibri"/>
          <w:color w:val="2F5496" w:themeColor="accent1" w:themeShade="BF"/>
          <w:sz w:val="32"/>
          <w:szCs w:val="32"/>
        </w:rPr>
      </w:pPr>
      <w:r>
        <w:rPr>
          <w:rFonts w:ascii="Calibri" w:hAnsi="Calibri" w:cs="Calibri"/>
        </w:rPr>
        <w:br w:type="page"/>
      </w:r>
    </w:p>
    <w:p w14:paraId="6E2BFFBF" w14:textId="1A717E9D" w:rsidR="00987389" w:rsidRPr="00EA12A6" w:rsidRDefault="00987389" w:rsidP="00987389">
      <w:pPr>
        <w:pStyle w:val="Heading1"/>
        <w:rPr>
          <w:rFonts w:ascii="Calibri" w:hAnsi="Calibri" w:cs="Calibri"/>
        </w:rPr>
      </w:pPr>
      <w:bookmarkStart w:id="87" w:name="_Toc85613332"/>
      <w:r w:rsidRPr="00EA12A6">
        <w:rPr>
          <w:rFonts w:ascii="Calibri" w:hAnsi="Calibri" w:cs="Calibri"/>
        </w:rPr>
        <w:t xml:space="preserve">Appendix </w:t>
      </w:r>
      <w:r>
        <w:rPr>
          <w:rFonts w:ascii="Calibri" w:hAnsi="Calibri" w:cs="Calibri"/>
        </w:rPr>
        <w:t>C</w:t>
      </w:r>
      <w:r w:rsidRPr="00EA12A6">
        <w:rPr>
          <w:rFonts w:ascii="Calibri" w:hAnsi="Calibri" w:cs="Calibri"/>
        </w:rPr>
        <w:t>: Organization-Level Comments on Non-Consensus Option Choices</w:t>
      </w:r>
      <w:bookmarkEnd w:id="85"/>
      <w:bookmarkEnd w:id="86"/>
      <w:bookmarkEnd w:id="87"/>
    </w:p>
    <w:p w14:paraId="28FF3002" w14:textId="77777777" w:rsidR="00987389" w:rsidRPr="00EA12A6" w:rsidRDefault="00987389" w:rsidP="00987389">
      <w:pPr>
        <w:spacing w:line="276" w:lineRule="auto"/>
        <w:rPr>
          <w:rFonts w:ascii="Calibri" w:hAnsi="Calibri" w:cs="Calibri"/>
        </w:rPr>
      </w:pPr>
    </w:p>
    <w:p w14:paraId="60E18CAC" w14:textId="0B9A5599" w:rsidR="00987389" w:rsidRDefault="00987389" w:rsidP="00987389">
      <w:pPr>
        <w:rPr>
          <w:rFonts w:ascii="Calibri" w:hAnsi="Calibri" w:cs="Calibri"/>
        </w:rPr>
      </w:pPr>
      <w:r w:rsidRPr="00EA12A6">
        <w:rPr>
          <w:rFonts w:ascii="Calibri" w:hAnsi="Calibri" w:cs="Calibri"/>
        </w:rPr>
        <w:t xml:space="preserve">The comments below are intended as a supplement to the option descriptions in the body of the report; these comments represent individual </w:t>
      </w:r>
      <w:r>
        <w:rPr>
          <w:rFonts w:ascii="Calibri" w:hAnsi="Calibri" w:cs="Calibri"/>
        </w:rPr>
        <w:t>Working Group M</w:t>
      </w:r>
      <w:r w:rsidRPr="00EA12A6">
        <w:rPr>
          <w:rFonts w:ascii="Calibri" w:hAnsi="Calibri" w:cs="Calibri"/>
        </w:rPr>
        <w:t xml:space="preserve">embers’ additional perspectives and commentary. </w:t>
      </w:r>
    </w:p>
    <w:p w14:paraId="3AD27805" w14:textId="28547E9E" w:rsidR="00987389" w:rsidRDefault="00987389" w:rsidP="00987389">
      <w:pPr>
        <w:rPr>
          <w:rFonts w:ascii="Calibri" w:hAnsi="Calibri" w:cs="Calibri"/>
        </w:rPr>
      </w:pPr>
    </w:p>
    <w:p w14:paraId="4C8A3FC0" w14:textId="668F2E73" w:rsidR="00901B6D" w:rsidRDefault="00901B6D" w:rsidP="00901B6D">
      <w:pPr>
        <w:pStyle w:val="Heading2"/>
      </w:pPr>
      <w:bookmarkStart w:id="88" w:name="_Toc85613333"/>
      <w:r>
        <w:t>Principle #6: Target Setting</w:t>
      </w:r>
      <w:bookmarkEnd w:id="88"/>
    </w:p>
    <w:p w14:paraId="1DF5E64B" w14:textId="1D023BC1" w:rsidR="00901B6D" w:rsidRPr="004569F9" w:rsidRDefault="00901B6D" w:rsidP="00901B6D">
      <w:pPr>
        <w:pStyle w:val="Heading3"/>
        <w:rPr>
          <w:rFonts w:ascii="Calibri" w:eastAsia="Times New Roman" w:hAnsi="Calibri" w:cs="Calibri"/>
          <w:color w:val="auto"/>
          <w:u w:val="single"/>
        </w:rPr>
      </w:pPr>
      <w:bookmarkStart w:id="89" w:name="_Toc85613334"/>
      <w:r w:rsidRPr="004569F9">
        <w:rPr>
          <w:rFonts w:ascii="Calibri" w:eastAsia="Times New Roman" w:hAnsi="Calibri" w:cs="Calibri"/>
          <w:color w:val="auto"/>
          <w:u w:val="single"/>
        </w:rPr>
        <w:t>Option 1: Targets will be set by the PAs for Equity segment metrics following the collection of the first two program years of data (or a baseline has been set using reasonable proxy data)</w:t>
      </w:r>
      <w:bookmarkEnd w:id="89"/>
    </w:p>
    <w:p w14:paraId="69F46687" w14:textId="3550C850" w:rsidR="00642D19" w:rsidRDefault="00642D19" w:rsidP="00642D19">
      <w:pPr>
        <w:ind w:left="720"/>
        <w:rPr>
          <w:rFonts w:ascii="Calibri" w:hAnsi="Calibri" w:cs="Calibri"/>
        </w:rPr>
      </w:pPr>
      <w:r>
        <w:rPr>
          <w:rFonts w:ascii="Calibri" w:hAnsi="Calibri" w:cs="Calibri"/>
          <w:b/>
          <w:bCs/>
        </w:rPr>
        <w:t>3C-REN</w:t>
      </w:r>
      <w:r w:rsidR="00901B6D">
        <w:rPr>
          <w:rFonts w:ascii="Calibri" w:hAnsi="Calibri" w:cs="Calibri"/>
        </w:rPr>
        <w:t xml:space="preserve">: </w:t>
      </w:r>
      <w:r w:rsidRPr="00642D19">
        <w:rPr>
          <w:rFonts w:ascii="Calibri" w:hAnsi="Calibri" w:cs="Calibri"/>
        </w:rPr>
        <w:t>Option 2 acceptable but it will just add more work to PA's</w:t>
      </w:r>
    </w:p>
    <w:p w14:paraId="08114086" w14:textId="18E5193E" w:rsidR="00642D19" w:rsidRDefault="00642D19" w:rsidP="00642D19">
      <w:pPr>
        <w:ind w:left="720"/>
        <w:rPr>
          <w:rFonts w:ascii="Calibri" w:hAnsi="Calibri" w:cs="Calibri"/>
        </w:rPr>
      </w:pPr>
    </w:p>
    <w:p w14:paraId="28061AB8" w14:textId="123030DE" w:rsidR="00642D19" w:rsidRPr="00642D19" w:rsidRDefault="00642D19" w:rsidP="00642D19">
      <w:pPr>
        <w:ind w:left="720"/>
        <w:rPr>
          <w:rFonts w:ascii="Calibri" w:hAnsi="Calibri" w:cs="Calibri"/>
          <w:b/>
          <w:bCs/>
        </w:rPr>
      </w:pPr>
      <w:r w:rsidRPr="00642D19">
        <w:rPr>
          <w:rFonts w:ascii="Calibri" w:hAnsi="Calibri" w:cs="Calibri"/>
          <w:b/>
          <w:bCs/>
        </w:rPr>
        <w:t xml:space="preserve">BayREN: </w:t>
      </w:r>
      <w:r w:rsidRPr="00642D19">
        <w:rPr>
          <w:rFonts w:ascii="Calibri" w:hAnsi="Calibri" w:cs="Calibri"/>
        </w:rPr>
        <w:t>Option 2 (which requires additional filings through a Petition for Modification) would result in significant regulatory effort by the Commission and PAs, which is contrary to the goal of reducing regulatory churn.</w:t>
      </w:r>
    </w:p>
    <w:p w14:paraId="0BEDCCEB" w14:textId="3CDB1070" w:rsidR="00642D19" w:rsidRDefault="00642D19" w:rsidP="00FB2427">
      <w:pPr>
        <w:rPr>
          <w:rFonts w:ascii="Calibri" w:hAnsi="Calibri" w:cs="Calibri"/>
          <w:b/>
          <w:bCs/>
        </w:rPr>
      </w:pPr>
    </w:p>
    <w:p w14:paraId="6AA66D9C" w14:textId="475F4445" w:rsidR="00642D19" w:rsidRDefault="00642D19" w:rsidP="00642D19">
      <w:pPr>
        <w:ind w:left="720"/>
        <w:rPr>
          <w:rFonts w:ascii="Calibri" w:hAnsi="Calibri" w:cs="Calibri"/>
        </w:rPr>
      </w:pPr>
      <w:r>
        <w:rPr>
          <w:rFonts w:ascii="Calibri" w:hAnsi="Calibri" w:cs="Calibri"/>
          <w:b/>
          <w:bCs/>
        </w:rPr>
        <w:t xml:space="preserve">SDGE: </w:t>
      </w:r>
      <w:r w:rsidRPr="00642D19">
        <w:rPr>
          <w:rFonts w:ascii="Calibri" w:hAnsi="Calibri" w:cs="Calibri"/>
        </w:rPr>
        <w:t>Having a baseline to be able to set targets is crucial, given this is a new designation with little or no background information for PAs to use.</w:t>
      </w:r>
    </w:p>
    <w:p w14:paraId="2CCAE907" w14:textId="7F5A82D6" w:rsidR="00FB2427" w:rsidRDefault="00FB2427" w:rsidP="00642D19">
      <w:pPr>
        <w:ind w:left="720"/>
        <w:rPr>
          <w:rFonts w:ascii="Calibri" w:hAnsi="Calibri" w:cs="Calibri"/>
          <w:b/>
          <w:bCs/>
        </w:rPr>
      </w:pPr>
    </w:p>
    <w:p w14:paraId="4E5A4F04" w14:textId="11A0CD67" w:rsidR="00FB2427" w:rsidRPr="00FB2427" w:rsidRDefault="00FB2427" w:rsidP="00FB2427">
      <w:pPr>
        <w:ind w:left="720"/>
        <w:rPr>
          <w:rFonts w:ascii="Calibri" w:hAnsi="Calibri" w:cs="Calibri"/>
        </w:rPr>
      </w:pPr>
      <w:r w:rsidRPr="00642D19">
        <w:rPr>
          <w:rFonts w:ascii="Calibri" w:hAnsi="Calibri" w:cs="Calibri"/>
          <w:b/>
          <w:bCs/>
        </w:rPr>
        <w:t xml:space="preserve">Silent Running LLC: </w:t>
      </w:r>
      <w:r w:rsidRPr="00642D19">
        <w:rPr>
          <w:rFonts w:ascii="Calibri" w:hAnsi="Calibri" w:cs="Calibri"/>
        </w:rPr>
        <w:t>Option #1 is reasonable and should also have PA s and stakeholders fine tune access to and practical collection of data.</w:t>
      </w:r>
    </w:p>
    <w:p w14:paraId="3B788650" w14:textId="77777777" w:rsidR="00901B6D" w:rsidRDefault="00901B6D" w:rsidP="00987389">
      <w:pPr>
        <w:rPr>
          <w:rFonts w:ascii="Calibri" w:hAnsi="Calibri" w:cs="Calibri"/>
        </w:rPr>
      </w:pPr>
    </w:p>
    <w:p w14:paraId="3EF0F5BA" w14:textId="3D0FAA3A" w:rsidR="00901B6D" w:rsidRPr="004569F9" w:rsidRDefault="00901B6D" w:rsidP="00901B6D">
      <w:pPr>
        <w:pStyle w:val="Heading3"/>
        <w:rPr>
          <w:rFonts w:ascii="Calibri" w:eastAsia="Times New Roman" w:hAnsi="Calibri" w:cs="Calibri"/>
          <w:color w:val="auto"/>
          <w:u w:val="single"/>
        </w:rPr>
      </w:pPr>
      <w:bookmarkStart w:id="90" w:name="_Toc85613335"/>
      <w:r w:rsidRPr="004569F9">
        <w:rPr>
          <w:rFonts w:ascii="Calibri" w:eastAsia="Times New Roman" w:hAnsi="Calibri" w:cs="Calibri"/>
          <w:color w:val="auto"/>
          <w:u w:val="single"/>
        </w:rPr>
        <w:t>Option 2: In their Budget Applications, PAs will propose targets and/or set a date certain by which they will propose targets for all Equity segment metrics</w:t>
      </w:r>
      <w:bookmarkEnd w:id="90"/>
    </w:p>
    <w:p w14:paraId="41CA01C4" w14:textId="614029AA" w:rsidR="00642D19" w:rsidRPr="00642D19" w:rsidRDefault="00642D19" w:rsidP="00642D19">
      <w:pPr>
        <w:ind w:left="720"/>
        <w:rPr>
          <w:rFonts w:ascii="Calibri" w:hAnsi="Calibri" w:cs="Calibri"/>
          <w:b/>
          <w:bCs/>
        </w:rPr>
      </w:pPr>
      <w:r w:rsidRPr="00642D19">
        <w:rPr>
          <w:rFonts w:ascii="Calibri" w:hAnsi="Calibri" w:cs="Calibri"/>
          <w:b/>
          <w:bCs/>
        </w:rPr>
        <w:t>Resource Innovations:</w:t>
      </w:r>
      <w:r>
        <w:rPr>
          <w:rFonts w:ascii="Calibri" w:hAnsi="Calibri" w:cs="Calibri"/>
          <w:b/>
          <w:bCs/>
        </w:rPr>
        <w:t xml:space="preserve"> </w:t>
      </w:r>
      <w:r w:rsidRPr="00642D19">
        <w:rPr>
          <w:rFonts w:ascii="Calibri" w:hAnsi="Calibri" w:cs="Calibri"/>
        </w:rPr>
        <w:t>Waiting 2 years to set metrics seems too long. Maybe the timeline in Option 1 could be changed or metrics could be set with a date for re-aligning them with the data once it comes in if needed.</w:t>
      </w:r>
    </w:p>
    <w:p w14:paraId="7DB2840E" w14:textId="77777777" w:rsidR="00642D19" w:rsidRPr="00642D19" w:rsidRDefault="00642D19" w:rsidP="00642D19">
      <w:pPr>
        <w:ind w:left="720"/>
        <w:rPr>
          <w:rFonts w:ascii="Calibri" w:hAnsi="Calibri" w:cs="Calibri"/>
          <w:b/>
          <w:bCs/>
        </w:rPr>
      </w:pPr>
    </w:p>
    <w:p w14:paraId="448114B5" w14:textId="7DA650F8" w:rsidR="00642D19" w:rsidRPr="00642D19" w:rsidRDefault="00642D19" w:rsidP="00642D19">
      <w:pPr>
        <w:ind w:left="720"/>
        <w:rPr>
          <w:rFonts w:ascii="Calibri" w:hAnsi="Calibri" w:cs="Calibri"/>
        </w:rPr>
      </w:pPr>
      <w:r w:rsidRPr="00642D19">
        <w:rPr>
          <w:rFonts w:ascii="Calibri" w:hAnsi="Calibri" w:cs="Calibri"/>
          <w:b/>
          <w:bCs/>
        </w:rPr>
        <w:t>SBUA</w:t>
      </w:r>
      <w:r>
        <w:rPr>
          <w:rFonts w:ascii="Calibri" w:hAnsi="Calibri" w:cs="Calibri"/>
          <w:b/>
          <w:bCs/>
        </w:rPr>
        <w:t xml:space="preserve">: </w:t>
      </w:r>
      <w:r w:rsidRPr="00642D19">
        <w:rPr>
          <w:rFonts w:ascii="Calibri" w:hAnsi="Calibri" w:cs="Calibri"/>
        </w:rPr>
        <w:t>While we prefer Option 2, if a Petition for Modification is filed by a PA regarding collecting baseline data, we would support an expedited process wherever feasible.</w:t>
      </w:r>
    </w:p>
    <w:p w14:paraId="4F14D80C" w14:textId="77777777" w:rsidR="00642D19" w:rsidRPr="00642D19" w:rsidRDefault="00642D19" w:rsidP="00642D19">
      <w:pPr>
        <w:ind w:left="720"/>
        <w:rPr>
          <w:rFonts w:ascii="Calibri" w:hAnsi="Calibri" w:cs="Calibri"/>
          <w:b/>
          <w:bCs/>
        </w:rPr>
      </w:pPr>
    </w:p>
    <w:p w14:paraId="676E50E4" w14:textId="26A0C88C" w:rsidR="00642D19" w:rsidRPr="00642D19" w:rsidRDefault="00642D19" w:rsidP="00642D19">
      <w:pPr>
        <w:ind w:left="720"/>
        <w:rPr>
          <w:rFonts w:ascii="Calibri" w:hAnsi="Calibri" w:cs="Calibri"/>
        </w:rPr>
      </w:pPr>
      <w:r w:rsidRPr="00642D19">
        <w:rPr>
          <w:rFonts w:ascii="Calibri" w:hAnsi="Calibri" w:cs="Calibri"/>
          <w:b/>
          <w:bCs/>
        </w:rPr>
        <w:t>SoCalREN:</w:t>
      </w:r>
      <w:r>
        <w:rPr>
          <w:rFonts w:ascii="Calibri" w:hAnsi="Calibri" w:cs="Calibri"/>
          <w:b/>
          <w:bCs/>
        </w:rPr>
        <w:t xml:space="preserve"> </w:t>
      </w:r>
      <w:r w:rsidRPr="00642D19">
        <w:rPr>
          <w:rFonts w:ascii="Calibri" w:hAnsi="Calibri" w:cs="Calibri"/>
        </w:rPr>
        <w:t>I think maybe just clarifying that metric targets could be true-d up in the mid-cycle advice letters if option 2 is chosen may be helpful to other PAs. The market and industry is always evolving but we need to start showing some accountability for equity</w:t>
      </w:r>
    </w:p>
    <w:p w14:paraId="1471AB1B" w14:textId="5FDCE2AF" w:rsidR="00901B6D" w:rsidRDefault="00901B6D" w:rsidP="00987389">
      <w:pPr>
        <w:rPr>
          <w:rFonts w:ascii="Calibri" w:hAnsi="Calibri" w:cs="Calibri"/>
        </w:rPr>
      </w:pPr>
    </w:p>
    <w:p w14:paraId="37F13E93" w14:textId="77777777" w:rsidR="00901B6D" w:rsidRDefault="00901B6D" w:rsidP="00987389">
      <w:pPr>
        <w:rPr>
          <w:rFonts w:ascii="Calibri" w:hAnsi="Calibri" w:cs="Calibri"/>
        </w:rPr>
      </w:pPr>
    </w:p>
    <w:p w14:paraId="4D14EC32" w14:textId="37B6AE7A" w:rsidR="00901B6D" w:rsidRDefault="00901B6D" w:rsidP="00901B6D">
      <w:pPr>
        <w:pStyle w:val="Heading2"/>
      </w:pPr>
      <w:bookmarkStart w:id="91" w:name="_Toc85613336"/>
      <w:r>
        <w:t>Community Engagement as a Principle or Indicator</w:t>
      </w:r>
      <w:bookmarkEnd w:id="91"/>
    </w:p>
    <w:p w14:paraId="42F6947F" w14:textId="5441D0D3" w:rsidR="008551F6" w:rsidRPr="004569F9" w:rsidRDefault="00901B6D" w:rsidP="008551F6">
      <w:pPr>
        <w:pStyle w:val="Heading3"/>
        <w:rPr>
          <w:rFonts w:ascii="Calibri" w:eastAsia="Times New Roman" w:hAnsi="Calibri" w:cs="Calibri"/>
          <w:color w:val="auto"/>
          <w:u w:val="single"/>
        </w:rPr>
      </w:pPr>
      <w:bookmarkStart w:id="92" w:name="_Toc85613337"/>
      <w:r w:rsidRPr="004569F9">
        <w:rPr>
          <w:rFonts w:ascii="Calibri" w:eastAsia="Times New Roman" w:hAnsi="Calibri" w:cs="Calibri"/>
          <w:color w:val="auto"/>
          <w:u w:val="single"/>
        </w:rPr>
        <w:t>Option 1: Community engagement as an Indicator</w:t>
      </w:r>
      <w:bookmarkEnd w:id="92"/>
    </w:p>
    <w:p w14:paraId="00B76CB9" w14:textId="3AD5D700" w:rsidR="00901B6D" w:rsidRDefault="008551F6" w:rsidP="008551F6">
      <w:pPr>
        <w:ind w:left="720"/>
        <w:rPr>
          <w:rFonts w:ascii="Calibri" w:hAnsi="Calibri" w:cs="Calibri"/>
        </w:rPr>
      </w:pPr>
      <w:r>
        <w:rPr>
          <w:rFonts w:ascii="Calibri" w:hAnsi="Calibri" w:cs="Calibri"/>
          <w:b/>
          <w:bCs/>
        </w:rPr>
        <w:t>SBUA</w:t>
      </w:r>
      <w:r w:rsidR="00901B6D">
        <w:rPr>
          <w:rFonts w:ascii="Calibri" w:hAnsi="Calibri" w:cs="Calibri"/>
        </w:rPr>
        <w:t xml:space="preserve">: </w:t>
      </w:r>
      <w:r w:rsidRPr="008551F6">
        <w:rPr>
          <w:rFonts w:ascii="Calibri" w:hAnsi="Calibri" w:cs="Calibri"/>
        </w:rPr>
        <w:t>SBUA supports Option 1, while recognizing some valid concerns raised for the rationale of Option 2 listed in Appendix B of the Final Report.  We trust that the indicators proposed in Option 1 can be applied with sufficient flexibility to diminish those concerns.</w:t>
      </w:r>
    </w:p>
    <w:p w14:paraId="399C7FD9" w14:textId="43E18677" w:rsidR="008551F6" w:rsidRDefault="008551F6" w:rsidP="008551F6">
      <w:pPr>
        <w:ind w:left="720"/>
        <w:rPr>
          <w:rFonts w:ascii="Calibri" w:hAnsi="Calibri" w:cs="Calibri"/>
        </w:rPr>
      </w:pPr>
    </w:p>
    <w:p w14:paraId="5C93E984" w14:textId="15FC1CEB" w:rsidR="008551F6" w:rsidRDefault="008551F6" w:rsidP="008551F6">
      <w:pPr>
        <w:ind w:left="720"/>
        <w:rPr>
          <w:rFonts w:ascii="Calibri" w:hAnsi="Calibri" w:cs="Calibri"/>
        </w:rPr>
      </w:pPr>
      <w:r w:rsidRPr="008551F6">
        <w:rPr>
          <w:rFonts w:ascii="Calibri" w:hAnsi="Calibri" w:cs="Calibri"/>
          <w:b/>
          <w:bCs/>
        </w:rPr>
        <w:t>Silent Running</w:t>
      </w:r>
      <w:r>
        <w:rPr>
          <w:rFonts w:ascii="Calibri" w:hAnsi="Calibri" w:cs="Calibri"/>
        </w:rPr>
        <w:t xml:space="preserve">: </w:t>
      </w:r>
      <w:r w:rsidRPr="008551F6">
        <w:rPr>
          <w:rFonts w:ascii="Calibri" w:hAnsi="Calibri" w:cs="Calibri"/>
        </w:rPr>
        <w:t>I believe Community Engagement is a "guiding principle" in most ee programs today. Yet we clearly do not have sufficient community engagement to make our current programs equitable. Having CE as an indicator will catalyze the success of Equity Segment programs.</w:t>
      </w:r>
    </w:p>
    <w:p w14:paraId="077D3D9C" w14:textId="16AFD52B" w:rsidR="008551F6" w:rsidRDefault="008551F6" w:rsidP="008551F6">
      <w:pPr>
        <w:rPr>
          <w:rFonts w:ascii="Calibri" w:hAnsi="Calibri" w:cs="Calibri"/>
        </w:rPr>
      </w:pPr>
    </w:p>
    <w:p w14:paraId="72919D06" w14:textId="305F219E" w:rsidR="008551F6" w:rsidRDefault="008551F6" w:rsidP="008551F6">
      <w:pPr>
        <w:ind w:left="720"/>
        <w:rPr>
          <w:rFonts w:ascii="Calibri" w:hAnsi="Calibri" w:cs="Calibri"/>
        </w:rPr>
      </w:pPr>
      <w:r w:rsidRPr="008551F6">
        <w:rPr>
          <w:rFonts w:ascii="Calibri" w:hAnsi="Calibri" w:cs="Calibri"/>
          <w:b/>
          <w:bCs/>
        </w:rPr>
        <w:t>The Energy Coalition</w:t>
      </w:r>
      <w:r>
        <w:rPr>
          <w:rFonts w:ascii="Calibri" w:hAnsi="Calibri" w:cs="Calibri"/>
        </w:rPr>
        <w:t xml:space="preserve">: </w:t>
      </w:r>
      <w:r w:rsidRPr="008551F6">
        <w:rPr>
          <w:rFonts w:ascii="Calibri" w:hAnsi="Calibri" w:cs="Calibri"/>
        </w:rPr>
        <w:t>Authentic community engagement and feedback are critical to equity programs and should not be limited to PAs to determine the level of engagement. For example, third-party implementers should also be expected to determine what meaningful community engagement activities should be conducted relative to the unique community to be served.</w:t>
      </w:r>
    </w:p>
    <w:p w14:paraId="17D2A2C4" w14:textId="77777777" w:rsidR="00901B6D" w:rsidRDefault="00901B6D" w:rsidP="00901B6D">
      <w:pPr>
        <w:rPr>
          <w:rFonts w:ascii="Calibri" w:hAnsi="Calibri" w:cs="Calibri"/>
        </w:rPr>
      </w:pPr>
    </w:p>
    <w:p w14:paraId="06BAFD78" w14:textId="30F70662" w:rsidR="00901B6D" w:rsidRPr="004569F9" w:rsidRDefault="00901B6D" w:rsidP="00901B6D">
      <w:pPr>
        <w:pStyle w:val="Heading3"/>
        <w:rPr>
          <w:rFonts w:ascii="Calibri" w:eastAsia="Times New Roman" w:hAnsi="Calibri" w:cs="Calibri"/>
          <w:color w:val="auto"/>
          <w:u w:val="single"/>
        </w:rPr>
      </w:pPr>
      <w:bookmarkStart w:id="93" w:name="_Toc85613338"/>
      <w:r w:rsidRPr="004569F9">
        <w:rPr>
          <w:rFonts w:ascii="Calibri" w:eastAsia="Times New Roman" w:hAnsi="Calibri" w:cs="Calibri"/>
          <w:color w:val="auto"/>
          <w:u w:val="single"/>
        </w:rPr>
        <w:t>Option 2: Community engagement as a Principle</w:t>
      </w:r>
      <w:bookmarkEnd w:id="93"/>
    </w:p>
    <w:p w14:paraId="53E1C0D7" w14:textId="0A7FF531" w:rsidR="008551F6" w:rsidRPr="008551F6" w:rsidRDefault="008551F6" w:rsidP="00220410">
      <w:pPr>
        <w:ind w:left="720"/>
        <w:rPr>
          <w:rFonts w:ascii="Calibri" w:hAnsi="Calibri" w:cs="Calibri"/>
        </w:rPr>
      </w:pPr>
      <w:r>
        <w:rPr>
          <w:rFonts w:ascii="Calibri" w:hAnsi="Calibri" w:cs="Calibri"/>
          <w:b/>
          <w:bCs/>
        </w:rPr>
        <w:t xml:space="preserve">BayREN: </w:t>
      </w:r>
      <w:r w:rsidRPr="008551F6">
        <w:rPr>
          <w:rFonts w:ascii="Calibri" w:hAnsi="Calibri" w:cs="Calibri"/>
        </w:rPr>
        <w:t>We fully support community engagement but more thought is required before determining the best measurement of community engagement. It is not clear to all of the PAs what is being requested and several of the PAs have alternative community engagement approaches that are underway and should also be discussed before adopting a suggested approach. The current proposal for an indicator was not able to be discussed fully with the working group. Several PAs were not given a chance to provide comments during the working group meeting due to time limitations.</w:t>
      </w:r>
    </w:p>
    <w:p w14:paraId="7D51E894" w14:textId="77777777" w:rsidR="00901B6D" w:rsidRPr="00EA12A6" w:rsidRDefault="00901B6D" w:rsidP="00901B6D">
      <w:pPr>
        <w:rPr>
          <w:rFonts w:ascii="Calibri" w:hAnsi="Calibri" w:cs="Calibri"/>
        </w:rPr>
      </w:pPr>
    </w:p>
    <w:p w14:paraId="0A77504E" w14:textId="4A6D6041" w:rsidR="00987389" w:rsidRDefault="00987389" w:rsidP="00987389">
      <w:pPr>
        <w:rPr>
          <w:rFonts w:ascii="Calibri" w:hAnsi="Calibri" w:cs="Calibri"/>
        </w:rPr>
      </w:pPr>
    </w:p>
    <w:p w14:paraId="1EEA52E1" w14:textId="7C545F3E" w:rsidR="00901B6D" w:rsidRDefault="00901B6D" w:rsidP="00901B6D">
      <w:pPr>
        <w:pStyle w:val="Heading2"/>
      </w:pPr>
      <w:bookmarkStart w:id="94" w:name="_Toc85613339"/>
      <w:r>
        <w:t>Underserved Definition</w:t>
      </w:r>
      <w:bookmarkEnd w:id="94"/>
    </w:p>
    <w:p w14:paraId="1E7A5356" w14:textId="1BCADA13" w:rsidR="00901B6D" w:rsidRPr="004569F9" w:rsidRDefault="00901B6D" w:rsidP="00901B6D">
      <w:pPr>
        <w:pStyle w:val="Heading3"/>
        <w:rPr>
          <w:rFonts w:ascii="Calibri" w:eastAsia="Times New Roman" w:hAnsi="Calibri" w:cs="Calibri"/>
          <w:color w:val="auto"/>
          <w:u w:val="single"/>
        </w:rPr>
      </w:pPr>
      <w:bookmarkStart w:id="95" w:name="_Toc85613340"/>
      <w:r w:rsidRPr="004569F9">
        <w:rPr>
          <w:rFonts w:ascii="Calibri" w:eastAsia="Times New Roman" w:hAnsi="Calibri" w:cs="Calibri"/>
          <w:color w:val="auto"/>
          <w:u w:val="single"/>
        </w:rPr>
        <w:t>Option 1: Use ESJ Action Plan Definition</w:t>
      </w:r>
      <w:bookmarkEnd w:id="95"/>
    </w:p>
    <w:p w14:paraId="590479F3" w14:textId="77777777" w:rsidR="008551F6" w:rsidRPr="00CA1C16" w:rsidRDefault="008551F6" w:rsidP="008551F6">
      <w:pPr>
        <w:ind w:firstLine="720"/>
        <w:rPr>
          <w:rFonts w:ascii="Calibri" w:hAnsi="Calibri" w:cs="Calibri"/>
          <w:color w:val="000000"/>
          <w:sz w:val="22"/>
          <w:szCs w:val="22"/>
        </w:rPr>
      </w:pPr>
      <w:r w:rsidRPr="00F460F0">
        <w:rPr>
          <w:rFonts w:ascii="Calibri" w:hAnsi="Calibri" w:cs="Calibri"/>
        </w:rPr>
        <w:t>[no comments]</w:t>
      </w:r>
    </w:p>
    <w:p w14:paraId="6EAD381A" w14:textId="77777777" w:rsidR="00901B6D" w:rsidRDefault="00901B6D" w:rsidP="00901B6D">
      <w:pPr>
        <w:rPr>
          <w:rFonts w:ascii="Calibri" w:hAnsi="Calibri" w:cs="Calibri"/>
        </w:rPr>
      </w:pPr>
    </w:p>
    <w:p w14:paraId="064E2F31" w14:textId="43EEA21A" w:rsidR="00901B6D" w:rsidRPr="004569F9" w:rsidRDefault="00901B6D" w:rsidP="00901B6D">
      <w:pPr>
        <w:pStyle w:val="Heading3"/>
        <w:rPr>
          <w:rFonts w:ascii="Calibri" w:eastAsia="Times New Roman" w:hAnsi="Calibri" w:cs="Calibri"/>
          <w:color w:val="auto"/>
          <w:u w:val="single"/>
        </w:rPr>
      </w:pPr>
      <w:bookmarkStart w:id="96" w:name="_Toc85613341"/>
      <w:r w:rsidRPr="004569F9">
        <w:rPr>
          <w:rFonts w:ascii="Calibri" w:eastAsia="Times New Roman" w:hAnsi="Calibri" w:cs="Calibri"/>
          <w:color w:val="auto"/>
          <w:u w:val="single"/>
        </w:rPr>
        <w:t>Option 2: Use ESJ Action Plan Definition + allow an avenue for PAs to propose additional ‘underserved’ with rationale</w:t>
      </w:r>
      <w:bookmarkEnd w:id="96"/>
    </w:p>
    <w:p w14:paraId="00751417" w14:textId="0CE96E8B" w:rsidR="00901B6D" w:rsidRDefault="008551F6" w:rsidP="008551F6">
      <w:pPr>
        <w:ind w:left="720"/>
        <w:rPr>
          <w:rFonts w:ascii="Calibri" w:hAnsi="Calibri" w:cs="Calibri"/>
        </w:rPr>
      </w:pPr>
      <w:r>
        <w:rPr>
          <w:rFonts w:ascii="Calibri" w:hAnsi="Calibri" w:cs="Calibri"/>
          <w:b/>
          <w:bCs/>
        </w:rPr>
        <w:t>CS</w:t>
      </w:r>
      <w:r w:rsidR="00901B6D" w:rsidRPr="00901B6D">
        <w:rPr>
          <w:rFonts w:ascii="Calibri" w:hAnsi="Calibri" w:cs="Calibri"/>
          <w:b/>
          <w:bCs/>
        </w:rPr>
        <w:t>E</w:t>
      </w:r>
      <w:r w:rsidR="00901B6D">
        <w:rPr>
          <w:rFonts w:ascii="Calibri" w:hAnsi="Calibri" w:cs="Calibri"/>
        </w:rPr>
        <w:t xml:space="preserve">: </w:t>
      </w:r>
      <w:r w:rsidRPr="008551F6">
        <w:rPr>
          <w:rFonts w:ascii="Calibri" w:hAnsi="Calibri" w:cs="Calibri"/>
        </w:rPr>
        <w:t>We find Option 1 acceptable.</w:t>
      </w:r>
    </w:p>
    <w:p w14:paraId="12D70C92" w14:textId="5F0A04AC" w:rsidR="008551F6" w:rsidRDefault="008551F6" w:rsidP="008551F6">
      <w:pPr>
        <w:ind w:left="720"/>
        <w:rPr>
          <w:rFonts w:ascii="Calibri" w:hAnsi="Calibri" w:cs="Calibri"/>
        </w:rPr>
      </w:pPr>
    </w:p>
    <w:p w14:paraId="1E621DD7" w14:textId="423C6758" w:rsidR="008551F6" w:rsidRDefault="008551F6" w:rsidP="008551F6">
      <w:pPr>
        <w:ind w:left="720"/>
        <w:rPr>
          <w:rFonts w:ascii="Calibri" w:hAnsi="Calibri" w:cs="Calibri"/>
        </w:rPr>
      </w:pPr>
      <w:r w:rsidRPr="008551F6">
        <w:rPr>
          <w:rFonts w:ascii="Calibri" w:hAnsi="Calibri" w:cs="Calibri"/>
          <w:b/>
          <w:bCs/>
        </w:rPr>
        <w:t>EEC</w:t>
      </w:r>
      <w:r>
        <w:rPr>
          <w:rFonts w:ascii="Calibri" w:hAnsi="Calibri" w:cs="Calibri"/>
        </w:rPr>
        <w:t xml:space="preserve">: </w:t>
      </w:r>
      <w:r w:rsidRPr="008551F6">
        <w:rPr>
          <w:rFonts w:ascii="Calibri" w:hAnsi="Calibri" w:cs="Calibri"/>
        </w:rPr>
        <w:t>Options 1 or 2 would be ok but we don't support #3.</w:t>
      </w:r>
    </w:p>
    <w:p w14:paraId="4A5B76BD" w14:textId="31E71BCF" w:rsidR="008551F6" w:rsidRDefault="008551F6" w:rsidP="008551F6">
      <w:pPr>
        <w:ind w:left="720"/>
        <w:rPr>
          <w:rFonts w:ascii="Calibri" w:hAnsi="Calibri" w:cs="Calibri"/>
        </w:rPr>
      </w:pPr>
    </w:p>
    <w:p w14:paraId="0A22A44D" w14:textId="1BC0499C" w:rsidR="008551F6" w:rsidRDefault="008551F6" w:rsidP="008551F6">
      <w:pPr>
        <w:ind w:left="720"/>
        <w:rPr>
          <w:rFonts w:ascii="Calibri" w:hAnsi="Calibri" w:cs="Calibri"/>
        </w:rPr>
      </w:pPr>
      <w:r w:rsidRPr="008551F6">
        <w:rPr>
          <w:rFonts w:ascii="Calibri" w:hAnsi="Calibri" w:cs="Calibri"/>
          <w:b/>
          <w:bCs/>
        </w:rPr>
        <w:t>Rising Sun Center for Opportunity</w:t>
      </w:r>
      <w:r>
        <w:rPr>
          <w:rFonts w:ascii="Calibri" w:hAnsi="Calibri" w:cs="Calibri"/>
        </w:rPr>
        <w:t>: T</w:t>
      </w:r>
      <w:r w:rsidRPr="008551F6">
        <w:rPr>
          <w:rFonts w:ascii="Calibri" w:hAnsi="Calibri" w:cs="Calibri"/>
        </w:rPr>
        <w:t>he first and second options are acceptable, not Option 3</w:t>
      </w:r>
    </w:p>
    <w:p w14:paraId="46C3ADD2" w14:textId="5BF02C40" w:rsidR="008551F6" w:rsidRDefault="008551F6" w:rsidP="008551F6">
      <w:pPr>
        <w:ind w:left="720"/>
        <w:rPr>
          <w:rFonts w:ascii="Calibri" w:hAnsi="Calibri" w:cs="Calibri"/>
        </w:rPr>
      </w:pPr>
    </w:p>
    <w:p w14:paraId="27DE80B9" w14:textId="70C99878" w:rsidR="008551F6" w:rsidRDefault="008551F6" w:rsidP="008551F6">
      <w:pPr>
        <w:ind w:left="720"/>
        <w:rPr>
          <w:rFonts w:ascii="Calibri" w:hAnsi="Calibri" w:cs="Calibri"/>
        </w:rPr>
      </w:pPr>
      <w:r w:rsidRPr="008551F6">
        <w:rPr>
          <w:rFonts w:ascii="Calibri" w:hAnsi="Calibri" w:cs="Calibri"/>
          <w:b/>
          <w:bCs/>
        </w:rPr>
        <w:t>SBUA</w:t>
      </w:r>
      <w:r>
        <w:rPr>
          <w:rFonts w:ascii="Calibri" w:hAnsi="Calibri" w:cs="Calibri"/>
        </w:rPr>
        <w:t xml:space="preserve">: </w:t>
      </w:r>
      <w:r w:rsidRPr="008551F6">
        <w:rPr>
          <w:rFonts w:ascii="Calibri" w:hAnsi="Calibri" w:cs="Calibri"/>
        </w:rPr>
        <w:t>SBUA prefers Option 2, as it enables PAs to include certain customer segments which may not be included in the CPUC ESJ definition, including small businesses and other customer classes listed under Option 2 in Section 5.3.</w:t>
      </w:r>
    </w:p>
    <w:p w14:paraId="520AF6EB" w14:textId="09AF8578" w:rsidR="008551F6" w:rsidRDefault="008551F6" w:rsidP="008551F6">
      <w:pPr>
        <w:ind w:left="720"/>
        <w:rPr>
          <w:rFonts w:ascii="Calibri" w:hAnsi="Calibri" w:cs="Calibri"/>
        </w:rPr>
      </w:pPr>
    </w:p>
    <w:p w14:paraId="2D9FF5E1" w14:textId="28671761" w:rsidR="008551F6" w:rsidRDefault="008551F6" w:rsidP="008551F6">
      <w:pPr>
        <w:ind w:left="720"/>
        <w:rPr>
          <w:rFonts w:ascii="Calibri" w:hAnsi="Calibri" w:cs="Calibri"/>
        </w:rPr>
      </w:pPr>
      <w:r w:rsidRPr="008551F6">
        <w:rPr>
          <w:rFonts w:ascii="Calibri" w:hAnsi="Calibri" w:cs="Calibri"/>
          <w:b/>
          <w:bCs/>
        </w:rPr>
        <w:t>Silent Running</w:t>
      </w:r>
      <w:r>
        <w:rPr>
          <w:rFonts w:ascii="Calibri" w:hAnsi="Calibri" w:cs="Calibri"/>
        </w:rPr>
        <w:t xml:space="preserve">: </w:t>
      </w:r>
      <w:r w:rsidRPr="008551F6">
        <w:rPr>
          <w:rFonts w:ascii="Calibri" w:hAnsi="Calibri" w:cs="Calibri"/>
        </w:rPr>
        <w:t>Option 2 is a fair and reasonable compromise. The PA s have previously shown their inability to define undeserved customers and to equitably serve them.</w:t>
      </w:r>
    </w:p>
    <w:p w14:paraId="0DFDD69E" w14:textId="5E1F2C96" w:rsidR="008551F6" w:rsidRDefault="008551F6" w:rsidP="008551F6">
      <w:pPr>
        <w:ind w:left="720"/>
        <w:rPr>
          <w:rFonts w:ascii="Calibri" w:hAnsi="Calibri" w:cs="Calibri"/>
        </w:rPr>
      </w:pPr>
    </w:p>
    <w:p w14:paraId="6CFE6861" w14:textId="4CE2D036" w:rsidR="008551F6" w:rsidRDefault="008551F6" w:rsidP="008551F6">
      <w:pPr>
        <w:ind w:left="720"/>
        <w:rPr>
          <w:rFonts w:ascii="Calibri" w:hAnsi="Calibri" w:cs="Calibri"/>
        </w:rPr>
      </w:pPr>
      <w:r w:rsidRPr="008551F6">
        <w:rPr>
          <w:rFonts w:ascii="Calibri" w:hAnsi="Calibri" w:cs="Calibri"/>
          <w:b/>
          <w:bCs/>
        </w:rPr>
        <w:t>SoCalREN</w:t>
      </w:r>
      <w:r>
        <w:rPr>
          <w:rFonts w:ascii="Calibri" w:hAnsi="Calibri" w:cs="Calibri"/>
        </w:rPr>
        <w:t xml:space="preserve">: </w:t>
      </w:r>
      <w:r w:rsidRPr="008551F6">
        <w:rPr>
          <w:rFonts w:ascii="Calibri" w:hAnsi="Calibri" w:cs="Calibri"/>
        </w:rPr>
        <w:t xml:space="preserve">Our concern is that PAs will utilize the definition to include categories or communities who are </w:t>
      </w:r>
      <w:r w:rsidRPr="00D22AAE">
        <w:rPr>
          <w:rFonts w:ascii="Calibri" w:hAnsi="Calibri" w:cs="Calibri"/>
        </w:rPr>
        <w:t xml:space="preserve">more </w:t>
      </w:r>
      <w:r w:rsidRPr="00EA32A7">
        <w:rPr>
          <w:rFonts w:ascii="Calibri" w:hAnsi="Calibri" w:cs="Calibri"/>
        </w:rPr>
        <w:t>affluential and</w:t>
      </w:r>
      <w:r w:rsidRPr="008551F6">
        <w:rPr>
          <w:rFonts w:ascii="Calibri" w:hAnsi="Calibri" w:cs="Calibri"/>
        </w:rPr>
        <w:t xml:space="preserve"> distinctly different than those who would be underserved or experiencing inequitable environmental justice so that they can meet the definition. More resources must be identified to reach those in the most need in particular vulnerable communities and marginalized communities.</w:t>
      </w:r>
    </w:p>
    <w:p w14:paraId="611287A3" w14:textId="14A5A9DC" w:rsidR="00901B6D" w:rsidRDefault="00901B6D" w:rsidP="00987389">
      <w:pPr>
        <w:rPr>
          <w:rFonts w:ascii="Calibri" w:hAnsi="Calibri" w:cs="Calibri"/>
        </w:rPr>
      </w:pPr>
    </w:p>
    <w:p w14:paraId="5BEEF61B" w14:textId="6A24EBA7" w:rsidR="00901B6D" w:rsidRPr="004569F9" w:rsidRDefault="00901B6D" w:rsidP="00901B6D">
      <w:pPr>
        <w:pStyle w:val="Heading3"/>
        <w:rPr>
          <w:rFonts w:ascii="Calibri" w:eastAsia="Times New Roman" w:hAnsi="Calibri" w:cs="Calibri"/>
          <w:color w:val="auto"/>
          <w:u w:val="single"/>
        </w:rPr>
      </w:pPr>
      <w:bookmarkStart w:id="97" w:name="_Toc85613342"/>
      <w:r w:rsidRPr="004569F9">
        <w:rPr>
          <w:rFonts w:ascii="Calibri" w:eastAsia="Times New Roman" w:hAnsi="Calibri" w:cs="Calibri"/>
          <w:color w:val="auto"/>
          <w:u w:val="single"/>
        </w:rPr>
        <w:t>Option 3: Allow the PAs to determine Underserved</w:t>
      </w:r>
      <w:bookmarkEnd w:id="97"/>
      <w:r w:rsidRPr="004569F9">
        <w:rPr>
          <w:rFonts w:ascii="Calibri" w:eastAsia="Times New Roman" w:hAnsi="Calibri" w:cs="Calibri"/>
          <w:color w:val="auto"/>
          <w:u w:val="single"/>
        </w:rPr>
        <w:t xml:space="preserve"> </w:t>
      </w:r>
    </w:p>
    <w:p w14:paraId="79645494" w14:textId="45CFB2E5" w:rsidR="00901B6D" w:rsidRDefault="008551F6" w:rsidP="008551F6">
      <w:pPr>
        <w:ind w:left="720"/>
        <w:rPr>
          <w:rFonts w:ascii="Calibri" w:hAnsi="Calibri" w:cs="Calibri"/>
        </w:rPr>
      </w:pPr>
      <w:r>
        <w:rPr>
          <w:rFonts w:ascii="Calibri" w:hAnsi="Calibri" w:cs="Calibri"/>
          <w:b/>
          <w:bCs/>
        </w:rPr>
        <w:t>MC</w:t>
      </w:r>
      <w:r w:rsidR="00901B6D" w:rsidRPr="00901B6D">
        <w:rPr>
          <w:rFonts w:ascii="Calibri" w:hAnsi="Calibri" w:cs="Calibri"/>
          <w:b/>
          <w:bCs/>
        </w:rPr>
        <w:t>E</w:t>
      </w:r>
      <w:r w:rsidR="00901B6D">
        <w:rPr>
          <w:rFonts w:ascii="Calibri" w:hAnsi="Calibri" w:cs="Calibri"/>
        </w:rPr>
        <w:t xml:space="preserve">: </w:t>
      </w:r>
      <w:r w:rsidRPr="008551F6">
        <w:rPr>
          <w:rFonts w:ascii="Calibri" w:hAnsi="Calibri" w:cs="Calibri"/>
        </w:rPr>
        <w:t>MCE's first choice would be Option 3, and Option 2 would also be acceptable. Option 1 may be overly narrow when it comes to implementation, and would not be acceptable to MCE.</w:t>
      </w:r>
    </w:p>
    <w:p w14:paraId="327209CE" w14:textId="77777777" w:rsidR="00901B6D" w:rsidRDefault="00901B6D" w:rsidP="00987389">
      <w:pPr>
        <w:rPr>
          <w:rFonts w:ascii="Calibri" w:hAnsi="Calibri" w:cs="Calibri"/>
        </w:rPr>
      </w:pPr>
    </w:p>
    <w:p w14:paraId="70881FA5" w14:textId="3132EAB6" w:rsidR="00901B6D" w:rsidRDefault="00901B6D" w:rsidP="00987389">
      <w:pPr>
        <w:rPr>
          <w:rFonts w:ascii="Calibri" w:hAnsi="Calibri" w:cs="Calibri"/>
        </w:rPr>
      </w:pPr>
    </w:p>
    <w:p w14:paraId="09632602" w14:textId="77777777" w:rsidR="00901B6D" w:rsidRDefault="00901B6D" w:rsidP="00987389">
      <w:pPr>
        <w:rPr>
          <w:rFonts w:ascii="Calibri" w:hAnsi="Calibri" w:cs="Calibri"/>
        </w:rPr>
      </w:pPr>
    </w:p>
    <w:p w14:paraId="23B8B92D" w14:textId="77777777" w:rsidR="00987389" w:rsidRDefault="00987389" w:rsidP="00BD1D99">
      <w:pPr>
        <w:pStyle w:val="Heading1"/>
        <w:spacing w:line="276" w:lineRule="auto"/>
        <w:rPr>
          <w:rFonts w:ascii="Calibri" w:hAnsi="Calibri" w:cs="Calibri"/>
        </w:rPr>
      </w:pPr>
    </w:p>
    <w:p w14:paraId="429F948E" w14:textId="77777777" w:rsidR="00987389" w:rsidRDefault="00987389">
      <w:pPr>
        <w:rPr>
          <w:rFonts w:ascii="Calibri" w:eastAsiaTheme="majorEastAsia" w:hAnsi="Calibri" w:cs="Calibri"/>
          <w:color w:val="2F5496" w:themeColor="accent1" w:themeShade="BF"/>
          <w:sz w:val="32"/>
          <w:szCs w:val="32"/>
        </w:rPr>
      </w:pPr>
      <w:r>
        <w:rPr>
          <w:rFonts w:ascii="Calibri" w:hAnsi="Calibri" w:cs="Calibri"/>
        </w:rPr>
        <w:br w:type="page"/>
      </w:r>
    </w:p>
    <w:p w14:paraId="53DBE555" w14:textId="437D8D39" w:rsidR="007848A7" w:rsidRPr="00BD1D99" w:rsidRDefault="00F81056" w:rsidP="00BD1D99">
      <w:pPr>
        <w:pStyle w:val="Heading1"/>
        <w:spacing w:line="276" w:lineRule="auto"/>
        <w:rPr>
          <w:rFonts w:ascii="Calibri" w:hAnsi="Calibri" w:cs="Calibri"/>
        </w:rPr>
      </w:pPr>
      <w:bookmarkStart w:id="98" w:name="_Toc85613343"/>
      <w:r w:rsidRPr="00BD1D99">
        <w:rPr>
          <w:rFonts w:ascii="Calibri" w:hAnsi="Calibri" w:cs="Calibri"/>
        </w:rPr>
        <w:t xml:space="preserve">Appendix </w:t>
      </w:r>
      <w:r w:rsidR="00987389">
        <w:rPr>
          <w:rFonts w:ascii="Calibri" w:hAnsi="Calibri" w:cs="Calibri"/>
        </w:rPr>
        <w:t>D</w:t>
      </w:r>
      <w:r w:rsidRPr="00BD1D99">
        <w:rPr>
          <w:rFonts w:ascii="Calibri" w:hAnsi="Calibri" w:cs="Calibri"/>
        </w:rPr>
        <w:t xml:space="preserve">: </w:t>
      </w:r>
      <w:r w:rsidR="00C828E6" w:rsidRPr="00BD1D99">
        <w:rPr>
          <w:rFonts w:ascii="Calibri" w:hAnsi="Calibri" w:cs="Calibri"/>
        </w:rPr>
        <w:t xml:space="preserve">Equity Metrics </w:t>
      </w:r>
      <w:r w:rsidRPr="00BD1D99">
        <w:rPr>
          <w:rFonts w:ascii="Calibri" w:hAnsi="Calibri" w:cs="Calibri"/>
        </w:rPr>
        <w:t>Workshop Participation and Input</w:t>
      </w:r>
      <w:bookmarkEnd w:id="98"/>
    </w:p>
    <w:p w14:paraId="1FA1EAE6" w14:textId="174A33D5" w:rsidR="00C828E6" w:rsidRPr="00BD1D99" w:rsidRDefault="00987389" w:rsidP="00BD1D99">
      <w:pPr>
        <w:pStyle w:val="Heading2"/>
      </w:pPr>
      <w:bookmarkStart w:id="99" w:name="_Toc85613344"/>
      <w:r>
        <w:t>D</w:t>
      </w:r>
      <w:r w:rsidR="00C828E6" w:rsidRPr="00BD1D99">
        <w:t>.1 Background</w:t>
      </w:r>
      <w:bookmarkEnd w:id="99"/>
    </w:p>
    <w:p w14:paraId="46653D1C" w14:textId="7CACE416" w:rsidR="00C828E6" w:rsidRPr="00BD1D99" w:rsidRDefault="00C828E6" w:rsidP="00BD1D99">
      <w:pPr>
        <w:spacing w:line="276" w:lineRule="auto"/>
        <w:rPr>
          <w:rFonts w:ascii="Calibri" w:hAnsi="Calibri" w:cs="Calibri"/>
        </w:rPr>
      </w:pPr>
      <w:r w:rsidRPr="00BD1D99">
        <w:rPr>
          <w:rFonts w:ascii="Calibri" w:hAnsi="Calibri" w:cs="Calibri"/>
        </w:rPr>
        <w:t xml:space="preserve">On August 31, 2021, the CAEECC hosted a workshop to solicit stakeholder input on Objectives and Metrics for the Equity </w:t>
      </w:r>
      <w:r w:rsidR="00090954" w:rsidRPr="00BD1D99">
        <w:rPr>
          <w:rFonts w:ascii="Calibri" w:hAnsi="Calibri" w:cs="Calibri"/>
        </w:rPr>
        <w:t>segment</w:t>
      </w:r>
      <w:r w:rsidRPr="00BD1D99">
        <w:rPr>
          <w:rFonts w:ascii="Calibri" w:hAnsi="Calibri" w:cs="Calibri"/>
        </w:rPr>
        <w:t>. The workshop was held via Zoom</w:t>
      </w:r>
      <w:r w:rsidRPr="00D22CC5">
        <w:rPr>
          <w:rFonts w:ascii="Calibri" w:hAnsi="Calibri" w:cs="Calibri"/>
        </w:rPr>
        <w:t xml:space="preserve">. </w:t>
      </w:r>
      <w:r w:rsidR="00E0340F" w:rsidRPr="00D22CC5">
        <w:rPr>
          <w:rFonts w:ascii="Calibri" w:hAnsi="Calibri" w:cs="Calibri"/>
        </w:rPr>
        <w:t xml:space="preserve">A total of </w:t>
      </w:r>
      <w:r w:rsidRPr="00D22CC5">
        <w:rPr>
          <w:rFonts w:ascii="Calibri" w:hAnsi="Calibri" w:cs="Calibri"/>
        </w:rPr>
        <w:t>78 me</w:t>
      </w:r>
      <w:r w:rsidRPr="00BD1D99">
        <w:rPr>
          <w:rFonts w:ascii="Calibri" w:hAnsi="Calibri" w:cs="Calibri"/>
        </w:rPr>
        <w:t xml:space="preserve">mbers of the public participated, plus 35 representatives from 24 WG Member organizations (including Leads, Alternates and Ex Officio). A full list of meeting attendees is provided in section B.2 Workshop Attendee List, below. </w:t>
      </w:r>
    </w:p>
    <w:p w14:paraId="20976B30" w14:textId="1E5FFE39" w:rsidR="00C828E6" w:rsidRPr="00BD1D99" w:rsidRDefault="00C828E6" w:rsidP="00BD1D99">
      <w:pPr>
        <w:spacing w:line="276" w:lineRule="auto"/>
        <w:rPr>
          <w:rFonts w:ascii="Calibri" w:hAnsi="Calibri" w:cs="Calibri"/>
        </w:rPr>
      </w:pPr>
    </w:p>
    <w:p w14:paraId="5664A865" w14:textId="4DC1E4F4" w:rsidR="00C828E6" w:rsidRPr="00BD1D99" w:rsidRDefault="00C828E6" w:rsidP="00BD1D99">
      <w:pPr>
        <w:widowControl w:val="0"/>
        <w:autoSpaceDE w:val="0"/>
        <w:autoSpaceDN w:val="0"/>
        <w:adjustRightInd w:val="0"/>
        <w:spacing w:before="10" w:after="10" w:line="276" w:lineRule="auto"/>
        <w:rPr>
          <w:rFonts w:ascii="Calibri" w:hAnsi="Calibri" w:cs="Calibri"/>
        </w:rPr>
      </w:pPr>
      <w:r w:rsidRPr="00BD1D99">
        <w:rPr>
          <w:rFonts w:ascii="Calibri" w:hAnsi="Calibri" w:cs="Calibri"/>
        </w:rPr>
        <w:t>To solicit input virtually, a platform called Mural was used, which allows participants to provide input online. Participants were randomly assigned to one of six breakout groups, each of which was facilitated by a member of the CAEECC facilitation team or a WG member. In keeping with the purpose of the workshop, non-WG members were given priority during the discussion.</w:t>
      </w:r>
    </w:p>
    <w:p w14:paraId="6E9D16A9" w14:textId="77777777" w:rsidR="00C828E6" w:rsidRPr="00BD1D99" w:rsidRDefault="00C828E6" w:rsidP="00BD1D99">
      <w:pPr>
        <w:widowControl w:val="0"/>
        <w:autoSpaceDE w:val="0"/>
        <w:autoSpaceDN w:val="0"/>
        <w:adjustRightInd w:val="0"/>
        <w:spacing w:before="10" w:after="10" w:line="276" w:lineRule="auto"/>
        <w:rPr>
          <w:rFonts w:ascii="Calibri" w:hAnsi="Calibri" w:cs="Calibri"/>
        </w:rPr>
      </w:pPr>
    </w:p>
    <w:p w14:paraId="1B7B47C9" w14:textId="77777777" w:rsidR="00C828E6" w:rsidRPr="00BD1D99" w:rsidRDefault="00C828E6" w:rsidP="00BD1D99">
      <w:pPr>
        <w:widowControl w:val="0"/>
        <w:autoSpaceDE w:val="0"/>
        <w:autoSpaceDN w:val="0"/>
        <w:adjustRightInd w:val="0"/>
        <w:spacing w:before="10" w:after="10" w:line="276" w:lineRule="auto"/>
        <w:rPr>
          <w:rFonts w:ascii="Calibri" w:hAnsi="Calibri" w:cs="Calibri"/>
        </w:rPr>
      </w:pPr>
      <w:r w:rsidRPr="00BD1D99">
        <w:rPr>
          <w:rFonts w:ascii="Calibri" w:hAnsi="Calibri" w:cs="Calibri"/>
        </w:rPr>
        <w:t>The four breakout questions were as follows:</w:t>
      </w:r>
    </w:p>
    <w:p w14:paraId="637D9D32" w14:textId="77777777" w:rsidR="00C828E6" w:rsidRPr="00BD1D99" w:rsidRDefault="00C828E6" w:rsidP="00760381">
      <w:pPr>
        <w:widowControl w:val="0"/>
        <w:numPr>
          <w:ilvl w:val="0"/>
          <w:numId w:val="11"/>
        </w:numPr>
        <w:autoSpaceDE w:val="0"/>
        <w:autoSpaceDN w:val="0"/>
        <w:adjustRightInd w:val="0"/>
        <w:spacing w:before="10" w:after="10" w:line="276" w:lineRule="auto"/>
        <w:rPr>
          <w:rFonts w:ascii="Calibri" w:hAnsi="Calibri" w:cs="Calibri"/>
        </w:rPr>
      </w:pPr>
      <w:r w:rsidRPr="00BD1D99">
        <w:rPr>
          <w:rFonts w:ascii="Calibri" w:hAnsi="Calibri" w:cs="Calibri"/>
        </w:rPr>
        <w:t>What do you think the new Equity segment should achieve?</w:t>
      </w:r>
    </w:p>
    <w:p w14:paraId="65046353" w14:textId="77777777" w:rsidR="00C828E6" w:rsidRPr="00BD1D99" w:rsidRDefault="00C828E6" w:rsidP="00760381">
      <w:pPr>
        <w:widowControl w:val="0"/>
        <w:numPr>
          <w:ilvl w:val="0"/>
          <w:numId w:val="11"/>
        </w:numPr>
        <w:autoSpaceDE w:val="0"/>
        <w:autoSpaceDN w:val="0"/>
        <w:adjustRightInd w:val="0"/>
        <w:spacing w:before="10" w:after="10" w:line="276" w:lineRule="auto"/>
        <w:rPr>
          <w:rFonts w:ascii="Calibri" w:hAnsi="Calibri" w:cs="Calibri"/>
        </w:rPr>
      </w:pPr>
      <w:r w:rsidRPr="00BD1D99">
        <w:rPr>
          <w:rFonts w:ascii="Calibri" w:hAnsi="Calibri" w:cs="Calibri"/>
        </w:rPr>
        <w:t>Should we focus on customers or also energy efficiency service providers?</w:t>
      </w:r>
    </w:p>
    <w:p w14:paraId="74635106" w14:textId="77777777" w:rsidR="00C828E6" w:rsidRPr="00BD1D99" w:rsidRDefault="00C828E6" w:rsidP="00760381">
      <w:pPr>
        <w:widowControl w:val="0"/>
        <w:numPr>
          <w:ilvl w:val="0"/>
          <w:numId w:val="11"/>
        </w:numPr>
        <w:autoSpaceDE w:val="0"/>
        <w:autoSpaceDN w:val="0"/>
        <w:adjustRightInd w:val="0"/>
        <w:spacing w:before="10" w:after="10" w:line="276" w:lineRule="auto"/>
        <w:rPr>
          <w:rFonts w:ascii="Calibri" w:hAnsi="Calibri" w:cs="Calibri"/>
        </w:rPr>
      </w:pPr>
      <w:r w:rsidRPr="00BD1D99">
        <w:rPr>
          <w:rFonts w:ascii="Calibri" w:hAnsi="Calibri" w:cs="Calibri"/>
        </w:rPr>
        <w:t>Who is at risk of not being served?</w:t>
      </w:r>
    </w:p>
    <w:p w14:paraId="21284646" w14:textId="77777777" w:rsidR="00C828E6" w:rsidRPr="00BD1D99" w:rsidRDefault="00C828E6" w:rsidP="00760381">
      <w:pPr>
        <w:widowControl w:val="0"/>
        <w:numPr>
          <w:ilvl w:val="0"/>
          <w:numId w:val="11"/>
        </w:numPr>
        <w:autoSpaceDE w:val="0"/>
        <w:autoSpaceDN w:val="0"/>
        <w:adjustRightInd w:val="0"/>
        <w:spacing w:before="10" w:after="10" w:line="276" w:lineRule="auto"/>
        <w:rPr>
          <w:rFonts w:ascii="Calibri" w:hAnsi="Calibri" w:cs="Calibri"/>
        </w:rPr>
      </w:pPr>
      <w:r w:rsidRPr="00BD1D99">
        <w:rPr>
          <w:rFonts w:ascii="Calibri" w:hAnsi="Calibri" w:cs="Calibri"/>
        </w:rPr>
        <w:t>How should we measure progress?</w:t>
      </w:r>
    </w:p>
    <w:p w14:paraId="63A89B8F" w14:textId="22794154" w:rsidR="00C828E6" w:rsidRPr="00BD1D99" w:rsidRDefault="00C828E6" w:rsidP="00BD1D99">
      <w:pPr>
        <w:spacing w:line="276" w:lineRule="auto"/>
        <w:rPr>
          <w:rFonts w:ascii="Calibri" w:hAnsi="Calibri" w:cs="Calibri"/>
        </w:rPr>
      </w:pPr>
    </w:p>
    <w:p w14:paraId="20CC0171" w14:textId="735A4900" w:rsidR="00C828E6" w:rsidRPr="00BD1D99" w:rsidRDefault="00C828E6" w:rsidP="00BD1D99">
      <w:pPr>
        <w:spacing w:line="276" w:lineRule="auto"/>
        <w:rPr>
          <w:rFonts w:ascii="Calibri" w:hAnsi="Calibri" w:cs="Calibri"/>
        </w:rPr>
      </w:pPr>
      <w:r w:rsidRPr="00BD1D99">
        <w:rPr>
          <w:rFonts w:ascii="Calibri" w:hAnsi="Calibri" w:cs="Calibri"/>
        </w:rPr>
        <w:t xml:space="preserve">See section B.3 Input Summaries from Breakout Groups for screenshots of the Murals from the six breakout groups. </w:t>
      </w:r>
    </w:p>
    <w:p w14:paraId="771D9EE2" w14:textId="77777777" w:rsidR="00C828E6" w:rsidRPr="00BD1D99" w:rsidRDefault="00C828E6" w:rsidP="00BD1D99">
      <w:pPr>
        <w:spacing w:line="276" w:lineRule="auto"/>
        <w:rPr>
          <w:rFonts w:ascii="Calibri" w:hAnsi="Calibri" w:cs="Calibri"/>
        </w:rPr>
      </w:pPr>
    </w:p>
    <w:p w14:paraId="5BB325CA" w14:textId="3A383E4A" w:rsidR="00A260E8" w:rsidRDefault="00987389" w:rsidP="00BD1D99">
      <w:pPr>
        <w:pStyle w:val="Heading2"/>
      </w:pPr>
      <w:bookmarkStart w:id="100" w:name="_Toc85613345"/>
      <w:r>
        <w:t>D</w:t>
      </w:r>
      <w:r w:rsidR="00A260E8" w:rsidRPr="00BD1D99">
        <w:t>.</w:t>
      </w:r>
      <w:r w:rsidR="00C828E6" w:rsidRPr="00BD1D99">
        <w:t>2</w:t>
      </w:r>
      <w:r w:rsidR="00A260E8" w:rsidRPr="00BD1D99">
        <w:t xml:space="preserve"> Workshop Attendee List</w:t>
      </w:r>
      <w:bookmarkEnd w:id="100"/>
    </w:p>
    <w:p w14:paraId="7892BE3C" w14:textId="7FCD20E4" w:rsidR="00604221" w:rsidRPr="00604221" w:rsidRDefault="00604221" w:rsidP="00604221">
      <w:pPr>
        <w:rPr>
          <w:rFonts w:ascii="Calibri" w:hAnsi="Calibri" w:cs="Calibri"/>
        </w:rPr>
      </w:pPr>
      <w:r w:rsidRPr="00604221">
        <w:rPr>
          <w:rFonts w:ascii="Calibri" w:hAnsi="Calibri" w:cs="Calibri"/>
        </w:rPr>
        <w:t xml:space="preserve">Table </w:t>
      </w:r>
      <w:r w:rsidR="00987389">
        <w:rPr>
          <w:rFonts w:ascii="Calibri" w:hAnsi="Calibri" w:cs="Calibri"/>
        </w:rPr>
        <w:t>D</w:t>
      </w:r>
      <w:r w:rsidRPr="00604221">
        <w:rPr>
          <w:rFonts w:ascii="Calibri" w:hAnsi="Calibri" w:cs="Calibri"/>
        </w:rPr>
        <w:t>.</w:t>
      </w:r>
      <w:r w:rsidR="00B4459C">
        <w:rPr>
          <w:rFonts w:ascii="Calibri" w:hAnsi="Calibri" w:cs="Calibri"/>
        </w:rPr>
        <w:t>1</w:t>
      </w:r>
      <w:r w:rsidRPr="00604221">
        <w:rPr>
          <w:rFonts w:ascii="Calibri" w:hAnsi="Calibri" w:cs="Calibri"/>
        </w:rPr>
        <w:t>: Equity Metrics Workshop Attendee List</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440"/>
        <w:gridCol w:w="2070"/>
      </w:tblGrid>
      <w:tr w:rsidR="00A260E8" w:rsidRPr="00BD1D99" w14:paraId="6E6699E8" w14:textId="77777777" w:rsidTr="007C04D4">
        <w:trPr>
          <w:trHeight w:val="320"/>
        </w:trPr>
        <w:tc>
          <w:tcPr>
            <w:tcW w:w="5665" w:type="dxa"/>
            <w:shd w:val="clear" w:color="auto" w:fill="auto"/>
            <w:noWrap/>
            <w:vAlign w:val="bottom"/>
            <w:hideMark/>
          </w:tcPr>
          <w:p w14:paraId="02BD9579" w14:textId="77777777" w:rsidR="00A260E8" w:rsidRPr="00BD1D99" w:rsidRDefault="00A260E8" w:rsidP="00BD1D99">
            <w:pPr>
              <w:spacing w:line="276" w:lineRule="auto"/>
              <w:rPr>
                <w:rFonts w:ascii="Calibri" w:hAnsi="Calibri" w:cs="Calibri"/>
                <w:b/>
                <w:bCs/>
                <w:color w:val="000000"/>
              </w:rPr>
            </w:pPr>
            <w:r w:rsidRPr="00BD1D99">
              <w:rPr>
                <w:rFonts w:ascii="Calibri" w:hAnsi="Calibri" w:cs="Calibri"/>
                <w:b/>
                <w:bCs/>
                <w:color w:val="000000"/>
              </w:rPr>
              <w:t>Organizational Affiliation</w:t>
            </w:r>
          </w:p>
        </w:tc>
        <w:tc>
          <w:tcPr>
            <w:tcW w:w="1440" w:type="dxa"/>
            <w:shd w:val="clear" w:color="auto" w:fill="auto"/>
            <w:noWrap/>
            <w:vAlign w:val="bottom"/>
            <w:hideMark/>
          </w:tcPr>
          <w:p w14:paraId="3E1BE354" w14:textId="77777777" w:rsidR="00A260E8" w:rsidRPr="00BD1D99" w:rsidRDefault="00A260E8" w:rsidP="00BD1D99">
            <w:pPr>
              <w:spacing w:line="276" w:lineRule="auto"/>
              <w:rPr>
                <w:rFonts w:ascii="Calibri" w:hAnsi="Calibri" w:cs="Calibri"/>
                <w:b/>
                <w:bCs/>
                <w:color w:val="000000"/>
              </w:rPr>
            </w:pPr>
            <w:r w:rsidRPr="00BD1D99">
              <w:rPr>
                <w:rFonts w:ascii="Calibri" w:hAnsi="Calibri" w:cs="Calibri"/>
                <w:b/>
                <w:bCs/>
                <w:color w:val="000000"/>
              </w:rPr>
              <w:t>First Name</w:t>
            </w:r>
          </w:p>
        </w:tc>
        <w:tc>
          <w:tcPr>
            <w:tcW w:w="2070" w:type="dxa"/>
            <w:shd w:val="clear" w:color="auto" w:fill="auto"/>
            <w:noWrap/>
            <w:vAlign w:val="bottom"/>
            <w:hideMark/>
          </w:tcPr>
          <w:p w14:paraId="4EECD2FA" w14:textId="77777777" w:rsidR="00A260E8" w:rsidRPr="00BD1D99" w:rsidRDefault="00A260E8" w:rsidP="00BD1D99">
            <w:pPr>
              <w:spacing w:line="276" w:lineRule="auto"/>
              <w:rPr>
                <w:rFonts w:ascii="Calibri" w:hAnsi="Calibri" w:cs="Calibri"/>
                <w:b/>
                <w:bCs/>
                <w:color w:val="000000"/>
              </w:rPr>
            </w:pPr>
            <w:r w:rsidRPr="00BD1D99">
              <w:rPr>
                <w:rFonts w:ascii="Calibri" w:hAnsi="Calibri" w:cs="Calibri"/>
                <w:b/>
                <w:bCs/>
                <w:color w:val="000000"/>
              </w:rPr>
              <w:t>Last Name</w:t>
            </w:r>
          </w:p>
        </w:tc>
      </w:tr>
      <w:tr w:rsidR="00A260E8" w:rsidRPr="00BD1D99" w14:paraId="26E99DA9" w14:textId="77777777" w:rsidTr="007C04D4">
        <w:trPr>
          <w:trHeight w:val="20"/>
        </w:trPr>
        <w:tc>
          <w:tcPr>
            <w:tcW w:w="9175" w:type="dxa"/>
            <w:gridSpan w:val="3"/>
            <w:shd w:val="clear" w:color="auto" w:fill="B4C6E7" w:themeFill="accent1" w:themeFillTint="66"/>
            <w:noWrap/>
            <w:vAlign w:val="bottom"/>
          </w:tcPr>
          <w:p w14:paraId="712B585B" w14:textId="77777777" w:rsidR="00A260E8" w:rsidRPr="00BD1D99" w:rsidRDefault="00A260E8" w:rsidP="00BD1D99">
            <w:pPr>
              <w:spacing w:line="276" w:lineRule="auto"/>
              <w:rPr>
                <w:rFonts w:ascii="Calibri" w:hAnsi="Calibri" w:cs="Calibri"/>
                <w:b/>
                <w:bCs/>
                <w:color w:val="000000"/>
              </w:rPr>
            </w:pPr>
            <w:r w:rsidRPr="00BD1D99">
              <w:rPr>
                <w:rFonts w:ascii="Calibri" w:hAnsi="Calibri" w:cs="Calibri"/>
                <w:b/>
                <w:bCs/>
                <w:color w:val="000000"/>
              </w:rPr>
              <w:t xml:space="preserve">Equity Working Group Member Representatives, Alternates, and Presenters </w:t>
            </w:r>
          </w:p>
        </w:tc>
      </w:tr>
      <w:tr w:rsidR="00A260E8" w:rsidRPr="00BD1D99" w14:paraId="0BD10127" w14:textId="77777777" w:rsidTr="007C04D4">
        <w:trPr>
          <w:trHeight w:val="20"/>
        </w:trPr>
        <w:tc>
          <w:tcPr>
            <w:tcW w:w="5665" w:type="dxa"/>
            <w:shd w:val="clear" w:color="auto" w:fill="auto"/>
            <w:noWrap/>
            <w:vAlign w:val="bottom"/>
            <w:hideMark/>
          </w:tcPr>
          <w:p w14:paraId="6B5226F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 xml:space="preserve">3C-REN  </w:t>
            </w:r>
          </w:p>
        </w:tc>
        <w:tc>
          <w:tcPr>
            <w:tcW w:w="1440" w:type="dxa"/>
            <w:shd w:val="clear" w:color="auto" w:fill="auto"/>
            <w:noWrap/>
            <w:vAlign w:val="bottom"/>
            <w:hideMark/>
          </w:tcPr>
          <w:p w14:paraId="49AD07D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Alejandra</w:t>
            </w:r>
          </w:p>
        </w:tc>
        <w:tc>
          <w:tcPr>
            <w:tcW w:w="2070" w:type="dxa"/>
            <w:shd w:val="clear" w:color="auto" w:fill="auto"/>
            <w:noWrap/>
            <w:vAlign w:val="bottom"/>
            <w:hideMark/>
          </w:tcPr>
          <w:p w14:paraId="0E130C7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Tellez</w:t>
            </w:r>
          </w:p>
        </w:tc>
      </w:tr>
      <w:tr w:rsidR="00A260E8" w:rsidRPr="00BD1D99" w14:paraId="00B9DDD5" w14:textId="77777777" w:rsidTr="007C04D4">
        <w:trPr>
          <w:trHeight w:val="20"/>
        </w:trPr>
        <w:tc>
          <w:tcPr>
            <w:tcW w:w="5665" w:type="dxa"/>
            <w:shd w:val="clear" w:color="auto" w:fill="auto"/>
            <w:noWrap/>
            <w:vAlign w:val="bottom"/>
            <w:hideMark/>
          </w:tcPr>
          <w:p w14:paraId="6C25EE3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BayREN</w:t>
            </w:r>
          </w:p>
        </w:tc>
        <w:tc>
          <w:tcPr>
            <w:tcW w:w="1440" w:type="dxa"/>
            <w:shd w:val="clear" w:color="auto" w:fill="auto"/>
            <w:noWrap/>
            <w:vAlign w:val="bottom"/>
            <w:hideMark/>
          </w:tcPr>
          <w:p w14:paraId="062F8A0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Jennifer</w:t>
            </w:r>
          </w:p>
        </w:tc>
        <w:tc>
          <w:tcPr>
            <w:tcW w:w="2070" w:type="dxa"/>
            <w:shd w:val="clear" w:color="auto" w:fill="auto"/>
            <w:noWrap/>
            <w:vAlign w:val="bottom"/>
            <w:hideMark/>
          </w:tcPr>
          <w:p w14:paraId="68CFA35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Berg</w:t>
            </w:r>
          </w:p>
        </w:tc>
      </w:tr>
      <w:tr w:rsidR="00A260E8" w:rsidRPr="00BD1D99" w14:paraId="5F99D655" w14:textId="77777777" w:rsidTr="007C04D4">
        <w:trPr>
          <w:trHeight w:val="20"/>
        </w:trPr>
        <w:tc>
          <w:tcPr>
            <w:tcW w:w="5665" w:type="dxa"/>
            <w:shd w:val="clear" w:color="auto" w:fill="auto"/>
            <w:noWrap/>
            <w:vAlign w:val="bottom"/>
          </w:tcPr>
          <w:p w14:paraId="757FE1B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BayREN</w:t>
            </w:r>
          </w:p>
        </w:tc>
        <w:tc>
          <w:tcPr>
            <w:tcW w:w="1440" w:type="dxa"/>
            <w:shd w:val="clear" w:color="auto" w:fill="auto"/>
            <w:noWrap/>
            <w:vAlign w:val="bottom"/>
          </w:tcPr>
          <w:p w14:paraId="4602D8D6"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Jenn</w:t>
            </w:r>
          </w:p>
        </w:tc>
        <w:tc>
          <w:tcPr>
            <w:tcW w:w="2070" w:type="dxa"/>
            <w:shd w:val="clear" w:color="auto" w:fill="auto"/>
            <w:noWrap/>
            <w:vAlign w:val="bottom"/>
          </w:tcPr>
          <w:p w14:paraId="7645675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Mitchell-Jackson</w:t>
            </w:r>
          </w:p>
        </w:tc>
      </w:tr>
      <w:tr w:rsidR="00A260E8" w:rsidRPr="00BD1D99" w14:paraId="78F9A344" w14:textId="77777777" w:rsidTr="007C04D4">
        <w:trPr>
          <w:trHeight w:val="20"/>
        </w:trPr>
        <w:tc>
          <w:tcPr>
            <w:tcW w:w="5665" w:type="dxa"/>
            <w:shd w:val="clear" w:color="auto" w:fill="auto"/>
            <w:noWrap/>
            <w:vAlign w:val="bottom"/>
            <w:hideMark/>
          </w:tcPr>
          <w:p w14:paraId="2BC06C66"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CalPA</w:t>
            </w:r>
          </w:p>
        </w:tc>
        <w:tc>
          <w:tcPr>
            <w:tcW w:w="1440" w:type="dxa"/>
            <w:shd w:val="clear" w:color="auto" w:fill="auto"/>
            <w:noWrap/>
            <w:vAlign w:val="bottom"/>
            <w:hideMark/>
          </w:tcPr>
          <w:p w14:paraId="100B3FA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Daniel</w:t>
            </w:r>
          </w:p>
        </w:tc>
        <w:tc>
          <w:tcPr>
            <w:tcW w:w="2070" w:type="dxa"/>
            <w:shd w:val="clear" w:color="auto" w:fill="auto"/>
            <w:noWrap/>
            <w:vAlign w:val="bottom"/>
            <w:hideMark/>
          </w:tcPr>
          <w:p w14:paraId="1A959EC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Buch</w:t>
            </w:r>
          </w:p>
        </w:tc>
      </w:tr>
      <w:tr w:rsidR="00A260E8" w:rsidRPr="00BD1D99" w14:paraId="347BC618" w14:textId="77777777" w:rsidTr="007C04D4">
        <w:trPr>
          <w:trHeight w:val="20"/>
        </w:trPr>
        <w:tc>
          <w:tcPr>
            <w:tcW w:w="5665" w:type="dxa"/>
            <w:shd w:val="clear" w:color="auto" w:fill="auto"/>
            <w:noWrap/>
            <w:vAlign w:val="bottom"/>
          </w:tcPr>
          <w:p w14:paraId="1BF95986"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CalPA</w:t>
            </w:r>
          </w:p>
        </w:tc>
        <w:tc>
          <w:tcPr>
            <w:tcW w:w="1440" w:type="dxa"/>
            <w:shd w:val="clear" w:color="auto" w:fill="auto"/>
            <w:noWrap/>
            <w:vAlign w:val="bottom"/>
          </w:tcPr>
          <w:p w14:paraId="47EC19D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Augustus</w:t>
            </w:r>
          </w:p>
        </w:tc>
        <w:tc>
          <w:tcPr>
            <w:tcW w:w="2070" w:type="dxa"/>
            <w:shd w:val="clear" w:color="auto" w:fill="auto"/>
            <w:noWrap/>
            <w:vAlign w:val="bottom"/>
          </w:tcPr>
          <w:p w14:paraId="47A8DEE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Clements</w:t>
            </w:r>
          </w:p>
        </w:tc>
      </w:tr>
      <w:tr w:rsidR="00A260E8" w:rsidRPr="00BD1D99" w14:paraId="67C95A5B"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B447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California Efficiency + Demand Management Council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D2E301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Serj</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FF8D32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Berelson</w:t>
            </w:r>
          </w:p>
        </w:tc>
      </w:tr>
      <w:tr w:rsidR="00A260E8" w:rsidRPr="00BD1D99" w14:paraId="2714EBF9" w14:textId="77777777" w:rsidTr="007C04D4">
        <w:trPr>
          <w:trHeight w:val="20"/>
        </w:trPr>
        <w:tc>
          <w:tcPr>
            <w:tcW w:w="5665" w:type="dxa"/>
            <w:shd w:val="clear" w:color="auto" w:fill="auto"/>
            <w:noWrap/>
            <w:vAlign w:val="bottom"/>
            <w:hideMark/>
          </w:tcPr>
          <w:p w14:paraId="329C311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Center for Sustainable Energy</w:t>
            </w:r>
          </w:p>
        </w:tc>
        <w:tc>
          <w:tcPr>
            <w:tcW w:w="1440" w:type="dxa"/>
            <w:shd w:val="clear" w:color="auto" w:fill="auto"/>
            <w:noWrap/>
            <w:vAlign w:val="bottom"/>
            <w:hideMark/>
          </w:tcPr>
          <w:p w14:paraId="2D135B7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Fabiola</w:t>
            </w:r>
          </w:p>
        </w:tc>
        <w:tc>
          <w:tcPr>
            <w:tcW w:w="2070" w:type="dxa"/>
            <w:shd w:val="clear" w:color="auto" w:fill="auto"/>
            <w:noWrap/>
            <w:vAlign w:val="bottom"/>
            <w:hideMark/>
          </w:tcPr>
          <w:p w14:paraId="5AA92C4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Lao</w:t>
            </w:r>
          </w:p>
        </w:tc>
      </w:tr>
      <w:tr w:rsidR="00A260E8" w:rsidRPr="00BD1D99" w14:paraId="7CFF970A" w14:textId="77777777" w:rsidTr="007C04D4">
        <w:trPr>
          <w:trHeight w:val="20"/>
        </w:trPr>
        <w:tc>
          <w:tcPr>
            <w:tcW w:w="5665" w:type="dxa"/>
            <w:shd w:val="clear" w:color="auto" w:fill="auto"/>
            <w:noWrap/>
            <w:vAlign w:val="bottom"/>
            <w:hideMark/>
          </w:tcPr>
          <w:p w14:paraId="68AD882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 xml:space="preserve">Energy Efficiency Council  </w:t>
            </w:r>
          </w:p>
        </w:tc>
        <w:tc>
          <w:tcPr>
            <w:tcW w:w="1440" w:type="dxa"/>
            <w:shd w:val="clear" w:color="auto" w:fill="auto"/>
            <w:noWrap/>
            <w:vAlign w:val="bottom"/>
            <w:hideMark/>
          </w:tcPr>
          <w:p w14:paraId="644DDC3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Ron</w:t>
            </w:r>
          </w:p>
        </w:tc>
        <w:tc>
          <w:tcPr>
            <w:tcW w:w="2070" w:type="dxa"/>
            <w:shd w:val="clear" w:color="auto" w:fill="auto"/>
            <w:noWrap/>
            <w:vAlign w:val="bottom"/>
            <w:hideMark/>
          </w:tcPr>
          <w:p w14:paraId="1A06413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Garcia</w:t>
            </w:r>
          </w:p>
        </w:tc>
      </w:tr>
      <w:tr w:rsidR="00A260E8" w:rsidRPr="00BD1D99" w14:paraId="69A2A2AA" w14:textId="77777777" w:rsidTr="007C04D4">
        <w:trPr>
          <w:trHeight w:val="20"/>
        </w:trPr>
        <w:tc>
          <w:tcPr>
            <w:tcW w:w="5665" w:type="dxa"/>
            <w:shd w:val="clear" w:color="auto" w:fill="auto"/>
            <w:noWrap/>
            <w:vAlign w:val="bottom"/>
            <w:hideMark/>
          </w:tcPr>
          <w:p w14:paraId="74525B3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 xml:space="preserve">Energy Efficiency Council  </w:t>
            </w:r>
          </w:p>
        </w:tc>
        <w:tc>
          <w:tcPr>
            <w:tcW w:w="1440" w:type="dxa"/>
            <w:shd w:val="clear" w:color="auto" w:fill="auto"/>
            <w:noWrap/>
            <w:vAlign w:val="bottom"/>
            <w:hideMark/>
          </w:tcPr>
          <w:p w14:paraId="1681F4C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Allan</w:t>
            </w:r>
          </w:p>
        </w:tc>
        <w:tc>
          <w:tcPr>
            <w:tcW w:w="2070" w:type="dxa"/>
            <w:shd w:val="clear" w:color="auto" w:fill="auto"/>
            <w:noWrap/>
            <w:vAlign w:val="bottom"/>
            <w:hideMark/>
          </w:tcPr>
          <w:p w14:paraId="1297EE6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Rago</w:t>
            </w:r>
          </w:p>
        </w:tc>
      </w:tr>
      <w:tr w:rsidR="00A260E8" w:rsidRPr="00BD1D99" w14:paraId="3F6E4E7C" w14:textId="77777777" w:rsidTr="007C04D4">
        <w:trPr>
          <w:trHeight w:val="20"/>
        </w:trPr>
        <w:tc>
          <w:tcPr>
            <w:tcW w:w="5665" w:type="dxa"/>
            <w:shd w:val="clear" w:color="auto" w:fill="auto"/>
            <w:noWrap/>
            <w:vAlign w:val="bottom"/>
          </w:tcPr>
          <w:p w14:paraId="1F473026"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High Sierra Energy Foundation</w:t>
            </w:r>
          </w:p>
        </w:tc>
        <w:tc>
          <w:tcPr>
            <w:tcW w:w="1440" w:type="dxa"/>
            <w:shd w:val="clear" w:color="auto" w:fill="auto"/>
            <w:noWrap/>
            <w:vAlign w:val="bottom"/>
          </w:tcPr>
          <w:p w14:paraId="090ED3D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Pam</w:t>
            </w:r>
          </w:p>
        </w:tc>
        <w:tc>
          <w:tcPr>
            <w:tcW w:w="2070" w:type="dxa"/>
            <w:shd w:val="clear" w:color="auto" w:fill="auto"/>
            <w:noWrap/>
            <w:vAlign w:val="bottom"/>
          </w:tcPr>
          <w:p w14:paraId="18E25F4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Bold</w:t>
            </w:r>
          </w:p>
        </w:tc>
      </w:tr>
      <w:tr w:rsidR="00A260E8" w:rsidRPr="00BD1D99" w14:paraId="276E1958" w14:textId="77777777" w:rsidTr="007C04D4">
        <w:trPr>
          <w:trHeight w:val="20"/>
        </w:trPr>
        <w:tc>
          <w:tcPr>
            <w:tcW w:w="5665" w:type="dxa"/>
            <w:shd w:val="clear" w:color="auto" w:fill="auto"/>
            <w:noWrap/>
            <w:vAlign w:val="bottom"/>
            <w:hideMark/>
          </w:tcPr>
          <w:p w14:paraId="05C5B22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MCE</w:t>
            </w:r>
          </w:p>
        </w:tc>
        <w:tc>
          <w:tcPr>
            <w:tcW w:w="1440" w:type="dxa"/>
            <w:shd w:val="clear" w:color="auto" w:fill="auto"/>
            <w:noWrap/>
            <w:vAlign w:val="bottom"/>
            <w:hideMark/>
          </w:tcPr>
          <w:p w14:paraId="0C506A7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Stephanie</w:t>
            </w:r>
          </w:p>
        </w:tc>
        <w:tc>
          <w:tcPr>
            <w:tcW w:w="2070" w:type="dxa"/>
            <w:shd w:val="clear" w:color="auto" w:fill="auto"/>
            <w:noWrap/>
            <w:vAlign w:val="bottom"/>
            <w:hideMark/>
          </w:tcPr>
          <w:p w14:paraId="0411517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Chen</w:t>
            </w:r>
          </w:p>
        </w:tc>
      </w:tr>
      <w:tr w:rsidR="00A260E8" w:rsidRPr="00BD1D99" w14:paraId="5A1C8240" w14:textId="77777777" w:rsidTr="007C04D4">
        <w:trPr>
          <w:trHeight w:val="20"/>
        </w:trPr>
        <w:tc>
          <w:tcPr>
            <w:tcW w:w="5665" w:type="dxa"/>
            <w:shd w:val="clear" w:color="auto" w:fill="auto"/>
            <w:noWrap/>
            <w:vAlign w:val="bottom"/>
            <w:hideMark/>
          </w:tcPr>
          <w:p w14:paraId="45CF0EC6"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Natural Resources Defense Council</w:t>
            </w:r>
          </w:p>
        </w:tc>
        <w:tc>
          <w:tcPr>
            <w:tcW w:w="1440" w:type="dxa"/>
            <w:shd w:val="clear" w:color="auto" w:fill="auto"/>
            <w:noWrap/>
            <w:vAlign w:val="bottom"/>
            <w:hideMark/>
          </w:tcPr>
          <w:p w14:paraId="3376988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Julia</w:t>
            </w:r>
          </w:p>
        </w:tc>
        <w:tc>
          <w:tcPr>
            <w:tcW w:w="2070" w:type="dxa"/>
            <w:shd w:val="clear" w:color="auto" w:fill="auto"/>
            <w:noWrap/>
            <w:vAlign w:val="bottom"/>
            <w:hideMark/>
          </w:tcPr>
          <w:p w14:paraId="67C70BCC" w14:textId="77777777" w:rsidR="00A260E8" w:rsidRPr="00BD1D99" w:rsidRDefault="00A260E8" w:rsidP="00BD1D99">
            <w:pPr>
              <w:spacing w:line="276" w:lineRule="auto"/>
              <w:ind w:right="17"/>
              <w:rPr>
                <w:rFonts w:ascii="Calibri" w:hAnsi="Calibri" w:cs="Calibri"/>
                <w:color w:val="000000"/>
              </w:rPr>
            </w:pPr>
            <w:r w:rsidRPr="00BD1D99">
              <w:rPr>
                <w:rFonts w:ascii="Calibri" w:hAnsi="Calibri" w:cs="Calibri"/>
                <w:color w:val="000000"/>
              </w:rPr>
              <w:t>de Lamare</w:t>
            </w:r>
          </w:p>
        </w:tc>
      </w:tr>
      <w:tr w:rsidR="00A260E8" w:rsidRPr="00BD1D99" w14:paraId="4DD507D7" w14:textId="77777777" w:rsidTr="007C04D4">
        <w:trPr>
          <w:trHeight w:val="20"/>
        </w:trPr>
        <w:tc>
          <w:tcPr>
            <w:tcW w:w="5665" w:type="dxa"/>
            <w:shd w:val="clear" w:color="auto" w:fill="auto"/>
            <w:noWrap/>
            <w:vAlign w:val="bottom"/>
            <w:hideMark/>
          </w:tcPr>
          <w:p w14:paraId="12BDB5B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Natural Resources Defense Council </w:t>
            </w:r>
          </w:p>
        </w:tc>
        <w:tc>
          <w:tcPr>
            <w:tcW w:w="1440" w:type="dxa"/>
            <w:shd w:val="clear" w:color="auto" w:fill="auto"/>
            <w:noWrap/>
            <w:vAlign w:val="bottom"/>
            <w:hideMark/>
          </w:tcPr>
          <w:p w14:paraId="12F190A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Lara</w:t>
            </w:r>
          </w:p>
        </w:tc>
        <w:tc>
          <w:tcPr>
            <w:tcW w:w="2070" w:type="dxa"/>
            <w:shd w:val="clear" w:color="auto" w:fill="auto"/>
            <w:noWrap/>
            <w:vAlign w:val="bottom"/>
            <w:hideMark/>
          </w:tcPr>
          <w:p w14:paraId="5847996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Ettenson</w:t>
            </w:r>
          </w:p>
        </w:tc>
      </w:tr>
      <w:tr w:rsidR="00A260E8" w:rsidRPr="00BD1D99" w14:paraId="487D45D6" w14:textId="77777777" w:rsidTr="007C04D4">
        <w:trPr>
          <w:trHeight w:val="20"/>
        </w:trPr>
        <w:tc>
          <w:tcPr>
            <w:tcW w:w="5665" w:type="dxa"/>
            <w:shd w:val="clear" w:color="auto" w:fill="auto"/>
            <w:noWrap/>
            <w:vAlign w:val="bottom"/>
            <w:hideMark/>
          </w:tcPr>
          <w:p w14:paraId="009AB3E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Pacific Gas and Electric</w:t>
            </w:r>
          </w:p>
        </w:tc>
        <w:tc>
          <w:tcPr>
            <w:tcW w:w="1440" w:type="dxa"/>
            <w:shd w:val="clear" w:color="auto" w:fill="auto"/>
            <w:noWrap/>
            <w:vAlign w:val="bottom"/>
            <w:hideMark/>
          </w:tcPr>
          <w:p w14:paraId="49F35A0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Lucy</w:t>
            </w:r>
          </w:p>
        </w:tc>
        <w:tc>
          <w:tcPr>
            <w:tcW w:w="2070" w:type="dxa"/>
            <w:shd w:val="clear" w:color="auto" w:fill="auto"/>
            <w:noWrap/>
            <w:vAlign w:val="bottom"/>
            <w:hideMark/>
          </w:tcPr>
          <w:p w14:paraId="17D1036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Morris</w:t>
            </w:r>
          </w:p>
        </w:tc>
      </w:tr>
      <w:tr w:rsidR="00A260E8" w:rsidRPr="00BD1D99" w14:paraId="06EB2530" w14:textId="77777777" w:rsidTr="007C04D4">
        <w:trPr>
          <w:trHeight w:val="20"/>
        </w:trPr>
        <w:tc>
          <w:tcPr>
            <w:tcW w:w="5665" w:type="dxa"/>
            <w:shd w:val="clear" w:color="auto" w:fill="auto"/>
            <w:noWrap/>
            <w:vAlign w:val="bottom"/>
            <w:hideMark/>
          </w:tcPr>
          <w:p w14:paraId="08ED0966"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Redwood Coast Energy Authority</w:t>
            </w:r>
          </w:p>
        </w:tc>
        <w:tc>
          <w:tcPr>
            <w:tcW w:w="1440" w:type="dxa"/>
            <w:shd w:val="clear" w:color="auto" w:fill="auto"/>
            <w:noWrap/>
            <w:vAlign w:val="bottom"/>
            <w:hideMark/>
          </w:tcPr>
          <w:p w14:paraId="088E3BB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Aisha</w:t>
            </w:r>
          </w:p>
        </w:tc>
        <w:tc>
          <w:tcPr>
            <w:tcW w:w="2070" w:type="dxa"/>
            <w:shd w:val="clear" w:color="auto" w:fill="auto"/>
            <w:noWrap/>
            <w:vAlign w:val="bottom"/>
            <w:hideMark/>
          </w:tcPr>
          <w:p w14:paraId="53949A2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Cissna</w:t>
            </w:r>
          </w:p>
        </w:tc>
      </w:tr>
      <w:tr w:rsidR="00A260E8" w:rsidRPr="00BD1D99" w14:paraId="024B627C" w14:textId="77777777" w:rsidTr="007C04D4">
        <w:trPr>
          <w:trHeight w:val="20"/>
        </w:trPr>
        <w:tc>
          <w:tcPr>
            <w:tcW w:w="5665" w:type="dxa"/>
            <w:shd w:val="clear" w:color="auto" w:fill="auto"/>
            <w:noWrap/>
            <w:vAlign w:val="bottom"/>
            <w:hideMark/>
          </w:tcPr>
          <w:p w14:paraId="05FE537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Resource Innovations</w:t>
            </w:r>
          </w:p>
        </w:tc>
        <w:tc>
          <w:tcPr>
            <w:tcW w:w="1440" w:type="dxa"/>
            <w:shd w:val="clear" w:color="auto" w:fill="auto"/>
            <w:noWrap/>
            <w:vAlign w:val="bottom"/>
            <w:hideMark/>
          </w:tcPr>
          <w:p w14:paraId="08D3E7F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Corey</w:t>
            </w:r>
          </w:p>
        </w:tc>
        <w:tc>
          <w:tcPr>
            <w:tcW w:w="2070" w:type="dxa"/>
            <w:shd w:val="clear" w:color="auto" w:fill="auto"/>
            <w:noWrap/>
            <w:vAlign w:val="bottom"/>
            <w:hideMark/>
          </w:tcPr>
          <w:p w14:paraId="44761D3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Grace</w:t>
            </w:r>
          </w:p>
        </w:tc>
      </w:tr>
      <w:tr w:rsidR="00A260E8" w:rsidRPr="00BD1D99" w14:paraId="19BD9D70" w14:textId="77777777" w:rsidTr="007C04D4">
        <w:trPr>
          <w:trHeight w:val="20"/>
        </w:trPr>
        <w:tc>
          <w:tcPr>
            <w:tcW w:w="5665" w:type="dxa"/>
            <w:shd w:val="clear" w:color="auto" w:fill="auto"/>
            <w:noWrap/>
            <w:vAlign w:val="bottom"/>
            <w:hideMark/>
          </w:tcPr>
          <w:p w14:paraId="210DD59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Rising Sun Center for Opportunity</w:t>
            </w:r>
          </w:p>
        </w:tc>
        <w:tc>
          <w:tcPr>
            <w:tcW w:w="1440" w:type="dxa"/>
            <w:shd w:val="clear" w:color="auto" w:fill="auto"/>
            <w:noWrap/>
            <w:vAlign w:val="bottom"/>
            <w:hideMark/>
          </w:tcPr>
          <w:p w14:paraId="2AC6B6B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Alejandro</w:t>
            </w:r>
          </w:p>
        </w:tc>
        <w:tc>
          <w:tcPr>
            <w:tcW w:w="2070" w:type="dxa"/>
            <w:shd w:val="clear" w:color="auto" w:fill="auto"/>
            <w:noWrap/>
            <w:vAlign w:val="bottom"/>
            <w:hideMark/>
          </w:tcPr>
          <w:p w14:paraId="245CDE0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Castelan</w:t>
            </w:r>
          </w:p>
        </w:tc>
      </w:tr>
      <w:tr w:rsidR="00A260E8" w:rsidRPr="00BD1D99" w14:paraId="2B057CFB" w14:textId="77777777" w:rsidTr="007C04D4">
        <w:trPr>
          <w:trHeight w:val="20"/>
        </w:trPr>
        <w:tc>
          <w:tcPr>
            <w:tcW w:w="5665" w:type="dxa"/>
            <w:shd w:val="clear" w:color="auto" w:fill="auto"/>
            <w:noWrap/>
            <w:vAlign w:val="bottom"/>
            <w:hideMark/>
          </w:tcPr>
          <w:p w14:paraId="1A4D99B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Silent Running LLC</w:t>
            </w:r>
          </w:p>
        </w:tc>
        <w:tc>
          <w:tcPr>
            <w:tcW w:w="1440" w:type="dxa"/>
            <w:shd w:val="clear" w:color="auto" w:fill="auto"/>
            <w:noWrap/>
            <w:vAlign w:val="bottom"/>
            <w:hideMark/>
          </w:tcPr>
          <w:p w14:paraId="2E0E0A7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James</w:t>
            </w:r>
          </w:p>
        </w:tc>
        <w:tc>
          <w:tcPr>
            <w:tcW w:w="2070" w:type="dxa"/>
            <w:shd w:val="clear" w:color="auto" w:fill="auto"/>
            <w:noWrap/>
            <w:vAlign w:val="bottom"/>
            <w:hideMark/>
          </w:tcPr>
          <w:p w14:paraId="6BB572E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Dodenhoff</w:t>
            </w:r>
          </w:p>
        </w:tc>
      </w:tr>
      <w:tr w:rsidR="00A260E8" w:rsidRPr="00BD1D99" w14:paraId="1AC3C531" w14:textId="77777777" w:rsidTr="007C04D4">
        <w:trPr>
          <w:trHeight w:val="20"/>
        </w:trPr>
        <w:tc>
          <w:tcPr>
            <w:tcW w:w="5665" w:type="dxa"/>
            <w:shd w:val="clear" w:color="auto" w:fill="auto"/>
            <w:noWrap/>
            <w:vAlign w:val="bottom"/>
            <w:hideMark/>
          </w:tcPr>
          <w:p w14:paraId="0C986F3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Small Business Utility Advocates</w:t>
            </w:r>
          </w:p>
        </w:tc>
        <w:tc>
          <w:tcPr>
            <w:tcW w:w="1440" w:type="dxa"/>
            <w:shd w:val="clear" w:color="auto" w:fill="auto"/>
            <w:noWrap/>
            <w:vAlign w:val="bottom"/>
            <w:hideMark/>
          </w:tcPr>
          <w:p w14:paraId="4EF070F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Ted</w:t>
            </w:r>
          </w:p>
        </w:tc>
        <w:tc>
          <w:tcPr>
            <w:tcW w:w="2070" w:type="dxa"/>
            <w:shd w:val="clear" w:color="auto" w:fill="auto"/>
            <w:noWrap/>
            <w:vAlign w:val="bottom"/>
            <w:hideMark/>
          </w:tcPr>
          <w:p w14:paraId="792BA77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Howard</w:t>
            </w:r>
          </w:p>
        </w:tc>
      </w:tr>
      <w:tr w:rsidR="00A260E8" w:rsidRPr="00BD1D99" w14:paraId="03B77347" w14:textId="77777777" w:rsidTr="007C04D4">
        <w:trPr>
          <w:trHeight w:val="20"/>
        </w:trPr>
        <w:tc>
          <w:tcPr>
            <w:tcW w:w="5665" w:type="dxa"/>
            <w:shd w:val="clear" w:color="auto" w:fill="auto"/>
            <w:noWrap/>
            <w:vAlign w:val="bottom"/>
            <w:hideMark/>
          </w:tcPr>
          <w:p w14:paraId="6370972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SoCalGas</w:t>
            </w:r>
          </w:p>
        </w:tc>
        <w:tc>
          <w:tcPr>
            <w:tcW w:w="1440" w:type="dxa"/>
            <w:shd w:val="clear" w:color="auto" w:fill="auto"/>
            <w:noWrap/>
            <w:vAlign w:val="bottom"/>
            <w:hideMark/>
          </w:tcPr>
          <w:p w14:paraId="7164AA4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Kevin</w:t>
            </w:r>
          </w:p>
        </w:tc>
        <w:tc>
          <w:tcPr>
            <w:tcW w:w="2070" w:type="dxa"/>
            <w:shd w:val="clear" w:color="auto" w:fill="auto"/>
            <w:noWrap/>
            <w:vAlign w:val="bottom"/>
            <w:hideMark/>
          </w:tcPr>
          <w:p w14:paraId="3DE48B0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Ehsani</w:t>
            </w:r>
          </w:p>
        </w:tc>
      </w:tr>
      <w:tr w:rsidR="00A260E8" w:rsidRPr="00BD1D99" w14:paraId="5B5DD0D4" w14:textId="77777777" w:rsidTr="007C04D4">
        <w:trPr>
          <w:trHeight w:val="20"/>
        </w:trPr>
        <w:tc>
          <w:tcPr>
            <w:tcW w:w="5665" w:type="dxa"/>
            <w:shd w:val="clear" w:color="auto" w:fill="auto"/>
            <w:noWrap/>
            <w:vAlign w:val="bottom"/>
            <w:hideMark/>
          </w:tcPr>
          <w:p w14:paraId="2FCE207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SoCalGas</w:t>
            </w:r>
          </w:p>
        </w:tc>
        <w:tc>
          <w:tcPr>
            <w:tcW w:w="1440" w:type="dxa"/>
            <w:shd w:val="clear" w:color="auto" w:fill="auto"/>
            <w:noWrap/>
            <w:vAlign w:val="bottom"/>
            <w:hideMark/>
          </w:tcPr>
          <w:p w14:paraId="11BF6AF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Halley</w:t>
            </w:r>
          </w:p>
        </w:tc>
        <w:tc>
          <w:tcPr>
            <w:tcW w:w="2070" w:type="dxa"/>
            <w:shd w:val="clear" w:color="auto" w:fill="auto"/>
            <w:noWrap/>
            <w:vAlign w:val="bottom"/>
            <w:hideMark/>
          </w:tcPr>
          <w:p w14:paraId="777840E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Fitzpatrick</w:t>
            </w:r>
          </w:p>
        </w:tc>
      </w:tr>
      <w:tr w:rsidR="00A260E8" w:rsidRPr="00BD1D99" w14:paraId="14C2DB0B" w14:textId="77777777" w:rsidTr="007C04D4">
        <w:trPr>
          <w:trHeight w:val="20"/>
        </w:trPr>
        <w:tc>
          <w:tcPr>
            <w:tcW w:w="5665" w:type="dxa"/>
            <w:shd w:val="clear" w:color="auto" w:fill="auto"/>
            <w:noWrap/>
            <w:vAlign w:val="bottom"/>
            <w:hideMark/>
          </w:tcPr>
          <w:p w14:paraId="39212DC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SoCalREN</w:t>
            </w:r>
          </w:p>
        </w:tc>
        <w:tc>
          <w:tcPr>
            <w:tcW w:w="1440" w:type="dxa"/>
            <w:shd w:val="clear" w:color="auto" w:fill="auto"/>
            <w:noWrap/>
            <w:vAlign w:val="bottom"/>
            <w:hideMark/>
          </w:tcPr>
          <w:p w14:paraId="48E71B0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Fernanda</w:t>
            </w:r>
          </w:p>
        </w:tc>
        <w:tc>
          <w:tcPr>
            <w:tcW w:w="2070" w:type="dxa"/>
            <w:shd w:val="clear" w:color="auto" w:fill="auto"/>
            <w:noWrap/>
            <w:vAlign w:val="bottom"/>
            <w:hideMark/>
          </w:tcPr>
          <w:p w14:paraId="65053B5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Craig</w:t>
            </w:r>
          </w:p>
        </w:tc>
      </w:tr>
      <w:tr w:rsidR="00A260E8" w:rsidRPr="00BD1D99" w14:paraId="2CC32573" w14:textId="77777777" w:rsidTr="007C04D4">
        <w:trPr>
          <w:trHeight w:val="20"/>
        </w:trPr>
        <w:tc>
          <w:tcPr>
            <w:tcW w:w="5665" w:type="dxa"/>
            <w:shd w:val="clear" w:color="auto" w:fill="auto"/>
            <w:noWrap/>
            <w:vAlign w:val="bottom"/>
            <w:hideMark/>
          </w:tcPr>
          <w:p w14:paraId="1259E55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Southern California Edison</w:t>
            </w:r>
          </w:p>
        </w:tc>
        <w:tc>
          <w:tcPr>
            <w:tcW w:w="1440" w:type="dxa"/>
            <w:shd w:val="clear" w:color="auto" w:fill="auto"/>
            <w:noWrap/>
            <w:vAlign w:val="bottom"/>
            <w:hideMark/>
          </w:tcPr>
          <w:p w14:paraId="1DBF811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Christopher</w:t>
            </w:r>
          </w:p>
        </w:tc>
        <w:tc>
          <w:tcPr>
            <w:tcW w:w="2070" w:type="dxa"/>
            <w:shd w:val="clear" w:color="auto" w:fill="auto"/>
            <w:noWrap/>
            <w:vAlign w:val="bottom"/>
            <w:hideMark/>
          </w:tcPr>
          <w:p w14:paraId="56C7097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Malotte</w:t>
            </w:r>
          </w:p>
        </w:tc>
      </w:tr>
      <w:tr w:rsidR="00A260E8" w:rsidRPr="00BD1D99" w14:paraId="66FB378F" w14:textId="77777777" w:rsidTr="007C04D4">
        <w:trPr>
          <w:trHeight w:val="20"/>
        </w:trPr>
        <w:tc>
          <w:tcPr>
            <w:tcW w:w="5665" w:type="dxa"/>
            <w:shd w:val="clear" w:color="auto" w:fill="auto"/>
            <w:noWrap/>
            <w:vAlign w:val="bottom"/>
            <w:hideMark/>
          </w:tcPr>
          <w:p w14:paraId="558072F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Southern California Edison</w:t>
            </w:r>
          </w:p>
        </w:tc>
        <w:tc>
          <w:tcPr>
            <w:tcW w:w="1440" w:type="dxa"/>
            <w:shd w:val="clear" w:color="auto" w:fill="auto"/>
            <w:noWrap/>
            <w:vAlign w:val="bottom"/>
            <w:hideMark/>
          </w:tcPr>
          <w:p w14:paraId="3BC80EF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Patricia</w:t>
            </w:r>
          </w:p>
        </w:tc>
        <w:tc>
          <w:tcPr>
            <w:tcW w:w="2070" w:type="dxa"/>
            <w:shd w:val="clear" w:color="auto" w:fill="auto"/>
            <w:noWrap/>
            <w:vAlign w:val="bottom"/>
            <w:hideMark/>
          </w:tcPr>
          <w:p w14:paraId="04F2859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Neri</w:t>
            </w:r>
          </w:p>
        </w:tc>
      </w:tr>
      <w:tr w:rsidR="00A260E8" w:rsidRPr="00BD1D99" w14:paraId="51FB0096" w14:textId="77777777" w:rsidTr="007C04D4">
        <w:trPr>
          <w:trHeight w:val="20"/>
        </w:trPr>
        <w:tc>
          <w:tcPr>
            <w:tcW w:w="5665" w:type="dxa"/>
            <w:shd w:val="clear" w:color="auto" w:fill="auto"/>
            <w:noWrap/>
            <w:vAlign w:val="bottom"/>
            <w:hideMark/>
          </w:tcPr>
          <w:p w14:paraId="4E8F5D0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The Energy Coalition</w:t>
            </w:r>
          </w:p>
        </w:tc>
        <w:tc>
          <w:tcPr>
            <w:tcW w:w="1440" w:type="dxa"/>
            <w:shd w:val="clear" w:color="auto" w:fill="auto"/>
            <w:noWrap/>
            <w:vAlign w:val="bottom"/>
            <w:hideMark/>
          </w:tcPr>
          <w:p w14:paraId="6CF023C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Melanie</w:t>
            </w:r>
          </w:p>
        </w:tc>
        <w:tc>
          <w:tcPr>
            <w:tcW w:w="2070" w:type="dxa"/>
            <w:shd w:val="clear" w:color="auto" w:fill="auto"/>
            <w:noWrap/>
            <w:vAlign w:val="bottom"/>
            <w:hideMark/>
          </w:tcPr>
          <w:p w14:paraId="5399E53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Peck</w:t>
            </w:r>
          </w:p>
        </w:tc>
      </w:tr>
      <w:tr w:rsidR="00A260E8" w:rsidRPr="00BD1D99" w14:paraId="665C406E" w14:textId="77777777" w:rsidTr="007C04D4">
        <w:trPr>
          <w:trHeight w:val="20"/>
        </w:trPr>
        <w:tc>
          <w:tcPr>
            <w:tcW w:w="5665" w:type="dxa"/>
            <w:shd w:val="clear" w:color="auto" w:fill="auto"/>
            <w:noWrap/>
            <w:vAlign w:val="bottom"/>
            <w:hideMark/>
          </w:tcPr>
          <w:p w14:paraId="25526EA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The Energy Coalition</w:t>
            </w:r>
          </w:p>
        </w:tc>
        <w:tc>
          <w:tcPr>
            <w:tcW w:w="1440" w:type="dxa"/>
            <w:shd w:val="clear" w:color="auto" w:fill="auto"/>
            <w:noWrap/>
            <w:vAlign w:val="bottom"/>
            <w:hideMark/>
          </w:tcPr>
          <w:p w14:paraId="666B052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Laurel</w:t>
            </w:r>
          </w:p>
        </w:tc>
        <w:tc>
          <w:tcPr>
            <w:tcW w:w="2070" w:type="dxa"/>
            <w:shd w:val="clear" w:color="auto" w:fill="auto"/>
            <w:noWrap/>
            <w:vAlign w:val="bottom"/>
            <w:hideMark/>
          </w:tcPr>
          <w:p w14:paraId="32B1B43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Rothschild</w:t>
            </w:r>
          </w:p>
        </w:tc>
      </w:tr>
      <w:tr w:rsidR="00A260E8" w:rsidRPr="00BD1D99" w14:paraId="03B84B43" w14:textId="77777777" w:rsidTr="007C04D4">
        <w:trPr>
          <w:trHeight w:val="20"/>
        </w:trPr>
        <w:tc>
          <w:tcPr>
            <w:tcW w:w="5665" w:type="dxa"/>
            <w:shd w:val="clear" w:color="auto" w:fill="auto"/>
            <w:noWrap/>
            <w:vAlign w:val="bottom"/>
            <w:hideMark/>
          </w:tcPr>
          <w:p w14:paraId="7C20A59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Viridis</w:t>
            </w:r>
          </w:p>
        </w:tc>
        <w:tc>
          <w:tcPr>
            <w:tcW w:w="1440" w:type="dxa"/>
            <w:shd w:val="clear" w:color="auto" w:fill="auto"/>
            <w:noWrap/>
            <w:vAlign w:val="bottom"/>
            <w:hideMark/>
          </w:tcPr>
          <w:p w14:paraId="0B7E2FD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Don</w:t>
            </w:r>
          </w:p>
        </w:tc>
        <w:tc>
          <w:tcPr>
            <w:tcW w:w="2070" w:type="dxa"/>
            <w:shd w:val="clear" w:color="auto" w:fill="auto"/>
            <w:noWrap/>
            <w:vAlign w:val="bottom"/>
            <w:hideMark/>
          </w:tcPr>
          <w:p w14:paraId="02FECAD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Arambula</w:t>
            </w:r>
          </w:p>
        </w:tc>
      </w:tr>
      <w:tr w:rsidR="00A260E8" w:rsidRPr="00BD1D99" w14:paraId="294F9F2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502C02D0" w14:textId="77777777" w:rsidR="00A260E8" w:rsidRPr="00BD1D99" w:rsidRDefault="00A260E8" w:rsidP="00BD1D99">
            <w:pPr>
              <w:spacing w:line="276" w:lineRule="auto"/>
              <w:rPr>
                <w:rFonts w:ascii="Calibri" w:hAnsi="Calibri" w:cs="Calibri"/>
                <w:b/>
                <w:bCs/>
                <w:color w:val="000000"/>
              </w:rPr>
            </w:pPr>
            <w:r w:rsidRPr="00BD1D99">
              <w:rPr>
                <w:rFonts w:ascii="Calibri" w:hAnsi="Calibri" w:cs="Calibri"/>
                <w:b/>
                <w:bCs/>
                <w:color w:val="000000"/>
              </w:rPr>
              <w:t>Ex-Officio</w:t>
            </w:r>
          </w:p>
        </w:tc>
        <w:tc>
          <w:tcPr>
            <w:tcW w:w="144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4374BC3F" w14:textId="77777777" w:rsidR="00A260E8" w:rsidRPr="00BD1D99" w:rsidRDefault="00A260E8" w:rsidP="00BD1D99">
            <w:pPr>
              <w:spacing w:line="276" w:lineRule="auto"/>
              <w:rPr>
                <w:rFonts w:ascii="Calibri" w:hAnsi="Calibri" w:cs="Calibri"/>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70668D82" w14:textId="77777777" w:rsidR="00A260E8" w:rsidRPr="00BD1D99" w:rsidRDefault="00A260E8" w:rsidP="00BD1D99">
            <w:pPr>
              <w:spacing w:line="276" w:lineRule="auto"/>
              <w:rPr>
                <w:rFonts w:ascii="Calibri" w:hAnsi="Calibri" w:cs="Calibri"/>
                <w:color w:val="000000"/>
              </w:rPr>
            </w:pPr>
          </w:p>
        </w:tc>
      </w:tr>
      <w:tr w:rsidR="00A260E8" w:rsidRPr="00BD1D99" w14:paraId="29A201A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9566F"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ACEEE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5D42B"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Roxana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92235"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Ayala</w:t>
            </w:r>
          </w:p>
        </w:tc>
      </w:tr>
      <w:tr w:rsidR="00A260E8" w:rsidRPr="00BD1D99" w14:paraId="0A7351C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63890"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California Air Resources Board</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4BE70"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Emma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A8528"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Tome</w:t>
            </w:r>
          </w:p>
        </w:tc>
      </w:tr>
      <w:tr w:rsidR="00A260E8" w:rsidRPr="00BD1D99" w14:paraId="3C9C62A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44DA1"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2DE45"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Kristina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45F387"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Duloglo</w:t>
            </w:r>
          </w:p>
        </w:tc>
      </w:tr>
      <w:tr w:rsidR="00A260E8" w:rsidRPr="00BD1D99" w14:paraId="76BEF76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07322"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DC57B"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Aparna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DC944"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Menon</w:t>
            </w:r>
          </w:p>
        </w:tc>
      </w:tr>
      <w:tr w:rsidR="00A260E8" w:rsidRPr="00BD1D99" w14:paraId="5A22075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682D0"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52F38"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Ely</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14007"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Jacobsohn</w:t>
            </w:r>
          </w:p>
        </w:tc>
      </w:tr>
      <w:tr w:rsidR="00A260E8" w:rsidRPr="00BD1D99" w14:paraId="68CAC7F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144D0"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9CB17"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Nils</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0D792"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Strindberg</w:t>
            </w:r>
          </w:p>
        </w:tc>
      </w:tr>
      <w:tr w:rsidR="00A260E8" w:rsidRPr="00BD1D99" w14:paraId="3DBDF7C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54277"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3A7DF"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Jason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3BEB48"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Symonds</w:t>
            </w:r>
          </w:p>
        </w:tc>
      </w:tr>
      <w:tr w:rsidR="00A260E8" w:rsidRPr="00BD1D99" w14:paraId="60CB288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695B5"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A1E7E"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Leuwam</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0842A"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Tesfai</w:t>
            </w:r>
          </w:p>
        </w:tc>
      </w:tr>
      <w:tr w:rsidR="00A260E8" w:rsidRPr="00BD1D99" w14:paraId="3D96795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6CDECB2F" w14:textId="77777777" w:rsidR="00A260E8" w:rsidRPr="00BD1D99" w:rsidRDefault="00A260E8" w:rsidP="00BD1D99">
            <w:pPr>
              <w:spacing w:line="276" w:lineRule="auto"/>
              <w:rPr>
                <w:rFonts w:ascii="Calibri" w:hAnsi="Calibri" w:cs="Calibri"/>
                <w:b/>
                <w:bCs/>
                <w:color w:val="000000"/>
              </w:rPr>
            </w:pPr>
            <w:r w:rsidRPr="00BD1D99">
              <w:rPr>
                <w:rFonts w:ascii="Calibri" w:hAnsi="Calibri" w:cs="Calibri"/>
                <w:b/>
                <w:bCs/>
                <w:color w:val="000000"/>
              </w:rPr>
              <w:t>Other Interested Stakeholders</w:t>
            </w:r>
          </w:p>
        </w:tc>
        <w:tc>
          <w:tcPr>
            <w:tcW w:w="144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3A25CBDA" w14:textId="77777777" w:rsidR="00A260E8" w:rsidRPr="00BD1D99" w:rsidRDefault="00A260E8" w:rsidP="00BD1D99">
            <w:pPr>
              <w:spacing w:line="276" w:lineRule="auto"/>
              <w:rPr>
                <w:rFonts w:ascii="Calibri" w:hAnsi="Calibri" w:cs="Calibri"/>
                <w:b/>
                <w:bCs/>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570A34BF" w14:textId="77777777" w:rsidR="00A260E8" w:rsidRPr="00BD1D99" w:rsidRDefault="00A260E8" w:rsidP="00BD1D99">
            <w:pPr>
              <w:spacing w:line="276" w:lineRule="auto"/>
              <w:rPr>
                <w:rFonts w:ascii="Calibri" w:hAnsi="Calibri" w:cs="Calibri"/>
                <w:b/>
                <w:bCs/>
                <w:color w:val="000000"/>
              </w:rPr>
            </w:pPr>
          </w:p>
        </w:tc>
      </w:tr>
      <w:tr w:rsidR="00A260E8" w:rsidRPr="00BD1D99" w14:paraId="51743C7F"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93B3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Bidgely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D22AE6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Raine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689D9C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Giorgio</w:t>
            </w:r>
          </w:p>
        </w:tc>
      </w:tr>
      <w:tr w:rsidR="00A260E8" w:rsidRPr="00BD1D99" w14:paraId="2E26AB54"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1BD7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Bidgely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C0F26B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Pauravi</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C4D579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Shah</w:t>
            </w:r>
          </w:p>
        </w:tc>
      </w:tr>
      <w:tr w:rsidR="00A260E8" w:rsidRPr="00BD1D99" w14:paraId="1416AEE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77D1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BluePoint Planning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4D6074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Yeymi</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1E25D0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Rivas</w:t>
            </w:r>
          </w:p>
        </w:tc>
      </w:tr>
      <w:tr w:rsidR="00A260E8" w:rsidRPr="00BD1D99" w14:paraId="3BDB33A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0AEF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D84BB1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Troy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809D27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Dorai</w:t>
            </w:r>
          </w:p>
        </w:tc>
      </w:tr>
      <w:tr w:rsidR="00A260E8" w:rsidRPr="00BD1D99" w14:paraId="21D81B1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8ADF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C17781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Tiffany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B67A2A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Mateo</w:t>
            </w:r>
          </w:p>
        </w:tc>
      </w:tr>
      <w:tr w:rsidR="00A260E8" w:rsidRPr="00BD1D99" w14:paraId="2EA00B3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4183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E71240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Nicole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57F45A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Cropper</w:t>
            </w:r>
          </w:p>
        </w:tc>
      </w:tr>
      <w:tr w:rsidR="00A260E8" w:rsidRPr="00BD1D99" w14:paraId="146CF7C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ACDB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111C63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Peter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1ECCC7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Franzese</w:t>
            </w:r>
          </w:p>
        </w:tc>
      </w:tr>
      <w:tr w:rsidR="00A260E8" w:rsidRPr="00BD1D99" w14:paraId="5D72ACD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B618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98874E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Peng</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2F8CA3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Gong</w:t>
            </w:r>
          </w:p>
        </w:tc>
      </w:tr>
      <w:tr w:rsidR="00A260E8" w:rsidRPr="00BD1D99" w14:paraId="6EEA2B6D"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5DC6E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FA3EC4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Valerie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EAD06C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Kao</w:t>
            </w:r>
          </w:p>
        </w:tc>
      </w:tr>
      <w:tr w:rsidR="00A260E8" w:rsidRPr="00BD1D99" w14:paraId="4F3A47B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0EFB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B48B70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Sarah</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FA1DA2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Lerhaupt</w:t>
            </w:r>
          </w:p>
        </w:tc>
      </w:tr>
      <w:tr w:rsidR="00A260E8" w:rsidRPr="00BD1D99" w14:paraId="2FCA569B"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DC02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B223486"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Monica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A45B8A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Palmeira</w:t>
            </w:r>
          </w:p>
        </w:tc>
      </w:tr>
      <w:tr w:rsidR="00A260E8" w:rsidRPr="00BD1D99" w14:paraId="702F69C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95406"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92A3E"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Asia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671FB"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Powell</w:t>
            </w:r>
          </w:p>
        </w:tc>
      </w:tr>
      <w:tr w:rsidR="00A260E8" w:rsidRPr="00BD1D99" w14:paraId="59170E7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A991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9D0DDD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Agatha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CDBD8C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Wein</w:t>
            </w:r>
          </w:p>
        </w:tc>
      </w:tr>
      <w:tr w:rsidR="00A260E8" w:rsidRPr="00BD1D99" w14:paraId="6465AEF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21D4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47B16C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Cheryl</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12570D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Wynn</w:t>
            </w:r>
          </w:p>
        </w:tc>
      </w:tr>
      <w:tr w:rsidR="00A260E8" w:rsidRPr="00BD1D99" w14:paraId="51B17F0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5CD3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CHEEF</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FCE732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Kaylee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E244D2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D'Amico</w:t>
            </w:r>
          </w:p>
        </w:tc>
      </w:tr>
      <w:tr w:rsidR="00A260E8" w:rsidRPr="00BD1D99" w14:paraId="40F6DFCB"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40F7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City of Irvine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6B2C1E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 xml:space="preserve">Jose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2C52A5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Castaneda</w:t>
            </w:r>
          </w:p>
        </w:tc>
      </w:tr>
      <w:tr w:rsidR="00A260E8" w:rsidRPr="00BD1D99" w14:paraId="2E260576"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4367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 xml:space="preserve">Daikin North America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8D9D37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Matt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7922F1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Baker</w:t>
            </w:r>
          </w:p>
        </w:tc>
      </w:tr>
      <w:tr w:rsidR="00A260E8" w:rsidRPr="00BD1D99" w14:paraId="798EF45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C53D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East Bay Community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51A108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Beckie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3F8598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Menten</w:t>
            </w:r>
          </w:p>
        </w:tc>
      </w:tr>
      <w:tr w:rsidR="00A260E8" w:rsidRPr="00BD1D99" w14:paraId="3DC4FE0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FBFA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Energy Solutions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4A98AF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Britney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7442ED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Blankenship</w:t>
            </w:r>
          </w:p>
        </w:tc>
      </w:tr>
      <w:tr w:rsidR="00A260E8" w:rsidRPr="00BD1D99" w14:paraId="0243A5D4"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19D1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Energy Solutions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B05748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Evan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B54E0D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Kamei</w:t>
            </w:r>
          </w:p>
        </w:tc>
      </w:tr>
      <w:tr w:rsidR="00A260E8" w:rsidRPr="00BD1D99" w14:paraId="02C1E2A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D6F2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Enervee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7DF4E9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Anne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CD7ED9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Niederberger</w:t>
            </w:r>
          </w:p>
        </w:tc>
      </w:tr>
      <w:tr w:rsidR="00A260E8" w:rsidRPr="00BD1D99" w14:paraId="7EAA046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076E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Franklin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F7F81F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Jonathan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9AAF5F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Budner</w:t>
            </w:r>
          </w:p>
        </w:tc>
      </w:tr>
      <w:tr w:rsidR="00A260E8" w:rsidRPr="00BD1D99" w14:paraId="0B9BC35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6D14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Franklin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848960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Chad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3B115B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Ihrig</w:t>
            </w:r>
          </w:p>
        </w:tc>
      </w:tr>
      <w:tr w:rsidR="00A260E8" w:rsidRPr="00BD1D99" w14:paraId="34C609E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A08AC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Franklin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6F8253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Justin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8B9A39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Kjeldsen</w:t>
            </w:r>
          </w:p>
        </w:tc>
      </w:tr>
      <w:tr w:rsidR="00A260E8" w:rsidRPr="00BD1D99" w14:paraId="78F7305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6131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FS Consulting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8C854F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Frank</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86F82B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Spasaro</w:t>
            </w:r>
          </w:p>
        </w:tc>
      </w:tr>
      <w:tr w:rsidR="00A260E8" w:rsidRPr="00BD1D99" w14:paraId="3292A77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5CBA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Gemini Energy Solutions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F63787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Anthony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612995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Kinslow II</w:t>
            </w:r>
          </w:p>
        </w:tc>
      </w:tr>
      <w:tr w:rsidR="00A260E8" w:rsidRPr="00BD1D99" w14:paraId="1C97A9FD"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EF41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Greencat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757063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David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09699D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Shallenberger</w:t>
            </w:r>
          </w:p>
        </w:tc>
      </w:tr>
      <w:tr w:rsidR="00A260E8" w:rsidRPr="00BD1D99" w14:paraId="0247D60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1183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ICF International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4E9DC0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Alice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AA9E1C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Liddell</w:t>
            </w:r>
          </w:p>
        </w:tc>
      </w:tr>
      <w:tr w:rsidR="00A260E8" w:rsidRPr="00BD1D99" w14:paraId="7AA1D02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AF51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Idaho Power Company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8C8320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Jim</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333F09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Burdick</w:t>
            </w:r>
          </w:p>
        </w:tc>
      </w:tr>
      <w:tr w:rsidR="00A260E8" w:rsidRPr="00BD1D99" w14:paraId="2203B779"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AC7B6"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Idaho Power Company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48C4A9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Chris</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516428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Cockrell</w:t>
            </w:r>
          </w:p>
        </w:tc>
      </w:tr>
      <w:tr w:rsidR="00A260E8" w:rsidRPr="00BD1D99" w14:paraId="5EB5477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262C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Idaho Power Company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7B4C45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Marc</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CDBFE3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Patterson</w:t>
            </w:r>
          </w:p>
        </w:tc>
      </w:tr>
      <w:tr w:rsidR="00A260E8" w:rsidRPr="00BD1D99" w14:paraId="1196658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2BFB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 xml:space="preserve">Institute for Governance &amp; Sustainable Development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201F7D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Amelia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08DF90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Murphy</w:t>
            </w:r>
          </w:p>
        </w:tc>
      </w:tr>
      <w:tr w:rsidR="00A260E8" w:rsidRPr="00BD1D99" w14:paraId="431AB67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C258B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 xml:space="preserve">Lawrence Berkeley National Laboratory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7D3434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Molly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EC97F0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Bertolacini</w:t>
            </w:r>
          </w:p>
        </w:tc>
      </w:tr>
      <w:tr w:rsidR="00A260E8" w:rsidRPr="00BD1D99" w14:paraId="2DEFD7F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5B56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Lincus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B9E5FD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Cody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5D02A3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Coeckelenbergh</w:t>
            </w:r>
          </w:p>
        </w:tc>
      </w:tr>
      <w:tr w:rsidR="00A260E8" w:rsidRPr="00BD1D99" w14:paraId="4A1F2EC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D1F1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MCE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4DE483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Jennifer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E861D5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Green</w:t>
            </w:r>
          </w:p>
        </w:tc>
      </w:tr>
      <w:tr w:rsidR="00A260E8" w:rsidRPr="00BD1D99" w14:paraId="5FBFA93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1476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MCE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E2E0BF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Michelle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78E0E1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Nochisaki</w:t>
            </w:r>
          </w:p>
        </w:tc>
      </w:tr>
      <w:tr w:rsidR="00A260E8" w:rsidRPr="00BD1D99" w14:paraId="66F3215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CBEF3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Opinion Dynamics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8A5B07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Malena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77036C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Hernandez</w:t>
            </w:r>
          </w:p>
        </w:tc>
      </w:tr>
      <w:tr w:rsidR="00A260E8" w:rsidRPr="00BD1D99" w14:paraId="09A6AE3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2589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Orange County Power Authority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A1DD18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Antonia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4FD049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Graham</w:t>
            </w:r>
          </w:p>
        </w:tc>
      </w:tr>
      <w:tr w:rsidR="00A260E8" w:rsidRPr="00BD1D99" w14:paraId="50FC1F2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629C7"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Pacific Corp</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DA12C"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April</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CBB59"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Brewer</w:t>
            </w:r>
          </w:p>
        </w:tc>
      </w:tr>
      <w:tr w:rsidR="00A260E8" w:rsidRPr="00BD1D99" w14:paraId="3EB8A3DF"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4C3A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012FAB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 xml:space="preserve">Claire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32933E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Coughlan</w:t>
            </w:r>
          </w:p>
        </w:tc>
      </w:tr>
      <w:tr w:rsidR="00A260E8" w:rsidRPr="00BD1D99" w14:paraId="44FFDE7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3670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2440FD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Robert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81FBF7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Marcial</w:t>
            </w:r>
          </w:p>
        </w:tc>
      </w:tr>
      <w:tr w:rsidR="00A260E8" w:rsidRPr="00BD1D99" w14:paraId="115C102F"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07581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FCB2A1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Jeffrey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01BB0D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McDowell</w:t>
            </w:r>
          </w:p>
        </w:tc>
      </w:tr>
      <w:tr w:rsidR="00A260E8" w:rsidRPr="00BD1D99" w14:paraId="23DA1B6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59A0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A52551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Lindsey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397DBD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Tillisch</w:t>
            </w:r>
          </w:p>
        </w:tc>
      </w:tr>
      <w:tr w:rsidR="00A260E8" w:rsidRPr="00BD1D99" w14:paraId="0DED16E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9225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Pacific Power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387561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Hallie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9FEC58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Gallinger</w:t>
            </w:r>
          </w:p>
        </w:tc>
      </w:tr>
      <w:tr w:rsidR="00A260E8" w:rsidRPr="00BD1D99" w14:paraId="1DFA52A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35DC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Pacific Trade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F80687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C337AC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Keith</w:t>
            </w:r>
          </w:p>
        </w:tc>
      </w:tr>
      <w:tr w:rsidR="00A260E8" w:rsidRPr="00BD1D99" w14:paraId="68A16EA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19E2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PacifiCorp</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B5CC43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Heide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0E126F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Caswell</w:t>
            </w:r>
          </w:p>
        </w:tc>
      </w:tr>
      <w:tr w:rsidR="00A260E8" w:rsidRPr="00BD1D99" w14:paraId="07D6D3C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000F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PacifiCorp</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AD127C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Nancy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4F0757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Goddard</w:t>
            </w:r>
          </w:p>
        </w:tc>
      </w:tr>
      <w:tr w:rsidR="00A260E8" w:rsidRPr="00BD1D99" w14:paraId="708D54C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6938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PacifiCorp</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0D6FBB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Peter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283422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Schaffer</w:t>
            </w:r>
          </w:p>
        </w:tc>
      </w:tr>
      <w:tr w:rsidR="00A260E8" w:rsidRPr="00BD1D99" w14:paraId="6EAEFC7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AB0E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Portland General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4629BD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Jason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6023B7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Salmi Klotz</w:t>
            </w:r>
          </w:p>
        </w:tc>
      </w:tr>
      <w:tr w:rsidR="00A260E8" w:rsidRPr="00BD1D99" w14:paraId="3168F21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87E0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Portland General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8A8BFA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Jake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CCDE22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Wise</w:t>
            </w:r>
          </w:p>
        </w:tc>
      </w:tr>
      <w:tr w:rsidR="00A260E8" w:rsidRPr="00BD1D99" w14:paraId="7246857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D328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Quality Conservation Services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5293A4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Richard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9AD23E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Esteves</w:t>
            </w:r>
          </w:p>
        </w:tc>
      </w:tr>
      <w:tr w:rsidR="00A260E8" w:rsidRPr="00BD1D99" w14:paraId="6A7B7C6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C1E4C"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Recurve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31643"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Carmen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9DB36"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Best</w:t>
            </w:r>
          </w:p>
        </w:tc>
      </w:tr>
      <w:tr w:rsidR="00A260E8" w:rsidRPr="00BD1D99" w14:paraId="1B09D37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60A129"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Redwood Coast Energy Authority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373A3"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Marianne</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83AF0"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Bithell</w:t>
            </w:r>
          </w:p>
        </w:tc>
      </w:tr>
      <w:tr w:rsidR="00A260E8" w:rsidRPr="00BD1D99" w14:paraId="576F7BA9"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1701D"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 xml:space="preserve">Resource Refocus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6EF1D"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Anna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FF88F"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LaRue</w:t>
            </w:r>
          </w:p>
        </w:tc>
      </w:tr>
      <w:tr w:rsidR="00A260E8" w:rsidRPr="00BD1D99" w14:paraId="41C79DC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7E9F1"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San Gabriel Valley Council of Governments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6C3CD"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Vanessa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2760D"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Guerra</w:t>
            </w:r>
          </w:p>
        </w:tc>
      </w:tr>
      <w:tr w:rsidR="00A260E8" w:rsidRPr="00BD1D99" w14:paraId="5686A229"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B9E1A"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San Gabriel Valley Council of Governments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D0CA2"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Sophia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A7DBD"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Sousa</w:t>
            </w:r>
          </w:p>
        </w:tc>
      </w:tr>
      <w:tr w:rsidR="00A260E8" w:rsidRPr="00BD1D99" w14:paraId="3A8909A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7EB52"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Sierra Business Council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B55E5"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Kari</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B195F"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Sinoff</w:t>
            </w:r>
          </w:p>
        </w:tc>
      </w:tr>
      <w:tr w:rsidR="00A260E8" w:rsidRPr="00BD1D99" w14:paraId="7C47551F"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36791"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Southern California Edison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8E5BD"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Jose</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2691D"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Buendia</w:t>
            </w:r>
          </w:p>
        </w:tc>
      </w:tr>
      <w:tr w:rsidR="00A260E8" w:rsidRPr="00BD1D99" w14:paraId="1FE1070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9936D"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Southern California Edison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99E88"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Carol</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38A65"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Edwards</w:t>
            </w:r>
          </w:p>
        </w:tc>
      </w:tr>
      <w:tr w:rsidR="00A260E8" w:rsidRPr="00BD1D99" w14:paraId="6E1EC9DD"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681B0"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Southern California Edison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A0BFD"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Tory</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AB496"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Weber</w:t>
            </w:r>
          </w:p>
        </w:tc>
      </w:tr>
      <w:tr w:rsidR="00A260E8" w:rsidRPr="00BD1D99" w14:paraId="1FB7DB9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3084A"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Southern California Gas Company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1D306"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Rodney</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98CB5"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Davis</w:t>
            </w:r>
          </w:p>
        </w:tc>
      </w:tr>
      <w:tr w:rsidR="00A260E8" w:rsidRPr="00BD1D99" w14:paraId="4DA0052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FEF8B"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Southern California Gas Company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59079"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Allison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437DD"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Dourigan</w:t>
            </w:r>
          </w:p>
        </w:tc>
      </w:tr>
      <w:tr w:rsidR="00A260E8" w:rsidRPr="00BD1D99" w14:paraId="0C266BC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3A522"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Southern California Gas Company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2C0A6"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Karen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57C17"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Mar</w:t>
            </w:r>
          </w:p>
        </w:tc>
      </w:tr>
      <w:tr w:rsidR="00A260E8" w:rsidRPr="00BD1D99" w14:paraId="0A5A00D4"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08615"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Staples and Associates Inc.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4AB98"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Dennis</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7C97F"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Guido</w:t>
            </w:r>
          </w:p>
        </w:tc>
      </w:tr>
      <w:tr w:rsidR="00A260E8" w:rsidRPr="00BD1D99" w14:paraId="7AAAB51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E89E0"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Strategic Energy Innovations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C2D72"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Hannah</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82470"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Maryanski</w:t>
            </w:r>
          </w:p>
        </w:tc>
      </w:tr>
      <w:tr w:rsidR="00A260E8" w:rsidRPr="00BD1D99" w14:paraId="21DA28C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F28D2D"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Strategic Energy Innovations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1EAC06"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Stephen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A3042"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Miller</w:t>
            </w:r>
          </w:p>
        </w:tc>
      </w:tr>
      <w:tr w:rsidR="00A260E8" w:rsidRPr="00BD1D99" w14:paraId="0A6A6F9C" w14:textId="77777777" w:rsidTr="007C04D4">
        <w:trPr>
          <w:trHeight w:val="20"/>
        </w:trPr>
        <w:tc>
          <w:tcPr>
            <w:tcW w:w="5665" w:type="dxa"/>
            <w:shd w:val="clear" w:color="auto" w:fill="auto"/>
            <w:noWrap/>
            <w:vAlign w:val="bottom"/>
            <w:hideMark/>
          </w:tcPr>
          <w:p w14:paraId="495BE54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 xml:space="preserve">The Mendota Group </w:t>
            </w:r>
          </w:p>
        </w:tc>
        <w:tc>
          <w:tcPr>
            <w:tcW w:w="1440" w:type="dxa"/>
            <w:vAlign w:val="bottom"/>
          </w:tcPr>
          <w:p w14:paraId="65771C4C" w14:textId="77777777" w:rsidR="00A260E8" w:rsidRPr="00BD1D99" w:rsidRDefault="00A260E8" w:rsidP="00BD1D99">
            <w:pPr>
              <w:spacing w:line="276" w:lineRule="auto"/>
              <w:ind w:right="-112"/>
              <w:rPr>
                <w:rFonts w:ascii="Calibri" w:hAnsi="Calibri" w:cs="Calibri"/>
                <w:color w:val="000000"/>
              </w:rPr>
            </w:pPr>
            <w:r w:rsidRPr="00BD1D99">
              <w:rPr>
                <w:rFonts w:ascii="Calibri" w:hAnsi="Calibri" w:cs="Calibri"/>
                <w:color w:val="000000"/>
              </w:rPr>
              <w:t>Grey</w:t>
            </w:r>
          </w:p>
        </w:tc>
        <w:tc>
          <w:tcPr>
            <w:tcW w:w="2070" w:type="dxa"/>
            <w:vAlign w:val="bottom"/>
          </w:tcPr>
          <w:p w14:paraId="25856B1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Staples</w:t>
            </w:r>
          </w:p>
        </w:tc>
      </w:tr>
      <w:tr w:rsidR="00A260E8" w:rsidRPr="00BD1D99" w14:paraId="2B42C86A" w14:textId="77777777" w:rsidTr="007C04D4">
        <w:trPr>
          <w:trHeight w:val="20"/>
        </w:trPr>
        <w:tc>
          <w:tcPr>
            <w:tcW w:w="5665" w:type="dxa"/>
            <w:shd w:val="clear" w:color="auto" w:fill="auto"/>
            <w:noWrap/>
            <w:vAlign w:val="bottom"/>
            <w:hideMark/>
          </w:tcPr>
          <w:p w14:paraId="304858C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The Ortiz Group LLC</w:t>
            </w:r>
          </w:p>
        </w:tc>
        <w:tc>
          <w:tcPr>
            <w:tcW w:w="1440" w:type="dxa"/>
            <w:vAlign w:val="bottom"/>
          </w:tcPr>
          <w:p w14:paraId="6282074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Rachel</w:t>
            </w:r>
          </w:p>
        </w:tc>
        <w:tc>
          <w:tcPr>
            <w:tcW w:w="2070" w:type="dxa"/>
            <w:vAlign w:val="bottom"/>
          </w:tcPr>
          <w:p w14:paraId="315F2CB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Etherington</w:t>
            </w:r>
          </w:p>
        </w:tc>
      </w:tr>
      <w:tr w:rsidR="00A260E8" w:rsidRPr="00BD1D99" w14:paraId="04F3AC4B" w14:textId="77777777" w:rsidTr="007C04D4">
        <w:trPr>
          <w:trHeight w:val="20"/>
        </w:trPr>
        <w:tc>
          <w:tcPr>
            <w:tcW w:w="5665" w:type="dxa"/>
            <w:shd w:val="clear" w:color="auto" w:fill="auto"/>
            <w:noWrap/>
            <w:vAlign w:val="bottom"/>
            <w:hideMark/>
          </w:tcPr>
          <w:p w14:paraId="3C0F47E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ThirdACT PBC</w:t>
            </w:r>
          </w:p>
        </w:tc>
        <w:tc>
          <w:tcPr>
            <w:tcW w:w="1440" w:type="dxa"/>
            <w:vAlign w:val="bottom"/>
          </w:tcPr>
          <w:p w14:paraId="31452D26"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Diane</w:t>
            </w:r>
          </w:p>
        </w:tc>
        <w:tc>
          <w:tcPr>
            <w:tcW w:w="2070" w:type="dxa"/>
            <w:vAlign w:val="bottom"/>
          </w:tcPr>
          <w:p w14:paraId="45E1DD4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Schrader</w:t>
            </w:r>
          </w:p>
        </w:tc>
      </w:tr>
      <w:tr w:rsidR="00A260E8" w:rsidRPr="00BD1D99" w14:paraId="096630EE" w14:textId="77777777" w:rsidTr="007C04D4">
        <w:trPr>
          <w:trHeight w:val="20"/>
        </w:trPr>
        <w:tc>
          <w:tcPr>
            <w:tcW w:w="5665" w:type="dxa"/>
            <w:shd w:val="clear" w:color="auto" w:fill="auto"/>
            <w:noWrap/>
            <w:vAlign w:val="bottom"/>
          </w:tcPr>
          <w:p w14:paraId="13255A2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Tierra Resource Consultants</w:t>
            </w:r>
          </w:p>
        </w:tc>
        <w:tc>
          <w:tcPr>
            <w:tcW w:w="1440" w:type="dxa"/>
            <w:vAlign w:val="bottom"/>
          </w:tcPr>
          <w:p w14:paraId="1AFFE6F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Floyd</w:t>
            </w:r>
          </w:p>
        </w:tc>
        <w:tc>
          <w:tcPr>
            <w:tcW w:w="2070" w:type="dxa"/>
            <w:vAlign w:val="bottom"/>
          </w:tcPr>
          <w:p w14:paraId="664BEA3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Keneipp</w:t>
            </w:r>
          </w:p>
        </w:tc>
      </w:tr>
      <w:tr w:rsidR="00A260E8" w:rsidRPr="00BD1D99" w14:paraId="3EDFAAA7" w14:textId="77777777" w:rsidTr="007C04D4">
        <w:trPr>
          <w:trHeight w:val="20"/>
        </w:trPr>
        <w:tc>
          <w:tcPr>
            <w:tcW w:w="5665" w:type="dxa"/>
            <w:shd w:val="clear" w:color="auto" w:fill="auto"/>
            <w:noWrap/>
            <w:vAlign w:val="bottom"/>
            <w:hideMark/>
          </w:tcPr>
          <w:p w14:paraId="306FDD3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Tierra Resource Consultants</w:t>
            </w:r>
          </w:p>
        </w:tc>
        <w:tc>
          <w:tcPr>
            <w:tcW w:w="1440" w:type="dxa"/>
            <w:vAlign w:val="bottom"/>
          </w:tcPr>
          <w:p w14:paraId="4E86A77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Gabriela</w:t>
            </w:r>
          </w:p>
        </w:tc>
        <w:tc>
          <w:tcPr>
            <w:tcW w:w="2070" w:type="dxa"/>
            <w:vAlign w:val="bottom"/>
          </w:tcPr>
          <w:p w14:paraId="1ED3D00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Limon</w:t>
            </w:r>
          </w:p>
        </w:tc>
      </w:tr>
      <w:tr w:rsidR="00A260E8" w:rsidRPr="00BD1D99" w14:paraId="0C26EE69" w14:textId="77777777" w:rsidTr="007C04D4">
        <w:trPr>
          <w:trHeight w:val="20"/>
        </w:trPr>
        <w:tc>
          <w:tcPr>
            <w:tcW w:w="5665" w:type="dxa"/>
            <w:shd w:val="clear" w:color="auto" w:fill="auto"/>
            <w:noWrap/>
            <w:vAlign w:val="bottom"/>
            <w:hideMark/>
          </w:tcPr>
          <w:p w14:paraId="25A29EE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Tierra Resource Consultants</w:t>
            </w:r>
          </w:p>
        </w:tc>
        <w:tc>
          <w:tcPr>
            <w:tcW w:w="1440" w:type="dxa"/>
            <w:vAlign w:val="bottom"/>
          </w:tcPr>
          <w:p w14:paraId="6AB72D1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Steven</w:t>
            </w:r>
          </w:p>
        </w:tc>
        <w:tc>
          <w:tcPr>
            <w:tcW w:w="2070" w:type="dxa"/>
            <w:vAlign w:val="bottom"/>
          </w:tcPr>
          <w:p w14:paraId="104A443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Nguyen</w:t>
            </w:r>
          </w:p>
        </w:tc>
      </w:tr>
      <w:tr w:rsidR="00A260E8" w:rsidRPr="00BD1D99" w14:paraId="207D33C3" w14:textId="77777777" w:rsidTr="007C04D4">
        <w:trPr>
          <w:trHeight w:val="20"/>
        </w:trPr>
        <w:tc>
          <w:tcPr>
            <w:tcW w:w="5665" w:type="dxa"/>
            <w:shd w:val="clear" w:color="auto" w:fill="auto"/>
            <w:noWrap/>
            <w:vAlign w:val="bottom"/>
            <w:hideMark/>
          </w:tcPr>
          <w:p w14:paraId="4C94E71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Tre' Laine Associates</w:t>
            </w:r>
          </w:p>
        </w:tc>
        <w:tc>
          <w:tcPr>
            <w:tcW w:w="1440" w:type="dxa"/>
            <w:vAlign w:val="bottom"/>
          </w:tcPr>
          <w:p w14:paraId="077353D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Pepper</w:t>
            </w:r>
          </w:p>
        </w:tc>
        <w:tc>
          <w:tcPr>
            <w:tcW w:w="2070" w:type="dxa"/>
            <w:vAlign w:val="bottom"/>
          </w:tcPr>
          <w:p w14:paraId="6E647F86"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Hunziker</w:t>
            </w:r>
          </w:p>
        </w:tc>
      </w:tr>
      <w:tr w:rsidR="00A260E8" w:rsidRPr="00BD1D99" w14:paraId="38C256A7" w14:textId="77777777" w:rsidTr="007C04D4">
        <w:trPr>
          <w:trHeight w:val="20"/>
        </w:trPr>
        <w:tc>
          <w:tcPr>
            <w:tcW w:w="5665" w:type="dxa"/>
            <w:shd w:val="clear" w:color="auto" w:fill="auto"/>
            <w:noWrap/>
            <w:vAlign w:val="bottom"/>
            <w:hideMark/>
          </w:tcPr>
          <w:p w14:paraId="7E3791E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Verdant Associates</w:t>
            </w:r>
          </w:p>
        </w:tc>
        <w:tc>
          <w:tcPr>
            <w:tcW w:w="1440" w:type="dxa"/>
            <w:shd w:val="clear" w:color="auto" w:fill="auto"/>
            <w:noWrap/>
            <w:vAlign w:val="bottom"/>
            <w:hideMark/>
          </w:tcPr>
          <w:p w14:paraId="34E4875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Amy</w:t>
            </w:r>
          </w:p>
        </w:tc>
        <w:tc>
          <w:tcPr>
            <w:tcW w:w="2070" w:type="dxa"/>
            <w:shd w:val="clear" w:color="auto" w:fill="auto"/>
            <w:noWrap/>
            <w:vAlign w:val="bottom"/>
            <w:hideMark/>
          </w:tcPr>
          <w:p w14:paraId="3E28A80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Buege</w:t>
            </w:r>
          </w:p>
        </w:tc>
      </w:tr>
      <w:tr w:rsidR="00A260E8" w:rsidRPr="00BD1D99" w14:paraId="245AC07E" w14:textId="77777777" w:rsidTr="007C04D4">
        <w:trPr>
          <w:trHeight w:val="20"/>
        </w:trPr>
        <w:tc>
          <w:tcPr>
            <w:tcW w:w="5665" w:type="dxa"/>
            <w:shd w:val="clear" w:color="auto" w:fill="auto"/>
            <w:noWrap/>
            <w:vAlign w:val="bottom"/>
            <w:hideMark/>
          </w:tcPr>
          <w:p w14:paraId="12831D2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Willdan</w:t>
            </w:r>
          </w:p>
        </w:tc>
        <w:tc>
          <w:tcPr>
            <w:tcW w:w="1440" w:type="dxa"/>
            <w:shd w:val="clear" w:color="auto" w:fill="auto"/>
            <w:noWrap/>
            <w:vAlign w:val="bottom"/>
            <w:hideMark/>
          </w:tcPr>
          <w:p w14:paraId="4B02753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Antuan</w:t>
            </w:r>
          </w:p>
        </w:tc>
        <w:tc>
          <w:tcPr>
            <w:tcW w:w="2070" w:type="dxa"/>
            <w:shd w:val="clear" w:color="auto" w:fill="auto"/>
            <w:noWrap/>
            <w:vAlign w:val="bottom"/>
            <w:hideMark/>
          </w:tcPr>
          <w:p w14:paraId="385808E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Cannon</w:t>
            </w:r>
          </w:p>
        </w:tc>
      </w:tr>
      <w:tr w:rsidR="00A260E8" w:rsidRPr="00BD1D99" w14:paraId="2101A388" w14:textId="77777777" w:rsidTr="007C04D4">
        <w:trPr>
          <w:trHeight w:val="20"/>
        </w:trPr>
        <w:tc>
          <w:tcPr>
            <w:tcW w:w="5665" w:type="dxa"/>
            <w:shd w:val="clear" w:color="auto" w:fill="auto"/>
            <w:noWrap/>
            <w:vAlign w:val="bottom"/>
            <w:hideMark/>
          </w:tcPr>
          <w:p w14:paraId="4897603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Willdan</w:t>
            </w:r>
          </w:p>
        </w:tc>
        <w:tc>
          <w:tcPr>
            <w:tcW w:w="1440" w:type="dxa"/>
            <w:shd w:val="clear" w:color="auto" w:fill="auto"/>
            <w:noWrap/>
            <w:vAlign w:val="bottom"/>
            <w:hideMark/>
          </w:tcPr>
          <w:p w14:paraId="7251F70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Liz</w:t>
            </w:r>
          </w:p>
        </w:tc>
        <w:tc>
          <w:tcPr>
            <w:tcW w:w="2070" w:type="dxa"/>
            <w:shd w:val="clear" w:color="auto" w:fill="auto"/>
            <w:noWrap/>
            <w:vAlign w:val="bottom"/>
            <w:hideMark/>
          </w:tcPr>
          <w:p w14:paraId="4D7F202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Fitzpatrick</w:t>
            </w:r>
          </w:p>
        </w:tc>
      </w:tr>
      <w:tr w:rsidR="00A260E8" w:rsidRPr="00BD1D99" w14:paraId="373A61CC" w14:textId="77777777" w:rsidTr="007C04D4">
        <w:trPr>
          <w:trHeight w:val="20"/>
        </w:trPr>
        <w:tc>
          <w:tcPr>
            <w:tcW w:w="5665" w:type="dxa"/>
            <w:shd w:val="clear" w:color="auto" w:fill="auto"/>
            <w:noWrap/>
            <w:vAlign w:val="bottom"/>
            <w:hideMark/>
          </w:tcPr>
          <w:p w14:paraId="56EB5BB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Willdan</w:t>
            </w:r>
          </w:p>
        </w:tc>
        <w:tc>
          <w:tcPr>
            <w:tcW w:w="1440" w:type="dxa"/>
            <w:shd w:val="clear" w:color="auto" w:fill="auto"/>
            <w:noWrap/>
            <w:vAlign w:val="bottom"/>
            <w:hideMark/>
          </w:tcPr>
          <w:p w14:paraId="1E29737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Spencer</w:t>
            </w:r>
          </w:p>
        </w:tc>
        <w:tc>
          <w:tcPr>
            <w:tcW w:w="2070" w:type="dxa"/>
            <w:shd w:val="clear" w:color="auto" w:fill="auto"/>
            <w:noWrap/>
            <w:vAlign w:val="bottom"/>
            <w:hideMark/>
          </w:tcPr>
          <w:p w14:paraId="3740424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Lipp</w:t>
            </w:r>
          </w:p>
        </w:tc>
      </w:tr>
      <w:tr w:rsidR="00A260E8" w:rsidRPr="00BD1D99" w14:paraId="1893ABB9" w14:textId="77777777" w:rsidTr="007C04D4">
        <w:trPr>
          <w:trHeight w:val="20"/>
        </w:trPr>
        <w:tc>
          <w:tcPr>
            <w:tcW w:w="5665" w:type="dxa"/>
            <w:shd w:val="clear" w:color="auto" w:fill="auto"/>
            <w:noWrap/>
            <w:vAlign w:val="bottom"/>
          </w:tcPr>
          <w:p w14:paraId="55C6B31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Yinsight</w:t>
            </w:r>
          </w:p>
        </w:tc>
        <w:tc>
          <w:tcPr>
            <w:tcW w:w="1440" w:type="dxa"/>
            <w:vAlign w:val="bottom"/>
          </w:tcPr>
          <w:p w14:paraId="42D0527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Carol</w:t>
            </w:r>
          </w:p>
        </w:tc>
        <w:tc>
          <w:tcPr>
            <w:tcW w:w="2070" w:type="dxa"/>
            <w:vAlign w:val="bottom"/>
          </w:tcPr>
          <w:p w14:paraId="4CF971E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Yin</w:t>
            </w:r>
          </w:p>
        </w:tc>
      </w:tr>
      <w:tr w:rsidR="00A260E8" w:rsidRPr="00BD1D99" w14:paraId="2B2616D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742F94E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Facilitators</w:t>
            </w:r>
          </w:p>
        </w:tc>
        <w:tc>
          <w:tcPr>
            <w:tcW w:w="144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60701A56" w14:textId="77777777" w:rsidR="00A260E8" w:rsidRPr="00BD1D99" w:rsidRDefault="00A260E8" w:rsidP="00BD1D99">
            <w:pPr>
              <w:spacing w:line="276" w:lineRule="auto"/>
              <w:rPr>
                <w:rFonts w:ascii="Calibri" w:hAnsi="Calibri" w:cs="Calibri"/>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47AF4CE7" w14:textId="77777777" w:rsidR="00A260E8" w:rsidRPr="00BD1D99" w:rsidRDefault="00A260E8" w:rsidP="00BD1D99">
            <w:pPr>
              <w:spacing w:line="276" w:lineRule="auto"/>
              <w:rPr>
                <w:rFonts w:ascii="Calibri" w:hAnsi="Calibri" w:cs="Calibri"/>
                <w:color w:val="000000"/>
              </w:rPr>
            </w:pPr>
          </w:p>
        </w:tc>
      </w:tr>
      <w:tr w:rsidR="00A260E8" w:rsidRPr="00BD1D99" w14:paraId="4565BBF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6A5D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CONCUR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4553FB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Katie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57A06D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Abrams</w:t>
            </w:r>
          </w:p>
        </w:tc>
      </w:tr>
      <w:tr w:rsidR="00A260E8" w:rsidRPr="00BD1D99" w14:paraId="05C83509"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8428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 xml:space="preserve">CONCUR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B4DFCE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Scott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9ED0AE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McCreary</w:t>
            </w:r>
          </w:p>
        </w:tc>
      </w:tr>
    </w:tbl>
    <w:p w14:paraId="6CA74A12" w14:textId="77777777" w:rsidR="00A260E8" w:rsidRPr="00BD1D99" w:rsidRDefault="00A260E8" w:rsidP="00BD1D99">
      <w:pPr>
        <w:shd w:val="clear" w:color="auto" w:fill="FFFFFF" w:themeFill="background1"/>
        <w:spacing w:line="276" w:lineRule="auto"/>
        <w:rPr>
          <w:rFonts w:ascii="Calibri" w:hAnsi="Calibri" w:cs="Calibri"/>
          <w:sz w:val="20"/>
          <w:szCs w:val="20"/>
        </w:rPr>
      </w:pPr>
    </w:p>
    <w:p w14:paraId="4A9D5645" w14:textId="4FD290EF" w:rsidR="00A260E8" w:rsidRPr="00BD1D99" w:rsidRDefault="00A260E8" w:rsidP="00BD1D99">
      <w:pPr>
        <w:spacing w:line="276" w:lineRule="auto"/>
        <w:rPr>
          <w:rFonts w:ascii="Calibri" w:hAnsi="Calibri" w:cs="Calibri"/>
          <w:b/>
          <w:bCs/>
          <w:sz w:val="22"/>
          <w:szCs w:val="22"/>
        </w:rPr>
      </w:pPr>
    </w:p>
    <w:p w14:paraId="11037E45" w14:textId="22C274EE" w:rsidR="00A260E8" w:rsidRPr="00BD1D99" w:rsidRDefault="00987389" w:rsidP="00BD1D99">
      <w:pPr>
        <w:pStyle w:val="Heading2"/>
      </w:pPr>
      <w:bookmarkStart w:id="101" w:name="_Toc85613346"/>
      <w:r>
        <w:t>D</w:t>
      </w:r>
      <w:r w:rsidR="00A260E8" w:rsidRPr="00BD1D99">
        <w:t>.</w:t>
      </w:r>
      <w:r w:rsidR="00C828E6" w:rsidRPr="00BD1D99">
        <w:t>3</w:t>
      </w:r>
      <w:r w:rsidR="00A260E8" w:rsidRPr="00BD1D99">
        <w:t xml:space="preserve"> </w:t>
      </w:r>
      <w:r w:rsidR="00090954" w:rsidRPr="00BD1D99">
        <w:t>Summary of Input</w:t>
      </w:r>
      <w:r w:rsidR="00A260E8" w:rsidRPr="00BD1D99">
        <w:t xml:space="preserve"> from Breakout Groups</w:t>
      </w:r>
      <w:bookmarkEnd w:id="101"/>
    </w:p>
    <w:p w14:paraId="4E0FD171" w14:textId="01507A56" w:rsidR="00A260E8" w:rsidRPr="00BD1D99" w:rsidRDefault="00A260E8" w:rsidP="00BD1D99">
      <w:pPr>
        <w:spacing w:line="276" w:lineRule="auto"/>
        <w:rPr>
          <w:rFonts w:ascii="Calibri" w:hAnsi="Calibri" w:cs="Calibri"/>
        </w:rPr>
      </w:pPr>
      <w:r w:rsidRPr="00BD1D99">
        <w:rPr>
          <w:rFonts w:ascii="Calibri" w:hAnsi="Calibri" w:cs="Calibri"/>
        </w:rPr>
        <w:t xml:space="preserve">This section includes six screenshots, one for each of the six breakout groups, showing individual responses to each of the four breakout questions. It has been anonymized. Icons such as stars and checkmarks were used to prioritize sticky notes for the summaries. Within a given breakout group and question, the sticky notes appear in no particular order, except in </w:t>
      </w:r>
      <w:r w:rsidR="00C828E6" w:rsidRPr="00BD1D99">
        <w:rPr>
          <w:rFonts w:ascii="Calibri" w:hAnsi="Calibri" w:cs="Calibri"/>
        </w:rPr>
        <w:t>Breakout E</w:t>
      </w:r>
      <w:r w:rsidR="00211348">
        <w:rPr>
          <w:rFonts w:ascii="Calibri" w:hAnsi="Calibri" w:cs="Calibri"/>
        </w:rPr>
        <w:t xml:space="preserve"> (Figure D.6)</w:t>
      </w:r>
      <w:r w:rsidRPr="00BD1D99">
        <w:rPr>
          <w:rFonts w:ascii="Calibri" w:hAnsi="Calibri" w:cs="Calibri"/>
        </w:rPr>
        <w:t xml:space="preserve">, some sticky notes were </w:t>
      </w:r>
      <w:r w:rsidRPr="00D22CC5">
        <w:rPr>
          <w:rFonts w:ascii="Calibri" w:hAnsi="Calibri" w:cs="Calibri"/>
        </w:rPr>
        <w:t xml:space="preserve">rearranged to </w:t>
      </w:r>
      <w:r w:rsidR="00E0340F" w:rsidRPr="00D22CC5">
        <w:rPr>
          <w:rFonts w:ascii="Calibri" w:hAnsi="Calibri" w:cs="Calibri"/>
        </w:rPr>
        <w:t xml:space="preserve">group </w:t>
      </w:r>
      <w:r w:rsidRPr="00D22CC5">
        <w:rPr>
          <w:rFonts w:ascii="Calibri" w:hAnsi="Calibri" w:cs="Calibri"/>
        </w:rPr>
        <w:t>together</w:t>
      </w:r>
      <w:r w:rsidRPr="00BD1D99">
        <w:rPr>
          <w:rFonts w:ascii="Calibri" w:hAnsi="Calibri" w:cs="Calibri"/>
        </w:rPr>
        <w:t xml:space="preserve"> sticky notes of a similar theme to provide more accurate prioritization.</w:t>
      </w:r>
    </w:p>
    <w:p w14:paraId="4FE2B49E" w14:textId="77777777" w:rsidR="00A260E8" w:rsidRPr="00BD1D99" w:rsidRDefault="00A260E8" w:rsidP="00BD1D99">
      <w:pPr>
        <w:spacing w:line="276" w:lineRule="auto"/>
        <w:rPr>
          <w:rFonts w:ascii="Calibri" w:hAnsi="Calibri" w:cs="Calibri"/>
          <w:u w:val="single"/>
        </w:rPr>
      </w:pPr>
    </w:p>
    <w:p w14:paraId="4737DFB3" w14:textId="51C9BEBF" w:rsidR="00A260E8" w:rsidRPr="00BD1D99" w:rsidRDefault="00A260E8" w:rsidP="00BD1D99">
      <w:pPr>
        <w:spacing w:line="276" w:lineRule="auto"/>
        <w:rPr>
          <w:rFonts w:ascii="Calibri" w:hAnsi="Calibri" w:cs="Calibri"/>
          <w:u w:val="single"/>
        </w:rPr>
      </w:pPr>
      <w:r w:rsidRPr="00BD1D99">
        <w:rPr>
          <w:rFonts w:ascii="Calibri" w:hAnsi="Calibri" w:cs="Calibri"/>
          <w:u w:val="single"/>
        </w:rPr>
        <w:t>Acronyms used in the Mural screenshots below:</w:t>
      </w:r>
    </w:p>
    <w:p w14:paraId="458DA8C0"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AB1348 – Assembly Bill 1348</w:t>
      </w:r>
    </w:p>
    <w:p w14:paraId="668F959B"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 xml:space="preserve">AMI – Area Median Income </w:t>
      </w:r>
    </w:p>
    <w:p w14:paraId="2D6B3C91" w14:textId="77777777" w:rsidR="00A260E8" w:rsidRPr="00BD1D99" w:rsidRDefault="00A260E8" w:rsidP="00BD1D99">
      <w:pPr>
        <w:spacing w:line="276" w:lineRule="auto"/>
        <w:ind w:firstLine="720"/>
        <w:rPr>
          <w:rFonts w:ascii="Calibri" w:hAnsi="Calibri" w:cs="Calibri"/>
        </w:rPr>
      </w:pPr>
      <w:r w:rsidRPr="00BD1D99">
        <w:rPr>
          <w:rFonts w:ascii="Calibri" w:hAnsi="Calibri" w:cs="Calibri"/>
        </w:rPr>
        <w:t>CARE - California Alternate Rates for Energy</w:t>
      </w:r>
    </w:p>
    <w:p w14:paraId="05FF57AD"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CBO – community-based organization</w:t>
      </w:r>
    </w:p>
    <w:p w14:paraId="2FD348E3"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 xml:space="preserve">DAC – Disadvantaged community, as defined by the CPUC </w:t>
      </w:r>
    </w:p>
    <w:p w14:paraId="579FF96A"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DBE – Diverse Business Enterprise</w:t>
      </w:r>
    </w:p>
    <w:p w14:paraId="2F304641"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DER – Distributed Energy Resources</w:t>
      </w:r>
    </w:p>
    <w:p w14:paraId="6A03F0EB"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EE – energy efficiency</w:t>
      </w:r>
    </w:p>
    <w:p w14:paraId="343E6840"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ESA – Energy Savings Assistance program</w:t>
      </w:r>
    </w:p>
    <w:p w14:paraId="593222E9"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ESL – English as a second language</w:t>
      </w:r>
    </w:p>
    <w:p w14:paraId="73721F4E"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ESCO – Energy service companies</w:t>
      </w:r>
    </w:p>
    <w:p w14:paraId="7C27EB4B"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FERA - Family Electric Rate Assistance program</w:t>
      </w:r>
    </w:p>
    <w:p w14:paraId="227A951C"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GHGs – Greenhouse gases</w:t>
      </w:r>
    </w:p>
    <w:p w14:paraId="53B70632"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HSC – Health safety and comfort</w:t>
      </w:r>
    </w:p>
    <w:p w14:paraId="2F75A0C1"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HTR – Hard to reach, as defined by the CPUC</w:t>
      </w:r>
    </w:p>
    <w:p w14:paraId="4EA4D7DD" w14:textId="77777777" w:rsidR="00A260E8" w:rsidRPr="00BD1D99" w:rsidRDefault="00A260E8" w:rsidP="00BD1D99">
      <w:pPr>
        <w:spacing w:line="276" w:lineRule="auto"/>
        <w:ind w:firstLine="720"/>
        <w:rPr>
          <w:rFonts w:ascii="Calibri" w:hAnsi="Calibri" w:cs="Calibri"/>
        </w:rPr>
      </w:pPr>
      <w:r w:rsidRPr="00BD1D99">
        <w:rPr>
          <w:rFonts w:ascii="Calibri" w:hAnsi="Calibri" w:cs="Calibri"/>
        </w:rPr>
        <w:t>HUD – (U.S. Department of) Housing and Urban Development</w:t>
      </w:r>
    </w:p>
    <w:p w14:paraId="24FA2BA1"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LMI – Low and moderate income</w:t>
      </w:r>
    </w:p>
    <w:p w14:paraId="2C687A02"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MBE – Minority Business Enterprise</w:t>
      </w:r>
    </w:p>
    <w:p w14:paraId="3F1D733F"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MF – Multifamily (residence)</w:t>
      </w:r>
    </w:p>
    <w:p w14:paraId="67DB0D87"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NEB – Non-energy benefit</w:t>
      </w:r>
    </w:p>
    <w:p w14:paraId="59A2E57C"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SB350 – Senate Bill 350</w:t>
      </w:r>
    </w:p>
    <w:p w14:paraId="594AA009"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SBE –Small Business Enterprise</w:t>
      </w:r>
    </w:p>
    <w:p w14:paraId="1EEA58E1"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SF – Single family (residence)</w:t>
      </w:r>
    </w:p>
    <w:p w14:paraId="1F6080E3"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WBE – Women Business Enterprise</w:t>
      </w:r>
    </w:p>
    <w:p w14:paraId="543D5370"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YOY – Year over year</w:t>
      </w:r>
    </w:p>
    <w:p w14:paraId="4FB6DAC2" w14:textId="77777777" w:rsidR="00A260E8" w:rsidRPr="00BD1D99" w:rsidRDefault="00A260E8" w:rsidP="00BD1D99">
      <w:pPr>
        <w:spacing w:line="276" w:lineRule="auto"/>
        <w:rPr>
          <w:rFonts w:ascii="Calibri" w:hAnsi="Calibri" w:cs="Calibri"/>
          <w:sz w:val="22"/>
          <w:szCs w:val="22"/>
        </w:rPr>
      </w:pPr>
    </w:p>
    <w:p w14:paraId="34F333F9" w14:textId="77777777" w:rsidR="00A260E8" w:rsidRPr="00BD1D99" w:rsidRDefault="00A260E8" w:rsidP="00BD1D99">
      <w:pPr>
        <w:spacing w:line="276" w:lineRule="auto"/>
        <w:rPr>
          <w:rFonts w:ascii="Calibri" w:hAnsi="Calibri" w:cs="Calibri"/>
          <w:sz w:val="22"/>
          <w:szCs w:val="22"/>
        </w:rPr>
      </w:pPr>
      <w:r w:rsidRPr="00BD1D99">
        <w:rPr>
          <w:rFonts w:ascii="Calibri" w:hAnsi="Calibri" w:cs="Calibri"/>
          <w:sz w:val="22"/>
          <w:szCs w:val="22"/>
        </w:rPr>
        <w:br w:type="page"/>
      </w:r>
    </w:p>
    <w:p w14:paraId="711D95B8" w14:textId="77777777" w:rsidR="00A260E8" w:rsidRPr="00BD1D99" w:rsidRDefault="00A260E8" w:rsidP="00BD1D99">
      <w:pPr>
        <w:spacing w:line="276" w:lineRule="auto"/>
        <w:rPr>
          <w:rFonts w:ascii="Calibri" w:hAnsi="Calibri" w:cs="Calibri"/>
          <w:sz w:val="22"/>
          <w:szCs w:val="22"/>
        </w:rPr>
        <w:sectPr w:rsidR="00A260E8" w:rsidRPr="00BD1D99" w:rsidSect="00D65CD8">
          <w:footerReference w:type="even" r:id="rId14"/>
          <w:footerReference w:type="default" r:id="rId15"/>
          <w:footerReference w:type="first" r:id="rId16"/>
          <w:pgSz w:w="12240" w:h="15840"/>
          <w:pgMar w:top="1440" w:right="1440" w:bottom="1440" w:left="1440" w:header="720" w:footer="720" w:gutter="0"/>
          <w:cols w:space="720"/>
          <w:docGrid w:linePitch="360"/>
        </w:sectPr>
      </w:pPr>
    </w:p>
    <w:p w14:paraId="1705B1E0" w14:textId="13907B72" w:rsidR="00A260E8" w:rsidRPr="00BD1D99" w:rsidRDefault="00604221" w:rsidP="00BD1D99">
      <w:pPr>
        <w:spacing w:line="276" w:lineRule="auto"/>
        <w:rPr>
          <w:rFonts w:ascii="Calibri" w:hAnsi="Calibri" w:cs="Calibri"/>
          <w:sz w:val="22"/>
          <w:szCs w:val="22"/>
        </w:rPr>
      </w:pPr>
      <w:r>
        <w:rPr>
          <w:rFonts w:ascii="Calibri" w:hAnsi="Calibri" w:cs="Calibri"/>
          <w:sz w:val="22"/>
          <w:szCs w:val="22"/>
        </w:rPr>
        <w:t xml:space="preserve">Figure </w:t>
      </w:r>
      <w:r w:rsidR="00987389">
        <w:rPr>
          <w:rFonts w:ascii="Calibri" w:hAnsi="Calibri" w:cs="Calibri"/>
          <w:sz w:val="22"/>
          <w:szCs w:val="22"/>
        </w:rPr>
        <w:t>D</w:t>
      </w:r>
      <w:r>
        <w:rPr>
          <w:rFonts w:ascii="Calibri" w:hAnsi="Calibri" w:cs="Calibri"/>
          <w:sz w:val="22"/>
          <w:szCs w:val="22"/>
        </w:rPr>
        <w:t xml:space="preserve">.1: Equity Workshop “Mural” Input from </w:t>
      </w:r>
      <w:r w:rsidR="00A260E8" w:rsidRPr="00BD1D99">
        <w:rPr>
          <w:rFonts w:ascii="Calibri" w:hAnsi="Calibri" w:cs="Calibri"/>
          <w:sz w:val="22"/>
          <w:szCs w:val="22"/>
        </w:rPr>
        <w:t>Breakout Group</w:t>
      </w:r>
      <w:r w:rsidR="00C828E6" w:rsidRPr="00BD1D99">
        <w:rPr>
          <w:rFonts w:ascii="Calibri" w:hAnsi="Calibri" w:cs="Calibri"/>
          <w:sz w:val="22"/>
          <w:szCs w:val="22"/>
        </w:rPr>
        <w:t xml:space="preserve"> A</w:t>
      </w:r>
    </w:p>
    <w:p w14:paraId="5085A5EE" w14:textId="77777777" w:rsidR="00A260E8" w:rsidRPr="00BD1D99" w:rsidRDefault="00A260E8" w:rsidP="00BD1D99">
      <w:pPr>
        <w:spacing w:line="276" w:lineRule="auto"/>
        <w:rPr>
          <w:rFonts w:ascii="Calibri" w:hAnsi="Calibri" w:cs="Calibri"/>
          <w:sz w:val="22"/>
          <w:szCs w:val="22"/>
        </w:rPr>
      </w:pPr>
      <w:r w:rsidRPr="00BD1D99">
        <w:rPr>
          <w:rFonts w:ascii="Calibri" w:hAnsi="Calibri" w:cs="Calibri"/>
          <w:noProof/>
          <w:sz w:val="22"/>
          <w:szCs w:val="22"/>
        </w:rPr>
        <w:drawing>
          <wp:inline distT="0" distB="0" distL="0" distR="0" wp14:anchorId="11E8659F" wp14:editId="04E0C806">
            <wp:extent cx="9224744" cy="47518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7" cstate="print">
                      <a:extLst>
                        <a:ext uri="{28A0092B-C50C-407E-A947-70E740481C1C}">
                          <a14:useLocalDpi xmlns:a14="http://schemas.microsoft.com/office/drawing/2010/main" val="0"/>
                        </a:ext>
                      </a:extLst>
                    </a:blip>
                    <a:srcRect t="16924"/>
                    <a:stretch/>
                  </pic:blipFill>
                  <pic:spPr bwMode="auto">
                    <a:xfrm>
                      <a:off x="0" y="0"/>
                      <a:ext cx="9240516" cy="4760006"/>
                    </a:xfrm>
                    <a:prstGeom prst="rect">
                      <a:avLst/>
                    </a:prstGeom>
                    <a:ln>
                      <a:noFill/>
                    </a:ln>
                    <a:extLst>
                      <a:ext uri="{53640926-AAD7-44D8-BBD7-CCE9431645EC}">
                        <a14:shadowObscured xmlns:a14="http://schemas.microsoft.com/office/drawing/2010/main"/>
                      </a:ext>
                    </a:extLst>
                  </pic:spPr>
                </pic:pic>
              </a:graphicData>
            </a:graphic>
          </wp:inline>
        </w:drawing>
      </w:r>
      <w:r w:rsidRPr="00BD1D99">
        <w:rPr>
          <w:rFonts w:ascii="Calibri" w:hAnsi="Calibri" w:cs="Calibri"/>
          <w:sz w:val="22"/>
          <w:szCs w:val="22"/>
        </w:rPr>
        <w:br w:type="page"/>
      </w:r>
    </w:p>
    <w:p w14:paraId="323B8736" w14:textId="0F0313C6" w:rsidR="00A260E8" w:rsidRPr="00BD1D99" w:rsidRDefault="00604221" w:rsidP="00BD1D99">
      <w:pPr>
        <w:spacing w:line="276" w:lineRule="auto"/>
        <w:rPr>
          <w:rFonts w:ascii="Calibri" w:hAnsi="Calibri" w:cs="Calibri"/>
          <w:sz w:val="22"/>
          <w:szCs w:val="22"/>
        </w:rPr>
      </w:pPr>
      <w:r>
        <w:rPr>
          <w:rFonts w:ascii="Calibri" w:hAnsi="Calibri" w:cs="Calibri"/>
          <w:sz w:val="22"/>
          <w:szCs w:val="22"/>
        </w:rPr>
        <w:t xml:space="preserve">Figure </w:t>
      </w:r>
      <w:r w:rsidR="00987389">
        <w:rPr>
          <w:rFonts w:ascii="Calibri" w:hAnsi="Calibri" w:cs="Calibri"/>
          <w:sz w:val="22"/>
          <w:szCs w:val="22"/>
        </w:rPr>
        <w:t>D</w:t>
      </w:r>
      <w:r>
        <w:rPr>
          <w:rFonts w:ascii="Calibri" w:hAnsi="Calibri" w:cs="Calibri"/>
          <w:sz w:val="22"/>
          <w:szCs w:val="22"/>
        </w:rPr>
        <w:t>.</w:t>
      </w:r>
      <w:r w:rsidR="00211348">
        <w:rPr>
          <w:rFonts w:ascii="Calibri" w:hAnsi="Calibri" w:cs="Calibri"/>
          <w:sz w:val="22"/>
          <w:szCs w:val="22"/>
        </w:rPr>
        <w:t>2</w:t>
      </w:r>
      <w:r>
        <w:rPr>
          <w:rFonts w:ascii="Calibri" w:hAnsi="Calibri" w:cs="Calibri"/>
          <w:sz w:val="22"/>
          <w:szCs w:val="22"/>
        </w:rPr>
        <w:t xml:space="preserve">: Equity Workshop “Mural” Input from </w:t>
      </w:r>
      <w:r w:rsidR="00A260E8" w:rsidRPr="00BD1D99">
        <w:rPr>
          <w:rFonts w:ascii="Calibri" w:hAnsi="Calibri" w:cs="Calibri"/>
          <w:sz w:val="22"/>
          <w:szCs w:val="22"/>
        </w:rPr>
        <w:t>Breakout Group</w:t>
      </w:r>
      <w:r w:rsidR="00C828E6" w:rsidRPr="00BD1D99">
        <w:rPr>
          <w:rFonts w:ascii="Calibri" w:hAnsi="Calibri" w:cs="Calibri"/>
          <w:sz w:val="22"/>
          <w:szCs w:val="22"/>
        </w:rPr>
        <w:t xml:space="preserve"> B</w:t>
      </w:r>
    </w:p>
    <w:p w14:paraId="30BEDDBD" w14:textId="77777777" w:rsidR="00A260E8" w:rsidRPr="00BD1D99" w:rsidRDefault="00A260E8" w:rsidP="00BD1D99">
      <w:pPr>
        <w:spacing w:line="276" w:lineRule="auto"/>
        <w:rPr>
          <w:rFonts w:ascii="Calibri" w:hAnsi="Calibri" w:cs="Calibri"/>
          <w:sz w:val="22"/>
          <w:szCs w:val="22"/>
        </w:rPr>
      </w:pPr>
      <w:r w:rsidRPr="00BD1D99">
        <w:rPr>
          <w:rFonts w:ascii="Calibri" w:hAnsi="Calibri" w:cs="Calibri"/>
          <w:noProof/>
          <w:sz w:val="22"/>
          <w:szCs w:val="22"/>
        </w:rPr>
        <w:drawing>
          <wp:inline distT="0" distB="0" distL="0" distR="0" wp14:anchorId="612265AF" wp14:editId="77043CC1">
            <wp:extent cx="9196466" cy="51724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cstate="print">
                      <a:extLst>
                        <a:ext uri="{28A0092B-C50C-407E-A947-70E740481C1C}">
                          <a14:useLocalDpi xmlns:a14="http://schemas.microsoft.com/office/drawing/2010/main" val="0"/>
                        </a:ext>
                      </a:extLst>
                    </a:blip>
                    <a:srcRect t="15906"/>
                    <a:stretch/>
                  </pic:blipFill>
                  <pic:spPr bwMode="auto">
                    <a:xfrm>
                      <a:off x="0" y="0"/>
                      <a:ext cx="9209587" cy="5179877"/>
                    </a:xfrm>
                    <a:prstGeom prst="rect">
                      <a:avLst/>
                    </a:prstGeom>
                    <a:ln>
                      <a:noFill/>
                    </a:ln>
                    <a:extLst>
                      <a:ext uri="{53640926-AAD7-44D8-BBD7-CCE9431645EC}">
                        <a14:shadowObscured xmlns:a14="http://schemas.microsoft.com/office/drawing/2010/main"/>
                      </a:ext>
                    </a:extLst>
                  </pic:spPr>
                </pic:pic>
              </a:graphicData>
            </a:graphic>
          </wp:inline>
        </w:drawing>
      </w:r>
    </w:p>
    <w:p w14:paraId="254D5B34" w14:textId="77777777" w:rsidR="00A260E8" w:rsidRPr="00BD1D99" w:rsidRDefault="00A260E8" w:rsidP="00BD1D99">
      <w:pPr>
        <w:spacing w:line="276" w:lineRule="auto"/>
        <w:rPr>
          <w:rFonts w:ascii="Calibri" w:hAnsi="Calibri" w:cs="Calibri"/>
          <w:sz w:val="22"/>
          <w:szCs w:val="22"/>
        </w:rPr>
      </w:pPr>
    </w:p>
    <w:p w14:paraId="23B08E91" w14:textId="77777777" w:rsidR="00A260E8" w:rsidRPr="00BD1D99" w:rsidRDefault="00A260E8" w:rsidP="00BD1D99">
      <w:pPr>
        <w:spacing w:line="276" w:lineRule="auto"/>
        <w:rPr>
          <w:rFonts w:ascii="Calibri" w:hAnsi="Calibri" w:cs="Calibri"/>
          <w:sz w:val="22"/>
          <w:szCs w:val="22"/>
        </w:rPr>
      </w:pPr>
      <w:r w:rsidRPr="00BD1D99">
        <w:rPr>
          <w:rFonts w:ascii="Calibri" w:hAnsi="Calibri" w:cs="Calibri"/>
          <w:sz w:val="22"/>
          <w:szCs w:val="22"/>
        </w:rPr>
        <w:br w:type="page"/>
      </w:r>
    </w:p>
    <w:p w14:paraId="475A1EC0" w14:textId="041A3A6C" w:rsidR="00A260E8" w:rsidRPr="00BD1D99" w:rsidRDefault="00604221" w:rsidP="00BD1D99">
      <w:pPr>
        <w:spacing w:line="276" w:lineRule="auto"/>
        <w:rPr>
          <w:rFonts w:ascii="Calibri" w:hAnsi="Calibri" w:cs="Calibri"/>
          <w:sz w:val="22"/>
          <w:szCs w:val="22"/>
        </w:rPr>
      </w:pPr>
      <w:r>
        <w:rPr>
          <w:rFonts w:ascii="Calibri" w:hAnsi="Calibri" w:cs="Calibri"/>
          <w:sz w:val="22"/>
          <w:szCs w:val="22"/>
        </w:rPr>
        <w:t xml:space="preserve">Figure </w:t>
      </w:r>
      <w:r w:rsidR="00987389">
        <w:rPr>
          <w:rFonts w:ascii="Calibri" w:hAnsi="Calibri" w:cs="Calibri"/>
          <w:sz w:val="22"/>
          <w:szCs w:val="22"/>
        </w:rPr>
        <w:t>D</w:t>
      </w:r>
      <w:r>
        <w:rPr>
          <w:rFonts w:ascii="Calibri" w:hAnsi="Calibri" w:cs="Calibri"/>
          <w:sz w:val="22"/>
          <w:szCs w:val="22"/>
        </w:rPr>
        <w:t>.</w:t>
      </w:r>
      <w:r w:rsidR="00211348">
        <w:rPr>
          <w:rFonts w:ascii="Calibri" w:hAnsi="Calibri" w:cs="Calibri"/>
          <w:sz w:val="22"/>
          <w:szCs w:val="22"/>
        </w:rPr>
        <w:t>3</w:t>
      </w:r>
      <w:r>
        <w:rPr>
          <w:rFonts w:ascii="Calibri" w:hAnsi="Calibri" w:cs="Calibri"/>
          <w:sz w:val="22"/>
          <w:szCs w:val="22"/>
        </w:rPr>
        <w:t xml:space="preserve">: Equity Workshop “Mural” Input from </w:t>
      </w:r>
      <w:r w:rsidR="00A260E8" w:rsidRPr="00BD1D99">
        <w:rPr>
          <w:rFonts w:ascii="Calibri" w:hAnsi="Calibri" w:cs="Calibri"/>
          <w:sz w:val="22"/>
          <w:szCs w:val="22"/>
        </w:rPr>
        <w:t>Breakout Group</w:t>
      </w:r>
      <w:r w:rsidR="00C828E6" w:rsidRPr="00BD1D99">
        <w:rPr>
          <w:rFonts w:ascii="Calibri" w:hAnsi="Calibri" w:cs="Calibri"/>
          <w:sz w:val="22"/>
          <w:szCs w:val="22"/>
        </w:rPr>
        <w:t xml:space="preserve"> C</w:t>
      </w:r>
    </w:p>
    <w:p w14:paraId="675A8FED" w14:textId="77777777" w:rsidR="00A260E8" w:rsidRPr="00BD1D99" w:rsidRDefault="00A260E8" w:rsidP="00BD1D99">
      <w:pPr>
        <w:spacing w:line="276" w:lineRule="auto"/>
        <w:rPr>
          <w:rFonts w:ascii="Calibri" w:hAnsi="Calibri" w:cs="Calibri"/>
          <w:sz w:val="22"/>
          <w:szCs w:val="22"/>
        </w:rPr>
      </w:pPr>
      <w:r w:rsidRPr="00BD1D99">
        <w:rPr>
          <w:rFonts w:ascii="Calibri" w:hAnsi="Calibri" w:cs="Calibri"/>
          <w:noProof/>
          <w:sz w:val="22"/>
          <w:szCs w:val="22"/>
        </w:rPr>
        <w:drawing>
          <wp:inline distT="0" distB="0" distL="0" distR="0" wp14:anchorId="49F7B991" wp14:editId="0BAE505A">
            <wp:extent cx="9203961" cy="5890657"/>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9" cstate="print">
                      <a:extLst>
                        <a:ext uri="{28A0092B-C50C-407E-A947-70E740481C1C}">
                          <a14:useLocalDpi xmlns:a14="http://schemas.microsoft.com/office/drawing/2010/main" val="0"/>
                        </a:ext>
                      </a:extLst>
                    </a:blip>
                    <a:srcRect t="16039"/>
                    <a:stretch/>
                  </pic:blipFill>
                  <pic:spPr bwMode="auto">
                    <a:xfrm>
                      <a:off x="0" y="0"/>
                      <a:ext cx="9217269" cy="5899175"/>
                    </a:xfrm>
                    <a:prstGeom prst="rect">
                      <a:avLst/>
                    </a:prstGeom>
                    <a:ln>
                      <a:noFill/>
                    </a:ln>
                    <a:extLst>
                      <a:ext uri="{53640926-AAD7-44D8-BBD7-CCE9431645EC}">
                        <a14:shadowObscured xmlns:a14="http://schemas.microsoft.com/office/drawing/2010/main"/>
                      </a:ext>
                    </a:extLst>
                  </pic:spPr>
                </pic:pic>
              </a:graphicData>
            </a:graphic>
          </wp:inline>
        </w:drawing>
      </w:r>
    </w:p>
    <w:p w14:paraId="185071AF" w14:textId="77777777" w:rsidR="00A260E8" w:rsidRPr="00BD1D99" w:rsidRDefault="00A260E8" w:rsidP="00BD1D99">
      <w:pPr>
        <w:spacing w:line="276" w:lineRule="auto"/>
        <w:rPr>
          <w:rFonts w:ascii="Calibri" w:hAnsi="Calibri" w:cs="Calibri"/>
          <w:sz w:val="22"/>
          <w:szCs w:val="22"/>
        </w:rPr>
      </w:pPr>
    </w:p>
    <w:p w14:paraId="61260058" w14:textId="77777777" w:rsidR="00A260E8" w:rsidRPr="00BD1D99" w:rsidRDefault="00A260E8" w:rsidP="00BD1D99">
      <w:pPr>
        <w:spacing w:line="276" w:lineRule="auto"/>
        <w:rPr>
          <w:rFonts w:ascii="Calibri" w:hAnsi="Calibri" w:cs="Calibri"/>
          <w:sz w:val="22"/>
          <w:szCs w:val="22"/>
        </w:rPr>
      </w:pPr>
      <w:r w:rsidRPr="00BD1D99">
        <w:rPr>
          <w:rFonts w:ascii="Calibri" w:hAnsi="Calibri" w:cs="Calibri"/>
          <w:sz w:val="22"/>
          <w:szCs w:val="22"/>
        </w:rPr>
        <w:br w:type="page"/>
      </w:r>
    </w:p>
    <w:p w14:paraId="09E80B89" w14:textId="7D3FEA24" w:rsidR="00A260E8" w:rsidRPr="00BD1D99" w:rsidRDefault="00604221" w:rsidP="00BD1D99">
      <w:pPr>
        <w:spacing w:line="276" w:lineRule="auto"/>
        <w:rPr>
          <w:rFonts w:ascii="Calibri" w:hAnsi="Calibri" w:cs="Calibri"/>
          <w:sz w:val="22"/>
          <w:szCs w:val="22"/>
        </w:rPr>
      </w:pPr>
      <w:r>
        <w:rPr>
          <w:rFonts w:ascii="Calibri" w:hAnsi="Calibri" w:cs="Calibri"/>
          <w:sz w:val="22"/>
          <w:szCs w:val="22"/>
        </w:rPr>
        <w:t xml:space="preserve">Figure </w:t>
      </w:r>
      <w:r w:rsidR="00987389">
        <w:rPr>
          <w:rFonts w:ascii="Calibri" w:hAnsi="Calibri" w:cs="Calibri"/>
          <w:sz w:val="22"/>
          <w:szCs w:val="22"/>
        </w:rPr>
        <w:t>D</w:t>
      </w:r>
      <w:r>
        <w:rPr>
          <w:rFonts w:ascii="Calibri" w:hAnsi="Calibri" w:cs="Calibri"/>
          <w:sz w:val="22"/>
          <w:szCs w:val="22"/>
        </w:rPr>
        <w:t>.</w:t>
      </w:r>
      <w:r w:rsidR="00211348">
        <w:rPr>
          <w:rFonts w:ascii="Calibri" w:hAnsi="Calibri" w:cs="Calibri"/>
          <w:sz w:val="22"/>
          <w:szCs w:val="22"/>
        </w:rPr>
        <w:t>4</w:t>
      </w:r>
      <w:r>
        <w:rPr>
          <w:rFonts w:ascii="Calibri" w:hAnsi="Calibri" w:cs="Calibri"/>
          <w:sz w:val="22"/>
          <w:szCs w:val="22"/>
        </w:rPr>
        <w:t xml:space="preserve">: Equity Workshop “Mural” Input from </w:t>
      </w:r>
      <w:r w:rsidR="00A260E8" w:rsidRPr="00BD1D99">
        <w:rPr>
          <w:rFonts w:ascii="Calibri" w:hAnsi="Calibri" w:cs="Calibri"/>
          <w:sz w:val="22"/>
          <w:szCs w:val="22"/>
        </w:rPr>
        <w:t>Breakout Group</w:t>
      </w:r>
      <w:r w:rsidR="00C828E6" w:rsidRPr="00BD1D99">
        <w:rPr>
          <w:rFonts w:ascii="Calibri" w:hAnsi="Calibri" w:cs="Calibri"/>
          <w:sz w:val="22"/>
          <w:szCs w:val="22"/>
        </w:rPr>
        <w:t xml:space="preserve"> D</w:t>
      </w:r>
    </w:p>
    <w:p w14:paraId="260F38E6" w14:textId="77777777" w:rsidR="00A260E8" w:rsidRPr="00BD1D99" w:rsidRDefault="00A260E8" w:rsidP="00BD1D99">
      <w:pPr>
        <w:spacing w:line="276" w:lineRule="auto"/>
        <w:rPr>
          <w:rFonts w:ascii="Calibri" w:hAnsi="Calibri" w:cs="Calibri"/>
          <w:sz w:val="22"/>
          <w:szCs w:val="22"/>
        </w:rPr>
      </w:pPr>
      <w:r w:rsidRPr="00BD1D99">
        <w:rPr>
          <w:rFonts w:ascii="Calibri" w:hAnsi="Calibri" w:cs="Calibri"/>
          <w:noProof/>
          <w:sz w:val="22"/>
          <w:szCs w:val="22"/>
        </w:rPr>
        <w:drawing>
          <wp:inline distT="0" distB="0" distL="0" distR="0" wp14:anchorId="15E32875" wp14:editId="7E5B08BF">
            <wp:extent cx="9151495" cy="5405620"/>
            <wp:effectExtent l="0" t="0" r="571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0" cstate="print">
                      <a:extLst>
                        <a:ext uri="{28A0092B-C50C-407E-A947-70E740481C1C}">
                          <a14:useLocalDpi xmlns:a14="http://schemas.microsoft.com/office/drawing/2010/main" val="0"/>
                        </a:ext>
                      </a:extLst>
                    </a:blip>
                    <a:srcRect t="14828"/>
                    <a:stretch/>
                  </pic:blipFill>
                  <pic:spPr bwMode="auto">
                    <a:xfrm>
                      <a:off x="0" y="0"/>
                      <a:ext cx="9159798" cy="5410524"/>
                    </a:xfrm>
                    <a:prstGeom prst="rect">
                      <a:avLst/>
                    </a:prstGeom>
                    <a:ln>
                      <a:noFill/>
                    </a:ln>
                    <a:extLst>
                      <a:ext uri="{53640926-AAD7-44D8-BBD7-CCE9431645EC}">
                        <a14:shadowObscured xmlns:a14="http://schemas.microsoft.com/office/drawing/2010/main"/>
                      </a:ext>
                    </a:extLst>
                  </pic:spPr>
                </pic:pic>
              </a:graphicData>
            </a:graphic>
          </wp:inline>
        </w:drawing>
      </w:r>
      <w:r w:rsidRPr="00BD1D99">
        <w:rPr>
          <w:rFonts w:ascii="Calibri" w:hAnsi="Calibri" w:cs="Calibri"/>
          <w:sz w:val="22"/>
          <w:szCs w:val="22"/>
        </w:rPr>
        <w:br w:type="page"/>
      </w:r>
    </w:p>
    <w:p w14:paraId="310696E3" w14:textId="18066E07" w:rsidR="00A260E8" w:rsidRPr="00BD1D99" w:rsidRDefault="00604221" w:rsidP="00BD1D99">
      <w:pPr>
        <w:spacing w:line="276" w:lineRule="auto"/>
        <w:rPr>
          <w:rFonts w:ascii="Calibri" w:hAnsi="Calibri" w:cs="Calibri"/>
          <w:sz w:val="22"/>
          <w:szCs w:val="22"/>
        </w:rPr>
      </w:pPr>
      <w:r>
        <w:rPr>
          <w:rFonts w:ascii="Calibri" w:hAnsi="Calibri" w:cs="Calibri"/>
          <w:sz w:val="22"/>
          <w:szCs w:val="22"/>
        </w:rPr>
        <w:t xml:space="preserve">Figure </w:t>
      </w:r>
      <w:r w:rsidR="00987389">
        <w:rPr>
          <w:rFonts w:ascii="Calibri" w:hAnsi="Calibri" w:cs="Calibri"/>
          <w:sz w:val="22"/>
          <w:szCs w:val="22"/>
        </w:rPr>
        <w:t>D</w:t>
      </w:r>
      <w:r>
        <w:rPr>
          <w:rFonts w:ascii="Calibri" w:hAnsi="Calibri" w:cs="Calibri"/>
          <w:sz w:val="22"/>
          <w:szCs w:val="22"/>
        </w:rPr>
        <w:t>.</w:t>
      </w:r>
      <w:r w:rsidR="00211348">
        <w:rPr>
          <w:rFonts w:ascii="Calibri" w:hAnsi="Calibri" w:cs="Calibri"/>
          <w:sz w:val="22"/>
          <w:szCs w:val="22"/>
        </w:rPr>
        <w:t>5</w:t>
      </w:r>
      <w:r>
        <w:rPr>
          <w:rFonts w:ascii="Calibri" w:hAnsi="Calibri" w:cs="Calibri"/>
          <w:sz w:val="22"/>
          <w:szCs w:val="22"/>
        </w:rPr>
        <w:t xml:space="preserve">: Equity Workshop “Mural” Input from </w:t>
      </w:r>
      <w:r w:rsidR="00A260E8" w:rsidRPr="00BD1D99">
        <w:rPr>
          <w:rFonts w:ascii="Calibri" w:hAnsi="Calibri" w:cs="Calibri"/>
          <w:sz w:val="22"/>
          <w:szCs w:val="22"/>
        </w:rPr>
        <w:t>Breakout Group</w:t>
      </w:r>
      <w:r w:rsidR="00C828E6" w:rsidRPr="00BD1D99">
        <w:rPr>
          <w:rFonts w:ascii="Calibri" w:hAnsi="Calibri" w:cs="Calibri"/>
          <w:sz w:val="22"/>
          <w:szCs w:val="22"/>
        </w:rPr>
        <w:t xml:space="preserve"> E</w:t>
      </w:r>
    </w:p>
    <w:p w14:paraId="64D7594E" w14:textId="77777777" w:rsidR="00A260E8" w:rsidRPr="00BD1D99" w:rsidRDefault="00A260E8" w:rsidP="00BD1D99">
      <w:pPr>
        <w:spacing w:line="276" w:lineRule="auto"/>
        <w:rPr>
          <w:rFonts w:ascii="Calibri" w:hAnsi="Calibri" w:cs="Calibri"/>
          <w:sz w:val="22"/>
          <w:szCs w:val="22"/>
        </w:rPr>
      </w:pPr>
      <w:r w:rsidRPr="00BD1D99">
        <w:rPr>
          <w:rFonts w:ascii="Calibri" w:hAnsi="Calibri" w:cs="Calibri"/>
          <w:noProof/>
          <w:sz w:val="22"/>
          <w:szCs w:val="22"/>
        </w:rPr>
        <w:drawing>
          <wp:inline distT="0" distB="0" distL="0" distR="0" wp14:anchorId="2EB27BC5" wp14:editId="5EEC9C82">
            <wp:extent cx="9158990" cy="5168186"/>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1" cstate="print">
                      <a:extLst>
                        <a:ext uri="{28A0092B-C50C-407E-A947-70E740481C1C}">
                          <a14:useLocalDpi xmlns:a14="http://schemas.microsoft.com/office/drawing/2010/main" val="0"/>
                        </a:ext>
                      </a:extLst>
                    </a:blip>
                    <a:srcRect t="16452"/>
                    <a:stretch/>
                  </pic:blipFill>
                  <pic:spPr bwMode="auto">
                    <a:xfrm>
                      <a:off x="0" y="0"/>
                      <a:ext cx="9169559" cy="5174150"/>
                    </a:xfrm>
                    <a:prstGeom prst="rect">
                      <a:avLst/>
                    </a:prstGeom>
                    <a:ln>
                      <a:noFill/>
                    </a:ln>
                    <a:extLst>
                      <a:ext uri="{53640926-AAD7-44D8-BBD7-CCE9431645EC}">
                        <a14:shadowObscured xmlns:a14="http://schemas.microsoft.com/office/drawing/2010/main"/>
                      </a:ext>
                    </a:extLst>
                  </pic:spPr>
                </pic:pic>
              </a:graphicData>
            </a:graphic>
          </wp:inline>
        </w:drawing>
      </w:r>
    </w:p>
    <w:p w14:paraId="3489F32F" w14:textId="77777777" w:rsidR="00A260E8" w:rsidRPr="00BD1D99" w:rsidRDefault="00A260E8" w:rsidP="00BD1D99">
      <w:pPr>
        <w:spacing w:line="276" w:lineRule="auto"/>
        <w:rPr>
          <w:rFonts w:ascii="Calibri" w:hAnsi="Calibri" w:cs="Calibri"/>
          <w:sz w:val="22"/>
          <w:szCs w:val="22"/>
        </w:rPr>
      </w:pPr>
    </w:p>
    <w:p w14:paraId="2B43107E" w14:textId="77777777" w:rsidR="00A260E8" w:rsidRPr="00BD1D99" w:rsidRDefault="00A260E8" w:rsidP="00BD1D99">
      <w:pPr>
        <w:spacing w:line="276" w:lineRule="auto"/>
        <w:rPr>
          <w:rFonts w:ascii="Calibri" w:hAnsi="Calibri" w:cs="Calibri"/>
          <w:sz w:val="22"/>
          <w:szCs w:val="22"/>
        </w:rPr>
      </w:pPr>
      <w:r w:rsidRPr="00BD1D99">
        <w:rPr>
          <w:rFonts w:ascii="Calibri" w:hAnsi="Calibri" w:cs="Calibri"/>
          <w:sz w:val="22"/>
          <w:szCs w:val="22"/>
        </w:rPr>
        <w:br w:type="page"/>
      </w:r>
    </w:p>
    <w:p w14:paraId="46DC7103" w14:textId="49B7BB43" w:rsidR="00A260E8" w:rsidRPr="00BD1D99" w:rsidRDefault="00604221" w:rsidP="00BD1D99">
      <w:pPr>
        <w:spacing w:line="276" w:lineRule="auto"/>
        <w:rPr>
          <w:rFonts w:ascii="Calibri" w:hAnsi="Calibri" w:cs="Calibri"/>
          <w:sz w:val="22"/>
          <w:szCs w:val="22"/>
        </w:rPr>
      </w:pPr>
      <w:r>
        <w:rPr>
          <w:rFonts w:ascii="Calibri" w:hAnsi="Calibri" w:cs="Calibri"/>
          <w:sz w:val="22"/>
          <w:szCs w:val="22"/>
        </w:rPr>
        <w:t xml:space="preserve">Figure </w:t>
      </w:r>
      <w:r w:rsidR="00987389">
        <w:rPr>
          <w:rFonts w:ascii="Calibri" w:hAnsi="Calibri" w:cs="Calibri"/>
          <w:sz w:val="22"/>
          <w:szCs w:val="22"/>
        </w:rPr>
        <w:t>D</w:t>
      </w:r>
      <w:r>
        <w:rPr>
          <w:rFonts w:ascii="Calibri" w:hAnsi="Calibri" w:cs="Calibri"/>
          <w:sz w:val="22"/>
          <w:szCs w:val="22"/>
        </w:rPr>
        <w:t>.</w:t>
      </w:r>
      <w:r w:rsidR="00211348">
        <w:rPr>
          <w:rFonts w:ascii="Calibri" w:hAnsi="Calibri" w:cs="Calibri"/>
          <w:sz w:val="22"/>
          <w:szCs w:val="22"/>
        </w:rPr>
        <w:t>6</w:t>
      </w:r>
      <w:r>
        <w:rPr>
          <w:rFonts w:ascii="Calibri" w:hAnsi="Calibri" w:cs="Calibri"/>
          <w:sz w:val="22"/>
          <w:szCs w:val="22"/>
        </w:rPr>
        <w:t xml:space="preserve">: Equity Workshop “Mural” Input from </w:t>
      </w:r>
      <w:r w:rsidR="00A260E8" w:rsidRPr="00BD1D99">
        <w:rPr>
          <w:rFonts w:ascii="Calibri" w:hAnsi="Calibri" w:cs="Calibri"/>
          <w:sz w:val="22"/>
          <w:szCs w:val="22"/>
        </w:rPr>
        <w:t>Breakout Group</w:t>
      </w:r>
      <w:r w:rsidR="00C828E6" w:rsidRPr="00BD1D99">
        <w:rPr>
          <w:rFonts w:ascii="Calibri" w:hAnsi="Calibri" w:cs="Calibri"/>
          <w:sz w:val="22"/>
          <w:szCs w:val="22"/>
        </w:rPr>
        <w:t xml:space="preserve"> F</w:t>
      </w:r>
    </w:p>
    <w:p w14:paraId="7E098FB7" w14:textId="6813655F" w:rsidR="00C828E6" w:rsidRPr="00BD1D99" w:rsidRDefault="00C828E6" w:rsidP="00BD1D99">
      <w:pPr>
        <w:spacing w:line="276" w:lineRule="auto"/>
        <w:rPr>
          <w:rFonts w:ascii="Calibri" w:hAnsi="Calibri" w:cs="Calibri"/>
          <w:sz w:val="22"/>
          <w:szCs w:val="22"/>
        </w:rPr>
      </w:pPr>
      <w:r w:rsidRPr="00BD1D99">
        <w:rPr>
          <w:rFonts w:ascii="Calibri" w:hAnsi="Calibri" w:cs="Calibri"/>
          <w:noProof/>
          <w:sz w:val="22"/>
          <w:szCs w:val="22"/>
        </w:rPr>
        <w:drawing>
          <wp:inline distT="0" distB="0" distL="0" distR="0" wp14:anchorId="2C3AC22F" wp14:editId="127D4284">
            <wp:extent cx="9223660" cy="5164111"/>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2" cstate="print">
                      <a:extLst>
                        <a:ext uri="{28A0092B-C50C-407E-A947-70E740481C1C}">
                          <a14:useLocalDpi xmlns:a14="http://schemas.microsoft.com/office/drawing/2010/main" val="0"/>
                        </a:ext>
                      </a:extLst>
                    </a:blip>
                    <a:srcRect t="15966"/>
                    <a:stretch/>
                  </pic:blipFill>
                  <pic:spPr bwMode="auto">
                    <a:xfrm>
                      <a:off x="0" y="0"/>
                      <a:ext cx="9235871" cy="5170947"/>
                    </a:xfrm>
                    <a:prstGeom prst="rect">
                      <a:avLst/>
                    </a:prstGeom>
                    <a:ln>
                      <a:noFill/>
                    </a:ln>
                    <a:extLst>
                      <a:ext uri="{53640926-AAD7-44D8-BBD7-CCE9431645EC}">
                        <a14:shadowObscured xmlns:a14="http://schemas.microsoft.com/office/drawing/2010/main"/>
                      </a:ext>
                    </a:extLst>
                  </pic:spPr>
                </pic:pic>
              </a:graphicData>
            </a:graphic>
          </wp:inline>
        </w:drawing>
      </w:r>
    </w:p>
    <w:p w14:paraId="7A04605B" w14:textId="77777777" w:rsidR="008D05E1" w:rsidRDefault="008D05E1" w:rsidP="00BD1D99">
      <w:pPr>
        <w:spacing w:line="276" w:lineRule="auto"/>
        <w:rPr>
          <w:rFonts w:ascii="Calibri" w:hAnsi="Calibri" w:cs="Calibri"/>
        </w:rPr>
        <w:sectPr w:rsidR="008D05E1" w:rsidSect="00665067">
          <w:footerReference w:type="even" r:id="rId23"/>
          <w:footerReference w:type="default" r:id="rId24"/>
          <w:pgSz w:w="15840" w:h="12240" w:orient="landscape"/>
          <w:pgMar w:top="720" w:right="720" w:bottom="720" w:left="720" w:header="720" w:footer="720" w:gutter="0"/>
          <w:cols w:space="720"/>
          <w:docGrid w:linePitch="360"/>
        </w:sectPr>
      </w:pPr>
    </w:p>
    <w:p w14:paraId="541FDA11" w14:textId="4724E0CB" w:rsidR="00C431AD" w:rsidRPr="00BD1D99" w:rsidRDefault="00C431AD" w:rsidP="00BD1D99">
      <w:pPr>
        <w:spacing w:line="276" w:lineRule="auto"/>
        <w:rPr>
          <w:rFonts w:ascii="Calibri" w:eastAsiaTheme="majorEastAsia" w:hAnsi="Calibri" w:cs="Calibri"/>
          <w:color w:val="2F5496" w:themeColor="accent1" w:themeShade="BF"/>
          <w:sz w:val="32"/>
          <w:szCs w:val="32"/>
        </w:rPr>
      </w:pPr>
    </w:p>
    <w:p w14:paraId="1D27615C" w14:textId="5F0485F2" w:rsidR="001578C7" w:rsidRPr="00BD1D99" w:rsidRDefault="00C431AD" w:rsidP="00BD1D99">
      <w:pPr>
        <w:pStyle w:val="Heading1"/>
        <w:spacing w:line="276" w:lineRule="auto"/>
        <w:rPr>
          <w:rFonts w:ascii="Calibri" w:hAnsi="Calibri" w:cs="Calibri"/>
        </w:rPr>
      </w:pPr>
      <w:bookmarkStart w:id="102" w:name="_Toc85613347"/>
      <w:r w:rsidRPr="00BD1D99">
        <w:rPr>
          <w:rFonts w:ascii="Calibri" w:hAnsi="Calibri" w:cs="Calibri"/>
        </w:rPr>
        <w:t xml:space="preserve">Appendix </w:t>
      </w:r>
      <w:r w:rsidR="00987389">
        <w:rPr>
          <w:rFonts w:ascii="Calibri" w:hAnsi="Calibri" w:cs="Calibri"/>
        </w:rPr>
        <w:t>E</w:t>
      </w:r>
      <w:r w:rsidRPr="00BD1D99">
        <w:rPr>
          <w:rFonts w:ascii="Calibri" w:hAnsi="Calibri" w:cs="Calibri"/>
        </w:rPr>
        <w:t>: Small-Medium Business Definition</w:t>
      </w:r>
      <w:bookmarkEnd w:id="102"/>
    </w:p>
    <w:p w14:paraId="7B0A188A" w14:textId="00F23C69" w:rsidR="00C431AD" w:rsidRPr="00BD1D99" w:rsidRDefault="00C431AD" w:rsidP="00BD1D99">
      <w:pPr>
        <w:spacing w:line="276" w:lineRule="auto"/>
        <w:rPr>
          <w:rFonts w:ascii="Calibri" w:hAnsi="Calibri" w:cs="Calibri"/>
        </w:rPr>
      </w:pPr>
    </w:p>
    <w:p w14:paraId="48C755E4" w14:textId="20DBF57F" w:rsidR="00C431AD" w:rsidRPr="00BD1D99" w:rsidRDefault="00C431AD" w:rsidP="00BD1D99">
      <w:pPr>
        <w:spacing w:line="276" w:lineRule="auto"/>
        <w:rPr>
          <w:rFonts w:ascii="Calibri" w:hAnsi="Calibri" w:cs="Calibri"/>
        </w:rPr>
      </w:pPr>
      <w:r w:rsidRPr="00BD1D99">
        <w:rPr>
          <w:rFonts w:ascii="Calibri" w:hAnsi="Calibri" w:cs="Calibri"/>
        </w:rPr>
        <w:t xml:space="preserve">This Appendix provides definitional context for </w:t>
      </w:r>
      <w:r w:rsidR="003F7D3A" w:rsidRPr="00BD1D99">
        <w:rPr>
          <w:rFonts w:ascii="Calibri" w:hAnsi="Calibri" w:cs="Calibri"/>
        </w:rPr>
        <w:t>“</w:t>
      </w:r>
      <w:r w:rsidRPr="00BD1D99">
        <w:rPr>
          <w:rFonts w:ascii="Calibri" w:hAnsi="Calibri" w:cs="Calibri"/>
        </w:rPr>
        <w:t>Metric A.5: Total # small and medium business equity-targeted participants served by the Equity programs</w:t>
      </w:r>
      <w:r w:rsidR="003F7D3A" w:rsidRPr="00BD1D99">
        <w:rPr>
          <w:rFonts w:ascii="Calibri" w:hAnsi="Calibri" w:cs="Calibri"/>
        </w:rPr>
        <w:t>”</w:t>
      </w:r>
      <w:r w:rsidRPr="00BD1D99">
        <w:rPr>
          <w:rFonts w:ascii="Calibri" w:hAnsi="Calibri" w:cs="Calibri"/>
        </w:rPr>
        <w:t>. The content below is from the SMB Definition Per UWG Analysis June 2021.</w:t>
      </w:r>
      <w:r w:rsidRPr="00BD1D99">
        <w:rPr>
          <w:rStyle w:val="FootnoteReference"/>
          <w:rFonts w:ascii="Calibri" w:hAnsi="Calibri" w:cs="Calibri"/>
        </w:rPr>
        <w:footnoteReference w:id="36"/>
      </w:r>
    </w:p>
    <w:p w14:paraId="03816171" w14:textId="77777777" w:rsidR="00C431AD" w:rsidRPr="00BD1D99" w:rsidRDefault="00C431AD" w:rsidP="00BD1D99">
      <w:pPr>
        <w:spacing w:line="276" w:lineRule="auto"/>
        <w:rPr>
          <w:rFonts w:ascii="Calibri" w:hAnsi="Calibri" w:cs="Calibri"/>
        </w:rPr>
      </w:pPr>
    </w:p>
    <w:p w14:paraId="056494F5" w14:textId="267B4501" w:rsidR="00C431AD" w:rsidRPr="00BD1D99" w:rsidRDefault="00C431AD" w:rsidP="00BD1D99">
      <w:pPr>
        <w:spacing w:line="276" w:lineRule="auto"/>
        <w:rPr>
          <w:rFonts w:ascii="Calibri" w:hAnsi="Calibri" w:cs="Calibri"/>
        </w:rPr>
      </w:pPr>
      <w:r w:rsidRPr="00BD1D99">
        <w:rPr>
          <w:rFonts w:ascii="Calibri" w:hAnsi="Calibri" w:cs="Calibri"/>
        </w:rPr>
        <w:t xml:space="preserve">As illustrated in </w:t>
      </w:r>
      <w:r w:rsidR="00B20CB5" w:rsidRPr="00BD1D99">
        <w:rPr>
          <w:rFonts w:ascii="Calibri" w:hAnsi="Calibri" w:cs="Calibri"/>
        </w:rPr>
        <w:t>the table below</w:t>
      </w:r>
      <w:r w:rsidRPr="00BD1D99">
        <w:rPr>
          <w:rFonts w:ascii="Calibri" w:hAnsi="Calibri" w:cs="Calibri"/>
        </w:rPr>
        <w:t xml:space="preserve">, the utilities each have a strict definition of customer class based on usage; however, </w:t>
      </w:r>
      <w:r w:rsidRPr="00BD1D99">
        <w:rPr>
          <w:rFonts w:ascii="Calibri" w:hAnsi="Calibri" w:cs="Calibri"/>
          <w:color w:val="000000"/>
        </w:rPr>
        <w:t>it does not align across all investor</w:t>
      </w:r>
      <w:r w:rsidR="00537AF5" w:rsidRPr="00BD1D99">
        <w:rPr>
          <w:rFonts w:ascii="Calibri" w:hAnsi="Calibri" w:cs="Calibri"/>
          <w:color w:val="000000"/>
        </w:rPr>
        <w:t>-</w:t>
      </w:r>
      <w:r w:rsidRPr="00BD1D99">
        <w:rPr>
          <w:rFonts w:ascii="Calibri" w:hAnsi="Calibri" w:cs="Calibri"/>
          <w:color w:val="000000"/>
        </w:rPr>
        <w:t xml:space="preserve"> owned utilities (IOUs). Note that REN and CCA definitions are not included in this analysis.</w:t>
      </w:r>
    </w:p>
    <w:p w14:paraId="7EB3239D" w14:textId="6D8616B1" w:rsidR="00C431AD" w:rsidRPr="00BD1D99" w:rsidRDefault="00C431AD" w:rsidP="00BD1D99">
      <w:pPr>
        <w:pStyle w:val="Caption"/>
        <w:spacing w:line="276" w:lineRule="auto"/>
        <w:rPr>
          <w:rFonts w:ascii="Calibri" w:hAnsi="Calibri" w:cs="Calibri"/>
          <w:sz w:val="24"/>
          <w:szCs w:val="24"/>
        </w:rPr>
      </w:pPr>
      <w:bookmarkStart w:id="103" w:name="_Ref73649499"/>
      <w:bookmarkStart w:id="104" w:name="_Toc75210371"/>
      <w:r w:rsidRPr="00BD1D99">
        <w:rPr>
          <w:rFonts w:ascii="Calibri" w:hAnsi="Calibri" w:cs="Calibri"/>
          <w:sz w:val="24"/>
          <w:szCs w:val="24"/>
        </w:rPr>
        <w:t xml:space="preserve">Table </w:t>
      </w:r>
      <w:bookmarkEnd w:id="103"/>
      <w:r w:rsidR="0069447D">
        <w:rPr>
          <w:rFonts w:ascii="Calibri" w:hAnsi="Calibri" w:cs="Calibri"/>
          <w:sz w:val="24"/>
          <w:szCs w:val="24"/>
        </w:rPr>
        <w:t>D.</w:t>
      </w:r>
      <w:r w:rsidR="00B20CB5" w:rsidRPr="00BD1D99">
        <w:rPr>
          <w:rFonts w:ascii="Calibri" w:hAnsi="Calibri" w:cs="Calibri"/>
          <w:sz w:val="24"/>
          <w:szCs w:val="24"/>
        </w:rPr>
        <w:t>1</w:t>
      </w:r>
      <w:r w:rsidRPr="00BD1D99">
        <w:rPr>
          <w:rFonts w:ascii="Calibri" w:hAnsi="Calibri" w:cs="Calibri"/>
          <w:sz w:val="24"/>
          <w:szCs w:val="24"/>
        </w:rPr>
        <w:t>. IOU Definition of Commercial Customer Classes</w:t>
      </w:r>
      <w:bookmarkEnd w:id="104"/>
    </w:p>
    <w:tbl>
      <w:tblPr>
        <w:tblStyle w:val="TableGrid"/>
        <w:tblW w:w="0" w:type="auto"/>
        <w:tblLook w:val="04A0" w:firstRow="1" w:lastRow="0" w:firstColumn="1" w:lastColumn="0" w:noHBand="0" w:noVBand="1"/>
      </w:tblPr>
      <w:tblGrid>
        <w:gridCol w:w="1069"/>
        <w:gridCol w:w="1887"/>
        <w:gridCol w:w="3691"/>
        <w:gridCol w:w="2784"/>
      </w:tblGrid>
      <w:tr w:rsidR="00C431AD" w:rsidRPr="00BD1D99" w14:paraId="135ABBA6" w14:textId="77777777" w:rsidTr="00AE743D">
        <w:tc>
          <w:tcPr>
            <w:tcW w:w="988" w:type="dxa"/>
            <w:shd w:val="clear" w:color="auto" w:fill="D9E2F3" w:themeFill="accent1" w:themeFillTint="33"/>
          </w:tcPr>
          <w:p w14:paraId="396A291C" w14:textId="77777777" w:rsidR="00C431AD" w:rsidRPr="00BD1D99" w:rsidRDefault="00C431AD" w:rsidP="00BD1D99">
            <w:pPr>
              <w:pStyle w:val="Normal-Table"/>
              <w:rPr>
                <w:rFonts w:ascii="Calibri" w:hAnsi="Calibri" w:cs="Calibri"/>
                <w:b/>
                <w:bCs w:val="0"/>
                <w:sz w:val="24"/>
              </w:rPr>
            </w:pPr>
            <w:r w:rsidRPr="00BD1D99">
              <w:rPr>
                <w:rFonts w:ascii="Calibri" w:hAnsi="Calibri" w:cs="Calibri"/>
                <w:b/>
                <w:bCs w:val="0"/>
                <w:sz w:val="24"/>
              </w:rPr>
              <w:t>Utility</w:t>
            </w:r>
          </w:p>
        </w:tc>
        <w:tc>
          <w:tcPr>
            <w:tcW w:w="1887" w:type="dxa"/>
            <w:shd w:val="clear" w:color="auto" w:fill="D9E2F3" w:themeFill="accent1" w:themeFillTint="33"/>
          </w:tcPr>
          <w:p w14:paraId="38B7E061" w14:textId="77777777" w:rsidR="00C431AD" w:rsidRPr="00BD1D99" w:rsidRDefault="00C431AD" w:rsidP="00BD1D99">
            <w:pPr>
              <w:pStyle w:val="Normal-Table"/>
              <w:jc w:val="center"/>
              <w:rPr>
                <w:rFonts w:ascii="Calibri" w:hAnsi="Calibri" w:cs="Calibri"/>
                <w:b/>
                <w:bCs w:val="0"/>
                <w:sz w:val="24"/>
              </w:rPr>
            </w:pPr>
            <w:r w:rsidRPr="00BD1D99">
              <w:rPr>
                <w:rFonts w:ascii="Calibri" w:hAnsi="Calibri" w:cs="Calibri"/>
                <w:b/>
                <w:bCs w:val="0"/>
                <w:sz w:val="24"/>
              </w:rPr>
              <w:t>Small</w:t>
            </w:r>
          </w:p>
        </w:tc>
        <w:tc>
          <w:tcPr>
            <w:tcW w:w="3691" w:type="dxa"/>
            <w:shd w:val="clear" w:color="auto" w:fill="D9E2F3" w:themeFill="accent1" w:themeFillTint="33"/>
          </w:tcPr>
          <w:p w14:paraId="0127AE7A" w14:textId="77777777" w:rsidR="00C431AD" w:rsidRPr="00BD1D99" w:rsidRDefault="00C431AD" w:rsidP="00BD1D99">
            <w:pPr>
              <w:pStyle w:val="Normal-Table"/>
              <w:jc w:val="center"/>
              <w:rPr>
                <w:rFonts w:ascii="Calibri" w:hAnsi="Calibri" w:cs="Calibri"/>
                <w:b/>
                <w:bCs w:val="0"/>
                <w:sz w:val="24"/>
              </w:rPr>
            </w:pPr>
            <w:r w:rsidRPr="00BD1D99">
              <w:rPr>
                <w:rFonts w:ascii="Calibri" w:hAnsi="Calibri" w:cs="Calibri"/>
                <w:b/>
                <w:bCs w:val="0"/>
                <w:sz w:val="24"/>
              </w:rPr>
              <w:t>Medium</w:t>
            </w:r>
          </w:p>
        </w:tc>
        <w:tc>
          <w:tcPr>
            <w:tcW w:w="2784" w:type="dxa"/>
            <w:shd w:val="clear" w:color="auto" w:fill="D9E2F3" w:themeFill="accent1" w:themeFillTint="33"/>
          </w:tcPr>
          <w:p w14:paraId="6A5D2B80" w14:textId="77777777" w:rsidR="00C431AD" w:rsidRPr="00BD1D99" w:rsidRDefault="00C431AD" w:rsidP="00BD1D99">
            <w:pPr>
              <w:pStyle w:val="Normal-Table"/>
              <w:jc w:val="center"/>
              <w:rPr>
                <w:rFonts w:ascii="Calibri" w:hAnsi="Calibri" w:cs="Calibri"/>
                <w:b/>
                <w:bCs w:val="0"/>
                <w:sz w:val="24"/>
              </w:rPr>
            </w:pPr>
            <w:r w:rsidRPr="00BD1D99">
              <w:rPr>
                <w:rFonts w:ascii="Calibri" w:hAnsi="Calibri" w:cs="Calibri"/>
                <w:b/>
                <w:bCs w:val="0"/>
                <w:sz w:val="24"/>
              </w:rPr>
              <w:t>Large</w:t>
            </w:r>
          </w:p>
        </w:tc>
      </w:tr>
      <w:tr w:rsidR="00C431AD" w:rsidRPr="00BD1D99" w14:paraId="49B04FB9" w14:textId="77777777" w:rsidTr="00AE743D">
        <w:tc>
          <w:tcPr>
            <w:tcW w:w="988" w:type="dxa"/>
          </w:tcPr>
          <w:p w14:paraId="1ADD8EB2" w14:textId="77777777" w:rsidR="00C431AD" w:rsidRPr="00BD1D99" w:rsidRDefault="00C431AD" w:rsidP="00BD1D99">
            <w:pPr>
              <w:pStyle w:val="Normal-Table"/>
              <w:rPr>
                <w:rFonts w:ascii="Calibri" w:hAnsi="Calibri" w:cs="Calibri"/>
                <w:sz w:val="24"/>
              </w:rPr>
            </w:pPr>
            <w:r w:rsidRPr="00BD1D99">
              <w:rPr>
                <w:rFonts w:ascii="Calibri" w:hAnsi="Calibri" w:cs="Calibri"/>
                <w:sz w:val="24"/>
              </w:rPr>
              <w:t>SCE</w:t>
            </w:r>
          </w:p>
        </w:tc>
        <w:tc>
          <w:tcPr>
            <w:tcW w:w="1887" w:type="dxa"/>
          </w:tcPr>
          <w:p w14:paraId="40B80FC4"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&lt;50 kW</w:t>
            </w:r>
          </w:p>
        </w:tc>
        <w:tc>
          <w:tcPr>
            <w:tcW w:w="3691" w:type="dxa"/>
          </w:tcPr>
          <w:p w14:paraId="7041A885"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≥50 kW, &lt; 250 kW</w:t>
            </w:r>
          </w:p>
        </w:tc>
        <w:tc>
          <w:tcPr>
            <w:tcW w:w="2784" w:type="dxa"/>
          </w:tcPr>
          <w:p w14:paraId="21EAD9C0"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≥250 kW</w:t>
            </w:r>
          </w:p>
        </w:tc>
      </w:tr>
      <w:tr w:rsidR="00C431AD" w:rsidRPr="00BD1D99" w14:paraId="2AA52B10" w14:textId="77777777" w:rsidTr="00AE743D">
        <w:tc>
          <w:tcPr>
            <w:tcW w:w="988" w:type="dxa"/>
          </w:tcPr>
          <w:p w14:paraId="0BEF5629" w14:textId="77777777" w:rsidR="00C431AD" w:rsidRPr="00BD1D99" w:rsidRDefault="00C431AD" w:rsidP="00BD1D99">
            <w:pPr>
              <w:pStyle w:val="Normal-Table"/>
              <w:rPr>
                <w:rFonts w:ascii="Calibri" w:hAnsi="Calibri" w:cs="Calibri"/>
                <w:sz w:val="24"/>
              </w:rPr>
            </w:pPr>
            <w:r w:rsidRPr="00BD1D99">
              <w:rPr>
                <w:rFonts w:ascii="Calibri" w:hAnsi="Calibri" w:cs="Calibri"/>
                <w:sz w:val="24"/>
              </w:rPr>
              <w:t>PG&amp;E</w:t>
            </w:r>
          </w:p>
        </w:tc>
        <w:tc>
          <w:tcPr>
            <w:tcW w:w="1887" w:type="dxa"/>
          </w:tcPr>
          <w:p w14:paraId="77C91039"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&lt;40,000 kWh;</w:t>
            </w:r>
          </w:p>
          <w:p w14:paraId="778056C9"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&lt;10,000 therms</w:t>
            </w:r>
          </w:p>
        </w:tc>
        <w:tc>
          <w:tcPr>
            <w:tcW w:w="3691" w:type="dxa"/>
          </w:tcPr>
          <w:p w14:paraId="118E556F"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 xml:space="preserve">40,000-500,000 kWh; </w:t>
            </w:r>
          </w:p>
          <w:p w14:paraId="1C7032E8"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10,000-250,000 therms</w:t>
            </w:r>
          </w:p>
        </w:tc>
        <w:tc>
          <w:tcPr>
            <w:tcW w:w="2784" w:type="dxa"/>
          </w:tcPr>
          <w:p w14:paraId="175DAEDF"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 xml:space="preserve">≥500,000 kWh; </w:t>
            </w:r>
          </w:p>
          <w:p w14:paraId="000A6A85"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≥250,000 therms</w:t>
            </w:r>
          </w:p>
        </w:tc>
      </w:tr>
      <w:tr w:rsidR="00C431AD" w:rsidRPr="00BD1D99" w14:paraId="7E38AC59" w14:textId="77777777" w:rsidTr="00AE743D">
        <w:tc>
          <w:tcPr>
            <w:tcW w:w="988" w:type="dxa"/>
          </w:tcPr>
          <w:p w14:paraId="1D71C7E1" w14:textId="77777777" w:rsidR="00C431AD" w:rsidRPr="00BD1D99" w:rsidRDefault="00C431AD" w:rsidP="00BD1D99">
            <w:pPr>
              <w:pStyle w:val="Normal-Table"/>
              <w:rPr>
                <w:rFonts w:ascii="Calibri" w:hAnsi="Calibri" w:cs="Calibri"/>
                <w:sz w:val="24"/>
              </w:rPr>
            </w:pPr>
            <w:r w:rsidRPr="00BD1D99">
              <w:rPr>
                <w:rFonts w:ascii="Calibri" w:hAnsi="Calibri" w:cs="Calibri"/>
                <w:sz w:val="24"/>
              </w:rPr>
              <w:t>SDG&amp;E</w:t>
            </w:r>
            <w:r w:rsidRPr="00BD1D99">
              <w:rPr>
                <w:rStyle w:val="FootnoteReference"/>
                <w:rFonts w:ascii="Calibri" w:hAnsi="Calibri" w:cs="Calibri"/>
                <w:sz w:val="24"/>
              </w:rPr>
              <w:footnoteReference w:id="37"/>
            </w:r>
          </w:p>
        </w:tc>
        <w:tc>
          <w:tcPr>
            <w:tcW w:w="1887" w:type="dxa"/>
          </w:tcPr>
          <w:p w14:paraId="310DB34B"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&lt;20 kW;</w:t>
            </w:r>
          </w:p>
          <w:p w14:paraId="75A412B1"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&lt;10,000 therms</w:t>
            </w:r>
          </w:p>
        </w:tc>
        <w:tc>
          <w:tcPr>
            <w:tcW w:w="3691" w:type="dxa"/>
          </w:tcPr>
          <w:p w14:paraId="326E1753"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20-199 kW</w:t>
            </w:r>
          </w:p>
        </w:tc>
        <w:tc>
          <w:tcPr>
            <w:tcW w:w="2784" w:type="dxa"/>
          </w:tcPr>
          <w:p w14:paraId="44818AEB"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&gt;200 kW;</w:t>
            </w:r>
          </w:p>
          <w:p w14:paraId="38BB22F4"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&gt;10,000 therms</w:t>
            </w:r>
          </w:p>
        </w:tc>
      </w:tr>
      <w:tr w:rsidR="00C431AD" w:rsidRPr="00BD1D99" w14:paraId="1E2E0701" w14:textId="77777777" w:rsidTr="00AE743D">
        <w:tc>
          <w:tcPr>
            <w:tcW w:w="988" w:type="dxa"/>
          </w:tcPr>
          <w:p w14:paraId="5F38DDFF" w14:textId="77777777" w:rsidR="00C431AD" w:rsidRPr="00BD1D99" w:rsidRDefault="00C431AD" w:rsidP="00BD1D99">
            <w:pPr>
              <w:pStyle w:val="Normal-Table"/>
              <w:rPr>
                <w:rFonts w:ascii="Calibri" w:hAnsi="Calibri" w:cs="Calibri"/>
                <w:sz w:val="24"/>
              </w:rPr>
            </w:pPr>
            <w:r w:rsidRPr="00BD1D99">
              <w:rPr>
                <w:rFonts w:ascii="Calibri" w:hAnsi="Calibri" w:cs="Calibri"/>
                <w:sz w:val="24"/>
              </w:rPr>
              <w:t>SCG</w:t>
            </w:r>
          </w:p>
        </w:tc>
        <w:tc>
          <w:tcPr>
            <w:tcW w:w="1887" w:type="dxa"/>
          </w:tcPr>
          <w:p w14:paraId="23A96FA8"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&lt;10,000 therms</w:t>
            </w:r>
          </w:p>
        </w:tc>
        <w:tc>
          <w:tcPr>
            <w:tcW w:w="3691" w:type="dxa"/>
          </w:tcPr>
          <w:p w14:paraId="362D48B6"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10,000 - 50,000 therms</w:t>
            </w:r>
          </w:p>
        </w:tc>
        <w:tc>
          <w:tcPr>
            <w:tcW w:w="2784" w:type="dxa"/>
          </w:tcPr>
          <w:p w14:paraId="024B4F4E"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&gt;50,000 therms</w:t>
            </w:r>
          </w:p>
        </w:tc>
      </w:tr>
    </w:tbl>
    <w:p w14:paraId="66CF7686" w14:textId="77777777" w:rsidR="00C431AD" w:rsidRPr="00BD1D99" w:rsidRDefault="00C431AD" w:rsidP="00BD1D99">
      <w:pPr>
        <w:pStyle w:val="Normal-Table"/>
        <w:rPr>
          <w:rFonts w:ascii="Calibri" w:hAnsi="Calibri" w:cs="Calibri"/>
          <w:sz w:val="24"/>
        </w:rPr>
      </w:pPr>
    </w:p>
    <w:p w14:paraId="4002D642" w14:textId="77777777" w:rsidR="00C431AD" w:rsidRPr="00BD1D99" w:rsidRDefault="00C431AD" w:rsidP="00BD1D99">
      <w:pPr>
        <w:spacing w:line="276" w:lineRule="auto"/>
        <w:rPr>
          <w:rFonts w:ascii="Calibri" w:hAnsi="Calibri" w:cs="Calibri"/>
        </w:rPr>
      </w:pPr>
      <w:r w:rsidRPr="00BD1D99">
        <w:rPr>
          <w:rFonts w:ascii="Calibri" w:hAnsi="Calibri" w:cs="Calibri"/>
        </w:rPr>
        <w:t xml:space="preserve">California has additional definitions relevant to SMBs and energy efficiency. The official adopted definition of a “small business” adopted in Resolution E-4939 is as follows: </w:t>
      </w:r>
    </w:p>
    <w:p w14:paraId="47E28B2D" w14:textId="02CC595D" w:rsidR="00C431AD" w:rsidRPr="00BD1D99" w:rsidRDefault="00C431AD" w:rsidP="00BD1D99">
      <w:pPr>
        <w:pStyle w:val="ListParagraph"/>
        <w:spacing w:line="276" w:lineRule="auto"/>
        <w:rPr>
          <w:rFonts w:ascii="Calibri" w:hAnsi="Calibri" w:cs="Calibri"/>
        </w:rPr>
      </w:pPr>
      <w:r w:rsidRPr="00BD1D99">
        <w:rPr>
          <w:rFonts w:ascii="Calibri" w:hAnsi="Calibri" w:cs="Calibri"/>
        </w:rPr>
        <w:t>“A small business customer is defined as a non-residential customer with an annual electric usage of 40,000 kilowatt hours (kWh) or less, or an energy demand of 20 kilowatt (kW) or less, or annual consumption of 10,000 therms of gas or less. Alternatively, a small business customer is a customer who meets the definition of “micro-business” in California Government Code Section 14837.”</w:t>
      </w:r>
    </w:p>
    <w:p w14:paraId="748D0260" w14:textId="77777777" w:rsidR="00C431AD" w:rsidRPr="00BD1D99" w:rsidRDefault="00C431AD" w:rsidP="00BD1D99">
      <w:pPr>
        <w:pStyle w:val="ListParagraph"/>
        <w:spacing w:line="276" w:lineRule="auto"/>
        <w:rPr>
          <w:rFonts w:ascii="Calibri" w:hAnsi="Calibri" w:cs="Calibri"/>
        </w:rPr>
      </w:pPr>
    </w:p>
    <w:p w14:paraId="40006548" w14:textId="62131000" w:rsidR="00C431AD" w:rsidRPr="00BD1D99" w:rsidRDefault="00C431AD" w:rsidP="00BD1D99">
      <w:pPr>
        <w:spacing w:line="276" w:lineRule="auto"/>
        <w:rPr>
          <w:rFonts w:ascii="Calibri" w:hAnsi="Calibri" w:cs="Calibri"/>
        </w:rPr>
      </w:pPr>
      <w:r w:rsidRPr="00BD1D99">
        <w:rPr>
          <w:rFonts w:ascii="Calibri" w:hAnsi="Calibri" w:cs="Calibri"/>
        </w:rPr>
        <w:t xml:space="preserve">This definition brings up additional considerations beyond usage by referencing “micro-business”, which is defined by the California Government Code Section 14837 “as a business, together with affiliates, that has average annual gross receipts of $3,500,000 or less over the previous three years, or is a manufacturer, as defined in Section 14837 subdivision (c), with 25 or fewer employees.” The California Department of General Services (DGS) is authorized to amend the gross receipt amount, and in January 2010 DGS increased the gross receipt amount from $2,750,000 to the current amount of $3,500,000. (see, California Office of Administrative Law, Regulatory Action Number 2000-1110-01S.) It is important to mention that this definition does not include fixed usage or unmetered rate schedule customers. </w:t>
      </w:r>
    </w:p>
    <w:sectPr w:rsidR="00C431AD" w:rsidRPr="00BD1D99" w:rsidSect="008D05E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2F43F" w14:textId="77777777" w:rsidR="003D2567" w:rsidRDefault="003D2567" w:rsidP="0015260C">
      <w:r>
        <w:separator/>
      </w:r>
    </w:p>
  </w:endnote>
  <w:endnote w:type="continuationSeparator" w:id="0">
    <w:p w14:paraId="4EFB0E69" w14:textId="77777777" w:rsidR="003D2567" w:rsidRDefault="003D2567" w:rsidP="00152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4455396"/>
      <w:docPartObj>
        <w:docPartGallery w:val="Page Numbers (Bottom of Page)"/>
        <w:docPartUnique/>
      </w:docPartObj>
    </w:sdtPr>
    <w:sdtEndPr>
      <w:rPr>
        <w:rStyle w:val="PageNumber"/>
      </w:rPr>
    </w:sdtEndPr>
    <w:sdtContent>
      <w:p w14:paraId="754D9751" w14:textId="77777777" w:rsidR="00A260E8" w:rsidRDefault="00A260E8" w:rsidP="00FE18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B2EA66" w14:textId="77777777" w:rsidR="00A260E8" w:rsidRDefault="00A260E8" w:rsidP="004B39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5524550"/>
      <w:docPartObj>
        <w:docPartGallery w:val="Page Numbers (Bottom of Page)"/>
        <w:docPartUnique/>
      </w:docPartObj>
    </w:sdtPr>
    <w:sdtEndPr>
      <w:rPr>
        <w:rStyle w:val="PageNumber"/>
      </w:rPr>
    </w:sdtEndPr>
    <w:sdtContent>
      <w:p w14:paraId="753987AC" w14:textId="77777777" w:rsidR="00A260E8" w:rsidRDefault="00A260E8" w:rsidP="00FE18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16CFE4" w14:textId="77777777" w:rsidR="00A260E8" w:rsidRDefault="00A260E8" w:rsidP="004B396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2099277"/>
      <w:docPartObj>
        <w:docPartGallery w:val="Page Numbers (Bottom of Page)"/>
        <w:docPartUnique/>
      </w:docPartObj>
    </w:sdtPr>
    <w:sdtEndPr>
      <w:rPr>
        <w:rStyle w:val="PageNumber"/>
      </w:rPr>
    </w:sdtEndPr>
    <w:sdtContent>
      <w:p w14:paraId="12BE2E0F" w14:textId="15B65E06" w:rsidR="00665067" w:rsidRDefault="00665067" w:rsidP="00FD54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sdtContent>
  </w:sdt>
  <w:p w14:paraId="20A2CF62" w14:textId="77777777" w:rsidR="00665067" w:rsidRDefault="00665067" w:rsidP="0066506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5977481"/>
      <w:docPartObj>
        <w:docPartGallery w:val="Page Numbers (Bottom of Page)"/>
        <w:docPartUnique/>
      </w:docPartObj>
    </w:sdtPr>
    <w:sdtEndPr>
      <w:rPr>
        <w:rStyle w:val="PageNumber"/>
      </w:rPr>
    </w:sdtEndPr>
    <w:sdtContent>
      <w:p w14:paraId="30A7198D" w14:textId="376B3D57" w:rsidR="006E3086" w:rsidRDefault="006E3086" w:rsidP="001760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C09F2C" w14:textId="77777777" w:rsidR="006E3086" w:rsidRDefault="006E3086" w:rsidP="0015260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5722628"/>
      <w:docPartObj>
        <w:docPartGallery w:val="Page Numbers (Bottom of Page)"/>
        <w:docPartUnique/>
      </w:docPartObj>
    </w:sdtPr>
    <w:sdtEndPr>
      <w:rPr>
        <w:rStyle w:val="PageNumber"/>
      </w:rPr>
    </w:sdtEndPr>
    <w:sdtContent>
      <w:p w14:paraId="6B307F72" w14:textId="0F722E43" w:rsidR="006E3086" w:rsidRDefault="006E3086" w:rsidP="001760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3068C7" w14:textId="77777777" w:rsidR="006E3086" w:rsidRDefault="006E3086" w:rsidP="0015260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0E9C4" w14:textId="77777777" w:rsidR="003D2567" w:rsidRDefault="003D2567" w:rsidP="0015260C">
      <w:r>
        <w:separator/>
      </w:r>
    </w:p>
  </w:footnote>
  <w:footnote w:type="continuationSeparator" w:id="0">
    <w:p w14:paraId="332A143F" w14:textId="77777777" w:rsidR="003D2567" w:rsidRDefault="003D2567" w:rsidP="0015260C">
      <w:r>
        <w:continuationSeparator/>
      </w:r>
    </w:p>
  </w:footnote>
  <w:footnote w:id="1">
    <w:p w14:paraId="5E6A7D4C" w14:textId="33F10A1B" w:rsidR="00FF765C" w:rsidRPr="00A66914" w:rsidRDefault="00FF765C">
      <w:pPr>
        <w:pStyle w:val="FootnoteText"/>
        <w:rPr>
          <w:sz w:val="16"/>
          <w:szCs w:val="16"/>
        </w:rPr>
      </w:pPr>
      <w:r w:rsidRPr="00FF765C">
        <w:rPr>
          <w:rStyle w:val="FootnoteReference"/>
          <w:sz w:val="16"/>
          <w:szCs w:val="16"/>
          <w:rPrChange w:id="4" w:author="Katherine Mckeague Abrams" w:date="2021-10-20T17:34:00Z">
            <w:rPr>
              <w:rStyle w:val="FootnoteReference"/>
            </w:rPr>
          </w:rPrChange>
        </w:rPr>
        <w:footnoteRef/>
      </w:r>
      <w:r w:rsidRPr="00FF765C">
        <w:rPr>
          <w:sz w:val="16"/>
          <w:szCs w:val="16"/>
          <w:rPrChange w:id="5" w:author="Katherine Mckeague Abrams" w:date="2021-10-20T17:34:00Z">
            <w:rPr/>
          </w:rPrChange>
        </w:rPr>
        <w:t xml:space="preserve"> See CPUC Decision 21-05-031: </w:t>
      </w:r>
      <w:r w:rsidRPr="00FF765C">
        <w:rPr>
          <w:sz w:val="16"/>
          <w:szCs w:val="16"/>
          <w:rPrChange w:id="6" w:author="Katherine Mckeague Abrams" w:date="2021-10-20T17:34:00Z">
            <w:rPr/>
          </w:rPrChange>
        </w:rPr>
        <w:fldChar w:fldCharType="begin"/>
      </w:r>
      <w:r w:rsidRPr="00FF765C">
        <w:rPr>
          <w:sz w:val="16"/>
          <w:szCs w:val="16"/>
          <w:rPrChange w:id="7" w:author="Katherine Mckeague Abrams" w:date="2021-10-20T17:34:00Z">
            <w:rPr/>
          </w:rPrChange>
        </w:rPr>
        <w:instrText xml:space="preserve"> HYPERLINK "https://docs.cpuc.ca.gov/PublishedDocs/Published/G000/M385/K864/385864616.PDF" </w:instrText>
      </w:r>
      <w:r w:rsidRPr="00FF765C">
        <w:rPr>
          <w:sz w:val="16"/>
          <w:szCs w:val="16"/>
          <w:rPrChange w:id="8" w:author="Katherine Mckeague Abrams" w:date="2021-10-20T17:34:00Z">
            <w:rPr/>
          </w:rPrChange>
        </w:rPr>
        <w:fldChar w:fldCharType="separate"/>
      </w:r>
      <w:r w:rsidRPr="00FF765C">
        <w:rPr>
          <w:rStyle w:val="Hyperlink"/>
          <w:sz w:val="16"/>
          <w:szCs w:val="16"/>
          <w:rPrChange w:id="9" w:author="Katherine Mckeague Abrams" w:date="2021-10-20T17:34:00Z">
            <w:rPr>
              <w:rStyle w:val="Hyperlink"/>
            </w:rPr>
          </w:rPrChange>
        </w:rPr>
        <w:t>https://docs.cpuc.ca.gov/PublishedDocs/Published/G000/M385/K864/385864616.PDF</w:t>
      </w:r>
      <w:r w:rsidRPr="00FF765C">
        <w:rPr>
          <w:sz w:val="16"/>
          <w:szCs w:val="16"/>
          <w:rPrChange w:id="10" w:author="Katherine Mckeague Abrams" w:date="2021-10-20T17:34:00Z">
            <w:rPr/>
          </w:rPrChange>
        </w:rPr>
        <w:fldChar w:fldCharType="end"/>
      </w:r>
      <w:r w:rsidRPr="00FF765C">
        <w:rPr>
          <w:sz w:val="16"/>
          <w:szCs w:val="16"/>
          <w:rPrChange w:id="11" w:author="Katherine Mckeague Abrams" w:date="2021-10-20T17:34:00Z">
            <w:rPr/>
          </w:rPrChange>
        </w:rPr>
        <w:t xml:space="preserve"> </w:t>
      </w:r>
    </w:p>
  </w:footnote>
  <w:footnote w:id="2">
    <w:p w14:paraId="7688296D" w14:textId="4B8A1DD5" w:rsidR="006E3086" w:rsidRPr="00FF765C" w:rsidRDefault="006E3086"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See EMWG landing page: </w:t>
      </w:r>
      <w:hyperlink r:id="rId1" w:history="1">
        <w:r w:rsidRPr="00FF765C">
          <w:rPr>
            <w:rStyle w:val="Hyperlink"/>
            <w:sz w:val="16"/>
            <w:szCs w:val="16"/>
          </w:rPr>
          <w:t>https://www.caeecc.org/equity-metrics-working-group-meeting</w:t>
        </w:r>
      </w:hyperlink>
      <w:r w:rsidRPr="00FF765C">
        <w:rPr>
          <w:sz w:val="16"/>
          <w:szCs w:val="16"/>
        </w:rPr>
        <w:t xml:space="preserve"> </w:t>
      </w:r>
    </w:p>
  </w:footnote>
  <w:footnote w:id="3">
    <w:p w14:paraId="60AA3999" w14:textId="32967CE7" w:rsidR="006E3086" w:rsidRPr="00FF765C" w:rsidRDefault="006E3086" w:rsidP="00B416F2">
      <w:pPr>
        <w:autoSpaceDE w:val="0"/>
        <w:autoSpaceDN w:val="0"/>
        <w:adjustRightInd w:val="0"/>
        <w:ind w:left="180" w:hanging="180"/>
        <w:rPr>
          <w:rFonts w:ascii="Calibri" w:hAnsi="Calibri" w:cs="Calibri"/>
          <w:sz w:val="16"/>
          <w:szCs w:val="16"/>
        </w:rPr>
      </w:pPr>
      <w:r w:rsidRPr="00FF765C">
        <w:rPr>
          <w:rStyle w:val="FootnoteReference"/>
          <w:rFonts w:ascii="Calibri" w:eastAsiaTheme="majorEastAsia" w:hAnsi="Calibri" w:cs="Calibri"/>
          <w:sz w:val="16"/>
          <w:szCs w:val="16"/>
        </w:rPr>
        <w:footnoteRef/>
      </w:r>
      <w:r w:rsidRPr="00FF765C">
        <w:rPr>
          <w:rFonts w:ascii="Calibri" w:hAnsi="Calibri" w:cs="Calibri"/>
          <w:sz w:val="16"/>
          <w:szCs w:val="16"/>
        </w:rPr>
        <w:t xml:space="preserve"> </w:t>
      </w:r>
      <w:r w:rsidR="00DE5D1C" w:rsidRPr="00FF765C">
        <w:rPr>
          <w:rFonts w:ascii="Calibri" w:hAnsi="Calibri" w:cs="Calibri"/>
          <w:sz w:val="16"/>
          <w:szCs w:val="16"/>
        </w:rPr>
        <w:t xml:space="preserve">D.21-05-031, </w:t>
      </w:r>
      <w:r w:rsidRPr="00FF765C">
        <w:rPr>
          <w:rFonts w:ascii="Calibri" w:hAnsi="Calibri" w:cs="Calibri"/>
          <w:sz w:val="16"/>
          <w:szCs w:val="16"/>
        </w:rPr>
        <w:t>Page 84. The Decision also rules, with respect to PA requirements, that “All energy efficiency program administrators should be required to develop metrics and criteria for evaluating progress of all programs, with particular focus on market support and equity programs that may not have measurable energy savings” (page 65)</w:t>
      </w:r>
      <w:r w:rsidR="00DE5D1C" w:rsidRPr="00FF765C">
        <w:rPr>
          <w:rFonts w:ascii="Calibri" w:hAnsi="Calibri" w:cs="Calibri"/>
          <w:sz w:val="16"/>
          <w:szCs w:val="16"/>
        </w:rPr>
        <w:t>.</w:t>
      </w:r>
    </w:p>
  </w:footnote>
  <w:footnote w:id="4">
    <w:p w14:paraId="4C3823F8" w14:textId="77777777" w:rsidR="006E3086" w:rsidRPr="00FF765C" w:rsidRDefault="006E3086"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Ibid. Page 14</w:t>
      </w:r>
    </w:p>
  </w:footnote>
  <w:footnote w:id="5">
    <w:p w14:paraId="20C8BFBB" w14:textId="77777777" w:rsidR="006E3086" w:rsidRPr="00FF765C" w:rsidRDefault="006E3086" w:rsidP="00B416F2">
      <w:pPr>
        <w:ind w:left="180" w:hanging="180"/>
        <w:rPr>
          <w:rFonts w:ascii="Calibri" w:hAnsi="Calibri" w:cs="Calibri"/>
          <w:sz w:val="16"/>
          <w:szCs w:val="16"/>
        </w:rPr>
      </w:pPr>
      <w:r w:rsidRPr="00FF765C">
        <w:rPr>
          <w:rStyle w:val="FootnoteReference"/>
          <w:rFonts w:ascii="Calibri" w:hAnsi="Calibri" w:cs="Calibri"/>
          <w:sz w:val="16"/>
          <w:szCs w:val="16"/>
        </w:rPr>
        <w:footnoteRef/>
      </w:r>
      <w:r w:rsidRPr="00FF765C">
        <w:rPr>
          <w:rFonts w:ascii="Calibri" w:hAnsi="Calibri" w:cs="Calibri"/>
          <w:sz w:val="16"/>
          <w:szCs w:val="16"/>
        </w:rPr>
        <w:t xml:space="preserve"> Ibid. Page 15, “We also clarify that the “equity” category is distinct from our separate low-income energy efficiency Energy Savings Assistance (ESA) programs, which have separate goals and regulatory treatment. While there is some overlap in customers within the target segments, the “equity” category is intended to be defined within the energy efficiency programs covered in this rulemaking that are not specifically targeting low-income populations with program offerings that low-income populations could receive at no cost from the ESA program.</w:t>
      </w:r>
      <w:r w:rsidRPr="00FF765C">
        <w:rPr>
          <w:rFonts w:ascii="Calibri" w:hAnsi="Calibri" w:cs="Calibri"/>
          <w:color w:val="000000"/>
          <w:sz w:val="16"/>
          <w:szCs w:val="16"/>
        </w:rPr>
        <w:t xml:space="preserve">” </w:t>
      </w:r>
      <w:r w:rsidRPr="00FF765C">
        <w:rPr>
          <w:rFonts w:ascii="Calibri" w:hAnsi="Calibri" w:cs="Calibri"/>
          <w:sz w:val="16"/>
          <w:szCs w:val="16"/>
        </w:rPr>
        <w:t xml:space="preserve">Low-income customers are those that meet </w:t>
      </w:r>
      <w:hyperlink r:id="rId2" w:history="1">
        <w:r w:rsidRPr="00FF765C">
          <w:rPr>
            <w:rFonts w:ascii="Calibri" w:hAnsi="Calibri" w:cs="Calibri"/>
            <w:color w:val="002060"/>
            <w:sz w:val="16"/>
            <w:szCs w:val="16"/>
            <w:u w:val="single"/>
          </w:rPr>
          <w:t>CARE income guidelines</w:t>
        </w:r>
      </w:hyperlink>
      <w:r w:rsidRPr="00FF765C">
        <w:rPr>
          <w:rFonts w:ascii="Calibri" w:hAnsi="Calibri" w:cs="Calibri"/>
          <w:color w:val="002060"/>
          <w:sz w:val="16"/>
          <w:szCs w:val="16"/>
          <w:u w:val="single"/>
        </w:rPr>
        <w:t>.</w:t>
      </w:r>
      <w:r w:rsidRPr="00FF765C">
        <w:rPr>
          <w:rFonts w:ascii="Calibri" w:hAnsi="Calibri" w:cs="Calibri"/>
          <w:color w:val="002060"/>
          <w:sz w:val="16"/>
          <w:szCs w:val="16"/>
        </w:rPr>
        <w:t xml:space="preserve"> </w:t>
      </w:r>
      <w:r w:rsidRPr="00FF765C">
        <w:rPr>
          <w:rFonts w:ascii="Calibri" w:hAnsi="Calibri" w:cs="Calibri"/>
          <w:sz w:val="16"/>
          <w:szCs w:val="16"/>
        </w:rPr>
        <w:t>This effort is focused on customers who are not eligible for the ESA program.</w:t>
      </w:r>
    </w:p>
  </w:footnote>
  <w:footnote w:id="6">
    <w:p w14:paraId="64755273" w14:textId="77777777" w:rsidR="006E3086" w:rsidRPr="00FF765C" w:rsidRDefault="006E3086"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The Regional Energy Networks are exempt from the 30% portfolio cap. </w:t>
      </w:r>
      <w:r w:rsidRPr="00FF765C">
        <w:rPr>
          <w:rFonts w:eastAsia="Times New Roman"/>
          <w:color w:val="000000"/>
          <w:sz w:val="16"/>
          <w:szCs w:val="16"/>
        </w:rPr>
        <w:t xml:space="preserve">D.21-05-031 “EE Potential &amp; Goals and Portfolio Approval &amp; Oversight”. May 20, 2021. </w:t>
      </w:r>
      <w:hyperlink r:id="rId3" w:history="1">
        <w:r w:rsidRPr="00FF765C">
          <w:rPr>
            <w:rStyle w:val="Hyperlink"/>
            <w:sz w:val="16"/>
            <w:szCs w:val="16"/>
          </w:rPr>
          <w:t>https://www.caeecc.org/cpuc-documents</w:t>
        </w:r>
      </w:hyperlink>
      <w:r w:rsidRPr="00FF765C">
        <w:rPr>
          <w:rStyle w:val="Hyperlink"/>
          <w:sz w:val="16"/>
          <w:szCs w:val="16"/>
        </w:rPr>
        <w:t xml:space="preserve">. </w:t>
      </w:r>
      <w:r w:rsidRPr="00FF765C">
        <w:rPr>
          <w:sz w:val="16"/>
          <w:szCs w:val="16"/>
        </w:rPr>
        <w:t>Page 2.</w:t>
      </w:r>
    </w:p>
  </w:footnote>
  <w:footnote w:id="7">
    <w:p w14:paraId="406DC9AD" w14:textId="052A4F49" w:rsidR="006E3086" w:rsidRPr="00FF765C" w:rsidRDefault="006E3086" w:rsidP="00B416F2">
      <w:pPr>
        <w:ind w:left="180" w:hanging="180"/>
        <w:rPr>
          <w:rFonts w:ascii="Calibri" w:hAnsi="Calibri" w:cs="Calibri"/>
          <w:sz w:val="16"/>
          <w:szCs w:val="16"/>
        </w:rPr>
      </w:pPr>
      <w:r w:rsidRPr="00FF765C">
        <w:rPr>
          <w:rStyle w:val="FootnoteReference"/>
          <w:rFonts w:ascii="Calibri" w:hAnsi="Calibri" w:cs="Calibri"/>
          <w:sz w:val="16"/>
          <w:szCs w:val="16"/>
        </w:rPr>
        <w:footnoteRef/>
      </w:r>
      <w:r w:rsidRPr="00FF765C">
        <w:rPr>
          <w:rFonts w:ascii="Calibri" w:hAnsi="Calibri" w:cs="Calibri"/>
          <w:sz w:val="16"/>
          <w:szCs w:val="16"/>
        </w:rPr>
        <w:t xml:space="preserve"> See Appendix A for a detailed list of each Equity Metrics Work Group Member lead representative and alternate</w:t>
      </w:r>
    </w:p>
  </w:footnote>
  <w:footnote w:id="8">
    <w:p w14:paraId="04A3854D" w14:textId="77777777" w:rsidR="006E3086" w:rsidRPr="00FF765C" w:rsidRDefault="006E3086"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Ibid. Page 14</w:t>
      </w:r>
    </w:p>
  </w:footnote>
  <w:footnote w:id="9">
    <w:p w14:paraId="24764C62" w14:textId="77777777" w:rsidR="006E3086" w:rsidRPr="00FF765C" w:rsidRDefault="006E3086"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Ibid. Page 14</w:t>
      </w:r>
    </w:p>
  </w:footnote>
  <w:footnote w:id="10">
    <w:p w14:paraId="756594AD" w14:textId="368A9E45" w:rsidR="00146E7F" w:rsidRPr="00FF765C" w:rsidRDefault="00146E7F" w:rsidP="00B416F2">
      <w:pPr>
        <w:ind w:left="180" w:hanging="180"/>
        <w:rPr>
          <w:rFonts w:ascii="Calibri" w:hAnsi="Calibri" w:cs="Calibri"/>
          <w:sz w:val="16"/>
          <w:szCs w:val="16"/>
        </w:rPr>
      </w:pPr>
      <w:r w:rsidRPr="00FF765C">
        <w:rPr>
          <w:rStyle w:val="FootnoteReference"/>
          <w:rFonts w:ascii="Calibri" w:hAnsi="Calibri" w:cs="Calibri"/>
          <w:sz w:val="16"/>
          <w:szCs w:val="16"/>
        </w:rPr>
        <w:footnoteRef/>
      </w:r>
      <w:r w:rsidRPr="00FF765C">
        <w:rPr>
          <w:rFonts w:ascii="Calibri" w:hAnsi="Calibri" w:cs="Calibri"/>
          <w:sz w:val="16"/>
          <w:szCs w:val="16"/>
        </w:rPr>
        <w:t xml:space="preserve"> </w:t>
      </w:r>
      <w:r w:rsidRPr="00FF765C">
        <w:rPr>
          <w:rFonts w:ascii="Calibri" w:hAnsi="Calibri" w:cs="Calibri"/>
          <w:color w:val="3F3F3F"/>
          <w:sz w:val="16"/>
          <w:szCs w:val="16"/>
        </w:rPr>
        <w:t>The term “equity-targeted”</w:t>
      </w:r>
      <w:r w:rsidR="00CC4BD6" w:rsidRPr="00FF765C">
        <w:rPr>
          <w:rFonts w:ascii="Calibri" w:hAnsi="Calibri" w:cs="Calibri"/>
          <w:color w:val="3F3F3F"/>
          <w:sz w:val="16"/>
          <w:szCs w:val="16"/>
        </w:rPr>
        <w:t xml:space="preserve">, used throughout this report, </w:t>
      </w:r>
      <w:r w:rsidRPr="00FF765C">
        <w:rPr>
          <w:rFonts w:ascii="Calibri" w:hAnsi="Calibri" w:cs="Calibri"/>
          <w:color w:val="3F3F3F"/>
          <w:sz w:val="16"/>
          <w:szCs w:val="16"/>
        </w:rPr>
        <w:t xml:space="preserve">refers to those targeted by the Equity Segment programs. Per the Decision, this includes DAC, HTR and underserved populations. The term “equity-targeted” is a shorthand form for DAC, HTR and underserved. </w:t>
      </w:r>
    </w:p>
  </w:footnote>
  <w:footnote w:id="11">
    <w:p w14:paraId="4FF2063C" w14:textId="77777777" w:rsidR="00F73964" w:rsidRPr="00FF765C" w:rsidRDefault="00F73964" w:rsidP="00B416F2">
      <w:pPr>
        <w:ind w:left="180" w:hanging="180"/>
        <w:rPr>
          <w:rFonts w:ascii="Calibri" w:hAnsi="Calibri" w:cs="Calibri"/>
          <w:sz w:val="16"/>
          <w:szCs w:val="16"/>
        </w:rPr>
      </w:pPr>
      <w:r w:rsidRPr="00FF765C">
        <w:rPr>
          <w:rStyle w:val="FootnoteReference"/>
          <w:rFonts w:ascii="Calibri" w:hAnsi="Calibri" w:cs="Calibri"/>
          <w:sz w:val="16"/>
          <w:szCs w:val="16"/>
        </w:rPr>
        <w:footnoteRef/>
      </w:r>
      <w:r w:rsidRPr="00FF765C">
        <w:rPr>
          <w:rFonts w:ascii="Calibri" w:hAnsi="Calibri" w:cs="Calibri"/>
          <w:sz w:val="16"/>
          <w:szCs w:val="16"/>
        </w:rPr>
        <w:t xml:space="preserve"> </w:t>
      </w:r>
      <w:r w:rsidRPr="00FF765C">
        <w:rPr>
          <w:rFonts w:ascii="Calibri" w:hAnsi="Calibri" w:cs="Calibri"/>
          <w:color w:val="000000"/>
          <w:sz w:val="16"/>
          <w:szCs w:val="16"/>
        </w:rPr>
        <w:t>D.18-05-041 has this metric (at high level)</w:t>
      </w:r>
    </w:p>
  </w:footnote>
  <w:footnote w:id="12">
    <w:p w14:paraId="31763DA7" w14:textId="200DAD83" w:rsidR="00FB2427" w:rsidRPr="00FF765C" w:rsidRDefault="00FB2427" w:rsidP="00B416F2">
      <w:pPr>
        <w:ind w:left="180" w:hanging="180"/>
        <w:rPr>
          <w:rFonts w:ascii="Calibri" w:hAnsi="Calibri" w:cs="Calibri"/>
          <w:sz w:val="16"/>
          <w:szCs w:val="16"/>
        </w:rPr>
      </w:pPr>
      <w:r w:rsidRPr="00FF765C">
        <w:rPr>
          <w:rStyle w:val="FootnoteReference"/>
          <w:rFonts w:ascii="Calibri" w:hAnsi="Calibri" w:cs="Calibri"/>
          <w:sz w:val="16"/>
          <w:szCs w:val="16"/>
        </w:rPr>
        <w:footnoteRef/>
      </w:r>
      <w:r w:rsidRPr="00FF765C">
        <w:rPr>
          <w:rFonts w:ascii="Calibri" w:hAnsi="Calibri" w:cs="Calibri"/>
          <w:sz w:val="16"/>
          <w:szCs w:val="16"/>
        </w:rPr>
        <w:t xml:space="preserve"> </w:t>
      </w:r>
      <w:r w:rsidR="009949AE" w:rsidRPr="00FF765C">
        <w:rPr>
          <w:rFonts w:ascii="Calibri" w:hAnsi="Calibri" w:cs="Calibri"/>
          <w:sz w:val="16"/>
          <w:szCs w:val="16"/>
        </w:rPr>
        <w:t xml:space="preserve">While deemed consensus, SDG&amp;E and SBUA provided the following comments. </w:t>
      </w:r>
      <w:r w:rsidRPr="00FF765C">
        <w:rPr>
          <w:rFonts w:ascii="Calibri" w:hAnsi="Calibri" w:cs="Calibri"/>
          <w:sz w:val="16"/>
          <w:szCs w:val="16"/>
        </w:rPr>
        <w:t>SDG</w:t>
      </w:r>
      <w:r w:rsidR="00EC71EF" w:rsidRPr="00FF765C">
        <w:rPr>
          <w:rFonts w:ascii="Calibri" w:hAnsi="Calibri" w:cs="Calibri"/>
          <w:sz w:val="16"/>
          <w:szCs w:val="16"/>
        </w:rPr>
        <w:t>&amp;</w:t>
      </w:r>
      <w:r w:rsidRPr="00FF765C">
        <w:rPr>
          <w:rFonts w:ascii="Calibri" w:hAnsi="Calibri" w:cs="Calibri"/>
          <w:sz w:val="16"/>
          <w:szCs w:val="16"/>
        </w:rPr>
        <w:t>E notes “</w:t>
      </w:r>
      <w:r w:rsidRPr="00FF765C">
        <w:rPr>
          <w:rFonts w:ascii="Calibri" w:hAnsi="Calibri" w:cs="Calibri"/>
          <w:sz w:val="16"/>
          <w:szCs w:val="16"/>
          <w:shd w:val="clear" w:color="auto" w:fill="FFFFFF"/>
        </w:rPr>
        <w:t>We want programs that SERVE this group - while nice to have some that are implementing these programs, it shouldn't be required as well. Might support it as an indicator but, really think we need to focus on the program servicing and not who is implementing</w:t>
      </w:r>
      <w:r w:rsidR="0048600B" w:rsidRPr="00FF765C">
        <w:rPr>
          <w:rFonts w:ascii="Calibri" w:hAnsi="Calibri" w:cs="Calibri"/>
          <w:sz w:val="16"/>
          <w:szCs w:val="16"/>
          <w:shd w:val="clear" w:color="auto" w:fill="FFFFFF"/>
        </w:rPr>
        <w:t>.</w:t>
      </w:r>
      <w:r w:rsidRPr="00FF765C">
        <w:rPr>
          <w:rFonts w:ascii="Calibri" w:hAnsi="Calibri" w:cs="Calibri"/>
          <w:sz w:val="16"/>
          <w:szCs w:val="16"/>
          <w:shd w:val="clear" w:color="auto" w:fill="FFFFFF"/>
        </w:rPr>
        <w:t>” SBUA notes “SBUA supports the above approach and is in consensus, with the caveat that small business employees, not explicitly included in the Disadvantaged Worker definition, are also disadvantaged by many challenges.”</w:t>
      </w:r>
    </w:p>
  </w:footnote>
  <w:footnote w:id="13">
    <w:p w14:paraId="375735E5" w14:textId="77777777" w:rsidR="00AA2DA9" w:rsidRPr="00FF765C" w:rsidRDefault="00AA2DA9" w:rsidP="00B416F2">
      <w:pPr>
        <w:ind w:left="180" w:hanging="180"/>
        <w:rPr>
          <w:rFonts w:ascii="Calibri" w:hAnsi="Calibri" w:cs="Calibri"/>
          <w:sz w:val="16"/>
          <w:szCs w:val="16"/>
        </w:rPr>
      </w:pPr>
      <w:r w:rsidRPr="00FF765C">
        <w:rPr>
          <w:rStyle w:val="FootnoteReference"/>
          <w:rFonts w:ascii="Calibri" w:hAnsi="Calibri" w:cs="Calibri"/>
          <w:sz w:val="16"/>
          <w:szCs w:val="16"/>
        </w:rPr>
        <w:footnoteRef/>
      </w:r>
      <w:r w:rsidRPr="00FF765C">
        <w:rPr>
          <w:rFonts w:ascii="Calibri" w:hAnsi="Calibri" w:cs="Calibri"/>
          <w:sz w:val="16"/>
          <w:szCs w:val="16"/>
        </w:rPr>
        <w:t xml:space="preserve"> Disadvantaged worker definition from D.19-08-006, Attachment B, p.6: “Disadvantaged Worker” means a worker that meets at least one of the following criteria: lives in a household where total income is below 50 percent of Area Median Income; is a recipient of public assistance; lacks a high school diploma or GED; has previous history of incarceration lasting one year or more following a conviction under the criminal justice system; is a custodial single parent; is chronically unemployed; has been aged out or emancipated from the foster care system; has limited English proficiency; or lives in a high unemployment ZIP code that is in the top 25 percent of only the unemployment indicator of the CalEnviroScreen Tool.</w:t>
      </w:r>
    </w:p>
  </w:footnote>
  <w:footnote w:id="14">
    <w:p w14:paraId="27BB50D5" w14:textId="77777777" w:rsidR="00AA2DA9" w:rsidRPr="00FF765C" w:rsidRDefault="00AA2DA9" w:rsidP="00B416F2">
      <w:pPr>
        <w:ind w:left="180" w:hanging="180"/>
        <w:rPr>
          <w:rFonts w:ascii="Calibri" w:hAnsi="Calibri" w:cs="Calibri"/>
          <w:sz w:val="16"/>
          <w:szCs w:val="16"/>
        </w:rPr>
      </w:pPr>
      <w:r w:rsidRPr="00FF765C">
        <w:rPr>
          <w:rStyle w:val="FootnoteReference"/>
          <w:rFonts w:ascii="Calibri" w:hAnsi="Calibri" w:cs="Calibri"/>
          <w:sz w:val="16"/>
          <w:szCs w:val="16"/>
        </w:rPr>
        <w:footnoteRef/>
      </w:r>
      <w:r w:rsidRPr="00FF765C">
        <w:rPr>
          <w:rFonts w:ascii="Calibri" w:hAnsi="Calibri" w:cs="Calibri"/>
          <w:sz w:val="16"/>
          <w:szCs w:val="16"/>
        </w:rPr>
        <w:t xml:space="preserve"> Metric A.8 is deemed consensus pending resolution of outstanding questions such as (a) how this relates to the required indicator of disadvantaged workers per D.18-10-008, (b) the distinction between worker and contractor, and (c) other potentially unresolved questions</w:t>
      </w:r>
    </w:p>
  </w:footnote>
  <w:footnote w:id="15">
    <w:p w14:paraId="5818CF86" w14:textId="77777777" w:rsidR="00AA2DA9" w:rsidRPr="00FF765C" w:rsidRDefault="00AA2DA9" w:rsidP="00B416F2">
      <w:pPr>
        <w:ind w:left="180" w:hanging="180"/>
        <w:rPr>
          <w:rFonts w:ascii="Calibri" w:hAnsi="Calibri" w:cs="Calibri"/>
          <w:sz w:val="16"/>
          <w:szCs w:val="16"/>
        </w:rPr>
      </w:pPr>
      <w:r w:rsidRPr="00FF765C">
        <w:rPr>
          <w:rStyle w:val="FootnoteReference"/>
          <w:rFonts w:ascii="Calibri" w:hAnsi="Calibri" w:cs="Calibri"/>
          <w:sz w:val="16"/>
          <w:szCs w:val="16"/>
        </w:rPr>
        <w:footnoteRef/>
      </w:r>
      <w:r w:rsidRPr="00FF765C">
        <w:rPr>
          <w:rFonts w:ascii="Calibri" w:hAnsi="Calibri" w:cs="Calibri"/>
          <w:sz w:val="16"/>
          <w:szCs w:val="16"/>
        </w:rPr>
        <w:t xml:space="preserve"> Disadvantaged worker definition from D.19-08-006, Attachment B, p.6: “Disadvantaged Worker” means a worker that meets at least one of the following criteria: lives in a household where total income is below 50 percent of Area Median Income; is a recipient of public assistance; lacks a high school diploma or GED; has previous history of incarceration lasting one year or more following a conviction under the criminal justice system; is a custodial single parent; is chronically unemployed; has been aged out or emancipated from the foster care system; has limited English proficiency; or lives in a high unemployment ZIP code that is in the top 25 percent of only the unemployment indicator of the CalEnviroScreen Tool.</w:t>
      </w:r>
    </w:p>
  </w:footnote>
  <w:footnote w:id="16">
    <w:p w14:paraId="27A95194" w14:textId="69F69029" w:rsidR="00FB2427" w:rsidRPr="00FF765C" w:rsidRDefault="00FB2427"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w:t>
      </w:r>
      <w:r w:rsidR="009949AE" w:rsidRPr="00FF765C">
        <w:rPr>
          <w:sz w:val="16"/>
          <w:szCs w:val="16"/>
        </w:rPr>
        <w:t xml:space="preserve">While deemed consensus, SDG&amp;E, EEC, and SBUA provided the following comments. </w:t>
      </w:r>
      <w:r w:rsidRPr="00FF765C">
        <w:rPr>
          <w:sz w:val="16"/>
          <w:szCs w:val="16"/>
        </w:rPr>
        <w:t>SDG</w:t>
      </w:r>
      <w:r w:rsidR="00A30BEE" w:rsidRPr="00FF765C">
        <w:rPr>
          <w:sz w:val="16"/>
          <w:szCs w:val="16"/>
        </w:rPr>
        <w:t>&amp;</w:t>
      </w:r>
      <w:r w:rsidRPr="00FF765C">
        <w:rPr>
          <w:sz w:val="16"/>
          <w:szCs w:val="16"/>
        </w:rPr>
        <w:t>E notes “</w:t>
      </w:r>
      <w:r w:rsidRPr="00FF765C">
        <w:rPr>
          <w:sz w:val="16"/>
          <w:szCs w:val="16"/>
          <w:shd w:val="clear" w:color="auto" w:fill="FFFFFF"/>
        </w:rPr>
        <w:t>We want programs that SERVE this group - while nice to have some that are implementing these programs, it shouldn't be required as well. Might support it as an indicator but, really think we need to focus on the program servicing and not who is implementing</w:t>
      </w:r>
      <w:r w:rsidR="00A30BEE" w:rsidRPr="00FF765C">
        <w:rPr>
          <w:sz w:val="16"/>
          <w:szCs w:val="16"/>
          <w:shd w:val="clear" w:color="auto" w:fill="FFFFFF"/>
        </w:rPr>
        <w:t>.</w:t>
      </w:r>
      <w:r w:rsidRPr="00FF765C">
        <w:rPr>
          <w:sz w:val="16"/>
          <w:szCs w:val="16"/>
          <w:shd w:val="clear" w:color="auto" w:fill="FFFFFF"/>
        </w:rPr>
        <w:t>” EEC notes “This appears to focus on contractors and not necessarily their employee base which we believe is important.” SBUA notes “SBUA supports the above approach and is in consensus, with the caveat that small businesses may also be underrepresented with contracts to implement Equity segment programs, but are not explicitly included in the above options.”</w:t>
      </w:r>
    </w:p>
  </w:footnote>
  <w:footnote w:id="17">
    <w:p w14:paraId="7A98203D" w14:textId="5ABE1A03" w:rsidR="00AA2DA9" w:rsidRPr="00FF765C" w:rsidRDefault="00AA2DA9"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w:t>
      </w:r>
      <w:hyperlink r:id="rId4" w:history="1">
        <w:r w:rsidR="00A30BEE" w:rsidRPr="00FF765C">
          <w:rPr>
            <w:rStyle w:val="Hyperlink"/>
            <w:sz w:val="16"/>
            <w:szCs w:val="16"/>
          </w:rPr>
          <w:t>https://www.cpuc.ca.gov/supplierdiversity/</w:t>
        </w:r>
      </w:hyperlink>
      <w:r w:rsidR="00A30BEE" w:rsidRPr="00FF765C">
        <w:rPr>
          <w:sz w:val="16"/>
          <w:szCs w:val="16"/>
        </w:rPr>
        <w:t xml:space="preserve"> </w:t>
      </w:r>
    </w:p>
  </w:footnote>
  <w:footnote w:id="18">
    <w:p w14:paraId="3919B71A" w14:textId="7F61F9AB" w:rsidR="00AA2DA9" w:rsidRPr="00FF765C" w:rsidRDefault="00AA2DA9"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w:t>
      </w:r>
      <w:hyperlink r:id="rId5" w:history="1">
        <w:r w:rsidR="00A30BEE" w:rsidRPr="00FF765C">
          <w:rPr>
            <w:rStyle w:val="Hyperlink"/>
            <w:sz w:val="16"/>
            <w:szCs w:val="16"/>
          </w:rPr>
          <w:t>https://www.cpuc.ca.gov/supplierdiversity/</w:t>
        </w:r>
      </w:hyperlink>
      <w:r w:rsidR="00A30BEE" w:rsidRPr="00FF765C">
        <w:rPr>
          <w:sz w:val="16"/>
          <w:szCs w:val="16"/>
        </w:rPr>
        <w:t xml:space="preserve"> </w:t>
      </w:r>
    </w:p>
  </w:footnote>
  <w:footnote w:id="19">
    <w:p w14:paraId="48EB4B10" w14:textId="2D85699D" w:rsidR="000C0871" w:rsidRPr="00FF765C" w:rsidRDefault="000C0871"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D.21-05-031, p.23-24 “Furthermore, in the future, the Commission may consider whether or how to transition to an evaluation of non-energy benefits when considering the reasonableness of costs related to market support and equity programs.”</w:t>
      </w:r>
    </w:p>
  </w:footnote>
  <w:footnote w:id="20">
    <w:p w14:paraId="217C4D13" w14:textId="77777777" w:rsidR="00936471" w:rsidRPr="00FF765C" w:rsidRDefault="00936471"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D.18-05-041 Section 2.5.2, p.4.1</w:t>
      </w:r>
    </w:p>
  </w:footnote>
  <w:footnote w:id="21">
    <w:p w14:paraId="38A59E68" w14:textId="6B62706E" w:rsidR="00936471" w:rsidRPr="00FF765C" w:rsidRDefault="00936471"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SB 350, as referenced in D.18-05-041 Section 2.5.1, p.39</w:t>
      </w:r>
    </w:p>
  </w:footnote>
  <w:footnote w:id="22">
    <w:p w14:paraId="3126B411" w14:textId="10721D9F" w:rsidR="00CF704E" w:rsidRPr="00FF765C" w:rsidRDefault="00CF704E" w:rsidP="00B416F2">
      <w:pPr>
        <w:pStyle w:val="FootnoteText"/>
        <w:ind w:left="180" w:hanging="180"/>
        <w:rPr>
          <w:sz w:val="16"/>
          <w:szCs w:val="16"/>
        </w:rPr>
      </w:pPr>
      <w:r w:rsidRPr="00FF765C">
        <w:rPr>
          <w:rStyle w:val="FootnoteReference"/>
          <w:sz w:val="16"/>
          <w:szCs w:val="16"/>
        </w:rPr>
        <w:footnoteRef/>
      </w:r>
      <w:r w:rsidR="002C1426" w:rsidRPr="00FF765C">
        <w:rPr>
          <w:sz w:val="16"/>
          <w:szCs w:val="16"/>
        </w:rPr>
        <w:t xml:space="preserve"> CPUC 2019 Annual Affordability Report.</w:t>
      </w:r>
      <w:r w:rsidRPr="00FF765C">
        <w:rPr>
          <w:sz w:val="16"/>
          <w:szCs w:val="16"/>
        </w:rPr>
        <w:t xml:space="preserve"> </w:t>
      </w:r>
      <w:hyperlink r:id="rId6" w:history="1">
        <w:r w:rsidRPr="00FF765C">
          <w:rPr>
            <w:rFonts w:eastAsiaTheme="minorHAnsi"/>
            <w:color w:val="094FD1"/>
            <w:sz w:val="16"/>
            <w:szCs w:val="16"/>
            <w:u w:val="single" w:color="094FD1"/>
          </w:rPr>
          <w:t>https://www.cpuc.ca.gov/-/media/cpuc-website/industries-and-topics/reports/2019-annual-affordability-report.pdf</w:t>
        </w:r>
      </w:hyperlink>
    </w:p>
  </w:footnote>
  <w:footnote w:id="23">
    <w:p w14:paraId="57A53308" w14:textId="3A8019BB" w:rsidR="00CF704E" w:rsidRPr="00FF765C" w:rsidRDefault="00CF704E"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w:t>
      </w:r>
      <w:hyperlink r:id="rId7" w:history="1">
        <w:r w:rsidRPr="00FF765C">
          <w:rPr>
            <w:rStyle w:val="Hyperlink"/>
            <w:sz w:val="16"/>
            <w:szCs w:val="16"/>
          </w:rPr>
          <w:t>ESJ Action Plan</w:t>
        </w:r>
      </w:hyperlink>
      <w:r w:rsidRPr="00FF765C">
        <w:rPr>
          <w:sz w:val="16"/>
          <w:szCs w:val="16"/>
        </w:rPr>
        <w:t>, p.9</w:t>
      </w:r>
    </w:p>
  </w:footnote>
  <w:footnote w:id="24">
    <w:p w14:paraId="77A39444" w14:textId="77777777" w:rsidR="00CF704E" w:rsidRPr="00FF765C" w:rsidRDefault="00CF704E"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Government Code section 65040.12.e: </w:t>
      </w:r>
      <w:hyperlink r:id="rId8" w:history="1">
        <w:r w:rsidRPr="00FF765C">
          <w:rPr>
            <w:rStyle w:val="Hyperlink"/>
            <w:sz w:val="16"/>
            <w:szCs w:val="16"/>
          </w:rPr>
          <w:t>https://leginfo.legislature.ca.gov/faces/codes_displaySection.xhtml?lawCode=GOV&amp;sectionNum=65040.12</w:t>
        </w:r>
      </w:hyperlink>
      <w:r w:rsidRPr="00FF765C">
        <w:rPr>
          <w:sz w:val="16"/>
          <w:szCs w:val="16"/>
        </w:rPr>
        <w:t>. For purposes of this section, “environmental justice” means the fair treatment and meaningful involvement of people of all races, cultures, incomes, and national origins, with respect to the development, adoption, implementation, and enforcement of environmental laws, regulations, and policies. (2) “Environmental justice” includes, but is not limited to, all of the following: (A) The availability of a healthy environment for all people. (B) The deterrence, reduction, and elimination of pollution burdens for populations and communities experiencing the adverse effects of that pollution, so that the effects of the pollution are not disproportionately borne by those populations and communities. (C) Governmental entities engaging and providing technical assistance to populations and communities most impacted by pollution to promote their meaningful participation in all phases of the environmental and land use decisionmaking process. (D) At a minimum, the meaningful consideration of recommendations from populations and communities most impacted by pollution into environmental and land use decisions.</w:t>
      </w:r>
    </w:p>
  </w:footnote>
  <w:footnote w:id="25">
    <w:p w14:paraId="597BF727" w14:textId="70560E05" w:rsidR="00CF704E" w:rsidRPr="00FF765C" w:rsidRDefault="00CF704E"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w:t>
      </w:r>
      <w:hyperlink r:id="rId9" w:history="1">
        <w:r w:rsidR="00AF4919" w:rsidRPr="00FF765C">
          <w:rPr>
            <w:rStyle w:val="Hyperlink"/>
            <w:sz w:val="16"/>
            <w:szCs w:val="16"/>
          </w:rPr>
          <w:t>https://oehha.ca.gov/calenviroscreen</w:t>
        </w:r>
      </w:hyperlink>
      <w:r w:rsidR="00AF4919" w:rsidRPr="00FF765C">
        <w:rPr>
          <w:sz w:val="16"/>
          <w:szCs w:val="16"/>
        </w:rPr>
        <w:t xml:space="preserve"> </w:t>
      </w:r>
    </w:p>
  </w:footnote>
  <w:footnote w:id="26">
    <w:p w14:paraId="03C57627" w14:textId="77777777" w:rsidR="00CF704E" w:rsidRPr="00FF765C" w:rsidRDefault="00CF704E"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Household incomes below 80 percent of the area median income.</w:t>
      </w:r>
    </w:p>
  </w:footnote>
  <w:footnote w:id="27">
    <w:p w14:paraId="4952679F" w14:textId="77777777" w:rsidR="00CF704E" w:rsidRPr="00FF765C" w:rsidRDefault="00CF704E"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Census tracts with household incomes less than 80 percent area or state median income.</w:t>
      </w:r>
    </w:p>
  </w:footnote>
  <w:footnote w:id="28">
    <w:p w14:paraId="795E141A" w14:textId="6E6BADCF" w:rsidR="00CF704E" w:rsidRPr="00FF765C" w:rsidRDefault="00CF704E" w:rsidP="002A3516">
      <w:pPr>
        <w:pStyle w:val="FootnoteText"/>
        <w:ind w:left="180" w:hanging="180"/>
        <w:rPr>
          <w:sz w:val="16"/>
          <w:szCs w:val="16"/>
        </w:rPr>
      </w:pPr>
      <w:r w:rsidRPr="00FF765C">
        <w:rPr>
          <w:rStyle w:val="FootnoteReference"/>
          <w:sz w:val="16"/>
          <w:szCs w:val="16"/>
        </w:rPr>
        <w:footnoteRef/>
      </w:r>
      <w:r w:rsidRPr="00FF765C">
        <w:rPr>
          <w:sz w:val="16"/>
          <w:szCs w:val="16"/>
        </w:rPr>
        <w:t xml:space="preserve"> Farmers or ranchers who are members of a “socially disadvantaged group,” which means a group whose members have been subjected to racial, ethnic, or gender prejudice because of their identity as members of a group without regard to their individual qualities. These groups include all of the following: African Americans, Native Indians, Alaskan Natives, Hispanics, Asian Americans, Native Hawaiians and Pacific Islanders. </w:t>
      </w:r>
      <w:hyperlink r:id="rId10" w:history="1">
        <w:r w:rsidR="002A3516" w:rsidRPr="00FF765C">
          <w:rPr>
            <w:rStyle w:val="Hyperlink"/>
            <w:sz w:val="16"/>
            <w:szCs w:val="16"/>
          </w:rPr>
          <w:t>https://leginfo.legislature.ca.gov/faces/billTextClient.xhtml?bill_id=201720180AB1348</w:t>
        </w:r>
      </w:hyperlink>
      <w:r w:rsidR="002A3516" w:rsidRPr="00FF765C">
        <w:rPr>
          <w:sz w:val="16"/>
          <w:szCs w:val="16"/>
        </w:rPr>
        <w:t xml:space="preserve"> </w:t>
      </w:r>
    </w:p>
  </w:footnote>
  <w:footnote w:id="29">
    <w:p w14:paraId="29362561" w14:textId="77777777" w:rsidR="00CF704E" w:rsidRPr="00FF765C" w:rsidRDefault="00CF704E"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California Department of General Services definition of “small business” uses the following criteria (1) Be independently owned and operated; (2) Not dominant in field of operation; (3) Principal office located in California; (4) Owners (officers, if a corporation) domiciled in California; and (5) Including affiliates, be either: (i) A business with 100 or fewer employees; (ii) An average annual gross receipts of $15 million or less, over the last three tax years; (iii) A manufacturer with 100 or fewer employees; or (iv) A microbusiness. A small business will automatically be designated as a microbusiness, if gross annual receipts are less than $3,500,000 or the small business is a manufacturer with 25 or fewer employees.</w:t>
      </w:r>
    </w:p>
  </w:footnote>
  <w:footnote w:id="30">
    <w:p w14:paraId="1DB69453" w14:textId="4BB5E698" w:rsidR="002E23AB" w:rsidRPr="00FF765C" w:rsidRDefault="002E23AB"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Members were asked if “</w:t>
      </w:r>
      <w:r w:rsidRPr="00FF765C">
        <w:rPr>
          <w:color w:val="000000"/>
          <w:sz w:val="16"/>
          <w:szCs w:val="16"/>
        </w:rPr>
        <w:t>Regardless of your 1st choice, are all three options acceptable to your organization?” – some Members found only two of three options acceptable. See Appendix C for details</w:t>
      </w:r>
    </w:p>
  </w:footnote>
  <w:footnote w:id="31">
    <w:p w14:paraId="4D2E7AD0" w14:textId="04E066B6" w:rsidR="00E265F0" w:rsidRPr="00FF765C" w:rsidRDefault="00E265F0"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w:t>
      </w:r>
      <w:hyperlink r:id="rId11" w:history="1">
        <w:r w:rsidRPr="00FF765C">
          <w:rPr>
            <w:rStyle w:val="Hyperlink"/>
            <w:sz w:val="16"/>
            <w:szCs w:val="16"/>
          </w:rPr>
          <w:t>https://www.caeecc.org/equity-metrics-working-group-meeting</w:t>
        </w:r>
      </w:hyperlink>
      <w:r w:rsidRPr="00FF765C">
        <w:rPr>
          <w:sz w:val="16"/>
          <w:szCs w:val="16"/>
        </w:rPr>
        <w:t xml:space="preserve"> </w:t>
      </w:r>
    </w:p>
  </w:footnote>
  <w:footnote w:id="32">
    <w:p w14:paraId="70BC053B" w14:textId="77777777" w:rsidR="00CC0BB0" w:rsidRPr="00FF765C" w:rsidRDefault="00CC0BB0"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There is precedent for this customized approach. The CPUC’s San Joaquin Valley Disadvantaged Communities Pilots Projects (per D.18-12-015) has a </w:t>
      </w:r>
      <w:hyperlink r:id="rId12" w:history="1">
        <w:r w:rsidRPr="00FF765C">
          <w:rPr>
            <w:rStyle w:val="Hyperlink"/>
            <w:sz w:val="16"/>
            <w:szCs w:val="16"/>
          </w:rPr>
          <w:t>tailored</w:t>
        </w:r>
      </w:hyperlink>
      <w:r w:rsidRPr="00FF765C">
        <w:rPr>
          <w:sz w:val="16"/>
          <w:szCs w:val="16"/>
        </w:rPr>
        <w:t xml:space="preserve"> outreach and engagement plan for each of the 11 communities in the pilot.</w:t>
      </w:r>
    </w:p>
  </w:footnote>
  <w:footnote w:id="33">
    <w:p w14:paraId="1A62BF62" w14:textId="3B4EAD70" w:rsidR="00CF704E" w:rsidRPr="00FF765C" w:rsidRDefault="00CF704E"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The table is adapted from the California Air Resources Board’s </w:t>
      </w:r>
      <w:r w:rsidR="00FF765C" w:rsidRPr="00FF765C">
        <w:rPr>
          <w:rPrChange w:id="77" w:author="Katherine Mckeague Abrams" w:date="2021-10-20T17:34:00Z">
            <w:rPr>
              <w:rStyle w:val="Hyperlink"/>
              <w:i/>
              <w:iCs/>
              <w:sz w:val="16"/>
              <w:szCs w:val="16"/>
            </w:rPr>
          </w:rPrChange>
        </w:rPr>
        <w:t>Community Inclusion Guidance</w:t>
      </w:r>
      <w:r w:rsidR="00FF765C" w:rsidRPr="00FF765C">
        <w:rPr>
          <w:rStyle w:val="Hyperlink"/>
          <w:i/>
          <w:iCs/>
          <w:sz w:val="16"/>
          <w:szCs w:val="16"/>
        </w:rPr>
        <w:t xml:space="preserve"> (https://4930400d-24b5-474c-9a16-0109dd2d06d3.filesusr.com/ugd/849f65_c20ff8e70e4e4d299457425028da3840.pdf)</w:t>
      </w:r>
      <w:r w:rsidRPr="00FF765C">
        <w:rPr>
          <w:sz w:val="16"/>
          <w:szCs w:val="16"/>
        </w:rPr>
        <w:t xml:space="preserve"> for its Sustainable Transportation Equity Project (STEP). </w:t>
      </w:r>
    </w:p>
  </w:footnote>
  <w:footnote w:id="34">
    <w:p w14:paraId="5954D37D" w14:textId="54607276" w:rsidR="00CF704E" w:rsidRPr="00FF765C" w:rsidRDefault="00CF704E"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If a PA has an existing community advisory body or is in the process of creating one (e.g., </w:t>
      </w:r>
      <w:r w:rsidR="00FF765C" w:rsidRPr="00FF765C">
        <w:rPr>
          <w:rPrChange w:id="78" w:author="Katherine Mckeague Abrams" w:date="2021-10-20T17:34:00Z">
            <w:rPr>
              <w:rStyle w:val="Hyperlink"/>
              <w:sz w:val="16"/>
              <w:szCs w:val="16"/>
            </w:rPr>
          </w:rPrChange>
        </w:rPr>
        <w:t>PGE’s Community Perspectives Advisory Council</w:t>
      </w:r>
      <w:r w:rsidR="00FF765C" w:rsidRPr="00FF765C">
        <w:rPr>
          <w:rStyle w:val="Hyperlink"/>
          <w:sz w:val="16"/>
          <w:szCs w:val="16"/>
        </w:rPr>
        <w:t xml:space="preserve"> (https://www.pge.com/pge_global/common/pdfs/for-our-business-partners/purchasing-program/bid-opportunities/2021-COA-RFP-118185-CBO-Community-Advisory-Council.pdf)</w:t>
      </w:r>
      <w:r w:rsidRPr="00FF765C">
        <w:rPr>
          <w:sz w:val="16"/>
          <w:szCs w:val="16"/>
        </w:rPr>
        <w:t>), the PA should consult this body so it may provide input on the Equity Segment program(s).</w:t>
      </w:r>
    </w:p>
  </w:footnote>
  <w:footnote w:id="35">
    <w:p w14:paraId="698699FD" w14:textId="65A2F6E0" w:rsidR="00CC0BB0" w:rsidRPr="00FF765C" w:rsidRDefault="00CC0BB0"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Examples of advisory council and compensation structures can be found in SCE’s </w:t>
      </w:r>
      <w:r w:rsidR="00FF765C" w:rsidRPr="00FF765C">
        <w:rPr>
          <w:rPrChange w:id="79" w:author="Katherine Mckeague Abrams" w:date="2021-10-20T17:34:00Z">
            <w:rPr>
              <w:rStyle w:val="Hyperlink"/>
              <w:sz w:val="16"/>
              <w:szCs w:val="16"/>
            </w:rPr>
          </w:rPrChange>
        </w:rPr>
        <w:t xml:space="preserve">Request For </w:t>
      </w:r>
      <w:r w:rsidR="00FF765C" w:rsidRPr="00FF765C">
        <w:rPr>
          <w:sz w:val="16"/>
          <w:szCs w:val="16"/>
        </w:rPr>
        <w:t>Proposal</w:t>
      </w:r>
      <w:r w:rsidRPr="00FF765C">
        <w:rPr>
          <w:sz w:val="16"/>
          <w:szCs w:val="16"/>
        </w:rPr>
        <w:t xml:space="preserve"> </w:t>
      </w:r>
      <w:r w:rsidR="00FF765C" w:rsidRPr="00FF765C">
        <w:rPr>
          <w:sz w:val="16"/>
          <w:szCs w:val="16"/>
        </w:rPr>
        <w:t>(</w:t>
      </w:r>
      <w:r w:rsidR="00FF765C" w:rsidRPr="00FF765C">
        <w:rPr>
          <w:rStyle w:val="Hyperlink"/>
          <w:rPrChange w:id="80" w:author="Katherine Mckeague Abrams" w:date="2021-10-20T17:34:00Z">
            <w:rPr>
              <w:sz w:val="16"/>
              <w:szCs w:val="16"/>
            </w:rPr>
          </w:rPrChange>
        </w:rPr>
        <w:t>https://www.sce.com/sites/default/files/custom-files/Request for Proposal_SCE_CRLG_Final (2).pdf)</w:t>
      </w:r>
      <w:r w:rsidR="00FF765C" w:rsidRPr="00FF765C">
        <w:rPr>
          <w:sz w:val="16"/>
          <w:szCs w:val="16"/>
        </w:rPr>
        <w:t xml:space="preserve"> </w:t>
      </w:r>
      <w:r w:rsidRPr="00FF765C">
        <w:rPr>
          <w:sz w:val="16"/>
          <w:szCs w:val="16"/>
        </w:rPr>
        <w:t xml:space="preserve">for its Climate Resilience Leadership Group, PGE’s </w:t>
      </w:r>
      <w:r w:rsidR="00FF765C" w:rsidRPr="00FF765C">
        <w:rPr>
          <w:rPrChange w:id="81" w:author="Katherine Mckeague Abrams" w:date="2021-10-20T17:34:00Z">
            <w:rPr>
              <w:rStyle w:val="Hyperlink"/>
              <w:sz w:val="16"/>
              <w:szCs w:val="16"/>
            </w:rPr>
          </w:rPrChange>
        </w:rPr>
        <w:t>Contract Opportunity Announcement</w:t>
      </w:r>
      <w:r w:rsidRPr="00FF765C">
        <w:rPr>
          <w:sz w:val="16"/>
          <w:szCs w:val="16"/>
        </w:rPr>
        <w:t xml:space="preserve"> </w:t>
      </w:r>
      <w:r w:rsidR="00FF765C" w:rsidRPr="00FF765C">
        <w:rPr>
          <w:sz w:val="16"/>
          <w:szCs w:val="16"/>
        </w:rPr>
        <w:t>(</w:t>
      </w:r>
      <w:hyperlink r:id="rId13" w:history="1">
        <w:r w:rsidR="00FF765C" w:rsidRPr="00FF765C">
          <w:rPr>
            <w:rStyle w:val="Hyperlink"/>
            <w:sz w:val="16"/>
            <w:szCs w:val="16"/>
          </w:rPr>
          <w:t>https://www.pge.com/pge_global/common/pdfs/for-our-business-partners/purchasing-program/bid-opportunities/2021-COA-RFP-118185-CBO-Community-Advisory-Council.pdf</w:t>
        </w:r>
      </w:hyperlink>
      <w:r w:rsidR="00FF765C" w:rsidRPr="00FF765C">
        <w:rPr>
          <w:sz w:val="16"/>
          <w:szCs w:val="16"/>
        </w:rPr>
        <w:t xml:space="preserve"> ) </w:t>
      </w:r>
      <w:r w:rsidRPr="00FF765C">
        <w:rPr>
          <w:sz w:val="16"/>
          <w:szCs w:val="16"/>
        </w:rPr>
        <w:t xml:space="preserve">for its Community Perspectives Advisory Council, and the </w:t>
      </w:r>
      <w:r w:rsidR="00FF765C" w:rsidRPr="00FF765C">
        <w:rPr>
          <w:rPrChange w:id="82" w:author="Katherine Mckeague Abrams" w:date="2021-10-20T17:34:00Z">
            <w:rPr>
              <w:rStyle w:val="Hyperlink"/>
              <w:sz w:val="16"/>
              <w:szCs w:val="16"/>
            </w:rPr>
          </w:rPrChange>
        </w:rPr>
        <w:t>Request For A</w:t>
      </w:r>
      <w:r w:rsidR="00FF765C" w:rsidRPr="00FF765C">
        <w:rPr>
          <w:sz w:val="16"/>
          <w:szCs w:val="16"/>
        </w:rPr>
        <w:t>pplications (</w:t>
      </w:r>
      <w:r w:rsidR="00FF765C" w:rsidRPr="00FF765C">
        <w:rPr>
          <w:rStyle w:val="Hyperlink"/>
          <w:rPrChange w:id="83" w:author="Katherine Mckeague Abrams" w:date="2021-10-20T17:34:00Z">
            <w:rPr>
              <w:sz w:val="16"/>
              <w:szCs w:val="16"/>
            </w:rPr>
          </w:rPrChange>
        </w:rPr>
        <w:t>https://calsomah.org/sites/default/files/AC Cohort 2.0 Request for Application.pdf)</w:t>
      </w:r>
      <w:r w:rsidR="00FF765C" w:rsidRPr="00FF765C">
        <w:rPr>
          <w:sz w:val="16"/>
          <w:szCs w:val="16"/>
        </w:rPr>
        <w:t xml:space="preserve"> </w:t>
      </w:r>
      <w:r w:rsidRPr="00FF765C">
        <w:rPr>
          <w:sz w:val="16"/>
          <w:szCs w:val="16"/>
        </w:rPr>
        <w:t>for the second cohort of the Solar on Multifamily Affordable Housing (SOMAH) Program’s Advisory Council.</w:t>
      </w:r>
    </w:p>
  </w:footnote>
  <w:footnote w:id="36">
    <w:p w14:paraId="0984637F" w14:textId="089500F1" w:rsidR="00C431AD" w:rsidRPr="00FF765C" w:rsidRDefault="00C431AD" w:rsidP="00B416F2">
      <w:pPr>
        <w:pStyle w:val="Title"/>
        <w:ind w:left="180" w:hanging="180"/>
        <w:rPr>
          <w:rFonts w:ascii="Calibri" w:hAnsi="Calibri" w:cs="Calibri"/>
          <w:sz w:val="16"/>
          <w:szCs w:val="16"/>
        </w:rPr>
      </w:pPr>
      <w:r w:rsidRPr="00FF765C">
        <w:rPr>
          <w:rStyle w:val="FootnoteReference"/>
          <w:rFonts w:ascii="Calibri" w:hAnsi="Calibri" w:cs="Calibri"/>
          <w:sz w:val="16"/>
          <w:szCs w:val="16"/>
        </w:rPr>
        <w:footnoteRef/>
      </w:r>
      <w:r w:rsidRPr="00FF765C">
        <w:rPr>
          <w:rFonts w:ascii="Calibri" w:hAnsi="Calibri" w:cs="Calibri"/>
          <w:sz w:val="16"/>
          <w:szCs w:val="16"/>
        </w:rPr>
        <w:t xml:space="preserve"> “Analysis of Whether Small and Medium Businesses are Underserved by Energy Efficiency Programs in California”. </w:t>
      </w:r>
      <w:hyperlink r:id="rId14" w:history="1">
        <w:r w:rsidRPr="00FF765C">
          <w:rPr>
            <w:rStyle w:val="Hyperlink"/>
            <w:rFonts w:ascii="Calibri" w:hAnsi="Calibri" w:cs="Calibri"/>
            <w:sz w:val="16"/>
            <w:szCs w:val="16"/>
          </w:rPr>
          <w:t>https://www.caeecc.org/underserved-working-group-2020</w:t>
        </w:r>
      </w:hyperlink>
      <w:r w:rsidRPr="00FF765C">
        <w:rPr>
          <w:rFonts w:ascii="Calibri" w:hAnsi="Calibri" w:cs="Calibri"/>
          <w:sz w:val="16"/>
          <w:szCs w:val="16"/>
        </w:rPr>
        <w:t xml:space="preserve"> page 9</w:t>
      </w:r>
      <w:r w:rsidRPr="00FF765C" w:rsidDel="00677DCE">
        <w:rPr>
          <w:rFonts w:ascii="Calibri" w:hAnsi="Calibri" w:cs="Calibri"/>
          <w:sz w:val="16"/>
          <w:szCs w:val="16"/>
        </w:rPr>
        <w:t xml:space="preserve"> </w:t>
      </w:r>
    </w:p>
  </w:footnote>
  <w:footnote w:id="37">
    <w:p w14:paraId="4062DC8F" w14:textId="77777777" w:rsidR="00C431AD" w:rsidRPr="00FF765C" w:rsidRDefault="00C431AD" w:rsidP="00B416F2">
      <w:pPr>
        <w:pStyle w:val="FootnoteText"/>
        <w:ind w:left="180" w:hanging="180"/>
        <w:rPr>
          <w:sz w:val="16"/>
          <w:szCs w:val="16"/>
        </w:rPr>
      </w:pPr>
      <w:r w:rsidRPr="00FF765C">
        <w:rPr>
          <w:rStyle w:val="FootnoteReference"/>
          <w:sz w:val="16"/>
          <w:szCs w:val="16"/>
        </w:rPr>
        <w:footnoteRef/>
      </w:r>
      <w:r w:rsidRPr="00FF765C">
        <w:rPr>
          <w:sz w:val="16"/>
          <w:szCs w:val="16"/>
        </w:rPr>
        <w:t xml:space="preserve"> SDG&amp;E eligibility for commercial programs is based on electrical consumption only, per contracts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4130"/>
    <w:multiLevelType w:val="hybridMultilevel"/>
    <w:tmpl w:val="1F44E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50DB8"/>
    <w:multiLevelType w:val="hybridMultilevel"/>
    <w:tmpl w:val="F81617A2"/>
    <w:lvl w:ilvl="0" w:tplc="0409000F">
      <w:start w:val="1"/>
      <w:numFmt w:val="decimal"/>
      <w:lvlText w:val="%1."/>
      <w:lvlJc w:val="left"/>
      <w:pPr>
        <w:ind w:left="720" w:hanging="360"/>
      </w:pPr>
      <w:rPr>
        <w:rFonts w:hint="default"/>
      </w:rPr>
    </w:lvl>
    <w:lvl w:ilvl="1" w:tplc="A7366F4C" w:tentative="1">
      <w:start w:val="1"/>
      <w:numFmt w:val="bullet"/>
      <w:lvlText w:val="•"/>
      <w:lvlJc w:val="left"/>
      <w:pPr>
        <w:tabs>
          <w:tab w:val="num" w:pos="1440"/>
        </w:tabs>
        <w:ind w:left="1440" w:hanging="360"/>
      </w:pPr>
      <w:rPr>
        <w:rFonts w:ascii="Times New Roman" w:hAnsi="Times New Roman" w:hint="default"/>
      </w:rPr>
    </w:lvl>
    <w:lvl w:ilvl="2" w:tplc="40DEDC54" w:tentative="1">
      <w:start w:val="1"/>
      <w:numFmt w:val="bullet"/>
      <w:lvlText w:val="•"/>
      <w:lvlJc w:val="left"/>
      <w:pPr>
        <w:tabs>
          <w:tab w:val="num" w:pos="2160"/>
        </w:tabs>
        <w:ind w:left="2160" w:hanging="360"/>
      </w:pPr>
      <w:rPr>
        <w:rFonts w:ascii="Times New Roman" w:hAnsi="Times New Roman" w:hint="default"/>
      </w:rPr>
    </w:lvl>
    <w:lvl w:ilvl="3" w:tplc="26C6D12A" w:tentative="1">
      <w:start w:val="1"/>
      <w:numFmt w:val="bullet"/>
      <w:lvlText w:val="•"/>
      <w:lvlJc w:val="left"/>
      <w:pPr>
        <w:tabs>
          <w:tab w:val="num" w:pos="2880"/>
        </w:tabs>
        <w:ind w:left="2880" w:hanging="360"/>
      </w:pPr>
      <w:rPr>
        <w:rFonts w:ascii="Times New Roman" w:hAnsi="Times New Roman" w:hint="default"/>
      </w:rPr>
    </w:lvl>
    <w:lvl w:ilvl="4" w:tplc="C180D1DE" w:tentative="1">
      <w:start w:val="1"/>
      <w:numFmt w:val="bullet"/>
      <w:lvlText w:val="•"/>
      <w:lvlJc w:val="left"/>
      <w:pPr>
        <w:tabs>
          <w:tab w:val="num" w:pos="3600"/>
        </w:tabs>
        <w:ind w:left="3600" w:hanging="360"/>
      </w:pPr>
      <w:rPr>
        <w:rFonts w:ascii="Times New Roman" w:hAnsi="Times New Roman" w:hint="default"/>
      </w:rPr>
    </w:lvl>
    <w:lvl w:ilvl="5" w:tplc="E59040F8" w:tentative="1">
      <w:start w:val="1"/>
      <w:numFmt w:val="bullet"/>
      <w:lvlText w:val="•"/>
      <w:lvlJc w:val="left"/>
      <w:pPr>
        <w:tabs>
          <w:tab w:val="num" w:pos="4320"/>
        </w:tabs>
        <w:ind w:left="4320" w:hanging="360"/>
      </w:pPr>
      <w:rPr>
        <w:rFonts w:ascii="Times New Roman" w:hAnsi="Times New Roman" w:hint="default"/>
      </w:rPr>
    </w:lvl>
    <w:lvl w:ilvl="6" w:tplc="FFAAD3AC" w:tentative="1">
      <w:start w:val="1"/>
      <w:numFmt w:val="bullet"/>
      <w:lvlText w:val="•"/>
      <w:lvlJc w:val="left"/>
      <w:pPr>
        <w:tabs>
          <w:tab w:val="num" w:pos="5040"/>
        </w:tabs>
        <w:ind w:left="5040" w:hanging="360"/>
      </w:pPr>
      <w:rPr>
        <w:rFonts w:ascii="Times New Roman" w:hAnsi="Times New Roman" w:hint="default"/>
      </w:rPr>
    </w:lvl>
    <w:lvl w:ilvl="7" w:tplc="0780F1DA" w:tentative="1">
      <w:start w:val="1"/>
      <w:numFmt w:val="bullet"/>
      <w:lvlText w:val="•"/>
      <w:lvlJc w:val="left"/>
      <w:pPr>
        <w:tabs>
          <w:tab w:val="num" w:pos="5760"/>
        </w:tabs>
        <w:ind w:left="5760" w:hanging="360"/>
      </w:pPr>
      <w:rPr>
        <w:rFonts w:ascii="Times New Roman" w:hAnsi="Times New Roman" w:hint="default"/>
      </w:rPr>
    </w:lvl>
    <w:lvl w:ilvl="8" w:tplc="F900FA3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E911303"/>
    <w:multiLevelType w:val="hybridMultilevel"/>
    <w:tmpl w:val="08143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CB40C1"/>
    <w:multiLevelType w:val="multilevel"/>
    <w:tmpl w:val="F8FEE1B2"/>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128230AE"/>
    <w:multiLevelType w:val="hybridMultilevel"/>
    <w:tmpl w:val="A0882394"/>
    <w:lvl w:ilvl="0" w:tplc="FDFE9BB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FC18D4"/>
    <w:multiLevelType w:val="hybridMultilevel"/>
    <w:tmpl w:val="D76A8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A04438"/>
    <w:multiLevelType w:val="multilevel"/>
    <w:tmpl w:val="A086B418"/>
    <w:lvl w:ilvl="0">
      <w:start w:val="1"/>
      <w:numFmt w:val="upperLetter"/>
      <w:lvlText w:val="%1)"/>
      <w:lvlJc w:val="left"/>
      <w:pPr>
        <w:ind w:left="720" w:hanging="360"/>
      </w:pPr>
      <w:rPr>
        <w:rFonts w:hint="default"/>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C66618"/>
    <w:multiLevelType w:val="multilevel"/>
    <w:tmpl w:val="EDDA478C"/>
    <w:lvl w:ilvl="0">
      <w:start w:val="1"/>
      <w:numFmt w:val="upperLetter"/>
      <w:lvlText w:val="%1)"/>
      <w:lvlJc w:val="left"/>
      <w:pPr>
        <w:ind w:left="720" w:hanging="360"/>
      </w:pPr>
      <w:rPr>
        <w:rFonts w:hint="default"/>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103CE5"/>
    <w:multiLevelType w:val="hybridMultilevel"/>
    <w:tmpl w:val="F3A00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98282F"/>
    <w:multiLevelType w:val="hybridMultilevel"/>
    <w:tmpl w:val="B6DA78D6"/>
    <w:lvl w:ilvl="0" w:tplc="FDFE9BB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E32267"/>
    <w:multiLevelType w:val="hybridMultilevel"/>
    <w:tmpl w:val="245C3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34DE0"/>
    <w:multiLevelType w:val="hybridMultilevel"/>
    <w:tmpl w:val="8E606288"/>
    <w:lvl w:ilvl="0" w:tplc="FDFE9BB6">
      <w:start w:val="1"/>
      <w:numFmt w:val="upperLetter"/>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3339F8"/>
    <w:multiLevelType w:val="hybridMultilevel"/>
    <w:tmpl w:val="B854E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F67160"/>
    <w:multiLevelType w:val="hybridMultilevel"/>
    <w:tmpl w:val="6186A9F8"/>
    <w:lvl w:ilvl="0" w:tplc="FDFE9BB6">
      <w:start w:val="1"/>
      <w:numFmt w:val="upperLetter"/>
      <w:lvlText w:val="%1)"/>
      <w:lvlJc w:val="left"/>
      <w:pPr>
        <w:ind w:left="1440" w:hanging="360"/>
      </w:pPr>
      <w:rPr>
        <w:rFonts w:hint="default"/>
        <w:color w:val="00000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453758B"/>
    <w:multiLevelType w:val="hybridMultilevel"/>
    <w:tmpl w:val="372C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5306E2"/>
    <w:multiLevelType w:val="multilevel"/>
    <w:tmpl w:val="2BCA55F6"/>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4A8E7363"/>
    <w:multiLevelType w:val="hybridMultilevel"/>
    <w:tmpl w:val="F3A00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5A6479"/>
    <w:multiLevelType w:val="hybridMultilevel"/>
    <w:tmpl w:val="00DA110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8" w15:restartNumberingAfterBreak="0">
    <w:nsid w:val="5107529A"/>
    <w:multiLevelType w:val="hybridMultilevel"/>
    <w:tmpl w:val="BDEEC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61385C"/>
    <w:multiLevelType w:val="hybridMultilevel"/>
    <w:tmpl w:val="D804B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9567A8"/>
    <w:multiLevelType w:val="hybridMultilevel"/>
    <w:tmpl w:val="D76A8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7A44FA"/>
    <w:multiLevelType w:val="hybridMultilevel"/>
    <w:tmpl w:val="B9D81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9E3FFE"/>
    <w:multiLevelType w:val="hybridMultilevel"/>
    <w:tmpl w:val="806C3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C36384"/>
    <w:multiLevelType w:val="hybridMultilevel"/>
    <w:tmpl w:val="231E9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4E2E97"/>
    <w:multiLevelType w:val="hybridMultilevel"/>
    <w:tmpl w:val="08223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2"/>
  </w:num>
  <w:num w:numId="3">
    <w:abstractNumId w:val="12"/>
  </w:num>
  <w:num w:numId="4">
    <w:abstractNumId w:val="13"/>
  </w:num>
  <w:num w:numId="5">
    <w:abstractNumId w:val="6"/>
  </w:num>
  <w:num w:numId="6">
    <w:abstractNumId w:val="15"/>
  </w:num>
  <w:num w:numId="7">
    <w:abstractNumId w:val="7"/>
  </w:num>
  <w:num w:numId="8">
    <w:abstractNumId w:val="23"/>
  </w:num>
  <w:num w:numId="9">
    <w:abstractNumId w:val="21"/>
  </w:num>
  <w:num w:numId="10">
    <w:abstractNumId w:val="24"/>
  </w:num>
  <w:num w:numId="11">
    <w:abstractNumId w:val="1"/>
  </w:num>
  <w:num w:numId="12">
    <w:abstractNumId w:val="9"/>
  </w:num>
  <w:num w:numId="13">
    <w:abstractNumId w:val="18"/>
  </w:num>
  <w:num w:numId="14">
    <w:abstractNumId w:val="11"/>
  </w:num>
  <w:num w:numId="15">
    <w:abstractNumId w:val="3"/>
  </w:num>
  <w:num w:numId="16">
    <w:abstractNumId w:val="4"/>
  </w:num>
  <w:num w:numId="17">
    <w:abstractNumId w:val="14"/>
  </w:num>
  <w:num w:numId="18">
    <w:abstractNumId w:val="10"/>
  </w:num>
  <w:num w:numId="19">
    <w:abstractNumId w:val="2"/>
  </w:num>
  <w:num w:numId="20">
    <w:abstractNumId w:val="16"/>
  </w:num>
  <w:num w:numId="21">
    <w:abstractNumId w:val="8"/>
  </w:num>
  <w:num w:numId="22">
    <w:abstractNumId w:val="20"/>
  </w:num>
  <w:num w:numId="23">
    <w:abstractNumId w:val="5"/>
  </w:num>
  <w:num w:numId="24">
    <w:abstractNumId w:val="19"/>
  </w:num>
  <w:num w:numId="25">
    <w:abstractNumId w:val="17"/>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herine Mckeague Abrams">
    <w15:presenceInfo w15:providerId="AD" w15:userId="S::kaab3536@colorado.edu::c3c02ecd-6fd1-430a-90d4-b8672eff30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8A7"/>
    <w:rsid w:val="00000C25"/>
    <w:rsid w:val="000012CD"/>
    <w:rsid w:val="0000139F"/>
    <w:rsid w:val="00004CC9"/>
    <w:rsid w:val="00006C75"/>
    <w:rsid w:val="00012FA6"/>
    <w:rsid w:val="00021414"/>
    <w:rsid w:val="0002388E"/>
    <w:rsid w:val="00024CE6"/>
    <w:rsid w:val="00026085"/>
    <w:rsid w:val="000264FD"/>
    <w:rsid w:val="000265FB"/>
    <w:rsid w:val="00026EA0"/>
    <w:rsid w:val="000314AD"/>
    <w:rsid w:val="0003291C"/>
    <w:rsid w:val="00033E9E"/>
    <w:rsid w:val="00035973"/>
    <w:rsid w:val="000360BF"/>
    <w:rsid w:val="0003659D"/>
    <w:rsid w:val="00044BD5"/>
    <w:rsid w:val="00051EAA"/>
    <w:rsid w:val="00052814"/>
    <w:rsid w:val="00054046"/>
    <w:rsid w:val="00057201"/>
    <w:rsid w:val="0005734C"/>
    <w:rsid w:val="00057EBB"/>
    <w:rsid w:val="000663E5"/>
    <w:rsid w:val="00066FA4"/>
    <w:rsid w:val="00070D84"/>
    <w:rsid w:val="00071FA5"/>
    <w:rsid w:val="0007234C"/>
    <w:rsid w:val="0007726B"/>
    <w:rsid w:val="0007765D"/>
    <w:rsid w:val="00080CAB"/>
    <w:rsid w:val="00086C26"/>
    <w:rsid w:val="00086EA6"/>
    <w:rsid w:val="000900AF"/>
    <w:rsid w:val="00090954"/>
    <w:rsid w:val="0009109A"/>
    <w:rsid w:val="00096936"/>
    <w:rsid w:val="000A0FB2"/>
    <w:rsid w:val="000A1844"/>
    <w:rsid w:val="000A4C47"/>
    <w:rsid w:val="000A7C28"/>
    <w:rsid w:val="000B3D38"/>
    <w:rsid w:val="000B3EDD"/>
    <w:rsid w:val="000B45D3"/>
    <w:rsid w:val="000C0871"/>
    <w:rsid w:val="000C64A3"/>
    <w:rsid w:val="000D2BFE"/>
    <w:rsid w:val="000E2522"/>
    <w:rsid w:val="000E68E1"/>
    <w:rsid w:val="000F1F37"/>
    <w:rsid w:val="000F52D0"/>
    <w:rsid w:val="000F6D75"/>
    <w:rsid w:val="00100F64"/>
    <w:rsid w:val="0010170C"/>
    <w:rsid w:val="001057AF"/>
    <w:rsid w:val="001057F2"/>
    <w:rsid w:val="001147DE"/>
    <w:rsid w:val="00120131"/>
    <w:rsid w:val="00120E67"/>
    <w:rsid w:val="00121DDE"/>
    <w:rsid w:val="00124F34"/>
    <w:rsid w:val="00127620"/>
    <w:rsid w:val="00131BC1"/>
    <w:rsid w:val="0013206B"/>
    <w:rsid w:val="00133A33"/>
    <w:rsid w:val="0013556F"/>
    <w:rsid w:val="00137940"/>
    <w:rsid w:val="00137E90"/>
    <w:rsid w:val="00141FB1"/>
    <w:rsid w:val="00145EAF"/>
    <w:rsid w:val="00146E7F"/>
    <w:rsid w:val="00146F22"/>
    <w:rsid w:val="00150E34"/>
    <w:rsid w:val="0015260C"/>
    <w:rsid w:val="00153B42"/>
    <w:rsid w:val="00153F0C"/>
    <w:rsid w:val="00155617"/>
    <w:rsid w:val="001559CF"/>
    <w:rsid w:val="00156FB2"/>
    <w:rsid w:val="001578C7"/>
    <w:rsid w:val="00161402"/>
    <w:rsid w:val="0016152C"/>
    <w:rsid w:val="00163575"/>
    <w:rsid w:val="00165429"/>
    <w:rsid w:val="001746E3"/>
    <w:rsid w:val="001760A2"/>
    <w:rsid w:val="00176DED"/>
    <w:rsid w:val="00181428"/>
    <w:rsid w:val="0018333C"/>
    <w:rsid w:val="0018660C"/>
    <w:rsid w:val="00190F37"/>
    <w:rsid w:val="00191B84"/>
    <w:rsid w:val="0019279C"/>
    <w:rsid w:val="00193A86"/>
    <w:rsid w:val="00194801"/>
    <w:rsid w:val="00194F7A"/>
    <w:rsid w:val="001A14E9"/>
    <w:rsid w:val="001A2791"/>
    <w:rsid w:val="001B372F"/>
    <w:rsid w:val="001B5488"/>
    <w:rsid w:val="001C3930"/>
    <w:rsid w:val="001C5EAE"/>
    <w:rsid w:val="001C60CE"/>
    <w:rsid w:val="001D1049"/>
    <w:rsid w:val="001D1202"/>
    <w:rsid w:val="001D449D"/>
    <w:rsid w:val="001E0A41"/>
    <w:rsid w:val="001E25AC"/>
    <w:rsid w:val="001E5C29"/>
    <w:rsid w:val="001E6AF9"/>
    <w:rsid w:val="001F01B5"/>
    <w:rsid w:val="001F56D2"/>
    <w:rsid w:val="00201E86"/>
    <w:rsid w:val="00203AB2"/>
    <w:rsid w:val="00206BDD"/>
    <w:rsid w:val="00210474"/>
    <w:rsid w:val="00210939"/>
    <w:rsid w:val="00211348"/>
    <w:rsid w:val="0021141A"/>
    <w:rsid w:val="002120ED"/>
    <w:rsid w:val="00212982"/>
    <w:rsid w:val="00214F34"/>
    <w:rsid w:val="00216334"/>
    <w:rsid w:val="00220410"/>
    <w:rsid w:val="002270F3"/>
    <w:rsid w:val="00230042"/>
    <w:rsid w:val="00231443"/>
    <w:rsid w:val="00234AF6"/>
    <w:rsid w:val="00235A11"/>
    <w:rsid w:val="00235BE6"/>
    <w:rsid w:val="002412BE"/>
    <w:rsid w:val="00242A0A"/>
    <w:rsid w:val="00245FE5"/>
    <w:rsid w:val="002465C9"/>
    <w:rsid w:val="0025334D"/>
    <w:rsid w:val="00255A8A"/>
    <w:rsid w:val="00257121"/>
    <w:rsid w:val="002628A6"/>
    <w:rsid w:val="00263F5B"/>
    <w:rsid w:val="00271376"/>
    <w:rsid w:val="0027185E"/>
    <w:rsid w:val="00272279"/>
    <w:rsid w:val="0028228A"/>
    <w:rsid w:val="00283AB7"/>
    <w:rsid w:val="00283E0A"/>
    <w:rsid w:val="002866BA"/>
    <w:rsid w:val="00291C19"/>
    <w:rsid w:val="00293BAB"/>
    <w:rsid w:val="002A0BDB"/>
    <w:rsid w:val="002A1FB1"/>
    <w:rsid w:val="002A3516"/>
    <w:rsid w:val="002A4D75"/>
    <w:rsid w:val="002B0864"/>
    <w:rsid w:val="002B0FC8"/>
    <w:rsid w:val="002B5B4B"/>
    <w:rsid w:val="002B7CDF"/>
    <w:rsid w:val="002B7D18"/>
    <w:rsid w:val="002C1426"/>
    <w:rsid w:val="002C16DF"/>
    <w:rsid w:val="002C581B"/>
    <w:rsid w:val="002D0DF6"/>
    <w:rsid w:val="002D13AF"/>
    <w:rsid w:val="002D1CB9"/>
    <w:rsid w:val="002D6280"/>
    <w:rsid w:val="002E1D41"/>
    <w:rsid w:val="002E23AB"/>
    <w:rsid w:val="002E5180"/>
    <w:rsid w:val="002F00C1"/>
    <w:rsid w:val="002F3AD4"/>
    <w:rsid w:val="002F592F"/>
    <w:rsid w:val="002F6172"/>
    <w:rsid w:val="002F6218"/>
    <w:rsid w:val="00302E10"/>
    <w:rsid w:val="00303864"/>
    <w:rsid w:val="00303A9B"/>
    <w:rsid w:val="00303F1F"/>
    <w:rsid w:val="00305939"/>
    <w:rsid w:val="0031084C"/>
    <w:rsid w:val="00313289"/>
    <w:rsid w:val="00326E2A"/>
    <w:rsid w:val="00327402"/>
    <w:rsid w:val="00327652"/>
    <w:rsid w:val="003319B8"/>
    <w:rsid w:val="00334B97"/>
    <w:rsid w:val="00334FEF"/>
    <w:rsid w:val="00335798"/>
    <w:rsid w:val="00337120"/>
    <w:rsid w:val="003477BE"/>
    <w:rsid w:val="0035460A"/>
    <w:rsid w:val="00355383"/>
    <w:rsid w:val="00356907"/>
    <w:rsid w:val="00357BDA"/>
    <w:rsid w:val="003601FC"/>
    <w:rsid w:val="00360C2E"/>
    <w:rsid w:val="003614CC"/>
    <w:rsid w:val="00362A2A"/>
    <w:rsid w:val="003719A7"/>
    <w:rsid w:val="0037335B"/>
    <w:rsid w:val="0037695F"/>
    <w:rsid w:val="00381992"/>
    <w:rsid w:val="00381DD8"/>
    <w:rsid w:val="00383A7C"/>
    <w:rsid w:val="00384B11"/>
    <w:rsid w:val="003851CF"/>
    <w:rsid w:val="0038538A"/>
    <w:rsid w:val="00390A38"/>
    <w:rsid w:val="00390B26"/>
    <w:rsid w:val="00391047"/>
    <w:rsid w:val="003940ED"/>
    <w:rsid w:val="00394E06"/>
    <w:rsid w:val="003A0B7B"/>
    <w:rsid w:val="003A7AEA"/>
    <w:rsid w:val="003B162C"/>
    <w:rsid w:val="003B44DD"/>
    <w:rsid w:val="003B633B"/>
    <w:rsid w:val="003C0116"/>
    <w:rsid w:val="003C2876"/>
    <w:rsid w:val="003C4AB3"/>
    <w:rsid w:val="003D2156"/>
    <w:rsid w:val="003D2567"/>
    <w:rsid w:val="003D3E14"/>
    <w:rsid w:val="003D492E"/>
    <w:rsid w:val="003D6FB0"/>
    <w:rsid w:val="003E18DA"/>
    <w:rsid w:val="003E4065"/>
    <w:rsid w:val="003F040C"/>
    <w:rsid w:val="003F68EE"/>
    <w:rsid w:val="003F7D3A"/>
    <w:rsid w:val="00402480"/>
    <w:rsid w:val="00403869"/>
    <w:rsid w:val="00405AAC"/>
    <w:rsid w:val="00407444"/>
    <w:rsid w:val="00407788"/>
    <w:rsid w:val="00413467"/>
    <w:rsid w:val="00414A6D"/>
    <w:rsid w:val="0041731D"/>
    <w:rsid w:val="00417ACA"/>
    <w:rsid w:val="004220C5"/>
    <w:rsid w:val="004249C5"/>
    <w:rsid w:val="00427119"/>
    <w:rsid w:val="00431095"/>
    <w:rsid w:val="0043177E"/>
    <w:rsid w:val="00434C2E"/>
    <w:rsid w:val="00437730"/>
    <w:rsid w:val="00437AC1"/>
    <w:rsid w:val="00437B49"/>
    <w:rsid w:val="00440F42"/>
    <w:rsid w:val="00442D2D"/>
    <w:rsid w:val="00443CB7"/>
    <w:rsid w:val="00444DFB"/>
    <w:rsid w:val="004467B1"/>
    <w:rsid w:val="004507BC"/>
    <w:rsid w:val="00455B53"/>
    <w:rsid w:val="004569F9"/>
    <w:rsid w:val="004642F7"/>
    <w:rsid w:val="00472B2E"/>
    <w:rsid w:val="004775FF"/>
    <w:rsid w:val="00481F7C"/>
    <w:rsid w:val="004824D3"/>
    <w:rsid w:val="0048600B"/>
    <w:rsid w:val="00487218"/>
    <w:rsid w:val="004927AB"/>
    <w:rsid w:val="004A1A41"/>
    <w:rsid w:val="004A1EBC"/>
    <w:rsid w:val="004A312C"/>
    <w:rsid w:val="004A3C57"/>
    <w:rsid w:val="004A535C"/>
    <w:rsid w:val="004A5EEC"/>
    <w:rsid w:val="004B4E15"/>
    <w:rsid w:val="004C2BCA"/>
    <w:rsid w:val="004C32D1"/>
    <w:rsid w:val="004C7DF7"/>
    <w:rsid w:val="004D336C"/>
    <w:rsid w:val="004D54F2"/>
    <w:rsid w:val="004D715B"/>
    <w:rsid w:val="004E16C9"/>
    <w:rsid w:val="004E2558"/>
    <w:rsid w:val="004E4D4C"/>
    <w:rsid w:val="004F7C98"/>
    <w:rsid w:val="00501445"/>
    <w:rsid w:val="0050166D"/>
    <w:rsid w:val="00502459"/>
    <w:rsid w:val="005066C6"/>
    <w:rsid w:val="00506E5A"/>
    <w:rsid w:val="00506FCE"/>
    <w:rsid w:val="0051068B"/>
    <w:rsid w:val="005115C2"/>
    <w:rsid w:val="00516847"/>
    <w:rsid w:val="00521C72"/>
    <w:rsid w:val="0052527D"/>
    <w:rsid w:val="00537116"/>
    <w:rsid w:val="00537AF5"/>
    <w:rsid w:val="00543FE9"/>
    <w:rsid w:val="00546F1B"/>
    <w:rsid w:val="00557B96"/>
    <w:rsid w:val="005709F0"/>
    <w:rsid w:val="00570B9A"/>
    <w:rsid w:val="00571580"/>
    <w:rsid w:val="005717E4"/>
    <w:rsid w:val="00572842"/>
    <w:rsid w:val="00575EBC"/>
    <w:rsid w:val="00576DDE"/>
    <w:rsid w:val="005813FE"/>
    <w:rsid w:val="00582E9A"/>
    <w:rsid w:val="00582F95"/>
    <w:rsid w:val="00586AC5"/>
    <w:rsid w:val="00586AE6"/>
    <w:rsid w:val="0059036A"/>
    <w:rsid w:val="00593B36"/>
    <w:rsid w:val="00594227"/>
    <w:rsid w:val="00595340"/>
    <w:rsid w:val="005973C1"/>
    <w:rsid w:val="005A21B7"/>
    <w:rsid w:val="005B6027"/>
    <w:rsid w:val="005B7DDF"/>
    <w:rsid w:val="005C2B53"/>
    <w:rsid w:val="005C301C"/>
    <w:rsid w:val="005C6CD5"/>
    <w:rsid w:val="005C7B3C"/>
    <w:rsid w:val="005C7E85"/>
    <w:rsid w:val="005D304D"/>
    <w:rsid w:val="005D3EF9"/>
    <w:rsid w:val="005D4AAE"/>
    <w:rsid w:val="005D586B"/>
    <w:rsid w:val="005E2D8F"/>
    <w:rsid w:val="005E633E"/>
    <w:rsid w:val="005F0C9E"/>
    <w:rsid w:val="005F2A96"/>
    <w:rsid w:val="005F2B9A"/>
    <w:rsid w:val="005F43D0"/>
    <w:rsid w:val="005F5829"/>
    <w:rsid w:val="005F63A9"/>
    <w:rsid w:val="005F792D"/>
    <w:rsid w:val="00600BC0"/>
    <w:rsid w:val="00600CFC"/>
    <w:rsid w:val="00601599"/>
    <w:rsid w:val="0060273C"/>
    <w:rsid w:val="00603917"/>
    <w:rsid w:val="00604221"/>
    <w:rsid w:val="00607069"/>
    <w:rsid w:val="00620A5B"/>
    <w:rsid w:val="006223EB"/>
    <w:rsid w:val="00624768"/>
    <w:rsid w:val="00630C29"/>
    <w:rsid w:val="006314C7"/>
    <w:rsid w:val="00635960"/>
    <w:rsid w:val="00640CC7"/>
    <w:rsid w:val="00642380"/>
    <w:rsid w:val="00642D19"/>
    <w:rsid w:val="0064639C"/>
    <w:rsid w:val="00646AC9"/>
    <w:rsid w:val="00646BC3"/>
    <w:rsid w:val="006504F3"/>
    <w:rsid w:val="00655AB1"/>
    <w:rsid w:val="00655B98"/>
    <w:rsid w:val="006562B6"/>
    <w:rsid w:val="0065684D"/>
    <w:rsid w:val="00656DF0"/>
    <w:rsid w:val="00665067"/>
    <w:rsid w:val="00667566"/>
    <w:rsid w:val="00667F73"/>
    <w:rsid w:val="006701FF"/>
    <w:rsid w:val="006765D2"/>
    <w:rsid w:val="00684818"/>
    <w:rsid w:val="00685522"/>
    <w:rsid w:val="00692969"/>
    <w:rsid w:val="00692BBC"/>
    <w:rsid w:val="0069447D"/>
    <w:rsid w:val="006963E8"/>
    <w:rsid w:val="006A06B3"/>
    <w:rsid w:val="006A3797"/>
    <w:rsid w:val="006A3AA4"/>
    <w:rsid w:val="006A427E"/>
    <w:rsid w:val="006A6A4A"/>
    <w:rsid w:val="006A6F30"/>
    <w:rsid w:val="006B142F"/>
    <w:rsid w:val="006B2A99"/>
    <w:rsid w:val="006C1E5D"/>
    <w:rsid w:val="006C3D45"/>
    <w:rsid w:val="006D1BB9"/>
    <w:rsid w:val="006D331E"/>
    <w:rsid w:val="006D44F2"/>
    <w:rsid w:val="006E0A2A"/>
    <w:rsid w:val="006E3086"/>
    <w:rsid w:val="006F147A"/>
    <w:rsid w:val="006F5443"/>
    <w:rsid w:val="006F58A5"/>
    <w:rsid w:val="00704D36"/>
    <w:rsid w:val="007065A6"/>
    <w:rsid w:val="00710113"/>
    <w:rsid w:val="007103C3"/>
    <w:rsid w:val="00711A2F"/>
    <w:rsid w:val="00712206"/>
    <w:rsid w:val="00712A67"/>
    <w:rsid w:val="00713B17"/>
    <w:rsid w:val="00713B59"/>
    <w:rsid w:val="0071427C"/>
    <w:rsid w:val="00724892"/>
    <w:rsid w:val="0073003F"/>
    <w:rsid w:val="00730D08"/>
    <w:rsid w:val="007344E8"/>
    <w:rsid w:val="00737243"/>
    <w:rsid w:val="007434DF"/>
    <w:rsid w:val="00744901"/>
    <w:rsid w:val="0075284A"/>
    <w:rsid w:val="0075304F"/>
    <w:rsid w:val="00756006"/>
    <w:rsid w:val="00756E83"/>
    <w:rsid w:val="00760381"/>
    <w:rsid w:val="0076158B"/>
    <w:rsid w:val="00762578"/>
    <w:rsid w:val="007709F2"/>
    <w:rsid w:val="00771B15"/>
    <w:rsid w:val="007728FF"/>
    <w:rsid w:val="00772E22"/>
    <w:rsid w:val="007740EA"/>
    <w:rsid w:val="00783E28"/>
    <w:rsid w:val="007848A7"/>
    <w:rsid w:val="007866E3"/>
    <w:rsid w:val="00792151"/>
    <w:rsid w:val="00792C2D"/>
    <w:rsid w:val="007A099A"/>
    <w:rsid w:val="007A0B90"/>
    <w:rsid w:val="007A15B1"/>
    <w:rsid w:val="007A45B8"/>
    <w:rsid w:val="007A7B24"/>
    <w:rsid w:val="007B118A"/>
    <w:rsid w:val="007B2EFA"/>
    <w:rsid w:val="007C37EE"/>
    <w:rsid w:val="007C57D7"/>
    <w:rsid w:val="007D01B9"/>
    <w:rsid w:val="007D0AD5"/>
    <w:rsid w:val="007D4995"/>
    <w:rsid w:val="007D51E7"/>
    <w:rsid w:val="007E147B"/>
    <w:rsid w:val="007E2564"/>
    <w:rsid w:val="007E7817"/>
    <w:rsid w:val="007F3DB4"/>
    <w:rsid w:val="008028ED"/>
    <w:rsid w:val="00805FCE"/>
    <w:rsid w:val="00807711"/>
    <w:rsid w:val="00810750"/>
    <w:rsid w:val="008137E6"/>
    <w:rsid w:val="00816CC4"/>
    <w:rsid w:val="008230FA"/>
    <w:rsid w:val="00824D40"/>
    <w:rsid w:val="00827E9A"/>
    <w:rsid w:val="008318D4"/>
    <w:rsid w:val="00832A12"/>
    <w:rsid w:val="00832E0E"/>
    <w:rsid w:val="00833F99"/>
    <w:rsid w:val="008365AA"/>
    <w:rsid w:val="00843939"/>
    <w:rsid w:val="00846A10"/>
    <w:rsid w:val="00851EF6"/>
    <w:rsid w:val="0085282C"/>
    <w:rsid w:val="00853A82"/>
    <w:rsid w:val="008551F6"/>
    <w:rsid w:val="00856EAF"/>
    <w:rsid w:val="00862D7E"/>
    <w:rsid w:val="00867696"/>
    <w:rsid w:val="00870FC3"/>
    <w:rsid w:val="008745DA"/>
    <w:rsid w:val="00875B6C"/>
    <w:rsid w:val="00880C1C"/>
    <w:rsid w:val="00881C59"/>
    <w:rsid w:val="008826FA"/>
    <w:rsid w:val="008876B1"/>
    <w:rsid w:val="00891F7E"/>
    <w:rsid w:val="00893E5C"/>
    <w:rsid w:val="008948A8"/>
    <w:rsid w:val="0089658C"/>
    <w:rsid w:val="008A322A"/>
    <w:rsid w:val="008A354F"/>
    <w:rsid w:val="008B03C6"/>
    <w:rsid w:val="008B163B"/>
    <w:rsid w:val="008B1EDA"/>
    <w:rsid w:val="008B7B29"/>
    <w:rsid w:val="008C387C"/>
    <w:rsid w:val="008C489D"/>
    <w:rsid w:val="008C6864"/>
    <w:rsid w:val="008C6DA1"/>
    <w:rsid w:val="008C73A2"/>
    <w:rsid w:val="008C7682"/>
    <w:rsid w:val="008D05E1"/>
    <w:rsid w:val="008D3F85"/>
    <w:rsid w:val="008D4717"/>
    <w:rsid w:val="008D5E8C"/>
    <w:rsid w:val="008E0B83"/>
    <w:rsid w:val="008E114A"/>
    <w:rsid w:val="008E17E1"/>
    <w:rsid w:val="008E3A74"/>
    <w:rsid w:val="008E41C1"/>
    <w:rsid w:val="008F05AB"/>
    <w:rsid w:val="008F544A"/>
    <w:rsid w:val="00901B6D"/>
    <w:rsid w:val="009027C1"/>
    <w:rsid w:val="00904BF8"/>
    <w:rsid w:val="009108C7"/>
    <w:rsid w:val="009117EC"/>
    <w:rsid w:val="009124D5"/>
    <w:rsid w:val="00912FF0"/>
    <w:rsid w:val="00917187"/>
    <w:rsid w:val="00920282"/>
    <w:rsid w:val="0092090F"/>
    <w:rsid w:val="00920CB0"/>
    <w:rsid w:val="00922074"/>
    <w:rsid w:val="009240C7"/>
    <w:rsid w:val="00930544"/>
    <w:rsid w:val="00931E9F"/>
    <w:rsid w:val="009328D9"/>
    <w:rsid w:val="0093291A"/>
    <w:rsid w:val="00936471"/>
    <w:rsid w:val="009367C0"/>
    <w:rsid w:val="00936DA4"/>
    <w:rsid w:val="00941B7C"/>
    <w:rsid w:val="0094425F"/>
    <w:rsid w:val="00944EB6"/>
    <w:rsid w:val="00945092"/>
    <w:rsid w:val="0095164A"/>
    <w:rsid w:val="00962C76"/>
    <w:rsid w:val="0096324A"/>
    <w:rsid w:val="00964305"/>
    <w:rsid w:val="009660D3"/>
    <w:rsid w:val="0096614B"/>
    <w:rsid w:val="009831E4"/>
    <w:rsid w:val="00987389"/>
    <w:rsid w:val="0099067C"/>
    <w:rsid w:val="00993CCF"/>
    <w:rsid w:val="009949AE"/>
    <w:rsid w:val="00994B55"/>
    <w:rsid w:val="00996EC8"/>
    <w:rsid w:val="009A0605"/>
    <w:rsid w:val="009A3959"/>
    <w:rsid w:val="009A4442"/>
    <w:rsid w:val="009A52BF"/>
    <w:rsid w:val="009A7D68"/>
    <w:rsid w:val="009B4466"/>
    <w:rsid w:val="009B5DE7"/>
    <w:rsid w:val="009B5DFE"/>
    <w:rsid w:val="009B6DD0"/>
    <w:rsid w:val="009B7CF4"/>
    <w:rsid w:val="009C0C0A"/>
    <w:rsid w:val="009C21C0"/>
    <w:rsid w:val="009C3D21"/>
    <w:rsid w:val="009D4B8F"/>
    <w:rsid w:val="009D5EBA"/>
    <w:rsid w:val="009D6112"/>
    <w:rsid w:val="009D635F"/>
    <w:rsid w:val="009D674B"/>
    <w:rsid w:val="009E06C9"/>
    <w:rsid w:val="009F2291"/>
    <w:rsid w:val="009F3FDF"/>
    <w:rsid w:val="009F42DA"/>
    <w:rsid w:val="009F56A0"/>
    <w:rsid w:val="00A01139"/>
    <w:rsid w:val="00A0159A"/>
    <w:rsid w:val="00A01D6C"/>
    <w:rsid w:val="00A04E60"/>
    <w:rsid w:val="00A05FBB"/>
    <w:rsid w:val="00A10136"/>
    <w:rsid w:val="00A10CE8"/>
    <w:rsid w:val="00A119C1"/>
    <w:rsid w:val="00A11E5C"/>
    <w:rsid w:val="00A13882"/>
    <w:rsid w:val="00A153E1"/>
    <w:rsid w:val="00A20AAC"/>
    <w:rsid w:val="00A22807"/>
    <w:rsid w:val="00A23DCF"/>
    <w:rsid w:val="00A241C4"/>
    <w:rsid w:val="00A260E8"/>
    <w:rsid w:val="00A2688C"/>
    <w:rsid w:val="00A2696C"/>
    <w:rsid w:val="00A30BEE"/>
    <w:rsid w:val="00A33DD8"/>
    <w:rsid w:val="00A343EC"/>
    <w:rsid w:val="00A43440"/>
    <w:rsid w:val="00A43BFE"/>
    <w:rsid w:val="00A46090"/>
    <w:rsid w:val="00A47439"/>
    <w:rsid w:val="00A50377"/>
    <w:rsid w:val="00A50F11"/>
    <w:rsid w:val="00A528A8"/>
    <w:rsid w:val="00A57821"/>
    <w:rsid w:val="00A604AE"/>
    <w:rsid w:val="00A61C75"/>
    <w:rsid w:val="00A61D6A"/>
    <w:rsid w:val="00A62E1D"/>
    <w:rsid w:val="00A638DB"/>
    <w:rsid w:val="00A64A87"/>
    <w:rsid w:val="00A659F6"/>
    <w:rsid w:val="00A66914"/>
    <w:rsid w:val="00A67BCC"/>
    <w:rsid w:val="00A70A52"/>
    <w:rsid w:val="00A70C68"/>
    <w:rsid w:val="00A729D0"/>
    <w:rsid w:val="00A7356A"/>
    <w:rsid w:val="00A747C8"/>
    <w:rsid w:val="00A75667"/>
    <w:rsid w:val="00A80303"/>
    <w:rsid w:val="00A81821"/>
    <w:rsid w:val="00A8438F"/>
    <w:rsid w:val="00A84B09"/>
    <w:rsid w:val="00A91696"/>
    <w:rsid w:val="00A93155"/>
    <w:rsid w:val="00A96AD6"/>
    <w:rsid w:val="00A970AE"/>
    <w:rsid w:val="00AA2DA9"/>
    <w:rsid w:val="00AA63D5"/>
    <w:rsid w:val="00AA6CE8"/>
    <w:rsid w:val="00AB2BDE"/>
    <w:rsid w:val="00AB7462"/>
    <w:rsid w:val="00AB7EEB"/>
    <w:rsid w:val="00AC1058"/>
    <w:rsid w:val="00AC1B3A"/>
    <w:rsid w:val="00AC2C56"/>
    <w:rsid w:val="00AC2CDA"/>
    <w:rsid w:val="00AD022F"/>
    <w:rsid w:val="00AD24B3"/>
    <w:rsid w:val="00AD727E"/>
    <w:rsid w:val="00AE26A9"/>
    <w:rsid w:val="00AE37E8"/>
    <w:rsid w:val="00AE3BE4"/>
    <w:rsid w:val="00AE56BA"/>
    <w:rsid w:val="00AE5B8E"/>
    <w:rsid w:val="00AE68CB"/>
    <w:rsid w:val="00AF367B"/>
    <w:rsid w:val="00AF3D6F"/>
    <w:rsid w:val="00AF4919"/>
    <w:rsid w:val="00AF52BC"/>
    <w:rsid w:val="00B02EF6"/>
    <w:rsid w:val="00B0312F"/>
    <w:rsid w:val="00B05521"/>
    <w:rsid w:val="00B109BC"/>
    <w:rsid w:val="00B148CC"/>
    <w:rsid w:val="00B158CD"/>
    <w:rsid w:val="00B1667E"/>
    <w:rsid w:val="00B20A0A"/>
    <w:rsid w:val="00B20CB5"/>
    <w:rsid w:val="00B233B1"/>
    <w:rsid w:val="00B30CE1"/>
    <w:rsid w:val="00B31DDF"/>
    <w:rsid w:val="00B372DC"/>
    <w:rsid w:val="00B37BC2"/>
    <w:rsid w:val="00B416F2"/>
    <w:rsid w:val="00B4459C"/>
    <w:rsid w:val="00B53597"/>
    <w:rsid w:val="00B54C31"/>
    <w:rsid w:val="00B54E12"/>
    <w:rsid w:val="00B551DD"/>
    <w:rsid w:val="00B602CB"/>
    <w:rsid w:val="00B62F3A"/>
    <w:rsid w:val="00B651E8"/>
    <w:rsid w:val="00B66AE7"/>
    <w:rsid w:val="00B67EA8"/>
    <w:rsid w:val="00B73EA4"/>
    <w:rsid w:val="00B7556C"/>
    <w:rsid w:val="00B75E15"/>
    <w:rsid w:val="00B76D3A"/>
    <w:rsid w:val="00B80248"/>
    <w:rsid w:val="00B804C7"/>
    <w:rsid w:val="00B80B58"/>
    <w:rsid w:val="00B82203"/>
    <w:rsid w:val="00B92059"/>
    <w:rsid w:val="00B9601D"/>
    <w:rsid w:val="00B97350"/>
    <w:rsid w:val="00BA35A4"/>
    <w:rsid w:val="00BA3F01"/>
    <w:rsid w:val="00BA5F42"/>
    <w:rsid w:val="00BA5FE6"/>
    <w:rsid w:val="00BA6555"/>
    <w:rsid w:val="00BB0B60"/>
    <w:rsid w:val="00BB2BA8"/>
    <w:rsid w:val="00BB3C79"/>
    <w:rsid w:val="00BB49EF"/>
    <w:rsid w:val="00BB7425"/>
    <w:rsid w:val="00BC15FD"/>
    <w:rsid w:val="00BC1709"/>
    <w:rsid w:val="00BC1DF8"/>
    <w:rsid w:val="00BC74BD"/>
    <w:rsid w:val="00BD080E"/>
    <w:rsid w:val="00BD1D99"/>
    <w:rsid w:val="00BD25F0"/>
    <w:rsid w:val="00BD416C"/>
    <w:rsid w:val="00BD4859"/>
    <w:rsid w:val="00BD58F3"/>
    <w:rsid w:val="00BE117E"/>
    <w:rsid w:val="00BE18AD"/>
    <w:rsid w:val="00BE64EB"/>
    <w:rsid w:val="00BE7AA8"/>
    <w:rsid w:val="00BF07E0"/>
    <w:rsid w:val="00BF3698"/>
    <w:rsid w:val="00BF481D"/>
    <w:rsid w:val="00BF4A80"/>
    <w:rsid w:val="00C00E38"/>
    <w:rsid w:val="00C01438"/>
    <w:rsid w:val="00C01CE4"/>
    <w:rsid w:val="00C068D0"/>
    <w:rsid w:val="00C12555"/>
    <w:rsid w:val="00C12CD6"/>
    <w:rsid w:val="00C13907"/>
    <w:rsid w:val="00C17933"/>
    <w:rsid w:val="00C20E31"/>
    <w:rsid w:val="00C2376F"/>
    <w:rsid w:val="00C25F4F"/>
    <w:rsid w:val="00C320AD"/>
    <w:rsid w:val="00C331F5"/>
    <w:rsid w:val="00C35951"/>
    <w:rsid w:val="00C36FBC"/>
    <w:rsid w:val="00C37E87"/>
    <w:rsid w:val="00C41EAF"/>
    <w:rsid w:val="00C431AD"/>
    <w:rsid w:val="00C4764C"/>
    <w:rsid w:val="00C515F7"/>
    <w:rsid w:val="00C5383D"/>
    <w:rsid w:val="00C54F00"/>
    <w:rsid w:val="00C63902"/>
    <w:rsid w:val="00C63A5B"/>
    <w:rsid w:val="00C63EA9"/>
    <w:rsid w:val="00C676BC"/>
    <w:rsid w:val="00C67EF7"/>
    <w:rsid w:val="00C7035D"/>
    <w:rsid w:val="00C72214"/>
    <w:rsid w:val="00C74130"/>
    <w:rsid w:val="00C828E6"/>
    <w:rsid w:val="00C929BF"/>
    <w:rsid w:val="00C95C44"/>
    <w:rsid w:val="00CA37B7"/>
    <w:rsid w:val="00CA3D8B"/>
    <w:rsid w:val="00CA480E"/>
    <w:rsid w:val="00CA4AD0"/>
    <w:rsid w:val="00CA662F"/>
    <w:rsid w:val="00CB3BCD"/>
    <w:rsid w:val="00CB483E"/>
    <w:rsid w:val="00CB535B"/>
    <w:rsid w:val="00CB6BA5"/>
    <w:rsid w:val="00CC0192"/>
    <w:rsid w:val="00CC0BB0"/>
    <w:rsid w:val="00CC2AE6"/>
    <w:rsid w:val="00CC4BD6"/>
    <w:rsid w:val="00CC563E"/>
    <w:rsid w:val="00CC6167"/>
    <w:rsid w:val="00CC6749"/>
    <w:rsid w:val="00CD274C"/>
    <w:rsid w:val="00CD4C78"/>
    <w:rsid w:val="00CD650E"/>
    <w:rsid w:val="00CD6D65"/>
    <w:rsid w:val="00CE4C45"/>
    <w:rsid w:val="00CE744E"/>
    <w:rsid w:val="00CF704E"/>
    <w:rsid w:val="00D009B3"/>
    <w:rsid w:val="00D01C67"/>
    <w:rsid w:val="00D04156"/>
    <w:rsid w:val="00D04446"/>
    <w:rsid w:val="00D1512E"/>
    <w:rsid w:val="00D20306"/>
    <w:rsid w:val="00D21040"/>
    <w:rsid w:val="00D22AAE"/>
    <w:rsid w:val="00D22CC5"/>
    <w:rsid w:val="00D27188"/>
    <w:rsid w:val="00D276DE"/>
    <w:rsid w:val="00D308F1"/>
    <w:rsid w:val="00D37632"/>
    <w:rsid w:val="00D37B2B"/>
    <w:rsid w:val="00D4041A"/>
    <w:rsid w:val="00D410AC"/>
    <w:rsid w:val="00D4260D"/>
    <w:rsid w:val="00D47F8B"/>
    <w:rsid w:val="00D50177"/>
    <w:rsid w:val="00D65CD8"/>
    <w:rsid w:val="00D6772A"/>
    <w:rsid w:val="00D7114C"/>
    <w:rsid w:val="00D7364F"/>
    <w:rsid w:val="00D76868"/>
    <w:rsid w:val="00D770E7"/>
    <w:rsid w:val="00D80009"/>
    <w:rsid w:val="00D83156"/>
    <w:rsid w:val="00D8672C"/>
    <w:rsid w:val="00D87179"/>
    <w:rsid w:val="00D87228"/>
    <w:rsid w:val="00D90462"/>
    <w:rsid w:val="00D92162"/>
    <w:rsid w:val="00D930B7"/>
    <w:rsid w:val="00D9348A"/>
    <w:rsid w:val="00D95491"/>
    <w:rsid w:val="00D9604F"/>
    <w:rsid w:val="00D96201"/>
    <w:rsid w:val="00D96FE2"/>
    <w:rsid w:val="00DA1A8D"/>
    <w:rsid w:val="00DA1A92"/>
    <w:rsid w:val="00DA41D1"/>
    <w:rsid w:val="00DA5A61"/>
    <w:rsid w:val="00DA64BC"/>
    <w:rsid w:val="00DA6E41"/>
    <w:rsid w:val="00DB23C8"/>
    <w:rsid w:val="00DB2FF3"/>
    <w:rsid w:val="00DB361B"/>
    <w:rsid w:val="00DB7DC3"/>
    <w:rsid w:val="00DC192F"/>
    <w:rsid w:val="00DC266F"/>
    <w:rsid w:val="00DC3165"/>
    <w:rsid w:val="00DC4136"/>
    <w:rsid w:val="00DC49FB"/>
    <w:rsid w:val="00DC7EB0"/>
    <w:rsid w:val="00DD0554"/>
    <w:rsid w:val="00DD6AC5"/>
    <w:rsid w:val="00DE079A"/>
    <w:rsid w:val="00DE1689"/>
    <w:rsid w:val="00DE22BC"/>
    <w:rsid w:val="00DE3FB9"/>
    <w:rsid w:val="00DE4A1F"/>
    <w:rsid w:val="00DE4BD6"/>
    <w:rsid w:val="00DE5D1C"/>
    <w:rsid w:val="00DF15D3"/>
    <w:rsid w:val="00DF689D"/>
    <w:rsid w:val="00DF73D8"/>
    <w:rsid w:val="00E0340F"/>
    <w:rsid w:val="00E03767"/>
    <w:rsid w:val="00E03D0A"/>
    <w:rsid w:val="00E07951"/>
    <w:rsid w:val="00E07A31"/>
    <w:rsid w:val="00E11302"/>
    <w:rsid w:val="00E1252B"/>
    <w:rsid w:val="00E14737"/>
    <w:rsid w:val="00E14C0F"/>
    <w:rsid w:val="00E2116C"/>
    <w:rsid w:val="00E265F0"/>
    <w:rsid w:val="00E276E9"/>
    <w:rsid w:val="00E30697"/>
    <w:rsid w:val="00E3591A"/>
    <w:rsid w:val="00E35E11"/>
    <w:rsid w:val="00E50D36"/>
    <w:rsid w:val="00E50E52"/>
    <w:rsid w:val="00E55B36"/>
    <w:rsid w:val="00E60585"/>
    <w:rsid w:val="00E71028"/>
    <w:rsid w:val="00E73DC9"/>
    <w:rsid w:val="00E74745"/>
    <w:rsid w:val="00E76350"/>
    <w:rsid w:val="00E86D50"/>
    <w:rsid w:val="00E87A5F"/>
    <w:rsid w:val="00E9046A"/>
    <w:rsid w:val="00E94E58"/>
    <w:rsid w:val="00E952C4"/>
    <w:rsid w:val="00EA32A7"/>
    <w:rsid w:val="00EA4654"/>
    <w:rsid w:val="00EA72DE"/>
    <w:rsid w:val="00EB2F66"/>
    <w:rsid w:val="00EB7F6B"/>
    <w:rsid w:val="00EC22DF"/>
    <w:rsid w:val="00EC594E"/>
    <w:rsid w:val="00EC71EF"/>
    <w:rsid w:val="00ED1B71"/>
    <w:rsid w:val="00ED5D19"/>
    <w:rsid w:val="00ED6372"/>
    <w:rsid w:val="00ED677F"/>
    <w:rsid w:val="00EE0505"/>
    <w:rsid w:val="00EE4907"/>
    <w:rsid w:val="00EE76E9"/>
    <w:rsid w:val="00EF03DC"/>
    <w:rsid w:val="00EF0ACD"/>
    <w:rsid w:val="00EF0F09"/>
    <w:rsid w:val="00EF1190"/>
    <w:rsid w:val="00EF17DB"/>
    <w:rsid w:val="00EF3E39"/>
    <w:rsid w:val="00F02F8B"/>
    <w:rsid w:val="00F039B9"/>
    <w:rsid w:val="00F04B69"/>
    <w:rsid w:val="00F0567F"/>
    <w:rsid w:val="00F14807"/>
    <w:rsid w:val="00F16F66"/>
    <w:rsid w:val="00F31213"/>
    <w:rsid w:val="00F36147"/>
    <w:rsid w:val="00F431C3"/>
    <w:rsid w:val="00F43641"/>
    <w:rsid w:val="00F44015"/>
    <w:rsid w:val="00F45F6E"/>
    <w:rsid w:val="00F469A9"/>
    <w:rsid w:val="00F47314"/>
    <w:rsid w:val="00F5219E"/>
    <w:rsid w:val="00F5508F"/>
    <w:rsid w:val="00F5513F"/>
    <w:rsid w:val="00F561DE"/>
    <w:rsid w:val="00F62460"/>
    <w:rsid w:val="00F628CA"/>
    <w:rsid w:val="00F64E45"/>
    <w:rsid w:val="00F66F69"/>
    <w:rsid w:val="00F67009"/>
    <w:rsid w:val="00F73964"/>
    <w:rsid w:val="00F77462"/>
    <w:rsid w:val="00F81056"/>
    <w:rsid w:val="00F824E4"/>
    <w:rsid w:val="00F84F13"/>
    <w:rsid w:val="00F858AB"/>
    <w:rsid w:val="00F87820"/>
    <w:rsid w:val="00F90EB6"/>
    <w:rsid w:val="00F9109B"/>
    <w:rsid w:val="00F95693"/>
    <w:rsid w:val="00F976C7"/>
    <w:rsid w:val="00F97FD7"/>
    <w:rsid w:val="00FA02A0"/>
    <w:rsid w:val="00FA1710"/>
    <w:rsid w:val="00FA26CE"/>
    <w:rsid w:val="00FA7F4A"/>
    <w:rsid w:val="00FB0333"/>
    <w:rsid w:val="00FB1565"/>
    <w:rsid w:val="00FB2427"/>
    <w:rsid w:val="00FB4A57"/>
    <w:rsid w:val="00FB624C"/>
    <w:rsid w:val="00FC2323"/>
    <w:rsid w:val="00FC29C8"/>
    <w:rsid w:val="00FC2F00"/>
    <w:rsid w:val="00FC676D"/>
    <w:rsid w:val="00FD07DC"/>
    <w:rsid w:val="00FD19AC"/>
    <w:rsid w:val="00FD1F1D"/>
    <w:rsid w:val="00FD3A91"/>
    <w:rsid w:val="00FE0BEA"/>
    <w:rsid w:val="00FE2376"/>
    <w:rsid w:val="00FE278B"/>
    <w:rsid w:val="00FE706E"/>
    <w:rsid w:val="00FF10CC"/>
    <w:rsid w:val="00FF3790"/>
    <w:rsid w:val="00FF4753"/>
    <w:rsid w:val="00FF716F"/>
    <w:rsid w:val="00FF765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3F8D9"/>
  <w15:chartTrackingRefBased/>
  <w15:docId w15:val="{32F9F6A8-D16F-BB44-A40A-01CE3CB7F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3C3"/>
    <w:rPr>
      <w:rFonts w:ascii="Times New Roman" w:eastAsia="Times New Roman" w:hAnsi="Times New Roman" w:cs="Times New Roman"/>
    </w:rPr>
  </w:style>
  <w:style w:type="paragraph" w:styleId="Heading1">
    <w:name w:val="heading 1"/>
    <w:basedOn w:val="Normal"/>
    <w:next w:val="Normal"/>
    <w:link w:val="Heading1Char"/>
    <w:uiPriority w:val="9"/>
    <w:qFormat/>
    <w:rsid w:val="00BF48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A1A8D"/>
    <w:pPr>
      <w:keepNext/>
      <w:keepLines/>
      <w:spacing w:before="40" w:line="276" w:lineRule="auto"/>
      <w:outlineLvl w:val="1"/>
    </w:pPr>
    <w:rPr>
      <w:rFonts w:ascii="Calibri" w:eastAsiaTheme="majorEastAsia" w:hAnsi="Calibri" w:cs="Calibri"/>
      <w:color w:val="2F5496" w:themeColor="accent1" w:themeShade="BF"/>
      <w:sz w:val="26"/>
      <w:szCs w:val="26"/>
    </w:rPr>
  </w:style>
  <w:style w:type="paragraph" w:styleId="Heading3">
    <w:name w:val="heading 3"/>
    <w:basedOn w:val="Normal"/>
    <w:next w:val="Normal"/>
    <w:link w:val="Heading3Char"/>
    <w:uiPriority w:val="9"/>
    <w:unhideWhenUsed/>
    <w:qFormat/>
    <w:rsid w:val="00DE4A1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DE4A1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582F95"/>
    <w:pPr>
      <w:tabs>
        <w:tab w:val="right" w:leader="dot" w:pos="9350"/>
      </w:tabs>
      <w:spacing w:before="120"/>
    </w:pPr>
    <w:rPr>
      <w:rFonts w:asciiTheme="minorHAnsi" w:eastAsiaTheme="minorHAnsi" w:hAnsiTheme="minorHAnsi" w:cstheme="minorHAnsi"/>
      <w:b/>
      <w:bCs/>
      <w:i/>
      <w:iCs/>
    </w:rPr>
  </w:style>
  <w:style w:type="paragraph" w:styleId="TOC2">
    <w:name w:val="toc 2"/>
    <w:basedOn w:val="Normal"/>
    <w:next w:val="Normal"/>
    <w:autoRedefine/>
    <w:uiPriority w:val="39"/>
    <w:unhideWhenUsed/>
    <w:rsid w:val="007848A7"/>
    <w:pPr>
      <w:spacing w:before="120"/>
      <w:ind w:left="240"/>
    </w:pPr>
    <w:rPr>
      <w:rFonts w:asciiTheme="minorHAnsi" w:eastAsiaTheme="minorHAnsi" w:hAnsiTheme="minorHAnsi" w:cstheme="minorHAnsi"/>
      <w:b/>
      <w:bCs/>
      <w:sz w:val="22"/>
      <w:szCs w:val="22"/>
    </w:rPr>
  </w:style>
  <w:style w:type="character" w:styleId="Hyperlink">
    <w:name w:val="Hyperlink"/>
    <w:basedOn w:val="DefaultParagraphFont"/>
    <w:uiPriority w:val="99"/>
    <w:unhideWhenUsed/>
    <w:rsid w:val="007848A7"/>
    <w:rPr>
      <w:color w:val="0563C1" w:themeColor="hyperlink"/>
      <w:u w:val="single"/>
    </w:rPr>
  </w:style>
  <w:style w:type="paragraph" w:styleId="ListParagraph">
    <w:name w:val="List Paragraph"/>
    <w:basedOn w:val="Normal"/>
    <w:uiPriority w:val="34"/>
    <w:qFormat/>
    <w:rsid w:val="007848A7"/>
    <w:pPr>
      <w:ind w:left="720"/>
      <w:contextualSpacing/>
    </w:pPr>
    <w:rPr>
      <w:rFonts w:asciiTheme="minorHAnsi" w:eastAsiaTheme="minorHAnsi" w:hAnsiTheme="minorHAnsi" w:cstheme="minorBidi"/>
    </w:rPr>
  </w:style>
  <w:style w:type="paragraph" w:styleId="Title">
    <w:name w:val="Title"/>
    <w:basedOn w:val="Normal"/>
    <w:next w:val="Normal"/>
    <w:link w:val="TitleChar"/>
    <w:uiPriority w:val="10"/>
    <w:qFormat/>
    <w:rsid w:val="007848A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48A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15260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15260C"/>
  </w:style>
  <w:style w:type="character" w:styleId="PageNumber">
    <w:name w:val="page number"/>
    <w:basedOn w:val="DefaultParagraphFont"/>
    <w:uiPriority w:val="99"/>
    <w:semiHidden/>
    <w:unhideWhenUsed/>
    <w:rsid w:val="0015260C"/>
  </w:style>
  <w:style w:type="paragraph" w:styleId="Revision">
    <w:name w:val="Revision"/>
    <w:hidden/>
    <w:uiPriority w:val="99"/>
    <w:semiHidden/>
    <w:rsid w:val="0015260C"/>
  </w:style>
  <w:style w:type="character" w:styleId="CommentReference">
    <w:name w:val="annotation reference"/>
    <w:basedOn w:val="DefaultParagraphFont"/>
    <w:uiPriority w:val="99"/>
    <w:semiHidden/>
    <w:unhideWhenUsed/>
    <w:rsid w:val="008318D4"/>
    <w:rPr>
      <w:sz w:val="16"/>
      <w:szCs w:val="16"/>
    </w:rPr>
  </w:style>
  <w:style w:type="paragraph" w:styleId="CommentText">
    <w:name w:val="annotation text"/>
    <w:basedOn w:val="Normal"/>
    <w:link w:val="CommentTextChar"/>
    <w:uiPriority w:val="99"/>
    <w:unhideWhenUsed/>
    <w:rsid w:val="008318D4"/>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318D4"/>
    <w:rPr>
      <w:sz w:val="20"/>
      <w:szCs w:val="20"/>
    </w:rPr>
  </w:style>
  <w:style w:type="paragraph" w:styleId="CommentSubject">
    <w:name w:val="annotation subject"/>
    <w:basedOn w:val="CommentText"/>
    <w:next w:val="CommentText"/>
    <w:link w:val="CommentSubjectChar"/>
    <w:uiPriority w:val="99"/>
    <w:semiHidden/>
    <w:unhideWhenUsed/>
    <w:rsid w:val="008318D4"/>
    <w:rPr>
      <w:b/>
      <w:bCs/>
    </w:rPr>
  </w:style>
  <w:style w:type="character" w:customStyle="1" w:styleId="CommentSubjectChar">
    <w:name w:val="Comment Subject Char"/>
    <w:basedOn w:val="CommentTextChar"/>
    <w:link w:val="CommentSubject"/>
    <w:uiPriority w:val="99"/>
    <w:semiHidden/>
    <w:rsid w:val="008318D4"/>
    <w:rPr>
      <w:b/>
      <w:bCs/>
      <w:sz w:val="20"/>
      <w:szCs w:val="20"/>
    </w:rPr>
  </w:style>
  <w:style w:type="character" w:customStyle="1" w:styleId="Heading1Char">
    <w:name w:val="Heading 1 Char"/>
    <w:basedOn w:val="DefaultParagraphFont"/>
    <w:link w:val="Heading1"/>
    <w:uiPriority w:val="9"/>
    <w:rsid w:val="00BF481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F481D"/>
    <w:pPr>
      <w:outlineLvl w:val="9"/>
    </w:pPr>
  </w:style>
  <w:style w:type="character" w:customStyle="1" w:styleId="Heading2Char">
    <w:name w:val="Heading 2 Char"/>
    <w:basedOn w:val="DefaultParagraphFont"/>
    <w:link w:val="Heading2"/>
    <w:uiPriority w:val="9"/>
    <w:rsid w:val="00DA1A8D"/>
    <w:rPr>
      <w:rFonts w:ascii="Calibri" w:eastAsiaTheme="majorEastAsia" w:hAnsi="Calibri" w:cs="Calibri"/>
      <w:color w:val="2F5496" w:themeColor="accent1" w:themeShade="BF"/>
      <w:sz w:val="26"/>
      <w:szCs w:val="26"/>
    </w:rPr>
  </w:style>
  <w:style w:type="paragraph" w:styleId="TOC3">
    <w:name w:val="toc 3"/>
    <w:basedOn w:val="Normal"/>
    <w:next w:val="Normal"/>
    <w:autoRedefine/>
    <w:uiPriority w:val="39"/>
    <w:unhideWhenUsed/>
    <w:rsid w:val="00BF481D"/>
    <w:pPr>
      <w:ind w:left="480"/>
    </w:pPr>
    <w:rPr>
      <w:rFonts w:asciiTheme="minorHAnsi" w:eastAsiaTheme="minorHAnsi" w:hAnsiTheme="minorHAnsi" w:cstheme="minorHAnsi"/>
      <w:sz w:val="20"/>
      <w:szCs w:val="20"/>
    </w:rPr>
  </w:style>
  <w:style w:type="paragraph" w:styleId="TOC4">
    <w:name w:val="toc 4"/>
    <w:basedOn w:val="Normal"/>
    <w:next w:val="Normal"/>
    <w:autoRedefine/>
    <w:uiPriority w:val="39"/>
    <w:semiHidden/>
    <w:unhideWhenUsed/>
    <w:rsid w:val="00BF481D"/>
    <w:pPr>
      <w:ind w:left="720"/>
    </w:pPr>
    <w:rPr>
      <w:rFonts w:cstheme="minorHAnsi"/>
      <w:sz w:val="20"/>
      <w:szCs w:val="20"/>
    </w:rPr>
  </w:style>
  <w:style w:type="paragraph" w:styleId="TOC5">
    <w:name w:val="toc 5"/>
    <w:basedOn w:val="Normal"/>
    <w:next w:val="Normal"/>
    <w:autoRedefine/>
    <w:uiPriority w:val="39"/>
    <w:semiHidden/>
    <w:unhideWhenUsed/>
    <w:rsid w:val="00BF481D"/>
    <w:pPr>
      <w:ind w:left="960"/>
    </w:pPr>
    <w:rPr>
      <w:rFonts w:cstheme="minorHAnsi"/>
      <w:sz w:val="20"/>
      <w:szCs w:val="20"/>
    </w:rPr>
  </w:style>
  <w:style w:type="paragraph" w:styleId="TOC6">
    <w:name w:val="toc 6"/>
    <w:basedOn w:val="Normal"/>
    <w:next w:val="Normal"/>
    <w:autoRedefine/>
    <w:uiPriority w:val="39"/>
    <w:semiHidden/>
    <w:unhideWhenUsed/>
    <w:rsid w:val="00BF481D"/>
    <w:pPr>
      <w:ind w:left="1200"/>
    </w:pPr>
    <w:rPr>
      <w:rFonts w:cstheme="minorHAnsi"/>
      <w:sz w:val="20"/>
      <w:szCs w:val="20"/>
    </w:rPr>
  </w:style>
  <w:style w:type="paragraph" w:styleId="TOC7">
    <w:name w:val="toc 7"/>
    <w:basedOn w:val="Normal"/>
    <w:next w:val="Normal"/>
    <w:autoRedefine/>
    <w:uiPriority w:val="39"/>
    <w:semiHidden/>
    <w:unhideWhenUsed/>
    <w:rsid w:val="00BF481D"/>
    <w:pPr>
      <w:ind w:left="1440"/>
    </w:pPr>
    <w:rPr>
      <w:rFonts w:cstheme="minorHAnsi"/>
      <w:sz w:val="20"/>
      <w:szCs w:val="20"/>
    </w:rPr>
  </w:style>
  <w:style w:type="paragraph" w:styleId="TOC8">
    <w:name w:val="toc 8"/>
    <w:basedOn w:val="Normal"/>
    <w:next w:val="Normal"/>
    <w:autoRedefine/>
    <w:uiPriority w:val="39"/>
    <w:semiHidden/>
    <w:unhideWhenUsed/>
    <w:rsid w:val="00BF481D"/>
    <w:pPr>
      <w:ind w:left="1680"/>
    </w:pPr>
    <w:rPr>
      <w:rFonts w:cstheme="minorHAnsi"/>
      <w:sz w:val="20"/>
      <w:szCs w:val="20"/>
    </w:rPr>
  </w:style>
  <w:style w:type="paragraph" w:styleId="TOC9">
    <w:name w:val="toc 9"/>
    <w:basedOn w:val="Normal"/>
    <w:next w:val="Normal"/>
    <w:autoRedefine/>
    <w:uiPriority w:val="39"/>
    <w:semiHidden/>
    <w:unhideWhenUsed/>
    <w:rsid w:val="00BF481D"/>
    <w:pPr>
      <w:ind w:left="1920"/>
    </w:pPr>
    <w:rPr>
      <w:rFonts w:cstheme="minorHAnsi"/>
      <w:sz w:val="20"/>
      <w:szCs w:val="20"/>
    </w:r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unhideWhenUsed/>
    <w:qFormat/>
    <w:rsid w:val="00756006"/>
    <w:rPr>
      <w:rFonts w:ascii="Calibri" w:eastAsia="Calibri" w:hAnsi="Calibri" w:cs="Calibri"/>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756006"/>
    <w:rPr>
      <w:rFonts w:ascii="Calibri" w:eastAsia="Calibri" w:hAnsi="Calibri" w:cs="Calibri"/>
      <w:sz w:val="20"/>
      <w:szCs w:val="20"/>
    </w:rPr>
  </w:style>
  <w:style w:type="character" w:styleId="FootnoteReference">
    <w:name w:val="footnote reference"/>
    <w:aliases w:val="Footnote_Reference,o,fr,TT - Footnote Reference,Style 17,o + Times New Roman,FC,Style 9"/>
    <w:basedOn w:val="DefaultParagraphFont"/>
    <w:uiPriority w:val="99"/>
    <w:unhideWhenUsed/>
    <w:qFormat/>
    <w:rsid w:val="00756006"/>
    <w:rPr>
      <w:vertAlign w:val="superscript"/>
    </w:rPr>
  </w:style>
  <w:style w:type="paragraph" w:styleId="Caption">
    <w:name w:val="caption"/>
    <w:basedOn w:val="Normal"/>
    <w:next w:val="Normal"/>
    <w:uiPriority w:val="35"/>
    <w:unhideWhenUsed/>
    <w:qFormat/>
    <w:rsid w:val="00756006"/>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756006"/>
    <w:rPr>
      <w:color w:val="605E5C"/>
      <w:shd w:val="clear" w:color="auto" w:fill="E1DFDD"/>
    </w:rPr>
  </w:style>
  <w:style w:type="character" w:customStyle="1" w:styleId="Heading3Char">
    <w:name w:val="Heading 3 Char"/>
    <w:basedOn w:val="DefaultParagraphFont"/>
    <w:link w:val="Heading3"/>
    <w:uiPriority w:val="9"/>
    <w:rsid w:val="00DE4A1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DE4A1F"/>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6963E8"/>
    <w:pPr>
      <w:spacing w:before="100" w:beforeAutospacing="1" w:after="100" w:afterAutospacing="1"/>
    </w:pPr>
  </w:style>
  <w:style w:type="table" w:styleId="GridTable4-Accent1">
    <w:name w:val="Grid Table 4 Accent 1"/>
    <w:basedOn w:val="TableNormal"/>
    <w:uiPriority w:val="49"/>
    <w:rsid w:val="00E276E9"/>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ableofFigures">
    <w:name w:val="table of figures"/>
    <w:basedOn w:val="Normal"/>
    <w:next w:val="Normal"/>
    <w:uiPriority w:val="99"/>
    <w:unhideWhenUsed/>
    <w:rsid w:val="00E952C4"/>
    <w:rPr>
      <w:rFonts w:asciiTheme="minorHAnsi" w:eastAsiaTheme="minorHAnsi" w:hAnsiTheme="minorHAnsi" w:cstheme="minorBidi"/>
    </w:rPr>
  </w:style>
  <w:style w:type="paragraph" w:styleId="Header">
    <w:name w:val="header"/>
    <w:basedOn w:val="Normal"/>
    <w:link w:val="HeaderChar"/>
    <w:uiPriority w:val="99"/>
    <w:unhideWhenUsed/>
    <w:rsid w:val="001760A2"/>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760A2"/>
  </w:style>
  <w:style w:type="character" w:customStyle="1" w:styleId="apple-converted-space">
    <w:name w:val="apple-converted-space"/>
    <w:basedOn w:val="DefaultParagraphFont"/>
    <w:rsid w:val="006F5443"/>
  </w:style>
  <w:style w:type="table" w:styleId="TableGrid">
    <w:name w:val="Table Grid"/>
    <w:basedOn w:val="TableNormal"/>
    <w:uiPriority w:val="39"/>
    <w:rsid w:val="00904BF8"/>
    <w:rPr>
      <w:rFonts w:ascii="Times New Roman" w:hAnsi="Times New Roman" w:cs="Times New Roman"/>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F592F"/>
    <w:rPr>
      <w:color w:val="954F72" w:themeColor="followedHyperlink"/>
      <w:u w:val="single"/>
    </w:rPr>
  </w:style>
  <w:style w:type="paragraph" w:customStyle="1" w:styleId="Normal-Table">
    <w:name w:val="Normal - Table"/>
    <w:basedOn w:val="Normal"/>
    <w:qFormat/>
    <w:rsid w:val="00C431AD"/>
    <w:pPr>
      <w:spacing w:line="276" w:lineRule="auto"/>
    </w:pPr>
    <w:rPr>
      <w:rFonts w:ascii="Arial" w:eastAsiaTheme="minorEastAsia" w:hAnsi="Arial"/>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534">
      <w:bodyDiv w:val="1"/>
      <w:marLeft w:val="0"/>
      <w:marRight w:val="0"/>
      <w:marTop w:val="0"/>
      <w:marBottom w:val="0"/>
      <w:divBdr>
        <w:top w:val="none" w:sz="0" w:space="0" w:color="auto"/>
        <w:left w:val="none" w:sz="0" w:space="0" w:color="auto"/>
        <w:bottom w:val="none" w:sz="0" w:space="0" w:color="auto"/>
        <w:right w:val="none" w:sz="0" w:space="0" w:color="auto"/>
      </w:divBdr>
    </w:div>
    <w:div w:id="16975240">
      <w:bodyDiv w:val="1"/>
      <w:marLeft w:val="0"/>
      <w:marRight w:val="0"/>
      <w:marTop w:val="0"/>
      <w:marBottom w:val="0"/>
      <w:divBdr>
        <w:top w:val="none" w:sz="0" w:space="0" w:color="auto"/>
        <w:left w:val="none" w:sz="0" w:space="0" w:color="auto"/>
        <w:bottom w:val="none" w:sz="0" w:space="0" w:color="auto"/>
        <w:right w:val="none" w:sz="0" w:space="0" w:color="auto"/>
      </w:divBdr>
    </w:div>
    <w:div w:id="59914433">
      <w:bodyDiv w:val="1"/>
      <w:marLeft w:val="0"/>
      <w:marRight w:val="0"/>
      <w:marTop w:val="0"/>
      <w:marBottom w:val="0"/>
      <w:divBdr>
        <w:top w:val="none" w:sz="0" w:space="0" w:color="auto"/>
        <w:left w:val="none" w:sz="0" w:space="0" w:color="auto"/>
        <w:bottom w:val="none" w:sz="0" w:space="0" w:color="auto"/>
        <w:right w:val="none" w:sz="0" w:space="0" w:color="auto"/>
      </w:divBdr>
    </w:div>
    <w:div w:id="73360899">
      <w:bodyDiv w:val="1"/>
      <w:marLeft w:val="0"/>
      <w:marRight w:val="0"/>
      <w:marTop w:val="0"/>
      <w:marBottom w:val="0"/>
      <w:divBdr>
        <w:top w:val="none" w:sz="0" w:space="0" w:color="auto"/>
        <w:left w:val="none" w:sz="0" w:space="0" w:color="auto"/>
        <w:bottom w:val="none" w:sz="0" w:space="0" w:color="auto"/>
        <w:right w:val="none" w:sz="0" w:space="0" w:color="auto"/>
      </w:divBdr>
    </w:div>
    <w:div w:id="74403378">
      <w:bodyDiv w:val="1"/>
      <w:marLeft w:val="0"/>
      <w:marRight w:val="0"/>
      <w:marTop w:val="0"/>
      <w:marBottom w:val="0"/>
      <w:divBdr>
        <w:top w:val="none" w:sz="0" w:space="0" w:color="auto"/>
        <w:left w:val="none" w:sz="0" w:space="0" w:color="auto"/>
        <w:bottom w:val="none" w:sz="0" w:space="0" w:color="auto"/>
        <w:right w:val="none" w:sz="0" w:space="0" w:color="auto"/>
      </w:divBdr>
    </w:div>
    <w:div w:id="76709454">
      <w:bodyDiv w:val="1"/>
      <w:marLeft w:val="0"/>
      <w:marRight w:val="0"/>
      <w:marTop w:val="0"/>
      <w:marBottom w:val="0"/>
      <w:divBdr>
        <w:top w:val="none" w:sz="0" w:space="0" w:color="auto"/>
        <w:left w:val="none" w:sz="0" w:space="0" w:color="auto"/>
        <w:bottom w:val="none" w:sz="0" w:space="0" w:color="auto"/>
        <w:right w:val="none" w:sz="0" w:space="0" w:color="auto"/>
      </w:divBdr>
    </w:div>
    <w:div w:id="121509008">
      <w:bodyDiv w:val="1"/>
      <w:marLeft w:val="0"/>
      <w:marRight w:val="0"/>
      <w:marTop w:val="0"/>
      <w:marBottom w:val="0"/>
      <w:divBdr>
        <w:top w:val="none" w:sz="0" w:space="0" w:color="auto"/>
        <w:left w:val="none" w:sz="0" w:space="0" w:color="auto"/>
        <w:bottom w:val="none" w:sz="0" w:space="0" w:color="auto"/>
        <w:right w:val="none" w:sz="0" w:space="0" w:color="auto"/>
      </w:divBdr>
    </w:div>
    <w:div w:id="149445181">
      <w:bodyDiv w:val="1"/>
      <w:marLeft w:val="0"/>
      <w:marRight w:val="0"/>
      <w:marTop w:val="0"/>
      <w:marBottom w:val="0"/>
      <w:divBdr>
        <w:top w:val="none" w:sz="0" w:space="0" w:color="auto"/>
        <w:left w:val="none" w:sz="0" w:space="0" w:color="auto"/>
        <w:bottom w:val="none" w:sz="0" w:space="0" w:color="auto"/>
        <w:right w:val="none" w:sz="0" w:space="0" w:color="auto"/>
      </w:divBdr>
    </w:div>
    <w:div w:id="157312114">
      <w:bodyDiv w:val="1"/>
      <w:marLeft w:val="0"/>
      <w:marRight w:val="0"/>
      <w:marTop w:val="0"/>
      <w:marBottom w:val="0"/>
      <w:divBdr>
        <w:top w:val="none" w:sz="0" w:space="0" w:color="auto"/>
        <w:left w:val="none" w:sz="0" w:space="0" w:color="auto"/>
        <w:bottom w:val="none" w:sz="0" w:space="0" w:color="auto"/>
        <w:right w:val="none" w:sz="0" w:space="0" w:color="auto"/>
      </w:divBdr>
    </w:div>
    <w:div w:id="183636824">
      <w:bodyDiv w:val="1"/>
      <w:marLeft w:val="0"/>
      <w:marRight w:val="0"/>
      <w:marTop w:val="0"/>
      <w:marBottom w:val="0"/>
      <w:divBdr>
        <w:top w:val="none" w:sz="0" w:space="0" w:color="auto"/>
        <w:left w:val="none" w:sz="0" w:space="0" w:color="auto"/>
        <w:bottom w:val="none" w:sz="0" w:space="0" w:color="auto"/>
        <w:right w:val="none" w:sz="0" w:space="0" w:color="auto"/>
      </w:divBdr>
    </w:div>
    <w:div w:id="239676207">
      <w:bodyDiv w:val="1"/>
      <w:marLeft w:val="0"/>
      <w:marRight w:val="0"/>
      <w:marTop w:val="0"/>
      <w:marBottom w:val="0"/>
      <w:divBdr>
        <w:top w:val="none" w:sz="0" w:space="0" w:color="auto"/>
        <w:left w:val="none" w:sz="0" w:space="0" w:color="auto"/>
        <w:bottom w:val="none" w:sz="0" w:space="0" w:color="auto"/>
        <w:right w:val="none" w:sz="0" w:space="0" w:color="auto"/>
      </w:divBdr>
    </w:div>
    <w:div w:id="240529418">
      <w:bodyDiv w:val="1"/>
      <w:marLeft w:val="0"/>
      <w:marRight w:val="0"/>
      <w:marTop w:val="0"/>
      <w:marBottom w:val="0"/>
      <w:divBdr>
        <w:top w:val="none" w:sz="0" w:space="0" w:color="auto"/>
        <w:left w:val="none" w:sz="0" w:space="0" w:color="auto"/>
        <w:bottom w:val="none" w:sz="0" w:space="0" w:color="auto"/>
        <w:right w:val="none" w:sz="0" w:space="0" w:color="auto"/>
      </w:divBdr>
    </w:div>
    <w:div w:id="261956358">
      <w:bodyDiv w:val="1"/>
      <w:marLeft w:val="0"/>
      <w:marRight w:val="0"/>
      <w:marTop w:val="0"/>
      <w:marBottom w:val="0"/>
      <w:divBdr>
        <w:top w:val="none" w:sz="0" w:space="0" w:color="auto"/>
        <w:left w:val="none" w:sz="0" w:space="0" w:color="auto"/>
        <w:bottom w:val="none" w:sz="0" w:space="0" w:color="auto"/>
        <w:right w:val="none" w:sz="0" w:space="0" w:color="auto"/>
      </w:divBdr>
    </w:div>
    <w:div w:id="280766438">
      <w:bodyDiv w:val="1"/>
      <w:marLeft w:val="0"/>
      <w:marRight w:val="0"/>
      <w:marTop w:val="0"/>
      <w:marBottom w:val="0"/>
      <w:divBdr>
        <w:top w:val="none" w:sz="0" w:space="0" w:color="auto"/>
        <w:left w:val="none" w:sz="0" w:space="0" w:color="auto"/>
        <w:bottom w:val="none" w:sz="0" w:space="0" w:color="auto"/>
        <w:right w:val="none" w:sz="0" w:space="0" w:color="auto"/>
      </w:divBdr>
    </w:div>
    <w:div w:id="289626292">
      <w:bodyDiv w:val="1"/>
      <w:marLeft w:val="0"/>
      <w:marRight w:val="0"/>
      <w:marTop w:val="0"/>
      <w:marBottom w:val="0"/>
      <w:divBdr>
        <w:top w:val="none" w:sz="0" w:space="0" w:color="auto"/>
        <w:left w:val="none" w:sz="0" w:space="0" w:color="auto"/>
        <w:bottom w:val="none" w:sz="0" w:space="0" w:color="auto"/>
        <w:right w:val="none" w:sz="0" w:space="0" w:color="auto"/>
      </w:divBdr>
    </w:div>
    <w:div w:id="326902361">
      <w:bodyDiv w:val="1"/>
      <w:marLeft w:val="0"/>
      <w:marRight w:val="0"/>
      <w:marTop w:val="0"/>
      <w:marBottom w:val="0"/>
      <w:divBdr>
        <w:top w:val="none" w:sz="0" w:space="0" w:color="auto"/>
        <w:left w:val="none" w:sz="0" w:space="0" w:color="auto"/>
        <w:bottom w:val="none" w:sz="0" w:space="0" w:color="auto"/>
        <w:right w:val="none" w:sz="0" w:space="0" w:color="auto"/>
      </w:divBdr>
    </w:div>
    <w:div w:id="399183586">
      <w:bodyDiv w:val="1"/>
      <w:marLeft w:val="0"/>
      <w:marRight w:val="0"/>
      <w:marTop w:val="0"/>
      <w:marBottom w:val="0"/>
      <w:divBdr>
        <w:top w:val="none" w:sz="0" w:space="0" w:color="auto"/>
        <w:left w:val="none" w:sz="0" w:space="0" w:color="auto"/>
        <w:bottom w:val="none" w:sz="0" w:space="0" w:color="auto"/>
        <w:right w:val="none" w:sz="0" w:space="0" w:color="auto"/>
      </w:divBdr>
    </w:div>
    <w:div w:id="482815397">
      <w:bodyDiv w:val="1"/>
      <w:marLeft w:val="0"/>
      <w:marRight w:val="0"/>
      <w:marTop w:val="0"/>
      <w:marBottom w:val="0"/>
      <w:divBdr>
        <w:top w:val="none" w:sz="0" w:space="0" w:color="auto"/>
        <w:left w:val="none" w:sz="0" w:space="0" w:color="auto"/>
        <w:bottom w:val="none" w:sz="0" w:space="0" w:color="auto"/>
        <w:right w:val="none" w:sz="0" w:space="0" w:color="auto"/>
      </w:divBdr>
    </w:div>
    <w:div w:id="485247738">
      <w:bodyDiv w:val="1"/>
      <w:marLeft w:val="0"/>
      <w:marRight w:val="0"/>
      <w:marTop w:val="0"/>
      <w:marBottom w:val="0"/>
      <w:divBdr>
        <w:top w:val="none" w:sz="0" w:space="0" w:color="auto"/>
        <w:left w:val="none" w:sz="0" w:space="0" w:color="auto"/>
        <w:bottom w:val="none" w:sz="0" w:space="0" w:color="auto"/>
        <w:right w:val="none" w:sz="0" w:space="0" w:color="auto"/>
      </w:divBdr>
    </w:div>
    <w:div w:id="485828192">
      <w:bodyDiv w:val="1"/>
      <w:marLeft w:val="0"/>
      <w:marRight w:val="0"/>
      <w:marTop w:val="0"/>
      <w:marBottom w:val="0"/>
      <w:divBdr>
        <w:top w:val="none" w:sz="0" w:space="0" w:color="auto"/>
        <w:left w:val="none" w:sz="0" w:space="0" w:color="auto"/>
        <w:bottom w:val="none" w:sz="0" w:space="0" w:color="auto"/>
        <w:right w:val="none" w:sz="0" w:space="0" w:color="auto"/>
      </w:divBdr>
    </w:div>
    <w:div w:id="496313872">
      <w:bodyDiv w:val="1"/>
      <w:marLeft w:val="0"/>
      <w:marRight w:val="0"/>
      <w:marTop w:val="0"/>
      <w:marBottom w:val="0"/>
      <w:divBdr>
        <w:top w:val="none" w:sz="0" w:space="0" w:color="auto"/>
        <w:left w:val="none" w:sz="0" w:space="0" w:color="auto"/>
        <w:bottom w:val="none" w:sz="0" w:space="0" w:color="auto"/>
        <w:right w:val="none" w:sz="0" w:space="0" w:color="auto"/>
      </w:divBdr>
    </w:div>
    <w:div w:id="559707502">
      <w:bodyDiv w:val="1"/>
      <w:marLeft w:val="0"/>
      <w:marRight w:val="0"/>
      <w:marTop w:val="0"/>
      <w:marBottom w:val="0"/>
      <w:divBdr>
        <w:top w:val="none" w:sz="0" w:space="0" w:color="auto"/>
        <w:left w:val="none" w:sz="0" w:space="0" w:color="auto"/>
        <w:bottom w:val="none" w:sz="0" w:space="0" w:color="auto"/>
        <w:right w:val="none" w:sz="0" w:space="0" w:color="auto"/>
      </w:divBdr>
    </w:div>
    <w:div w:id="800150836">
      <w:bodyDiv w:val="1"/>
      <w:marLeft w:val="0"/>
      <w:marRight w:val="0"/>
      <w:marTop w:val="0"/>
      <w:marBottom w:val="0"/>
      <w:divBdr>
        <w:top w:val="none" w:sz="0" w:space="0" w:color="auto"/>
        <w:left w:val="none" w:sz="0" w:space="0" w:color="auto"/>
        <w:bottom w:val="none" w:sz="0" w:space="0" w:color="auto"/>
        <w:right w:val="none" w:sz="0" w:space="0" w:color="auto"/>
      </w:divBdr>
    </w:div>
    <w:div w:id="894124830">
      <w:bodyDiv w:val="1"/>
      <w:marLeft w:val="0"/>
      <w:marRight w:val="0"/>
      <w:marTop w:val="0"/>
      <w:marBottom w:val="0"/>
      <w:divBdr>
        <w:top w:val="none" w:sz="0" w:space="0" w:color="auto"/>
        <w:left w:val="none" w:sz="0" w:space="0" w:color="auto"/>
        <w:bottom w:val="none" w:sz="0" w:space="0" w:color="auto"/>
        <w:right w:val="none" w:sz="0" w:space="0" w:color="auto"/>
      </w:divBdr>
    </w:div>
    <w:div w:id="912199633">
      <w:bodyDiv w:val="1"/>
      <w:marLeft w:val="0"/>
      <w:marRight w:val="0"/>
      <w:marTop w:val="0"/>
      <w:marBottom w:val="0"/>
      <w:divBdr>
        <w:top w:val="none" w:sz="0" w:space="0" w:color="auto"/>
        <w:left w:val="none" w:sz="0" w:space="0" w:color="auto"/>
        <w:bottom w:val="none" w:sz="0" w:space="0" w:color="auto"/>
        <w:right w:val="none" w:sz="0" w:space="0" w:color="auto"/>
      </w:divBdr>
    </w:div>
    <w:div w:id="972830785">
      <w:bodyDiv w:val="1"/>
      <w:marLeft w:val="0"/>
      <w:marRight w:val="0"/>
      <w:marTop w:val="0"/>
      <w:marBottom w:val="0"/>
      <w:divBdr>
        <w:top w:val="none" w:sz="0" w:space="0" w:color="auto"/>
        <w:left w:val="none" w:sz="0" w:space="0" w:color="auto"/>
        <w:bottom w:val="none" w:sz="0" w:space="0" w:color="auto"/>
        <w:right w:val="none" w:sz="0" w:space="0" w:color="auto"/>
      </w:divBdr>
    </w:div>
    <w:div w:id="1035232648">
      <w:bodyDiv w:val="1"/>
      <w:marLeft w:val="0"/>
      <w:marRight w:val="0"/>
      <w:marTop w:val="0"/>
      <w:marBottom w:val="0"/>
      <w:divBdr>
        <w:top w:val="none" w:sz="0" w:space="0" w:color="auto"/>
        <w:left w:val="none" w:sz="0" w:space="0" w:color="auto"/>
        <w:bottom w:val="none" w:sz="0" w:space="0" w:color="auto"/>
        <w:right w:val="none" w:sz="0" w:space="0" w:color="auto"/>
      </w:divBdr>
    </w:div>
    <w:div w:id="1054741829">
      <w:bodyDiv w:val="1"/>
      <w:marLeft w:val="0"/>
      <w:marRight w:val="0"/>
      <w:marTop w:val="0"/>
      <w:marBottom w:val="0"/>
      <w:divBdr>
        <w:top w:val="none" w:sz="0" w:space="0" w:color="auto"/>
        <w:left w:val="none" w:sz="0" w:space="0" w:color="auto"/>
        <w:bottom w:val="none" w:sz="0" w:space="0" w:color="auto"/>
        <w:right w:val="none" w:sz="0" w:space="0" w:color="auto"/>
      </w:divBdr>
    </w:div>
    <w:div w:id="1068958247">
      <w:bodyDiv w:val="1"/>
      <w:marLeft w:val="0"/>
      <w:marRight w:val="0"/>
      <w:marTop w:val="0"/>
      <w:marBottom w:val="0"/>
      <w:divBdr>
        <w:top w:val="none" w:sz="0" w:space="0" w:color="auto"/>
        <w:left w:val="none" w:sz="0" w:space="0" w:color="auto"/>
        <w:bottom w:val="none" w:sz="0" w:space="0" w:color="auto"/>
        <w:right w:val="none" w:sz="0" w:space="0" w:color="auto"/>
      </w:divBdr>
    </w:div>
    <w:div w:id="1109663141">
      <w:bodyDiv w:val="1"/>
      <w:marLeft w:val="0"/>
      <w:marRight w:val="0"/>
      <w:marTop w:val="0"/>
      <w:marBottom w:val="0"/>
      <w:divBdr>
        <w:top w:val="none" w:sz="0" w:space="0" w:color="auto"/>
        <w:left w:val="none" w:sz="0" w:space="0" w:color="auto"/>
        <w:bottom w:val="none" w:sz="0" w:space="0" w:color="auto"/>
        <w:right w:val="none" w:sz="0" w:space="0" w:color="auto"/>
      </w:divBdr>
    </w:div>
    <w:div w:id="1135953909">
      <w:bodyDiv w:val="1"/>
      <w:marLeft w:val="0"/>
      <w:marRight w:val="0"/>
      <w:marTop w:val="0"/>
      <w:marBottom w:val="0"/>
      <w:divBdr>
        <w:top w:val="none" w:sz="0" w:space="0" w:color="auto"/>
        <w:left w:val="none" w:sz="0" w:space="0" w:color="auto"/>
        <w:bottom w:val="none" w:sz="0" w:space="0" w:color="auto"/>
        <w:right w:val="none" w:sz="0" w:space="0" w:color="auto"/>
      </w:divBdr>
    </w:div>
    <w:div w:id="1140341593">
      <w:bodyDiv w:val="1"/>
      <w:marLeft w:val="0"/>
      <w:marRight w:val="0"/>
      <w:marTop w:val="0"/>
      <w:marBottom w:val="0"/>
      <w:divBdr>
        <w:top w:val="none" w:sz="0" w:space="0" w:color="auto"/>
        <w:left w:val="none" w:sz="0" w:space="0" w:color="auto"/>
        <w:bottom w:val="none" w:sz="0" w:space="0" w:color="auto"/>
        <w:right w:val="none" w:sz="0" w:space="0" w:color="auto"/>
      </w:divBdr>
    </w:div>
    <w:div w:id="1157460649">
      <w:bodyDiv w:val="1"/>
      <w:marLeft w:val="0"/>
      <w:marRight w:val="0"/>
      <w:marTop w:val="0"/>
      <w:marBottom w:val="0"/>
      <w:divBdr>
        <w:top w:val="none" w:sz="0" w:space="0" w:color="auto"/>
        <w:left w:val="none" w:sz="0" w:space="0" w:color="auto"/>
        <w:bottom w:val="none" w:sz="0" w:space="0" w:color="auto"/>
        <w:right w:val="none" w:sz="0" w:space="0" w:color="auto"/>
      </w:divBdr>
    </w:div>
    <w:div w:id="1160846133">
      <w:bodyDiv w:val="1"/>
      <w:marLeft w:val="0"/>
      <w:marRight w:val="0"/>
      <w:marTop w:val="0"/>
      <w:marBottom w:val="0"/>
      <w:divBdr>
        <w:top w:val="none" w:sz="0" w:space="0" w:color="auto"/>
        <w:left w:val="none" w:sz="0" w:space="0" w:color="auto"/>
        <w:bottom w:val="none" w:sz="0" w:space="0" w:color="auto"/>
        <w:right w:val="none" w:sz="0" w:space="0" w:color="auto"/>
      </w:divBdr>
    </w:div>
    <w:div w:id="1195921866">
      <w:bodyDiv w:val="1"/>
      <w:marLeft w:val="0"/>
      <w:marRight w:val="0"/>
      <w:marTop w:val="0"/>
      <w:marBottom w:val="0"/>
      <w:divBdr>
        <w:top w:val="none" w:sz="0" w:space="0" w:color="auto"/>
        <w:left w:val="none" w:sz="0" w:space="0" w:color="auto"/>
        <w:bottom w:val="none" w:sz="0" w:space="0" w:color="auto"/>
        <w:right w:val="none" w:sz="0" w:space="0" w:color="auto"/>
      </w:divBdr>
    </w:div>
    <w:div w:id="1252205631">
      <w:bodyDiv w:val="1"/>
      <w:marLeft w:val="0"/>
      <w:marRight w:val="0"/>
      <w:marTop w:val="0"/>
      <w:marBottom w:val="0"/>
      <w:divBdr>
        <w:top w:val="none" w:sz="0" w:space="0" w:color="auto"/>
        <w:left w:val="none" w:sz="0" w:space="0" w:color="auto"/>
        <w:bottom w:val="none" w:sz="0" w:space="0" w:color="auto"/>
        <w:right w:val="none" w:sz="0" w:space="0" w:color="auto"/>
      </w:divBdr>
    </w:div>
    <w:div w:id="1298603519">
      <w:bodyDiv w:val="1"/>
      <w:marLeft w:val="0"/>
      <w:marRight w:val="0"/>
      <w:marTop w:val="0"/>
      <w:marBottom w:val="0"/>
      <w:divBdr>
        <w:top w:val="none" w:sz="0" w:space="0" w:color="auto"/>
        <w:left w:val="none" w:sz="0" w:space="0" w:color="auto"/>
        <w:bottom w:val="none" w:sz="0" w:space="0" w:color="auto"/>
        <w:right w:val="none" w:sz="0" w:space="0" w:color="auto"/>
      </w:divBdr>
    </w:div>
    <w:div w:id="1319576359">
      <w:bodyDiv w:val="1"/>
      <w:marLeft w:val="0"/>
      <w:marRight w:val="0"/>
      <w:marTop w:val="0"/>
      <w:marBottom w:val="0"/>
      <w:divBdr>
        <w:top w:val="none" w:sz="0" w:space="0" w:color="auto"/>
        <w:left w:val="none" w:sz="0" w:space="0" w:color="auto"/>
        <w:bottom w:val="none" w:sz="0" w:space="0" w:color="auto"/>
        <w:right w:val="none" w:sz="0" w:space="0" w:color="auto"/>
      </w:divBdr>
    </w:div>
    <w:div w:id="1331980914">
      <w:bodyDiv w:val="1"/>
      <w:marLeft w:val="0"/>
      <w:marRight w:val="0"/>
      <w:marTop w:val="0"/>
      <w:marBottom w:val="0"/>
      <w:divBdr>
        <w:top w:val="none" w:sz="0" w:space="0" w:color="auto"/>
        <w:left w:val="none" w:sz="0" w:space="0" w:color="auto"/>
        <w:bottom w:val="none" w:sz="0" w:space="0" w:color="auto"/>
        <w:right w:val="none" w:sz="0" w:space="0" w:color="auto"/>
      </w:divBdr>
    </w:div>
    <w:div w:id="1332179583">
      <w:bodyDiv w:val="1"/>
      <w:marLeft w:val="0"/>
      <w:marRight w:val="0"/>
      <w:marTop w:val="0"/>
      <w:marBottom w:val="0"/>
      <w:divBdr>
        <w:top w:val="none" w:sz="0" w:space="0" w:color="auto"/>
        <w:left w:val="none" w:sz="0" w:space="0" w:color="auto"/>
        <w:bottom w:val="none" w:sz="0" w:space="0" w:color="auto"/>
        <w:right w:val="none" w:sz="0" w:space="0" w:color="auto"/>
      </w:divBdr>
    </w:div>
    <w:div w:id="1332753819">
      <w:bodyDiv w:val="1"/>
      <w:marLeft w:val="0"/>
      <w:marRight w:val="0"/>
      <w:marTop w:val="0"/>
      <w:marBottom w:val="0"/>
      <w:divBdr>
        <w:top w:val="none" w:sz="0" w:space="0" w:color="auto"/>
        <w:left w:val="none" w:sz="0" w:space="0" w:color="auto"/>
        <w:bottom w:val="none" w:sz="0" w:space="0" w:color="auto"/>
        <w:right w:val="none" w:sz="0" w:space="0" w:color="auto"/>
      </w:divBdr>
    </w:div>
    <w:div w:id="1381514421">
      <w:bodyDiv w:val="1"/>
      <w:marLeft w:val="0"/>
      <w:marRight w:val="0"/>
      <w:marTop w:val="0"/>
      <w:marBottom w:val="0"/>
      <w:divBdr>
        <w:top w:val="none" w:sz="0" w:space="0" w:color="auto"/>
        <w:left w:val="none" w:sz="0" w:space="0" w:color="auto"/>
        <w:bottom w:val="none" w:sz="0" w:space="0" w:color="auto"/>
        <w:right w:val="none" w:sz="0" w:space="0" w:color="auto"/>
      </w:divBdr>
    </w:div>
    <w:div w:id="1388995605">
      <w:bodyDiv w:val="1"/>
      <w:marLeft w:val="0"/>
      <w:marRight w:val="0"/>
      <w:marTop w:val="0"/>
      <w:marBottom w:val="0"/>
      <w:divBdr>
        <w:top w:val="none" w:sz="0" w:space="0" w:color="auto"/>
        <w:left w:val="none" w:sz="0" w:space="0" w:color="auto"/>
        <w:bottom w:val="none" w:sz="0" w:space="0" w:color="auto"/>
        <w:right w:val="none" w:sz="0" w:space="0" w:color="auto"/>
      </w:divBdr>
    </w:div>
    <w:div w:id="1396704467">
      <w:bodyDiv w:val="1"/>
      <w:marLeft w:val="0"/>
      <w:marRight w:val="0"/>
      <w:marTop w:val="0"/>
      <w:marBottom w:val="0"/>
      <w:divBdr>
        <w:top w:val="none" w:sz="0" w:space="0" w:color="auto"/>
        <w:left w:val="none" w:sz="0" w:space="0" w:color="auto"/>
        <w:bottom w:val="none" w:sz="0" w:space="0" w:color="auto"/>
        <w:right w:val="none" w:sz="0" w:space="0" w:color="auto"/>
      </w:divBdr>
    </w:div>
    <w:div w:id="1407612550">
      <w:bodyDiv w:val="1"/>
      <w:marLeft w:val="0"/>
      <w:marRight w:val="0"/>
      <w:marTop w:val="0"/>
      <w:marBottom w:val="0"/>
      <w:divBdr>
        <w:top w:val="none" w:sz="0" w:space="0" w:color="auto"/>
        <w:left w:val="none" w:sz="0" w:space="0" w:color="auto"/>
        <w:bottom w:val="none" w:sz="0" w:space="0" w:color="auto"/>
        <w:right w:val="none" w:sz="0" w:space="0" w:color="auto"/>
      </w:divBdr>
    </w:div>
    <w:div w:id="1430850197">
      <w:bodyDiv w:val="1"/>
      <w:marLeft w:val="0"/>
      <w:marRight w:val="0"/>
      <w:marTop w:val="0"/>
      <w:marBottom w:val="0"/>
      <w:divBdr>
        <w:top w:val="none" w:sz="0" w:space="0" w:color="auto"/>
        <w:left w:val="none" w:sz="0" w:space="0" w:color="auto"/>
        <w:bottom w:val="none" w:sz="0" w:space="0" w:color="auto"/>
        <w:right w:val="none" w:sz="0" w:space="0" w:color="auto"/>
      </w:divBdr>
    </w:div>
    <w:div w:id="1432046664">
      <w:bodyDiv w:val="1"/>
      <w:marLeft w:val="0"/>
      <w:marRight w:val="0"/>
      <w:marTop w:val="0"/>
      <w:marBottom w:val="0"/>
      <w:divBdr>
        <w:top w:val="none" w:sz="0" w:space="0" w:color="auto"/>
        <w:left w:val="none" w:sz="0" w:space="0" w:color="auto"/>
        <w:bottom w:val="none" w:sz="0" w:space="0" w:color="auto"/>
        <w:right w:val="none" w:sz="0" w:space="0" w:color="auto"/>
      </w:divBdr>
    </w:div>
    <w:div w:id="1551262849">
      <w:bodyDiv w:val="1"/>
      <w:marLeft w:val="0"/>
      <w:marRight w:val="0"/>
      <w:marTop w:val="0"/>
      <w:marBottom w:val="0"/>
      <w:divBdr>
        <w:top w:val="none" w:sz="0" w:space="0" w:color="auto"/>
        <w:left w:val="none" w:sz="0" w:space="0" w:color="auto"/>
        <w:bottom w:val="none" w:sz="0" w:space="0" w:color="auto"/>
        <w:right w:val="none" w:sz="0" w:space="0" w:color="auto"/>
      </w:divBdr>
    </w:div>
    <w:div w:id="1559048122">
      <w:bodyDiv w:val="1"/>
      <w:marLeft w:val="0"/>
      <w:marRight w:val="0"/>
      <w:marTop w:val="0"/>
      <w:marBottom w:val="0"/>
      <w:divBdr>
        <w:top w:val="none" w:sz="0" w:space="0" w:color="auto"/>
        <w:left w:val="none" w:sz="0" w:space="0" w:color="auto"/>
        <w:bottom w:val="none" w:sz="0" w:space="0" w:color="auto"/>
        <w:right w:val="none" w:sz="0" w:space="0" w:color="auto"/>
      </w:divBdr>
    </w:div>
    <w:div w:id="1587760104">
      <w:bodyDiv w:val="1"/>
      <w:marLeft w:val="0"/>
      <w:marRight w:val="0"/>
      <w:marTop w:val="0"/>
      <w:marBottom w:val="0"/>
      <w:divBdr>
        <w:top w:val="none" w:sz="0" w:space="0" w:color="auto"/>
        <w:left w:val="none" w:sz="0" w:space="0" w:color="auto"/>
        <w:bottom w:val="none" w:sz="0" w:space="0" w:color="auto"/>
        <w:right w:val="none" w:sz="0" w:space="0" w:color="auto"/>
      </w:divBdr>
    </w:div>
    <w:div w:id="1615283301">
      <w:bodyDiv w:val="1"/>
      <w:marLeft w:val="0"/>
      <w:marRight w:val="0"/>
      <w:marTop w:val="0"/>
      <w:marBottom w:val="0"/>
      <w:divBdr>
        <w:top w:val="none" w:sz="0" w:space="0" w:color="auto"/>
        <w:left w:val="none" w:sz="0" w:space="0" w:color="auto"/>
        <w:bottom w:val="none" w:sz="0" w:space="0" w:color="auto"/>
        <w:right w:val="none" w:sz="0" w:space="0" w:color="auto"/>
      </w:divBdr>
    </w:div>
    <w:div w:id="1619144024">
      <w:bodyDiv w:val="1"/>
      <w:marLeft w:val="0"/>
      <w:marRight w:val="0"/>
      <w:marTop w:val="0"/>
      <w:marBottom w:val="0"/>
      <w:divBdr>
        <w:top w:val="none" w:sz="0" w:space="0" w:color="auto"/>
        <w:left w:val="none" w:sz="0" w:space="0" w:color="auto"/>
        <w:bottom w:val="none" w:sz="0" w:space="0" w:color="auto"/>
        <w:right w:val="none" w:sz="0" w:space="0" w:color="auto"/>
      </w:divBdr>
    </w:div>
    <w:div w:id="1630281592">
      <w:bodyDiv w:val="1"/>
      <w:marLeft w:val="0"/>
      <w:marRight w:val="0"/>
      <w:marTop w:val="0"/>
      <w:marBottom w:val="0"/>
      <w:divBdr>
        <w:top w:val="none" w:sz="0" w:space="0" w:color="auto"/>
        <w:left w:val="none" w:sz="0" w:space="0" w:color="auto"/>
        <w:bottom w:val="none" w:sz="0" w:space="0" w:color="auto"/>
        <w:right w:val="none" w:sz="0" w:space="0" w:color="auto"/>
      </w:divBdr>
      <w:divsChild>
        <w:div w:id="326634005">
          <w:marLeft w:val="0"/>
          <w:marRight w:val="0"/>
          <w:marTop w:val="0"/>
          <w:marBottom w:val="0"/>
          <w:divBdr>
            <w:top w:val="none" w:sz="0" w:space="0" w:color="auto"/>
            <w:left w:val="none" w:sz="0" w:space="0" w:color="auto"/>
            <w:bottom w:val="none" w:sz="0" w:space="0" w:color="auto"/>
            <w:right w:val="none" w:sz="0" w:space="0" w:color="auto"/>
          </w:divBdr>
        </w:div>
      </w:divsChild>
    </w:div>
    <w:div w:id="1643123173">
      <w:bodyDiv w:val="1"/>
      <w:marLeft w:val="0"/>
      <w:marRight w:val="0"/>
      <w:marTop w:val="0"/>
      <w:marBottom w:val="0"/>
      <w:divBdr>
        <w:top w:val="none" w:sz="0" w:space="0" w:color="auto"/>
        <w:left w:val="none" w:sz="0" w:space="0" w:color="auto"/>
        <w:bottom w:val="none" w:sz="0" w:space="0" w:color="auto"/>
        <w:right w:val="none" w:sz="0" w:space="0" w:color="auto"/>
      </w:divBdr>
    </w:div>
    <w:div w:id="1667436604">
      <w:bodyDiv w:val="1"/>
      <w:marLeft w:val="0"/>
      <w:marRight w:val="0"/>
      <w:marTop w:val="0"/>
      <w:marBottom w:val="0"/>
      <w:divBdr>
        <w:top w:val="none" w:sz="0" w:space="0" w:color="auto"/>
        <w:left w:val="none" w:sz="0" w:space="0" w:color="auto"/>
        <w:bottom w:val="none" w:sz="0" w:space="0" w:color="auto"/>
        <w:right w:val="none" w:sz="0" w:space="0" w:color="auto"/>
      </w:divBdr>
    </w:div>
    <w:div w:id="1674533325">
      <w:bodyDiv w:val="1"/>
      <w:marLeft w:val="0"/>
      <w:marRight w:val="0"/>
      <w:marTop w:val="0"/>
      <w:marBottom w:val="0"/>
      <w:divBdr>
        <w:top w:val="none" w:sz="0" w:space="0" w:color="auto"/>
        <w:left w:val="none" w:sz="0" w:space="0" w:color="auto"/>
        <w:bottom w:val="none" w:sz="0" w:space="0" w:color="auto"/>
        <w:right w:val="none" w:sz="0" w:space="0" w:color="auto"/>
      </w:divBdr>
    </w:div>
    <w:div w:id="1689722505">
      <w:bodyDiv w:val="1"/>
      <w:marLeft w:val="0"/>
      <w:marRight w:val="0"/>
      <w:marTop w:val="0"/>
      <w:marBottom w:val="0"/>
      <w:divBdr>
        <w:top w:val="none" w:sz="0" w:space="0" w:color="auto"/>
        <w:left w:val="none" w:sz="0" w:space="0" w:color="auto"/>
        <w:bottom w:val="none" w:sz="0" w:space="0" w:color="auto"/>
        <w:right w:val="none" w:sz="0" w:space="0" w:color="auto"/>
      </w:divBdr>
    </w:div>
    <w:div w:id="1698894724">
      <w:bodyDiv w:val="1"/>
      <w:marLeft w:val="0"/>
      <w:marRight w:val="0"/>
      <w:marTop w:val="0"/>
      <w:marBottom w:val="0"/>
      <w:divBdr>
        <w:top w:val="none" w:sz="0" w:space="0" w:color="auto"/>
        <w:left w:val="none" w:sz="0" w:space="0" w:color="auto"/>
        <w:bottom w:val="none" w:sz="0" w:space="0" w:color="auto"/>
        <w:right w:val="none" w:sz="0" w:space="0" w:color="auto"/>
      </w:divBdr>
    </w:div>
    <w:div w:id="1723288943">
      <w:bodyDiv w:val="1"/>
      <w:marLeft w:val="0"/>
      <w:marRight w:val="0"/>
      <w:marTop w:val="0"/>
      <w:marBottom w:val="0"/>
      <w:divBdr>
        <w:top w:val="none" w:sz="0" w:space="0" w:color="auto"/>
        <w:left w:val="none" w:sz="0" w:space="0" w:color="auto"/>
        <w:bottom w:val="none" w:sz="0" w:space="0" w:color="auto"/>
        <w:right w:val="none" w:sz="0" w:space="0" w:color="auto"/>
      </w:divBdr>
    </w:div>
    <w:div w:id="1804493416">
      <w:bodyDiv w:val="1"/>
      <w:marLeft w:val="0"/>
      <w:marRight w:val="0"/>
      <w:marTop w:val="0"/>
      <w:marBottom w:val="0"/>
      <w:divBdr>
        <w:top w:val="none" w:sz="0" w:space="0" w:color="auto"/>
        <w:left w:val="none" w:sz="0" w:space="0" w:color="auto"/>
        <w:bottom w:val="none" w:sz="0" w:space="0" w:color="auto"/>
        <w:right w:val="none" w:sz="0" w:space="0" w:color="auto"/>
      </w:divBdr>
    </w:div>
    <w:div w:id="1842893914">
      <w:bodyDiv w:val="1"/>
      <w:marLeft w:val="0"/>
      <w:marRight w:val="0"/>
      <w:marTop w:val="0"/>
      <w:marBottom w:val="0"/>
      <w:divBdr>
        <w:top w:val="none" w:sz="0" w:space="0" w:color="auto"/>
        <w:left w:val="none" w:sz="0" w:space="0" w:color="auto"/>
        <w:bottom w:val="none" w:sz="0" w:space="0" w:color="auto"/>
        <w:right w:val="none" w:sz="0" w:space="0" w:color="auto"/>
      </w:divBdr>
    </w:div>
    <w:div w:id="1849634182">
      <w:bodyDiv w:val="1"/>
      <w:marLeft w:val="0"/>
      <w:marRight w:val="0"/>
      <w:marTop w:val="0"/>
      <w:marBottom w:val="0"/>
      <w:divBdr>
        <w:top w:val="none" w:sz="0" w:space="0" w:color="auto"/>
        <w:left w:val="none" w:sz="0" w:space="0" w:color="auto"/>
        <w:bottom w:val="none" w:sz="0" w:space="0" w:color="auto"/>
        <w:right w:val="none" w:sz="0" w:space="0" w:color="auto"/>
      </w:divBdr>
    </w:div>
    <w:div w:id="1852641574">
      <w:bodyDiv w:val="1"/>
      <w:marLeft w:val="0"/>
      <w:marRight w:val="0"/>
      <w:marTop w:val="0"/>
      <w:marBottom w:val="0"/>
      <w:divBdr>
        <w:top w:val="none" w:sz="0" w:space="0" w:color="auto"/>
        <w:left w:val="none" w:sz="0" w:space="0" w:color="auto"/>
        <w:bottom w:val="none" w:sz="0" w:space="0" w:color="auto"/>
        <w:right w:val="none" w:sz="0" w:space="0" w:color="auto"/>
      </w:divBdr>
    </w:div>
    <w:div w:id="1890147291">
      <w:bodyDiv w:val="1"/>
      <w:marLeft w:val="0"/>
      <w:marRight w:val="0"/>
      <w:marTop w:val="0"/>
      <w:marBottom w:val="0"/>
      <w:divBdr>
        <w:top w:val="none" w:sz="0" w:space="0" w:color="auto"/>
        <w:left w:val="none" w:sz="0" w:space="0" w:color="auto"/>
        <w:bottom w:val="none" w:sz="0" w:space="0" w:color="auto"/>
        <w:right w:val="none" w:sz="0" w:space="0" w:color="auto"/>
      </w:divBdr>
    </w:div>
    <w:div w:id="1941376256">
      <w:bodyDiv w:val="1"/>
      <w:marLeft w:val="0"/>
      <w:marRight w:val="0"/>
      <w:marTop w:val="0"/>
      <w:marBottom w:val="0"/>
      <w:divBdr>
        <w:top w:val="none" w:sz="0" w:space="0" w:color="auto"/>
        <w:left w:val="none" w:sz="0" w:space="0" w:color="auto"/>
        <w:bottom w:val="none" w:sz="0" w:space="0" w:color="auto"/>
        <w:right w:val="none" w:sz="0" w:space="0" w:color="auto"/>
      </w:divBdr>
    </w:div>
    <w:div w:id="1964654144">
      <w:bodyDiv w:val="1"/>
      <w:marLeft w:val="0"/>
      <w:marRight w:val="0"/>
      <w:marTop w:val="0"/>
      <w:marBottom w:val="0"/>
      <w:divBdr>
        <w:top w:val="none" w:sz="0" w:space="0" w:color="auto"/>
        <w:left w:val="none" w:sz="0" w:space="0" w:color="auto"/>
        <w:bottom w:val="none" w:sz="0" w:space="0" w:color="auto"/>
        <w:right w:val="none" w:sz="0" w:space="0" w:color="auto"/>
      </w:divBdr>
    </w:div>
    <w:div w:id="2005281634">
      <w:bodyDiv w:val="1"/>
      <w:marLeft w:val="0"/>
      <w:marRight w:val="0"/>
      <w:marTop w:val="0"/>
      <w:marBottom w:val="0"/>
      <w:divBdr>
        <w:top w:val="none" w:sz="0" w:space="0" w:color="auto"/>
        <w:left w:val="none" w:sz="0" w:space="0" w:color="auto"/>
        <w:bottom w:val="none" w:sz="0" w:space="0" w:color="auto"/>
        <w:right w:val="none" w:sz="0" w:space="0" w:color="auto"/>
      </w:divBdr>
    </w:div>
    <w:div w:id="2016614019">
      <w:bodyDiv w:val="1"/>
      <w:marLeft w:val="0"/>
      <w:marRight w:val="0"/>
      <w:marTop w:val="0"/>
      <w:marBottom w:val="0"/>
      <w:divBdr>
        <w:top w:val="none" w:sz="0" w:space="0" w:color="auto"/>
        <w:left w:val="none" w:sz="0" w:space="0" w:color="auto"/>
        <w:bottom w:val="none" w:sz="0" w:space="0" w:color="auto"/>
        <w:right w:val="none" w:sz="0" w:space="0" w:color="auto"/>
      </w:divBdr>
    </w:div>
    <w:div w:id="2142918636">
      <w:bodyDiv w:val="1"/>
      <w:marLeft w:val="0"/>
      <w:marRight w:val="0"/>
      <w:marTop w:val="0"/>
      <w:marBottom w:val="0"/>
      <w:divBdr>
        <w:top w:val="none" w:sz="0" w:space="0" w:color="auto"/>
        <w:left w:val="none" w:sz="0" w:space="0" w:color="auto"/>
        <w:bottom w:val="none" w:sz="0" w:space="0" w:color="auto"/>
        <w:right w:val="none" w:sz="0" w:space="0" w:color="auto"/>
      </w:divBdr>
      <w:divsChild>
        <w:div w:id="1856731250">
          <w:marLeft w:val="0"/>
          <w:marRight w:val="0"/>
          <w:marTop w:val="0"/>
          <w:marBottom w:val="0"/>
          <w:divBdr>
            <w:top w:val="none" w:sz="0" w:space="0" w:color="auto"/>
            <w:left w:val="none" w:sz="0" w:space="0" w:color="auto"/>
            <w:bottom w:val="none" w:sz="0" w:space="0" w:color="auto"/>
            <w:right w:val="none" w:sz="0" w:space="0" w:color="auto"/>
          </w:divBdr>
        </w:div>
        <w:div w:id="2047363427">
          <w:marLeft w:val="0"/>
          <w:marRight w:val="0"/>
          <w:marTop w:val="0"/>
          <w:marBottom w:val="0"/>
          <w:divBdr>
            <w:top w:val="none" w:sz="0" w:space="0" w:color="auto"/>
            <w:left w:val="none" w:sz="0" w:space="0" w:color="auto"/>
            <w:bottom w:val="none" w:sz="0" w:space="0" w:color="auto"/>
            <w:right w:val="none" w:sz="0" w:space="0" w:color="auto"/>
          </w:divBdr>
          <w:divsChild>
            <w:div w:id="14778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eecc.org/market-support-metrics-wg" TargetMode="External"/><Relationship Id="rId13" Type="http://schemas.openxmlformats.org/officeDocument/2006/relationships/image" Target="media/image4.png"/><Relationship Id="rId18" Type="http://schemas.openxmlformats.org/officeDocument/2006/relationships/image" Target="media/image6.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image" Target="media/image1.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www.epa.gov/criteria-air-pollutants" TargetMode="External"/><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leginfo.legislature.ca.gov/faces/codes_displaySection.xhtml?lawCode=GOV&amp;sectionNum=65040.12" TargetMode="External"/><Relationship Id="rId13" Type="http://schemas.openxmlformats.org/officeDocument/2006/relationships/hyperlink" Target="https://www.pge.com/pge_global/common/pdfs/for-our-business-partners/purchasing-program/bid-opportunities/2021-COA-RFP-118185-CBO-Community-Advisory-Council.pdf" TargetMode="External"/><Relationship Id="rId3" Type="http://schemas.openxmlformats.org/officeDocument/2006/relationships/hyperlink" Target="https://www.caeecc.org/cpuc-documents" TargetMode="External"/><Relationship Id="rId7" Type="http://schemas.openxmlformats.org/officeDocument/2006/relationships/hyperlink" Target="https://4930400d-24b5-474c-9a16-0109dd2d06d3.filesusr.com/ugd/849f65_81888b42d3294013be6b8fcb9ac74847.pdf" TargetMode="External"/><Relationship Id="rId12" Type="http://schemas.openxmlformats.org/officeDocument/2006/relationships/hyperlink" Target="https://liob.cpuc.ca.gov/wp-content/uploads/sites/14/2020/12/Item-06.-Self-Help-Enterprises-Presentation-on-San-Joaquin-Valley-Proceeding-LIOB121019.pptx" TargetMode="External"/><Relationship Id="rId2" Type="http://schemas.openxmlformats.org/officeDocument/2006/relationships/hyperlink" Target="https://www.cpuc.ca.gov/lowincomerates/" TargetMode="External"/><Relationship Id="rId1" Type="http://schemas.openxmlformats.org/officeDocument/2006/relationships/hyperlink" Target="https://www.caeecc.org/equity-metrics-working-group-meeting" TargetMode="External"/><Relationship Id="rId6" Type="http://schemas.openxmlformats.org/officeDocument/2006/relationships/hyperlink" Target="https://urldefense.com/v3/__https:/www.cpuc.ca.gov/-/media/cpuc-website/industries-and-topics/reports/2019-annual-affordability-report.pdf__;!!NO21cQ!Tced4PQrWcWrhah88PPA6dKfXro6zf6ZCYdvJt2DlVCoItQnvkt8ws5v_1lpdw$" TargetMode="External"/><Relationship Id="rId11" Type="http://schemas.openxmlformats.org/officeDocument/2006/relationships/hyperlink" Target="https://www.caeecc.org/equity-metrics-working-group-meeting" TargetMode="External"/><Relationship Id="rId5" Type="http://schemas.openxmlformats.org/officeDocument/2006/relationships/hyperlink" Target="https://www.cpuc.ca.gov/supplierdiversity/" TargetMode="External"/><Relationship Id="rId10" Type="http://schemas.openxmlformats.org/officeDocument/2006/relationships/hyperlink" Target="https://leginfo.legislature.ca.gov/faces/billTextClient.xhtml?bill_id=201720180AB1348" TargetMode="External"/><Relationship Id="rId4" Type="http://schemas.openxmlformats.org/officeDocument/2006/relationships/hyperlink" Target="https://www.cpuc.ca.gov/supplierdiversity/" TargetMode="External"/><Relationship Id="rId9" Type="http://schemas.openxmlformats.org/officeDocument/2006/relationships/hyperlink" Target="https://oehha.ca.gov/calenviroscreen" TargetMode="External"/><Relationship Id="rId14" Type="http://schemas.openxmlformats.org/officeDocument/2006/relationships/hyperlink" Target="https://www.caeecc.org/underserved-working-group-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92C59-AED9-934F-B16D-647283999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11506</Words>
  <Characters>65590</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Mckeague Abrams</dc:creator>
  <cp:keywords/>
  <dc:description/>
  <cp:lastModifiedBy>Katherine Mckeague Abrams</cp:lastModifiedBy>
  <cp:revision>4</cp:revision>
  <cp:lastPrinted>2021-10-20T15:09:00Z</cp:lastPrinted>
  <dcterms:created xsi:type="dcterms:W3CDTF">2021-10-20T23:35:00Z</dcterms:created>
  <dcterms:modified xsi:type="dcterms:W3CDTF">2021-10-20T23:37:00Z</dcterms:modified>
</cp:coreProperties>
</file>