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2052" w14:textId="2360BC35" w:rsidR="00F05AC4" w:rsidRDefault="00A64F78" w:rsidP="00607F9D">
      <w:pPr>
        <w:rPr>
          <w:b/>
          <w:bCs/>
        </w:rPr>
      </w:pPr>
      <w:r>
        <w:rPr>
          <w:b/>
          <w:bCs/>
        </w:rPr>
        <w:t>Some r</w:t>
      </w:r>
      <w:r w:rsidR="00F05AC4">
        <w:rPr>
          <w:b/>
          <w:bCs/>
        </w:rPr>
        <w:t xml:space="preserve">elevant ACEEE resources: </w:t>
      </w:r>
    </w:p>
    <w:p w14:paraId="4534026D" w14:textId="5965B5E1" w:rsidR="00F05AC4" w:rsidRPr="00905BCD" w:rsidRDefault="00F05AC4" w:rsidP="00607F9D">
      <w:r w:rsidRPr="002F425B">
        <w:rPr>
          <w:b/>
          <w:bCs/>
        </w:rPr>
        <w:t>Health + Energy Program Design Network</w:t>
      </w:r>
      <w:r w:rsidR="00905BCD" w:rsidRPr="00905BCD">
        <w:t xml:space="preserve"> (</w:t>
      </w:r>
      <w:r w:rsidRPr="00905BCD">
        <w:t xml:space="preserve">Past session recordings and guidance documents, including </w:t>
      </w:r>
      <w:r w:rsidRPr="002F425B">
        <w:rPr>
          <w:b/>
          <w:bCs/>
        </w:rPr>
        <w:t xml:space="preserve">Session 3 on measuring health </w:t>
      </w:r>
      <w:r w:rsidR="00905BCD" w:rsidRPr="002F425B">
        <w:rPr>
          <w:b/>
          <w:bCs/>
        </w:rPr>
        <w:t>outcomes</w:t>
      </w:r>
      <w:r w:rsidR="00905BCD" w:rsidRPr="00905BCD">
        <w:t xml:space="preserve">: </w:t>
      </w:r>
      <w:hyperlink r:id="rId8" w:history="1">
        <w:r w:rsidR="00EC2AF4" w:rsidRPr="0019585C">
          <w:rPr>
            <w:rStyle w:val="Hyperlink"/>
          </w:rPr>
          <w:t>https://drive.google.com/drive/folders/11PaxbQ_IFXdi94nbaPmDlvpimtA53_K5?usp=sharing</w:t>
        </w:r>
      </w:hyperlink>
      <w:r w:rsidR="00EC2AF4">
        <w:t xml:space="preserve"> </w:t>
      </w:r>
    </w:p>
    <w:p w14:paraId="39360119" w14:textId="20273B33" w:rsidR="0035684B" w:rsidRDefault="0035684B" w:rsidP="00607F9D">
      <w:pPr>
        <w:rPr>
          <w:b/>
          <w:bCs/>
        </w:rPr>
      </w:pPr>
      <w:r>
        <w:rPr>
          <w:b/>
          <w:bCs/>
        </w:rPr>
        <w:t xml:space="preserve">Leading With Equity Initiative: </w:t>
      </w:r>
      <w:hyperlink r:id="rId9" w:history="1">
        <w:r w:rsidR="00A64F78" w:rsidRPr="0019585C">
          <w:rPr>
            <w:rStyle w:val="Hyperlink"/>
          </w:rPr>
          <w:t>https://www.aceee.org/energy-equity-initiative</w:t>
        </w:r>
      </w:hyperlink>
      <w:r w:rsidR="00A64F78">
        <w:t xml:space="preserve"> </w:t>
      </w:r>
    </w:p>
    <w:p w14:paraId="688FF2CC" w14:textId="5351E598" w:rsidR="00F05AC4" w:rsidRDefault="00F05AC4" w:rsidP="00F05AC4">
      <w:r w:rsidRPr="00A64F78">
        <w:rPr>
          <w:b/>
          <w:bCs/>
        </w:rPr>
        <w:t xml:space="preserve">State </w:t>
      </w:r>
      <w:r w:rsidR="003D1D0E" w:rsidRPr="00A64F78">
        <w:rPr>
          <w:b/>
          <w:bCs/>
        </w:rPr>
        <w:t>Policy D</w:t>
      </w:r>
      <w:r w:rsidRPr="00A64F78">
        <w:rPr>
          <w:b/>
          <w:bCs/>
        </w:rPr>
        <w:t>atabase</w:t>
      </w:r>
      <w:r w:rsidR="003D1D0E" w:rsidRPr="00A64F78">
        <w:rPr>
          <w:b/>
          <w:bCs/>
        </w:rPr>
        <w:t>: Equity Metrics and Workforce Development</w:t>
      </w:r>
      <w:r w:rsidR="00A64F78">
        <w:t xml:space="preserve"> </w:t>
      </w:r>
      <w:hyperlink r:id="rId10" w:history="1">
        <w:r w:rsidR="00A64F78" w:rsidRPr="0019585C">
          <w:rPr>
            <w:rStyle w:val="Hyperlink"/>
          </w:rPr>
          <w:t>https://database.aceee.org/state/equity-workforce</w:t>
        </w:r>
      </w:hyperlink>
      <w:r>
        <w:t xml:space="preserve"> </w:t>
      </w:r>
    </w:p>
    <w:p w14:paraId="169CA502" w14:textId="77777777" w:rsidR="00F05AC4" w:rsidRDefault="00F05AC4" w:rsidP="00607F9D">
      <w:pPr>
        <w:rPr>
          <w:b/>
          <w:bCs/>
        </w:rPr>
      </w:pPr>
    </w:p>
    <w:p w14:paraId="2D450881" w14:textId="21342584" w:rsidR="00607F9D" w:rsidRPr="00364DB5" w:rsidRDefault="00607F9D" w:rsidP="00607F9D">
      <w:pPr>
        <w:rPr>
          <w:b/>
          <w:bCs/>
        </w:rPr>
      </w:pPr>
      <w:r>
        <w:rPr>
          <w:b/>
          <w:bCs/>
        </w:rPr>
        <w:t>Relevant reports and resources</w:t>
      </w:r>
      <w:r w:rsidR="00F05AC4">
        <w:rPr>
          <w:b/>
          <w:bCs/>
        </w:rPr>
        <w:t xml:space="preserve"> from other organizations</w:t>
      </w:r>
      <w:r>
        <w:rPr>
          <w:b/>
          <w:bCs/>
        </w:rPr>
        <w:t>:</w:t>
      </w:r>
    </w:p>
    <w:p w14:paraId="4C64082A" w14:textId="1DE701EA" w:rsidR="00607F9D" w:rsidRDefault="00607F9D" w:rsidP="00607F9D">
      <w:r w:rsidRPr="004C4D18">
        <w:rPr>
          <w:b/>
          <w:bCs/>
        </w:rPr>
        <w:t>Justice in 100 Metrics: Tools for Measuring Equity in 100% Renewable Energy Policy Implementation</w:t>
      </w:r>
      <w:r>
        <w:t xml:space="preserve"> </w:t>
      </w:r>
      <w:r w:rsidR="004C4D18">
        <w:t>b</w:t>
      </w:r>
      <w:r>
        <w:t>y Talia Lanckton and Subin DeVar (January 2021) (e.g., “Utilities can take the following actions to ensure equity in the accessibility and affordability of energy</w:t>
      </w:r>
      <w:r w:rsidR="002F425B">
        <w:t>”; section on EE</w:t>
      </w:r>
      <w:r>
        <w:t xml:space="preserve"> ) </w:t>
      </w:r>
      <w:hyperlink r:id="rId11" w:history="1">
        <w:r w:rsidRPr="00EE0A3B">
          <w:rPr>
            <w:rStyle w:val="Hyperlink"/>
          </w:rPr>
          <w:t>https://iejusa.org/wp-content/uploads/2021/03/Justice-in-100-Metrics-2021.pdf</w:t>
        </w:r>
      </w:hyperlink>
      <w:r>
        <w:t xml:space="preserve"> </w:t>
      </w:r>
    </w:p>
    <w:p w14:paraId="349A2227" w14:textId="0F5F4911" w:rsidR="00607F9D" w:rsidRDefault="00607F9D" w:rsidP="00607F9D">
      <w:r w:rsidRPr="007E1FD4">
        <w:rPr>
          <w:b/>
          <w:bCs/>
        </w:rPr>
        <w:t xml:space="preserve"> </w:t>
      </w:r>
      <w:r w:rsidR="007E1FD4" w:rsidRPr="007E1FD4">
        <w:rPr>
          <w:b/>
          <w:bCs/>
        </w:rPr>
        <w:t>The State of Equity Measurement A Review for Energy-Efficiency Programs</w:t>
      </w:r>
      <w:r w:rsidR="007E1FD4">
        <w:t xml:space="preserve"> </w:t>
      </w:r>
      <w:r w:rsidR="004C4D18">
        <w:t xml:space="preserve">(Martin &amp; Lewis, Sept. 2019) </w:t>
      </w:r>
      <w:r w:rsidR="00493D0E">
        <w:t xml:space="preserve"> - </w:t>
      </w:r>
      <w:r w:rsidR="007E1FD4">
        <w:t>Urban Institute</w:t>
      </w:r>
      <w:r w:rsidR="00493D0E" w:rsidRPr="00493D0E">
        <w:t xml:space="preserve"> </w:t>
      </w:r>
      <w:r w:rsidR="00493D0E">
        <w:t xml:space="preserve">and Green &amp; Healthy Homes Initiative. </w:t>
      </w:r>
      <w:r w:rsidR="004C4D18">
        <w:t>Overview of state of defining and measuring equity in 4 key areas (housing, employment, health, and env.), then a chapter on relevance of the preceding to EE beginning Page 37: “As such, the energy sector can and must be assessed from an equity perspective across a system greater than any one intervention. However, the capacity of a single provider or intervention—namely, a voluntary energy-efficiency program—to improve the overall system’s equity is obviously limited. To that end, the authors look to the range of equity definitions and measurement techniques described in this report to suggest relevant and practical approaches for further exploration. “  LIST OF POSSIBLE EE-RELEVANT INDICATORS on doc</w:t>
      </w:r>
      <w:r w:rsidR="00493D0E">
        <w:t>ument-</w:t>
      </w:r>
      <w:r w:rsidR="004C4D18">
        <w:t xml:space="preserve">page 34. </w:t>
      </w:r>
      <w:hyperlink r:id="rId12" w:history="1">
        <w:r w:rsidR="00493D0E" w:rsidRPr="0019585C">
          <w:rPr>
            <w:rStyle w:val="Hyperlink"/>
          </w:rPr>
          <w:t>https://www.urban.org/sites/default/files/publication/101052/the_state_of_equity_measurement_0_0.pdf</w:t>
        </w:r>
      </w:hyperlink>
    </w:p>
    <w:p w14:paraId="71B23C8C" w14:textId="749488F8" w:rsidR="004C4D18" w:rsidRDefault="00607F9D" w:rsidP="00607F9D">
      <w:pPr>
        <w:rPr>
          <w:b/>
          <w:bCs/>
        </w:rPr>
      </w:pPr>
      <w:r w:rsidRPr="004C4D18">
        <w:rPr>
          <w:b/>
          <w:bCs/>
        </w:rPr>
        <w:t>A Guidebook on Equitable Clean Energy Program Design for Local Governments and Partners</w:t>
      </w:r>
      <w:r>
        <w:t xml:space="preserve"> </w:t>
      </w:r>
      <w:r w:rsidR="00CF1B16">
        <w:t xml:space="preserve">Urban Sustainability Director’s Network (by Cadmus Group) (Sept. 2018): </w:t>
      </w:r>
      <w:hyperlink r:id="rId13" w:history="1">
        <w:r w:rsidR="00493D0E" w:rsidRPr="0019585C">
          <w:rPr>
            <w:rStyle w:val="Hyperlink"/>
          </w:rPr>
          <w:t>https://cadmusgroup.com/papers-reports/a-guidebook-on-equitable-clean-energy-program-design-for-local-governments-and-partners/</w:t>
        </w:r>
      </w:hyperlink>
      <w:r>
        <w:t xml:space="preserve"> “</w:t>
      </w:r>
      <w:r w:rsidRPr="006269E4">
        <w:t>The project’s intent was to develop actionable resources for local governments and partners to use to advance social equity in clean energy program design and implementation in their communities. The project also produced an inventory of best practice programs and four in-depth case studies. Seven core USDN cities from the United States and Canada were involved throughout the project, as well as an Equity Advisory Committee, composed of eight representatives whose work or lived experiences could ground the research.</w:t>
      </w:r>
      <w:r>
        <w:t>”</w:t>
      </w:r>
      <w:r w:rsidR="004C4D18" w:rsidRPr="004C4D18">
        <w:rPr>
          <w:b/>
          <w:bCs/>
        </w:rPr>
        <w:t xml:space="preserve"> </w:t>
      </w:r>
    </w:p>
    <w:p w14:paraId="181D056B" w14:textId="34A67A65" w:rsidR="00607F9D" w:rsidRDefault="004C4D18" w:rsidP="00607F9D">
      <w:r w:rsidRPr="004C4D18">
        <w:rPr>
          <w:b/>
          <w:bCs/>
        </w:rPr>
        <w:t xml:space="preserve">USDN: Guide to EQUITABLE, COMMUNITY-DRIVEN CLIMATE PREPAREDNESS PLANNING </w:t>
      </w:r>
      <w:r>
        <w:t xml:space="preserve">(MAY 2017) ( </w:t>
      </w:r>
      <w:hyperlink r:id="rId14" w:history="1">
        <w:r w:rsidRPr="00EE0A3B">
          <w:rPr>
            <w:rStyle w:val="Hyperlink"/>
          </w:rPr>
          <w:t>https://www.usdn.org/uploads/cms/documents/usdn_guide_to_equitable_community-driven_climate_preparedness-_high_res.pdf</w:t>
        </w:r>
      </w:hyperlink>
      <w:r>
        <w:t xml:space="preserve"> ) - program examples of equitable implementation for different climate threats and adaptation needs, including some on EE/Wx.</w:t>
      </w:r>
    </w:p>
    <w:p w14:paraId="0E022BAD" w14:textId="77777777" w:rsidR="00607F9D" w:rsidRDefault="00607F9D">
      <w:pPr>
        <w:rPr>
          <w:rFonts w:cstheme="minorHAnsi"/>
          <w:b/>
          <w:bCs/>
          <w:sz w:val="24"/>
          <w:szCs w:val="24"/>
        </w:rPr>
      </w:pPr>
    </w:p>
    <w:p w14:paraId="648A6B58" w14:textId="77777777" w:rsidR="00607F9D" w:rsidRDefault="00607F9D">
      <w:pPr>
        <w:rPr>
          <w:rFonts w:cstheme="minorHAnsi"/>
          <w:b/>
          <w:bCs/>
          <w:sz w:val="24"/>
          <w:szCs w:val="24"/>
        </w:rPr>
      </w:pPr>
    </w:p>
    <w:p w14:paraId="625F78D8" w14:textId="1160D553" w:rsidR="00B43026" w:rsidRPr="00A7140D" w:rsidRDefault="00A7140D">
      <w:pPr>
        <w:rPr>
          <w:rFonts w:cstheme="minorHAnsi"/>
          <w:b/>
          <w:bCs/>
          <w:sz w:val="24"/>
          <w:szCs w:val="24"/>
        </w:rPr>
      </w:pPr>
      <w:r w:rsidRPr="00A7140D">
        <w:rPr>
          <w:rFonts w:cstheme="minorHAnsi"/>
          <w:b/>
          <w:bCs/>
          <w:sz w:val="24"/>
          <w:szCs w:val="24"/>
        </w:rPr>
        <w:t>Resource links from</w:t>
      </w:r>
      <w:r w:rsidR="00CF1B16">
        <w:rPr>
          <w:rFonts w:cstheme="minorHAnsi"/>
          <w:b/>
          <w:bCs/>
          <w:sz w:val="24"/>
          <w:szCs w:val="24"/>
        </w:rPr>
        <w:t xml:space="preserve"> </w:t>
      </w:r>
      <w:r w:rsidR="00F05AC4">
        <w:rPr>
          <w:rFonts w:cstheme="minorHAnsi"/>
          <w:b/>
          <w:bCs/>
          <w:sz w:val="24"/>
          <w:szCs w:val="24"/>
        </w:rPr>
        <w:t xml:space="preserve">participant </w:t>
      </w:r>
      <w:r w:rsidRPr="00A7140D">
        <w:rPr>
          <w:rFonts w:cstheme="minorHAnsi"/>
          <w:b/>
          <w:bCs/>
          <w:sz w:val="24"/>
          <w:szCs w:val="24"/>
        </w:rPr>
        <w:t>chat</w:t>
      </w:r>
      <w:r w:rsidR="005A3B3F">
        <w:rPr>
          <w:rFonts w:cstheme="minorHAnsi"/>
          <w:b/>
          <w:bCs/>
          <w:sz w:val="24"/>
          <w:szCs w:val="24"/>
        </w:rPr>
        <w:t xml:space="preserve"> during </w:t>
      </w:r>
      <w:r w:rsidR="004F24AF">
        <w:rPr>
          <w:rFonts w:cstheme="minorHAnsi"/>
          <w:b/>
          <w:bCs/>
          <w:sz w:val="24"/>
          <w:szCs w:val="24"/>
        </w:rPr>
        <w:t>ACEEE’s e</w:t>
      </w:r>
      <w:r w:rsidR="005A3B3F">
        <w:rPr>
          <w:rFonts w:cstheme="minorHAnsi"/>
          <w:b/>
          <w:bCs/>
          <w:sz w:val="24"/>
          <w:szCs w:val="24"/>
        </w:rPr>
        <w:t>quity-focused Program Design Network event (May 2021)</w:t>
      </w:r>
      <w:r w:rsidRPr="00A7140D">
        <w:rPr>
          <w:rFonts w:cstheme="minorHAnsi"/>
          <w:b/>
          <w:bCs/>
          <w:sz w:val="24"/>
          <w:szCs w:val="24"/>
        </w:rPr>
        <w:t xml:space="preserve">: </w:t>
      </w:r>
    </w:p>
    <w:p w14:paraId="776C668B" w14:textId="691969E3" w:rsidR="00A7140D" w:rsidRPr="00A7140D" w:rsidRDefault="00A7140D" w:rsidP="00A7140D">
      <w:pPr>
        <w:pStyle w:val="xli4"/>
        <w:shd w:val="clear" w:color="auto" w:fill="FFFFFF"/>
        <w:spacing w:before="0" w:beforeAutospacing="0" w:after="0" w:afterAutospacing="0"/>
        <w:rPr>
          <w:rStyle w:val="xapple-converted-space"/>
          <w:rFonts w:asciiTheme="minorHAnsi" w:hAnsiTheme="minorHAnsi" w:cstheme="minorHAnsi"/>
          <w:color w:val="DCA10D"/>
        </w:rPr>
      </w:pPr>
      <w:r w:rsidRPr="00A7140D">
        <w:rPr>
          <w:rFonts w:asciiTheme="minorHAnsi" w:hAnsiTheme="minorHAnsi" w:cstheme="minorHAnsi"/>
          <w:color w:val="000000"/>
        </w:rPr>
        <w:t xml:space="preserve">GHHI, </w:t>
      </w:r>
      <w:r w:rsidRPr="00A7140D">
        <w:rPr>
          <w:rFonts w:asciiTheme="minorHAnsi" w:hAnsiTheme="minorHAnsi" w:cstheme="minorHAnsi"/>
          <w:i/>
          <w:iCs/>
          <w:color w:val="000000"/>
        </w:rPr>
        <w:t>Non-Energy Benefit Assessment Practices for Housing Interventions: Guidance for Weatherization and Energy Efficiency Programs:</w:t>
      </w:r>
      <w:r w:rsidRPr="00A7140D">
        <w:rPr>
          <w:rFonts w:asciiTheme="minorHAnsi" w:hAnsiTheme="minorHAnsi" w:cstheme="minorHAnsi"/>
          <w:color w:val="000000"/>
        </w:rPr>
        <w:t xml:space="preserve"> </w:t>
      </w:r>
      <w:hyperlink r:id="rId15" w:history="1">
        <w:r w:rsidRPr="00A7140D">
          <w:rPr>
            <w:rStyle w:val="Hyperlink"/>
            <w:rFonts w:asciiTheme="minorHAnsi" w:hAnsiTheme="minorHAnsi" w:cstheme="minorHAnsi"/>
            <w:bdr w:val="none" w:sz="0" w:space="0" w:color="auto" w:frame="1"/>
          </w:rPr>
          <w:t>https://www.greenandhealthyhomes.org/publication/non-energy-benefit-assessment-practices-for-housing-interventions-guidance-for-weatherization-and-energy-efficiency-programs/</w:t>
        </w:r>
      </w:hyperlink>
      <w:r w:rsidRPr="00A7140D">
        <w:rPr>
          <w:rStyle w:val="xapple-converted-space"/>
          <w:rFonts w:asciiTheme="minorHAnsi" w:hAnsiTheme="minorHAnsi" w:cstheme="minorHAnsi"/>
          <w:color w:val="000000"/>
          <w:bdr w:val="none" w:sz="0" w:space="0" w:color="auto" w:frame="1"/>
        </w:rPr>
        <w:t> </w:t>
      </w:r>
    </w:p>
    <w:p w14:paraId="49FED739" w14:textId="77777777" w:rsidR="00A7140D" w:rsidRPr="00A7140D" w:rsidRDefault="00A7140D" w:rsidP="00A7140D">
      <w:pPr>
        <w:pStyle w:val="xli4"/>
        <w:shd w:val="clear" w:color="auto" w:fill="FFFFFF"/>
        <w:spacing w:before="0" w:beforeAutospacing="0" w:after="0" w:afterAutospacing="0"/>
        <w:rPr>
          <w:rFonts w:asciiTheme="minorHAnsi" w:hAnsiTheme="minorHAnsi" w:cstheme="minorHAnsi"/>
          <w:color w:val="DCA10D"/>
        </w:rPr>
      </w:pPr>
    </w:p>
    <w:p w14:paraId="4DC65518" w14:textId="609FFADC" w:rsidR="00A7140D" w:rsidRPr="00A7140D" w:rsidRDefault="00A7140D" w:rsidP="00A7140D">
      <w:pPr>
        <w:pStyle w:val="xli4"/>
        <w:shd w:val="clear" w:color="auto" w:fill="FFFFFF"/>
        <w:spacing w:before="0" w:beforeAutospacing="0" w:after="0" w:afterAutospacing="0"/>
        <w:rPr>
          <w:rFonts w:asciiTheme="minorHAnsi" w:hAnsiTheme="minorHAnsi" w:cstheme="minorHAnsi"/>
          <w:color w:val="000000"/>
          <w:bdr w:val="none" w:sz="0" w:space="0" w:color="auto" w:frame="1"/>
        </w:rPr>
      </w:pPr>
      <w:r w:rsidRPr="00A7140D">
        <w:rPr>
          <w:rStyle w:val="xs3"/>
          <w:rFonts w:asciiTheme="minorHAnsi" w:hAnsiTheme="minorHAnsi" w:cstheme="minorHAnsi"/>
          <w:color w:val="000000"/>
          <w:bdr w:val="none" w:sz="0" w:space="0" w:color="auto" w:frame="1"/>
        </w:rPr>
        <w:t>RAP and Synapse</w:t>
      </w:r>
      <w:r>
        <w:rPr>
          <w:rStyle w:val="xs3"/>
          <w:rFonts w:asciiTheme="minorHAnsi" w:hAnsiTheme="minorHAnsi" w:cstheme="minorHAnsi"/>
          <w:color w:val="000000"/>
          <w:bdr w:val="none" w:sz="0" w:space="0" w:color="auto" w:frame="1"/>
        </w:rPr>
        <w:t>,</w:t>
      </w:r>
      <w:r w:rsidRPr="00A7140D">
        <w:rPr>
          <w:rStyle w:val="xs3"/>
          <w:rFonts w:asciiTheme="minorHAnsi" w:hAnsiTheme="minorHAnsi" w:cstheme="minorHAnsi"/>
          <w:color w:val="000000"/>
          <w:bdr w:val="none" w:sz="0" w:space="0" w:color="auto" w:frame="1"/>
        </w:rPr>
        <w:t xml:space="preserve"> </w:t>
      </w:r>
      <w:r w:rsidRPr="00A7140D">
        <w:rPr>
          <w:rStyle w:val="xs3"/>
          <w:rFonts w:asciiTheme="minorHAnsi" w:hAnsiTheme="minorHAnsi" w:cstheme="minorHAnsi"/>
          <w:i/>
          <w:iCs/>
          <w:color w:val="000000"/>
          <w:bdr w:val="none" w:sz="0" w:space="0" w:color="auto" w:frame="1"/>
        </w:rPr>
        <w:t>Energy Infrastructure: Sources of Inequities and Policy Solutions for Improving Community Health and Wellbeing</w:t>
      </w:r>
      <w:r w:rsidRPr="00A7140D">
        <w:rPr>
          <w:rStyle w:val="xs3"/>
          <w:rFonts w:asciiTheme="minorHAnsi" w:hAnsiTheme="minorHAnsi" w:cstheme="minorHAnsi"/>
          <w:color w:val="000000"/>
          <w:bdr w:val="none" w:sz="0" w:space="0" w:color="auto" w:frame="1"/>
        </w:rPr>
        <w:t xml:space="preserve">: </w:t>
      </w:r>
      <w:hyperlink r:id="rId16" w:history="1">
        <w:r w:rsidRPr="00A7140D">
          <w:rPr>
            <w:rStyle w:val="Hyperlink"/>
            <w:rFonts w:asciiTheme="minorHAnsi" w:hAnsiTheme="minorHAnsi" w:cstheme="minorHAnsi"/>
            <w:bdr w:val="none" w:sz="0" w:space="0" w:color="auto" w:frame="1"/>
          </w:rPr>
          <w:t>https://www.raponline.org/knowledge-center/energy-infrastructure-sources-of-inequities-and-policy-solutions-for-improving-community-health-and-wellbeing/</w:t>
        </w:r>
      </w:hyperlink>
      <w:r w:rsidRPr="00A7140D">
        <w:rPr>
          <w:rStyle w:val="xs3"/>
          <w:rFonts w:asciiTheme="minorHAnsi" w:hAnsiTheme="minorHAnsi" w:cstheme="minorHAnsi"/>
          <w:color w:val="000000"/>
          <w:bdr w:val="none" w:sz="0" w:space="0" w:color="auto" w:frame="1"/>
        </w:rPr>
        <w:t> </w:t>
      </w:r>
      <w:r w:rsidRPr="00A7140D">
        <w:rPr>
          <w:rStyle w:val="xapple-converted-space"/>
          <w:rFonts w:asciiTheme="minorHAnsi" w:hAnsiTheme="minorHAnsi" w:cstheme="minorHAnsi"/>
          <w:color w:val="000000"/>
          <w:bdr w:val="none" w:sz="0" w:space="0" w:color="auto" w:frame="1"/>
        </w:rPr>
        <w:t> </w:t>
      </w:r>
    </w:p>
    <w:p w14:paraId="576D5AFD" w14:textId="77777777" w:rsidR="00A7140D" w:rsidRPr="00A7140D" w:rsidRDefault="00A7140D" w:rsidP="00A7140D">
      <w:pPr>
        <w:pStyle w:val="xli3"/>
        <w:shd w:val="clear" w:color="auto" w:fill="FFFFFF"/>
        <w:spacing w:before="0" w:beforeAutospacing="0" w:after="0" w:afterAutospacing="0"/>
        <w:rPr>
          <w:rFonts w:asciiTheme="minorHAnsi" w:hAnsiTheme="minorHAnsi" w:cstheme="minorHAnsi"/>
          <w:b/>
          <w:bCs/>
          <w:color w:val="000000"/>
        </w:rPr>
      </w:pPr>
    </w:p>
    <w:p w14:paraId="1FD0683C" w14:textId="77777777" w:rsidR="00A7140D" w:rsidRPr="00A7140D" w:rsidRDefault="00A7140D" w:rsidP="00A7140D">
      <w:pPr>
        <w:pStyle w:val="xli3"/>
        <w:shd w:val="clear" w:color="auto" w:fill="FFFFFF"/>
        <w:spacing w:before="0" w:beforeAutospacing="0" w:after="0" w:afterAutospacing="0"/>
        <w:rPr>
          <w:rStyle w:val="xapple-converted-space"/>
          <w:rFonts w:asciiTheme="minorHAnsi" w:hAnsiTheme="minorHAnsi" w:cstheme="minorHAnsi"/>
          <w:b/>
          <w:bCs/>
          <w:color w:val="000000"/>
          <w:bdr w:val="none" w:sz="0" w:space="0" w:color="auto" w:frame="1"/>
        </w:rPr>
      </w:pPr>
    </w:p>
    <w:p w14:paraId="74B3B83F" w14:textId="2CF1F4F7" w:rsidR="00A7140D" w:rsidRPr="00A7140D" w:rsidRDefault="00A7140D" w:rsidP="00A7140D">
      <w:pPr>
        <w:pStyle w:val="xli3"/>
        <w:shd w:val="clear" w:color="auto" w:fill="FFFFFF"/>
        <w:spacing w:before="0" w:beforeAutospacing="0" w:after="0" w:afterAutospacing="0"/>
        <w:rPr>
          <w:rStyle w:val="xapple-converted-space"/>
          <w:rFonts w:asciiTheme="minorHAnsi" w:hAnsiTheme="minorHAnsi" w:cstheme="minorHAnsi"/>
          <w:color w:val="DCA10D"/>
        </w:rPr>
      </w:pPr>
      <w:r w:rsidRPr="00A7140D">
        <w:rPr>
          <w:rStyle w:val="xs3"/>
          <w:rFonts w:asciiTheme="minorHAnsi" w:hAnsiTheme="minorHAnsi" w:cstheme="minorHAnsi"/>
          <w:color w:val="000000"/>
          <w:bdr w:val="none" w:sz="0" w:space="0" w:color="auto" w:frame="1"/>
        </w:rPr>
        <w:t>EPA Tool for Estimating the Health Benefits per Kilowatt-hour of Energy Efficiency and Renewable Energy: </w:t>
      </w:r>
      <w:hyperlink r:id="rId17" w:tgtFrame="_blank" w:tooltip="Original URL: https://www.epa.gov/statelocalenergy/estimating-health-benefits-kilowatt-hour-energy-efficiency-and-renewable-energy. Click or tap if you trust this link." w:history="1">
        <w:r w:rsidRPr="00A7140D">
          <w:rPr>
            <w:rStyle w:val="Hyperlink"/>
            <w:rFonts w:asciiTheme="minorHAnsi" w:hAnsiTheme="minorHAnsi" w:cstheme="minorHAnsi"/>
            <w:color w:val="0563C1"/>
            <w:bdr w:val="none" w:sz="0" w:space="0" w:color="auto" w:frame="1"/>
          </w:rPr>
          <w:t>https://www.epa.gov/statelocalenergy/estimating-health-benefits-kilowatt-hour-energy-efficiency-and-renewable-energy</w:t>
        </w:r>
      </w:hyperlink>
      <w:r w:rsidRPr="00A7140D">
        <w:rPr>
          <w:rStyle w:val="xapple-converted-space"/>
          <w:rFonts w:asciiTheme="minorHAnsi" w:hAnsiTheme="minorHAnsi" w:cstheme="minorHAnsi"/>
          <w:color w:val="000000"/>
          <w:bdr w:val="none" w:sz="0" w:space="0" w:color="auto" w:frame="1"/>
        </w:rPr>
        <w:t> </w:t>
      </w:r>
    </w:p>
    <w:p w14:paraId="6748FAFC" w14:textId="77777777" w:rsidR="00A7140D" w:rsidRPr="00A7140D" w:rsidRDefault="00A7140D" w:rsidP="00A7140D">
      <w:pPr>
        <w:rPr>
          <w:rFonts w:cstheme="minorHAnsi"/>
          <w:sz w:val="24"/>
          <w:szCs w:val="24"/>
        </w:rPr>
      </w:pPr>
    </w:p>
    <w:p w14:paraId="2DB04CC3" w14:textId="6E0E5B23" w:rsidR="00A7140D" w:rsidRPr="00A7140D" w:rsidRDefault="00A7140D" w:rsidP="00A7140D">
      <w:pPr>
        <w:rPr>
          <w:rStyle w:val="xapple-converted-space"/>
          <w:rFonts w:cstheme="minorHAnsi"/>
          <w:color w:val="DCA10D"/>
          <w:sz w:val="24"/>
          <w:szCs w:val="24"/>
        </w:rPr>
      </w:pPr>
      <w:r w:rsidRPr="00A7140D">
        <w:rPr>
          <w:rFonts w:cstheme="minorHAnsi"/>
          <w:sz w:val="24"/>
          <w:szCs w:val="24"/>
        </w:rPr>
        <w:t xml:space="preserve">The National Standard Practice Manual (NSPM): </w:t>
      </w:r>
      <w:hyperlink r:id="rId18" w:history="1">
        <w:r w:rsidRPr="00A7140D">
          <w:rPr>
            <w:rStyle w:val="Hyperlink"/>
            <w:rFonts w:cstheme="minorHAnsi"/>
            <w:sz w:val="24"/>
            <w:szCs w:val="24"/>
            <w:bdr w:val="none" w:sz="0" w:space="0" w:color="auto" w:frame="1"/>
          </w:rPr>
          <w:t>https://www.nationalenergyscreeningproject.org/national-standard-practice-manual/</w:t>
        </w:r>
      </w:hyperlink>
      <w:r w:rsidRPr="00A7140D">
        <w:rPr>
          <w:rStyle w:val="xapple-converted-space"/>
          <w:rFonts w:cstheme="minorHAnsi"/>
          <w:color w:val="000000"/>
          <w:sz w:val="24"/>
          <w:szCs w:val="24"/>
          <w:bdr w:val="none" w:sz="0" w:space="0" w:color="auto" w:frame="1"/>
        </w:rPr>
        <w:t> </w:t>
      </w:r>
    </w:p>
    <w:p w14:paraId="7F743195" w14:textId="77777777" w:rsidR="00A7140D" w:rsidRPr="00A7140D" w:rsidRDefault="00A7140D" w:rsidP="00A7140D">
      <w:pPr>
        <w:pStyle w:val="xli4"/>
        <w:shd w:val="clear" w:color="auto" w:fill="FFFFFF"/>
        <w:spacing w:before="0" w:beforeAutospacing="0" w:after="0" w:afterAutospacing="0"/>
        <w:rPr>
          <w:rFonts w:asciiTheme="minorHAnsi" w:hAnsiTheme="minorHAnsi" w:cstheme="minorHAnsi"/>
          <w:color w:val="DCA10D"/>
        </w:rPr>
      </w:pPr>
    </w:p>
    <w:p w14:paraId="58240FA7" w14:textId="585F1185" w:rsidR="00A7140D" w:rsidRPr="00A7140D" w:rsidRDefault="00A7140D" w:rsidP="00A7140D">
      <w:pPr>
        <w:pStyle w:val="xli4"/>
        <w:shd w:val="clear" w:color="auto" w:fill="FFFFFF"/>
        <w:spacing w:before="0" w:beforeAutospacing="0" w:after="0" w:afterAutospacing="0"/>
        <w:rPr>
          <w:rStyle w:val="xs2"/>
          <w:rFonts w:asciiTheme="minorHAnsi" w:hAnsiTheme="minorHAnsi" w:cstheme="minorHAnsi"/>
          <w:i/>
          <w:iCs/>
          <w:color w:val="000000"/>
          <w:bdr w:val="none" w:sz="0" w:space="0" w:color="auto" w:frame="1"/>
        </w:rPr>
      </w:pPr>
      <w:r w:rsidRPr="00A7140D">
        <w:rPr>
          <w:rStyle w:val="xs2"/>
          <w:rFonts w:asciiTheme="minorHAnsi" w:hAnsiTheme="minorHAnsi" w:cstheme="minorHAnsi"/>
          <w:i/>
          <w:iCs/>
          <w:color w:val="000000"/>
          <w:bdr w:val="none" w:sz="0" w:space="0" w:color="auto" w:frame="1"/>
        </w:rPr>
        <w:t xml:space="preserve">DOE Launches Initiatives to Accelerate Solar Deployment in Underserved Communities: </w:t>
      </w:r>
    </w:p>
    <w:p w14:paraId="5F7DA2B0" w14:textId="6FA3B841" w:rsidR="00A7140D" w:rsidRPr="00A7140D" w:rsidRDefault="007B54E9" w:rsidP="00A7140D">
      <w:pPr>
        <w:pStyle w:val="xli4"/>
        <w:shd w:val="clear" w:color="auto" w:fill="FFFFFF"/>
        <w:spacing w:before="0" w:beforeAutospacing="0" w:after="0" w:afterAutospacing="0"/>
        <w:rPr>
          <w:rFonts w:asciiTheme="minorHAnsi" w:hAnsiTheme="minorHAnsi" w:cstheme="minorHAnsi"/>
          <w:color w:val="DCA10D"/>
        </w:rPr>
      </w:pPr>
      <w:hyperlink r:id="rId19" w:history="1">
        <w:r w:rsidR="00A7140D" w:rsidRPr="00A7140D">
          <w:rPr>
            <w:rStyle w:val="Hyperlink"/>
            <w:rFonts w:asciiTheme="minorHAnsi" w:hAnsiTheme="minorHAnsi" w:cstheme="minorHAnsi"/>
            <w:bdr w:val="none" w:sz="0" w:space="0" w:color="auto" w:frame="1"/>
          </w:rPr>
          <w:t>https://www.energy.gov/articles/doe-launches-initiatives-accelerate-solar-deployment-underserved-communities</w:t>
        </w:r>
      </w:hyperlink>
    </w:p>
    <w:p w14:paraId="280173C7" w14:textId="4AC38ABC" w:rsidR="00A7140D" w:rsidRDefault="00A7140D" w:rsidP="00A7140D"/>
    <w:sectPr w:rsidR="00A7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E2A"/>
    <w:multiLevelType w:val="multilevel"/>
    <w:tmpl w:val="7B1EA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0D"/>
    <w:rsid w:val="00195C6B"/>
    <w:rsid w:val="002F425B"/>
    <w:rsid w:val="0035684B"/>
    <w:rsid w:val="003D1D0E"/>
    <w:rsid w:val="00493D0E"/>
    <w:rsid w:val="004C4D18"/>
    <w:rsid w:val="004F24AF"/>
    <w:rsid w:val="005A3B3F"/>
    <w:rsid w:val="00607F9D"/>
    <w:rsid w:val="007B54E9"/>
    <w:rsid w:val="007E1FD4"/>
    <w:rsid w:val="00824281"/>
    <w:rsid w:val="0086411D"/>
    <w:rsid w:val="008D001D"/>
    <w:rsid w:val="00905BCD"/>
    <w:rsid w:val="00960F13"/>
    <w:rsid w:val="00963D3E"/>
    <w:rsid w:val="00A64F78"/>
    <w:rsid w:val="00A7140D"/>
    <w:rsid w:val="00CF1B16"/>
    <w:rsid w:val="00EC2AF4"/>
    <w:rsid w:val="00F0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09D0"/>
  <w15:chartTrackingRefBased/>
  <w15:docId w15:val="{FCA3F2C6-CE11-4FC5-AA0A-832084BA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3">
    <w:name w:val="x_li3"/>
    <w:basedOn w:val="Normal"/>
    <w:rsid w:val="00A71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i4">
    <w:name w:val="x_li4"/>
    <w:basedOn w:val="Normal"/>
    <w:rsid w:val="00A71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3">
    <w:name w:val="x_s3"/>
    <w:basedOn w:val="DefaultParagraphFont"/>
    <w:rsid w:val="00A7140D"/>
  </w:style>
  <w:style w:type="character" w:styleId="Hyperlink">
    <w:name w:val="Hyperlink"/>
    <w:basedOn w:val="DefaultParagraphFont"/>
    <w:uiPriority w:val="99"/>
    <w:unhideWhenUsed/>
    <w:rsid w:val="00A7140D"/>
    <w:rPr>
      <w:color w:val="0000FF"/>
      <w:u w:val="single"/>
    </w:rPr>
  </w:style>
  <w:style w:type="character" w:customStyle="1" w:styleId="xapple-converted-space">
    <w:name w:val="x_apple-converted-space"/>
    <w:basedOn w:val="DefaultParagraphFont"/>
    <w:rsid w:val="00A7140D"/>
  </w:style>
  <w:style w:type="character" w:customStyle="1" w:styleId="xs2">
    <w:name w:val="x_s2"/>
    <w:basedOn w:val="DefaultParagraphFont"/>
    <w:rsid w:val="00A7140D"/>
  </w:style>
  <w:style w:type="character" w:customStyle="1" w:styleId="xs4">
    <w:name w:val="x_s4"/>
    <w:basedOn w:val="DefaultParagraphFont"/>
    <w:rsid w:val="00A7140D"/>
  </w:style>
  <w:style w:type="paragraph" w:styleId="ListParagraph">
    <w:name w:val="List Paragraph"/>
    <w:basedOn w:val="Normal"/>
    <w:uiPriority w:val="34"/>
    <w:qFormat/>
    <w:rsid w:val="00A7140D"/>
    <w:pPr>
      <w:ind w:left="720"/>
      <w:contextualSpacing/>
    </w:pPr>
  </w:style>
  <w:style w:type="character" w:styleId="FollowedHyperlink">
    <w:name w:val="FollowedHyperlink"/>
    <w:basedOn w:val="DefaultParagraphFont"/>
    <w:uiPriority w:val="99"/>
    <w:semiHidden/>
    <w:unhideWhenUsed/>
    <w:rsid w:val="00A7140D"/>
    <w:rPr>
      <w:color w:val="954F72" w:themeColor="followedHyperlink"/>
      <w:u w:val="single"/>
    </w:rPr>
  </w:style>
  <w:style w:type="character" w:styleId="UnresolvedMention">
    <w:name w:val="Unresolved Mention"/>
    <w:basedOn w:val="DefaultParagraphFont"/>
    <w:uiPriority w:val="99"/>
    <w:semiHidden/>
    <w:unhideWhenUsed/>
    <w:rsid w:val="00A7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314">
      <w:bodyDiv w:val="1"/>
      <w:marLeft w:val="0"/>
      <w:marRight w:val="0"/>
      <w:marTop w:val="0"/>
      <w:marBottom w:val="0"/>
      <w:divBdr>
        <w:top w:val="none" w:sz="0" w:space="0" w:color="auto"/>
        <w:left w:val="none" w:sz="0" w:space="0" w:color="auto"/>
        <w:bottom w:val="none" w:sz="0" w:space="0" w:color="auto"/>
        <w:right w:val="none" w:sz="0" w:space="0" w:color="auto"/>
      </w:divBdr>
    </w:div>
    <w:div w:id="763308598">
      <w:bodyDiv w:val="1"/>
      <w:marLeft w:val="0"/>
      <w:marRight w:val="0"/>
      <w:marTop w:val="0"/>
      <w:marBottom w:val="0"/>
      <w:divBdr>
        <w:top w:val="none" w:sz="0" w:space="0" w:color="auto"/>
        <w:left w:val="none" w:sz="0" w:space="0" w:color="auto"/>
        <w:bottom w:val="none" w:sz="0" w:space="0" w:color="auto"/>
        <w:right w:val="none" w:sz="0" w:space="0" w:color="auto"/>
      </w:divBdr>
    </w:div>
    <w:div w:id="1116143634">
      <w:bodyDiv w:val="1"/>
      <w:marLeft w:val="0"/>
      <w:marRight w:val="0"/>
      <w:marTop w:val="0"/>
      <w:marBottom w:val="0"/>
      <w:divBdr>
        <w:top w:val="none" w:sz="0" w:space="0" w:color="auto"/>
        <w:left w:val="none" w:sz="0" w:space="0" w:color="auto"/>
        <w:bottom w:val="none" w:sz="0" w:space="0" w:color="auto"/>
        <w:right w:val="none" w:sz="0" w:space="0" w:color="auto"/>
      </w:divBdr>
    </w:div>
    <w:div w:id="1196700859">
      <w:bodyDiv w:val="1"/>
      <w:marLeft w:val="0"/>
      <w:marRight w:val="0"/>
      <w:marTop w:val="0"/>
      <w:marBottom w:val="0"/>
      <w:divBdr>
        <w:top w:val="none" w:sz="0" w:space="0" w:color="auto"/>
        <w:left w:val="none" w:sz="0" w:space="0" w:color="auto"/>
        <w:bottom w:val="none" w:sz="0" w:space="0" w:color="auto"/>
        <w:right w:val="none" w:sz="0" w:space="0" w:color="auto"/>
      </w:divBdr>
    </w:div>
    <w:div w:id="1599947855">
      <w:bodyDiv w:val="1"/>
      <w:marLeft w:val="0"/>
      <w:marRight w:val="0"/>
      <w:marTop w:val="0"/>
      <w:marBottom w:val="0"/>
      <w:divBdr>
        <w:top w:val="none" w:sz="0" w:space="0" w:color="auto"/>
        <w:left w:val="none" w:sz="0" w:space="0" w:color="auto"/>
        <w:bottom w:val="none" w:sz="0" w:space="0" w:color="auto"/>
        <w:right w:val="none" w:sz="0" w:space="0" w:color="auto"/>
      </w:divBdr>
    </w:div>
    <w:div w:id="1730567382">
      <w:bodyDiv w:val="1"/>
      <w:marLeft w:val="0"/>
      <w:marRight w:val="0"/>
      <w:marTop w:val="0"/>
      <w:marBottom w:val="0"/>
      <w:divBdr>
        <w:top w:val="none" w:sz="0" w:space="0" w:color="auto"/>
        <w:left w:val="none" w:sz="0" w:space="0" w:color="auto"/>
        <w:bottom w:val="none" w:sz="0" w:space="0" w:color="auto"/>
        <w:right w:val="none" w:sz="0" w:space="0" w:color="auto"/>
      </w:divBdr>
    </w:div>
    <w:div w:id="21012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1PaxbQ_IFXdi94nbaPmDlvpimtA53_K5?usp=sharing" TargetMode="External"/><Relationship Id="rId13" Type="http://schemas.openxmlformats.org/officeDocument/2006/relationships/hyperlink" Target="https://cadmusgroup.com/papers-reports/a-guidebook-on-equitable-clean-energy-program-design-for-local-governments-and-partners/" TargetMode="External"/><Relationship Id="rId18" Type="http://schemas.openxmlformats.org/officeDocument/2006/relationships/hyperlink" Target="https://www.nationalenergyscreeningproject.org/national-standard-practice-manu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rban.org/sites/default/files/publication/101052/the_state_of_equity_measurement_0_0.pdf" TargetMode="External"/><Relationship Id="rId17" Type="http://schemas.openxmlformats.org/officeDocument/2006/relationships/hyperlink" Target="https://nam10.safelinks.protection.outlook.com/?url=https%3A%2F%2Fwww.epa.gov%2Fstatelocalenergy%2Festimating-health-benefits-kilowatt-hour-energy-efficiency-and-renewable-energy&amp;data=04%7C01%7Ccgerbode%40aceee.org%7C188c1f0d10614b4ecafb08d910c96a00%7Cd317cef123d5472bb8d214478f8bdf27%7C0%7C0%7C637559279518967294%7CUnknown%7CTWFpbGZsb3d8eyJWIjoiMC4wLjAwMDAiLCJQIjoiV2luMzIiLCJBTiI6Ik1haWwiLCJXVCI6Mn0%3D%7C1000&amp;sdata=f6cLfZwQLrJTKfdoFvCEmznQbU%2FG9cqBatithWsZScc%3D&amp;reserved=0" TargetMode="External"/><Relationship Id="rId2" Type="http://schemas.openxmlformats.org/officeDocument/2006/relationships/customXml" Target="../customXml/item2.xml"/><Relationship Id="rId16" Type="http://schemas.openxmlformats.org/officeDocument/2006/relationships/hyperlink" Target="https://www.raponline.org/knowledge-center/energy-infrastructure-sources-of-inequities-and-policy-solutions-for-improving-community-health-and-wellbe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jusa.org/wp-content/uploads/2021/03/Justice-in-100-Metrics-2021.pdf" TargetMode="External"/><Relationship Id="rId5" Type="http://schemas.openxmlformats.org/officeDocument/2006/relationships/styles" Target="styles.xml"/><Relationship Id="rId15" Type="http://schemas.openxmlformats.org/officeDocument/2006/relationships/hyperlink" Target="https://www.greenandhealthyhomes.org/publication/non-energy-benefit-assessment-practices-for-housing-interventions-guidance-for-weatherization-and-energy-efficiency-programs/" TargetMode="External"/><Relationship Id="rId10" Type="http://schemas.openxmlformats.org/officeDocument/2006/relationships/hyperlink" Target="https://database.aceee.org/state/equity-workforce" TargetMode="External"/><Relationship Id="rId19" Type="http://schemas.openxmlformats.org/officeDocument/2006/relationships/hyperlink" Target="https://www.energy.gov/articles/doe-launches-initiatives-accelerate-solar-deployment-underserved-communities" TargetMode="External"/><Relationship Id="rId4" Type="http://schemas.openxmlformats.org/officeDocument/2006/relationships/numbering" Target="numbering.xml"/><Relationship Id="rId9" Type="http://schemas.openxmlformats.org/officeDocument/2006/relationships/hyperlink" Target="https://www.aceee.org/energy-equity-initiative" TargetMode="External"/><Relationship Id="rId14" Type="http://schemas.openxmlformats.org/officeDocument/2006/relationships/hyperlink" Target="https://www.usdn.org/uploads/cms/documents/usdn_guide_to_equitable_community-driven_climate_preparedness-_high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D898715234E46A21E8B5E55ED76A2" ma:contentTypeVersion="11" ma:contentTypeDescription="Create a new document." ma:contentTypeScope="" ma:versionID="a695f5d571142c0f0c97f8ef9b7ef2ed">
  <xsd:schema xmlns:xsd="http://www.w3.org/2001/XMLSchema" xmlns:xs="http://www.w3.org/2001/XMLSchema" xmlns:p="http://schemas.microsoft.com/office/2006/metadata/properties" xmlns:ns2="58fe864a-32d7-4712-a601-b6405bb7ac7b" xmlns:ns3="ce55cf4c-b20f-4974-a518-f9afd5675899" targetNamespace="http://schemas.microsoft.com/office/2006/metadata/properties" ma:root="true" ma:fieldsID="9995e7488b57a61aa6fdd3dd5dc7086f" ns2:_="" ns3:_="">
    <xsd:import namespace="58fe864a-32d7-4712-a601-b6405bb7ac7b"/>
    <xsd:import namespace="ce55cf4c-b20f-4974-a518-f9afd5675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864a-32d7-4712-a601-b6405bb7a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5cf4c-b20f-4974-a518-f9afd56758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D6F81-3A31-4981-A5D5-EA3E5CDD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42987-987E-4F78-AE07-7CC33D857105}">
  <ds:schemaRefs>
    <ds:schemaRef ds:uri="http://schemas.microsoft.com/sharepoint/v3/contenttype/forms"/>
  </ds:schemaRefs>
</ds:datastoreItem>
</file>

<file path=customXml/itemProps3.xml><?xml version="1.0" encoding="utf-8"?>
<ds:datastoreItem xmlns:ds="http://schemas.openxmlformats.org/officeDocument/2006/customXml" ds:itemID="{79CD9808-A8D2-4C74-AF52-31262B310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864a-32d7-4712-a601-b6405bb7ac7b"/>
    <ds:schemaRef ds:uri="ce55cf4c-b20f-4974-a518-f9afd5675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Gerbode</dc:creator>
  <cp:keywords/>
  <dc:description/>
  <cp:lastModifiedBy>Katherine Mckeague Abrams</cp:lastModifiedBy>
  <cp:revision>2</cp:revision>
  <dcterms:created xsi:type="dcterms:W3CDTF">2021-07-22T19:23:00Z</dcterms:created>
  <dcterms:modified xsi:type="dcterms:W3CDTF">2021-07-22T19:23:00Z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0x010100064D898715234E46A21E8B5E55ED76A2</vt:lpwstr>
  </property>
</Properties>
</file>