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E73D" w14:textId="68CC1006" w:rsidR="001D6DE7" w:rsidRPr="0024346D" w:rsidRDefault="00AC0A41" w:rsidP="0024346D">
      <w:pPr>
        <w:pStyle w:val="Title"/>
        <w:rPr>
          <w:b/>
          <w:color w:val="006FC0"/>
        </w:rPr>
      </w:pPr>
      <w:r>
        <w:rPr>
          <w:b/>
          <w:color w:val="006FC0"/>
        </w:rPr>
        <w:t>AESAP</w:t>
      </w:r>
      <w:r w:rsidR="0024346D" w:rsidRPr="0024346D">
        <w:rPr>
          <w:b/>
          <w:color w:val="006FC0"/>
        </w:rPr>
        <w:t xml:space="preserve"> Implementation Plan</w:t>
      </w:r>
    </w:p>
    <w:p w14:paraId="27152E2C" w14:textId="24FDB2E6" w:rsidR="007F2BC1" w:rsidRPr="00874ECB" w:rsidRDefault="007F2BC1" w:rsidP="001D6DE7">
      <w:pPr>
        <w:pStyle w:val="SDGEHeader1"/>
      </w:pPr>
      <w:r w:rsidRPr="00BE7E2C">
        <w:t>Program Overview</w:t>
      </w:r>
    </w:p>
    <w:p w14:paraId="729921E7" w14:textId="55A03E2F" w:rsidR="007F2BC1" w:rsidRPr="00B61056" w:rsidRDefault="007F2BC1" w:rsidP="0036247B">
      <w:pPr>
        <w:pStyle w:val="SDGEHeader1"/>
      </w:pPr>
      <w:r w:rsidRPr="00B61056">
        <w:t xml:space="preserve">Program </w:t>
      </w:r>
      <w:r w:rsidRPr="0024346D">
        <w:t>Budget and</w:t>
      </w:r>
      <w:r w:rsidRPr="00B61056">
        <w:t xml:space="preserve"> Savings</w:t>
      </w:r>
    </w:p>
    <w:p w14:paraId="31E72771" w14:textId="75F21DEE" w:rsidR="007F2BC1" w:rsidRPr="00950F7B" w:rsidRDefault="007F2BC1" w:rsidP="007F2BC1">
      <w:pPr>
        <w:pStyle w:val="Default"/>
        <w:rPr>
          <w:color w:val="auto"/>
        </w:rPr>
      </w:pPr>
      <w:r w:rsidRPr="00950F7B">
        <w:rPr>
          <w:rFonts w:ascii="Garamond" w:hAnsi="Garamond" w:cs="Garamond"/>
          <w:color w:val="auto"/>
        </w:rPr>
        <w:t>1. Program Name</w:t>
      </w:r>
      <w:r w:rsidR="003F51F4">
        <w:rPr>
          <w:rFonts w:ascii="Garamond" w:hAnsi="Garamond" w:cs="Garamond"/>
          <w:color w:val="auto"/>
        </w:rPr>
        <w:t xml:space="preserve">: </w:t>
      </w:r>
      <w:r w:rsidR="00AC0A41">
        <w:rPr>
          <w:rFonts w:ascii="Garamond" w:hAnsi="Garamond" w:cs="Garamond"/>
          <w:color w:val="auto"/>
        </w:rPr>
        <w:t>P</w:t>
      </w:r>
      <w:r w:rsidR="005F1857">
        <w:rPr>
          <w:rFonts w:ascii="Garamond" w:hAnsi="Garamond" w:cs="Garamond"/>
          <w:color w:val="auto"/>
        </w:rPr>
        <w:t xml:space="preserve">G&amp;E’s </w:t>
      </w:r>
      <w:r w:rsidR="00AC0A41">
        <w:rPr>
          <w:rFonts w:ascii="Garamond" w:hAnsi="Garamond" w:cs="Garamond"/>
          <w:color w:val="auto"/>
        </w:rPr>
        <w:t>Agricultural Energy Savings Action Plan</w:t>
      </w:r>
      <w:r w:rsidR="003F51F4">
        <w:rPr>
          <w:rFonts w:ascii="Garamond" w:hAnsi="Garamond" w:cs="Garamond"/>
          <w:color w:val="auto"/>
        </w:rPr>
        <w:t xml:space="preserve"> (</w:t>
      </w:r>
      <w:r w:rsidR="00AC0A41">
        <w:rPr>
          <w:rFonts w:ascii="Garamond" w:hAnsi="Garamond" w:cs="Garamond"/>
          <w:color w:val="auto"/>
        </w:rPr>
        <w:t>AESAP</w:t>
      </w:r>
      <w:r w:rsidR="003F51F4">
        <w:rPr>
          <w:rFonts w:ascii="Garamond" w:hAnsi="Garamond" w:cs="Garamond"/>
          <w:color w:val="auto"/>
        </w:rPr>
        <w:t>)</w:t>
      </w:r>
      <w:r w:rsidRPr="00950F7B">
        <w:rPr>
          <w:rFonts w:ascii="Garamond" w:hAnsi="Garamond" w:cs="Garamond"/>
          <w:color w:val="auto"/>
        </w:rPr>
        <w:t xml:space="preserve"> </w:t>
      </w:r>
    </w:p>
    <w:p w14:paraId="0BE0E8CE" w14:textId="0F711498" w:rsidR="007F2BC1" w:rsidRPr="00950F7B" w:rsidRDefault="007F2BC1" w:rsidP="007F2BC1">
      <w:pPr>
        <w:pStyle w:val="Default"/>
        <w:rPr>
          <w:color w:val="auto"/>
        </w:rPr>
      </w:pPr>
      <w:r w:rsidRPr="00950F7B">
        <w:rPr>
          <w:rFonts w:ascii="Garamond" w:hAnsi="Garamond" w:cs="Garamond"/>
          <w:color w:val="auto"/>
        </w:rPr>
        <w:t>2. Program ID number</w:t>
      </w:r>
      <w:r w:rsidR="00F13F91">
        <w:rPr>
          <w:rFonts w:ascii="Garamond" w:hAnsi="Garamond" w:cs="Garamond"/>
          <w:color w:val="auto"/>
        </w:rPr>
        <w:t>:</w:t>
      </w:r>
      <w:r w:rsidRPr="00950F7B">
        <w:rPr>
          <w:rFonts w:ascii="Garamond" w:hAnsi="Garamond" w:cs="Garamond"/>
          <w:color w:val="auto"/>
        </w:rPr>
        <w:t xml:space="preserve"> </w:t>
      </w:r>
      <w:r w:rsidR="00D42509" w:rsidRPr="00F957DF">
        <w:rPr>
          <w:rFonts w:ascii="Garamond" w:hAnsi="Garamond" w:cs="Garamond"/>
          <w:color w:val="auto"/>
        </w:rPr>
        <w:t>PGE_Ag_001</w:t>
      </w:r>
    </w:p>
    <w:p w14:paraId="23573BD6" w14:textId="6C9B74E0" w:rsidR="00DA4643" w:rsidRPr="00DA4643" w:rsidRDefault="007F2BC1" w:rsidP="007F2BC1">
      <w:pPr>
        <w:pStyle w:val="Default"/>
        <w:rPr>
          <w:rFonts w:asciiTheme="minorHAnsi" w:hAnsiTheme="minorHAnsi" w:cstheme="minorHAnsi"/>
          <w:color w:val="auto"/>
          <w:sz w:val="28"/>
          <w:szCs w:val="28"/>
        </w:rPr>
      </w:pPr>
      <w:r w:rsidRPr="00950F7B">
        <w:rPr>
          <w:rFonts w:ascii="Garamond" w:hAnsi="Garamond" w:cs="Garamond"/>
          <w:color w:val="auto"/>
        </w:rPr>
        <w:t>3. Program Budget Table</w:t>
      </w:r>
      <w:r w:rsidR="00F13F91">
        <w:rPr>
          <w:rFonts w:ascii="Garamond" w:hAnsi="Garamond" w:cs="Garamond"/>
          <w:color w:val="auto"/>
        </w:rPr>
        <w:t>:</w:t>
      </w:r>
    </w:p>
    <w:tbl>
      <w:tblPr>
        <w:tblStyle w:val="TableGrid"/>
        <w:tblW w:w="12386" w:type="dxa"/>
        <w:tblInd w:w="-5" w:type="dxa"/>
        <w:tblBorders>
          <w:insideV w:val="double" w:sz="4" w:space="0" w:color="auto"/>
        </w:tblBorders>
        <w:tblLayout w:type="fixed"/>
        <w:tblLook w:val="04A0" w:firstRow="1" w:lastRow="0" w:firstColumn="1" w:lastColumn="0" w:noHBand="0" w:noVBand="1"/>
      </w:tblPr>
      <w:tblGrid>
        <w:gridCol w:w="1708"/>
        <w:gridCol w:w="1496"/>
        <w:gridCol w:w="1497"/>
        <w:gridCol w:w="1496"/>
        <w:gridCol w:w="1497"/>
        <w:gridCol w:w="1564"/>
        <w:gridCol w:w="1564"/>
        <w:gridCol w:w="1564"/>
      </w:tblGrid>
      <w:tr w:rsidR="00FD468A" w14:paraId="72735E04" w14:textId="77777777" w:rsidTr="00EA0BB3">
        <w:trPr>
          <w:trHeight w:val="741"/>
        </w:trPr>
        <w:tc>
          <w:tcPr>
            <w:tcW w:w="1708" w:type="dxa"/>
            <w:shd w:val="clear" w:color="auto" w:fill="E7E6E6" w:themeFill="background2"/>
            <w:vAlign w:val="center"/>
          </w:tcPr>
          <w:p w14:paraId="1E3790FA" w14:textId="77777777" w:rsidR="00FD468A" w:rsidRPr="00702523" w:rsidRDefault="00FD468A" w:rsidP="006F43D7">
            <w:pPr>
              <w:jc w:val="center"/>
              <w:rPr>
                <w:sz w:val="21"/>
                <w:szCs w:val="21"/>
              </w:rPr>
            </w:pPr>
            <w:r w:rsidRPr="00702523">
              <w:rPr>
                <w:b/>
                <w:sz w:val="21"/>
                <w:szCs w:val="21"/>
              </w:rPr>
              <w:t>Category Description</w:t>
            </w:r>
          </w:p>
        </w:tc>
        <w:tc>
          <w:tcPr>
            <w:tcW w:w="1496" w:type="dxa"/>
            <w:shd w:val="clear" w:color="auto" w:fill="E7E6E6" w:themeFill="background2"/>
            <w:vAlign w:val="center"/>
          </w:tcPr>
          <w:p w14:paraId="54C18AA1" w14:textId="77777777" w:rsidR="00FD468A" w:rsidRPr="00702523" w:rsidRDefault="00FD468A" w:rsidP="006F43D7">
            <w:pPr>
              <w:jc w:val="center"/>
              <w:rPr>
                <w:b/>
                <w:sz w:val="21"/>
                <w:szCs w:val="21"/>
              </w:rPr>
            </w:pPr>
            <w:r w:rsidRPr="00702523">
              <w:rPr>
                <w:b/>
                <w:sz w:val="21"/>
                <w:szCs w:val="21"/>
              </w:rPr>
              <w:t>2020 Program Budget ($)</w:t>
            </w:r>
          </w:p>
        </w:tc>
        <w:tc>
          <w:tcPr>
            <w:tcW w:w="1497" w:type="dxa"/>
            <w:shd w:val="clear" w:color="auto" w:fill="E7E6E6" w:themeFill="background2"/>
            <w:vAlign w:val="center"/>
          </w:tcPr>
          <w:p w14:paraId="1FF02B17" w14:textId="77777777" w:rsidR="00FD468A" w:rsidRPr="00702523" w:rsidRDefault="00FD468A" w:rsidP="006F43D7">
            <w:pPr>
              <w:jc w:val="center"/>
              <w:rPr>
                <w:b/>
                <w:sz w:val="21"/>
                <w:szCs w:val="21"/>
              </w:rPr>
            </w:pPr>
            <w:r w:rsidRPr="00702523">
              <w:rPr>
                <w:b/>
                <w:sz w:val="21"/>
                <w:szCs w:val="21"/>
              </w:rPr>
              <w:t>2021 Program Budget ($)</w:t>
            </w:r>
          </w:p>
        </w:tc>
        <w:tc>
          <w:tcPr>
            <w:tcW w:w="1496" w:type="dxa"/>
            <w:shd w:val="clear" w:color="auto" w:fill="E7E6E6" w:themeFill="background2"/>
            <w:vAlign w:val="center"/>
          </w:tcPr>
          <w:p w14:paraId="5BB1DAB5" w14:textId="77777777" w:rsidR="00FD468A" w:rsidRPr="00702523" w:rsidRDefault="00FD468A" w:rsidP="006F43D7">
            <w:pPr>
              <w:jc w:val="center"/>
              <w:rPr>
                <w:b/>
                <w:sz w:val="21"/>
                <w:szCs w:val="21"/>
              </w:rPr>
            </w:pPr>
            <w:r w:rsidRPr="00702523">
              <w:rPr>
                <w:b/>
                <w:sz w:val="21"/>
                <w:szCs w:val="21"/>
              </w:rPr>
              <w:t>2022 Program Budget ($)</w:t>
            </w:r>
          </w:p>
        </w:tc>
        <w:tc>
          <w:tcPr>
            <w:tcW w:w="1497" w:type="dxa"/>
            <w:shd w:val="clear" w:color="auto" w:fill="E7E6E6" w:themeFill="background2"/>
            <w:vAlign w:val="center"/>
          </w:tcPr>
          <w:p w14:paraId="51204B49" w14:textId="77777777" w:rsidR="00FD468A" w:rsidRPr="00702523" w:rsidRDefault="00FD468A" w:rsidP="006F43D7">
            <w:pPr>
              <w:jc w:val="center"/>
              <w:rPr>
                <w:b/>
                <w:sz w:val="21"/>
                <w:szCs w:val="21"/>
              </w:rPr>
            </w:pPr>
            <w:r w:rsidRPr="00702523">
              <w:rPr>
                <w:b/>
                <w:sz w:val="21"/>
                <w:szCs w:val="21"/>
              </w:rPr>
              <w:t>2023 Program Budget ($)</w:t>
            </w:r>
          </w:p>
        </w:tc>
        <w:tc>
          <w:tcPr>
            <w:tcW w:w="1564" w:type="dxa"/>
            <w:shd w:val="clear" w:color="auto" w:fill="E7E6E6" w:themeFill="background2"/>
            <w:vAlign w:val="center"/>
          </w:tcPr>
          <w:p w14:paraId="5EF5212F" w14:textId="77777777" w:rsidR="00FD468A" w:rsidRPr="00702523" w:rsidRDefault="00FD468A" w:rsidP="006F43D7">
            <w:pPr>
              <w:jc w:val="center"/>
              <w:rPr>
                <w:b/>
                <w:sz w:val="21"/>
                <w:szCs w:val="21"/>
              </w:rPr>
            </w:pPr>
            <w:r w:rsidRPr="00702523">
              <w:rPr>
                <w:b/>
                <w:sz w:val="21"/>
                <w:szCs w:val="21"/>
              </w:rPr>
              <w:t>202</w:t>
            </w:r>
            <w:r>
              <w:rPr>
                <w:b/>
                <w:sz w:val="21"/>
                <w:szCs w:val="21"/>
              </w:rPr>
              <w:t>4</w:t>
            </w:r>
            <w:r w:rsidRPr="00702523">
              <w:rPr>
                <w:b/>
                <w:sz w:val="21"/>
                <w:szCs w:val="21"/>
              </w:rPr>
              <w:t xml:space="preserve"> Program Budget ($)</w:t>
            </w:r>
          </w:p>
        </w:tc>
        <w:tc>
          <w:tcPr>
            <w:tcW w:w="1564" w:type="dxa"/>
            <w:shd w:val="clear" w:color="auto" w:fill="E7E6E6" w:themeFill="background2"/>
            <w:vAlign w:val="center"/>
          </w:tcPr>
          <w:p w14:paraId="7D06F6F7" w14:textId="77777777" w:rsidR="00FD468A" w:rsidRPr="00702523" w:rsidRDefault="00FD468A" w:rsidP="006F43D7">
            <w:pPr>
              <w:jc w:val="center"/>
              <w:rPr>
                <w:b/>
                <w:sz w:val="21"/>
                <w:szCs w:val="21"/>
              </w:rPr>
            </w:pPr>
            <w:r w:rsidRPr="00702523">
              <w:rPr>
                <w:b/>
                <w:sz w:val="21"/>
                <w:szCs w:val="21"/>
              </w:rPr>
              <w:t>202</w:t>
            </w:r>
            <w:r>
              <w:rPr>
                <w:b/>
                <w:sz w:val="21"/>
                <w:szCs w:val="21"/>
              </w:rPr>
              <w:t>5</w:t>
            </w:r>
            <w:r w:rsidRPr="00702523">
              <w:rPr>
                <w:b/>
                <w:sz w:val="21"/>
                <w:szCs w:val="21"/>
              </w:rPr>
              <w:t xml:space="preserve"> Program Budget ($)</w:t>
            </w:r>
          </w:p>
        </w:tc>
        <w:tc>
          <w:tcPr>
            <w:tcW w:w="1564" w:type="dxa"/>
            <w:shd w:val="clear" w:color="auto" w:fill="E7E6E6" w:themeFill="background2"/>
            <w:vAlign w:val="center"/>
          </w:tcPr>
          <w:p w14:paraId="0F3D5B58" w14:textId="77777777" w:rsidR="00FD468A" w:rsidRPr="00702523" w:rsidRDefault="00FD468A" w:rsidP="006F43D7">
            <w:pPr>
              <w:jc w:val="center"/>
              <w:rPr>
                <w:b/>
                <w:sz w:val="21"/>
                <w:szCs w:val="21"/>
              </w:rPr>
            </w:pPr>
            <w:r w:rsidRPr="00702523">
              <w:rPr>
                <w:b/>
                <w:sz w:val="21"/>
                <w:szCs w:val="21"/>
              </w:rPr>
              <w:t>Total Program Budget ($)</w:t>
            </w:r>
          </w:p>
        </w:tc>
      </w:tr>
      <w:tr w:rsidR="00FD468A" w14:paraId="0DA6F8F4" w14:textId="77777777" w:rsidTr="00EA0BB3">
        <w:trPr>
          <w:trHeight w:val="586"/>
        </w:trPr>
        <w:tc>
          <w:tcPr>
            <w:tcW w:w="1708" w:type="dxa"/>
          </w:tcPr>
          <w:p w14:paraId="4EEAB551" w14:textId="77777777" w:rsidR="00FD468A" w:rsidRPr="00702523" w:rsidRDefault="00FD468A" w:rsidP="006F43D7">
            <w:pPr>
              <w:rPr>
                <w:b/>
                <w:sz w:val="21"/>
                <w:szCs w:val="21"/>
              </w:rPr>
            </w:pPr>
            <w:r w:rsidRPr="00866C2A">
              <w:t>Administrative Costs</w:t>
            </w:r>
          </w:p>
        </w:tc>
        <w:tc>
          <w:tcPr>
            <w:tcW w:w="1496" w:type="dxa"/>
            <w:vAlign w:val="center"/>
          </w:tcPr>
          <w:p w14:paraId="1D3AB3A1" w14:textId="77777777" w:rsidR="00FD468A" w:rsidRPr="00702523" w:rsidRDefault="00FD468A" w:rsidP="006F43D7">
            <w:pPr>
              <w:jc w:val="center"/>
              <w:rPr>
                <w:sz w:val="21"/>
                <w:szCs w:val="21"/>
              </w:rPr>
            </w:pPr>
            <w:r>
              <w:rPr>
                <w:rFonts w:ascii="Calibri" w:hAnsi="Calibri" w:cs="Calibri"/>
                <w:color w:val="000000"/>
              </w:rPr>
              <w:t>$112,500</w:t>
            </w:r>
          </w:p>
        </w:tc>
        <w:tc>
          <w:tcPr>
            <w:tcW w:w="1497" w:type="dxa"/>
            <w:vAlign w:val="center"/>
          </w:tcPr>
          <w:p w14:paraId="7009DABD" w14:textId="77777777" w:rsidR="00FD468A" w:rsidRPr="00702523" w:rsidRDefault="00FD468A" w:rsidP="006F43D7">
            <w:pPr>
              <w:ind w:left="-149" w:right="-165"/>
              <w:jc w:val="center"/>
              <w:rPr>
                <w:sz w:val="21"/>
                <w:szCs w:val="21"/>
              </w:rPr>
            </w:pPr>
            <w:r>
              <w:rPr>
                <w:rFonts w:ascii="Calibri" w:hAnsi="Calibri" w:cs="Calibri"/>
                <w:color w:val="000000"/>
              </w:rPr>
              <w:t>$184,494</w:t>
            </w:r>
          </w:p>
        </w:tc>
        <w:tc>
          <w:tcPr>
            <w:tcW w:w="1496" w:type="dxa"/>
            <w:vAlign w:val="center"/>
          </w:tcPr>
          <w:p w14:paraId="451967CA" w14:textId="77777777" w:rsidR="00FD468A" w:rsidRPr="00702523" w:rsidRDefault="00FD468A" w:rsidP="006F43D7">
            <w:pPr>
              <w:ind w:left="-89" w:right="-30"/>
              <w:jc w:val="center"/>
              <w:rPr>
                <w:sz w:val="21"/>
                <w:szCs w:val="21"/>
              </w:rPr>
            </w:pPr>
            <w:r>
              <w:rPr>
                <w:rFonts w:ascii="Calibri" w:hAnsi="Calibri" w:cs="Calibri"/>
                <w:color w:val="000000"/>
              </w:rPr>
              <w:t>$367,892</w:t>
            </w:r>
          </w:p>
        </w:tc>
        <w:tc>
          <w:tcPr>
            <w:tcW w:w="1497" w:type="dxa"/>
            <w:vAlign w:val="center"/>
          </w:tcPr>
          <w:p w14:paraId="7AAF9635" w14:textId="77777777" w:rsidR="00FD468A" w:rsidRPr="00702523" w:rsidRDefault="00FD468A" w:rsidP="006F43D7">
            <w:pPr>
              <w:ind w:left="-119" w:right="-60"/>
              <w:jc w:val="center"/>
              <w:rPr>
                <w:sz w:val="21"/>
                <w:szCs w:val="21"/>
              </w:rPr>
            </w:pPr>
            <w:r>
              <w:rPr>
                <w:rFonts w:ascii="Calibri" w:hAnsi="Calibri" w:cs="Calibri"/>
                <w:color w:val="000000"/>
              </w:rPr>
              <w:t>$559,221</w:t>
            </w:r>
          </w:p>
        </w:tc>
        <w:tc>
          <w:tcPr>
            <w:tcW w:w="1564" w:type="dxa"/>
            <w:vAlign w:val="center"/>
          </w:tcPr>
          <w:p w14:paraId="3D2269B0" w14:textId="77777777" w:rsidR="00FD468A" w:rsidRDefault="00FD468A" w:rsidP="006F43D7">
            <w:pPr>
              <w:ind w:left="-74" w:right="-15"/>
              <w:jc w:val="center"/>
              <w:rPr>
                <w:rFonts w:cs="Calibri"/>
                <w:color w:val="000000"/>
              </w:rPr>
            </w:pPr>
            <w:r>
              <w:rPr>
                <w:rFonts w:ascii="Calibri" w:hAnsi="Calibri" w:cs="Calibri"/>
                <w:color w:val="000000"/>
              </w:rPr>
              <w:t>$109,923</w:t>
            </w:r>
          </w:p>
        </w:tc>
        <w:tc>
          <w:tcPr>
            <w:tcW w:w="1564" w:type="dxa"/>
            <w:vAlign w:val="center"/>
          </w:tcPr>
          <w:p w14:paraId="6C3D5748" w14:textId="77777777" w:rsidR="00FD468A" w:rsidRDefault="00FD468A" w:rsidP="006F43D7">
            <w:pPr>
              <w:ind w:left="-74" w:right="-15"/>
              <w:jc w:val="center"/>
              <w:rPr>
                <w:rFonts w:cs="Calibri"/>
                <w:color w:val="000000"/>
              </w:rPr>
            </w:pPr>
            <w:r>
              <w:rPr>
                <w:rFonts w:ascii="Calibri" w:hAnsi="Calibri" w:cs="Calibri"/>
                <w:color w:val="000000"/>
              </w:rPr>
              <w:t>$29,786</w:t>
            </w:r>
          </w:p>
        </w:tc>
        <w:tc>
          <w:tcPr>
            <w:tcW w:w="1564" w:type="dxa"/>
            <w:vAlign w:val="center"/>
          </w:tcPr>
          <w:p w14:paraId="084A56E7" w14:textId="77777777" w:rsidR="00FD468A" w:rsidRPr="00EA4380" w:rsidRDefault="00FD468A" w:rsidP="006F43D7">
            <w:pPr>
              <w:ind w:left="-74" w:right="-15"/>
              <w:jc w:val="center"/>
              <w:rPr>
                <w:b/>
                <w:bCs/>
                <w:sz w:val="21"/>
                <w:szCs w:val="21"/>
              </w:rPr>
            </w:pPr>
            <w:r w:rsidRPr="00EA4380">
              <w:rPr>
                <w:rFonts w:ascii="Calibri" w:hAnsi="Calibri" w:cs="Calibri"/>
                <w:b/>
                <w:bCs/>
                <w:color w:val="000000"/>
              </w:rPr>
              <w:t>$1,363,815</w:t>
            </w:r>
          </w:p>
        </w:tc>
      </w:tr>
      <w:tr w:rsidR="00FD468A" w14:paraId="1B0688CD" w14:textId="77777777" w:rsidTr="00EA0BB3">
        <w:trPr>
          <w:trHeight w:val="584"/>
        </w:trPr>
        <w:tc>
          <w:tcPr>
            <w:tcW w:w="1708" w:type="dxa"/>
          </w:tcPr>
          <w:p w14:paraId="59A9730B" w14:textId="77777777" w:rsidR="00FD468A" w:rsidRPr="00702523" w:rsidRDefault="00FD468A" w:rsidP="006F43D7">
            <w:pPr>
              <w:rPr>
                <w:b/>
                <w:sz w:val="21"/>
                <w:szCs w:val="21"/>
              </w:rPr>
            </w:pPr>
            <w:r w:rsidRPr="00866C2A">
              <w:t>Marketing &amp; Outreach Costs</w:t>
            </w:r>
          </w:p>
        </w:tc>
        <w:tc>
          <w:tcPr>
            <w:tcW w:w="1496" w:type="dxa"/>
            <w:vAlign w:val="center"/>
          </w:tcPr>
          <w:p w14:paraId="54AF54FF" w14:textId="77777777" w:rsidR="00FD468A" w:rsidRPr="00702523" w:rsidRDefault="00FD468A" w:rsidP="006F43D7">
            <w:pPr>
              <w:jc w:val="center"/>
              <w:rPr>
                <w:sz w:val="21"/>
                <w:szCs w:val="21"/>
              </w:rPr>
            </w:pPr>
            <w:r>
              <w:rPr>
                <w:rFonts w:ascii="Calibri" w:hAnsi="Calibri" w:cs="Calibri"/>
                <w:color w:val="000000"/>
              </w:rPr>
              <w:t>$45,000</w:t>
            </w:r>
          </w:p>
        </w:tc>
        <w:tc>
          <w:tcPr>
            <w:tcW w:w="1497" w:type="dxa"/>
            <w:vAlign w:val="center"/>
          </w:tcPr>
          <w:p w14:paraId="655C98F8" w14:textId="77777777" w:rsidR="00FD468A" w:rsidRPr="00702523" w:rsidRDefault="00FD468A" w:rsidP="006F43D7">
            <w:pPr>
              <w:ind w:left="-149" w:right="-165"/>
              <w:jc w:val="center"/>
              <w:rPr>
                <w:sz w:val="21"/>
                <w:szCs w:val="21"/>
              </w:rPr>
            </w:pPr>
            <w:r>
              <w:rPr>
                <w:rFonts w:ascii="Calibri" w:hAnsi="Calibri" w:cs="Calibri"/>
                <w:color w:val="000000"/>
              </w:rPr>
              <w:t>$121,601</w:t>
            </w:r>
          </w:p>
        </w:tc>
        <w:tc>
          <w:tcPr>
            <w:tcW w:w="1496" w:type="dxa"/>
            <w:vAlign w:val="center"/>
          </w:tcPr>
          <w:p w14:paraId="2C65563C" w14:textId="77777777" w:rsidR="00FD468A" w:rsidRPr="00702523" w:rsidRDefault="00FD468A" w:rsidP="006F43D7">
            <w:pPr>
              <w:ind w:left="-89" w:right="-30"/>
              <w:jc w:val="center"/>
              <w:rPr>
                <w:sz w:val="21"/>
                <w:szCs w:val="21"/>
              </w:rPr>
            </w:pPr>
            <w:r>
              <w:rPr>
                <w:rFonts w:ascii="Calibri" w:hAnsi="Calibri" w:cs="Calibri"/>
                <w:color w:val="000000"/>
              </w:rPr>
              <w:t>$229,451</w:t>
            </w:r>
          </w:p>
        </w:tc>
        <w:tc>
          <w:tcPr>
            <w:tcW w:w="1497" w:type="dxa"/>
            <w:vAlign w:val="center"/>
          </w:tcPr>
          <w:p w14:paraId="46AA041A" w14:textId="77777777" w:rsidR="00FD468A" w:rsidRPr="00702523" w:rsidRDefault="00FD468A" w:rsidP="006F43D7">
            <w:pPr>
              <w:ind w:left="-119" w:right="-60"/>
              <w:jc w:val="center"/>
              <w:rPr>
                <w:sz w:val="21"/>
                <w:szCs w:val="21"/>
              </w:rPr>
            </w:pPr>
            <w:r>
              <w:rPr>
                <w:rFonts w:ascii="Calibri" w:hAnsi="Calibri" w:cs="Calibri"/>
                <w:color w:val="000000"/>
              </w:rPr>
              <w:t>$357,539</w:t>
            </w:r>
          </w:p>
        </w:tc>
        <w:tc>
          <w:tcPr>
            <w:tcW w:w="1564" w:type="dxa"/>
            <w:vAlign w:val="center"/>
          </w:tcPr>
          <w:p w14:paraId="036C3E27" w14:textId="7FDAE040" w:rsidR="00FD468A" w:rsidRDefault="005961CA" w:rsidP="006F43D7">
            <w:pPr>
              <w:ind w:left="-74" w:right="-15"/>
              <w:jc w:val="center"/>
              <w:rPr>
                <w:rFonts w:cs="Calibri"/>
                <w:color w:val="000000"/>
              </w:rPr>
            </w:pPr>
            <w:r w:rsidRPr="005961CA">
              <w:rPr>
                <w:rFonts w:ascii="Calibri" w:hAnsi="Calibri" w:cs="Calibri"/>
                <w:color w:val="000000"/>
              </w:rPr>
              <w:t>$54,513</w:t>
            </w:r>
          </w:p>
        </w:tc>
        <w:tc>
          <w:tcPr>
            <w:tcW w:w="1564" w:type="dxa"/>
            <w:vAlign w:val="center"/>
          </w:tcPr>
          <w:p w14:paraId="6A991670" w14:textId="49C50A41" w:rsidR="00FD468A" w:rsidRDefault="00FD468A" w:rsidP="006F43D7">
            <w:pPr>
              <w:ind w:left="-74" w:right="-15"/>
              <w:jc w:val="center"/>
              <w:rPr>
                <w:rFonts w:cs="Calibri"/>
                <w:color w:val="000000"/>
              </w:rPr>
            </w:pPr>
          </w:p>
        </w:tc>
        <w:tc>
          <w:tcPr>
            <w:tcW w:w="1564" w:type="dxa"/>
            <w:vAlign w:val="center"/>
          </w:tcPr>
          <w:p w14:paraId="0DFEB057" w14:textId="77777777" w:rsidR="00FD468A" w:rsidRPr="00EA4380" w:rsidRDefault="00FD468A" w:rsidP="006F43D7">
            <w:pPr>
              <w:ind w:left="-74" w:right="-15"/>
              <w:jc w:val="center"/>
              <w:rPr>
                <w:b/>
                <w:bCs/>
                <w:sz w:val="21"/>
                <w:szCs w:val="21"/>
              </w:rPr>
            </w:pPr>
            <w:r w:rsidRPr="00EA4380">
              <w:rPr>
                <w:rFonts w:ascii="Calibri" w:hAnsi="Calibri" w:cs="Calibri"/>
                <w:b/>
                <w:bCs/>
                <w:color w:val="000000"/>
              </w:rPr>
              <w:t>$808,104</w:t>
            </w:r>
          </w:p>
        </w:tc>
      </w:tr>
      <w:tr w:rsidR="00FD468A" w14:paraId="4C17C2F1" w14:textId="77777777" w:rsidTr="00EA0BB3">
        <w:trPr>
          <w:trHeight w:val="1022"/>
        </w:trPr>
        <w:tc>
          <w:tcPr>
            <w:tcW w:w="1708" w:type="dxa"/>
          </w:tcPr>
          <w:p w14:paraId="64BAF105" w14:textId="77777777" w:rsidR="00FD468A" w:rsidRPr="00702523" w:rsidRDefault="00FD468A" w:rsidP="006F43D7">
            <w:pPr>
              <w:rPr>
                <w:b/>
                <w:sz w:val="21"/>
                <w:szCs w:val="21"/>
              </w:rPr>
            </w:pPr>
            <w:r w:rsidRPr="00866C2A">
              <w:t>Direct Implementation: Incentives &amp; Rebate Costs</w:t>
            </w:r>
          </w:p>
        </w:tc>
        <w:tc>
          <w:tcPr>
            <w:tcW w:w="1496" w:type="dxa"/>
            <w:vAlign w:val="center"/>
          </w:tcPr>
          <w:p w14:paraId="72BD30C5" w14:textId="77777777" w:rsidR="00FD468A" w:rsidRPr="00702523" w:rsidRDefault="00FD468A" w:rsidP="006F43D7">
            <w:pPr>
              <w:jc w:val="center"/>
              <w:rPr>
                <w:sz w:val="21"/>
                <w:szCs w:val="21"/>
              </w:rPr>
            </w:pPr>
          </w:p>
        </w:tc>
        <w:tc>
          <w:tcPr>
            <w:tcW w:w="1497" w:type="dxa"/>
            <w:vAlign w:val="center"/>
          </w:tcPr>
          <w:p w14:paraId="5F04DB3E" w14:textId="77777777" w:rsidR="00FD468A" w:rsidRPr="00702523" w:rsidRDefault="00FD468A" w:rsidP="006F43D7">
            <w:pPr>
              <w:ind w:left="-149" w:right="-165"/>
              <w:jc w:val="center"/>
              <w:rPr>
                <w:sz w:val="21"/>
                <w:szCs w:val="21"/>
              </w:rPr>
            </w:pPr>
            <w:r>
              <w:rPr>
                <w:rFonts w:ascii="Calibri" w:hAnsi="Calibri" w:cs="Calibri"/>
                <w:color w:val="000000"/>
              </w:rPr>
              <w:t>$2,393,524</w:t>
            </w:r>
          </w:p>
        </w:tc>
        <w:tc>
          <w:tcPr>
            <w:tcW w:w="1496" w:type="dxa"/>
            <w:vAlign w:val="center"/>
          </w:tcPr>
          <w:p w14:paraId="585BC618" w14:textId="77777777" w:rsidR="00FD468A" w:rsidRPr="00702523" w:rsidRDefault="00FD468A" w:rsidP="006F43D7">
            <w:pPr>
              <w:ind w:left="-89" w:right="-30"/>
              <w:jc w:val="center"/>
              <w:rPr>
                <w:sz w:val="21"/>
                <w:szCs w:val="21"/>
              </w:rPr>
            </w:pPr>
            <w:r>
              <w:rPr>
                <w:rFonts w:ascii="Calibri" w:hAnsi="Calibri" w:cs="Calibri"/>
                <w:color w:val="000000"/>
              </w:rPr>
              <w:t>$4,787,049</w:t>
            </w:r>
          </w:p>
        </w:tc>
        <w:tc>
          <w:tcPr>
            <w:tcW w:w="1497" w:type="dxa"/>
            <w:vAlign w:val="center"/>
          </w:tcPr>
          <w:p w14:paraId="53CB6820" w14:textId="77777777" w:rsidR="00FD468A" w:rsidRPr="00702523" w:rsidRDefault="00FD468A" w:rsidP="006F43D7">
            <w:pPr>
              <w:ind w:left="-119" w:right="-60"/>
              <w:jc w:val="center"/>
              <w:rPr>
                <w:sz w:val="21"/>
                <w:szCs w:val="21"/>
              </w:rPr>
            </w:pPr>
            <w:r>
              <w:rPr>
                <w:rFonts w:ascii="Calibri" w:hAnsi="Calibri" w:cs="Calibri"/>
                <w:color w:val="000000"/>
              </w:rPr>
              <w:t>$8,457,119</w:t>
            </w:r>
          </w:p>
        </w:tc>
        <w:tc>
          <w:tcPr>
            <w:tcW w:w="1564" w:type="dxa"/>
            <w:vAlign w:val="center"/>
          </w:tcPr>
          <w:p w14:paraId="3D66728F" w14:textId="54182E1F" w:rsidR="00FD468A" w:rsidRDefault="005961CA" w:rsidP="006F43D7">
            <w:pPr>
              <w:ind w:left="-74" w:right="-15"/>
              <w:jc w:val="center"/>
              <w:rPr>
                <w:rFonts w:cs="Calibri"/>
                <w:color w:val="000000"/>
              </w:rPr>
            </w:pPr>
            <w:r w:rsidRPr="005961CA">
              <w:rPr>
                <w:rFonts w:ascii="Calibri" w:hAnsi="Calibri" w:cs="Calibri"/>
                <w:color w:val="000000"/>
              </w:rPr>
              <w:t>$319,137</w:t>
            </w:r>
          </w:p>
        </w:tc>
        <w:tc>
          <w:tcPr>
            <w:tcW w:w="1564" w:type="dxa"/>
            <w:vAlign w:val="center"/>
          </w:tcPr>
          <w:p w14:paraId="1E45B71C" w14:textId="250ADD61" w:rsidR="00FD468A" w:rsidRDefault="00FD468A" w:rsidP="006F43D7">
            <w:pPr>
              <w:ind w:left="-74" w:right="-15"/>
              <w:jc w:val="center"/>
              <w:rPr>
                <w:rFonts w:cs="Calibri"/>
                <w:color w:val="000000"/>
              </w:rPr>
            </w:pPr>
          </w:p>
        </w:tc>
        <w:tc>
          <w:tcPr>
            <w:tcW w:w="1564" w:type="dxa"/>
            <w:vAlign w:val="center"/>
          </w:tcPr>
          <w:p w14:paraId="738E7ADF" w14:textId="77777777" w:rsidR="00FD468A" w:rsidRPr="00EA4380" w:rsidRDefault="00FD468A" w:rsidP="006F43D7">
            <w:pPr>
              <w:ind w:left="-74" w:right="-15"/>
              <w:jc w:val="center"/>
              <w:rPr>
                <w:b/>
                <w:bCs/>
                <w:sz w:val="21"/>
                <w:szCs w:val="21"/>
              </w:rPr>
            </w:pPr>
            <w:r w:rsidRPr="00EA4380">
              <w:rPr>
                <w:rFonts w:ascii="Calibri" w:hAnsi="Calibri" w:cs="Calibri"/>
                <w:b/>
                <w:bCs/>
                <w:color w:val="000000"/>
              </w:rPr>
              <w:t>$15,956,829</w:t>
            </w:r>
          </w:p>
        </w:tc>
      </w:tr>
      <w:tr w:rsidR="00FD468A" w14:paraId="2EC3328E" w14:textId="77777777" w:rsidTr="00EA0BB3">
        <w:trPr>
          <w:trHeight w:val="1022"/>
        </w:trPr>
        <w:tc>
          <w:tcPr>
            <w:tcW w:w="1708" w:type="dxa"/>
          </w:tcPr>
          <w:p w14:paraId="469E75CF" w14:textId="77777777" w:rsidR="00FD468A" w:rsidRPr="00702523" w:rsidRDefault="00FD468A" w:rsidP="006F43D7">
            <w:pPr>
              <w:rPr>
                <w:b/>
                <w:sz w:val="21"/>
                <w:szCs w:val="21"/>
              </w:rPr>
            </w:pPr>
            <w:r w:rsidRPr="00866C2A">
              <w:t>Direct Implementation: Non‐Incentive (DINI) Costs</w:t>
            </w:r>
          </w:p>
        </w:tc>
        <w:tc>
          <w:tcPr>
            <w:tcW w:w="1496" w:type="dxa"/>
            <w:vAlign w:val="center"/>
          </w:tcPr>
          <w:p w14:paraId="481A735F" w14:textId="77777777" w:rsidR="00FD468A" w:rsidRPr="00702523" w:rsidRDefault="00FD468A" w:rsidP="006F43D7">
            <w:pPr>
              <w:jc w:val="center"/>
              <w:rPr>
                <w:sz w:val="21"/>
                <w:szCs w:val="21"/>
              </w:rPr>
            </w:pPr>
            <w:r>
              <w:rPr>
                <w:rFonts w:ascii="Calibri" w:hAnsi="Calibri" w:cs="Calibri"/>
                <w:color w:val="000000"/>
              </w:rPr>
              <w:t>$249,363</w:t>
            </w:r>
          </w:p>
        </w:tc>
        <w:tc>
          <w:tcPr>
            <w:tcW w:w="1497" w:type="dxa"/>
            <w:vAlign w:val="center"/>
          </w:tcPr>
          <w:p w14:paraId="39C8CFF0" w14:textId="77777777" w:rsidR="00FD468A" w:rsidRPr="00340132" w:rsidRDefault="00FD468A" w:rsidP="006F43D7">
            <w:pPr>
              <w:ind w:left="-149" w:right="-165"/>
              <w:jc w:val="center"/>
              <w:rPr>
                <w:rFonts w:ascii="Calibri" w:hAnsi="Calibri" w:cs="Calibri"/>
                <w:color w:val="000000"/>
              </w:rPr>
            </w:pPr>
            <w:r>
              <w:rPr>
                <w:rFonts w:ascii="Calibri" w:hAnsi="Calibri" w:cs="Calibri"/>
                <w:color w:val="000000"/>
              </w:rPr>
              <w:t>$1,557,280</w:t>
            </w:r>
          </w:p>
        </w:tc>
        <w:tc>
          <w:tcPr>
            <w:tcW w:w="1496" w:type="dxa"/>
            <w:vAlign w:val="center"/>
          </w:tcPr>
          <w:p w14:paraId="67DE0E84" w14:textId="2CDB8857" w:rsidR="00FD468A" w:rsidRPr="00702523" w:rsidRDefault="00FD468A" w:rsidP="006F43D7">
            <w:pPr>
              <w:ind w:left="-89" w:right="-165"/>
              <w:jc w:val="center"/>
              <w:rPr>
                <w:sz w:val="21"/>
                <w:szCs w:val="21"/>
              </w:rPr>
            </w:pPr>
            <w:r>
              <w:rPr>
                <w:rFonts w:ascii="Calibri" w:hAnsi="Calibri" w:cs="Calibri"/>
                <w:color w:val="000000"/>
              </w:rPr>
              <w:t>$3,449,006</w:t>
            </w:r>
          </w:p>
        </w:tc>
        <w:tc>
          <w:tcPr>
            <w:tcW w:w="1497" w:type="dxa"/>
            <w:vAlign w:val="center"/>
          </w:tcPr>
          <w:p w14:paraId="4CDFC01C" w14:textId="77777777" w:rsidR="00FD468A" w:rsidRPr="00702523" w:rsidRDefault="00FD468A" w:rsidP="006F43D7">
            <w:pPr>
              <w:ind w:left="-119" w:right="-165"/>
              <w:jc w:val="center"/>
              <w:rPr>
                <w:sz w:val="21"/>
                <w:szCs w:val="21"/>
              </w:rPr>
            </w:pPr>
            <w:r>
              <w:rPr>
                <w:rFonts w:ascii="Calibri" w:hAnsi="Calibri" w:cs="Calibri"/>
                <w:color w:val="000000"/>
              </w:rPr>
              <w:t>$5,392,842</w:t>
            </w:r>
          </w:p>
        </w:tc>
        <w:tc>
          <w:tcPr>
            <w:tcW w:w="1564" w:type="dxa"/>
            <w:vAlign w:val="center"/>
          </w:tcPr>
          <w:p w14:paraId="3ED9CA10" w14:textId="77777777" w:rsidR="00FD468A" w:rsidRDefault="00FD468A" w:rsidP="006F43D7">
            <w:pPr>
              <w:ind w:left="-74" w:right="-15"/>
              <w:jc w:val="center"/>
              <w:rPr>
                <w:rFonts w:cs="Calibri"/>
                <w:color w:val="000000"/>
              </w:rPr>
            </w:pPr>
            <w:r>
              <w:rPr>
                <w:rFonts w:ascii="Calibri" w:hAnsi="Calibri" w:cs="Calibri"/>
                <w:color w:val="000000"/>
              </w:rPr>
              <w:t>$1,055,001</w:t>
            </w:r>
          </w:p>
        </w:tc>
        <w:tc>
          <w:tcPr>
            <w:tcW w:w="1564" w:type="dxa"/>
            <w:vAlign w:val="center"/>
          </w:tcPr>
          <w:p w14:paraId="4429A420" w14:textId="77777777" w:rsidR="00FD468A" w:rsidRDefault="00FD468A" w:rsidP="006F43D7">
            <w:pPr>
              <w:ind w:left="-74" w:right="-15"/>
              <w:jc w:val="center"/>
              <w:rPr>
                <w:rFonts w:cs="Calibri"/>
                <w:color w:val="000000"/>
              </w:rPr>
            </w:pPr>
            <w:r>
              <w:rPr>
                <w:rFonts w:ascii="Calibri" w:hAnsi="Calibri" w:cs="Calibri"/>
                <w:color w:val="000000"/>
              </w:rPr>
              <w:t>$69,144</w:t>
            </w:r>
          </w:p>
        </w:tc>
        <w:tc>
          <w:tcPr>
            <w:tcW w:w="1564" w:type="dxa"/>
            <w:vAlign w:val="center"/>
          </w:tcPr>
          <w:p w14:paraId="0C8A3113" w14:textId="77777777" w:rsidR="00FD468A" w:rsidRPr="00EA4380" w:rsidRDefault="00FD468A" w:rsidP="006F43D7">
            <w:pPr>
              <w:ind w:left="-74" w:right="-15"/>
              <w:jc w:val="center"/>
              <w:rPr>
                <w:b/>
                <w:bCs/>
                <w:sz w:val="21"/>
                <w:szCs w:val="21"/>
              </w:rPr>
            </w:pPr>
            <w:r w:rsidRPr="00EA4380">
              <w:rPr>
                <w:rFonts w:ascii="Calibri" w:hAnsi="Calibri" w:cs="Calibri"/>
                <w:b/>
                <w:bCs/>
                <w:color w:val="000000"/>
              </w:rPr>
              <w:t>$11,772,636</w:t>
            </w:r>
          </w:p>
        </w:tc>
      </w:tr>
      <w:tr w:rsidR="00FD468A" w14:paraId="7019089A" w14:textId="77777777" w:rsidTr="00EA0BB3">
        <w:trPr>
          <w:trHeight w:val="847"/>
        </w:trPr>
        <w:tc>
          <w:tcPr>
            <w:tcW w:w="1708" w:type="dxa"/>
            <w:tcBorders>
              <w:bottom w:val="single" w:sz="12" w:space="0" w:color="auto"/>
            </w:tcBorders>
            <w:shd w:val="clear" w:color="auto" w:fill="E7E6E6" w:themeFill="background2"/>
            <w:vAlign w:val="center"/>
          </w:tcPr>
          <w:p w14:paraId="11773C38" w14:textId="77777777" w:rsidR="00FD468A" w:rsidRPr="00702523" w:rsidRDefault="00FD468A" w:rsidP="006F43D7">
            <w:pPr>
              <w:rPr>
                <w:b/>
                <w:sz w:val="21"/>
                <w:szCs w:val="21"/>
              </w:rPr>
            </w:pPr>
            <w:r w:rsidRPr="00702523">
              <w:rPr>
                <w:b/>
                <w:sz w:val="21"/>
                <w:szCs w:val="21"/>
              </w:rPr>
              <w:t>Total</w:t>
            </w:r>
          </w:p>
          <w:p w14:paraId="264DE086" w14:textId="77777777" w:rsidR="00FD468A" w:rsidRPr="00702523" w:rsidRDefault="00FD468A" w:rsidP="006F43D7">
            <w:pPr>
              <w:rPr>
                <w:b/>
                <w:sz w:val="21"/>
                <w:szCs w:val="21"/>
              </w:rPr>
            </w:pPr>
            <w:r w:rsidRPr="00702523">
              <w:rPr>
                <w:b/>
                <w:sz w:val="21"/>
                <w:szCs w:val="21"/>
              </w:rPr>
              <w:t>Implementation</w:t>
            </w:r>
          </w:p>
          <w:p w14:paraId="14AB46A7" w14:textId="77777777" w:rsidR="00FD468A" w:rsidRPr="00702523" w:rsidRDefault="00FD468A" w:rsidP="006F43D7">
            <w:pPr>
              <w:rPr>
                <w:b/>
                <w:sz w:val="21"/>
                <w:szCs w:val="21"/>
              </w:rPr>
            </w:pPr>
            <w:r w:rsidRPr="00702523">
              <w:rPr>
                <w:b/>
                <w:sz w:val="21"/>
                <w:szCs w:val="21"/>
              </w:rPr>
              <w:t>Budget</w:t>
            </w:r>
            <w:r>
              <w:rPr>
                <w:b/>
                <w:sz w:val="21"/>
                <w:szCs w:val="21"/>
              </w:rPr>
              <w:t xml:space="preserve"> </w:t>
            </w:r>
          </w:p>
        </w:tc>
        <w:tc>
          <w:tcPr>
            <w:tcW w:w="1496" w:type="dxa"/>
            <w:tcBorders>
              <w:bottom w:val="single" w:sz="12" w:space="0" w:color="auto"/>
            </w:tcBorders>
            <w:shd w:val="clear" w:color="auto" w:fill="E7E6E6" w:themeFill="background2"/>
            <w:vAlign w:val="center"/>
          </w:tcPr>
          <w:p w14:paraId="09C24392" w14:textId="77777777" w:rsidR="00FD468A" w:rsidRPr="00702523" w:rsidRDefault="00FD468A" w:rsidP="006F43D7">
            <w:pPr>
              <w:jc w:val="center"/>
              <w:rPr>
                <w:b/>
                <w:sz w:val="21"/>
                <w:szCs w:val="21"/>
              </w:rPr>
            </w:pPr>
            <w:r>
              <w:rPr>
                <w:rFonts w:ascii="Calibri" w:hAnsi="Calibri" w:cs="Calibri"/>
                <w:color w:val="000000"/>
              </w:rPr>
              <w:t>$406,863</w:t>
            </w:r>
          </w:p>
        </w:tc>
        <w:tc>
          <w:tcPr>
            <w:tcW w:w="1497" w:type="dxa"/>
            <w:tcBorders>
              <w:bottom w:val="single" w:sz="12" w:space="0" w:color="auto"/>
            </w:tcBorders>
            <w:shd w:val="clear" w:color="auto" w:fill="E7E6E6" w:themeFill="background2"/>
            <w:vAlign w:val="center"/>
          </w:tcPr>
          <w:p w14:paraId="7CA6F5C7" w14:textId="77777777" w:rsidR="00FD468A" w:rsidRPr="00702523" w:rsidRDefault="00FD468A" w:rsidP="006F43D7">
            <w:pPr>
              <w:ind w:left="-149" w:right="-165"/>
              <w:jc w:val="center"/>
              <w:rPr>
                <w:b/>
                <w:sz w:val="21"/>
                <w:szCs w:val="21"/>
              </w:rPr>
            </w:pPr>
            <w:r>
              <w:rPr>
                <w:rFonts w:ascii="Calibri" w:hAnsi="Calibri" w:cs="Calibri"/>
                <w:color w:val="000000"/>
              </w:rPr>
              <w:t>$4,256,899</w:t>
            </w:r>
          </w:p>
        </w:tc>
        <w:tc>
          <w:tcPr>
            <w:tcW w:w="1496" w:type="dxa"/>
            <w:tcBorders>
              <w:bottom w:val="single" w:sz="12" w:space="0" w:color="auto"/>
            </w:tcBorders>
            <w:shd w:val="clear" w:color="auto" w:fill="E7E6E6" w:themeFill="background2"/>
            <w:vAlign w:val="center"/>
          </w:tcPr>
          <w:p w14:paraId="2C2FC6E9" w14:textId="77777777" w:rsidR="00FD468A" w:rsidRPr="00702523" w:rsidRDefault="00FD468A" w:rsidP="006F43D7">
            <w:pPr>
              <w:ind w:left="-89" w:right="-120"/>
              <w:jc w:val="center"/>
              <w:rPr>
                <w:b/>
                <w:sz w:val="21"/>
                <w:szCs w:val="21"/>
              </w:rPr>
            </w:pPr>
            <w:r>
              <w:rPr>
                <w:rFonts w:ascii="Calibri" w:hAnsi="Calibri" w:cs="Calibri"/>
                <w:color w:val="000000"/>
              </w:rPr>
              <w:t>$8,833,398</w:t>
            </w:r>
          </w:p>
        </w:tc>
        <w:tc>
          <w:tcPr>
            <w:tcW w:w="1497" w:type="dxa"/>
            <w:tcBorders>
              <w:bottom w:val="single" w:sz="12" w:space="0" w:color="auto"/>
            </w:tcBorders>
            <w:shd w:val="clear" w:color="auto" w:fill="E7E6E6" w:themeFill="background2"/>
            <w:vAlign w:val="center"/>
          </w:tcPr>
          <w:p w14:paraId="3FEE969C" w14:textId="77777777" w:rsidR="00FD468A" w:rsidRPr="00702523" w:rsidRDefault="00FD468A" w:rsidP="006F43D7">
            <w:pPr>
              <w:ind w:left="-119" w:right="-120"/>
              <w:jc w:val="center"/>
              <w:rPr>
                <w:sz w:val="21"/>
                <w:szCs w:val="21"/>
              </w:rPr>
            </w:pPr>
            <w:r>
              <w:rPr>
                <w:rFonts w:ascii="Calibri" w:hAnsi="Calibri" w:cs="Calibri"/>
                <w:color w:val="000000"/>
              </w:rPr>
              <w:t>$14,766,720</w:t>
            </w:r>
          </w:p>
        </w:tc>
        <w:tc>
          <w:tcPr>
            <w:tcW w:w="1564" w:type="dxa"/>
            <w:tcBorders>
              <w:bottom w:val="single" w:sz="12" w:space="0" w:color="auto"/>
            </w:tcBorders>
            <w:shd w:val="clear" w:color="auto" w:fill="E7E6E6" w:themeFill="background2"/>
            <w:vAlign w:val="center"/>
          </w:tcPr>
          <w:p w14:paraId="3F14C0D4" w14:textId="77777777" w:rsidR="00FD468A" w:rsidRDefault="00FD468A" w:rsidP="006F43D7">
            <w:pPr>
              <w:ind w:left="-74" w:right="-15"/>
              <w:jc w:val="center"/>
              <w:rPr>
                <w:rFonts w:cs="Calibri"/>
                <w:color w:val="000000"/>
              </w:rPr>
            </w:pPr>
            <w:r>
              <w:rPr>
                <w:rFonts w:ascii="Calibri" w:hAnsi="Calibri" w:cs="Calibri"/>
                <w:color w:val="000000"/>
              </w:rPr>
              <w:t>$1,538,573</w:t>
            </w:r>
          </w:p>
        </w:tc>
        <w:tc>
          <w:tcPr>
            <w:tcW w:w="1564" w:type="dxa"/>
            <w:tcBorders>
              <w:bottom w:val="single" w:sz="12" w:space="0" w:color="auto"/>
            </w:tcBorders>
            <w:shd w:val="clear" w:color="auto" w:fill="E7E6E6" w:themeFill="background2"/>
            <w:vAlign w:val="center"/>
          </w:tcPr>
          <w:p w14:paraId="1A365CE9" w14:textId="77777777" w:rsidR="00FD468A" w:rsidRDefault="00FD468A" w:rsidP="006F43D7">
            <w:pPr>
              <w:ind w:left="-74" w:right="-15"/>
              <w:jc w:val="center"/>
              <w:rPr>
                <w:rFonts w:cs="Calibri"/>
                <w:color w:val="000000"/>
              </w:rPr>
            </w:pPr>
            <w:r>
              <w:rPr>
                <w:rFonts w:ascii="Calibri" w:hAnsi="Calibri" w:cs="Calibri"/>
                <w:color w:val="000000"/>
              </w:rPr>
              <w:t>$98,930</w:t>
            </w:r>
          </w:p>
        </w:tc>
        <w:tc>
          <w:tcPr>
            <w:tcW w:w="1564" w:type="dxa"/>
            <w:tcBorders>
              <w:bottom w:val="single" w:sz="12" w:space="0" w:color="auto"/>
            </w:tcBorders>
            <w:shd w:val="clear" w:color="auto" w:fill="E7E6E6" w:themeFill="background2"/>
            <w:vAlign w:val="center"/>
          </w:tcPr>
          <w:p w14:paraId="32970C98" w14:textId="77777777" w:rsidR="00FD468A" w:rsidRPr="00EA4380" w:rsidRDefault="00FD468A" w:rsidP="006F43D7">
            <w:pPr>
              <w:ind w:left="-74" w:right="-15"/>
              <w:jc w:val="center"/>
              <w:rPr>
                <w:b/>
                <w:bCs/>
                <w:sz w:val="21"/>
                <w:szCs w:val="21"/>
              </w:rPr>
            </w:pPr>
            <w:r w:rsidRPr="00EA4380">
              <w:rPr>
                <w:rFonts w:ascii="Calibri" w:hAnsi="Calibri" w:cs="Calibri"/>
                <w:b/>
                <w:bCs/>
                <w:color w:val="000000"/>
              </w:rPr>
              <w:t>$29,901,384</w:t>
            </w:r>
          </w:p>
        </w:tc>
      </w:tr>
      <w:tr w:rsidR="00FD468A" w14:paraId="46A3E5C8" w14:textId="77777777" w:rsidTr="00EA0BB3">
        <w:trPr>
          <w:trHeight w:val="847"/>
        </w:trPr>
        <w:tc>
          <w:tcPr>
            <w:tcW w:w="1708" w:type="dxa"/>
            <w:tcBorders>
              <w:top w:val="single" w:sz="12" w:space="0" w:color="auto"/>
            </w:tcBorders>
            <w:shd w:val="clear" w:color="auto" w:fill="auto"/>
            <w:vAlign w:val="center"/>
          </w:tcPr>
          <w:p w14:paraId="0B6BFCE7" w14:textId="34B68C04" w:rsidR="00FD468A" w:rsidRPr="00702523" w:rsidRDefault="00FD468A" w:rsidP="006F43D7">
            <w:pPr>
              <w:rPr>
                <w:b/>
                <w:sz w:val="21"/>
                <w:szCs w:val="21"/>
              </w:rPr>
            </w:pPr>
            <w:proofErr w:type="spellStart"/>
            <w:r w:rsidRPr="0060751D">
              <w:rPr>
                <w:b/>
                <w:sz w:val="21"/>
                <w:szCs w:val="21"/>
              </w:rPr>
              <w:t>DINIand</w:t>
            </w:r>
            <w:proofErr w:type="spellEnd"/>
            <w:r w:rsidRPr="0060751D">
              <w:rPr>
                <w:b/>
                <w:sz w:val="21"/>
                <w:szCs w:val="21"/>
              </w:rPr>
              <w:t xml:space="preserve"> upside </w:t>
            </w:r>
          </w:p>
        </w:tc>
        <w:tc>
          <w:tcPr>
            <w:tcW w:w="1496" w:type="dxa"/>
            <w:tcBorders>
              <w:top w:val="single" w:sz="12" w:space="0" w:color="auto"/>
            </w:tcBorders>
            <w:shd w:val="clear" w:color="auto" w:fill="auto"/>
            <w:vAlign w:val="center"/>
          </w:tcPr>
          <w:p w14:paraId="48D1CE42" w14:textId="77777777" w:rsidR="00FD468A" w:rsidRPr="00702523" w:rsidRDefault="00FD468A" w:rsidP="006F43D7">
            <w:pPr>
              <w:jc w:val="center"/>
              <w:rPr>
                <w:sz w:val="21"/>
                <w:szCs w:val="21"/>
              </w:rPr>
            </w:pPr>
            <w:r>
              <w:rPr>
                <w:sz w:val="21"/>
                <w:szCs w:val="21"/>
              </w:rPr>
              <w:t>$0.00</w:t>
            </w:r>
          </w:p>
        </w:tc>
        <w:tc>
          <w:tcPr>
            <w:tcW w:w="1497" w:type="dxa"/>
            <w:tcBorders>
              <w:top w:val="single" w:sz="12" w:space="0" w:color="auto"/>
            </w:tcBorders>
            <w:shd w:val="clear" w:color="auto" w:fill="auto"/>
            <w:vAlign w:val="center"/>
          </w:tcPr>
          <w:p w14:paraId="33E2977D" w14:textId="77777777" w:rsidR="00FD468A" w:rsidRPr="00702523" w:rsidRDefault="00FD468A" w:rsidP="006F43D7">
            <w:pPr>
              <w:ind w:left="-149" w:right="-165"/>
              <w:jc w:val="center"/>
              <w:rPr>
                <w:sz w:val="21"/>
                <w:szCs w:val="21"/>
              </w:rPr>
            </w:pPr>
            <w:r>
              <w:rPr>
                <w:rFonts w:ascii="Calibri" w:hAnsi="Calibri" w:cs="Calibri"/>
                <w:color w:val="000000"/>
              </w:rPr>
              <w:t>$688,208</w:t>
            </w:r>
          </w:p>
        </w:tc>
        <w:tc>
          <w:tcPr>
            <w:tcW w:w="1496" w:type="dxa"/>
            <w:tcBorders>
              <w:top w:val="single" w:sz="12" w:space="0" w:color="auto"/>
            </w:tcBorders>
            <w:shd w:val="clear" w:color="auto" w:fill="auto"/>
            <w:vAlign w:val="center"/>
          </w:tcPr>
          <w:p w14:paraId="16DA6443" w14:textId="77777777" w:rsidR="00FD468A" w:rsidRPr="00702523" w:rsidRDefault="00FD468A" w:rsidP="006F43D7">
            <w:pPr>
              <w:ind w:left="-89" w:right="-120"/>
              <w:jc w:val="center"/>
              <w:rPr>
                <w:sz w:val="21"/>
                <w:szCs w:val="21"/>
              </w:rPr>
            </w:pPr>
            <w:r>
              <w:rPr>
                <w:rFonts w:ascii="Calibri" w:hAnsi="Calibri" w:cs="Calibri"/>
                <w:color w:val="000000"/>
              </w:rPr>
              <w:t>$1,451,315</w:t>
            </w:r>
          </w:p>
        </w:tc>
        <w:tc>
          <w:tcPr>
            <w:tcW w:w="1497" w:type="dxa"/>
            <w:tcBorders>
              <w:top w:val="single" w:sz="12" w:space="0" w:color="auto"/>
            </w:tcBorders>
            <w:shd w:val="clear" w:color="auto" w:fill="auto"/>
            <w:vAlign w:val="center"/>
          </w:tcPr>
          <w:p w14:paraId="53452D9D" w14:textId="77777777" w:rsidR="00FD468A" w:rsidRPr="00702523" w:rsidRDefault="00FD468A" w:rsidP="006F43D7">
            <w:pPr>
              <w:ind w:left="-119" w:right="-120"/>
              <w:jc w:val="center"/>
              <w:rPr>
                <w:sz w:val="21"/>
                <w:szCs w:val="21"/>
              </w:rPr>
            </w:pPr>
            <w:r>
              <w:rPr>
                <w:rFonts w:ascii="Calibri" w:hAnsi="Calibri" w:cs="Calibri"/>
                <w:color w:val="000000"/>
              </w:rPr>
              <w:t>$2,213,148</w:t>
            </w:r>
          </w:p>
        </w:tc>
        <w:tc>
          <w:tcPr>
            <w:tcW w:w="1564" w:type="dxa"/>
            <w:tcBorders>
              <w:top w:val="single" w:sz="12" w:space="0" w:color="auto"/>
            </w:tcBorders>
            <w:vAlign w:val="center"/>
          </w:tcPr>
          <w:p w14:paraId="1FF3C09F" w14:textId="77777777" w:rsidR="00FD468A" w:rsidRDefault="00FD468A" w:rsidP="006F43D7">
            <w:pPr>
              <w:ind w:left="-74" w:right="-15"/>
              <w:jc w:val="center"/>
              <w:rPr>
                <w:rFonts w:cs="Calibri"/>
                <w:color w:val="000000"/>
              </w:rPr>
            </w:pPr>
          </w:p>
        </w:tc>
        <w:tc>
          <w:tcPr>
            <w:tcW w:w="1564" w:type="dxa"/>
            <w:tcBorders>
              <w:top w:val="single" w:sz="12" w:space="0" w:color="auto"/>
            </w:tcBorders>
            <w:vAlign w:val="center"/>
          </w:tcPr>
          <w:p w14:paraId="65314C68" w14:textId="77777777" w:rsidR="00FD468A" w:rsidRDefault="00FD468A" w:rsidP="006F43D7">
            <w:pPr>
              <w:ind w:left="-74" w:right="-15"/>
              <w:jc w:val="center"/>
              <w:rPr>
                <w:rFonts w:cs="Calibri"/>
                <w:color w:val="000000"/>
              </w:rPr>
            </w:pPr>
          </w:p>
        </w:tc>
        <w:tc>
          <w:tcPr>
            <w:tcW w:w="1564" w:type="dxa"/>
            <w:tcBorders>
              <w:top w:val="single" w:sz="12" w:space="0" w:color="auto"/>
            </w:tcBorders>
            <w:shd w:val="clear" w:color="auto" w:fill="auto"/>
            <w:vAlign w:val="center"/>
          </w:tcPr>
          <w:p w14:paraId="2F4D17E9" w14:textId="77777777" w:rsidR="00FD468A" w:rsidRPr="00EA4380" w:rsidRDefault="00FD468A" w:rsidP="006F43D7">
            <w:pPr>
              <w:ind w:left="-74" w:right="-15"/>
              <w:jc w:val="center"/>
              <w:rPr>
                <w:rFonts w:cs="Calibri"/>
                <w:b/>
                <w:bCs/>
                <w:color w:val="000000"/>
              </w:rPr>
            </w:pPr>
            <w:r w:rsidRPr="00EA4380">
              <w:rPr>
                <w:rFonts w:ascii="Calibri" w:hAnsi="Calibri" w:cs="Calibri"/>
                <w:b/>
                <w:bCs/>
                <w:color w:val="000000"/>
              </w:rPr>
              <w:t>$4,352,671</w:t>
            </w:r>
          </w:p>
        </w:tc>
      </w:tr>
      <w:tr w:rsidR="00FD468A" w14:paraId="02ACA66E" w14:textId="77777777" w:rsidTr="00EA0BB3">
        <w:trPr>
          <w:trHeight w:val="847"/>
        </w:trPr>
        <w:tc>
          <w:tcPr>
            <w:tcW w:w="1708" w:type="dxa"/>
            <w:tcBorders>
              <w:top w:val="single" w:sz="12" w:space="0" w:color="auto"/>
            </w:tcBorders>
            <w:shd w:val="clear" w:color="auto" w:fill="E7E6E6" w:themeFill="background2"/>
            <w:vAlign w:val="center"/>
          </w:tcPr>
          <w:p w14:paraId="18B30EF6" w14:textId="2CE7882D" w:rsidR="00FD468A" w:rsidRPr="00702523" w:rsidRDefault="00FD468A" w:rsidP="006F43D7">
            <w:pPr>
              <w:rPr>
                <w:b/>
                <w:sz w:val="21"/>
                <w:szCs w:val="21"/>
              </w:rPr>
            </w:pPr>
            <w:r w:rsidRPr="00E53045">
              <w:rPr>
                <w:b/>
                <w:sz w:val="21"/>
                <w:szCs w:val="21"/>
              </w:rPr>
              <w:t>TOTAL BUDGET with SGAP, CEPP, KPIP</w:t>
            </w:r>
            <w:r>
              <w:rPr>
                <w:b/>
                <w:sz w:val="21"/>
                <w:szCs w:val="21"/>
              </w:rPr>
              <w:t>,</w:t>
            </w:r>
            <w:r w:rsidRPr="00E53045">
              <w:rPr>
                <w:b/>
                <w:sz w:val="21"/>
                <w:szCs w:val="21"/>
              </w:rPr>
              <w:t xml:space="preserve"> and upside</w:t>
            </w:r>
          </w:p>
        </w:tc>
        <w:tc>
          <w:tcPr>
            <w:tcW w:w="1496" w:type="dxa"/>
            <w:tcBorders>
              <w:top w:val="single" w:sz="12" w:space="0" w:color="auto"/>
            </w:tcBorders>
            <w:shd w:val="clear" w:color="auto" w:fill="E7E6E6" w:themeFill="background2"/>
            <w:vAlign w:val="center"/>
          </w:tcPr>
          <w:p w14:paraId="2851BD06" w14:textId="77777777" w:rsidR="00FD468A" w:rsidRPr="00702523" w:rsidRDefault="00FD468A" w:rsidP="006F43D7">
            <w:pPr>
              <w:jc w:val="center"/>
              <w:rPr>
                <w:sz w:val="21"/>
                <w:szCs w:val="21"/>
              </w:rPr>
            </w:pPr>
            <w:r>
              <w:rPr>
                <w:rFonts w:ascii="Calibri" w:hAnsi="Calibri" w:cs="Calibri"/>
                <w:color w:val="000000"/>
              </w:rPr>
              <w:t>$406,863</w:t>
            </w:r>
          </w:p>
        </w:tc>
        <w:tc>
          <w:tcPr>
            <w:tcW w:w="1497" w:type="dxa"/>
            <w:tcBorders>
              <w:top w:val="single" w:sz="12" w:space="0" w:color="auto"/>
            </w:tcBorders>
            <w:shd w:val="clear" w:color="auto" w:fill="E7E6E6" w:themeFill="background2"/>
            <w:vAlign w:val="center"/>
          </w:tcPr>
          <w:p w14:paraId="62CD57DC" w14:textId="77777777" w:rsidR="00FD468A" w:rsidRPr="00702523" w:rsidRDefault="00FD468A" w:rsidP="006F43D7">
            <w:pPr>
              <w:ind w:left="-149" w:right="-165"/>
              <w:jc w:val="center"/>
              <w:rPr>
                <w:sz w:val="21"/>
                <w:szCs w:val="21"/>
              </w:rPr>
            </w:pPr>
            <w:r>
              <w:rPr>
                <w:rFonts w:ascii="Calibri" w:hAnsi="Calibri" w:cs="Calibri"/>
                <w:color w:val="000000"/>
              </w:rPr>
              <w:t>$4,945,107</w:t>
            </w:r>
          </w:p>
        </w:tc>
        <w:tc>
          <w:tcPr>
            <w:tcW w:w="1496" w:type="dxa"/>
            <w:tcBorders>
              <w:top w:val="single" w:sz="12" w:space="0" w:color="auto"/>
            </w:tcBorders>
            <w:shd w:val="clear" w:color="auto" w:fill="E7E6E6" w:themeFill="background2"/>
            <w:vAlign w:val="center"/>
          </w:tcPr>
          <w:p w14:paraId="7AB0741A" w14:textId="77777777" w:rsidR="00FD468A" w:rsidRPr="00702523" w:rsidRDefault="00FD468A" w:rsidP="006F43D7">
            <w:pPr>
              <w:ind w:left="-89" w:right="-120"/>
              <w:jc w:val="center"/>
              <w:rPr>
                <w:sz w:val="21"/>
                <w:szCs w:val="21"/>
              </w:rPr>
            </w:pPr>
            <w:r>
              <w:rPr>
                <w:rFonts w:ascii="Calibri" w:hAnsi="Calibri" w:cs="Calibri"/>
                <w:color w:val="000000"/>
              </w:rPr>
              <w:t>$10,284,713</w:t>
            </w:r>
          </w:p>
        </w:tc>
        <w:tc>
          <w:tcPr>
            <w:tcW w:w="1497" w:type="dxa"/>
            <w:tcBorders>
              <w:top w:val="single" w:sz="12" w:space="0" w:color="auto"/>
            </w:tcBorders>
            <w:shd w:val="clear" w:color="auto" w:fill="E7E6E6" w:themeFill="background2"/>
            <w:vAlign w:val="center"/>
          </w:tcPr>
          <w:p w14:paraId="5E62F9D6" w14:textId="77777777" w:rsidR="00FD468A" w:rsidRPr="00702523" w:rsidRDefault="00FD468A" w:rsidP="006F43D7">
            <w:pPr>
              <w:ind w:left="-119" w:right="-120"/>
              <w:jc w:val="center"/>
              <w:rPr>
                <w:sz w:val="21"/>
                <w:szCs w:val="21"/>
              </w:rPr>
            </w:pPr>
            <w:r>
              <w:rPr>
                <w:rFonts w:ascii="Calibri" w:hAnsi="Calibri" w:cs="Calibri"/>
                <w:color w:val="000000"/>
              </w:rPr>
              <w:t>$16,979,869</w:t>
            </w:r>
          </w:p>
        </w:tc>
        <w:tc>
          <w:tcPr>
            <w:tcW w:w="1564" w:type="dxa"/>
            <w:tcBorders>
              <w:top w:val="single" w:sz="12" w:space="0" w:color="auto"/>
            </w:tcBorders>
            <w:shd w:val="clear" w:color="auto" w:fill="E7E6E6" w:themeFill="background2"/>
            <w:vAlign w:val="center"/>
          </w:tcPr>
          <w:p w14:paraId="16177244" w14:textId="77777777" w:rsidR="00FD468A" w:rsidRDefault="00FD468A" w:rsidP="006F43D7">
            <w:pPr>
              <w:ind w:left="-74" w:right="-15"/>
              <w:jc w:val="center"/>
              <w:rPr>
                <w:rFonts w:cs="Calibri"/>
                <w:color w:val="000000"/>
              </w:rPr>
            </w:pPr>
            <w:r>
              <w:rPr>
                <w:rFonts w:ascii="Calibri" w:hAnsi="Calibri" w:cs="Calibri"/>
                <w:color w:val="000000"/>
              </w:rPr>
              <w:t>$1,538,573</w:t>
            </w:r>
          </w:p>
        </w:tc>
        <w:tc>
          <w:tcPr>
            <w:tcW w:w="1564" w:type="dxa"/>
            <w:tcBorders>
              <w:top w:val="single" w:sz="12" w:space="0" w:color="auto"/>
            </w:tcBorders>
            <w:shd w:val="clear" w:color="auto" w:fill="E7E6E6" w:themeFill="background2"/>
            <w:vAlign w:val="center"/>
          </w:tcPr>
          <w:p w14:paraId="1C876748" w14:textId="77777777" w:rsidR="00FD468A" w:rsidRDefault="00FD468A" w:rsidP="006F43D7">
            <w:pPr>
              <w:ind w:left="-74" w:right="-15"/>
              <w:jc w:val="center"/>
              <w:rPr>
                <w:rFonts w:cs="Calibri"/>
                <w:color w:val="000000"/>
              </w:rPr>
            </w:pPr>
            <w:r>
              <w:rPr>
                <w:rFonts w:ascii="Calibri" w:hAnsi="Calibri" w:cs="Calibri"/>
                <w:color w:val="000000"/>
              </w:rPr>
              <w:t>$98,930</w:t>
            </w:r>
          </w:p>
        </w:tc>
        <w:tc>
          <w:tcPr>
            <w:tcW w:w="1564" w:type="dxa"/>
            <w:tcBorders>
              <w:top w:val="single" w:sz="12" w:space="0" w:color="auto"/>
            </w:tcBorders>
            <w:shd w:val="clear" w:color="auto" w:fill="E7E6E6" w:themeFill="background2"/>
            <w:vAlign w:val="center"/>
          </w:tcPr>
          <w:p w14:paraId="11920110" w14:textId="77777777" w:rsidR="00FD468A" w:rsidRPr="00EA4380" w:rsidRDefault="00FD468A" w:rsidP="006F43D7">
            <w:pPr>
              <w:ind w:left="-74" w:right="-15"/>
              <w:jc w:val="center"/>
              <w:rPr>
                <w:rFonts w:cs="Calibri"/>
                <w:b/>
                <w:bCs/>
                <w:color w:val="000000"/>
              </w:rPr>
            </w:pPr>
            <w:r w:rsidRPr="00EA4380">
              <w:rPr>
                <w:rFonts w:ascii="Calibri" w:hAnsi="Calibri" w:cs="Calibri"/>
                <w:b/>
                <w:bCs/>
                <w:color w:val="000000"/>
              </w:rPr>
              <w:t>$34,254,055</w:t>
            </w:r>
          </w:p>
        </w:tc>
      </w:tr>
    </w:tbl>
    <w:p w14:paraId="0166BA1D" w14:textId="3CFB3352" w:rsidR="003B0E0C" w:rsidRDefault="003B0E0C" w:rsidP="007F2BC1">
      <w:pPr>
        <w:pStyle w:val="Default"/>
        <w:rPr>
          <w:rFonts w:ascii="Garamond" w:hAnsi="Garamond" w:cs="Garamond"/>
          <w:color w:val="auto"/>
        </w:rPr>
      </w:pPr>
    </w:p>
    <w:p w14:paraId="0BECAE74" w14:textId="046A659A" w:rsidR="00DA4643" w:rsidRPr="00DA4643" w:rsidRDefault="00DA4643" w:rsidP="007F2BC1">
      <w:pPr>
        <w:pStyle w:val="Default"/>
        <w:rPr>
          <w:rFonts w:asciiTheme="minorHAnsi" w:hAnsiTheme="minorHAnsi" w:cstheme="minorHAnsi"/>
          <w:color w:val="auto"/>
        </w:rPr>
      </w:pPr>
      <w:r w:rsidRPr="00DA4643">
        <w:rPr>
          <w:rFonts w:asciiTheme="minorHAnsi" w:hAnsiTheme="minorHAnsi" w:cstheme="minorHAnsi"/>
          <w:color w:val="auto"/>
          <w:sz w:val="28"/>
          <w:szCs w:val="28"/>
        </w:rPr>
        <w:lastRenderedPageBreak/>
        <w:t>IDSM Program Budget</w:t>
      </w:r>
    </w:p>
    <w:tbl>
      <w:tblPr>
        <w:tblStyle w:val="TableGrid"/>
        <w:tblW w:w="12402" w:type="dxa"/>
        <w:tblInd w:w="-5" w:type="dxa"/>
        <w:tblBorders>
          <w:insideV w:val="double" w:sz="4" w:space="0" w:color="auto"/>
        </w:tblBorders>
        <w:tblLayout w:type="fixed"/>
        <w:tblLook w:val="04A0" w:firstRow="1" w:lastRow="0" w:firstColumn="1" w:lastColumn="0" w:noHBand="0" w:noVBand="1"/>
      </w:tblPr>
      <w:tblGrid>
        <w:gridCol w:w="1800"/>
        <w:gridCol w:w="1408"/>
        <w:gridCol w:w="1499"/>
        <w:gridCol w:w="1498"/>
        <w:gridCol w:w="1499"/>
        <w:gridCol w:w="1566"/>
        <w:gridCol w:w="1566"/>
        <w:gridCol w:w="1566"/>
      </w:tblGrid>
      <w:tr w:rsidR="00E83B22" w14:paraId="7CF01F3F" w14:textId="77777777" w:rsidTr="005961CA">
        <w:trPr>
          <w:trHeight w:val="731"/>
        </w:trPr>
        <w:tc>
          <w:tcPr>
            <w:tcW w:w="1800" w:type="dxa"/>
            <w:shd w:val="clear" w:color="auto" w:fill="E7E6E6" w:themeFill="background2"/>
            <w:vAlign w:val="center"/>
          </w:tcPr>
          <w:p w14:paraId="153F01E6" w14:textId="77777777" w:rsidR="00E83B22" w:rsidRPr="00702523" w:rsidRDefault="00E83B22" w:rsidP="006F43D7">
            <w:pPr>
              <w:jc w:val="center"/>
              <w:rPr>
                <w:sz w:val="21"/>
                <w:szCs w:val="21"/>
              </w:rPr>
            </w:pPr>
            <w:r w:rsidRPr="00702523">
              <w:rPr>
                <w:b/>
                <w:sz w:val="21"/>
                <w:szCs w:val="21"/>
              </w:rPr>
              <w:t>Category Description</w:t>
            </w:r>
          </w:p>
        </w:tc>
        <w:tc>
          <w:tcPr>
            <w:tcW w:w="1408" w:type="dxa"/>
            <w:shd w:val="clear" w:color="auto" w:fill="E7E6E6" w:themeFill="background2"/>
            <w:vAlign w:val="center"/>
          </w:tcPr>
          <w:p w14:paraId="2D388F13" w14:textId="77777777" w:rsidR="00E83B22" w:rsidRPr="00702523" w:rsidRDefault="00E83B22" w:rsidP="006F43D7">
            <w:pPr>
              <w:jc w:val="center"/>
              <w:rPr>
                <w:b/>
                <w:sz w:val="21"/>
                <w:szCs w:val="21"/>
              </w:rPr>
            </w:pPr>
            <w:r w:rsidRPr="00702523">
              <w:rPr>
                <w:b/>
                <w:sz w:val="21"/>
                <w:szCs w:val="21"/>
              </w:rPr>
              <w:t>2020 Program Budget ($)</w:t>
            </w:r>
          </w:p>
        </w:tc>
        <w:tc>
          <w:tcPr>
            <w:tcW w:w="1499" w:type="dxa"/>
            <w:shd w:val="clear" w:color="auto" w:fill="E7E6E6" w:themeFill="background2"/>
            <w:vAlign w:val="center"/>
          </w:tcPr>
          <w:p w14:paraId="6DD5A06B" w14:textId="77777777" w:rsidR="00E83B22" w:rsidRPr="00702523" w:rsidRDefault="00E83B22" w:rsidP="006F43D7">
            <w:pPr>
              <w:jc w:val="center"/>
              <w:rPr>
                <w:b/>
                <w:sz w:val="21"/>
                <w:szCs w:val="21"/>
              </w:rPr>
            </w:pPr>
            <w:r w:rsidRPr="00702523">
              <w:rPr>
                <w:b/>
                <w:sz w:val="21"/>
                <w:szCs w:val="21"/>
              </w:rPr>
              <w:t>2021 Program Budget ($)</w:t>
            </w:r>
          </w:p>
        </w:tc>
        <w:tc>
          <w:tcPr>
            <w:tcW w:w="1498" w:type="dxa"/>
            <w:shd w:val="clear" w:color="auto" w:fill="E7E6E6" w:themeFill="background2"/>
            <w:vAlign w:val="center"/>
          </w:tcPr>
          <w:p w14:paraId="377824E1" w14:textId="77777777" w:rsidR="00E83B22" w:rsidRPr="00702523" w:rsidRDefault="00E83B22" w:rsidP="006F43D7">
            <w:pPr>
              <w:jc w:val="center"/>
              <w:rPr>
                <w:b/>
                <w:sz w:val="21"/>
                <w:szCs w:val="21"/>
              </w:rPr>
            </w:pPr>
            <w:r w:rsidRPr="00702523">
              <w:rPr>
                <w:b/>
                <w:sz w:val="21"/>
                <w:szCs w:val="21"/>
              </w:rPr>
              <w:t>2022 Program Budget ($)</w:t>
            </w:r>
          </w:p>
        </w:tc>
        <w:tc>
          <w:tcPr>
            <w:tcW w:w="1499" w:type="dxa"/>
            <w:shd w:val="clear" w:color="auto" w:fill="E7E6E6" w:themeFill="background2"/>
            <w:vAlign w:val="center"/>
          </w:tcPr>
          <w:p w14:paraId="172B96E5" w14:textId="77777777" w:rsidR="00E83B22" w:rsidRPr="00702523" w:rsidRDefault="00E83B22" w:rsidP="006F43D7">
            <w:pPr>
              <w:jc w:val="center"/>
              <w:rPr>
                <w:b/>
                <w:sz w:val="21"/>
                <w:szCs w:val="21"/>
              </w:rPr>
            </w:pPr>
            <w:r w:rsidRPr="00702523">
              <w:rPr>
                <w:b/>
                <w:sz w:val="21"/>
                <w:szCs w:val="21"/>
              </w:rPr>
              <w:t>2023 Program Budget ($)</w:t>
            </w:r>
          </w:p>
        </w:tc>
        <w:tc>
          <w:tcPr>
            <w:tcW w:w="1566" w:type="dxa"/>
            <w:shd w:val="clear" w:color="auto" w:fill="E7E6E6" w:themeFill="background2"/>
            <w:vAlign w:val="center"/>
          </w:tcPr>
          <w:p w14:paraId="7E4889C8" w14:textId="77777777" w:rsidR="00E83B22" w:rsidRPr="00702523" w:rsidRDefault="00E83B22" w:rsidP="006F43D7">
            <w:pPr>
              <w:jc w:val="center"/>
              <w:rPr>
                <w:b/>
                <w:sz w:val="21"/>
                <w:szCs w:val="21"/>
              </w:rPr>
            </w:pPr>
            <w:r w:rsidRPr="00702523">
              <w:rPr>
                <w:b/>
                <w:sz w:val="21"/>
                <w:szCs w:val="21"/>
              </w:rPr>
              <w:t>202</w:t>
            </w:r>
            <w:r>
              <w:rPr>
                <w:b/>
                <w:sz w:val="21"/>
                <w:szCs w:val="21"/>
              </w:rPr>
              <w:t>4</w:t>
            </w:r>
            <w:r w:rsidRPr="00702523">
              <w:rPr>
                <w:b/>
                <w:sz w:val="21"/>
                <w:szCs w:val="21"/>
              </w:rPr>
              <w:t xml:space="preserve"> Program Budget ($)</w:t>
            </w:r>
          </w:p>
        </w:tc>
        <w:tc>
          <w:tcPr>
            <w:tcW w:w="1566" w:type="dxa"/>
            <w:shd w:val="clear" w:color="auto" w:fill="E7E6E6" w:themeFill="background2"/>
            <w:vAlign w:val="center"/>
          </w:tcPr>
          <w:p w14:paraId="3FDABF82" w14:textId="77777777" w:rsidR="00E83B22" w:rsidRPr="00702523" w:rsidRDefault="00E83B22" w:rsidP="006F43D7">
            <w:pPr>
              <w:jc w:val="center"/>
              <w:rPr>
                <w:b/>
                <w:sz w:val="21"/>
                <w:szCs w:val="21"/>
              </w:rPr>
            </w:pPr>
            <w:r w:rsidRPr="00702523">
              <w:rPr>
                <w:b/>
                <w:sz w:val="21"/>
                <w:szCs w:val="21"/>
              </w:rPr>
              <w:t>202</w:t>
            </w:r>
            <w:r>
              <w:rPr>
                <w:b/>
                <w:sz w:val="21"/>
                <w:szCs w:val="21"/>
              </w:rPr>
              <w:t>5</w:t>
            </w:r>
            <w:r w:rsidRPr="00702523">
              <w:rPr>
                <w:b/>
                <w:sz w:val="21"/>
                <w:szCs w:val="21"/>
              </w:rPr>
              <w:t xml:space="preserve"> Program Budget ($)</w:t>
            </w:r>
          </w:p>
        </w:tc>
        <w:tc>
          <w:tcPr>
            <w:tcW w:w="1566" w:type="dxa"/>
            <w:shd w:val="clear" w:color="auto" w:fill="E7E6E6" w:themeFill="background2"/>
            <w:vAlign w:val="center"/>
          </w:tcPr>
          <w:p w14:paraId="45F1AFD3" w14:textId="77777777" w:rsidR="00E83B22" w:rsidRPr="00702523" w:rsidRDefault="00E83B22" w:rsidP="006F43D7">
            <w:pPr>
              <w:jc w:val="center"/>
              <w:rPr>
                <w:b/>
                <w:sz w:val="21"/>
                <w:szCs w:val="21"/>
              </w:rPr>
            </w:pPr>
            <w:r w:rsidRPr="00702523">
              <w:rPr>
                <w:b/>
                <w:sz w:val="21"/>
                <w:szCs w:val="21"/>
              </w:rPr>
              <w:t>Total Program Budget ($)</w:t>
            </w:r>
          </w:p>
        </w:tc>
      </w:tr>
      <w:tr w:rsidR="00E83B22" w14:paraId="0D840ECE" w14:textId="77777777" w:rsidTr="005961CA">
        <w:trPr>
          <w:trHeight w:val="578"/>
        </w:trPr>
        <w:tc>
          <w:tcPr>
            <w:tcW w:w="1800" w:type="dxa"/>
            <w:vAlign w:val="bottom"/>
          </w:tcPr>
          <w:p w14:paraId="22EBA5A1" w14:textId="5FDF4AFA" w:rsidR="00E83B22" w:rsidRPr="00702523" w:rsidRDefault="00E83B22" w:rsidP="006F43D7">
            <w:pPr>
              <w:rPr>
                <w:b/>
                <w:sz w:val="21"/>
                <w:szCs w:val="21"/>
              </w:rPr>
            </w:pPr>
            <w:r>
              <w:rPr>
                <w:rFonts w:ascii="Calibri" w:hAnsi="Calibri" w:cs="Calibri"/>
                <w:color w:val="000000"/>
              </w:rPr>
              <w:t>Administrative Costs</w:t>
            </w:r>
          </w:p>
        </w:tc>
        <w:tc>
          <w:tcPr>
            <w:tcW w:w="1408" w:type="dxa"/>
            <w:vAlign w:val="center"/>
          </w:tcPr>
          <w:p w14:paraId="453DE123" w14:textId="77777777" w:rsidR="00E83B22" w:rsidRPr="00702523" w:rsidRDefault="00E83B22" w:rsidP="006F43D7">
            <w:pPr>
              <w:jc w:val="center"/>
              <w:rPr>
                <w:sz w:val="21"/>
                <w:szCs w:val="21"/>
              </w:rPr>
            </w:pPr>
          </w:p>
        </w:tc>
        <w:tc>
          <w:tcPr>
            <w:tcW w:w="1499" w:type="dxa"/>
            <w:vAlign w:val="center"/>
          </w:tcPr>
          <w:p w14:paraId="71F2D8C6" w14:textId="77777777" w:rsidR="00E83B22" w:rsidRPr="00702523" w:rsidRDefault="00E83B22" w:rsidP="006F43D7">
            <w:pPr>
              <w:ind w:left="-149" w:right="-165"/>
              <w:jc w:val="center"/>
              <w:rPr>
                <w:sz w:val="21"/>
                <w:szCs w:val="21"/>
              </w:rPr>
            </w:pPr>
            <w:r>
              <w:rPr>
                <w:rFonts w:ascii="Calibri" w:hAnsi="Calibri" w:cs="Calibri"/>
                <w:color w:val="000000"/>
              </w:rPr>
              <w:t>$8,000</w:t>
            </w:r>
          </w:p>
        </w:tc>
        <w:tc>
          <w:tcPr>
            <w:tcW w:w="1498" w:type="dxa"/>
            <w:vAlign w:val="center"/>
          </w:tcPr>
          <w:p w14:paraId="0C7314B3" w14:textId="77777777" w:rsidR="00E83B22" w:rsidRPr="00702523" w:rsidRDefault="00E83B22" w:rsidP="006F43D7">
            <w:pPr>
              <w:ind w:left="-89" w:right="-30"/>
              <w:jc w:val="center"/>
              <w:rPr>
                <w:sz w:val="21"/>
                <w:szCs w:val="21"/>
              </w:rPr>
            </w:pPr>
            <w:r>
              <w:rPr>
                <w:rFonts w:ascii="Calibri" w:hAnsi="Calibri" w:cs="Calibri"/>
                <w:color w:val="000000"/>
              </w:rPr>
              <w:t>$8,000</w:t>
            </w:r>
          </w:p>
        </w:tc>
        <w:tc>
          <w:tcPr>
            <w:tcW w:w="1499" w:type="dxa"/>
            <w:vAlign w:val="center"/>
          </w:tcPr>
          <w:p w14:paraId="35EDD8BE" w14:textId="77777777" w:rsidR="00E83B22" w:rsidRPr="00702523" w:rsidRDefault="00E83B22" w:rsidP="006F43D7">
            <w:pPr>
              <w:ind w:left="-119" w:right="-60"/>
              <w:jc w:val="center"/>
              <w:rPr>
                <w:sz w:val="21"/>
                <w:szCs w:val="21"/>
              </w:rPr>
            </w:pPr>
            <w:r>
              <w:rPr>
                <w:rFonts w:ascii="Calibri" w:hAnsi="Calibri" w:cs="Calibri"/>
                <w:color w:val="000000"/>
              </w:rPr>
              <w:t>$10,500</w:t>
            </w:r>
          </w:p>
        </w:tc>
        <w:tc>
          <w:tcPr>
            <w:tcW w:w="1566" w:type="dxa"/>
            <w:vAlign w:val="center"/>
          </w:tcPr>
          <w:p w14:paraId="00A0AFF8" w14:textId="77777777" w:rsidR="00E83B22" w:rsidRDefault="00E83B22" w:rsidP="006F43D7">
            <w:pPr>
              <w:ind w:left="-74" w:right="-15"/>
              <w:jc w:val="center"/>
              <w:rPr>
                <w:rFonts w:cs="Calibri"/>
                <w:color w:val="000000"/>
              </w:rPr>
            </w:pPr>
          </w:p>
        </w:tc>
        <w:tc>
          <w:tcPr>
            <w:tcW w:w="1566" w:type="dxa"/>
            <w:vAlign w:val="center"/>
          </w:tcPr>
          <w:p w14:paraId="2F8B6063" w14:textId="77777777" w:rsidR="00E83B22" w:rsidRDefault="00E83B22" w:rsidP="006F43D7">
            <w:pPr>
              <w:ind w:left="-74" w:right="-15"/>
              <w:jc w:val="center"/>
              <w:rPr>
                <w:rFonts w:cs="Calibri"/>
                <w:color w:val="000000"/>
              </w:rPr>
            </w:pPr>
          </w:p>
        </w:tc>
        <w:tc>
          <w:tcPr>
            <w:tcW w:w="1566" w:type="dxa"/>
            <w:vAlign w:val="center"/>
          </w:tcPr>
          <w:p w14:paraId="10FD7EA6" w14:textId="77777777" w:rsidR="00E83B22" w:rsidRPr="00C46777" w:rsidRDefault="00E83B22" w:rsidP="006F43D7">
            <w:pPr>
              <w:ind w:left="-74" w:right="-15"/>
              <w:jc w:val="center"/>
              <w:rPr>
                <w:b/>
                <w:bCs/>
                <w:sz w:val="21"/>
                <w:szCs w:val="21"/>
              </w:rPr>
            </w:pPr>
            <w:r w:rsidRPr="00C46777">
              <w:rPr>
                <w:rFonts w:ascii="Calibri" w:hAnsi="Calibri" w:cs="Calibri"/>
                <w:b/>
                <w:bCs/>
                <w:color w:val="000000"/>
              </w:rPr>
              <w:t>$26,500</w:t>
            </w:r>
          </w:p>
        </w:tc>
      </w:tr>
      <w:tr w:rsidR="00E83B22" w14:paraId="62317F12" w14:textId="77777777" w:rsidTr="005961CA">
        <w:trPr>
          <w:trHeight w:val="576"/>
        </w:trPr>
        <w:tc>
          <w:tcPr>
            <w:tcW w:w="1800" w:type="dxa"/>
            <w:vAlign w:val="bottom"/>
          </w:tcPr>
          <w:p w14:paraId="1E38BA5F" w14:textId="77777777" w:rsidR="00E83B22" w:rsidRPr="00702523" w:rsidRDefault="00E83B22" w:rsidP="006F43D7">
            <w:pPr>
              <w:rPr>
                <w:b/>
                <w:sz w:val="21"/>
                <w:szCs w:val="21"/>
              </w:rPr>
            </w:pPr>
            <w:r>
              <w:rPr>
                <w:rFonts w:ascii="Calibri" w:hAnsi="Calibri" w:cs="Calibri"/>
                <w:color w:val="000000"/>
              </w:rPr>
              <w:t>Marketing &amp; Outreach Costs</w:t>
            </w:r>
          </w:p>
        </w:tc>
        <w:tc>
          <w:tcPr>
            <w:tcW w:w="1408" w:type="dxa"/>
            <w:vAlign w:val="center"/>
          </w:tcPr>
          <w:p w14:paraId="01529792" w14:textId="77777777" w:rsidR="00E83B22" w:rsidRPr="00702523" w:rsidRDefault="00E83B22" w:rsidP="006F43D7">
            <w:pPr>
              <w:jc w:val="center"/>
              <w:rPr>
                <w:sz w:val="21"/>
                <w:szCs w:val="21"/>
              </w:rPr>
            </w:pPr>
          </w:p>
        </w:tc>
        <w:tc>
          <w:tcPr>
            <w:tcW w:w="1499" w:type="dxa"/>
            <w:vAlign w:val="center"/>
          </w:tcPr>
          <w:p w14:paraId="588D7356" w14:textId="77777777" w:rsidR="00E83B22" w:rsidRPr="00702523" w:rsidRDefault="00E83B22" w:rsidP="006F43D7">
            <w:pPr>
              <w:ind w:left="-149" w:right="-165"/>
              <w:jc w:val="center"/>
              <w:rPr>
                <w:sz w:val="21"/>
                <w:szCs w:val="21"/>
              </w:rPr>
            </w:pPr>
            <w:r>
              <w:rPr>
                <w:rFonts w:ascii="Calibri" w:hAnsi="Calibri" w:cs="Calibri"/>
                <w:color w:val="000000"/>
              </w:rPr>
              <w:t>$5,000</w:t>
            </w:r>
          </w:p>
        </w:tc>
        <w:tc>
          <w:tcPr>
            <w:tcW w:w="1498" w:type="dxa"/>
            <w:vAlign w:val="center"/>
          </w:tcPr>
          <w:p w14:paraId="458E8608" w14:textId="77777777" w:rsidR="00E83B22" w:rsidRPr="00702523" w:rsidRDefault="00E83B22" w:rsidP="006F43D7">
            <w:pPr>
              <w:ind w:left="-89" w:right="-30"/>
              <w:jc w:val="center"/>
              <w:rPr>
                <w:sz w:val="21"/>
                <w:szCs w:val="21"/>
              </w:rPr>
            </w:pPr>
            <w:r>
              <w:rPr>
                <w:rFonts w:ascii="Calibri" w:hAnsi="Calibri" w:cs="Calibri"/>
                <w:color w:val="000000"/>
              </w:rPr>
              <w:t>$4,000</w:t>
            </w:r>
          </w:p>
        </w:tc>
        <w:tc>
          <w:tcPr>
            <w:tcW w:w="1499" w:type="dxa"/>
            <w:vAlign w:val="center"/>
          </w:tcPr>
          <w:p w14:paraId="07B8B368" w14:textId="77777777" w:rsidR="00E83B22" w:rsidRPr="00702523" w:rsidRDefault="00E83B22" w:rsidP="006F43D7">
            <w:pPr>
              <w:ind w:left="-119" w:right="-60"/>
              <w:jc w:val="center"/>
              <w:rPr>
                <w:sz w:val="21"/>
                <w:szCs w:val="21"/>
              </w:rPr>
            </w:pPr>
            <w:r>
              <w:rPr>
                <w:rFonts w:ascii="Calibri" w:hAnsi="Calibri" w:cs="Calibri"/>
                <w:color w:val="000000"/>
              </w:rPr>
              <w:t>$6,343</w:t>
            </w:r>
          </w:p>
        </w:tc>
        <w:tc>
          <w:tcPr>
            <w:tcW w:w="1566" w:type="dxa"/>
            <w:vAlign w:val="center"/>
          </w:tcPr>
          <w:p w14:paraId="53C74FBB" w14:textId="77777777" w:rsidR="00E83B22" w:rsidRDefault="00E83B22" w:rsidP="006F43D7">
            <w:pPr>
              <w:ind w:left="-74" w:right="-15"/>
              <w:jc w:val="center"/>
              <w:rPr>
                <w:rFonts w:cs="Calibri"/>
                <w:color w:val="000000"/>
              </w:rPr>
            </w:pPr>
          </w:p>
        </w:tc>
        <w:tc>
          <w:tcPr>
            <w:tcW w:w="1566" w:type="dxa"/>
            <w:vAlign w:val="center"/>
          </w:tcPr>
          <w:p w14:paraId="204AA68E" w14:textId="77777777" w:rsidR="00E83B22" w:rsidRDefault="00E83B22" w:rsidP="006F43D7">
            <w:pPr>
              <w:ind w:left="-74" w:right="-15"/>
              <w:jc w:val="center"/>
              <w:rPr>
                <w:rFonts w:cs="Calibri"/>
                <w:color w:val="000000"/>
              </w:rPr>
            </w:pPr>
          </w:p>
        </w:tc>
        <w:tc>
          <w:tcPr>
            <w:tcW w:w="1566" w:type="dxa"/>
            <w:vAlign w:val="center"/>
          </w:tcPr>
          <w:p w14:paraId="6AE46575" w14:textId="77777777" w:rsidR="00E83B22" w:rsidRPr="00C46777" w:rsidRDefault="00E83B22" w:rsidP="006F43D7">
            <w:pPr>
              <w:ind w:left="-74" w:right="-15"/>
              <w:jc w:val="center"/>
              <w:rPr>
                <w:b/>
                <w:bCs/>
                <w:sz w:val="21"/>
                <w:szCs w:val="21"/>
              </w:rPr>
            </w:pPr>
            <w:r w:rsidRPr="00C46777">
              <w:rPr>
                <w:rFonts w:ascii="Calibri" w:hAnsi="Calibri" w:cs="Calibri"/>
                <w:b/>
                <w:bCs/>
                <w:color w:val="000000"/>
              </w:rPr>
              <w:t>$15,343</w:t>
            </w:r>
          </w:p>
        </w:tc>
      </w:tr>
      <w:tr w:rsidR="00E83B22" w14:paraId="4DD4C83C" w14:textId="77777777" w:rsidTr="005961CA">
        <w:trPr>
          <w:trHeight w:val="1008"/>
        </w:trPr>
        <w:tc>
          <w:tcPr>
            <w:tcW w:w="1800" w:type="dxa"/>
          </w:tcPr>
          <w:p w14:paraId="1FE4C5A2" w14:textId="77777777" w:rsidR="00E83B22" w:rsidRPr="00702523" w:rsidRDefault="00E83B22" w:rsidP="006F43D7">
            <w:pPr>
              <w:rPr>
                <w:b/>
                <w:sz w:val="21"/>
                <w:szCs w:val="21"/>
              </w:rPr>
            </w:pPr>
            <w:r w:rsidRPr="00866C2A">
              <w:t>Direct Implementation: Incentives &amp; Rebate Costs</w:t>
            </w:r>
          </w:p>
        </w:tc>
        <w:tc>
          <w:tcPr>
            <w:tcW w:w="1408" w:type="dxa"/>
            <w:vAlign w:val="center"/>
          </w:tcPr>
          <w:p w14:paraId="267EA781" w14:textId="77777777" w:rsidR="00E83B22" w:rsidRPr="00702523" w:rsidRDefault="00E83B22" w:rsidP="006F43D7">
            <w:pPr>
              <w:jc w:val="center"/>
              <w:rPr>
                <w:sz w:val="21"/>
                <w:szCs w:val="21"/>
              </w:rPr>
            </w:pPr>
          </w:p>
        </w:tc>
        <w:tc>
          <w:tcPr>
            <w:tcW w:w="1499" w:type="dxa"/>
            <w:vAlign w:val="center"/>
          </w:tcPr>
          <w:p w14:paraId="63ECB68F" w14:textId="77777777" w:rsidR="00E83B22" w:rsidRPr="00702523" w:rsidRDefault="00E83B22" w:rsidP="006F43D7">
            <w:pPr>
              <w:ind w:left="-149" w:right="-165"/>
              <w:jc w:val="center"/>
              <w:rPr>
                <w:sz w:val="21"/>
                <w:szCs w:val="21"/>
              </w:rPr>
            </w:pPr>
          </w:p>
        </w:tc>
        <w:tc>
          <w:tcPr>
            <w:tcW w:w="1498" w:type="dxa"/>
            <w:vAlign w:val="center"/>
          </w:tcPr>
          <w:p w14:paraId="0B247CB8" w14:textId="77777777" w:rsidR="00E83B22" w:rsidRPr="00702523" w:rsidRDefault="00E83B22" w:rsidP="006F43D7">
            <w:pPr>
              <w:ind w:left="-89" w:right="-30"/>
              <w:jc w:val="center"/>
              <w:rPr>
                <w:sz w:val="21"/>
                <w:szCs w:val="21"/>
              </w:rPr>
            </w:pPr>
          </w:p>
        </w:tc>
        <w:tc>
          <w:tcPr>
            <w:tcW w:w="1499" w:type="dxa"/>
            <w:vAlign w:val="center"/>
          </w:tcPr>
          <w:p w14:paraId="11D1607C" w14:textId="77777777" w:rsidR="00E83B22" w:rsidRPr="00702523" w:rsidRDefault="00E83B22" w:rsidP="006F43D7">
            <w:pPr>
              <w:ind w:left="-119" w:right="-60"/>
              <w:jc w:val="center"/>
              <w:rPr>
                <w:sz w:val="21"/>
                <w:szCs w:val="21"/>
              </w:rPr>
            </w:pPr>
          </w:p>
        </w:tc>
        <w:tc>
          <w:tcPr>
            <w:tcW w:w="1566" w:type="dxa"/>
            <w:vAlign w:val="center"/>
          </w:tcPr>
          <w:p w14:paraId="286F2D05" w14:textId="77777777" w:rsidR="00E83B22" w:rsidRDefault="00E83B22" w:rsidP="006F43D7">
            <w:pPr>
              <w:ind w:left="-74" w:right="-15"/>
              <w:jc w:val="center"/>
              <w:rPr>
                <w:rFonts w:cs="Calibri"/>
                <w:color w:val="000000"/>
              </w:rPr>
            </w:pPr>
          </w:p>
        </w:tc>
        <w:tc>
          <w:tcPr>
            <w:tcW w:w="1566" w:type="dxa"/>
            <w:vAlign w:val="center"/>
          </w:tcPr>
          <w:p w14:paraId="4C1EE697" w14:textId="77777777" w:rsidR="00E83B22" w:rsidRDefault="00E83B22" w:rsidP="006F43D7">
            <w:pPr>
              <w:ind w:left="-74" w:right="-15"/>
              <w:jc w:val="center"/>
              <w:rPr>
                <w:rFonts w:cs="Calibri"/>
                <w:color w:val="000000"/>
              </w:rPr>
            </w:pPr>
          </w:p>
        </w:tc>
        <w:tc>
          <w:tcPr>
            <w:tcW w:w="1566" w:type="dxa"/>
            <w:vAlign w:val="center"/>
          </w:tcPr>
          <w:p w14:paraId="58811D86" w14:textId="77777777" w:rsidR="00E83B22" w:rsidRPr="00C46777" w:rsidRDefault="00E83B22" w:rsidP="006F43D7">
            <w:pPr>
              <w:ind w:left="-74" w:right="-15"/>
              <w:jc w:val="center"/>
              <w:rPr>
                <w:b/>
                <w:bCs/>
                <w:sz w:val="21"/>
                <w:szCs w:val="21"/>
              </w:rPr>
            </w:pPr>
          </w:p>
        </w:tc>
      </w:tr>
      <w:tr w:rsidR="00E83B22" w14:paraId="175534E8" w14:textId="77777777" w:rsidTr="005961CA">
        <w:trPr>
          <w:trHeight w:val="1008"/>
        </w:trPr>
        <w:tc>
          <w:tcPr>
            <w:tcW w:w="1800" w:type="dxa"/>
          </w:tcPr>
          <w:p w14:paraId="77128F85" w14:textId="77777777" w:rsidR="00E83B22" w:rsidRPr="00702523" w:rsidRDefault="00E83B22" w:rsidP="006F43D7">
            <w:pPr>
              <w:rPr>
                <w:b/>
                <w:sz w:val="21"/>
                <w:szCs w:val="21"/>
              </w:rPr>
            </w:pPr>
            <w:r w:rsidRPr="00866C2A">
              <w:t>Direct Implementation: Non‐Incentive (DINI) Costs</w:t>
            </w:r>
          </w:p>
        </w:tc>
        <w:tc>
          <w:tcPr>
            <w:tcW w:w="1408" w:type="dxa"/>
            <w:vAlign w:val="center"/>
          </w:tcPr>
          <w:p w14:paraId="1E18C679" w14:textId="77777777" w:rsidR="00E83B22" w:rsidRPr="00702523" w:rsidRDefault="00E83B22" w:rsidP="006F43D7">
            <w:pPr>
              <w:jc w:val="center"/>
              <w:rPr>
                <w:sz w:val="21"/>
                <w:szCs w:val="21"/>
              </w:rPr>
            </w:pPr>
          </w:p>
        </w:tc>
        <w:tc>
          <w:tcPr>
            <w:tcW w:w="1499" w:type="dxa"/>
            <w:vAlign w:val="center"/>
          </w:tcPr>
          <w:p w14:paraId="3782CBD3" w14:textId="77777777" w:rsidR="00E83B22" w:rsidRPr="00340132" w:rsidRDefault="00E83B22" w:rsidP="006F43D7">
            <w:pPr>
              <w:ind w:left="-149" w:right="-165"/>
              <w:jc w:val="center"/>
              <w:rPr>
                <w:rFonts w:ascii="Calibri" w:hAnsi="Calibri" w:cs="Calibri"/>
                <w:color w:val="000000"/>
              </w:rPr>
            </w:pPr>
            <w:r>
              <w:rPr>
                <w:rFonts w:ascii="Calibri" w:hAnsi="Calibri" w:cs="Calibri"/>
                <w:color w:val="000000"/>
              </w:rPr>
              <w:t>$18,062</w:t>
            </w:r>
          </w:p>
        </w:tc>
        <w:tc>
          <w:tcPr>
            <w:tcW w:w="1498" w:type="dxa"/>
            <w:vAlign w:val="center"/>
          </w:tcPr>
          <w:p w14:paraId="2FD23C83" w14:textId="77777777" w:rsidR="00E83B22" w:rsidRPr="00702523" w:rsidRDefault="00E83B22" w:rsidP="006F43D7">
            <w:pPr>
              <w:ind w:left="-89" w:right="-165"/>
              <w:jc w:val="center"/>
              <w:rPr>
                <w:sz w:val="21"/>
                <w:szCs w:val="21"/>
              </w:rPr>
            </w:pPr>
            <w:r>
              <w:rPr>
                <w:rFonts w:ascii="Calibri" w:hAnsi="Calibri" w:cs="Calibri"/>
                <w:color w:val="000000"/>
              </w:rPr>
              <w:t>$38,155</w:t>
            </w:r>
          </w:p>
        </w:tc>
        <w:tc>
          <w:tcPr>
            <w:tcW w:w="1499" w:type="dxa"/>
            <w:vAlign w:val="center"/>
          </w:tcPr>
          <w:p w14:paraId="2F6845C8" w14:textId="77777777" w:rsidR="00E83B22" w:rsidRPr="00702523" w:rsidRDefault="00E83B22" w:rsidP="006F43D7">
            <w:pPr>
              <w:ind w:left="-119" w:right="-165"/>
              <w:jc w:val="center"/>
              <w:rPr>
                <w:sz w:val="21"/>
                <w:szCs w:val="21"/>
              </w:rPr>
            </w:pPr>
            <w:r>
              <w:rPr>
                <w:rFonts w:ascii="Calibri" w:hAnsi="Calibri" w:cs="Calibri"/>
                <w:color w:val="000000"/>
              </w:rPr>
              <w:t>$62,500</w:t>
            </w:r>
          </w:p>
        </w:tc>
        <w:tc>
          <w:tcPr>
            <w:tcW w:w="1566" w:type="dxa"/>
            <w:vAlign w:val="center"/>
          </w:tcPr>
          <w:p w14:paraId="4E49DB7A" w14:textId="77777777" w:rsidR="00E83B22" w:rsidRDefault="00E83B22" w:rsidP="006F43D7">
            <w:pPr>
              <w:ind w:left="-74" w:right="-15"/>
              <w:jc w:val="center"/>
              <w:rPr>
                <w:rFonts w:cs="Calibri"/>
                <w:color w:val="000000"/>
              </w:rPr>
            </w:pPr>
          </w:p>
        </w:tc>
        <w:tc>
          <w:tcPr>
            <w:tcW w:w="1566" w:type="dxa"/>
            <w:vAlign w:val="center"/>
          </w:tcPr>
          <w:p w14:paraId="0275BEA7" w14:textId="77777777" w:rsidR="00E83B22" w:rsidRDefault="00E83B22" w:rsidP="006F43D7">
            <w:pPr>
              <w:ind w:left="-74" w:right="-15"/>
              <w:jc w:val="center"/>
              <w:rPr>
                <w:rFonts w:cs="Calibri"/>
                <w:color w:val="000000"/>
              </w:rPr>
            </w:pPr>
          </w:p>
        </w:tc>
        <w:tc>
          <w:tcPr>
            <w:tcW w:w="1566" w:type="dxa"/>
            <w:vAlign w:val="center"/>
          </w:tcPr>
          <w:p w14:paraId="7A1FAC49" w14:textId="77777777" w:rsidR="00E83B22" w:rsidRPr="00C46777" w:rsidRDefault="00E83B22" w:rsidP="006F43D7">
            <w:pPr>
              <w:ind w:left="-74" w:right="-15"/>
              <w:jc w:val="center"/>
              <w:rPr>
                <w:b/>
                <w:bCs/>
                <w:sz w:val="21"/>
                <w:szCs w:val="21"/>
              </w:rPr>
            </w:pPr>
            <w:r w:rsidRPr="00C46777">
              <w:rPr>
                <w:rFonts w:ascii="Calibri" w:hAnsi="Calibri" w:cs="Calibri"/>
                <w:b/>
                <w:bCs/>
                <w:color w:val="000000"/>
              </w:rPr>
              <w:t>$118,717</w:t>
            </w:r>
          </w:p>
        </w:tc>
      </w:tr>
      <w:tr w:rsidR="00E83B22" w14:paraId="17E476C5" w14:textId="77777777" w:rsidTr="005961CA">
        <w:trPr>
          <w:trHeight w:val="835"/>
        </w:trPr>
        <w:tc>
          <w:tcPr>
            <w:tcW w:w="1800" w:type="dxa"/>
            <w:tcBorders>
              <w:bottom w:val="single" w:sz="12" w:space="0" w:color="auto"/>
            </w:tcBorders>
            <w:shd w:val="clear" w:color="auto" w:fill="E7E6E6" w:themeFill="background2"/>
            <w:vAlign w:val="center"/>
          </w:tcPr>
          <w:p w14:paraId="3ADB56E3" w14:textId="77777777" w:rsidR="00E83B22" w:rsidRPr="00702523" w:rsidRDefault="00E83B22" w:rsidP="006F43D7">
            <w:pPr>
              <w:rPr>
                <w:b/>
                <w:sz w:val="21"/>
                <w:szCs w:val="21"/>
              </w:rPr>
            </w:pPr>
            <w:r w:rsidRPr="00702523">
              <w:rPr>
                <w:b/>
                <w:sz w:val="21"/>
                <w:szCs w:val="21"/>
              </w:rPr>
              <w:t>Total</w:t>
            </w:r>
          </w:p>
          <w:p w14:paraId="0BA11B8F" w14:textId="77777777" w:rsidR="00E83B22" w:rsidRPr="00702523" w:rsidRDefault="00E83B22" w:rsidP="006F43D7">
            <w:pPr>
              <w:rPr>
                <w:b/>
                <w:sz w:val="21"/>
                <w:szCs w:val="21"/>
              </w:rPr>
            </w:pPr>
            <w:r w:rsidRPr="00702523">
              <w:rPr>
                <w:b/>
                <w:sz w:val="21"/>
                <w:szCs w:val="21"/>
              </w:rPr>
              <w:t>Implementation</w:t>
            </w:r>
          </w:p>
          <w:p w14:paraId="3EAAEF4D" w14:textId="77777777" w:rsidR="00E83B22" w:rsidRPr="00702523" w:rsidRDefault="00E83B22" w:rsidP="006F43D7">
            <w:pPr>
              <w:rPr>
                <w:b/>
                <w:sz w:val="21"/>
                <w:szCs w:val="21"/>
              </w:rPr>
            </w:pPr>
            <w:r w:rsidRPr="00702523">
              <w:rPr>
                <w:b/>
                <w:sz w:val="21"/>
                <w:szCs w:val="21"/>
              </w:rPr>
              <w:t>Budget</w:t>
            </w:r>
            <w:r>
              <w:rPr>
                <w:b/>
                <w:sz w:val="21"/>
                <w:szCs w:val="21"/>
              </w:rPr>
              <w:t xml:space="preserve"> </w:t>
            </w:r>
          </w:p>
        </w:tc>
        <w:tc>
          <w:tcPr>
            <w:tcW w:w="1408" w:type="dxa"/>
            <w:tcBorders>
              <w:bottom w:val="single" w:sz="12" w:space="0" w:color="auto"/>
            </w:tcBorders>
            <w:shd w:val="clear" w:color="auto" w:fill="E7E6E6" w:themeFill="background2"/>
            <w:vAlign w:val="center"/>
          </w:tcPr>
          <w:p w14:paraId="3EAB3936" w14:textId="77777777" w:rsidR="00E83B22" w:rsidRPr="00702523" w:rsidRDefault="00E83B22" w:rsidP="006F43D7">
            <w:pPr>
              <w:jc w:val="center"/>
              <w:rPr>
                <w:b/>
                <w:sz w:val="21"/>
                <w:szCs w:val="21"/>
              </w:rPr>
            </w:pPr>
          </w:p>
        </w:tc>
        <w:tc>
          <w:tcPr>
            <w:tcW w:w="1499" w:type="dxa"/>
            <w:tcBorders>
              <w:bottom w:val="single" w:sz="12" w:space="0" w:color="auto"/>
            </w:tcBorders>
            <w:shd w:val="clear" w:color="auto" w:fill="E7E6E6" w:themeFill="background2"/>
            <w:vAlign w:val="center"/>
          </w:tcPr>
          <w:p w14:paraId="49BE9718" w14:textId="77777777" w:rsidR="00E83B22" w:rsidRPr="00702523" w:rsidRDefault="00E83B22" w:rsidP="006F43D7">
            <w:pPr>
              <w:ind w:left="-149" w:right="-165"/>
              <w:jc w:val="center"/>
              <w:rPr>
                <w:b/>
                <w:sz w:val="21"/>
                <w:szCs w:val="21"/>
              </w:rPr>
            </w:pPr>
            <w:r>
              <w:rPr>
                <w:rFonts w:ascii="Calibri" w:hAnsi="Calibri" w:cs="Calibri"/>
                <w:color w:val="000000"/>
              </w:rPr>
              <w:t>$31,062</w:t>
            </w:r>
          </w:p>
        </w:tc>
        <w:tc>
          <w:tcPr>
            <w:tcW w:w="1498" w:type="dxa"/>
            <w:tcBorders>
              <w:bottom w:val="single" w:sz="12" w:space="0" w:color="auto"/>
            </w:tcBorders>
            <w:shd w:val="clear" w:color="auto" w:fill="E7E6E6" w:themeFill="background2"/>
            <w:vAlign w:val="center"/>
          </w:tcPr>
          <w:p w14:paraId="2FB762B0" w14:textId="77777777" w:rsidR="00E83B22" w:rsidRPr="00702523" w:rsidRDefault="00E83B22" w:rsidP="006F43D7">
            <w:pPr>
              <w:ind w:left="-89" w:right="-120"/>
              <w:jc w:val="center"/>
              <w:rPr>
                <w:b/>
                <w:sz w:val="21"/>
                <w:szCs w:val="21"/>
              </w:rPr>
            </w:pPr>
            <w:r>
              <w:rPr>
                <w:rFonts w:ascii="Calibri" w:hAnsi="Calibri" w:cs="Calibri"/>
                <w:color w:val="000000"/>
              </w:rPr>
              <w:t>$50,155</w:t>
            </w:r>
          </w:p>
        </w:tc>
        <w:tc>
          <w:tcPr>
            <w:tcW w:w="1499" w:type="dxa"/>
            <w:tcBorders>
              <w:bottom w:val="single" w:sz="12" w:space="0" w:color="auto"/>
            </w:tcBorders>
            <w:shd w:val="clear" w:color="auto" w:fill="E7E6E6" w:themeFill="background2"/>
            <w:vAlign w:val="center"/>
          </w:tcPr>
          <w:p w14:paraId="2951D427" w14:textId="77777777" w:rsidR="00E83B22" w:rsidRPr="00702523" w:rsidRDefault="00E83B22" w:rsidP="006F43D7">
            <w:pPr>
              <w:ind w:left="-119" w:right="-120"/>
              <w:jc w:val="center"/>
              <w:rPr>
                <w:sz w:val="21"/>
                <w:szCs w:val="21"/>
              </w:rPr>
            </w:pPr>
            <w:r>
              <w:rPr>
                <w:rFonts w:ascii="Calibri" w:hAnsi="Calibri" w:cs="Calibri"/>
                <w:color w:val="000000"/>
              </w:rPr>
              <w:t>$79,343</w:t>
            </w:r>
          </w:p>
        </w:tc>
        <w:tc>
          <w:tcPr>
            <w:tcW w:w="1566" w:type="dxa"/>
            <w:tcBorders>
              <w:bottom w:val="single" w:sz="12" w:space="0" w:color="auto"/>
            </w:tcBorders>
            <w:shd w:val="clear" w:color="auto" w:fill="E7E6E6" w:themeFill="background2"/>
            <w:vAlign w:val="center"/>
          </w:tcPr>
          <w:p w14:paraId="4344AA51" w14:textId="77777777" w:rsidR="00E83B22" w:rsidRDefault="00E83B22" w:rsidP="006F43D7">
            <w:pPr>
              <w:ind w:left="-74" w:right="-15"/>
              <w:jc w:val="center"/>
              <w:rPr>
                <w:rFonts w:cs="Calibri"/>
                <w:color w:val="000000"/>
              </w:rPr>
            </w:pPr>
          </w:p>
        </w:tc>
        <w:tc>
          <w:tcPr>
            <w:tcW w:w="1566" w:type="dxa"/>
            <w:tcBorders>
              <w:bottom w:val="single" w:sz="12" w:space="0" w:color="auto"/>
            </w:tcBorders>
            <w:shd w:val="clear" w:color="auto" w:fill="E7E6E6" w:themeFill="background2"/>
            <w:vAlign w:val="center"/>
          </w:tcPr>
          <w:p w14:paraId="3C46D093" w14:textId="77777777" w:rsidR="00E83B22" w:rsidRDefault="00E83B22" w:rsidP="006F43D7">
            <w:pPr>
              <w:ind w:left="-74" w:right="-15"/>
              <w:jc w:val="center"/>
              <w:rPr>
                <w:rFonts w:cs="Calibri"/>
                <w:color w:val="000000"/>
              </w:rPr>
            </w:pPr>
          </w:p>
        </w:tc>
        <w:tc>
          <w:tcPr>
            <w:tcW w:w="1566" w:type="dxa"/>
            <w:tcBorders>
              <w:bottom w:val="single" w:sz="12" w:space="0" w:color="auto"/>
            </w:tcBorders>
            <w:shd w:val="clear" w:color="auto" w:fill="E7E6E6" w:themeFill="background2"/>
            <w:vAlign w:val="center"/>
          </w:tcPr>
          <w:p w14:paraId="03BC6781" w14:textId="77777777" w:rsidR="00E83B22" w:rsidRPr="00C46777" w:rsidRDefault="00E83B22" w:rsidP="006F43D7">
            <w:pPr>
              <w:ind w:left="-74" w:right="-15"/>
              <w:jc w:val="center"/>
              <w:rPr>
                <w:b/>
                <w:bCs/>
                <w:sz w:val="21"/>
                <w:szCs w:val="21"/>
              </w:rPr>
            </w:pPr>
            <w:r w:rsidRPr="00C46777">
              <w:rPr>
                <w:rFonts w:ascii="Calibri" w:hAnsi="Calibri" w:cs="Calibri"/>
                <w:b/>
                <w:bCs/>
                <w:color w:val="000000"/>
              </w:rPr>
              <w:t>$160,560</w:t>
            </w:r>
          </w:p>
        </w:tc>
      </w:tr>
    </w:tbl>
    <w:p w14:paraId="2D5A1DC6" w14:textId="5865F461" w:rsidR="003B0E0C" w:rsidRDefault="003B0E0C" w:rsidP="007F2BC1">
      <w:pPr>
        <w:pStyle w:val="Default"/>
        <w:rPr>
          <w:rFonts w:ascii="Garamond" w:hAnsi="Garamond" w:cs="Garamond"/>
          <w:color w:val="auto"/>
        </w:rPr>
      </w:pPr>
    </w:p>
    <w:p w14:paraId="5A5D0DF8" w14:textId="77777777" w:rsidR="00DA4643" w:rsidRDefault="00DA4643" w:rsidP="007F2BC1">
      <w:pPr>
        <w:pStyle w:val="Default"/>
        <w:rPr>
          <w:rFonts w:ascii="Garamond" w:hAnsi="Garamond" w:cs="Garamond"/>
          <w:color w:val="auto"/>
        </w:rPr>
      </w:pPr>
    </w:p>
    <w:p w14:paraId="64EF3B46" w14:textId="3C2780E0" w:rsidR="00B11471" w:rsidRPr="00DA4643" w:rsidRDefault="00DA4643" w:rsidP="007F2BC1">
      <w:pPr>
        <w:pStyle w:val="Default"/>
        <w:rPr>
          <w:rFonts w:asciiTheme="minorHAnsi" w:hAnsiTheme="minorHAnsi" w:cstheme="minorHAnsi"/>
          <w:b/>
          <w:bCs/>
          <w:color w:val="auto"/>
          <w:sz w:val="28"/>
          <w:szCs w:val="28"/>
        </w:rPr>
      </w:pPr>
      <w:r w:rsidRPr="00DA4643">
        <w:rPr>
          <w:rFonts w:asciiTheme="minorHAnsi" w:hAnsiTheme="minorHAnsi" w:cstheme="minorHAnsi"/>
          <w:b/>
          <w:bCs/>
          <w:color w:val="auto"/>
          <w:sz w:val="28"/>
          <w:szCs w:val="28"/>
        </w:rPr>
        <w:t>Total Support Services</w:t>
      </w:r>
    </w:p>
    <w:tbl>
      <w:tblPr>
        <w:tblStyle w:val="TableGrid"/>
        <w:tblW w:w="12402" w:type="dxa"/>
        <w:tblInd w:w="-5" w:type="dxa"/>
        <w:tblBorders>
          <w:insideV w:val="double" w:sz="4" w:space="0" w:color="auto"/>
        </w:tblBorders>
        <w:tblLayout w:type="fixed"/>
        <w:tblLook w:val="04A0" w:firstRow="1" w:lastRow="0" w:firstColumn="1" w:lastColumn="0" w:noHBand="0" w:noVBand="1"/>
      </w:tblPr>
      <w:tblGrid>
        <w:gridCol w:w="1710"/>
        <w:gridCol w:w="1498"/>
        <w:gridCol w:w="1499"/>
        <w:gridCol w:w="1498"/>
        <w:gridCol w:w="1499"/>
        <w:gridCol w:w="1566"/>
        <w:gridCol w:w="1566"/>
        <w:gridCol w:w="1566"/>
      </w:tblGrid>
      <w:tr w:rsidR="004E4883" w14:paraId="6780473B" w14:textId="77777777" w:rsidTr="005961CA">
        <w:trPr>
          <w:trHeight w:val="731"/>
        </w:trPr>
        <w:tc>
          <w:tcPr>
            <w:tcW w:w="1710" w:type="dxa"/>
            <w:shd w:val="clear" w:color="auto" w:fill="E7E6E6" w:themeFill="background2"/>
            <w:vAlign w:val="center"/>
          </w:tcPr>
          <w:p w14:paraId="68AD6EC1" w14:textId="77777777" w:rsidR="004E4883" w:rsidRPr="00702523" w:rsidRDefault="004E4883" w:rsidP="006F43D7">
            <w:pPr>
              <w:jc w:val="center"/>
              <w:rPr>
                <w:sz w:val="21"/>
                <w:szCs w:val="21"/>
              </w:rPr>
            </w:pPr>
            <w:r w:rsidRPr="00702523">
              <w:rPr>
                <w:b/>
                <w:sz w:val="21"/>
                <w:szCs w:val="21"/>
              </w:rPr>
              <w:t>Category Description</w:t>
            </w:r>
          </w:p>
        </w:tc>
        <w:tc>
          <w:tcPr>
            <w:tcW w:w="1498" w:type="dxa"/>
            <w:shd w:val="clear" w:color="auto" w:fill="E7E6E6" w:themeFill="background2"/>
            <w:vAlign w:val="center"/>
          </w:tcPr>
          <w:p w14:paraId="607EDCC5" w14:textId="77777777" w:rsidR="004E4883" w:rsidRPr="00702523" w:rsidRDefault="004E4883" w:rsidP="006F43D7">
            <w:pPr>
              <w:jc w:val="center"/>
              <w:rPr>
                <w:b/>
                <w:sz w:val="21"/>
                <w:szCs w:val="21"/>
              </w:rPr>
            </w:pPr>
            <w:r w:rsidRPr="00702523">
              <w:rPr>
                <w:b/>
                <w:sz w:val="21"/>
                <w:szCs w:val="21"/>
              </w:rPr>
              <w:t>2020 Program Budget ($)</w:t>
            </w:r>
          </w:p>
        </w:tc>
        <w:tc>
          <w:tcPr>
            <w:tcW w:w="1499" w:type="dxa"/>
            <w:shd w:val="clear" w:color="auto" w:fill="E7E6E6" w:themeFill="background2"/>
            <w:vAlign w:val="center"/>
          </w:tcPr>
          <w:p w14:paraId="7DE858AA" w14:textId="77777777" w:rsidR="004E4883" w:rsidRPr="00702523" w:rsidRDefault="004E4883" w:rsidP="006F43D7">
            <w:pPr>
              <w:jc w:val="center"/>
              <w:rPr>
                <w:b/>
                <w:sz w:val="21"/>
                <w:szCs w:val="21"/>
              </w:rPr>
            </w:pPr>
            <w:r w:rsidRPr="00702523">
              <w:rPr>
                <w:b/>
                <w:sz w:val="21"/>
                <w:szCs w:val="21"/>
              </w:rPr>
              <w:t>2021 Program Budget ($)</w:t>
            </w:r>
          </w:p>
        </w:tc>
        <w:tc>
          <w:tcPr>
            <w:tcW w:w="1498" w:type="dxa"/>
            <w:shd w:val="clear" w:color="auto" w:fill="E7E6E6" w:themeFill="background2"/>
            <w:vAlign w:val="center"/>
          </w:tcPr>
          <w:p w14:paraId="559E6F90" w14:textId="77777777" w:rsidR="004E4883" w:rsidRPr="00702523" w:rsidRDefault="004E4883" w:rsidP="006F43D7">
            <w:pPr>
              <w:jc w:val="center"/>
              <w:rPr>
                <w:b/>
                <w:sz w:val="21"/>
                <w:szCs w:val="21"/>
              </w:rPr>
            </w:pPr>
            <w:r w:rsidRPr="00702523">
              <w:rPr>
                <w:b/>
                <w:sz w:val="21"/>
                <w:szCs w:val="21"/>
              </w:rPr>
              <w:t>2022 Program Budget ($)</w:t>
            </w:r>
          </w:p>
        </w:tc>
        <w:tc>
          <w:tcPr>
            <w:tcW w:w="1499" w:type="dxa"/>
            <w:shd w:val="clear" w:color="auto" w:fill="E7E6E6" w:themeFill="background2"/>
            <w:vAlign w:val="center"/>
          </w:tcPr>
          <w:p w14:paraId="3A2AC041" w14:textId="77777777" w:rsidR="004E4883" w:rsidRPr="00702523" w:rsidRDefault="004E4883" w:rsidP="006F43D7">
            <w:pPr>
              <w:jc w:val="center"/>
              <w:rPr>
                <w:b/>
                <w:sz w:val="21"/>
                <w:szCs w:val="21"/>
              </w:rPr>
            </w:pPr>
            <w:r w:rsidRPr="00702523">
              <w:rPr>
                <w:b/>
                <w:sz w:val="21"/>
                <w:szCs w:val="21"/>
              </w:rPr>
              <w:t>2023 Program Budget ($)</w:t>
            </w:r>
          </w:p>
        </w:tc>
        <w:tc>
          <w:tcPr>
            <w:tcW w:w="1566" w:type="dxa"/>
            <w:shd w:val="clear" w:color="auto" w:fill="E7E6E6" w:themeFill="background2"/>
            <w:vAlign w:val="center"/>
          </w:tcPr>
          <w:p w14:paraId="151E4865" w14:textId="77777777" w:rsidR="004E4883" w:rsidRPr="00702523" w:rsidRDefault="004E4883" w:rsidP="006F43D7">
            <w:pPr>
              <w:jc w:val="center"/>
              <w:rPr>
                <w:b/>
                <w:sz w:val="21"/>
                <w:szCs w:val="21"/>
              </w:rPr>
            </w:pPr>
            <w:r w:rsidRPr="00702523">
              <w:rPr>
                <w:b/>
                <w:sz w:val="21"/>
                <w:szCs w:val="21"/>
              </w:rPr>
              <w:t>202</w:t>
            </w:r>
            <w:r>
              <w:rPr>
                <w:b/>
                <w:sz w:val="21"/>
                <w:szCs w:val="21"/>
              </w:rPr>
              <w:t>4</w:t>
            </w:r>
            <w:r w:rsidRPr="00702523">
              <w:rPr>
                <w:b/>
                <w:sz w:val="21"/>
                <w:szCs w:val="21"/>
              </w:rPr>
              <w:t xml:space="preserve"> Program Budget ($)</w:t>
            </w:r>
          </w:p>
        </w:tc>
        <w:tc>
          <w:tcPr>
            <w:tcW w:w="1566" w:type="dxa"/>
            <w:shd w:val="clear" w:color="auto" w:fill="E7E6E6" w:themeFill="background2"/>
            <w:vAlign w:val="center"/>
          </w:tcPr>
          <w:p w14:paraId="45CC08CF" w14:textId="77777777" w:rsidR="004E4883" w:rsidRPr="00702523" w:rsidRDefault="004E4883" w:rsidP="006F43D7">
            <w:pPr>
              <w:jc w:val="center"/>
              <w:rPr>
                <w:b/>
                <w:sz w:val="21"/>
                <w:szCs w:val="21"/>
              </w:rPr>
            </w:pPr>
            <w:r w:rsidRPr="00702523">
              <w:rPr>
                <w:b/>
                <w:sz w:val="21"/>
                <w:szCs w:val="21"/>
              </w:rPr>
              <w:t>202</w:t>
            </w:r>
            <w:r>
              <w:rPr>
                <w:b/>
                <w:sz w:val="21"/>
                <w:szCs w:val="21"/>
              </w:rPr>
              <w:t>5</w:t>
            </w:r>
            <w:r w:rsidRPr="00702523">
              <w:rPr>
                <w:b/>
                <w:sz w:val="21"/>
                <w:szCs w:val="21"/>
              </w:rPr>
              <w:t xml:space="preserve"> Program Budget ($)</w:t>
            </w:r>
          </w:p>
        </w:tc>
        <w:tc>
          <w:tcPr>
            <w:tcW w:w="1566" w:type="dxa"/>
            <w:shd w:val="clear" w:color="auto" w:fill="E7E6E6" w:themeFill="background2"/>
            <w:vAlign w:val="center"/>
          </w:tcPr>
          <w:p w14:paraId="3F7AB6EE" w14:textId="77777777" w:rsidR="004E4883" w:rsidRPr="00702523" w:rsidRDefault="004E4883" w:rsidP="006F43D7">
            <w:pPr>
              <w:jc w:val="center"/>
              <w:rPr>
                <w:b/>
                <w:sz w:val="21"/>
                <w:szCs w:val="21"/>
              </w:rPr>
            </w:pPr>
            <w:r w:rsidRPr="00702523">
              <w:rPr>
                <w:b/>
                <w:sz w:val="21"/>
                <w:szCs w:val="21"/>
              </w:rPr>
              <w:t>Total Program Budget ($)</w:t>
            </w:r>
          </w:p>
        </w:tc>
      </w:tr>
      <w:tr w:rsidR="004E4883" w14:paraId="2D35FC55" w14:textId="77777777" w:rsidTr="005961CA">
        <w:trPr>
          <w:trHeight w:val="835"/>
        </w:trPr>
        <w:tc>
          <w:tcPr>
            <w:tcW w:w="1710" w:type="dxa"/>
            <w:tcBorders>
              <w:bottom w:val="single" w:sz="12" w:space="0" w:color="auto"/>
            </w:tcBorders>
            <w:shd w:val="clear" w:color="auto" w:fill="E7E6E6" w:themeFill="background2"/>
            <w:vAlign w:val="center"/>
          </w:tcPr>
          <w:p w14:paraId="3F399333" w14:textId="77777777" w:rsidR="004E4883" w:rsidRPr="00702523" w:rsidRDefault="004E4883" w:rsidP="006F43D7">
            <w:pPr>
              <w:rPr>
                <w:b/>
                <w:sz w:val="21"/>
                <w:szCs w:val="21"/>
              </w:rPr>
            </w:pPr>
            <w:r w:rsidRPr="00896A4C">
              <w:rPr>
                <w:b/>
                <w:sz w:val="21"/>
                <w:szCs w:val="21"/>
              </w:rPr>
              <w:t>TOTAL NOT‐TO‐EXCEED BUDGET</w:t>
            </w:r>
          </w:p>
        </w:tc>
        <w:tc>
          <w:tcPr>
            <w:tcW w:w="1498" w:type="dxa"/>
            <w:tcBorders>
              <w:bottom w:val="single" w:sz="12" w:space="0" w:color="auto"/>
            </w:tcBorders>
            <w:shd w:val="clear" w:color="auto" w:fill="E7E6E6" w:themeFill="background2"/>
            <w:vAlign w:val="center"/>
          </w:tcPr>
          <w:p w14:paraId="1ED0F388" w14:textId="77777777" w:rsidR="004E4883" w:rsidRPr="00702523" w:rsidRDefault="004E4883" w:rsidP="006F43D7">
            <w:pPr>
              <w:jc w:val="center"/>
              <w:rPr>
                <w:b/>
                <w:sz w:val="21"/>
                <w:szCs w:val="21"/>
              </w:rPr>
            </w:pPr>
            <w:r>
              <w:rPr>
                <w:rFonts w:ascii="Calibri" w:hAnsi="Calibri" w:cs="Calibri"/>
                <w:color w:val="000000"/>
              </w:rPr>
              <w:t>$406,863</w:t>
            </w:r>
          </w:p>
        </w:tc>
        <w:tc>
          <w:tcPr>
            <w:tcW w:w="1499" w:type="dxa"/>
            <w:tcBorders>
              <w:bottom w:val="single" w:sz="12" w:space="0" w:color="auto"/>
            </w:tcBorders>
            <w:shd w:val="clear" w:color="auto" w:fill="E7E6E6" w:themeFill="background2"/>
            <w:vAlign w:val="center"/>
          </w:tcPr>
          <w:p w14:paraId="511B6061" w14:textId="77777777" w:rsidR="004E4883" w:rsidRPr="00702523" w:rsidRDefault="004E4883" w:rsidP="006F43D7">
            <w:pPr>
              <w:ind w:left="-149" w:right="-165"/>
              <w:jc w:val="center"/>
              <w:rPr>
                <w:b/>
                <w:sz w:val="21"/>
                <w:szCs w:val="21"/>
              </w:rPr>
            </w:pPr>
            <w:r>
              <w:rPr>
                <w:rFonts w:ascii="Calibri" w:hAnsi="Calibri" w:cs="Calibri"/>
                <w:color w:val="000000"/>
              </w:rPr>
              <w:t>$4,976,169</w:t>
            </w:r>
          </w:p>
        </w:tc>
        <w:tc>
          <w:tcPr>
            <w:tcW w:w="1498" w:type="dxa"/>
            <w:tcBorders>
              <w:bottom w:val="single" w:sz="12" w:space="0" w:color="auto"/>
            </w:tcBorders>
            <w:shd w:val="clear" w:color="auto" w:fill="E7E6E6" w:themeFill="background2"/>
            <w:vAlign w:val="center"/>
          </w:tcPr>
          <w:p w14:paraId="224D3704" w14:textId="77777777" w:rsidR="004E4883" w:rsidRPr="00702523" w:rsidRDefault="004E4883" w:rsidP="006F43D7">
            <w:pPr>
              <w:ind w:left="-89" w:right="-120"/>
              <w:jc w:val="center"/>
              <w:rPr>
                <w:b/>
                <w:sz w:val="21"/>
                <w:szCs w:val="21"/>
              </w:rPr>
            </w:pPr>
            <w:r>
              <w:rPr>
                <w:rFonts w:ascii="Calibri" w:hAnsi="Calibri" w:cs="Calibri"/>
                <w:color w:val="000000"/>
              </w:rPr>
              <w:t>$10,334,868</w:t>
            </w:r>
          </w:p>
        </w:tc>
        <w:tc>
          <w:tcPr>
            <w:tcW w:w="1499" w:type="dxa"/>
            <w:tcBorders>
              <w:bottom w:val="single" w:sz="12" w:space="0" w:color="auto"/>
            </w:tcBorders>
            <w:shd w:val="clear" w:color="auto" w:fill="E7E6E6" w:themeFill="background2"/>
            <w:vAlign w:val="center"/>
          </w:tcPr>
          <w:p w14:paraId="07445CC3" w14:textId="77777777" w:rsidR="004E4883" w:rsidRPr="00702523" w:rsidRDefault="004E4883" w:rsidP="006F43D7">
            <w:pPr>
              <w:ind w:left="-119" w:right="-120"/>
              <w:jc w:val="center"/>
              <w:rPr>
                <w:sz w:val="21"/>
                <w:szCs w:val="21"/>
              </w:rPr>
            </w:pPr>
            <w:r>
              <w:rPr>
                <w:rFonts w:ascii="Calibri" w:hAnsi="Calibri" w:cs="Calibri"/>
                <w:color w:val="000000"/>
              </w:rPr>
              <w:t>$17,059,212</w:t>
            </w:r>
          </w:p>
        </w:tc>
        <w:tc>
          <w:tcPr>
            <w:tcW w:w="1566" w:type="dxa"/>
            <w:tcBorders>
              <w:bottom w:val="single" w:sz="12" w:space="0" w:color="auto"/>
            </w:tcBorders>
            <w:shd w:val="clear" w:color="auto" w:fill="E7E6E6" w:themeFill="background2"/>
            <w:vAlign w:val="center"/>
          </w:tcPr>
          <w:p w14:paraId="64A7632E" w14:textId="77777777" w:rsidR="004E4883" w:rsidRDefault="004E4883" w:rsidP="006F43D7">
            <w:pPr>
              <w:ind w:left="-74" w:right="-15"/>
              <w:jc w:val="center"/>
              <w:rPr>
                <w:rFonts w:cs="Calibri"/>
                <w:color w:val="000000"/>
              </w:rPr>
            </w:pPr>
            <w:r>
              <w:rPr>
                <w:rFonts w:ascii="Calibri" w:hAnsi="Calibri" w:cs="Calibri"/>
                <w:color w:val="000000"/>
              </w:rPr>
              <w:t>$1,538,573</w:t>
            </w:r>
          </w:p>
        </w:tc>
        <w:tc>
          <w:tcPr>
            <w:tcW w:w="1566" w:type="dxa"/>
            <w:tcBorders>
              <w:bottom w:val="single" w:sz="12" w:space="0" w:color="auto"/>
            </w:tcBorders>
            <w:shd w:val="clear" w:color="auto" w:fill="E7E6E6" w:themeFill="background2"/>
            <w:vAlign w:val="center"/>
          </w:tcPr>
          <w:p w14:paraId="0494BA59" w14:textId="77777777" w:rsidR="004E4883" w:rsidRDefault="004E4883" w:rsidP="006F43D7">
            <w:pPr>
              <w:ind w:left="-74" w:right="-15"/>
              <w:jc w:val="center"/>
              <w:rPr>
                <w:rFonts w:cs="Calibri"/>
                <w:color w:val="000000"/>
              </w:rPr>
            </w:pPr>
            <w:r>
              <w:rPr>
                <w:rFonts w:ascii="Calibri" w:hAnsi="Calibri" w:cs="Calibri"/>
                <w:color w:val="000000"/>
              </w:rPr>
              <w:t>$98,930</w:t>
            </w:r>
          </w:p>
        </w:tc>
        <w:tc>
          <w:tcPr>
            <w:tcW w:w="1566" w:type="dxa"/>
            <w:tcBorders>
              <w:bottom w:val="single" w:sz="12" w:space="0" w:color="auto"/>
            </w:tcBorders>
            <w:shd w:val="clear" w:color="auto" w:fill="E7E6E6" w:themeFill="background2"/>
            <w:vAlign w:val="center"/>
          </w:tcPr>
          <w:p w14:paraId="58BDAB9E" w14:textId="77777777" w:rsidR="004E4883" w:rsidRPr="00DA4643" w:rsidRDefault="004E4883" w:rsidP="006F43D7">
            <w:pPr>
              <w:ind w:left="-74" w:right="-15"/>
              <w:jc w:val="center"/>
              <w:rPr>
                <w:b/>
                <w:bCs/>
                <w:sz w:val="21"/>
                <w:szCs w:val="21"/>
              </w:rPr>
            </w:pPr>
            <w:r w:rsidRPr="00DA4643">
              <w:rPr>
                <w:rFonts w:ascii="Calibri" w:hAnsi="Calibri" w:cs="Calibri"/>
                <w:b/>
                <w:bCs/>
                <w:color w:val="000000"/>
              </w:rPr>
              <w:t>$34,414,615</w:t>
            </w:r>
          </w:p>
        </w:tc>
      </w:tr>
    </w:tbl>
    <w:p w14:paraId="6535336C" w14:textId="77777777" w:rsidR="00B11471" w:rsidRDefault="00B11471" w:rsidP="007F2BC1">
      <w:pPr>
        <w:pStyle w:val="Default"/>
        <w:rPr>
          <w:rFonts w:ascii="Garamond" w:hAnsi="Garamond" w:cs="Garamond"/>
          <w:color w:val="auto"/>
        </w:rPr>
      </w:pPr>
    </w:p>
    <w:p w14:paraId="0A377B4B" w14:textId="0D81A079" w:rsidR="00B11471" w:rsidRDefault="00B11471" w:rsidP="007F2BC1">
      <w:pPr>
        <w:pStyle w:val="Default"/>
        <w:rPr>
          <w:rFonts w:ascii="Garamond" w:hAnsi="Garamond" w:cs="Garamond"/>
          <w:color w:val="auto"/>
        </w:rPr>
      </w:pPr>
    </w:p>
    <w:p w14:paraId="40F60C96" w14:textId="3A4DAD09" w:rsidR="00B11471" w:rsidRDefault="00B11471" w:rsidP="007F2BC1">
      <w:pPr>
        <w:pStyle w:val="Default"/>
        <w:rPr>
          <w:rFonts w:ascii="Garamond" w:hAnsi="Garamond" w:cs="Garamond"/>
          <w:color w:val="auto"/>
        </w:rPr>
      </w:pPr>
    </w:p>
    <w:p w14:paraId="50F4043E" w14:textId="77777777" w:rsidR="00B11471" w:rsidRDefault="00B11471" w:rsidP="007F2BC1">
      <w:pPr>
        <w:pStyle w:val="Default"/>
        <w:rPr>
          <w:rFonts w:ascii="Garamond" w:hAnsi="Garamond" w:cs="Garamond"/>
          <w:color w:val="auto"/>
        </w:rPr>
      </w:pPr>
    </w:p>
    <w:p w14:paraId="0FF76812" w14:textId="77777777" w:rsidR="003B0E0C" w:rsidRDefault="003B0E0C" w:rsidP="007F2BC1">
      <w:pPr>
        <w:pStyle w:val="Default"/>
        <w:rPr>
          <w:rFonts w:ascii="Garamond" w:hAnsi="Garamond" w:cs="Garamond"/>
          <w:color w:val="auto"/>
        </w:rPr>
      </w:pPr>
    </w:p>
    <w:p w14:paraId="4E4FD6A4" w14:textId="12DBBE90" w:rsidR="007F2BC1" w:rsidRPr="00950F7B" w:rsidRDefault="007F2BC1" w:rsidP="007F2BC1">
      <w:pPr>
        <w:pStyle w:val="Default"/>
        <w:rPr>
          <w:color w:val="auto"/>
        </w:rPr>
      </w:pPr>
      <w:r w:rsidRPr="00950F7B">
        <w:rPr>
          <w:rFonts w:ascii="Garamond" w:hAnsi="Garamond" w:cs="Garamond"/>
          <w:color w:val="auto"/>
        </w:rPr>
        <w:t xml:space="preserve"> </w:t>
      </w:r>
    </w:p>
    <w:p w14:paraId="6C654C56" w14:textId="77777777" w:rsidR="00B11471" w:rsidRDefault="00B11471" w:rsidP="007F2BC1">
      <w:pPr>
        <w:pStyle w:val="Default"/>
        <w:rPr>
          <w:rFonts w:ascii="Garamond" w:hAnsi="Garamond" w:cs="Garamond"/>
          <w:color w:val="auto"/>
        </w:rPr>
        <w:sectPr w:rsidR="00B11471" w:rsidSect="003B0E0C">
          <w:pgSz w:w="15840" w:h="12240" w:orient="landscape"/>
          <w:pgMar w:top="1080" w:right="1440" w:bottom="1080" w:left="1440" w:header="720" w:footer="720" w:gutter="0"/>
          <w:cols w:space="720"/>
          <w:docGrid w:linePitch="360"/>
        </w:sectPr>
      </w:pPr>
    </w:p>
    <w:p w14:paraId="67EA2712" w14:textId="052E72DC" w:rsidR="007F2BC1" w:rsidRDefault="007F2BC1" w:rsidP="007F2BC1">
      <w:pPr>
        <w:pStyle w:val="Default"/>
        <w:rPr>
          <w:rFonts w:ascii="Garamond" w:hAnsi="Garamond" w:cs="Garamond"/>
          <w:color w:val="auto"/>
        </w:rPr>
      </w:pPr>
      <w:r w:rsidRPr="00950F7B">
        <w:rPr>
          <w:rFonts w:ascii="Garamond" w:hAnsi="Garamond" w:cs="Garamond"/>
          <w:color w:val="auto"/>
        </w:rPr>
        <w:lastRenderedPageBreak/>
        <w:t>4. Program / Sub-program Gross Impacts Table</w:t>
      </w:r>
      <w:r w:rsidR="00F13F91">
        <w:rPr>
          <w:rFonts w:ascii="Garamond" w:hAnsi="Garamond" w:cs="Garamond"/>
          <w:color w:val="auto"/>
        </w:rPr>
        <w:t>:</w:t>
      </w:r>
      <w:r w:rsidRPr="00950F7B">
        <w:rPr>
          <w:rFonts w:ascii="Garamond" w:hAnsi="Garamond" w:cs="Garamond"/>
          <w:color w:val="auto"/>
        </w:rPr>
        <w:t xml:space="preserve"> </w:t>
      </w:r>
    </w:p>
    <w:tbl>
      <w:tblPr>
        <w:tblpPr w:leftFromText="180" w:rightFromText="180" w:vertAnchor="text" w:horzAnchor="margin" w:tblpY="94"/>
        <w:tblW w:w="9288" w:type="dxa"/>
        <w:tblLayout w:type="fixed"/>
        <w:tblCellMar>
          <w:left w:w="0" w:type="dxa"/>
          <w:right w:w="0" w:type="dxa"/>
        </w:tblCellMar>
        <w:tblLook w:val="01E0" w:firstRow="1" w:lastRow="1" w:firstColumn="1" w:lastColumn="1" w:noHBand="0" w:noVBand="0"/>
      </w:tblPr>
      <w:tblGrid>
        <w:gridCol w:w="1883"/>
        <w:gridCol w:w="1481"/>
        <w:gridCol w:w="1481"/>
        <w:gridCol w:w="1481"/>
        <w:gridCol w:w="1481"/>
        <w:gridCol w:w="1481"/>
      </w:tblGrid>
      <w:tr w:rsidR="008D764E" w14:paraId="5B242C56" w14:textId="77777777" w:rsidTr="00AC0A41">
        <w:trPr>
          <w:trHeight w:val="250"/>
        </w:trPr>
        <w:tc>
          <w:tcPr>
            <w:tcW w:w="188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4B77E9" w14:textId="12479EB8" w:rsidR="008D764E" w:rsidRPr="00CF3A32" w:rsidRDefault="00A81B0E" w:rsidP="00AC0A41">
            <w:pPr>
              <w:pStyle w:val="TableParagraph"/>
              <w:spacing w:before="120" w:after="120"/>
              <w:jc w:val="center"/>
              <w:rPr>
                <w:rFonts w:asciiTheme="minorHAnsi" w:eastAsia="Times New Roman" w:hAnsiTheme="minorHAnsi" w:cs="Times New Roman"/>
              </w:rPr>
            </w:pPr>
            <w:r>
              <w:rPr>
                <w:rFonts w:asciiTheme="minorHAnsi" w:hAnsiTheme="minorHAnsi"/>
                <w:b/>
                <w:spacing w:val="-1"/>
              </w:rPr>
              <w:t>AESAP</w:t>
            </w:r>
            <w:r w:rsidR="008D764E">
              <w:rPr>
                <w:rFonts w:asciiTheme="minorHAnsi" w:hAnsiTheme="minorHAnsi"/>
                <w:b/>
                <w:spacing w:val="-1"/>
              </w:rPr>
              <w:t xml:space="preserve"> </w:t>
            </w:r>
            <w:r w:rsidR="008D764E" w:rsidRPr="00CF3A32">
              <w:rPr>
                <w:rFonts w:asciiTheme="minorHAnsi" w:hAnsiTheme="minorHAnsi"/>
                <w:b/>
                <w:spacing w:val="-1"/>
              </w:rPr>
              <w:t>Goals</w:t>
            </w:r>
          </w:p>
        </w:tc>
        <w:tc>
          <w:tcPr>
            <w:tcW w:w="148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4428FF" w14:textId="77777777" w:rsidR="008D764E" w:rsidRPr="00CF3A32" w:rsidRDefault="008D764E" w:rsidP="00AC0A41">
            <w:pPr>
              <w:pStyle w:val="TableParagraph"/>
              <w:spacing w:before="120" w:after="120"/>
              <w:jc w:val="center"/>
              <w:rPr>
                <w:rFonts w:asciiTheme="minorHAnsi" w:hAnsiTheme="minorHAnsi"/>
                <w:b/>
              </w:rPr>
            </w:pPr>
            <w:r>
              <w:rPr>
                <w:rFonts w:asciiTheme="minorHAnsi" w:hAnsiTheme="minorHAnsi"/>
                <w:b/>
              </w:rPr>
              <w:t xml:space="preserve">2020 </w:t>
            </w:r>
            <w:r w:rsidRPr="00CF3A32">
              <w:rPr>
                <w:rFonts w:asciiTheme="minorHAnsi" w:hAnsiTheme="minorHAnsi"/>
                <w:b/>
              </w:rPr>
              <w:t>Totals</w:t>
            </w:r>
          </w:p>
        </w:tc>
        <w:tc>
          <w:tcPr>
            <w:tcW w:w="148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E58225" w14:textId="77777777" w:rsidR="008D764E" w:rsidRPr="00CF3A32" w:rsidRDefault="008D764E" w:rsidP="00AC0A41">
            <w:pPr>
              <w:pStyle w:val="TableParagraph"/>
              <w:spacing w:before="120" w:after="120"/>
              <w:jc w:val="center"/>
              <w:rPr>
                <w:rFonts w:asciiTheme="minorHAnsi" w:hAnsiTheme="minorHAnsi"/>
                <w:b/>
              </w:rPr>
            </w:pPr>
            <w:r>
              <w:rPr>
                <w:rFonts w:asciiTheme="minorHAnsi" w:hAnsiTheme="minorHAnsi"/>
                <w:b/>
              </w:rPr>
              <w:t xml:space="preserve">2021 </w:t>
            </w:r>
            <w:r w:rsidRPr="00CF3A32">
              <w:rPr>
                <w:rFonts w:asciiTheme="minorHAnsi" w:hAnsiTheme="minorHAnsi"/>
                <w:b/>
              </w:rPr>
              <w:t>Totals</w:t>
            </w:r>
          </w:p>
        </w:tc>
        <w:tc>
          <w:tcPr>
            <w:tcW w:w="148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BEB888" w14:textId="77777777" w:rsidR="008D764E" w:rsidRDefault="008D764E" w:rsidP="00AC0A41">
            <w:pPr>
              <w:pStyle w:val="TableParagraph"/>
              <w:spacing w:before="120" w:after="120"/>
              <w:jc w:val="center"/>
              <w:rPr>
                <w:rFonts w:asciiTheme="minorHAnsi" w:hAnsiTheme="minorHAnsi"/>
                <w:b/>
              </w:rPr>
            </w:pPr>
            <w:r>
              <w:rPr>
                <w:rFonts w:asciiTheme="minorHAnsi" w:hAnsiTheme="minorHAnsi"/>
                <w:b/>
              </w:rPr>
              <w:t xml:space="preserve">2022 </w:t>
            </w:r>
            <w:r w:rsidRPr="00CF3A32">
              <w:rPr>
                <w:rFonts w:asciiTheme="minorHAnsi" w:hAnsiTheme="minorHAnsi"/>
                <w:b/>
              </w:rPr>
              <w:t>Totals</w:t>
            </w:r>
          </w:p>
        </w:tc>
        <w:tc>
          <w:tcPr>
            <w:tcW w:w="148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BA133F" w14:textId="77777777" w:rsidR="008D764E" w:rsidRPr="00CF3A32" w:rsidRDefault="008D764E" w:rsidP="00AC0A41">
            <w:pPr>
              <w:pStyle w:val="TableParagraph"/>
              <w:spacing w:before="120" w:after="120"/>
              <w:jc w:val="center"/>
              <w:rPr>
                <w:rFonts w:asciiTheme="minorHAnsi" w:hAnsiTheme="minorHAnsi"/>
                <w:b/>
              </w:rPr>
            </w:pPr>
            <w:r>
              <w:rPr>
                <w:rFonts w:asciiTheme="minorHAnsi" w:hAnsiTheme="minorHAnsi"/>
                <w:b/>
              </w:rPr>
              <w:t>2023 Totals</w:t>
            </w:r>
          </w:p>
        </w:tc>
        <w:tc>
          <w:tcPr>
            <w:tcW w:w="148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81298F" w14:textId="77777777" w:rsidR="008D764E" w:rsidRPr="00CF3A32" w:rsidRDefault="008D764E" w:rsidP="00AC0A41">
            <w:pPr>
              <w:pStyle w:val="TableParagraph"/>
              <w:spacing w:before="120" w:after="120"/>
              <w:jc w:val="center"/>
              <w:rPr>
                <w:rFonts w:asciiTheme="minorHAnsi" w:hAnsiTheme="minorHAnsi"/>
                <w:b/>
              </w:rPr>
            </w:pPr>
            <w:r w:rsidRPr="00CF3A32">
              <w:rPr>
                <w:rFonts w:asciiTheme="minorHAnsi" w:hAnsiTheme="minorHAnsi"/>
                <w:b/>
              </w:rPr>
              <w:t>Total</w:t>
            </w:r>
          </w:p>
        </w:tc>
      </w:tr>
      <w:tr w:rsidR="008D764E" w:rsidRPr="008B5913" w14:paraId="7A5C226F" w14:textId="77777777" w:rsidTr="00AC0A41">
        <w:trPr>
          <w:trHeight w:val="12"/>
        </w:trPr>
        <w:tc>
          <w:tcPr>
            <w:tcW w:w="1883" w:type="dxa"/>
            <w:tcBorders>
              <w:top w:val="single" w:sz="8" w:space="0" w:color="000000"/>
              <w:left w:val="single" w:sz="8" w:space="0" w:color="000000"/>
              <w:bottom w:val="single" w:sz="8" w:space="0" w:color="000000"/>
              <w:right w:val="single" w:sz="8" w:space="0" w:color="000000"/>
            </w:tcBorders>
            <w:vAlign w:val="center"/>
          </w:tcPr>
          <w:p w14:paraId="15C5D3D5" w14:textId="2FA99776" w:rsidR="008D764E" w:rsidRPr="00BE3FD7" w:rsidRDefault="004E4883" w:rsidP="00AC0A41">
            <w:pPr>
              <w:pStyle w:val="TableParagraph"/>
              <w:spacing w:line="274" w:lineRule="exact"/>
              <w:ind w:left="95" w:right="-105"/>
              <w:rPr>
                <w:rFonts w:asciiTheme="minorHAnsi" w:eastAsia="Times New Roman" w:hAnsiTheme="minorHAnsi" w:cs="Times New Roman"/>
              </w:rPr>
            </w:pPr>
            <w:r>
              <w:rPr>
                <w:rFonts w:asciiTheme="minorHAnsi" w:hAnsiTheme="minorHAnsi"/>
              </w:rPr>
              <w:t xml:space="preserve">Gross </w:t>
            </w:r>
            <w:r w:rsidR="008D764E" w:rsidRPr="00BE3FD7">
              <w:rPr>
                <w:rFonts w:asciiTheme="minorHAnsi" w:hAnsiTheme="minorHAnsi"/>
              </w:rPr>
              <w:t>Energy</w:t>
            </w:r>
            <w:r w:rsidR="008D764E" w:rsidRPr="00BE3FD7">
              <w:rPr>
                <w:rFonts w:asciiTheme="minorHAnsi" w:hAnsiTheme="minorHAnsi"/>
                <w:spacing w:val="-8"/>
              </w:rPr>
              <w:t xml:space="preserve"> </w:t>
            </w:r>
            <w:r w:rsidR="008D764E" w:rsidRPr="00BE3FD7">
              <w:rPr>
                <w:rFonts w:asciiTheme="minorHAnsi" w:hAnsiTheme="minorHAnsi"/>
                <w:spacing w:val="-1"/>
              </w:rPr>
              <w:t>Savings</w:t>
            </w:r>
            <w:r w:rsidR="008D764E">
              <w:rPr>
                <w:rFonts w:asciiTheme="minorHAnsi" w:hAnsiTheme="minorHAnsi"/>
              </w:rPr>
              <w:t xml:space="preserve"> </w:t>
            </w:r>
            <w:r w:rsidR="008D764E" w:rsidRPr="00BE3FD7">
              <w:rPr>
                <w:rFonts w:asciiTheme="minorHAnsi" w:hAnsiTheme="minorHAnsi"/>
              </w:rPr>
              <w:t>(kWh)</w:t>
            </w:r>
          </w:p>
        </w:tc>
        <w:tc>
          <w:tcPr>
            <w:tcW w:w="1481" w:type="dxa"/>
            <w:tcBorders>
              <w:top w:val="single" w:sz="8" w:space="0" w:color="000000"/>
              <w:left w:val="single" w:sz="8" w:space="0" w:color="000000"/>
              <w:bottom w:val="single" w:sz="8" w:space="0" w:color="000000"/>
              <w:right w:val="single" w:sz="8" w:space="0" w:color="000000"/>
            </w:tcBorders>
            <w:vAlign w:val="center"/>
          </w:tcPr>
          <w:p w14:paraId="615C5E21" w14:textId="77777777" w:rsidR="008D764E" w:rsidRPr="00402C8E" w:rsidRDefault="008D764E" w:rsidP="00AC0A41">
            <w:pPr>
              <w:jc w:val="center"/>
              <w:rPr>
                <w:rFonts w:cs="Times New Roman"/>
              </w:rPr>
            </w:pPr>
            <w:r w:rsidRPr="00402C8E">
              <w:rPr>
                <w:rFonts w:cs="Times New Roman"/>
              </w:rPr>
              <w:t>0</w:t>
            </w:r>
          </w:p>
        </w:tc>
        <w:tc>
          <w:tcPr>
            <w:tcW w:w="1481" w:type="dxa"/>
            <w:tcBorders>
              <w:top w:val="single" w:sz="8" w:space="0" w:color="000000"/>
              <w:left w:val="single" w:sz="8" w:space="0" w:color="000000"/>
              <w:bottom w:val="single" w:sz="8" w:space="0" w:color="000000"/>
              <w:right w:val="single" w:sz="8" w:space="0" w:color="000000"/>
            </w:tcBorders>
            <w:vAlign w:val="center"/>
          </w:tcPr>
          <w:p w14:paraId="2F940A55" w14:textId="5AF1E13B" w:rsidR="008D764E" w:rsidRPr="00402C8E" w:rsidRDefault="00402C8E" w:rsidP="00AC0A41">
            <w:pPr>
              <w:jc w:val="center"/>
              <w:rPr>
                <w:rFonts w:cs="Times New Roman"/>
              </w:rPr>
            </w:pPr>
            <w:r w:rsidRPr="00402C8E">
              <w:rPr>
                <w:rFonts w:cs="Times New Roman"/>
              </w:rPr>
              <w:t>14,524,867</w:t>
            </w:r>
          </w:p>
        </w:tc>
        <w:tc>
          <w:tcPr>
            <w:tcW w:w="1481" w:type="dxa"/>
            <w:tcBorders>
              <w:top w:val="single" w:sz="8" w:space="0" w:color="000000"/>
              <w:left w:val="single" w:sz="8" w:space="0" w:color="000000"/>
              <w:bottom w:val="single" w:sz="8" w:space="0" w:color="000000"/>
              <w:right w:val="single" w:sz="8" w:space="0" w:color="000000"/>
            </w:tcBorders>
            <w:vAlign w:val="center"/>
          </w:tcPr>
          <w:p w14:paraId="5D5D1965" w14:textId="68EBE416" w:rsidR="008D764E" w:rsidRPr="00402C8E" w:rsidRDefault="00402C8E" w:rsidP="00AC0A41">
            <w:pPr>
              <w:jc w:val="center"/>
              <w:rPr>
                <w:rFonts w:cs="Times New Roman"/>
              </w:rPr>
            </w:pPr>
            <w:r w:rsidRPr="00402C8E">
              <w:rPr>
                <w:rFonts w:cs="Times New Roman"/>
              </w:rPr>
              <w:t>31,014,598</w:t>
            </w:r>
          </w:p>
        </w:tc>
        <w:tc>
          <w:tcPr>
            <w:tcW w:w="1481" w:type="dxa"/>
            <w:tcBorders>
              <w:top w:val="single" w:sz="8" w:space="0" w:color="000000"/>
              <w:left w:val="single" w:sz="8" w:space="0" w:color="000000"/>
              <w:bottom w:val="single" w:sz="8" w:space="0" w:color="000000"/>
              <w:right w:val="single" w:sz="8" w:space="0" w:color="000000"/>
            </w:tcBorders>
            <w:vAlign w:val="center"/>
          </w:tcPr>
          <w:p w14:paraId="57A43293" w14:textId="36303822" w:rsidR="008D764E" w:rsidRPr="00402C8E" w:rsidRDefault="00402C8E" w:rsidP="00AC0A41">
            <w:pPr>
              <w:jc w:val="center"/>
              <w:rPr>
                <w:rFonts w:cs="Times New Roman"/>
              </w:rPr>
            </w:pPr>
            <w:r w:rsidRPr="00402C8E">
              <w:rPr>
                <w:rFonts w:cs="Times New Roman"/>
              </w:rPr>
              <w:t>47,351,321</w:t>
            </w:r>
          </w:p>
        </w:tc>
        <w:tc>
          <w:tcPr>
            <w:tcW w:w="1481" w:type="dxa"/>
            <w:tcBorders>
              <w:top w:val="single" w:sz="8" w:space="0" w:color="000000"/>
              <w:left w:val="single" w:sz="8" w:space="0" w:color="000000"/>
              <w:bottom w:val="single" w:sz="8" w:space="0" w:color="000000"/>
              <w:right w:val="single" w:sz="8" w:space="0" w:color="000000"/>
            </w:tcBorders>
            <w:vAlign w:val="center"/>
          </w:tcPr>
          <w:p w14:paraId="5135070B" w14:textId="7247C7DF" w:rsidR="008D764E" w:rsidRPr="00402C8E" w:rsidRDefault="00402C8E" w:rsidP="00AC0A41">
            <w:pPr>
              <w:jc w:val="center"/>
              <w:rPr>
                <w:rFonts w:cs="Times New Roman"/>
                <w:b/>
                <w:bCs/>
              </w:rPr>
            </w:pPr>
            <w:r w:rsidRPr="00402C8E">
              <w:rPr>
                <w:rFonts w:cs="Times New Roman"/>
                <w:b/>
                <w:bCs/>
              </w:rPr>
              <w:t>92,890,786</w:t>
            </w:r>
          </w:p>
        </w:tc>
      </w:tr>
      <w:tr w:rsidR="008D764E" w14:paraId="208AE463" w14:textId="77777777" w:rsidTr="00AC0A41">
        <w:trPr>
          <w:trHeight w:val="12"/>
        </w:trPr>
        <w:tc>
          <w:tcPr>
            <w:tcW w:w="1883" w:type="dxa"/>
            <w:tcBorders>
              <w:top w:val="single" w:sz="8" w:space="0" w:color="000000"/>
              <w:left w:val="single" w:sz="8" w:space="0" w:color="000000"/>
              <w:bottom w:val="single" w:sz="8" w:space="0" w:color="000000"/>
              <w:right w:val="single" w:sz="8" w:space="0" w:color="000000"/>
            </w:tcBorders>
            <w:vAlign w:val="center"/>
          </w:tcPr>
          <w:p w14:paraId="3BA1FCAD" w14:textId="46235329" w:rsidR="008D764E" w:rsidRPr="00545173" w:rsidRDefault="004E4883" w:rsidP="00AC0A41">
            <w:pPr>
              <w:pStyle w:val="TableParagraph"/>
              <w:spacing w:line="237" w:lineRule="auto"/>
              <w:ind w:left="95"/>
              <w:rPr>
                <w:rFonts w:asciiTheme="minorHAnsi" w:eastAsia="Times New Roman" w:hAnsiTheme="minorHAnsi" w:cs="Times New Roman"/>
              </w:rPr>
            </w:pPr>
            <w:r>
              <w:rPr>
                <w:rFonts w:asciiTheme="minorHAnsi" w:hAnsiTheme="minorHAnsi"/>
              </w:rPr>
              <w:t xml:space="preserve">Gross </w:t>
            </w:r>
            <w:r w:rsidR="008D764E" w:rsidRPr="00BE3FD7">
              <w:rPr>
                <w:rFonts w:asciiTheme="minorHAnsi" w:hAnsiTheme="minorHAnsi"/>
              </w:rPr>
              <w:t>Energy</w:t>
            </w:r>
            <w:r w:rsidR="008D764E">
              <w:rPr>
                <w:rFonts w:asciiTheme="minorHAnsi" w:hAnsiTheme="minorHAnsi"/>
                <w:spacing w:val="-8"/>
              </w:rPr>
              <w:t xml:space="preserve"> </w:t>
            </w:r>
            <w:r w:rsidR="008D764E" w:rsidRPr="00BE3FD7">
              <w:rPr>
                <w:rFonts w:asciiTheme="minorHAnsi" w:hAnsiTheme="minorHAnsi"/>
                <w:spacing w:val="-1"/>
              </w:rPr>
              <w:t>Savings (Therms)</w:t>
            </w:r>
            <w:r w:rsidR="008D764E" w:rsidRPr="00545173">
              <w:rPr>
                <w:rFonts w:asciiTheme="minorHAnsi" w:hAnsiTheme="minorHAnsi"/>
                <w:spacing w:val="22"/>
              </w:rPr>
              <w:t xml:space="preserve"> </w:t>
            </w:r>
          </w:p>
        </w:tc>
        <w:tc>
          <w:tcPr>
            <w:tcW w:w="1481" w:type="dxa"/>
            <w:tcBorders>
              <w:top w:val="single" w:sz="8" w:space="0" w:color="000000"/>
              <w:left w:val="single" w:sz="8" w:space="0" w:color="000000"/>
              <w:bottom w:val="single" w:sz="8" w:space="0" w:color="000000"/>
              <w:right w:val="single" w:sz="8" w:space="0" w:color="000000"/>
            </w:tcBorders>
            <w:vAlign w:val="center"/>
          </w:tcPr>
          <w:p w14:paraId="50675888" w14:textId="77777777" w:rsidR="008D764E" w:rsidRPr="00402C8E" w:rsidRDefault="008D764E" w:rsidP="00AC0A41">
            <w:pPr>
              <w:jc w:val="center"/>
              <w:rPr>
                <w:rFonts w:cs="Times New Roman"/>
              </w:rPr>
            </w:pPr>
            <w:r w:rsidRPr="00402C8E">
              <w:rPr>
                <w:rFonts w:cs="Times New Roman"/>
              </w:rPr>
              <w:t>0</w:t>
            </w:r>
          </w:p>
        </w:tc>
        <w:tc>
          <w:tcPr>
            <w:tcW w:w="1481" w:type="dxa"/>
            <w:tcBorders>
              <w:top w:val="single" w:sz="8" w:space="0" w:color="000000"/>
              <w:left w:val="single" w:sz="8" w:space="0" w:color="000000"/>
              <w:bottom w:val="single" w:sz="8" w:space="0" w:color="000000"/>
              <w:right w:val="single" w:sz="8" w:space="0" w:color="000000"/>
            </w:tcBorders>
            <w:vAlign w:val="center"/>
          </w:tcPr>
          <w:p w14:paraId="27BC3186" w14:textId="67D8448E" w:rsidR="008D764E" w:rsidRPr="00402C8E" w:rsidRDefault="00402C8E" w:rsidP="00AC0A41">
            <w:pPr>
              <w:jc w:val="center"/>
              <w:rPr>
                <w:rFonts w:cs="Times New Roman"/>
              </w:rPr>
            </w:pPr>
            <w:r w:rsidRPr="00402C8E">
              <w:rPr>
                <w:rFonts w:cs="Times New Roman"/>
              </w:rPr>
              <w:t>81,389</w:t>
            </w:r>
          </w:p>
        </w:tc>
        <w:tc>
          <w:tcPr>
            <w:tcW w:w="1481" w:type="dxa"/>
            <w:tcBorders>
              <w:top w:val="single" w:sz="8" w:space="0" w:color="000000"/>
              <w:left w:val="single" w:sz="8" w:space="0" w:color="000000"/>
              <w:bottom w:val="single" w:sz="8" w:space="0" w:color="000000"/>
              <w:right w:val="single" w:sz="8" w:space="0" w:color="000000"/>
            </w:tcBorders>
            <w:vAlign w:val="center"/>
          </w:tcPr>
          <w:p w14:paraId="79C4AC88" w14:textId="75EEC3AD" w:rsidR="008D764E" w:rsidRPr="00402C8E" w:rsidRDefault="00402C8E" w:rsidP="00AC0A41">
            <w:pPr>
              <w:jc w:val="center"/>
              <w:rPr>
                <w:rFonts w:cs="Times New Roman"/>
              </w:rPr>
            </w:pPr>
            <w:r w:rsidRPr="00402C8E">
              <w:rPr>
                <w:rFonts w:cs="Times New Roman"/>
              </w:rPr>
              <w:t>124,583</w:t>
            </w:r>
          </w:p>
        </w:tc>
        <w:tc>
          <w:tcPr>
            <w:tcW w:w="1481" w:type="dxa"/>
            <w:tcBorders>
              <w:top w:val="single" w:sz="8" w:space="0" w:color="000000"/>
              <w:left w:val="single" w:sz="8" w:space="0" w:color="000000"/>
              <w:bottom w:val="single" w:sz="8" w:space="0" w:color="000000"/>
              <w:right w:val="single" w:sz="8" w:space="0" w:color="000000"/>
            </w:tcBorders>
            <w:vAlign w:val="center"/>
          </w:tcPr>
          <w:p w14:paraId="091BC8DB" w14:textId="4B3E02D4" w:rsidR="008D764E" w:rsidRPr="00402C8E" w:rsidRDefault="00402C8E" w:rsidP="00AC0A41">
            <w:pPr>
              <w:jc w:val="center"/>
              <w:rPr>
                <w:rFonts w:cs="Times New Roman"/>
              </w:rPr>
            </w:pPr>
            <w:r w:rsidRPr="00402C8E">
              <w:rPr>
                <w:rFonts w:cs="Times New Roman"/>
              </w:rPr>
              <w:t>183,077</w:t>
            </w:r>
          </w:p>
        </w:tc>
        <w:tc>
          <w:tcPr>
            <w:tcW w:w="1481" w:type="dxa"/>
            <w:tcBorders>
              <w:top w:val="single" w:sz="8" w:space="0" w:color="000000"/>
              <w:left w:val="single" w:sz="8" w:space="0" w:color="000000"/>
              <w:bottom w:val="single" w:sz="8" w:space="0" w:color="000000"/>
              <w:right w:val="single" w:sz="8" w:space="0" w:color="000000"/>
            </w:tcBorders>
            <w:vAlign w:val="center"/>
          </w:tcPr>
          <w:p w14:paraId="09F53F52" w14:textId="7BA253A2" w:rsidR="008D764E" w:rsidRPr="00402C8E" w:rsidRDefault="00402C8E" w:rsidP="00AC0A41">
            <w:pPr>
              <w:jc w:val="center"/>
              <w:rPr>
                <w:rFonts w:cs="Times New Roman"/>
                <w:b/>
                <w:bCs/>
              </w:rPr>
            </w:pPr>
            <w:r w:rsidRPr="00402C8E">
              <w:rPr>
                <w:rFonts w:cs="Times New Roman"/>
                <w:b/>
                <w:bCs/>
              </w:rPr>
              <w:t>389,049</w:t>
            </w:r>
          </w:p>
        </w:tc>
      </w:tr>
      <w:tr w:rsidR="008D764E" w14:paraId="06E7B5C2" w14:textId="77777777" w:rsidTr="00AC0A41">
        <w:trPr>
          <w:trHeight w:val="12"/>
        </w:trPr>
        <w:tc>
          <w:tcPr>
            <w:tcW w:w="1883" w:type="dxa"/>
            <w:tcBorders>
              <w:top w:val="single" w:sz="8" w:space="0" w:color="000000"/>
              <w:left w:val="single" w:sz="8" w:space="0" w:color="000000"/>
              <w:bottom w:val="single" w:sz="8" w:space="0" w:color="000000"/>
              <w:right w:val="single" w:sz="8" w:space="0" w:color="000000"/>
            </w:tcBorders>
            <w:vAlign w:val="center"/>
          </w:tcPr>
          <w:p w14:paraId="0B687B44" w14:textId="5539954E" w:rsidR="008D764E" w:rsidRPr="00545173" w:rsidRDefault="004E4883" w:rsidP="00AC0A41">
            <w:pPr>
              <w:pStyle w:val="TableParagraph"/>
              <w:spacing w:line="237" w:lineRule="auto"/>
              <w:ind w:left="95" w:right="-105"/>
              <w:rPr>
                <w:rFonts w:asciiTheme="minorHAnsi" w:hAnsiTheme="minorHAnsi"/>
              </w:rPr>
            </w:pPr>
            <w:r>
              <w:rPr>
                <w:rFonts w:asciiTheme="minorHAnsi" w:hAnsiTheme="minorHAnsi"/>
              </w:rPr>
              <w:t>Gross</w:t>
            </w:r>
            <w:r w:rsidRPr="00BE3FD7">
              <w:rPr>
                <w:rFonts w:asciiTheme="minorHAnsi" w:hAnsiTheme="minorHAnsi"/>
              </w:rPr>
              <w:t xml:space="preserve"> </w:t>
            </w:r>
            <w:r w:rsidR="008D764E" w:rsidRPr="00BE3FD7">
              <w:rPr>
                <w:rFonts w:asciiTheme="minorHAnsi" w:hAnsiTheme="minorHAnsi"/>
              </w:rPr>
              <w:t>Energy Savings (kW)</w:t>
            </w:r>
          </w:p>
        </w:tc>
        <w:tc>
          <w:tcPr>
            <w:tcW w:w="1481" w:type="dxa"/>
            <w:tcBorders>
              <w:top w:val="single" w:sz="8" w:space="0" w:color="000000"/>
              <w:left w:val="single" w:sz="8" w:space="0" w:color="000000"/>
              <w:bottom w:val="single" w:sz="8" w:space="0" w:color="000000"/>
              <w:right w:val="single" w:sz="8" w:space="0" w:color="000000"/>
            </w:tcBorders>
            <w:vAlign w:val="center"/>
          </w:tcPr>
          <w:p w14:paraId="424D9640" w14:textId="77777777" w:rsidR="008D764E" w:rsidRPr="00402C8E" w:rsidRDefault="008D764E" w:rsidP="00AC0A41">
            <w:pPr>
              <w:jc w:val="center"/>
              <w:rPr>
                <w:rFonts w:cs="Times New Roman"/>
              </w:rPr>
            </w:pPr>
            <w:r w:rsidRPr="00402C8E">
              <w:rPr>
                <w:rFonts w:cs="Times New Roman"/>
              </w:rPr>
              <w:t>0</w:t>
            </w:r>
          </w:p>
        </w:tc>
        <w:tc>
          <w:tcPr>
            <w:tcW w:w="1481" w:type="dxa"/>
            <w:tcBorders>
              <w:top w:val="single" w:sz="8" w:space="0" w:color="000000"/>
              <w:left w:val="single" w:sz="8" w:space="0" w:color="000000"/>
              <w:bottom w:val="single" w:sz="8" w:space="0" w:color="000000"/>
              <w:right w:val="single" w:sz="8" w:space="0" w:color="000000"/>
            </w:tcBorders>
            <w:vAlign w:val="center"/>
          </w:tcPr>
          <w:p w14:paraId="3589F815" w14:textId="496F4D53" w:rsidR="008D764E" w:rsidRPr="00402C8E" w:rsidRDefault="00402C8E" w:rsidP="00AC0A41">
            <w:pPr>
              <w:jc w:val="center"/>
              <w:rPr>
                <w:rFonts w:cs="Times New Roman"/>
              </w:rPr>
            </w:pPr>
            <w:r w:rsidRPr="00402C8E">
              <w:rPr>
                <w:rFonts w:cs="Times New Roman"/>
              </w:rPr>
              <w:t>1,579</w:t>
            </w:r>
          </w:p>
        </w:tc>
        <w:tc>
          <w:tcPr>
            <w:tcW w:w="1481" w:type="dxa"/>
            <w:tcBorders>
              <w:top w:val="single" w:sz="8" w:space="0" w:color="000000"/>
              <w:left w:val="single" w:sz="8" w:space="0" w:color="000000"/>
              <w:bottom w:val="single" w:sz="8" w:space="0" w:color="000000"/>
              <w:right w:val="single" w:sz="8" w:space="0" w:color="000000"/>
            </w:tcBorders>
            <w:vAlign w:val="center"/>
          </w:tcPr>
          <w:p w14:paraId="08FF0783" w14:textId="507E10A1" w:rsidR="008D764E" w:rsidRPr="00402C8E" w:rsidRDefault="00402C8E" w:rsidP="00AC0A41">
            <w:pPr>
              <w:jc w:val="center"/>
              <w:rPr>
                <w:rFonts w:cs="Times New Roman"/>
              </w:rPr>
            </w:pPr>
            <w:r w:rsidRPr="00402C8E">
              <w:rPr>
                <w:rFonts w:cs="Times New Roman"/>
              </w:rPr>
              <w:t>3,371</w:t>
            </w:r>
          </w:p>
        </w:tc>
        <w:tc>
          <w:tcPr>
            <w:tcW w:w="1481" w:type="dxa"/>
            <w:tcBorders>
              <w:top w:val="single" w:sz="8" w:space="0" w:color="000000"/>
              <w:left w:val="single" w:sz="8" w:space="0" w:color="000000"/>
              <w:bottom w:val="single" w:sz="8" w:space="0" w:color="000000"/>
              <w:right w:val="single" w:sz="8" w:space="0" w:color="000000"/>
            </w:tcBorders>
            <w:vAlign w:val="center"/>
          </w:tcPr>
          <w:p w14:paraId="3ACFE3D0" w14:textId="5E5A37BE" w:rsidR="008D764E" w:rsidRPr="00402C8E" w:rsidRDefault="00402C8E" w:rsidP="00AC0A41">
            <w:pPr>
              <w:jc w:val="center"/>
              <w:rPr>
                <w:rFonts w:cs="Times New Roman"/>
              </w:rPr>
            </w:pPr>
            <w:r w:rsidRPr="00402C8E">
              <w:rPr>
                <w:rFonts w:cs="Times New Roman"/>
              </w:rPr>
              <w:t>5 ,147</w:t>
            </w:r>
          </w:p>
        </w:tc>
        <w:tc>
          <w:tcPr>
            <w:tcW w:w="1481" w:type="dxa"/>
            <w:tcBorders>
              <w:top w:val="single" w:sz="8" w:space="0" w:color="000000"/>
              <w:left w:val="single" w:sz="8" w:space="0" w:color="000000"/>
              <w:bottom w:val="single" w:sz="8" w:space="0" w:color="000000"/>
              <w:right w:val="single" w:sz="8" w:space="0" w:color="000000"/>
            </w:tcBorders>
            <w:vAlign w:val="center"/>
          </w:tcPr>
          <w:p w14:paraId="54637761" w14:textId="40FD3778" w:rsidR="008D764E" w:rsidRPr="00402C8E" w:rsidRDefault="00402C8E" w:rsidP="00AC0A41">
            <w:pPr>
              <w:jc w:val="center"/>
              <w:rPr>
                <w:rFonts w:cs="Times New Roman"/>
                <w:b/>
                <w:bCs/>
              </w:rPr>
            </w:pPr>
            <w:r w:rsidRPr="00402C8E">
              <w:rPr>
                <w:rFonts w:cs="Times New Roman"/>
                <w:b/>
                <w:bCs/>
              </w:rPr>
              <w:t>10,096</w:t>
            </w:r>
          </w:p>
        </w:tc>
      </w:tr>
    </w:tbl>
    <w:p w14:paraId="70BA2DE8" w14:textId="77777777" w:rsidR="005741E6" w:rsidRPr="00950F7B" w:rsidRDefault="005741E6" w:rsidP="007F2BC1">
      <w:pPr>
        <w:pStyle w:val="Default"/>
        <w:rPr>
          <w:color w:val="auto"/>
        </w:rPr>
      </w:pPr>
    </w:p>
    <w:p w14:paraId="6ACE90A6" w14:textId="77777777" w:rsidR="00B11471" w:rsidRDefault="00B11471" w:rsidP="00CC49F2">
      <w:pPr>
        <w:pStyle w:val="Default"/>
        <w:rPr>
          <w:rFonts w:ascii="Garamond" w:hAnsi="Garamond" w:cs="Garamond"/>
          <w:color w:val="auto"/>
        </w:rPr>
      </w:pPr>
    </w:p>
    <w:p w14:paraId="640098A1" w14:textId="77777777" w:rsidR="00B11471" w:rsidRDefault="00B11471" w:rsidP="00CC49F2">
      <w:pPr>
        <w:pStyle w:val="Default"/>
        <w:rPr>
          <w:rFonts w:ascii="Garamond" w:hAnsi="Garamond" w:cs="Garamond"/>
          <w:color w:val="auto"/>
        </w:rPr>
      </w:pPr>
    </w:p>
    <w:p w14:paraId="53E014D4" w14:textId="77777777" w:rsidR="00B11471" w:rsidRDefault="00B11471" w:rsidP="00CC49F2">
      <w:pPr>
        <w:pStyle w:val="Default"/>
        <w:rPr>
          <w:rFonts w:ascii="Garamond" w:hAnsi="Garamond" w:cs="Garamond"/>
          <w:color w:val="auto"/>
        </w:rPr>
      </w:pPr>
    </w:p>
    <w:p w14:paraId="5302F545" w14:textId="77777777" w:rsidR="00B11471" w:rsidRDefault="00B11471" w:rsidP="00CC49F2">
      <w:pPr>
        <w:pStyle w:val="Default"/>
        <w:rPr>
          <w:rFonts w:ascii="Garamond" w:hAnsi="Garamond" w:cs="Garamond"/>
          <w:color w:val="auto"/>
        </w:rPr>
      </w:pPr>
    </w:p>
    <w:p w14:paraId="09C19089" w14:textId="77777777" w:rsidR="00B11471" w:rsidRDefault="00B11471" w:rsidP="00CC49F2">
      <w:pPr>
        <w:pStyle w:val="Default"/>
        <w:rPr>
          <w:rFonts w:ascii="Garamond" w:hAnsi="Garamond" w:cs="Garamond"/>
          <w:color w:val="auto"/>
        </w:rPr>
      </w:pPr>
    </w:p>
    <w:p w14:paraId="66BE8FD7" w14:textId="77777777" w:rsidR="00B11471" w:rsidRDefault="00B11471" w:rsidP="00CC49F2">
      <w:pPr>
        <w:pStyle w:val="Default"/>
        <w:rPr>
          <w:rFonts w:ascii="Garamond" w:hAnsi="Garamond" w:cs="Garamond"/>
          <w:color w:val="auto"/>
        </w:rPr>
      </w:pPr>
    </w:p>
    <w:p w14:paraId="38D7179C" w14:textId="77777777" w:rsidR="00B11471" w:rsidRDefault="00B11471" w:rsidP="00CC49F2">
      <w:pPr>
        <w:pStyle w:val="Default"/>
        <w:rPr>
          <w:rFonts w:ascii="Garamond" w:hAnsi="Garamond" w:cs="Garamond"/>
          <w:color w:val="auto"/>
        </w:rPr>
      </w:pPr>
    </w:p>
    <w:p w14:paraId="6E14F082" w14:textId="77777777" w:rsidR="00B11471" w:rsidRDefault="00B11471" w:rsidP="00CC49F2">
      <w:pPr>
        <w:pStyle w:val="Default"/>
        <w:rPr>
          <w:rFonts w:ascii="Garamond" w:hAnsi="Garamond" w:cs="Garamond"/>
          <w:color w:val="auto"/>
        </w:rPr>
      </w:pPr>
    </w:p>
    <w:p w14:paraId="1CE9C10C" w14:textId="3FF30353" w:rsidR="007F2BC1" w:rsidRPr="00CC49F2" w:rsidRDefault="007F2BC1" w:rsidP="00CC49F2">
      <w:pPr>
        <w:pStyle w:val="Default"/>
        <w:rPr>
          <w:color w:val="auto"/>
        </w:rPr>
      </w:pPr>
      <w:r w:rsidRPr="00950F7B">
        <w:rPr>
          <w:rFonts w:ascii="Garamond" w:hAnsi="Garamond" w:cs="Garamond"/>
          <w:color w:val="auto"/>
        </w:rPr>
        <w:t>5. Program Cost</w:t>
      </w:r>
      <w:r w:rsidR="0005131F">
        <w:rPr>
          <w:rFonts w:ascii="Garamond" w:hAnsi="Garamond" w:cs="Garamond"/>
          <w:color w:val="auto"/>
        </w:rPr>
        <w:t>-</w:t>
      </w:r>
      <w:r w:rsidRPr="00950F7B">
        <w:rPr>
          <w:rFonts w:ascii="Garamond" w:hAnsi="Garamond" w:cs="Garamond"/>
          <w:color w:val="auto"/>
        </w:rPr>
        <w:t>Effectiveness (</w:t>
      </w:r>
      <w:r w:rsidRPr="00CC49F2">
        <w:rPr>
          <w:rFonts w:ascii="Garamond" w:hAnsi="Garamond" w:cs="Garamond"/>
          <w:color w:val="auto"/>
        </w:rPr>
        <w:t>TRC)</w:t>
      </w:r>
      <w:r w:rsidR="00F13F91" w:rsidRPr="00CC49F2">
        <w:rPr>
          <w:rFonts w:ascii="Garamond" w:hAnsi="Garamond" w:cs="Garamond"/>
          <w:color w:val="auto"/>
        </w:rPr>
        <w:t>:</w:t>
      </w:r>
      <w:r w:rsidRPr="00CC49F2">
        <w:rPr>
          <w:rFonts w:ascii="Garamond" w:hAnsi="Garamond" w:cs="Garamond"/>
          <w:color w:val="auto"/>
        </w:rPr>
        <w:t xml:space="preserve"> </w:t>
      </w:r>
      <w:r w:rsidR="00C116B3">
        <w:rPr>
          <w:rFonts w:ascii="Garamond" w:hAnsi="Garamond" w:cs="Garamond"/>
          <w:color w:val="auto"/>
        </w:rPr>
        <w:t xml:space="preserve"> </w:t>
      </w:r>
      <w:r w:rsidR="00A00468">
        <w:rPr>
          <w:rFonts w:ascii="Garamond" w:hAnsi="Garamond" w:cs="Garamond"/>
          <w:color w:val="auto"/>
        </w:rPr>
        <w:t>2.30 No Admin</w:t>
      </w:r>
      <w:r w:rsidR="005076F7">
        <w:rPr>
          <w:rFonts w:ascii="Garamond" w:hAnsi="Garamond" w:cs="Garamond"/>
          <w:color w:val="auto"/>
        </w:rPr>
        <w:t xml:space="preserve">. 1.26 </w:t>
      </w:r>
      <w:r w:rsidR="00C8767A">
        <w:rPr>
          <w:rFonts w:ascii="Garamond" w:hAnsi="Garamond" w:cs="Garamond"/>
          <w:color w:val="auto"/>
        </w:rPr>
        <w:t>With Admin</w:t>
      </w:r>
    </w:p>
    <w:p w14:paraId="4E9FA53A" w14:textId="614E75DE" w:rsidR="007F2BC1" w:rsidRPr="00CC49F2" w:rsidRDefault="007F2BC1" w:rsidP="00CC49F2">
      <w:pPr>
        <w:pStyle w:val="Default"/>
        <w:rPr>
          <w:color w:val="auto"/>
        </w:rPr>
      </w:pPr>
      <w:r w:rsidRPr="00CC49F2">
        <w:rPr>
          <w:rFonts w:ascii="Garamond" w:hAnsi="Garamond" w:cs="Garamond"/>
          <w:color w:val="auto"/>
        </w:rPr>
        <w:t>6. Program Cost</w:t>
      </w:r>
      <w:r w:rsidR="0005131F">
        <w:rPr>
          <w:rFonts w:ascii="Garamond" w:hAnsi="Garamond" w:cs="Garamond"/>
          <w:color w:val="auto"/>
        </w:rPr>
        <w:t>-</w:t>
      </w:r>
      <w:r w:rsidRPr="00CC49F2">
        <w:rPr>
          <w:rFonts w:ascii="Garamond" w:hAnsi="Garamond" w:cs="Garamond"/>
          <w:color w:val="auto"/>
        </w:rPr>
        <w:t>Effectiveness (PAC)</w:t>
      </w:r>
      <w:r w:rsidR="00F13F91" w:rsidRPr="00CC49F2">
        <w:rPr>
          <w:rFonts w:ascii="Garamond" w:hAnsi="Garamond" w:cs="Garamond"/>
          <w:color w:val="auto"/>
        </w:rPr>
        <w:t>:</w:t>
      </w:r>
      <w:r w:rsidRPr="00CC49F2">
        <w:rPr>
          <w:rFonts w:ascii="Garamond" w:hAnsi="Garamond" w:cs="Garamond"/>
          <w:color w:val="auto"/>
        </w:rPr>
        <w:t xml:space="preserve"> </w:t>
      </w:r>
      <w:r w:rsidR="00C116B3">
        <w:rPr>
          <w:rFonts w:ascii="Garamond" w:hAnsi="Garamond" w:cs="Garamond"/>
          <w:color w:val="auto"/>
        </w:rPr>
        <w:t xml:space="preserve"> </w:t>
      </w:r>
      <w:r w:rsidR="003B40A3" w:rsidRPr="00CC49F2">
        <w:rPr>
          <w:rFonts w:ascii="Garamond" w:hAnsi="Garamond" w:cs="Garamond"/>
          <w:color w:val="auto"/>
        </w:rPr>
        <w:t>1.</w:t>
      </w:r>
      <w:r w:rsidR="00CC49F2" w:rsidRPr="00CC49F2">
        <w:rPr>
          <w:rFonts w:ascii="Garamond" w:hAnsi="Garamond" w:cs="Garamond"/>
          <w:color w:val="auto"/>
        </w:rPr>
        <w:t>46</w:t>
      </w:r>
    </w:p>
    <w:p w14:paraId="5D9280EE" w14:textId="4DBD5F34" w:rsidR="007F2BC1" w:rsidRPr="00950F7B" w:rsidRDefault="007F2BC1" w:rsidP="007F2BC1">
      <w:pPr>
        <w:pStyle w:val="Default"/>
        <w:rPr>
          <w:color w:val="auto"/>
        </w:rPr>
      </w:pPr>
      <w:r w:rsidRPr="00950F7B">
        <w:rPr>
          <w:rFonts w:ascii="Garamond" w:hAnsi="Garamond" w:cs="Garamond"/>
          <w:color w:val="auto"/>
        </w:rPr>
        <w:t>7. Type of Program Implementer</w:t>
      </w:r>
      <w:r w:rsidR="00F13F91">
        <w:rPr>
          <w:rFonts w:ascii="Garamond" w:hAnsi="Garamond" w:cs="Garamond"/>
          <w:color w:val="auto"/>
        </w:rPr>
        <w:t>:</w:t>
      </w:r>
      <w:r w:rsidR="003B40A3">
        <w:rPr>
          <w:rFonts w:ascii="Garamond" w:hAnsi="Garamond" w:cs="Garamond"/>
          <w:color w:val="auto"/>
        </w:rPr>
        <w:t xml:space="preserve"> </w:t>
      </w:r>
      <w:r w:rsidR="00C116B3">
        <w:rPr>
          <w:rFonts w:ascii="Garamond" w:hAnsi="Garamond" w:cs="Garamond"/>
          <w:color w:val="auto"/>
        </w:rPr>
        <w:t xml:space="preserve"> </w:t>
      </w:r>
      <w:r w:rsidR="009B77B5" w:rsidRPr="001D3CB7">
        <w:rPr>
          <w:rFonts w:ascii="Garamond" w:hAnsi="Garamond" w:cs="Garamond"/>
          <w:color w:val="auto"/>
        </w:rPr>
        <w:t>Third-party delivered</w:t>
      </w:r>
      <w:r w:rsidRPr="001D3CB7">
        <w:rPr>
          <w:rFonts w:ascii="Garamond" w:hAnsi="Garamond" w:cs="Garamond"/>
          <w:color w:val="auto"/>
        </w:rPr>
        <w:t xml:space="preserve"> </w:t>
      </w:r>
    </w:p>
    <w:p w14:paraId="586902A6" w14:textId="7922F928" w:rsidR="007F2BC1" w:rsidRPr="00950F7B" w:rsidRDefault="007F2BC1" w:rsidP="007F2BC1">
      <w:pPr>
        <w:pStyle w:val="Default"/>
        <w:rPr>
          <w:color w:val="auto"/>
        </w:rPr>
      </w:pPr>
      <w:r w:rsidRPr="00950F7B">
        <w:rPr>
          <w:rFonts w:ascii="Garamond" w:hAnsi="Garamond" w:cs="Garamond"/>
          <w:color w:val="auto"/>
        </w:rPr>
        <w:t>8. Market Sector</w:t>
      </w:r>
      <w:r w:rsidR="00F13F91">
        <w:rPr>
          <w:rFonts w:ascii="Garamond" w:hAnsi="Garamond" w:cs="Garamond"/>
          <w:color w:val="auto"/>
        </w:rPr>
        <w:t>:</w:t>
      </w:r>
      <w:r w:rsidRPr="00950F7B">
        <w:rPr>
          <w:rFonts w:ascii="Garamond" w:hAnsi="Garamond" w:cs="Garamond"/>
          <w:color w:val="auto"/>
        </w:rPr>
        <w:t xml:space="preserve"> </w:t>
      </w:r>
      <w:r w:rsidR="00C116B3">
        <w:rPr>
          <w:rFonts w:ascii="Garamond" w:hAnsi="Garamond" w:cs="Garamond"/>
          <w:color w:val="auto"/>
        </w:rPr>
        <w:t xml:space="preserve"> </w:t>
      </w:r>
      <w:r w:rsidR="00D12FE8">
        <w:rPr>
          <w:rFonts w:ascii="Garamond" w:hAnsi="Garamond" w:cs="Garamond"/>
          <w:color w:val="auto"/>
        </w:rPr>
        <w:t>Agricultural</w:t>
      </w:r>
    </w:p>
    <w:p w14:paraId="4F97927D" w14:textId="74158883" w:rsidR="007F2BC1" w:rsidRPr="002B4296" w:rsidRDefault="007F2BC1" w:rsidP="007F2BC1">
      <w:pPr>
        <w:pStyle w:val="Default"/>
        <w:rPr>
          <w:color w:val="auto"/>
        </w:rPr>
      </w:pPr>
      <w:r w:rsidRPr="00950F7B">
        <w:rPr>
          <w:rFonts w:ascii="Garamond" w:hAnsi="Garamond" w:cs="Garamond"/>
          <w:color w:val="auto"/>
        </w:rPr>
        <w:t>9. Program</w:t>
      </w:r>
      <w:r w:rsidR="00F13F91">
        <w:rPr>
          <w:rFonts w:ascii="Garamond" w:hAnsi="Garamond" w:cs="Garamond"/>
          <w:color w:val="auto"/>
        </w:rPr>
        <w:t>:</w:t>
      </w:r>
      <w:r w:rsidRPr="00950F7B">
        <w:rPr>
          <w:rFonts w:ascii="Garamond" w:hAnsi="Garamond" w:cs="Garamond"/>
          <w:color w:val="auto"/>
        </w:rPr>
        <w:t xml:space="preserve"> </w:t>
      </w:r>
      <w:r w:rsidR="00C116B3">
        <w:rPr>
          <w:rFonts w:ascii="Garamond" w:hAnsi="Garamond" w:cs="Garamond"/>
          <w:color w:val="auto"/>
        </w:rPr>
        <w:t xml:space="preserve"> </w:t>
      </w:r>
      <w:r w:rsidR="00282805" w:rsidRPr="002B4296">
        <w:rPr>
          <w:rFonts w:ascii="Garamond" w:hAnsi="Garamond" w:cs="Garamond"/>
          <w:color w:val="auto"/>
        </w:rPr>
        <w:t>Resource</w:t>
      </w:r>
    </w:p>
    <w:p w14:paraId="407E694D" w14:textId="0AC2D29C" w:rsidR="004755ED" w:rsidRDefault="007F2BC1" w:rsidP="36017642">
      <w:pPr>
        <w:rPr>
          <w:rFonts w:ascii="Garamond" w:hAnsi="Garamond" w:cs="Garamond"/>
          <w:sz w:val="24"/>
          <w:szCs w:val="24"/>
        </w:rPr>
      </w:pPr>
      <w:r w:rsidRPr="61FBFBD7">
        <w:rPr>
          <w:rFonts w:ascii="Garamond" w:hAnsi="Garamond" w:cs="Garamond"/>
          <w:sz w:val="24"/>
          <w:szCs w:val="24"/>
        </w:rPr>
        <w:t xml:space="preserve">10. Market channel(s) </w:t>
      </w:r>
      <w:r w:rsidR="00C116B3" w:rsidRPr="61FBFBD7">
        <w:rPr>
          <w:rFonts w:ascii="Garamond" w:hAnsi="Garamond" w:cs="Garamond"/>
          <w:sz w:val="24"/>
          <w:szCs w:val="24"/>
        </w:rPr>
        <w:t>&amp;</w:t>
      </w:r>
      <w:r w:rsidRPr="61FBFBD7">
        <w:rPr>
          <w:rFonts w:ascii="Garamond" w:hAnsi="Garamond" w:cs="Garamond"/>
          <w:sz w:val="24"/>
          <w:szCs w:val="24"/>
        </w:rPr>
        <w:t xml:space="preserve"> Intervention Strategies, </w:t>
      </w:r>
      <w:r w:rsidR="00C116B3" w:rsidRPr="61FBFBD7">
        <w:rPr>
          <w:rFonts w:ascii="Garamond" w:hAnsi="Garamond" w:cs="Garamond"/>
          <w:sz w:val="24"/>
          <w:szCs w:val="24"/>
        </w:rPr>
        <w:t>C</w:t>
      </w:r>
      <w:r w:rsidRPr="61FBFBD7">
        <w:rPr>
          <w:rFonts w:ascii="Garamond" w:hAnsi="Garamond" w:cs="Garamond"/>
          <w:sz w:val="24"/>
          <w:szCs w:val="24"/>
        </w:rPr>
        <w:t xml:space="preserve">ampaign </w:t>
      </w:r>
      <w:r w:rsidR="00C116B3" w:rsidRPr="61FBFBD7">
        <w:rPr>
          <w:rFonts w:ascii="Garamond" w:hAnsi="Garamond" w:cs="Garamond"/>
          <w:sz w:val="24"/>
          <w:szCs w:val="24"/>
        </w:rPr>
        <w:t>G</w:t>
      </w:r>
      <w:r w:rsidRPr="61FBFBD7">
        <w:rPr>
          <w:rFonts w:ascii="Garamond" w:hAnsi="Garamond" w:cs="Garamond"/>
          <w:sz w:val="24"/>
          <w:szCs w:val="24"/>
        </w:rPr>
        <w:t xml:space="preserve">oals, and </w:t>
      </w:r>
      <w:r w:rsidR="00C116B3" w:rsidRPr="61FBFBD7">
        <w:rPr>
          <w:rFonts w:ascii="Garamond" w:hAnsi="Garamond" w:cs="Garamond"/>
          <w:sz w:val="24"/>
          <w:szCs w:val="24"/>
        </w:rPr>
        <w:t>T</w:t>
      </w:r>
      <w:r w:rsidRPr="61FBFBD7">
        <w:rPr>
          <w:rFonts w:ascii="Garamond" w:hAnsi="Garamond" w:cs="Garamond"/>
          <w:sz w:val="24"/>
          <w:szCs w:val="24"/>
        </w:rPr>
        <w:t>imeline.</w:t>
      </w:r>
      <w:r w:rsidR="00F13F91" w:rsidRPr="61FBFBD7">
        <w:rPr>
          <w:rFonts w:ascii="Garamond" w:hAnsi="Garamond" w:cs="Garamond"/>
          <w:sz w:val="24"/>
          <w:szCs w:val="24"/>
        </w:rPr>
        <w:t xml:space="preserve">: </w:t>
      </w:r>
      <w:r w:rsidR="00C116B3" w:rsidRPr="61FBFBD7">
        <w:rPr>
          <w:rFonts w:ascii="Garamond" w:hAnsi="Garamond" w:cs="Garamond"/>
          <w:sz w:val="24"/>
          <w:szCs w:val="24"/>
        </w:rPr>
        <w:t xml:space="preserve"> </w:t>
      </w:r>
      <w:r w:rsidR="00F50D74" w:rsidRPr="61FBFBD7">
        <w:rPr>
          <w:rFonts w:ascii="Garamond" w:hAnsi="Garamond" w:cs="Garamond"/>
          <w:sz w:val="24"/>
          <w:szCs w:val="24"/>
        </w:rPr>
        <w:t>Downstream</w:t>
      </w:r>
      <w:r w:rsidR="00C116B3" w:rsidRPr="61FBFBD7">
        <w:rPr>
          <w:rFonts w:ascii="Garamond" w:hAnsi="Garamond" w:cs="Garamond"/>
          <w:sz w:val="24"/>
          <w:szCs w:val="24"/>
        </w:rPr>
        <w:t xml:space="preserve"> / </w:t>
      </w:r>
      <w:r w:rsidR="00F50D74" w:rsidRPr="61FBFBD7">
        <w:rPr>
          <w:rFonts w:ascii="Garamond" w:hAnsi="Garamond" w:cs="Garamond"/>
          <w:sz w:val="24"/>
          <w:szCs w:val="24"/>
        </w:rPr>
        <w:t>Incentive, Financing</w:t>
      </w:r>
      <w:r w:rsidR="00C116B3" w:rsidRPr="61FBFBD7">
        <w:rPr>
          <w:rFonts w:ascii="Garamond" w:hAnsi="Garamond" w:cs="Garamond"/>
          <w:sz w:val="24"/>
          <w:szCs w:val="24"/>
        </w:rPr>
        <w:t>, Technical Assistance</w:t>
      </w:r>
    </w:p>
    <w:p w14:paraId="748DE083" w14:textId="184C016C" w:rsidR="000C6CDB" w:rsidRDefault="00A90E3E" w:rsidP="00F957DF">
      <w:pPr>
        <w:pStyle w:val="ListParagraph"/>
        <w:numPr>
          <w:ilvl w:val="0"/>
          <w:numId w:val="0"/>
        </w:numPr>
        <w:ind w:left="360"/>
      </w:pPr>
      <w:r>
        <w:t>Intervention Strategies</w:t>
      </w:r>
      <w:r w:rsidR="00284F16">
        <w:t xml:space="preserve"> are</w:t>
      </w:r>
      <w:r w:rsidR="005E38B8">
        <w:t xml:space="preserve"> </w:t>
      </w:r>
      <w:r w:rsidR="00850F80">
        <w:t xml:space="preserve">about understanding the customer’s </w:t>
      </w:r>
      <w:r w:rsidR="00EE29CD">
        <w:t>obstacles</w:t>
      </w:r>
      <w:r w:rsidR="00816F10">
        <w:t xml:space="preserve">, </w:t>
      </w:r>
      <w:r w:rsidR="006E3032">
        <w:t xml:space="preserve">needs and </w:t>
      </w:r>
      <w:r w:rsidR="00850F80">
        <w:t>motivations.</w:t>
      </w:r>
      <w:r w:rsidR="00C9526D">
        <w:t xml:space="preserve"> </w:t>
      </w:r>
      <w:r w:rsidR="006916B0" w:rsidRPr="006916B0">
        <w:t xml:space="preserve">AESAP incorporates several </w:t>
      </w:r>
      <w:r w:rsidR="00306271">
        <w:t xml:space="preserve">intervention </w:t>
      </w:r>
      <w:r w:rsidR="006916B0" w:rsidRPr="006916B0">
        <w:t>strateg</w:t>
      </w:r>
      <w:r w:rsidR="00306271">
        <w:t>ies</w:t>
      </w:r>
      <w:r w:rsidR="006916B0" w:rsidRPr="006916B0">
        <w:t xml:space="preserve"> to address observed customer challenges while promoting cost-efficient savings attainment:</w:t>
      </w:r>
    </w:p>
    <w:p w14:paraId="16081266" w14:textId="2CA4C5B2" w:rsidR="00A8171F" w:rsidRDefault="004268C6" w:rsidP="00F957DF">
      <w:pPr>
        <w:pStyle w:val="ListParagraph"/>
        <w:numPr>
          <w:ilvl w:val="0"/>
          <w:numId w:val="10"/>
        </w:numPr>
      </w:pPr>
      <w:r>
        <w:t>D</w:t>
      </w:r>
      <w:r w:rsidR="001E1FEC" w:rsidRPr="001E1FEC">
        <w:t>emographic</w:t>
      </w:r>
      <w:r>
        <w:t>/</w:t>
      </w:r>
      <w:r w:rsidR="002841EE" w:rsidRPr="002841EE">
        <w:t>Geograph</w:t>
      </w:r>
      <w:r>
        <w:t>ic</w:t>
      </w:r>
      <w:r w:rsidR="002841EE" w:rsidRPr="002841EE">
        <w:t xml:space="preserve"> –</w:t>
      </w:r>
      <w:r w:rsidR="000F1E8F">
        <w:t xml:space="preserve"> </w:t>
      </w:r>
      <w:r w:rsidR="002841EE" w:rsidRPr="002841EE">
        <w:t>We use business/ag data resources, including census surveys, to identify demographic characteristics and businesses in each targeted HTR community.</w:t>
      </w:r>
    </w:p>
    <w:p w14:paraId="4DD5CFEC" w14:textId="2C29ED4C" w:rsidR="00383E9E" w:rsidRDefault="009F0D60" w:rsidP="00F957DF">
      <w:pPr>
        <w:pStyle w:val="ListParagraph"/>
        <w:numPr>
          <w:ilvl w:val="0"/>
          <w:numId w:val="10"/>
        </w:numPr>
      </w:pPr>
      <w:r w:rsidRPr="009F0D60">
        <w:t xml:space="preserve">Language Barriers – Program materials and communication avenues </w:t>
      </w:r>
      <w:r w:rsidR="00EA7659">
        <w:t>will be</w:t>
      </w:r>
      <w:r w:rsidRPr="009F0D60">
        <w:t xml:space="preserve"> offered in a Spanish and Hmong to educate and recruit all eligible customers.</w:t>
      </w:r>
    </w:p>
    <w:p w14:paraId="0D382002" w14:textId="77777777" w:rsidR="00786FF4" w:rsidRDefault="00786FF4" w:rsidP="00F957DF">
      <w:pPr>
        <w:pStyle w:val="ListParagraph"/>
        <w:numPr>
          <w:ilvl w:val="0"/>
          <w:numId w:val="10"/>
        </w:numPr>
      </w:pPr>
      <w:r w:rsidRPr="0036411D">
        <w:t>Lack of desire to make investment in leased/rented facility – We work with</w:t>
      </w:r>
      <w:r>
        <w:t xml:space="preserve"> </w:t>
      </w:r>
      <w:r w:rsidRPr="00D52189">
        <w:t>farm bureaus and other entities to identify potential leased facility opportunity and host joint events in HTR communities to share information about the numerous benefits of energy efficient investment in leased facilities.</w:t>
      </w:r>
    </w:p>
    <w:p w14:paraId="6CC55BA5" w14:textId="314F3BFF" w:rsidR="00775559" w:rsidRDefault="007556FF" w:rsidP="00F957DF">
      <w:pPr>
        <w:pStyle w:val="ListParagraph"/>
        <w:numPr>
          <w:ilvl w:val="0"/>
          <w:numId w:val="10"/>
        </w:numPr>
      </w:pPr>
      <w:r w:rsidRPr="007556FF">
        <w:t>Lack of resources to identify/plan/implement energy conservation measures – Multilingual educational materials, tutorials and informational videos and other resources</w:t>
      </w:r>
      <w:r w:rsidR="0095383B">
        <w:t xml:space="preserve"> </w:t>
      </w:r>
      <w:r w:rsidR="00EA7659">
        <w:t>will</w:t>
      </w:r>
      <w:r w:rsidR="0095383B">
        <w:t xml:space="preserve"> </w:t>
      </w:r>
      <w:r w:rsidR="00EA7659">
        <w:t xml:space="preserve">be </w:t>
      </w:r>
      <w:r w:rsidRPr="007556FF">
        <w:t xml:space="preserve">available on the program website and through customer tools and calculators </w:t>
      </w:r>
    </w:p>
    <w:p w14:paraId="20BB23ED" w14:textId="77777777" w:rsidR="00786FF4" w:rsidRDefault="00786FF4" w:rsidP="00F957DF">
      <w:pPr>
        <w:pStyle w:val="ListParagraph"/>
        <w:numPr>
          <w:ilvl w:val="0"/>
          <w:numId w:val="10"/>
        </w:numPr>
      </w:pPr>
      <w:r w:rsidRPr="00775559">
        <w:t xml:space="preserve">Access to capital markets/financing vehicles – Prospective agricultural customers </w:t>
      </w:r>
      <w:r>
        <w:t>are</w:t>
      </w:r>
      <w:r w:rsidRPr="00775559">
        <w:t xml:space="preserve"> provided with information, guidance, and tools on how to use PG&amp;E’s On-Bill Financing services to fund energy efficiency upgrades, as well as other financing options to facilitate participation </w:t>
      </w:r>
    </w:p>
    <w:p w14:paraId="56C48345" w14:textId="77777777" w:rsidR="00AA65EC" w:rsidRDefault="00AA65EC" w:rsidP="00F957DF">
      <w:pPr>
        <w:pStyle w:val="ListParagraph"/>
        <w:numPr>
          <w:ilvl w:val="0"/>
          <w:numId w:val="0"/>
        </w:numPr>
        <w:ind w:left="360"/>
      </w:pPr>
    </w:p>
    <w:p w14:paraId="66BB42C6" w14:textId="4AB7E386" w:rsidR="007278A4" w:rsidRPr="00B02AAC" w:rsidRDefault="00C70D91" w:rsidP="00F957DF">
      <w:pPr>
        <w:pStyle w:val="ListParagraph"/>
        <w:numPr>
          <w:ilvl w:val="0"/>
          <w:numId w:val="0"/>
        </w:numPr>
        <w:ind w:left="360"/>
        <w:rPr>
          <w:rFonts w:cs="Garamond"/>
        </w:rPr>
      </w:pPr>
      <w:r w:rsidRPr="00C70D91">
        <w:rPr>
          <w:rFonts w:cs="Garamond"/>
        </w:rPr>
        <w:t>Campaign</w:t>
      </w:r>
      <w:r w:rsidR="00BD07B5" w:rsidRPr="00C70D91">
        <w:rPr>
          <w:rFonts w:cs="Garamond"/>
        </w:rPr>
        <w:t xml:space="preserve"> Goals</w:t>
      </w:r>
      <w:r w:rsidRPr="00C70D91">
        <w:rPr>
          <w:rFonts w:cs="Garamond"/>
        </w:rPr>
        <w:t xml:space="preserve"> and Timeline</w:t>
      </w:r>
      <w:r w:rsidRPr="00B02AAC">
        <w:rPr>
          <w:rFonts w:cs="Garamond"/>
        </w:rPr>
        <w:t>:</w:t>
      </w:r>
      <w:r w:rsidR="00B02AAC">
        <w:rPr>
          <w:rFonts w:cs="Garamond"/>
        </w:rPr>
        <w:t xml:space="preserve"> In addition to financial </w:t>
      </w:r>
      <w:r w:rsidR="00427856">
        <w:rPr>
          <w:rFonts w:cs="Garamond"/>
        </w:rPr>
        <w:t>goals</w:t>
      </w:r>
      <w:r w:rsidR="00B02AAC">
        <w:rPr>
          <w:rFonts w:cs="Garamond"/>
        </w:rPr>
        <w:t xml:space="preserve"> </w:t>
      </w:r>
      <w:r w:rsidR="00212341">
        <w:rPr>
          <w:rFonts w:cs="Garamond"/>
        </w:rPr>
        <w:t>(</w:t>
      </w:r>
      <w:r w:rsidR="00B02AAC">
        <w:rPr>
          <w:rFonts w:cs="Garamond"/>
        </w:rPr>
        <w:t>above</w:t>
      </w:r>
      <w:r w:rsidR="00212341">
        <w:rPr>
          <w:rFonts w:cs="Garamond"/>
        </w:rPr>
        <w:t>)</w:t>
      </w:r>
      <w:r w:rsidR="00B02AAC">
        <w:rPr>
          <w:rFonts w:cs="Garamond"/>
        </w:rPr>
        <w:t xml:space="preserve"> AESAP</w:t>
      </w:r>
      <w:r w:rsidR="00241E56">
        <w:rPr>
          <w:rFonts w:cs="Garamond"/>
        </w:rPr>
        <w:t xml:space="preserve"> has</w:t>
      </w:r>
      <w:r w:rsidR="001859B0">
        <w:rPr>
          <w:rFonts w:cs="Garamond"/>
        </w:rPr>
        <w:t xml:space="preserve"> </w:t>
      </w:r>
      <w:r w:rsidR="00240CAD">
        <w:rPr>
          <w:rFonts w:cs="Garamond"/>
        </w:rPr>
        <w:t xml:space="preserve">campaign </w:t>
      </w:r>
      <w:r w:rsidR="001859B0">
        <w:rPr>
          <w:rFonts w:cs="Garamond"/>
        </w:rPr>
        <w:t>delivery goals</w:t>
      </w:r>
      <w:r w:rsidR="00813A14">
        <w:rPr>
          <w:rFonts w:cs="Garamond"/>
        </w:rPr>
        <w:t xml:space="preserve"> </w:t>
      </w:r>
      <w:r w:rsidR="00427856">
        <w:rPr>
          <w:rFonts w:cs="Garamond"/>
        </w:rPr>
        <w:t>outlined</w:t>
      </w:r>
      <w:r w:rsidR="00813A14">
        <w:rPr>
          <w:rFonts w:cs="Garamond"/>
        </w:rPr>
        <w:t xml:space="preserve"> below:</w:t>
      </w:r>
    </w:p>
    <w:tbl>
      <w:tblPr>
        <w:tblStyle w:val="HrztlTable1"/>
        <w:tblW w:w="0" w:type="auto"/>
        <w:tblInd w:w="0" w:type="dxa"/>
        <w:tblLayout w:type="fixed"/>
        <w:tblLook w:val="04A0" w:firstRow="1" w:lastRow="0" w:firstColumn="1" w:lastColumn="0" w:noHBand="0" w:noVBand="1"/>
      </w:tblPr>
      <w:tblGrid>
        <w:gridCol w:w="2335"/>
        <w:gridCol w:w="4500"/>
        <w:gridCol w:w="2790"/>
      </w:tblGrid>
      <w:tr w:rsidR="00AC0909" w:rsidRPr="003511D2" w14:paraId="309A196D" w14:textId="77777777" w:rsidTr="00F957DF">
        <w:trPr>
          <w:tblHeader/>
        </w:trPr>
        <w:tc>
          <w:tcPr>
            <w:tcW w:w="2335" w:type="dxa"/>
            <w:shd w:val="clear" w:color="auto" w:fill="003C71"/>
          </w:tcPr>
          <w:p w14:paraId="604728F1" w14:textId="2761ABA6" w:rsidR="00AC0909" w:rsidRPr="00F957DF" w:rsidRDefault="00FB546D" w:rsidP="00C43620">
            <w:pPr>
              <w:pStyle w:val="BodyText1"/>
              <w:rPr>
                <w:rFonts w:ascii="Garamond" w:hAnsi="Garamond"/>
                <w:color w:val="FFFFFF" w:themeColor="background1"/>
                <w:sz w:val="24"/>
              </w:rPr>
            </w:pPr>
            <w:r w:rsidRPr="00F957DF">
              <w:rPr>
                <w:rFonts w:ascii="Garamond" w:hAnsi="Garamond"/>
                <w:color w:val="FFFFFF" w:themeColor="background1"/>
                <w:sz w:val="24"/>
              </w:rPr>
              <w:t>Phase</w:t>
            </w:r>
          </w:p>
        </w:tc>
        <w:tc>
          <w:tcPr>
            <w:tcW w:w="4500" w:type="dxa"/>
            <w:shd w:val="clear" w:color="auto" w:fill="003C71"/>
          </w:tcPr>
          <w:p w14:paraId="24FA7CC5" w14:textId="2D1CC0DE" w:rsidR="00AC0909" w:rsidRPr="00F957DF" w:rsidRDefault="00FB546D" w:rsidP="00C43620">
            <w:pPr>
              <w:pStyle w:val="BodyText1"/>
              <w:rPr>
                <w:rFonts w:ascii="Garamond" w:hAnsi="Garamond"/>
                <w:color w:val="FFFFFF" w:themeColor="background1"/>
                <w:sz w:val="24"/>
              </w:rPr>
            </w:pPr>
            <w:r w:rsidRPr="00F957DF">
              <w:rPr>
                <w:rFonts w:ascii="Garamond" w:hAnsi="Garamond"/>
                <w:color w:val="FFFFFF" w:themeColor="background1"/>
                <w:sz w:val="24"/>
              </w:rPr>
              <w:t>Deliverables</w:t>
            </w:r>
          </w:p>
        </w:tc>
        <w:tc>
          <w:tcPr>
            <w:tcW w:w="2790" w:type="dxa"/>
            <w:shd w:val="clear" w:color="auto" w:fill="003C71"/>
          </w:tcPr>
          <w:p w14:paraId="38915587" w14:textId="7E018D82" w:rsidR="00AC0909" w:rsidRPr="00F957DF" w:rsidRDefault="006E42EA" w:rsidP="00C43620">
            <w:pPr>
              <w:pStyle w:val="BodyText1"/>
              <w:rPr>
                <w:rFonts w:ascii="Garamond" w:hAnsi="Garamond"/>
                <w:color w:val="FFFFFF" w:themeColor="background1"/>
                <w:sz w:val="24"/>
              </w:rPr>
            </w:pPr>
            <w:r w:rsidRPr="00F957DF">
              <w:rPr>
                <w:rFonts w:ascii="Garamond" w:hAnsi="Garamond"/>
                <w:color w:val="FFFFFF" w:themeColor="background1"/>
                <w:sz w:val="24"/>
              </w:rPr>
              <w:t>Dates/Duration</w:t>
            </w:r>
          </w:p>
        </w:tc>
      </w:tr>
      <w:tr w:rsidR="00AC0909" w:rsidRPr="003511D2" w14:paraId="11A84BA4" w14:textId="77777777" w:rsidTr="00F957DF">
        <w:tc>
          <w:tcPr>
            <w:tcW w:w="2335" w:type="dxa"/>
            <w:shd w:val="clear" w:color="auto" w:fill="003C71"/>
          </w:tcPr>
          <w:p w14:paraId="22CE2EDC" w14:textId="77777777" w:rsidR="00AC0909" w:rsidRPr="00F957DF" w:rsidRDefault="00AC0909" w:rsidP="00C43620">
            <w:pPr>
              <w:pStyle w:val="BodyText1"/>
              <w:rPr>
                <w:rFonts w:ascii="Garamond" w:hAnsi="Garamond"/>
                <w:color w:val="FFFFFF" w:themeColor="background1"/>
                <w:sz w:val="24"/>
              </w:rPr>
            </w:pPr>
            <w:r w:rsidRPr="00F957DF">
              <w:rPr>
                <w:rFonts w:ascii="Garamond" w:hAnsi="Garamond"/>
                <w:color w:val="FFFFFF" w:themeColor="background1"/>
                <w:sz w:val="24"/>
              </w:rPr>
              <w:t>Launch Readiness</w:t>
            </w:r>
          </w:p>
        </w:tc>
        <w:tc>
          <w:tcPr>
            <w:tcW w:w="4500" w:type="dxa"/>
          </w:tcPr>
          <w:p w14:paraId="46B688DC" w14:textId="77777777" w:rsidR="009D707A" w:rsidRPr="00F957DF" w:rsidRDefault="009D707A" w:rsidP="00F957DF">
            <w:pPr>
              <w:pStyle w:val="BulletLevel1"/>
              <w:numPr>
                <w:ilvl w:val="0"/>
                <w:numId w:val="9"/>
              </w:numPr>
              <w:rPr>
                <w:rFonts w:ascii="Garamond" w:hAnsi="Garamond"/>
                <w:sz w:val="24"/>
              </w:rPr>
            </w:pPr>
            <w:r w:rsidRPr="00F957DF">
              <w:rPr>
                <w:rFonts w:ascii="Garamond" w:hAnsi="Garamond"/>
                <w:sz w:val="24"/>
              </w:rPr>
              <w:t>Kickoff Meeting;</w:t>
            </w:r>
          </w:p>
          <w:p w14:paraId="63AD345D" w14:textId="77777777" w:rsidR="009D707A" w:rsidRPr="00F957DF" w:rsidRDefault="009D707A" w:rsidP="00F957DF">
            <w:pPr>
              <w:pStyle w:val="BulletLevel1"/>
              <w:numPr>
                <w:ilvl w:val="0"/>
                <w:numId w:val="9"/>
              </w:numPr>
              <w:rPr>
                <w:rFonts w:ascii="Garamond" w:hAnsi="Garamond"/>
                <w:sz w:val="24"/>
              </w:rPr>
            </w:pPr>
            <w:r w:rsidRPr="00F957DF">
              <w:rPr>
                <w:rFonts w:ascii="Garamond" w:hAnsi="Garamond"/>
                <w:sz w:val="24"/>
              </w:rPr>
              <w:t>Program Implementation Plan;</w:t>
            </w:r>
          </w:p>
          <w:p w14:paraId="06BEC8D4" w14:textId="77777777" w:rsidR="009D707A" w:rsidRPr="00F957DF" w:rsidRDefault="009D707A" w:rsidP="00F957DF">
            <w:pPr>
              <w:pStyle w:val="BulletLevel1"/>
              <w:numPr>
                <w:ilvl w:val="0"/>
                <w:numId w:val="9"/>
              </w:numPr>
              <w:rPr>
                <w:rFonts w:ascii="Garamond" w:hAnsi="Garamond"/>
                <w:sz w:val="24"/>
              </w:rPr>
            </w:pPr>
            <w:r w:rsidRPr="00F957DF">
              <w:rPr>
                <w:rFonts w:ascii="Garamond" w:hAnsi="Garamond"/>
                <w:sz w:val="24"/>
              </w:rPr>
              <w:t>Program Management Plan;</w:t>
            </w:r>
          </w:p>
          <w:p w14:paraId="602B15DA" w14:textId="77777777" w:rsidR="009D707A" w:rsidRPr="00F957DF" w:rsidRDefault="009D707A" w:rsidP="00F957DF">
            <w:pPr>
              <w:pStyle w:val="BulletLevel1"/>
              <w:numPr>
                <w:ilvl w:val="0"/>
                <w:numId w:val="9"/>
              </w:numPr>
              <w:rPr>
                <w:rFonts w:ascii="Garamond" w:hAnsi="Garamond"/>
                <w:sz w:val="24"/>
              </w:rPr>
            </w:pPr>
            <w:r w:rsidRPr="00F957DF">
              <w:rPr>
                <w:rFonts w:ascii="Garamond" w:hAnsi="Garamond"/>
                <w:sz w:val="24"/>
              </w:rPr>
              <w:t>Program Marketing Plan;</w:t>
            </w:r>
          </w:p>
          <w:p w14:paraId="6FF225CF" w14:textId="77777777" w:rsidR="009D707A" w:rsidRPr="00F957DF" w:rsidRDefault="009D707A" w:rsidP="00F957DF">
            <w:pPr>
              <w:pStyle w:val="BulletLevel1"/>
              <w:numPr>
                <w:ilvl w:val="0"/>
                <w:numId w:val="9"/>
              </w:numPr>
              <w:rPr>
                <w:rFonts w:ascii="Garamond" w:hAnsi="Garamond"/>
                <w:sz w:val="24"/>
              </w:rPr>
            </w:pPr>
            <w:r w:rsidRPr="00F957DF">
              <w:rPr>
                <w:rFonts w:ascii="Garamond" w:hAnsi="Garamond"/>
                <w:sz w:val="24"/>
              </w:rPr>
              <w:t>Develop Program Materials;</w:t>
            </w:r>
          </w:p>
          <w:p w14:paraId="37A15955" w14:textId="77777777" w:rsidR="009D707A" w:rsidRPr="00F957DF" w:rsidRDefault="009D707A" w:rsidP="00F957DF">
            <w:pPr>
              <w:pStyle w:val="BulletLevel1"/>
              <w:numPr>
                <w:ilvl w:val="0"/>
                <w:numId w:val="9"/>
              </w:numPr>
              <w:rPr>
                <w:rFonts w:ascii="Garamond" w:hAnsi="Garamond"/>
                <w:sz w:val="24"/>
              </w:rPr>
            </w:pPr>
            <w:r w:rsidRPr="00F957DF">
              <w:rPr>
                <w:rFonts w:ascii="Garamond" w:hAnsi="Garamond"/>
                <w:sz w:val="24"/>
              </w:rPr>
              <w:t>Setup IT Infrastructure;</w:t>
            </w:r>
          </w:p>
          <w:p w14:paraId="5AE8739B" w14:textId="43ECD158" w:rsidR="00AC0909" w:rsidRPr="00F957DF" w:rsidDel="00881DC5" w:rsidRDefault="009D707A" w:rsidP="00F957DF">
            <w:pPr>
              <w:pStyle w:val="BulletLevel1"/>
              <w:numPr>
                <w:ilvl w:val="0"/>
                <w:numId w:val="9"/>
              </w:numPr>
              <w:rPr>
                <w:rFonts w:ascii="Garamond" w:hAnsi="Garamond"/>
                <w:sz w:val="24"/>
              </w:rPr>
            </w:pPr>
            <w:r w:rsidRPr="00F957DF">
              <w:rPr>
                <w:rFonts w:ascii="Garamond" w:hAnsi="Garamond"/>
                <w:sz w:val="24"/>
              </w:rPr>
              <w:t>Supply Chain Setup</w:t>
            </w:r>
          </w:p>
        </w:tc>
        <w:tc>
          <w:tcPr>
            <w:tcW w:w="2790" w:type="dxa"/>
          </w:tcPr>
          <w:p w14:paraId="522307DF" w14:textId="77777777" w:rsidR="00152FC8" w:rsidRPr="00152FC8" w:rsidRDefault="00152FC8" w:rsidP="00152FC8">
            <w:pPr>
              <w:pStyle w:val="BodyText1"/>
              <w:rPr>
                <w:rFonts w:ascii="Garamond" w:hAnsi="Garamond"/>
                <w:sz w:val="24"/>
              </w:rPr>
            </w:pPr>
            <w:r w:rsidRPr="00152FC8">
              <w:rPr>
                <w:rFonts w:ascii="Garamond" w:hAnsi="Garamond"/>
                <w:sz w:val="24"/>
              </w:rPr>
              <w:t>10/01/2020 - 12/31/2020</w:t>
            </w:r>
          </w:p>
          <w:p w14:paraId="22A7D84D" w14:textId="24F1E967" w:rsidR="00AC0909" w:rsidRPr="00F957DF" w:rsidDel="00881DC5" w:rsidRDefault="00152FC8" w:rsidP="00152FC8">
            <w:pPr>
              <w:pStyle w:val="BodyText1"/>
              <w:rPr>
                <w:rFonts w:ascii="Garamond" w:hAnsi="Garamond"/>
                <w:sz w:val="24"/>
              </w:rPr>
            </w:pPr>
            <w:r w:rsidRPr="00152FC8">
              <w:rPr>
                <w:rFonts w:ascii="Garamond" w:hAnsi="Garamond"/>
                <w:sz w:val="24"/>
              </w:rPr>
              <w:t>91 Days</w:t>
            </w:r>
          </w:p>
        </w:tc>
      </w:tr>
      <w:tr w:rsidR="00AC0909" w:rsidRPr="003511D2" w14:paraId="4DEB9A73" w14:textId="77777777" w:rsidTr="00F957DF">
        <w:tc>
          <w:tcPr>
            <w:tcW w:w="2335" w:type="dxa"/>
            <w:shd w:val="clear" w:color="auto" w:fill="003C71"/>
          </w:tcPr>
          <w:p w14:paraId="006A8AB4" w14:textId="07C08398" w:rsidR="00AC0909" w:rsidRPr="00F957DF" w:rsidRDefault="00D979F5" w:rsidP="00C43620">
            <w:pPr>
              <w:pStyle w:val="BodyText1"/>
              <w:rPr>
                <w:rFonts w:ascii="Garamond" w:hAnsi="Garamond"/>
                <w:color w:val="FFFFFF" w:themeColor="background1"/>
                <w:sz w:val="24"/>
              </w:rPr>
            </w:pPr>
            <w:r w:rsidRPr="00D979F5">
              <w:rPr>
                <w:rFonts w:ascii="Garamond" w:hAnsi="Garamond"/>
                <w:color w:val="FFFFFF" w:themeColor="background1"/>
                <w:sz w:val="24"/>
              </w:rPr>
              <w:t>Program Ramp Up</w:t>
            </w:r>
          </w:p>
        </w:tc>
        <w:tc>
          <w:tcPr>
            <w:tcW w:w="4500" w:type="dxa"/>
          </w:tcPr>
          <w:p w14:paraId="4EE94CD2" w14:textId="77777777" w:rsidR="00530C65" w:rsidRPr="00530C65" w:rsidRDefault="00530C65" w:rsidP="00530C65">
            <w:pPr>
              <w:pStyle w:val="BulletLevel1"/>
              <w:rPr>
                <w:rFonts w:ascii="Garamond" w:hAnsi="Garamond"/>
                <w:sz w:val="24"/>
              </w:rPr>
            </w:pPr>
            <w:r w:rsidRPr="00530C65">
              <w:rPr>
                <w:rFonts w:ascii="Garamond" w:hAnsi="Garamond"/>
                <w:sz w:val="24"/>
              </w:rPr>
              <w:t>Marketing Plan Implemented;</w:t>
            </w:r>
          </w:p>
          <w:p w14:paraId="6734F758" w14:textId="77777777" w:rsidR="00530C65" w:rsidRPr="00530C65" w:rsidRDefault="00530C65" w:rsidP="00530C65">
            <w:pPr>
              <w:pStyle w:val="BulletLevel1"/>
              <w:rPr>
                <w:rFonts w:ascii="Garamond" w:hAnsi="Garamond"/>
                <w:sz w:val="24"/>
              </w:rPr>
            </w:pPr>
            <w:r w:rsidRPr="00530C65">
              <w:rPr>
                <w:rFonts w:ascii="Garamond" w:hAnsi="Garamond"/>
                <w:sz w:val="24"/>
              </w:rPr>
              <w:t>Pipeline Development;</w:t>
            </w:r>
          </w:p>
          <w:p w14:paraId="7601C9C0" w14:textId="77777777" w:rsidR="00530C65" w:rsidRPr="00530C65" w:rsidRDefault="00530C65" w:rsidP="00530C65">
            <w:pPr>
              <w:pStyle w:val="BulletLevel1"/>
              <w:rPr>
                <w:rFonts w:ascii="Garamond" w:hAnsi="Garamond"/>
                <w:sz w:val="24"/>
              </w:rPr>
            </w:pPr>
            <w:r w:rsidRPr="00530C65">
              <w:rPr>
                <w:rFonts w:ascii="Garamond" w:hAnsi="Garamond"/>
                <w:sz w:val="24"/>
              </w:rPr>
              <w:t>Trade Ally Training;</w:t>
            </w:r>
          </w:p>
          <w:p w14:paraId="3DA5C256" w14:textId="77777777" w:rsidR="00530C65" w:rsidRPr="00530C65" w:rsidRDefault="00530C65" w:rsidP="00530C65">
            <w:pPr>
              <w:pStyle w:val="BulletLevel1"/>
              <w:rPr>
                <w:rFonts w:ascii="Garamond" w:hAnsi="Garamond"/>
                <w:sz w:val="24"/>
              </w:rPr>
            </w:pPr>
            <w:r w:rsidRPr="00530C65">
              <w:rPr>
                <w:rFonts w:ascii="Garamond" w:hAnsi="Garamond"/>
                <w:sz w:val="24"/>
              </w:rPr>
              <w:t>Track and Report Program Metrics;</w:t>
            </w:r>
          </w:p>
          <w:p w14:paraId="1257D0BE" w14:textId="1B1D3330" w:rsidR="00AC0909" w:rsidRPr="00F957DF" w:rsidRDefault="00530C65" w:rsidP="00530C65">
            <w:pPr>
              <w:pStyle w:val="BulletLevel1"/>
              <w:rPr>
                <w:rFonts w:ascii="Garamond" w:hAnsi="Garamond"/>
                <w:sz w:val="24"/>
              </w:rPr>
            </w:pPr>
            <w:r w:rsidRPr="00530C65">
              <w:rPr>
                <w:rFonts w:ascii="Garamond" w:hAnsi="Garamond"/>
                <w:sz w:val="24"/>
              </w:rPr>
              <w:t>Supply Chain Setup</w:t>
            </w:r>
          </w:p>
        </w:tc>
        <w:tc>
          <w:tcPr>
            <w:tcW w:w="2790" w:type="dxa"/>
          </w:tcPr>
          <w:p w14:paraId="77D93422" w14:textId="77777777" w:rsidR="00B705ED" w:rsidRPr="00B705ED" w:rsidRDefault="00B705ED" w:rsidP="00B705ED">
            <w:pPr>
              <w:pStyle w:val="BodyText1"/>
              <w:rPr>
                <w:rFonts w:ascii="Garamond" w:hAnsi="Garamond"/>
                <w:sz w:val="24"/>
              </w:rPr>
            </w:pPr>
            <w:r w:rsidRPr="00B705ED">
              <w:rPr>
                <w:rFonts w:ascii="Garamond" w:hAnsi="Garamond"/>
                <w:sz w:val="24"/>
              </w:rPr>
              <w:t>01/01/2021 - 04/30/2021</w:t>
            </w:r>
          </w:p>
          <w:p w14:paraId="4DEFC916" w14:textId="62B1FCDA" w:rsidR="00AC0909" w:rsidRPr="00F957DF" w:rsidRDefault="00B705ED" w:rsidP="00B705ED">
            <w:pPr>
              <w:pStyle w:val="BodyText1"/>
              <w:rPr>
                <w:rFonts w:ascii="Garamond" w:hAnsi="Garamond"/>
                <w:sz w:val="24"/>
              </w:rPr>
            </w:pPr>
            <w:r w:rsidRPr="00B705ED">
              <w:rPr>
                <w:rFonts w:ascii="Garamond" w:hAnsi="Garamond"/>
                <w:sz w:val="24"/>
              </w:rPr>
              <w:t>119 Days</w:t>
            </w:r>
          </w:p>
        </w:tc>
      </w:tr>
      <w:tr w:rsidR="00152FC8" w:rsidRPr="003511D2" w14:paraId="0758CC16" w14:textId="77777777" w:rsidTr="00F957DF">
        <w:tc>
          <w:tcPr>
            <w:tcW w:w="2335" w:type="dxa"/>
            <w:shd w:val="clear" w:color="auto" w:fill="003C71"/>
          </w:tcPr>
          <w:p w14:paraId="610D85CE" w14:textId="36B11221" w:rsidR="00152FC8" w:rsidRPr="00152FC8" w:rsidRDefault="00592194" w:rsidP="00C43620">
            <w:pPr>
              <w:pStyle w:val="BodyText1"/>
              <w:rPr>
                <w:rFonts w:ascii="Garamond" w:hAnsi="Garamond"/>
                <w:color w:val="FFFFFF" w:themeColor="background1"/>
                <w:sz w:val="24"/>
              </w:rPr>
            </w:pPr>
            <w:r w:rsidRPr="00592194">
              <w:rPr>
                <w:rFonts w:ascii="Garamond" w:hAnsi="Garamond"/>
                <w:color w:val="FFFFFF" w:themeColor="background1"/>
                <w:sz w:val="24"/>
              </w:rPr>
              <w:t>Program Steady State</w:t>
            </w:r>
          </w:p>
        </w:tc>
        <w:tc>
          <w:tcPr>
            <w:tcW w:w="4500" w:type="dxa"/>
          </w:tcPr>
          <w:p w14:paraId="0D6C2B7F" w14:textId="77777777" w:rsidR="00DE1658" w:rsidRPr="00DE1658" w:rsidRDefault="00DE1658" w:rsidP="00DE1658">
            <w:pPr>
              <w:pStyle w:val="BulletLevel1"/>
              <w:rPr>
                <w:rFonts w:ascii="Garamond" w:hAnsi="Garamond"/>
                <w:sz w:val="24"/>
              </w:rPr>
            </w:pPr>
            <w:r w:rsidRPr="00DE1658">
              <w:rPr>
                <w:rFonts w:ascii="Garamond" w:hAnsi="Garamond"/>
                <w:sz w:val="24"/>
              </w:rPr>
              <w:t>Energy Savings;</w:t>
            </w:r>
          </w:p>
          <w:p w14:paraId="09CD5A2B" w14:textId="77777777" w:rsidR="00DE1658" w:rsidRPr="00DE1658" w:rsidRDefault="00DE1658" w:rsidP="00DE1658">
            <w:pPr>
              <w:pStyle w:val="BulletLevel1"/>
              <w:rPr>
                <w:rFonts w:ascii="Garamond" w:hAnsi="Garamond"/>
                <w:sz w:val="24"/>
              </w:rPr>
            </w:pPr>
            <w:r w:rsidRPr="00DE1658">
              <w:rPr>
                <w:rFonts w:ascii="Garamond" w:hAnsi="Garamond"/>
                <w:sz w:val="24"/>
              </w:rPr>
              <w:t>Materials Revision;</w:t>
            </w:r>
          </w:p>
          <w:p w14:paraId="2608CB7C" w14:textId="77777777" w:rsidR="00DE1658" w:rsidRPr="00DE1658" w:rsidRDefault="00DE1658" w:rsidP="00DE1658">
            <w:pPr>
              <w:pStyle w:val="BulletLevel1"/>
              <w:rPr>
                <w:rFonts w:ascii="Garamond" w:hAnsi="Garamond"/>
                <w:sz w:val="24"/>
              </w:rPr>
            </w:pPr>
            <w:r w:rsidRPr="00DE1658">
              <w:rPr>
                <w:rFonts w:ascii="Garamond" w:hAnsi="Garamond"/>
                <w:sz w:val="24"/>
              </w:rPr>
              <w:t>Trade Ally Training;</w:t>
            </w:r>
          </w:p>
          <w:p w14:paraId="5ED30B79" w14:textId="3A731FCD" w:rsidR="00152FC8" w:rsidRPr="00530C65" w:rsidRDefault="00DE1658" w:rsidP="00DE1658">
            <w:pPr>
              <w:pStyle w:val="BulletLevel1"/>
              <w:rPr>
                <w:rFonts w:ascii="Garamond" w:hAnsi="Garamond"/>
                <w:sz w:val="24"/>
              </w:rPr>
            </w:pPr>
            <w:r w:rsidRPr="00DE1658">
              <w:rPr>
                <w:rFonts w:ascii="Garamond" w:hAnsi="Garamond"/>
                <w:sz w:val="24"/>
              </w:rPr>
              <w:t>Supply Chain Management</w:t>
            </w:r>
          </w:p>
        </w:tc>
        <w:tc>
          <w:tcPr>
            <w:tcW w:w="2790" w:type="dxa"/>
          </w:tcPr>
          <w:p w14:paraId="2B42635E" w14:textId="77777777" w:rsidR="00152FC8" w:rsidRDefault="001753CD" w:rsidP="00C43620">
            <w:pPr>
              <w:pStyle w:val="BodyText1"/>
              <w:rPr>
                <w:rFonts w:ascii="Garamond" w:hAnsi="Garamond"/>
                <w:sz w:val="24"/>
              </w:rPr>
            </w:pPr>
            <w:r w:rsidRPr="001753CD">
              <w:rPr>
                <w:rFonts w:ascii="Garamond" w:hAnsi="Garamond"/>
                <w:sz w:val="24"/>
              </w:rPr>
              <w:t>05/1/2021 - 05/</w:t>
            </w:r>
            <w:r w:rsidR="00E43D5D">
              <w:rPr>
                <w:rFonts w:ascii="Garamond" w:hAnsi="Garamond"/>
                <w:sz w:val="24"/>
              </w:rPr>
              <w:t>31</w:t>
            </w:r>
            <w:r w:rsidR="00982421">
              <w:rPr>
                <w:rFonts w:ascii="Garamond" w:hAnsi="Garamond"/>
                <w:sz w:val="24"/>
              </w:rPr>
              <w:t>/2023</w:t>
            </w:r>
          </w:p>
          <w:p w14:paraId="616C006A" w14:textId="294A38E9" w:rsidR="00193F2A" w:rsidRPr="00530C65" w:rsidRDefault="00693A7A" w:rsidP="00C43620">
            <w:pPr>
              <w:pStyle w:val="BodyText1"/>
              <w:rPr>
                <w:rFonts w:ascii="Garamond" w:hAnsi="Garamond"/>
                <w:sz w:val="24"/>
              </w:rPr>
            </w:pPr>
            <w:r>
              <w:rPr>
                <w:rFonts w:ascii="Garamond" w:hAnsi="Garamond"/>
                <w:sz w:val="24"/>
              </w:rPr>
              <w:t>760 Days</w:t>
            </w:r>
          </w:p>
        </w:tc>
      </w:tr>
      <w:tr w:rsidR="00152FC8" w:rsidRPr="003511D2" w14:paraId="39E09CB6" w14:textId="77777777" w:rsidTr="00F957DF">
        <w:tc>
          <w:tcPr>
            <w:tcW w:w="2335" w:type="dxa"/>
            <w:shd w:val="clear" w:color="auto" w:fill="003C71"/>
          </w:tcPr>
          <w:p w14:paraId="53216DB8" w14:textId="4C4B3EAB" w:rsidR="00152FC8" w:rsidRPr="00152FC8" w:rsidRDefault="00621254" w:rsidP="00C43620">
            <w:pPr>
              <w:pStyle w:val="BodyText1"/>
              <w:rPr>
                <w:rFonts w:ascii="Garamond" w:hAnsi="Garamond"/>
                <w:color w:val="FFFFFF" w:themeColor="background1"/>
                <w:sz w:val="24"/>
              </w:rPr>
            </w:pPr>
            <w:r w:rsidRPr="00621254">
              <w:rPr>
                <w:rFonts w:ascii="Garamond" w:hAnsi="Garamond"/>
                <w:color w:val="FFFFFF" w:themeColor="background1"/>
                <w:sz w:val="24"/>
              </w:rPr>
              <w:t>Program Ramp Down / Transition</w:t>
            </w:r>
          </w:p>
        </w:tc>
        <w:tc>
          <w:tcPr>
            <w:tcW w:w="4500" w:type="dxa"/>
          </w:tcPr>
          <w:p w14:paraId="5B3EA88C" w14:textId="77777777" w:rsidR="00260009" w:rsidRPr="00260009" w:rsidRDefault="00260009" w:rsidP="00260009">
            <w:pPr>
              <w:pStyle w:val="BulletLevel1"/>
              <w:rPr>
                <w:rFonts w:ascii="Garamond" w:hAnsi="Garamond"/>
                <w:sz w:val="24"/>
              </w:rPr>
            </w:pPr>
            <w:r w:rsidRPr="00260009">
              <w:rPr>
                <w:rFonts w:ascii="Garamond" w:hAnsi="Garamond"/>
                <w:sz w:val="24"/>
              </w:rPr>
              <w:t>Date Program is No Longer Available</w:t>
            </w:r>
          </w:p>
          <w:p w14:paraId="447AFBCB" w14:textId="0DD4E6E4" w:rsidR="00152FC8" w:rsidRPr="00152FC8" w:rsidRDefault="00260009" w:rsidP="00F957DF">
            <w:pPr>
              <w:pStyle w:val="BulletLevel1"/>
              <w:numPr>
                <w:ilvl w:val="0"/>
                <w:numId w:val="0"/>
              </w:numPr>
              <w:ind w:left="720"/>
              <w:rPr>
                <w:rFonts w:ascii="Garamond" w:hAnsi="Garamond"/>
                <w:sz w:val="24"/>
              </w:rPr>
            </w:pPr>
            <w:r w:rsidRPr="00260009">
              <w:rPr>
                <w:rFonts w:ascii="Garamond" w:hAnsi="Garamond"/>
                <w:sz w:val="24"/>
              </w:rPr>
              <w:t>for new Customers</w:t>
            </w:r>
          </w:p>
        </w:tc>
        <w:tc>
          <w:tcPr>
            <w:tcW w:w="2790" w:type="dxa"/>
          </w:tcPr>
          <w:p w14:paraId="26DC1811" w14:textId="1DB87A83" w:rsidR="00F56BD5" w:rsidRPr="00F56BD5" w:rsidRDefault="00F56BD5" w:rsidP="00F56BD5">
            <w:pPr>
              <w:pStyle w:val="BodyText1"/>
              <w:rPr>
                <w:rFonts w:ascii="Garamond" w:hAnsi="Garamond"/>
                <w:sz w:val="24"/>
              </w:rPr>
            </w:pPr>
            <w:r>
              <w:rPr>
                <w:rFonts w:ascii="Garamond" w:hAnsi="Garamond"/>
                <w:sz w:val="24"/>
              </w:rPr>
              <w:t>0</w:t>
            </w:r>
            <w:r w:rsidRPr="00F56BD5">
              <w:rPr>
                <w:rFonts w:ascii="Garamond" w:hAnsi="Garamond"/>
                <w:sz w:val="24"/>
              </w:rPr>
              <w:t>6/1/2023 - 12/31/2023</w:t>
            </w:r>
          </w:p>
          <w:p w14:paraId="3D1A6D51" w14:textId="64940609" w:rsidR="00152FC8" w:rsidRPr="00D979F5" w:rsidRDefault="00F56BD5" w:rsidP="00F56BD5">
            <w:pPr>
              <w:pStyle w:val="BodyText1"/>
              <w:rPr>
                <w:rFonts w:ascii="Garamond" w:hAnsi="Garamond"/>
                <w:sz w:val="24"/>
              </w:rPr>
            </w:pPr>
            <w:r w:rsidRPr="00F56BD5">
              <w:rPr>
                <w:rFonts w:ascii="Garamond" w:hAnsi="Garamond"/>
                <w:sz w:val="24"/>
              </w:rPr>
              <w:t>213 Days</w:t>
            </w:r>
          </w:p>
        </w:tc>
      </w:tr>
      <w:tr w:rsidR="00152FC8" w:rsidRPr="003511D2" w14:paraId="2BA06BBE" w14:textId="77777777" w:rsidTr="00F957DF">
        <w:tc>
          <w:tcPr>
            <w:tcW w:w="2335" w:type="dxa"/>
            <w:shd w:val="clear" w:color="auto" w:fill="003C71"/>
          </w:tcPr>
          <w:p w14:paraId="41AF91D1" w14:textId="0E597982" w:rsidR="00152FC8" w:rsidRPr="00152FC8" w:rsidRDefault="00196D4C" w:rsidP="00C43620">
            <w:pPr>
              <w:pStyle w:val="BodyText1"/>
              <w:rPr>
                <w:rFonts w:ascii="Garamond" w:hAnsi="Garamond"/>
                <w:color w:val="FFFFFF" w:themeColor="background1"/>
                <w:sz w:val="24"/>
              </w:rPr>
            </w:pPr>
            <w:r w:rsidRPr="00196D4C">
              <w:rPr>
                <w:rFonts w:ascii="Garamond" w:hAnsi="Garamond"/>
                <w:color w:val="FFFFFF" w:themeColor="background1"/>
                <w:sz w:val="24"/>
              </w:rPr>
              <w:t>Measurement &amp; Payment</w:t>
            </w:r>
          </w:p>
        </w:tc>
        <w:tc>
          <w:tcPr>
            <w:tcW w:w="4500" w:type="dxa"/>
          </w:tcPr>
          <w:p w14:paraId="7EDA252C" w14:textId="77777777" w:rsidR="005F6D3F" w:rsidRPr="005F6D3F" w:rsidRDefault="005F6D3F" w:rsidP="005F6D3F">
            <w:pPr>
              <w:pStyle w:val="BulletLevel1"/>
              <w:rPr>
                <w:rFonts w:ascii="Garamond" w:hAnsi="Garamond"/>
                <w:sz w:val="24"/>
              </w:rPr>
            </w:pPr>
            <w:r w:rsidRPr="005F6D3F">
              <w:rPr>
                <w:rFonts w:ascii="Garamond" w:hAnsi="Garamond"/>
                <w:sz w:val="24"/>
              </w:rPr>
              <w:t>Program Ramp-Down Plan;</w:t>
            </w:r>
          </w:p>
          <w:p w14:paraId="0779E5CE" w14:textId="11D10765" w:rsidR="00152FC8" w:rsidRPr="00152FC8" w:rsidRDefault="005F6D3F" w:rsidP="00F957DF">
            <w:pPr>
              <w:pStyle w:val="BulletLevel1"/>
              <w:numPr>
                <w:ilvl w:val="0"/>
                <w:numId w:val="0"/>
              </w:numPr>
              <w:ind w:left="720"/>
              <w:rPr>
                <w:rFonts w:ascii="Garamond" w:hAnsi="Garamond"/>
                <w:sz w:val="24"/>
              </w:rPr>
            </w:pPr>
            <w:r w:rsidRPr="005F6D3F">
              <w:rPr>
                <w:rFonts w:ascii="Garamond" w:hAnsi="Garamond"/>
                <w:sz w:val="24"/>
              </w:rPr>
              <w:t>Data /File Transfer</w:t>
            </w:r>
          </w:p>
        </w:tc>
        <w:tc>
          <w:tcPr>
            <w:tcW w:w="2790" w:type="dxa"/>
          </w:tcPr>
          <w:p w14:paraId="762044EE" w14:textId="77777777" w:rsidR="00437015" w:rsidRPr="00437015" w:rsidRDefault="00437015" w:rsidP="00437015">
            <w:pPr>
              <w:pStyle w:val="BodyText1"/>
              <w:rPr>
                <w:rFonts w:ascii="Garamond" w:hAnsi="Garamond"/>
                <w:sz w:val="24"/>
              </w:rPr>
            </w:pPr>
            <w:r w:rsidRPr="00437015">
              <w:rPr>
                <w:rFonts w:ascii="Garamond" w:hAnsi="Garamond"/>
                <w:sz w:val="24"/>
              </w:rPr>
              <w:t>01/01/2024 - 03/31/2025</w:t>
            </w:r>
          </w:p>
          <w:p w14:paraId="6A71D25F" w14:textId="4F015D8A" w:rsidR="00152FC8" w:rsidRPr="00152FC8" w:rsidRDefault="00437015" w:rsidP="00437015">
            <w:pPr>
              <w:pStyle w:val="BodyText1"/>
              <w:rPr>
                <w:rFonts w:ascii="Garamond" w:hAnsi="Garamond"/>
                <w:sz w:val="24"/>
              </w:rPr>
            </w:pPr>
            <w:r w:rsidRPr="00437015">
              <w:rPr>
                <w:rFonts w:ascii="Garamond" w:hAnsi="Garamond"/>
                <w:sz w:val="24"/>
              </w:rPr>
              <w:t>455 Days</w:t>
            </w:r>
          </w:p>
        </w:tc>
      </w:tr>
    </w:tbl>
    <w:p w14:paraId="648683F9" w14:textId="77777777" w:rsidR="00B2241E" w:rsidRPr="00B813A0" w:rsidRDefault="00B2241E" w:rsidP="00F957DF">
      <w:pPr>
        <w:ind w:left="360"/>
        <w:rPr>
          <w:rFonts w:cs="Garamond"/>
        </w:rPr>
      </w:pPr>
    </w:p>
    <w:p w14:paraId="33BF6B56" w14:textId="77777777" w:rsidR="007F2BC1" w:rsidRPr="00B61056" w:rsidRDefault="007F2BC1" w:rsidP="00E77C7D">
      <w:pPr>
        <w:pStyle w:val="SDGEHeader1"/>
      </w:pPr>
      <w:r w:rsidRPr="00B61056">
        <w:t xml:space="preserve">Implementation Plan Narrative </w:t>
      </w:r>
    </w:p>
    <w:p w14:paraId="79943E73" w14:textId="551161FD" w:rsidR="00521A1E" w:rsidRDefault="007F2BC1" w:rsidP="00F957DF">
      <w:pPr>
        <w:pStyle w:val="SDGEHeading21"/>
        <w:numPr>
          <w:ilvl w:val="0"/>
          <w:numId w:val="7"/>
        </w:numPr>
        <w:rPr>
          <w:rFonts w:cs="Garamond"/>
          <w:shd w:val="clear" w:color="auto" w:fill="FFFFFF" w:themeFill="background1"/>
        </w:rPr>
      </w:pPr>
      <w:r w:rsidRPr="005445C6">
        <w:t>Program Description:</w:t>
      </w:r>
      <w:r w:rsidRPr="00EC7C28">
        <w:rPr>
          <w:rFonts w:cs="Garamond"/>
          <w:shd w:val="clear" w:color="auto" w:fill="FFFFFF" w:themeFill="background1"/>
        </w:rPr>
        <w:t xml:space="preserve"> </w:t>
      </w:r>
    </w:p>
    <w:p w14:paraId="58A1C542" w14:textId="6EB667B0" w:rsidR="001F1A8C" w:rsidRDefault="006C601E" w:rsidP="00521A1E">
      <w:pPr>
        <w:pStyle w:val="SDGEBodyText1"/>
        <w:rPr>
          <w:rFonts w:cs="Garamond"/>
        </w:rPr>
      </w:pPr>
      <w:r w:rsidRPr="00521A1E">
        <w:rPr>
          <w:shd w:val="clear" w:color="auto" w:fill="FFFFFF" w:themeFill="background1"/>
        </w:rPr>
        <w:t>The</w:t>
      </w:r>
      <w:r w:rsidRPr="006C601E">
        <w:rPr>
          <w:rFonts w:cs="Garamond"/>
        </w:rPr>
        <w:t xml:space="preserve"> </w:t>
      </w:r>
      <w:r w:rsidR="00C116B3">
        <w:rPr>
          <w:rFonts w:cs="Garamond"/>
        </w:rPr>
        <w:t>Agricultural Energy Savings Action Plan</w:t>
      </w:r>
      <w:r w:rsidR="001F1A8C">
        <w:rPr>
          <w:rFonts w:cs="Garamond"/>
        </w:rPr>
        <w:t xml:space="preserve"> (</w:t>
      </w:r>
      <w:r w:rsidR="00A81B0E">
        <w:rPr>
          <w:rFonts w:cs="Garamond"/>
        </w:rPr>
        <w:t>AESAP</w:t>
      </w:r>
      <w:r w:rsidR="001F1A8C">
        <w:rPr>
          <w:rFonts w:cs="Garamond"/>
        </w:rPr>
        <w:t xml:space="preserve"> or Program)</w:t>
      </w:r>
      <w:r w:rsidRPr="006C601E">
        <w:rPr>
          <w:rFonts w:cs="Garamond"/>
        </w:rPr>
        <w:t xml:space="preserve"> provides end-to-end program implementation services, including marketing, outreach, engineering, operations, customer service, and data management and reporting, to </w:t>
      </w:r>
      <w:r w:rsidR="00CA1F5F">
        <w:rPr>
          <w:rFonts w:cs="Garamond"/>
        </w:rPr>
        <w:t>agricultural</w:t>
      </w:r>
      <w:r w:rsidRPr="006C601E">
        <w:rPr>
          <w:rFonts w:cs="Garamond"/>
        </w:rPr>
        <w:t xml:space="preserve"> electric and gas customers </w:t>
      </w:r>
      <w:r w:rsidR="00582A05">
        <w:rPr>
          <w:rFonts w:cs="Garamond"/>
        </w:rPr>
        <w:t xml:space="preserve">on qualifying rate schedules </w:t>
      </w:r>
      <w:r w:rsidRPr="006C601E">
        <w:rPr>
          <w:rFonts w:cs="Garamond"/>
        </w:rPr>
        <w:t xml:space="preserve">within </w:t>
      </w:r>
      <w:r w:rsidR="00A81B0E">
        <w:rPr>
          <w:rFonts w:cs="Garamond"/>
        </w:rPr>
        <w:t>PG&amp;E</w:t>
      </w:r>
      <w:r w:rsidRPr="006C601E">
        <w:rPr>
          <w:rFonts w:cs="Garamond"/>
        </w:rPr>
        <w:t xml:space="preserve">’s service territory.  The Program leverages </w:t>
      </w:r>
      <w:r w:rsidR="0005131F">
        <w:rPr>
          <w:rFonts w:cs="Garamond"/>
        </w:rPr>
        <w:t xml:space="preserve">the </w:t>
      </w:r>
      <w:r w:rsidRPr="006C601E">
        <w:rPr>
          <w:rFonts w:cs="Garamond"/>
        </w:rPr>
        <w:t xml:space="preserve">Implementer’s outreach staff, </w:t>
      </w:r>
      <w:r w:rsidR="0005131F">
        <w:rPr>
          <w:rFonts w:cs="Garamond"/>
        </w:rPr>
        <w:t xml:space="preserve">a </w:t>
      </w:r>
      <w:r w:rsidRPr="006C601E">
        <w:rPr>
          <w:rFonts w:cs="Garamond"/>
        </w:rPr>
        <w:t xml:space="preserve">team of subcontractors, and </w:t>
      </w:r>
      <w:r w:rsidR="0005131F">
        <w:rPr>
          <w:rFonts w:cs="Garamond"/>
        </w:rPr>
        <w:t xml:space="preserve">a </w:t>
      </w:r>
      <w:r w:rsidRPr="006C601E">
        <w:rPr>
          <w:rFonts w:cs="Garamond"/>
        </w:rPr>
        <w:t xml:space="preserve">network of trade professionals to provide customers with a single program that addresses </w:t>
      </w:r>
      <w:r w:rsidR="0073534D" w:rsidRPr="006C601E">
        <w:rPr>
          <w:rFonts w:cs="Garamond"/>
        </w:rPr>
        <w:t>all</w:t>
      </w:r>
      <w:r w:rsidRPr="006C601E">
        <w:rPr>
          <w:rFonts w:cs="Garamond"/>
        </w:rPr>
        <w:t xml:space="preserve"> their energy efficiency needs.</w:t>
      </w:r>
      <w:r w:rsidR="007F2BC1" w:rsidRPr="00B61056">
        <w:rPr>
          <w:rFonts w:cs="Garamond"/>
        </w:rPr>
        <w:t xml:space="preserve"> </w:t>
      </w:r>
    </w:p>
    <w:p w14:paraId="54C8E463" w14:textId="66F4DD76" w:rsidR="001F1A8C" w:rsidRDefault="001F1A8C" w:rsidP="00521A1E">
      <w:pPr>
        <w:pStyle w:val="SDGEBodyText1"/>
        <w:rPr>
          <w:rFonts w:cs="Garamond"/>
        </w:rPr>
      </w:pPr>
      <w:r w:rsidRPr="001F1A8C">
        <w:rPr>
          <w:rFonts w:cs="Garamond"/>
        </w:rPr>
        <w:lastRenderedPageBreak/>
        <w:t>Th</w:t>
      </w:r>
      <w:r>
        <w:rPr>
          <w:rFonts w:cs="Garamond"/>
        </w:rPr>
        <w:t>e P</w:t>
      </w:r>
      <w:r w:rsidRPr="001F1A8C">
        <w:rPr>
          <w:rFonts w:cs="Garamond"/>
        </w:rPr>
        <w:t>rogram will be a critical part of PG&amp;E’s efforts to achieve the goals established by the California Long-Term Energy Efficiency Strategic Plan. The program also contributes to PG&amp;E’s efforts to comply with the requirements of the California Public Utility Commission’s (CPUC) Decision 16-08-019, which directed program administrators to transition to a majority of third-party designed and implemented programs.</w:t>
      </w:r>
    </w:p>
    <w:p w14:paraId="72D2E6AE" w14:textId="51195B1A" w:rsidR="00323BD3" w:rsidRDefault="00323BD3" w:rsidP="00521A1E">
      <w:pPr>
        <w:pStyle w:val="SDGEBodyText1"/>
        <w:rPr>
          <w:rFonts w:cs="Garamond"/>
        </w:rPr>
      </w:pPr>
      <w:r>
        <w:rPr>
          <w:rFonts w:cs="Garamond"/>
        </w:rPr>
        <w:t>Program objectives include:</w:t>
      </w:r>
    </w:p>
    <w:p w14:paraId="77086B80" w14:textId="77777777" w:rsidR="00D22B1D" w:rsidRPr="00D22B1D" w:rsidRDefault="00D22B1D" w:rsidP="00F957DF">
      <w:pPr>
        <w:pStyle w:val="Default"/>
        <w:numPr>
          <w:ilvl w:val="0"/>
          <w:numId w:val="1"/>
        </w:numPr>
        <w:rPr>
          <w:rFonts w:ascii="Garamond" w:hAnsi="Garamond" w:cs="Garamond"/>
        </w:rPr>
      </w:pPr>
      <w:r w:rsidRPr="00D22B1D">
        <w:rPr>
          <w:rFonts w:ascii="Garamond" w:hAnsi="Garamond" w:cs="Garamond"/>
        </w:rPr>
        <w:t>Offers cost-effective and persistent energy savings to the agricultural segment throughout PG&amp;E’s territory,</w:t>
      </w:r>
    </w:p>
    <w:p w14:paraId="191112E0" w14:textId="7924F2F3" w:rsidR="00D22B1D" w:rsidRPr="00D22B1D" w:rsidRDefault="00D22B1D" w:rsidP="00F957DF">
      <w:pPr>
        <w:pStyle w:val="Default"/>
        <w:numPr>
          <w:ilvl w:val="0"/>
          <w:numId w:val="1"/>
        </w:numPr>
        <w:rPr>
          <w:rFonts w:ascii="Garamond" w:hAnsi="Garamond" w:cs="Garamond"/>
        </w:rPr>
      </w:pPr>
      <w:r w:rsidRPr="00D22B1D">
        <w:rPr>
          <w:rFonts w:ascii="Garamond" w:hAnsi="Garamond" w:cs="Garamond"/>
        </w:rPr>
        <w:t>Provides a streamlined approach to calculating EE savings and processing incentives,</w:t>
      </w:r>
    </w:p>
    <w:p w14:paraId="3F0DDB24" w14:textId="0B8A7AAD" w:rsidR="00D22B1D" w:rsidRPr="00D22B1D" w:rsidRDefault="00D22B1D" w:rsidP="00F957DF">
      <w:pPr>
        <w:pStyle w:val="Default"/>
        <w:numPr>
          <w:ilvl w:val="0"/>
          <w:numId w:val="1"/>
        </w:numPr>
        <w:rPr>
          <w:rFonts w:ascii="Garamond" w:hAnsi="Garamond" w:cs="Garamond"/>
        </w:rPr>
      </w:pPr>
      <w:r w:rsidRPr="00D22B1D">
        <w:rPr>
          <w:rFonts w:ascii="Garamond" w:hAnsi="Garamond" w:cs="Garamond"/>
        </w:rPr>
        <w:t>Implements strategic IDSM and DER solutions that drive a healthier grid,</w:t>
      </w:r>
    </w:p>
    <w:p w14:paraId="5C3A7E8B" w14:textId="77047672" w:rsidR="00D22B1D" w:rsidRDefault="00D22B1D" w:rsidP="00F957DF">
      <w:pPr>
        <w:pStyle w:val="Default"/>
        <w:numPr>
          <w:ilvl w:val="0"/>
          <w:numId w:val="1"/>
        </w:numPr>
        <w:rPr>
          <w:rFonts w:ascii="Garamond" w:hAnsi="Garamond" w:cs="Garamond"/>
        </w:rPr>
      </w:pPr>
      <w:r w:rsidRPr="00D22B1D">
        <w:rPr>
          <w:rFonts w:ascii="Garamond" w:hAnsi="Garamond" w:cs="Garamond"/>
        </w:rPr>
        <w:t>Successfully engages hard-to-reach and underserved agricultural customers through data analysis of PG&amp;E's existing market, and</w:t>
      </w:r>
    </w:p>
    <w:p w14:paraId="2D9DF71D" w14:textId="45F20F9C" w:rsidR="00D22B1D" w:rsidRDefault="00D22B1D" w:rsidP="00F957DF">
      <w:pPr>
        <w:pStyle w:val="Default"/>
        <w:numPr>
          <w:ilvl w:val="0"/>
          <w:numId w:val="1"/>
        </w:numPr>
        <w:rPr>
          <w:rFonts w:ascii="Garamond" w:hAnsi="Garamond" w:cs="Garamond"/>
        </w:rPr>
      </w:pPr>
      <w:r w:rsidRPr="00D22B1D">
        <w:rPr>
          <w:rFonts w:ascii="Garamond" w:hAnsi="Garamond" w:cs="Garamond"/>
        </w:rPr>
        <w:t>Deploys marketing and outreach efforts educating customers and TAs on the value of energy efficiency and how to take advantage of low-cost or no-cost solutions.</w:t>
      </w:r>
    </w:p>
    <w:p w14:paraId="3FBE7871" w14:textId="77777777" w:rsidR="00822009" w:rsidRPr="00B61056" w:rsidRDefault="00822009" w:rsidP="007F2BC1">
      <w:pPr>
        <w:autoSpaceDE w:val="0"/>
        <w:autoSpaceDN w:val="0"/>
        <w:adjustRightInd w:val="0"/>
        <w:spacing w:after="0" w:line="240" w:lineRule="auto"/>
        <w:rPr>
          <w:rFonts w:ascii="Garamond" w:hAnsi="Garamond" w:cs="Garamond"/>
          <w:color w:val="000000"/>
          <w:sz w:val="24"/>
          <w:szCs w:val="24"/>
        </w:rPr>
      </w:pPr>
    </w:p>
    <w:p w14:paraId="4E46400E" w14:textId="6BC5762F" w:rsidR="00521A1E" w:rsidRDefault="007F2BC1" w:rsidP="00F957DF">
      <w:pPr>
        <w:pStyle w:val="SDGEHeading21"/>
        <w:numPr>
          <w:ilvl w:val="0"/>
          <w:numId w:val="7"/>
        </w:numPr>
      </w:pPr>
      <w:r w:rsidRPr="70B2B388">
        <w:rPr>
          <w:rStyle w:val="SDGEHeader2Char"/>
          <w:rFonts w:cstheme="majorBidi"/>
          <w:color w:val="auto"/>
        </w:rPr>
        <w:t>Program Delivery and Customer Services</w:t>
      </w:r>
      <w:r w:rsidR="00AE2A02" w:rsidRPr="70B2B388">
        <w:rPr>
          <w:rStyle w:val="SDGEHeader2Char"/>
          <w:rFonts w:cstheme="majorBidi"/>
          <w:color w:val="auto"/>
        </w:rPr>
        <w:t>:</w:t>
      </w:r>
      <w:r>
        <w:t xml:space="preserve"> </w:t>
      </w:r>
    </w:p>
    <w:p w14:paraId="69C37406" w14:textId="60ED240E" w:rsidR="00862EBE" w:rsidRDefault="00314E05" w:rsidP="00821D95">
      <w:pPr>
        <w:pStyle w:val="SDGEBodyText1"/>
        <w:rPr>
          <w:rFonts w:cs="Garamond"/>
          <w:color w:val="FF0000"/>
        </w:rPr>
      </w:pPr>
      <w:r w:rsidRPr="00FF6263">
        <w:t>Energy savings will be delivered</w:t>
      </w:r>
      <w:r w:rsidR="00E84137" w:rsidRPr="00FF6263">
        <w:rPr>
          <w:rFonts w:cs="Garamond"/>
        </w:rPr>
        <w:t xml:space="preserve"> through targeted offerings and strategic communication, direct customer outreach, and leveraging relationships with </w:t>
      </w:r>
      <w:r w:rsidRPr="00FF6263">
        <w:rPr>
          <w:rFonts w:cs="Garamond"/>
        </w:rPr>
        <w:t>trade professionals</w:t>
      </w:r>
      <w:r w:rsidR="00470BE5" w:rsidRPr="00FF6263">
        <w:rPr>
          <w:rFonts w:cs="Garamond"/>
        </w:rPr>
        <w:t xml:space="preserve"> and customers</w:t>
      </w:r>
      <w:r w:rsidR="00E84137" w:rsidRPr="00FF6263">
        <w:rPr>
          <w:rFonts w:cs="Garamond"/>
        </w:rPr>
        <w:t xml:space="preserve"> to increase the number of projects with current participants and to develop new business with non-participants.</w:t>
      </w:r>
    </w:p>
    <w:p w14:paraId="4F0DC24D" w14:textId="18617515" w:rsidR="00875D71" w:rsidRPr="00822009" w:rsidRDefault="00822009" w:rsidP="006611FB">
      <w:pPr>
        <w:pStyle w:val="SDGEBodyText1"/>
        <w:rPr>
          <w:bCs/>
        </w:rPr>
      </w:pPr>
      <w:r w:rsidRPr="00822009">
        <w:rPr>
          <w:bCs/>
        </w:rPr>
        <w:t>AESAP incorporates six strategies specifically designed to achieve Program goals and objectives</w:t>
      </w:r>
      <w:r w:rsidR="001F1A8C">
        <w:rPr>
          <w:bCs/>
        </w:rPr>
        <w:t>:</w:t>
      </w:r>
    </w:p>
    <w:tbl>
      <w:tblPr>
        <w:tblW w:w="102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56"/>
        <w:gridCol w:w="2856"/>
        <w:gridCol w:w="4561"/>
      </w:tblGrid>
      <w:tr w:rsidR="00EE063F" w:rsidRPr="00EE063F" w14:paraId="32D677CA" w14:textId="77777777" w:rsidTr="00EE063F">
        <w:trPr>
          <w:trHeight w:val="103"/>
        </w:trPr>
        <w:tc>
          <w:tcPr>
            <w:tcW w:w="2856" w:type="dxa"/>
            <w:vAlign w:val="center"/>
          </w:tcPr>
          <w:p w14:paraId="410AAE93" w14:textId="66779EC9" w:rsidR="00EE063F" w:rsidRPr="00EE063F" w:rsidRDefault="00EE063F" w:rsidP="00EE063F">
            <w:pPr>
              <w:pStyle w:val="SDGEBodyText1"/>
              <w:jc w:val="center"/>
              <w:rPr>
                <w:b/>
              </w:rPr>
            </w:pPr>
            <w:r w:rsidRPr="00EE063F">
              <w:rPr>
                <w:b/>
                <w:bCs/>
              </w:rPr>
              <w:t>Strategy</w:t>
            </w:r>
          </w:p>
        </w:tc>
        <w:tc>
          <w:tcPr>
            <w:tcW w:w="2856" w:type="dxa"/>
            <w:vAlign w:val="center"/>
          </w:tcPr>
          <w:p w14:paraId="51D817C4" w14:textId="161365E8" w:rsidR="00EE063F" w:rsidRPr="00EE063F" w:rsidRDefault="00EE063F" w:rsidP="00EE063F">
            <w:pPr>
              <w:pStyle w:val="SDGEBodyText1"/>
              <w:jc w:val="center"/>
              <w:rPr>
                <w:b/>
              </w:rPr>
            </w:pPr>
            <w:r w:rsidRPr="00EE063F">
              <w:rPr>
                <w:b/>
                <w:bCs/>
              </w:rPr>
              <w:t>Description</w:t>
            </w:r>
          </w:p>
        </w:tc>
        <w:tc>
          <w:tcPr>
            <w:tcW w:w="4561" w:type="dxa"/>
            <w:vAlign w:val="center"/>
          </w:tcPr>
          <w:p w14:paraId="6A14964A" w14:textId="01392371" w:rsidR="00EE063F" w:rsidRPr="00EE063F" w:rsidRDefault="00EE063F" w:rsidP="00EE063F">
            <w:pPr>
              <w:pStyle w:val="SDGEBodyText1"/>
              <w:jc w:val="center"/>
              <w:rPr>
                <w:b/>
              </w:rPr>
            </w:pPr>
            <w:r w:rsidRPr="00EE063F">
              <w:rPr>
                <w:b/>
                <w:bCs/>
              </w:rPr>
              <w:t>Tactic</w:t>
            </w:r>
          </w:p>
        </w:tc>
      </w:tr>
      <w:tr w:rsidR="00EE063F" w:rsidRPr="00EE063F" w14:paraId="1596EE62" w14:textId="77777777" w:rsidTr="00EE063F">
        <w:trPr>
          <w:trHeight w:val="683"/>
        </w:trPr>
        <w:tc>
          <w:tcPr>
            <w:tcW w:w="2856" w:type="dxa"/>
          </w:tcPr>
          <w:p w14:paraId="68BE513A" w14:textId="77777777" w:rsidR="00EE063F" w:rsidRPr="00EE063F" w:rsidRDefault="00EE063F" w:rsidP="00EE063F">
            <w:pPr>
              <w:pStyle w:val="SDGEBodyText1"/>
              <w:rPr>
                <w:bCs/>
              </w:rPr>
            </w:pPr>
            <w:r w:rsidRPr="00EE063F">
              <w:rPr>
                <w:bCs/>
              </w:rPr>
              <w:t xml:space="preserve">Customer outreach via data analytics </w:t>
            </w:r>
          </w:p>
        </w:tc>
        <w:tc>
          <w:tcPr>
            <w:tcW w:w="2856" w:type="dxa"/>
          </w:tcPr>
          <w:p w14:paraId="683F1DE5" w14:textId="77777777" w:rsidR="00EE063F" w:rsidRPr="00EE063F" w:rsidRDefault="00EE063F" w:rsidP="00EE063F">
            <w:pPr>
              <w:pStyle w:val="SDGEBodyText1"/>
              <w:rPr>
                <w:bCs/>
              </w:rPr>
            </w:pPr>
            <w:r w:rsidRPr="00EE063F">
              <w:rPr>
                <w:bCs/>
              </w:rPr>
              <w:t xml:space="preserve">Customizes program messaging to customer types and sizes </w:t>
            </w:r>
          </w:p>
        </w:tc>
        <w:tc>
          <w:tcPr>
            <w:tcW w:w="4561" w:type="dxa"/>
          </w:tcPr>
          <w:p w14:paraId="586AD5BF" w14:textId="77777777" w:rsidR="00EE063F" w:rsidRPr="00EE063F" w:rsidRDefault="00EE063F" w:rsidP="00EE063F">
            <w:pPr>
              <w:pStyle w:val="SDGEBodyText1"/>
              <w:rPr>
                <w:bCs/>
              </w:rPr>
            </w:pPr>
            <w:r w:rsidRPr="00EE063F">
              <w:rPr>
                <w:bCs/>
              </w:rPr>
              <w:t xml:space="preserve">AMI data customer targeting using an omni-channel approach to customer acquisition (e.g., digital, social media, trade allies) </w:t>
            </w:r>
          </w:p>
        </w:tc>
      </w:tr>
      <w:tr w:rsidR="00EE063F" w:rsidRPr="00EE063F" w14:paraId="3D8C1C62" w14:textId="77777777" w:rsidTr="00EE063F">
        <w:trPr>
          <w:trHeight w:val="974"/>
        </w:trPr>
        <w:tc>
          <w:tcPr>
            <w:tcW w:w="2856" w:type="dxa"/>
          </w:tcPr>
          <w:p w14:paraId="5A43F1F4" w14:textId="77777777" w:rsidR="00EE063F" w:rsidRPr="00EE063F" w:rsidRDefault="00EE063F" w:rsidP="00EE063F">
            <w:pPr>
              <w:pStyle w:val="SDGEBodyText1"/>
              <w:rPr>
                <w:bCs/>
              </w:rPr>
            </w:pPr>
            <w:r w:rsidRPr="00EE063F">
              <w:rPr>
                <w:bCs/>
              </w:rPr>
              <w:t xml:space="preserve">Customer access to energy data and analysis </w:t>
            </w:r>
          </w:p>
        </w:tc>
        <w:tc>
          <w:tcPr>
            <w:tcW w:w="2856" w:type="dxa"/>
          </w:tcPr>
          <w:p w14:paraId="7BA5FAFF" w14:textId="77777777" w:rsidR="00EE063F" w:rsidRPr="00EE063F" w:rsidRDefault="00EE063F" w:rsidP="00EE063F">
            <w:pPr>
              <w:pStyle w:val="SDGEBodyText1"/>
              <w:rPr>
                <w:bCs/>
              </w:rPr>
            </w:pPr>
            <w:r w:rsidRPr="00EE063F">
              <w:rPr>
                <w:bCs/>
              </w:rPr>
              <w:t xml:space="preserve">Provides and analyzes usage data to inform energy management and energy savings opportunities </w:t>
            </w:r>
          </w:p>
        </w:tc>
        <w:tc>
          <w:tcPr>
            <w:tcW w:w="4561" w:type="dxa"/>
          </w:tcPr>
          <w:p w14:paraId="299B1547" w14:textId="77777777" w:rsidR="00EE063F" w:rsidRPr="00EE063F" w:rsidRDefault="00EE063F" w:rsidP="00EE063F">
            <w:pPr>
              <w:pStyle w:val="SDGEBodyText1"/>
              <w:rPr>
                <w:bCs/>
              </w:rPr>
            </w:pPr>
            <w:r w:rsidRPr="00EE063F">
              <w:rPr>
                <w:bCs/>
              </w:rPr>
              <w:t xml:space="preserve">Share My Data </w:t>
            </w:r>
          </w:p>
        </w:tc>
      </w:tr>
      <w:tr w:rsidR="00EE063F" w:rsidRPr="00EE063F" w14:paraId="4E7341E3" w14:textId="77777777" w:rsidTr="00EE063F">
        <w:trPr>
          <w:trHeight w:val="537"/>
        </w:trPr>
        <w:tc>
          <w:tcPr>
            <w:tcW w:w="2856" w:type="dxa"/>
          </w:tcPr>
          <w:p w14:paraId="4329C267" w14:textId="77777777" w:rsidR="00EE063F" w:rsidRPr="00EE063F" w:rsidRDefault="00EE063F" w:rsidP="00EE063F">
            <w:pPr>
              <w:pStyle w:val="SDGEBodyText1"/>
              <w:rPr>
                <w:bCs/>
              </w:rPr>
            </w:pPr>
            <w:r w:rsidRPr="00EE063F">
              <w:rPr>
                <w:bCs/>
              </w:rPr>
              <w:t xml:space="preserve">Technical assistance </w:t>
            </w:r>
          </w:p>
        </w:tc>
        <w:tc>
          <w:tcPr>
            <w:tcW w:w="2856" w:type="dxa"/>
          </w:tcPr>
          <w:p w14:paraId="3413CB5A" w14:textId="77777777" w:rsidR="00EE063F" w:rsidRPr="00EE063F" w:rsidRDefault="00EE063F" w:rsidP="00EE063F">
            <w:pPr>
              <w:pStyle w:val="SDGEBodyText1"/>
              <w:rPr>
                <w:bCs/>
              </w:rPr>
            </w:pPr>
            <w:r w:rsidRPr="00EE063F">
              <w:rPr>
                <w:bCs/>
              </w:rPr>
              <w:t xml:space="preserve">Identifies and quantifies EE opportunities </w:t>
            </w:r>
          </w:p>
        </w:tc>
        <w:tc>
          <w:tcPr>
            <w:tcW w:w="4561" w:type="dxa"/>
          </w:tcPr>
          <w:p w14:paraId="766CFEAE" w14:textId="2F93AA9D" w:rsidR="00EE063F" w:rsidRPr="00EE063F" w:rsidRDefault="00EE063F" w:rsidP="00EE063F">
            <w:pPr>
              <w:pStyle w:val="SDGEBodyText1"/>
              <w:rPr>
                <w:bCs/>
              </w:rPr>
            </w:pPr>
            <w:r w:rsidRPr="00EE063F">
              <w:rPr>
                <w:bCs/>
              </w:rPr>
              <w:t>Small growers need practical energy guidance. Large growers benefit from detailed energy and retro-commissioning (</w:t>
            </w:r>
            <w:proofErr w:type="spellStart"/>
            <w:r w:rsidRPr="00EE063F">
              <w:rPr>
                <w:bCs/>
              </w:rPr>
              <w:t>RCx</w:t>
            </w:r>
            <w:proofErr w:type="spellEnd"/>
            <w:r w:rsidRPr="00EE063F">
              <w:rPr>
                <w:bCs/>
              </w:rPr>
              <w:t>) audits</w:t>
            </w:r>
            <w:r>
              <w:rPr>
                <w:bCs/>
              </w:rPr>
              <w:t>.</w:t>
            </w:r>
            <w:r w:rsidRPr="00EE063F">
              <w:rPr>
                <w:bCs/>
              </w:rPr>
              <w:t xml:space="preserve"> </w:t>
            </w:r>
          </w:p>
        </w:tc>
      </w:tr>
      <w:tr w:rsidR="00EE063F" w:rsidRPr="00EE063F" w14:paraId="1D0E5AE3" w14:textId="77777777" w:rsidTr="00EE063F">
        <w:trPr>
          <w:trHeight w:val="1384"/>
        </w:trPr>
        <w:tc>
          <w:tcPr>
            <w:tcW w:w="2856" w:type="dxa"/>
          </w:tcPr>
          <w:p w14:paraId="36B371DD" w14:textId="77777777" w:rsidR="00EE063F" w:rsidRPr="00EE063F" w:rsidRDefault="00EE063F" w:rsidP="00EE063F">
            <w:pPr>
              <w:pStyle w:val="SDGEBodyText1"/>
              <w:rPr>
                <w:bCs/>
              </w:rPr>
            </w:pPr>
            <w:r w:rsidRPr="00EE063F">
              <w:rPr>
                <w:bCs/>
              </w:rPr>
              <w:t xml:space="preserve">Process optimization </w:t>
            </w:r>
          </w:p>
        </w:tc>
        <w:tc>
          <w:tcPr>
            <w:tcW w:w="2856" w:type="dxa"/>
          </w:tcPr>
          <w:p w14:paraId="1D24014E" w14:textId="77777777" w:rsidR="00EE063F" w:rsidRPr="00EE063F" w:rsidRDefault="00EE063F" w:rsidP="00EE063F">
            <w:pPr>
              <w:pStyle w:val="SDGEBodyText1"/>
              <w:rPr>
                <w:bCs/>
              </w:rPr>
            </w:pPr>
            <w:r w:rsidRPr="00EE063F">
              <w:rPr>
                <w:bCs/>
              </w:rPr>
              <w:t xml:space="preserve">Directs customers to project-appropriate applications and savings platforms </w:t>
            </w:r>
          </w:p>
        </w:tc>
        <w:tc>
          <w:tcPr>
            <w:tcW w:w="4561" w:type="dxa"/>
          </w:tcPr>
          <w:p w14:paraId="0952D4E5" w14:textId="1D21B4D8" w:rsidR="00EE063F" w:rsidRPr="00EE063F" w:rsidRDefault="00EE063F" w:rsidP="00EE063F">
            <w:pPr>
              <w:pStyle w:val="SDGEBodyText1"/>
              <w:rPr>
                <w:bCs/>
              </w:rPr>
            </w:pPr>
            <w:r w:rsidRPr="00EE063F">
              <w:rPr>
                <w:bCs/>
              </w:rPr>
              <w:t xml:space="preserve">New custom express calculation tools for </w:t>
            </w:r>
            <w:r w:rsidR="00E84D28">
              <w:rPr>
                <w:bCs/>
              </w:rPr>
              <w:t>repeatable measures</w:t>
            </w:r>
            <w:r w:rsidRPr="00EE063F">
              <w:rPr>
                <w:bCs/>
              </w:rPr>
              <w:t xml:space="preserve"> accelerating program approval without sacrificing engineering quality and rigor. </w:t>
            </w:r>
          </w:p>
          <w:p w14:paraId="49BE1A93" w14:textId="77777777" w:rsidR="00EE063F" w:rsidRPr="00EE063F" w:rsidRDefault="00EE063F" w:rsidP="00EE063F">
            <w:pPr>
              <w:pStyle w:val="SDGEBodyText1"/>
              <w:rPr>
                <w:bCs/>
              </w:rPr>
            </w:pPr>
            <w:r w:rsidRPr="00EE063F">
              <w:rPr>
                <w:bCs/>
              </w:rPr>
              <w:t xml:space="preserve">Immediate onsite equipment optimization and installation (i.e., air compressor </w:t>
            </w:r>
            <w:proofErr w:type="spellStart"/>
            <w:r w:rsidRPr="00EE063F">
              <w:rPr>
                <w:bCs/>
              </w:rPr>
              <w:t>RCx</w:t>
            </w:r>
            <w:proofErr w:type="spellEnd"/>
            <w:r w:rsidRPr="00EE063F">
              <w:rPr>
                <w:bCs/>
              </w:rPr>
              <w:t xml:space="preserve">) </w:t>
            </w:r>
            <w:r w:rsidRPr="00EE063F">
              <w:rPr>
                <w:bCs/>
              </w:rPr>
              <w:lastRenderedPageBreak/>
              <w:t xml:space="preserve">capturing stranded potential and existing “low hanging fruit”. </w:t>
            </w:r>
          </w:p>
        </w:tc>
      </w:tr>
      <w:tr w:rsidR="00EE063F" w:rsidRPr="00EE063F" w14:paraId="6637A1DA" w14:textId="77777777" w:rsidTr="002779B6">
        <w:trPr>
          <w:trHeight w:val="1983"/>
        </w:trPr>
        <w:tc>
          <w:tcPr>
            <w:tcW w:w="2856" w:type="dxa"/>
          </w:tcPr>
          <w:p w14:paraId="28B9D694" w14:textId="77777777" w:rsidR="00EE063F" w:rsidRPr="00EE063F" w:rsidRDefault="00EE063F" w:rsidP="003D04FB">
            <w:pPr>
              <w:pStyle w:val="SDGEBodyText1"/>
              <w:rPr>
                <w:bCs/>
              </w:rPr>
            </w:pPr>
            <w:bookmarkStart w:id="0" w:name="_Hlk55905905"/>
            <w:r w:rsidRPr="00EE063F">
              <w:rPr>
                <w:bCs/>
              </w:rPr>
              <w:lastRenderedPageBreak/>
              <w:t xml:space="preserve">Flexible and scalable financial models </w:t>
            </w:r>
          </w:p>
        </w:tc>
        <w:tc>
          <w:tcPr>
            <w:tcW w:w="2856" w:type="dxa"/>
          </w:tcPr>
          <w:p w14:paraId="7C69AA54" w14:textId="1A0CC029" w:rsidR="00EE063F" w:rsidRPr="00EE063F" w:rsidRDefault="00EE063F" w:rsidP="003D04FB">
            <w:pPr>
              <w:pStyle w:val="SDGEBodyText1"/>
              <w:rPr>
                <w:bCs/>
              </w:rPr>
            </w:pPr>
            <w:r w:rsidRPr="00EE063F">
              <w:rPr>
                <w:bCs/>
              </w:rPr>
              <w:t xml:space="preserve">Meets customers’ specific payback thresholds and drives </w:t>
            </w:r>
            <w:r w:rsidR="0005131F" w:rsidRPr="00EE063F">
              <w:rPr>
                <w:bCs/>
              </w:rPr>
              <w:t>high</w:t>
            </w:r>
            <w:r w:rsidR="0005131F">
              <w:rPr>
                <w:bCs/>
              </w:rPr>
              <w:t>-</w:t>
            </w:r>
            <w:r w:rsidRPr="00EE063F">
              <w:rPr>
                <w:bCs/>
              </w:rPr>
              <w:t xml:space="preserve">efficiency installations </w:t>
            </w:r>
          </w:p>
        </w:tc>
        <w:tc>
          <w:tcPr>
            <w:tcW w:w="4561" w:type="dxa"/>
          </w:tcPr>
          <w:p w14:paraId="7CB84C0D" w14:textId="18ACCCBD" w:rsidR="00EE063F" w:rsidRPr="00EE063F" w:rsidRDefault="00EE063F" w:rsidP="003D04FB">
            <w:pPr>
              <w:pStyle w:val="SDGEBodyText1"/>
              <w:rPr>
                <w:bCs/>
              </w:rPr>
            </w:pPr>
            <w:r w:rsidRPr="00EE063F">
              <w:rPr>
                <w:bCs/>
              </w:rPr>
              <w:t xml:space="preserve">Traditional incentives via deemed platform. </w:t>
            </w:r>
          </w:p>
          <w:p w14:paraId="454A9286" w14:textId="77777777" w:rsidR="00EE063F" w:rsidRPr="00EE063F" w:rsidRDefault="00EE063F" w:rsidP="003D04FB">
            <w:pPr>
              <w:pStyle w:val="SDGEBodyText1"/>
              <w:rPr>
                <w:bCs/>
              </w:rPr>
            </w:pPr>
            <w:r w:rsidRPr="00EE063F">
              <w:rPr>
                <w:bCs/>
              </w:rPr>
              <w:t xml:space="preserve">Flexible incentives via the custom and custom express platforms. </w:t>
            </w:r>
          </w:p>
          <w:p w14:paraId="39ED7894" w14:textId="06253903" w:rsidR="00EE063F" w:rsidRPr="00EE063F" w:rsidRDefault="00EE063F" w:rsidP="002779B6">
            <w:pPr>
              <w:pStyle w:val="SDGEBodyText1"/>
              <w:rPr>
                <w:bCs/>
              </w:rPr>
            </w:pPr>
            <w:r w:rsidRPr="00EE063F">
              <w:rPr>
                <w:bCs/>
              </w:rPr>
              <w:t>Financial mechanisms via PG&amp;E (OBF</w:t>
            </w:r>
            <w:r>
              <w:rPr>
                <w:bCs/>
              </w:rPr>
              <w:t xml:space="preserve"> </w:t>
            </w:r>
            <w:r w:rsidRPr="00EE063F">
              <w:rPr>
                <w:bCs/>
              </w:rPr>
              <w:t xml:space="preserve">traditional and non-incentive, OBR). </w:t>
            </w:r>
          </w:p>
        </w:tc>
      </w:tr>
      <w:tr w:rsidR="00EE063F" w:rsidRPr="00EE063F" w14:paraId="11EB1419" w14:textId="77777777" w:rsidTr="00EE063F">
        <w:trPr>
          <w:trHeight w:val="1335"/>
        </w:trPr>
        <w:tc>
          <w:tcPr>
            <w:tcW w:w="2856" w:type="dxa"/>
          </w:tcPr>
          <w:p w14:paraId="4AC17601" w14:textId="0CE53091" w:rsidR="00EE063F" w:rsidRPr="00EE063F" w:rsidRDefault="00875D71" w:rsidP="00EE063F">
            <w:pPr>
              <w:pStyle w:val="SDGEBodyText1"/>
              <w:rPr>
                <w:bCs/>
              </w:rPr>
            </w:pPr>
            <w:r w:rsidRPr="00875D71">
              <w:rPr>
                <w:bCs/>
              </w:rPr>
              <w:t>Ongoing training, monitoring</w:t>
            </w:r>
            <w:r w:rsidR="0005131F">
              <w:rPr>
                <w:bCs/>
              </w:rPr>
              <w:t>,</w:t>
            </w:r>
            <w:r w:rsidRPr="00875D71">
              <w:rPr>
                <w:bCs/>
              </w:rPr>
              <w:t xml:space="preserve"> and education</w:t>
            </w:r>
          </w:p>
        </w:tc>
        <w:tc>
          <w:tcPr>
            <w:tcW w:w="2856" w:type="dxa"/>
          </w:tcPr>
          <w:p w14:paraId="7AD8DF66" w14:textId="425A72FF" w:rsidR="00EE063F" w:rsidRPr="00EE063F" w:rsidRDefault="00875D71" w:rsidP="00EE063F">
            <w:pPr>
              <w:pStyle w:val="SDGEBodyText1"/>
              <w:rPr>
                <w:bCs/>
              </w:rPr>
            </w:pPr>
            <w:r w:rsidRPr="00875D71">
              <w:rPr>
                <w:bCs/>
              </w:rPr>
              <w:t>Ensures long-term persistency in energy savings and ROI</w:t>
            </w:r>
          </w:p>
        </w:tc>
        <w:tc>
          <w:tcPr>
            <w:tcW w:w="4561" w:type="dxa"/>
          </w:tcPr>
          <w:p w14:paraId="6040CCA7" w14:textId="77777777" w:rsidR="00875D71" w:rsidRDefault="00875D71" w:rsidP="00EE063F">
            <w:pPr>
              <w:pStyle w:val="SDGEBodyText1"/>
              <w:rPr>
                <w:bCs/>
              </w:rPr>
            </w:pPr>
            <w:r w:rsidRPr="00875D71">
              <w:rPr>
                <w:bCs/>
              </w:rPr>
              <w:t xml:space="preserve">Savings persistence monitoring. </w:t>
            </w:r>
          </w:p>
          <w:p w14:paraId="368A62C9" w14:textId="77777777" w:rsidR="00875D71" w:rsidRDefault="00875D71" w:rsidP="00EE063F">
            <w:pPr>
              <w:pStyle w:val="SDGEBodyText1"/>
              <w:rPr>
                <w:bCs/>
              </w:rPr>
            </w:pPr>
            <w:r w:rsidRPr="00875D71">
              <w:rPr>
                <w:bCs/>
              </w:rPr>
              <w:t xml:space="preserve">Building/facility staff training incorporating strategic energy management (SEM) principles. </w:t>
            </w:r>
          </w:p>
          <w:p w14:paraId="33E5CCB5" w14:textId="30F80952" w:rsidR="00EE063F" w:rsidRPr="00EE063F" w:rsidRDefault="00875D71" w:rsidP="00EE063F">
            <w:pPr>
              <w:pStyle w:val="SDGEBodyText1"/>
              <w:rPr>
                <w:bCs/>
              </w:rPr>
            </w:pPr>
            <w:r w:rsidRPr="00875D71">
              <w:rPr>
                <w:bCs/>
              </w:rPr>
              <w:t>Strategic TA Relationships (STAR) training.</w:t>
            </w:r>
          </w:p>
        </w:tc>
      </w:tr>
      <w:bookmarkEnd w:id="0"/>
    </w:tbl>
    <w:p w14:paraId="5E0A5A3E" w14:textId="75FC843F" w:rsidR="00FF6263" w:rsidRDefault="00FF6263" w:rsidP="006611FB">
      <w:pPr>
        <w:pStyle w:val="SDGEBodyText1"/>
        <w:rPr>
          <w:b/>
          <w:color w:val="FF0000"/>
        </w:rPr>
      </w:pPr>
    </w:p>
    <w:p w14:paraId="736A4CCF" w14:textId="703351BE" w:rsidR="00875D71" w:rsidRDefault="00EB0E90" w:rsidP="006611FB">
      <w:pPr>
        <w:pStyle w:val="SDGEBodyText1"/>
        <w:rPr>
          <w:bCs/>
        </w:rPr>
      </w:pPr>
      <w:r w:rsidRPr="00EB0E90">
        <w:rPr>
          <w:bCs/>
        </w:rPr>
        <w:t xml:space="preserve">Recognizing the importance of participation by </w:t>
      </w:r>
      <w:r w:rsidR="00765C4B">
        <w:rPr>
          <w:bCs/>
        </w:rPr>
        <w:t xml:space="preserve">Hard </w:t>
      </w:r>
      <w:r w:rsidR="002779B6">
        <w:rPr>
          <w:bCs/>
        </w:rPr>
        <w:t>to</w:t>
      </w:r>
      <w:r w:rsidR="00765C4B">
        <w:rPr>
          <w:bCs/>
        </w:rPr>
        <w:t xml:space="preserve"> Reach (</w:t>
      </w:r>
      <w:r w:rsidRPr="00EB0E90">
        <w:rPr>
          <w:bCs/>
        </w:rPr>
        <w:t>HTR</w:t>
      </w:r>
      <w:r w:rsidR="00765C4B">
        <w:rPr>
          <w:bCs/>
        </w:rPr>
        <w:t>)</w:t>
      </w:r>
      <w:r w:rsidRPr="00EB0E90">
        <w:rPr>
          <w:bCs/>
        </w:rPr>
        <w:t xml:space="preserve"> and </w:t>
      </w:r>
      <w:r w:rsidR="00765C4B">
        <w:rPr>
          <w:bCs/>
        </w:rPr>
        <w:t>Disadvantaged Communities (</w:t>
      </w:r>
      <w:r w:rsidRPr="00EB0E90">
        <w:rPr>
          <w:bCs/>
        </w:rPr>
        <w:t>DAC</w:t>
      </w:r>
      <w:r w:rsidR="00765C4B">
        <w:rPr>
          <w:bCs/>
        </w:rPr>
        <w:t>)</w:t>
      </w:r>
      <w:r w:rsidRPr="00EB0E90">
        <w:rPr>
          <w:bCs/>
        </w:rPr>
        <w:t xml:space="preserve"> customers, we intend to direct 70% of the program budget to marketing, outreach</w:t>
      </w:r>
      <w:r w:rsidR="0005131F">
        <w:rPr>
          <w:bCs/>
        </w:rPr>
        <w:t>,</w:t>
      </w:r>
      <w:r w:rsidRPr="00EB0E90">
        <w:rPr>
          <w:bCs/>
        </w:rPr>
        <w:t xml:space="preserve"> and engineering services for this market segment.</w:t>
      </w:r>
      <w:r w:rsidR="008C1ABD">
        <w:rPr>
          <w:bCs/>
        </w:rPr>
        <w:t xml:space="preserve"> AESAP </w:t>
      </w:r>
      <w:r w:rsidR="00240BE1">
        <w:rPr>
          <w:bCs/>
        </w:rPr>
        <w:t xml:space="preserve">will utilize our offices and staff located in HTR regions to more directly </w:t>
      </w:r>
      <w:r w:rsidR="00B36DD6">
        <w:rPr>
          <w:bCs/>
        </w:rPr>
        <w:t xml:space="preserve">interface with this customer base. </w:t>
      </w:r>
    </w:p>
    <w:p w14:paraId="195801DA" w14:textId="4E21D1C0" w:rsidR="00EB0E90" w:rsidRPr="00EB0E90" w:rsidRDefault="00EB0E90" w:rsidP="006611FB">
      <w:pPr>
        <w:pStyle w:val="SDGEBodyText1"/>
        <w:rPr>
          <w:bCs/>
        </w:rPr>
      </w:pPr>
      <w:r w:rsidRPr="00EB0E90">
        <w:rPr>
          <w:noProof/>
        </w:rPr>
        <w:drawing>
          <wp:inline distT="0" distB="0" distL="0" distR="0" wp14:anchorId="68A0675E" wp14:editId="6E2A1B56">
            <wp:extent cx="2658745" cy="232791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745" cy="2327910"/>
                    </a:xfrm>
                    <a:prstGeom prst="rect">
                      <a:avLst/>
                    </a:prstGeom>
                    <a:noFill/>
                    <a:ln>
                      <a:noFill/>
                    </a:ln>
                  </pic:spPr>
                </pic:pic>
              </a:graphicData>
            </a:graphic>
          </wp:inline>
        </w:drawing>
      </w:r>
      <w:r w:rsidRPr="00EB0E90">
        <w:rPr>
          <w:noProof/>
        </w:rPr>
        <w:drawing>
          <wp:inline distT="0" distB="0" distL="0" distR="0" wp14:anchorId="0596A3C8" wp14:editId="4E4BE689">
            <wp:extent cx="1490002" cy="232153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643" cy="2331880"/>
                    </a:xfrm>
                    <a:prstGeom prst="rect">
                      <a:avLst/>
                    </a:prstGeom>
                    <a:noFill/>
                    <a:ln>
                      <a:noFill/>
                    </a:ln>
                  </pic:spPr>
                </pic:pic>
              </a:graphicData>
            </a:graphic>
          </wp:inline>
        </w:drawing>
      </w:r>
    </w:p>
    <w:p w14:paraId="0D3F3E04" w14:textId="4864CD59" w:rsidR="00875D71" w:rsidRPr="00765C4B" w:rsidRDefault="00765C4B" w:rsidP="006611FB">
      <w:pPr>
        <w:pStyle w:val="SDGEBodyText1"/>
        <w:rPr>
          <w:bCs/>
        </w:rPr>
      </w:pPr>
      <w:r w:rsidRPr="00765C4B">
        <w:rPr>
          <w:bCs/>
        </w:rPr>
        <w:t>HTR</w:t>
      </w:r>
      <w:r>
        <w:rPr>
          <w:bCs/>
        </w:rPr>
        <w:t>/DAC</w:t>
      </w:r>
      <w:r w:rsidRPr="00765C4B">
        <w:rPr>
          <w:bCs/>
        </w:rPr>
        <w:t xml:space="preserve"> customers face obstacles to participation in energy efficiency programs due to language barriers, access to capital markets and financing vehicles, lack of resources due to size to identify, plan and implement valuable conservation measures, and often the split incentive barrier resulting from the disincentive to make capital improvements to a rented facility. By their very nature, most agriculture customers tend to be HTR customers because of their rural locations and lessened exposure to EE/DSM programs and their benefits. Many agricultural operations are small so the owners operating the businesses </w:t>
      </w:r>
      <w:r w:rsidRPr="00765C4B">
        <w:rPr>
          <w:bCs/>
        </w:rPr>
        <w:lastRenderedPageBreak/>
        <w:t xml:space="preserve">are often overwhelmed with day-to-day tasks and unable to focus on energy efficiency benefits. Therefore, </w:t>
      </w:r>
      <w:r w:rsidR="0005131F">
        <w:rPr>
          <w:bCs/>
        </w:rPr>
        <w:t>the Program must addre</w:t>
      </w:r>
      <w:r w:rsidR="00C57F90">
        <w:rPr>
          <w:bCs/>
        </w:rPr>
        <w:t>s</w:t>
      </w:r>
      <w:r w:rsidR="00C02E85">
        <w:rPr>
          <w:bCs/>
        </w:rPr>
        <w:t>s</w:t>
      </w:r>
      <w:r w:rsidRPr="00765C4B">
        <w:rPr>
          <w:bCs/>
        </w:rPr>
        <w:t xml:space="preserve"> and mitigates these obstacles to participation to ensure equal access to and participation in the energy efficiency program.</w:t>
      </w:r>
    </w:p>
    <w:p w14:paraId="45107FB9" w14:textId="77777777" w:rsidR="00875D71" w:rsidRDefault="00875D71" w:rsidP="006611FB">
      <w:pPr>
        <w:pStyle w:val="SDGEBodyText1"/>
        <w:rPr>
          <w:b/>
          <w:color w:val="FF0000"/>
        </w:rPr>
      </w:pPr>
    </w:p>
    <w:p w14:paraId="4ABF60AA" w14:textId="583C6E3C" w:rsidR="00521A1E" w:rsidRPr="00BE7398" w:rsidRDefault="007F2BC1" w:rsidP="00F957DF">
      <w:pPr>
        <w:pStyle w:val="SDGEHeading21"/>
        <w:numPr>
          <w:ilvl w:val="0"/>
          <w:numId w:val="7"/>
        </w:numPr>
      </w:pPr>
      <w:r w:rsidRPr="00BE7398">
        <w:rPr>
          <w:rStyle w:val="SDGEHeader2Char"/>
          <w:rFonts w:cstheme="majorBidi"/>
          <w:bCs w:val="0"/>
          <w:color w:val="auto"/>
        </w:rPr>
        <w:t>Program Design and Best Practices:</w:t>
      </w:r>
      <w:r w:rsidRPr="00BE7398">
        <w:t xml:space="preserve"> </w:t>
      </w:r>
    </w:p>
    <w:p w14:paraId="1459C51A" w14:textId="19ADFF6E" w:rsidR="00D77D25" w:rsidRDefault="00A11847" w:rsidP="00521A1E">
      <w:pPr>
        <w:pStyle w:val="SDGEBodyText1"/>
        <w:rPr>
          <w:rFonts w:cs="Garamond"/>
          <w:color w:val="000000"/>
        </w:rPr>
      </w:pPr>
      <w:r>
        <w:rPr>
          <w:rFonts w:cs="Garamond"/>
          <w:color w:val="000000"/>
        </w:rPr>
        <w:t xml:space="preserve">TRC and its partners </w:t>
      </w:r>
      <w:r w:rsidR="00E544C3">
        <w:rPr>
          <w:rFonts w:cs="Garamond"/>
          <w:color w:val="000000"/>
        </w:rPr>
        <w:t xml:space="preserve">have developed </w:t>
      </w:r>
      <w:r w:rsidR="00D77D25" w:rsidRPr="00D77D25">
        <w:rPr>
          <w:rFonts w:cs="Garamond"/>
          <w:color w:val="000000"/>
        </w:rPr>
        <w:t xml:space="preserve">a multi-faceted approach </w:t>
      </w:r>
      <w:r w:rsidR="00E6323D">
        <w:rPr>
          <w:rFonts w:cs="Garamond"/>
          <w:color w:val="000000"/>
        </w:rPr>
        <w:t>to</w:t>
      </w:r>
      <w:r w:rsidR="00D77D25" w:rsidRPr="00D77D25">
        <w:rPr>
          <w:rFonts w:cs="Garamond"/>
          <w:color w:val="000000"/>
        </w:rPr>
        <w:t xml:space="preserve"> addressing each of </w:t>
      </w:r>
      <w:r w:rsidR="00E6323D">
        <w:rPr>
          <w:rFonts w:cs="Garamond"/>
          <w:color w:val="000000"/>
        </w:rPr>
        <w:t>the</w:t>
      </w:r>
      <w:r w:rsidR="00D77D25" w:rsidRPr="00D77D25">
        <w:rPr>
          <w:rFonts w:cs="Garamond"/>
          <w:color w:val="000000"/>
        </w:rPr>
        <w:t xml:space="preserve"> </w:t>
      </w:r>
      <w:r w:rsidR="00296780">
        <w:rPr>
          <w:rFonts w:cs="Garamond"/>
          <w:color w:val="000000"/>
        </w:rPr>
        <w:t xml:space="preserve">market </w:t>
      </w:r>
      <w:r w:rsidR="00D77D25" w:rsidRPr="00D77D25">
        <w:rPr>
          <w:rFonts w:cs="Garamond"/>
          <w:color w:val="000000"/>
        </w:rPr>
        <w:t>barriers outlined in the Business Plan.</w:t>
      </w:r>
    </w:p>
    <w:p w14:paraId="2F5C5CB0" w14:textId="28DF7B81" w:rsidR="00750C23" w:rsidRPr="00D77D25" w:rsidRDefault="00750C23" w:rsidP="00F957DF">
      <w:pPr>
        <w:pStyle w:val="SDGEBodyText1"/>
        <w:numPr>
          <w:ilvl w:val="0"/>
          <w:numId w:val="3"/>
        </w:numPr>
        <w:rPr>
          <w:rFonts w:cs="Garamond"/>
          <w:color w:val="000000"/>
        </w:rPr>
      </w:pPr>
      <w:r w:rsidRPr="00436C2E">
        <w:rPr>
          <w:b/>
        </w:rPr>
        <w:t xml:space="preserve">Multiple Levels of </w:t>
      </w:r>
      <w:r>
        <w:rPr>
          <w:rFonts w:cs="Garamond"/>
          <w:b/>
          <w:color w:val="000000"/>
        </w:rPr>
        <w:t>D</w:t>
      </w:r>
      <w:r w:rsidRPr="00037413">
        <w:rPr>
          <w:rFonts w:cs="Garamond"/>
          <w:b/>
          <w:color w:val="000000"/>
        </w:rPr>
        <w:t xml:space="preserve">ecision </w:t>
      </w:r>
      <w:r>
        <w:rPr>
          <w:rFonts w:cs="Garamond"/>
          <w:b/>
          <w:color w:val="000000"/>
        </w:rPr>
        <w:t>M</w:t>
      </w:r>
      <w:r w:rsidRPr="00037413">
        <w:rPr>
          <w:rFonts w:cs="Garamond"/>
          <w:b/>
          <w:color w:val="000000"/>
        </w:rPr>
        <w:t>aking</w:t>
      </w:r>
      <w:r>
        <w:rPr>
          <w:rFonts w:cs="Garamond"/>
          <w:b/>
          <w:color w:val="000000"/>
        </w:rPr>
        <w:t xml:space="preserve">. </w:t>
      </w:r>
      <w:r w:rsidRPr="00D77D25">
        <w:rPr>
          <w:rFonts w:cs="Garamond"/>
          <w:color w:val="000000"/>
        </w:rPr>
        <w:t xml:space="preserve">Getting to the correct staff early in the project timeline is critical to a project’s success.  </w:t>
      </w:r>
      <w:r>
        <w:rPr>
          <w:rFonts w:cs="Garamond"/>
          <w:color w:val="000000"/>
        </w:rPr>
        <w:t>TRC will</w:t>
      </w:r>
      <w:r w:rsidRPr="00D77D25">
        <w:rPr>
          <w:rFonts w:cs="Garamond"/>
          <w:color w:val="000000"/>
        </w:rPr>
        <w:t xml:space="preserve"> create an effective point of entry within the customer’s decision-making framework by leveraging existing relationships through </w:t>
      </w:r>
      <w:r>
        <w:rPr>
          <w:rFonts w:cs="Garamond"/>
          <w:color w:val="000000"/>
        </w:rPr>
        <w:t>program partners and trade professionals</w:t>
      </w:r>
      <w:r w:rsidRPr="00D77D25">
        <w:rPr>
          <w:rFonts w:cs="Garamond"/>
          <w:color w:val="000000"/>
        </w:rPr>
        <w:t xml:space="preserve">. Staff regularly interact and maintain relationships at </w:t>
      </w:r>
      <w:r w:rsidR="0005131F" w:rsidRPr="00D77D25">
        <w:rPr>
          <w:rFonts w:cs="Garamond"/>
          <w:color w:val="000000"/>
        </w:rPr>
        <w:t>decision</w:t>
      </w:r>
      <w:r w:rsidR="0005131F">
        <w:rPr>
          <w:rFonts w:cs="Garamond"/>
          <w:color w:val="000000"/>
        </w:rPr>
        <w:t>-</w:t>
      </w:r>
      <w:r w:rsidRPr="00D77D25">
        <w:rPr>
          <w:rFonts w:cs="Garamond"/>
          <w:color w:val="000000"/>
        </w:rPr>
        <w:t xml:space="preserve">making levels creating an effective point of entry for </w:t>
      </w:r>
      <w:r>
        <w:rPr>
          <w:rFonts w:cs="Garamond"/>
          <w:color w:val="000000"/>
        </w:rPr>
        <w:t>program</w:t>
      </w:r>
      <w:r w:rsidRPr="00D77D25">
        <w:rPr>
          <w:rFonts w:cs="Garamond"/>
          <w:color w:val="000000"/>
        </w:rPr>
        <w:t xml:space="preserve"> sales staff to propose energy efficiency solutions. </w:t>
      </w:r>
    </w:p>
    <w:p w14:paraId="055C954C" w14:textId="2091C4D4" w:rsidR="00750C23" w:rsidRDefault="00750C23" w:rsidP="00750C23">
      <w:pPr>
        <w:pStyle w:val="SDGEBodyText1"/>
        <w:ind w:left="720"/>
        <w:rPr>
          <w:rFonts w:cs="Garamond"/>
          <w:color w:val="000000"/>
        </w:rPr>
      </w:pPr>
      <w:r w:rsidRPr="00436C2E">
        <w:rPr>
          <w:rFonts w:cs="Garamond"/>
          <w:color w:val="000000"/>
        </w:rPr>
        <w:t>The program</w:t>
      </w:r>
      <w:r w:rsidRPr="00D77D25">
        <w:rPr>
          <w:rFonts w:cs="Garamond"/>
          <w:color w:val="000000"/>
        </w:rPr>
        <w:t xml:space="preserve"> </w:t>
      </w:r>
      <w:r>
        <w:rPr>
          <w:rFonts w:cs="Garamond"/>
          <w:color w:val="000000"/>
        </w:rPr>
        <w:t>outreach</w:t>
      </w:r>
      <w:r w:rsidRPr="00D77D25">
        <w:rPr>
          <w:rFonts w:cs="Garamond"/>
          <w:color w:val="000000"/>
        </w:rPr>
        <w:t xml:space="preserve"> strategy nurture</w:t>
      </w:r>
      <w:r>
        <w:rPr>
          <w:rFonts w:cs="Garamond"/>
          <w:color w:val="000000"/>
        </w:rPr>
        <w:t>s</w:t>
      </w:r>
      <w:r w:rsidRPr="00D77D25">
        <w:rPr>
          <w:rFonts w:cs="Garamond"/>
          <w:color w:val="000000"/>
        </w:rPr>
        <w:t xml:space="preserve"> projects through the sales process, documenting program influence</w:t>
      </w:r>
      <w:r w:rsidR="0005131F">
        <w:rPr>
          <w:rFonts w:cs="Garamond"/>
          <w:color w:val="000000"/>
        </w:rPr>
        <w:t>,</w:t>
      </w:r>
      <w:r w:rsidRPr="00D77D25">
        <w:rPr>
          <w:rFonts w:cs="Garamond"/>
          <w:color w:val="000000"/>
        </w:rPr>
        <w:t xml:space="preserve"> and ensuring program integrity along the way. Identified project stakeholders are included in the customer journey through project tracking, program updates, and “before and after” project results. This strategy aims to acquire and retain </w:t>
      </w:r>
      <w:r w:rsidR="0005131F" w:rsidRPr="00D77D25">
        <w:rPr>
          <w:rFonts w:cs="Garamond"/>
          <w:color w:val="000000"/>
        </w:rPr>
        <w:t>decision</w:t>
      </w:r>
      <w:r w:rsidR="0005131F">
        <w:rPr>
          <w:rFonts w:cs="Garamond"/>
          <w:color w:val="000000"/>
        </w:rPr>
        <w:t>-</w:t>
      </w:r>
      <w:r w:rsidRPr="00D77D25">
        <w:rPr>
          <w:rFonts w:cs="Garamond"/>
          <w:color w:val="000000"/>
        </w:rPr>
        <w:t>makers to maintain a low cost of customer acquisition and increase program cost-effectiveness.</w:t>
      </w:r>
    </w:p>
    <w:p w14:paraId="2C450F8E" w14:textId="77777777" w:rsidR="00BE7398" w:rsidRDefault="00BE7398" w:rsidP="00750C23">
      <w:pPr>
        <w:pStyle w:val="SDGEBodyText1"/>
        <w:ind w:left="720"/>
        <w:rPr>
          <w:rFonts w:cs="Garamond"/>
          <w:color w:val="000000"/>
        </w:rPr>
      </w:pPr>
    </w:p>
    <w:p w14:paraId="4BD8316B" w14:textId="5E26BC20" w:rsidR="00750C23" w:rsidRPr="00D77D25" w:rsidRDefault="00750C23" w:rsidP="00F957DF">
      <w:pPr>
        <w:pStyle w:val="SDGEBodyText1"/>
        <w:numPr>
          <w:ilvl w:val="0"/>
          <w:numId w:val="3"/>
        </w:numPr>
        <w:rPr>
          <w:rFonts w:cs="Garamond"/>
          <w:color w:val="000000"/>
        </w:rPr>
      </w:pPr>
      <w:r w:rsidRPr="00436C2E">
        <w:rPr>
          <w:b/>
        </w:rPr>
        <w:t>Misperception of EE Value</w:t>
      </w:r>
      <w:r>
        <w:rPr>
          <w:rFonts w:cs="Garamond"/>
          <w:b/>
          <w:color w:val="000000"/>
        </w:rPr>
        <w:t xml:space="preserve">. </w:t>
      </w:r>
      <w:r w:rsidRPr="00D77D25">
        <w:rPr>
          <w:rFonts w:cs="Garamond"/>
          <w:color w:val="000000"/>
        </w:rPr>
        <w:t xml:space="preserve">The </w:t>
      </w:r>
      <w:r w:rsidR="00BE7398">
        <w:rPr>
          <w:rFonts w:cs="Garamond"/>
          <w:color w:val="000000"/>
        </w:rPr>
        <w:t>AESAP</w:t>
      </w:r>
      <w:r w:rsidRPr="00D77D25">
        <w:rPr>
          <w:rFonts w:cs="Garamond"/>
          <w:color w:val="000000"/>
        </w:rPr>
        <w:t xml:space="preserve"> program design includes tools and program innovations to help accurately determine project savings before and after project implementation. Custom Express is an innovation which uses program approved </w:t>
      </w:r>
      <w:r>
        <w:rPr>
          <w:rFonts w:cs="Garamond"/>
          <w:color w:val="000000"/>
        </w:rPr>
        <w:t xml:space="preserve">tools, </w:t>
      </w:r>
      <w:r w:rsidRPr="00D77D25">
        <w:rPr>
          <w:rFonts w:cs="Garamond"/>
          <w:color w:val="000000"/>
        </w:rPr>
        <w:t>documentation</w:t>
      </w:r>
      <w:r w:rsidR="0005131F">
        <w:rPr>
          <w:rFonts w:cs="Garamond"/>
          <w:color w:val="000000"/>
        </w:rPr>
        <w:t>,</w:t>
      </w:r>
      <w:r w:rsidRPr="00D77D25">
        <w:rPr>
          <w:rFonts w:cs="Garamond"/>
          <w:color w:val="000000"/>
        </w:rPr>
        <w:t xml:space="preserve"> and savings methodologies to quickly and credibly calculate proposed project savings for common complex measures. Trade professionals can input project information into the Custom Express calculator to generate estimated savings, </w:t>
      </w:r>
      <w:r>
        <w:rPr>
          <w:rFonts w:cs="Garamond"/>
          <w:color w:val="000000"/>
        </w:rPr>
        <w:t xml:space="preserve">validated by Program staff </w:t>
      </w:r>
      <w:r w:rsidR="0005131F">
        <w:rPr>
          <w:rFonts w:cs="Garamond"/>
          <w:color w:val="000000"/>
        </w:rPr>
        <w:t>before</w:t>
      </w:r>
      <w:r w:rsidRPr="00D77D25">
        <w:rPr>
          <w:rFonts w:cs="Garamond"/>
          <w:color w:val="000000"/>
        </w:rPr>
        <w:t xml:space="preserve"> installation approval. Due to this standardized and vetted process, Custom Express brings an accelerated program experience to customers without sacrificing engineering quality and savings calculation rigor. </w:t>
      </w:r>
    </w:p>
    <w:p w14:paraId="3FECA12D" w14:textId="77777777" w:rsidR="00750C23" w:rsidRPr="00D77D25" w:rsidRDefault="00750C23" w:rsidP="00750C23">
      <w:pPr>
        <w:pStyle w:val="SDGEBodyText1"/>
        <w:ind w:left="720"/>
        <w:rPr>
          <w:rFonts w:cs="Garamond"/>
          <w:color w:val="000000"/>
        </w:rPr>
      </w:pPr>
      <w:r w:rsidRPr="00436C2E">
        <w:rPr>
          <w:rFonts w:cs="Garamond"/>
          <w:color w:val="000000"/>
        </w:rPr>
        <w:t xml:space="preserve">Even with decision-maker support of EE initiatives, customers face capital limitations that often stall or inhibit project implementation. To enable participation, program design integrates the “Efficiency-as-a-Service” </w:t>
      </w:r>
      <w:r>
        <w:rPr>
          <w:rFonts w:cs="Garamond"/>
          <w:color w:val="000000"/>
        </w:rPr>
        <w:t>(</w:t>
      </w:r>
      <w:proofErr w:type="spellStart"/>
      <w:r>
        <w:rPr>
          <w:rFonts w:cs="Garamond"/>
          <w:color w:val="000000"/>
        </w:rPr>
        <w:t>EaaS</w:t>
      </w:r>
      <w:proofErr w:type="spellEnd"/>
      <w:r>
        <w:rPr>
          <w:rFonts w:cs="Garamond"/>
          <w:color w:val="000000"/>
        </w:rPr>
        <w:t xml:space="preserve">) </w:t>
      </w:r>
      <w:r w:rsidRPr="004677D6">
        <w:rPr>
          <w:rFonts w:cs="Garamond"/>
          <w:color w:val="000000"/>
        </w:rPr>
        <w:t>financing model</w:t>
      </w:r>
      <w:r>
        <w:rPr>
          <w:rFonts w:cs="Garamond"/>
          <w:color w:val="000000"/>
        </w:rPr>
        <w:t xml:space="preserve"> in addition to OBF</w:t>
      </w:r>
      <w:r w:rsidRPr="004677D6">
        <w:rPr>
          <w:rFonts w:cs="Garamond"/>
          <w:color w:val="000000"/>
        </w:rPr>
        <w:t xml:space="preserve">. </w:t>
      </w:r>
      <w:proofErr w:type="spellStart"/>
      <w:r w:rsidRPr="004677D6">
        <w:rPr>
          <w:rFonts w:cs="Garamond"/>
          <w:color w:val="000000"/>
        </w:rPr>
        <w:t>EaaS</w:t>
      </w:r>
      <w:proofErr w:type="spellEnd"/>
      <w:r w:rsidRPr="004677D6">
        <w:rPr>
          <w:rFonts w:cs="Garamond"/>
          <w:color w:val="000000"/>
        </w:rPr>
        <w:t xml:space="preserve"> circumvents the capital approval hurdle by funding EE improvements from operating budgets and provides immediate positive cash flow. </w:t>
      </w:r>
      <w:r>
        <w:rPr>
          <w:rFonts w:cs="Garamond"/>
          <w:color w:val="000000"/>
        </w:rPr>
        <w:t xml:space="preserve">The financier </w:t>
      </w:r>
      <w:r w:rsidRPr="00D77D25">
        <w:rPr>
          <w:rFonts w:cs="Garamond"/>
          <w:color w:val="000000"/>
        </w:rPr>
        <w:t xml:space="preserve">retains ownership of installed efficiency assets and provides customers with a managed service tied to a pay-per-kWh saved billing model. Each kWh billed is contracted to be less than the utilities going kWh rate. This financing approach ensures customers achieve bill savings from the date of implementation until the measure is fully paid. </w:t>
      </w:r>
    </w:p>
    <w:p w14:paraId="73F003E0" w14:textId="2262A318" w:rsidR="00750C23" w:rsidRPr="00D77D25" w:rsidRDefault="00750C23" w:rsidP="00750C23">
      <w:pPr>
        <w:pStyle w:val="SDGEBodyText1"/>
        <w:ind w:left="720"/>
        <w:rPr>
          <w:rFonts w:cs="Garamond"/>
          <w:color w:val="000000"/>
        </w:rPr>
      </w:pPr>
      <w:r w:rsidRPr="00436C2E">
        <w:rPr>
          <w:rFonts w:cs="Garamond"/>
          <w:color w:val="000000"/>
        </w:rPr>
        <w:t xml:space="preserve">The </w:t>
      </w:r>
      <w:r w:rsidR="00BE7398">
        <w:rPr>
          <w:rFonts w:cs="Garamond"/>
          <w:color w:val="000000"/>
        </w:rPr>
        <w:t>AESAP</w:t>
      </w:r>
      <w:r w:rsidRPr="00436C2E">
        <w:rPr>
          <w:rFonts w:cs="Garamond"/>
          <w:color w:val="000000"/>
        </w:rPr>
        <w:t xml:space="preserve"> program will promote non-energy benefits and greater transparency and control over customer energy usage. Reliance on energy cost savings alone ignores vital co-benefits associated with energy efficiency implementation such as carbon emission reductions, maintenance cost reductions, safety, and improved productivity, among other intangibles. The Program will quantify these co-benefits and integrate them into program support and marketing materials aimed to </w:t>
      </w:r>
      <w:r w:rsidRPr="00436C2E">
        <w:rPr>
          <w:rFonts w:cs="Garamond"/>
          <w:color w:val="000000"/>
        </w:rPr>
        <w:lastRenderedPageBreak/>
        <w:t>resonate with relevant project stakeholders. Non-energy benefits are also reinforced by our partners and trade professionals through marketing channels.</w:t>
      </w:r>
      <w:r>
        <w:rPr>
          <w:rFonts w:cs="Garamond"/>
          <w:color w:val="000000"/>
        </w:rPr>
        <w:t xml:space="preserve"> </w:t>
      </w:r>
    </w:p>
    <w:p w14:paraId="59D1A1FB" w14:textId="77777777" w:rsidR="00750C23" w:rsidRPr="00D77D25" w:rsidRDefault="00750C23" w:rsidP="00750C23">
      <w:pPr>
        <w:pStyle w:val="SDGEBodyText1"/>
        <w:ind w:left="720"/>
        <w:rPr>
          <w:rFonts w:cs="Garamond"/>
          <w:color w:val="000000"/>
        </w:rPr>
      </w:pPr>
      <w:r w:rsidRPr="00436C2E">
        <w:rPr>
          <w:rFonts w:cs="Garamond"/>
          <w:color w:val="000000"/>
        </w:rPr>
        <w:t>E</w:t>
      </w:r>
      <w:r w:rsidRPr="00D77D25">
        <w:rPr>
          <w:rFonts w:cs="Garamond"/>
          <w:color w:val="000000"/>
        </w:rPr>
        <w:t xml:space="preserve">nergy savings measures can </w:t>
      </w:r>
      <w:r>
        <w:rPr>
          <w:rFonts w:cs="Garamond"/>
          <w:color w:val="000000"/>
        </w:rPr>
        <w:t xml:space="preserve">also </w:t>
      </w:r>
      <w:r w:rsidRPr="00D77D25">
        <w:rPr>
          <w:rFonts w:cs="Garamond"/>
          <w:color w:val="000000"/>
        </w:rPr>
        <w:t xml:space="preserve">be paired with fault detection instrumentation and software. </w:t>
      </w:r>
      <w:r>
        <w:rPr>
          <w:rFonts w:cs="Garamond"/>
          <w:color w:val="000000"/>
        </w:rPr>
        <w:t>As an example, in the Grocery subsector, f</w:t>
      </w:r>
      <w:r w:rsidRPr="00D77D25">
        <w:rPr>
          <w:rFonts w:cs="Garamond"/>
          <w:color w:val="000000"/>
        </w:rPr>
        <w:t>ault detection is capable of alerting refrigeration technicians of faulty equipment or unstable temperature readings. Provided that the fault detection feature is well-managed, technicians and store owners will experience bountiful energy savings with the non-energy benefit of heightened preservation of their valuable merchandise.</w:t>
      </w:r>
    </w:p>
    <w:p w14:paraId="5A4012E4" w14:textId="529F2CCC" w:rsidR="00750C23" w:rsidRDefault="00750C23" w:rsidP="00F957DF">
      <w:pPr>
        <w:pStyle w:val="SDGEBodyText1"/>
        <w:numPr>
          <w:ilvl w:val="0"/>
          <w:numId w:val="3"/>
        </w:numPr>
      </w:pPr>
      <w:r w:rsidRPr="00436C2E">
        <w:rPr>
          <w:rStyle w:val="SDGEHeader2Char"/>
          <w:b/>
        </w:rPr>
        <w:t>Program Complexities Diminish Value.</w:t>
      </w:r>
      <w:r w:rsidRPr="00436C2E">
        <w:t xml:space="preserve"> </w:t>
      </w:r>
      <w:r w:rsidR="0005131F" w:rsidRPr="00436C2E">
        <w:t>Customer</w:t>
      </w:r>
      <w:r w:rsidR="0005131F">
        <w:t>-</w:t>
      </w:r>
      <w:r w:rsidRPr="00436C2E">
        <w:t xml:space="preserve">focused program staff continuously manage customer expectations through customer touchpoints and create a clear channel of communication as the customer progresses through their energy journey. Both trade professionals and outreach staff are trained to seamlessly document program influence through customer interaction, flag industry standard practice, and insulate program complexities from the customer experience. </w:t>
      </w:r>
    </w:p>
    <w:p w14:paraId="6721A691" w14:textId="22EFB6B6" w:rsidR="00750C23" w:rsidRPr="00D77D25" w:rsidRDefault="00750C23" w:rsidP="00750C23">
      <w:pPr>
        <w:pStyle w:val="SDGEBodyText1"/>
        <w:ind w:left="720"/>
        <w:rPr>
          <w:rFonts w:cs="Garamond"/>
          <w:color w:val="000000"/>
        </w:rPr>
      </w:pPr>
      <w:r w:rsidRPr="00232DCD">
        <w:rPr>
          <w:rFonts w:cs="Garamond"/>
          <w:color w:val="000000"/>
        </w:rPr>
        <w:t xml:space="preserve">A customized Energy Plan is developed for key accounts which </w:t>
      </w:r>
      <w:r>
        <w:rPr>
          <w:rFonts w:cs="Garamond"/>
          <w:color w:val="000000"/>
        </w:rPr>
        <w:t>directs</w:t>
      </w:r>
      <w:r w:rsidRPr="00D77D25">
        <w:rPr>
          <w:rFonts w:cs="Garamond"/>
          <w:color w:val="000000"/>
        </w:rPr>
        <w:t xml:space="preserve"> customers through </w:t>
      </w:r>
      <w:r>
        <w:rPr>
          <w:rFonts w:cs="Garamond"/>
          <w:color w:val="000000"/>
        </w:rPr>
        <w:t>available</w:t>
      </w:r>
      <w:r w:rsidRPr="00D77D25">
        <w:rPr>
          <w:rFonts w:cs="Garamond"/>
          <w:color w:val="000000"/>
        </w:rPr>
        <w:t xml:space="preserve"> program offerings, further reducing confusion caused by multiple options. </w:t>
      </w:r>
      <w:r>
        <w:rPr>
          <w:rFonts w:cs="Garamond"/>
          <w:color w:val="000000"/>
        </w:rPr>
        <w:t>The program follows</w:t>
      </w:r>
      <w:r w:rsidRPr="00D77D25">
        <w:rPr>
          <w:rFonts w:cs="Garamond"/>
          <w:color w:val="000000"/>
        </w:rPr>
        <w:t xml:space="preserve"> an approach </w:t>
      </w:r>
      <w:r w:rsidR="0005131F">
        <w:rPr>
          <w:rFonts w:cs="Garamond"/>
          <w:color w:val="000000"/>
        </w:rPr>
        <w:t>that</w:t>
      </w:r>
      <w:r w:rsidR="0005131F" w:rsidRPr="00D77D25">
        <w:rPr>
          <w:rFonts w:cs="Garamond"/>
          <w:color w:val="000000"/>
        </w:rPr>
        <w:t xml:space="preserve"> </w:t>
      </w:r>
      <w:r w:rsidRPr="00D77D25">
        <w:rPr>
          <w:rFonts w:cs="Garamond"/>
          <w:color w:val="000000"/>
        </w:rPr>
        <w:t xml:space="preserve">focuses on “quick win”, low-cost, simple measures, such as </w:t>
      </w:r>
      <w:proofErr w:type="gramStart"/>
      <w:r w:rsidR="0005131F" w:rsidRPr="00D77D25">
        <w:rPr>
          <w:rFonts w:cs="Garamond"/>
          <w:color w:val="000000"/>
        </w:rPr>
        <w:t>retro</w:t>
      </w:r>
      <w:r w:rsidR="0005131F">
        <w:rPr>
          <w:rFonts w:cs="Garamond"/>
          <w:color w:val="000000"/>
        </w:rPr>
        <w:t>-</w:t>
      </w:r>
      <w:r w:rsidRPr="00D77D25">
        <w:rPr>
          <w:rFonts w:cs="Garamond"/>
          <w:color w:val="000000"/>
        </w:rPr>
        <w:t>commissioning</w:t>
      </w:r>
      <w:proofErr w:type="gramEnd"/>
      <w:r w:rsidRPr="00D77D25">
        <w:rPr>
          <w:rFonts w:cs="Garamond"/>
          <w:color w:val="000000"/>
        </w:rPr>
        <w:t xml:space="preserve">. As customer trust is gained, a collaborative </w:t>
      </w:r>
      <w:r>
        <w:rPr>
          <w:rFonts w:cs="Garamond"/>
          <w:color w:val="000000"/>
        </w:rPr>
        <w:t>road map</w:t>
      </w:r>
      <w:r w:rsidRPr="00D77D25">
        <w:rPr>
          <w:rFonts w:cs="Garamond"/>
          <w:color w:val="000000"/>
        </w:rPr>
        <w:t xml:space="preserve"> is developed to identify and implement measures across the customer’s facility</w:t>
      </w:r>
      <w:r>
        <w:rPr>
          <w:rFonts w:cs="Garamond"/>
          <w:color w:val="000000"/>
        </w:rPr>
        <w:t xml:space="preserve"> achieving deeper energy savings</w:t>
      </w:r>
      <w:r w:rsidRPr="00D77D25">
        <w:rPr>
          <w:rFonts w:cs="Garamond"/>
          <w:color w:val="000000"/>
        </w:rPr>
        <w:t xml:space="preserve">. </w:t>
      </w:r>
    </w:p>
    <w:p w14:paraId="57E590BB" w14:textId="614133D7" w:rsidR="00BE7398" w:rsidRDefault="00750C23" w:rsidP="00BE7398">
      <w:pPr>
        <w:pStyle w:val="SDGEBodyText1"/>
        <w:ind w:left="720"/>
        <w:rPr>
          <w:rFonts w:cs="Garamond"/>
          <w:color w:val="000000"/>
        </w:rPr>
      </w:pPr>
      <w:r w:rsidRPr="00436C2E">
        <w:rPr>
          <w:rFonts w:cs="Garamond"/>
          <w:color w:val="000000"/>
        </w:rPr>
        <w:t>The program offers</w:t>
      </w:r>
      <w:r w:rsidRPr="00D77D25">
        <w:rPr>
          <w:rFonts w:cs="Garamond"/>
          <w:color w:val="000000"/>
        </w:rPr>
        <w:t xml:space="preserve"> multi-lingual staff who can inform customers </w:t>
      </w:r>
      <w:r>
        <w:rPr>
          <w:rFonts w:cs="Garamond"/>
          <w:color w:val="000000"/>
        </w:rPr>
        <w:t>about</w:t>
      </w:r>
      <w:r w:rsidRPr="00D77D25">
        <w:rPr>
          <w:rFonts w:cs="Garamond"/>
          <w:color w:val="000000"/>
        </w:rPr>
        <w:t xml:space="preserve"> program options and process in their native language. Program documentation is explained by </w:t>
      </w:r>
      <w:r>
        <w:rPr>
          <w:rFonts w:cs="Garamond"/>
          <w:color w:val="000000"/>
        </w:rPr>
        <w:t xml:space="preserve">program </w:t>
      </w:r>
      <w:r w:rsidRPr="00D77D25">
        <w:rPr>
          <w:rFonts w:cs="Garamond"/>
          <w:color w:val="000000"/>
        </w:rPr>
        <w:t>staff to minimize customer confusion for customers whose primary language is other than English</w:t>
      </w:r>
      <w:r w:rsidR="00BE7398">
        <w:rPr>
          <w:rFonts w:cs="Garamond"/>
          <w:color w:val="000000"/>
        </w:rPr>
        <w:t>.</w:t>
      </w:r>
    </w:p>
    <w:p w14:paraId="432CD4FC" w14:textId="38753C00" w:rsidR="00296780" w:rsidRDefault="00750C23" w:rsidP="00F957DF">
      <w:pPr>
        <w:pStyle w:val="SDGEBodyText1"/>
        <w:numPr>
          <w:ilvl w:val="0"/>
          <w:numId w:val="3"/>
        </w:numPr>
        <w:rPr>
          <w:rFonts w:cs="Garamond"/>
          <w:color w:val="000000"/>
        </w:rPr>
      </w:pPr>
      <w:r w:rsidRPr="00232DCD">
        <w:rPr>
          <w:rFonts w:cs="Garamond"/>
          <w:b/>
          <w:color w:val="000000"/>
        </w:rPr>
        <w:t>Contractors are often single end</w:t>
      </w:r>
      <w:r>
        <w:rPr>
          <w:rFonts w:cs="Garamond"/>
          <w:b/>
          <w:color w:val="000000"/>
        </w:rPr>
        <w:t>-</w:t>
      </w:r>
      <w:r w:rsidRPr="00232DCD">
        <w:rPr>
          <w:rFonts w:cs="Garamond"/>
          <w:b/>
          <w:color w:val="000000"/>
        </w:rPr>
        <w:t xml:space="preserve">use focused. </w:t>
      </w:r>
      <w:r w:rsidRPr="00232DCD">
        <w:rPr>
          <w:rFonts w:cs="Garamond"/>
          <w:color w:val="000000"/>
        </w:rPr>
        <w:t>During the sales process, a single end-use focused contractor may recognize additional energy savings opportunities or a customer in need of a comprehensive energy assessment. Trade professionals are encouraged to notify program staff of these opportunities. The program partners will also look for comprehensive energy savings opportunities. The program will offer energy savings plans</w:t>
      </w:r>
      <w:r>
        <w:rPr>
          <w:rFonts w:cs="Garamond"/>
          <w:color w:val="000000"/>
        </w:rPr>
        <w:t>, which will encourage the adoption of multiple measures</w:t>
      </w:r>
      <w:r w:rsidRPr="00232DCD">
        <w:rPr>
          <w:rFonts w:cs="Garamond"/>
          <w:color w:val="000000"/>
        </w:rPr>
        <w:t>. Program staff, partners, trade professionals will all receive training, tools</w:t>
      </w:r>
      <w:r w:rsidR="0005131F">
        <w:rPr>
          <w:rFonts w:cs="Garamond"/>
          <w:color w:val="000000"/>
        </w:rPr>
        <w:t>,</w:t>
      </w:r>
      <w:r w:rsidRPr="00232DCD">
        <w:rPr>
          <w:rFonts w:cs="Garamond"/>
          <w:color w:val="000000"/>
        </w:rPr>
        <w:t xml:space="preserve"> and support to encourage identification of all EE opportunities, not just the single </w:t>
      </w:r>
      <w:r w:rsidR="0005131F" w:rsidRPr="00232DCD">
        <w:rPr>
          <w:rFonts w:cs="Garamond"/>
          <w:color w:val="000000"/>
        </w:rPr>
        <w:t>end</w:t>
      </w:r>
      <w:r w:rsidR="0005131F">
        <w:rPr>
          <w:rFonts w:cs="Garamond"/>
          <w:color w:val="000000"/>
        </w:rPr>
        <w:t>-</w:t>
      </w:r>
      <w:r w:rsidRPr="00232DCD">
        <w:rPr>
          <w:rFonts w:cs="Garamond"/>
          <w:color w:val="000000"/>
        </w:rPr>
        <w:t xml:space="preserve">use they know/sell. </w:t>
      </w:r>
      <w:r>
        <w:rPr>
          <w:rFonts w:cs="Garamond"/>
          <w:color w:val="000000"/>
        </w:rPr>
        <w:t>Customers will be armed with program information and training to ask the right questions of the trade professionals.</w:t>
      </w:r>
    </w:p>
    <w:p w14:paraId="38F1B5DA" w14:textId="77777777" w:rsidR="00BE7398" w:rsidRDefault="00BE7398" w:rsidP="00821D95">
      <w:pPr>
        <w:pStyle w:val="SDGEHeading21"/>
        <w:rPr>
          <w:rStyle w:val="SDGEHeader2Char"/>
          <w:rFonts w:eastAsiaTheme="minorHAnsi"/>
          <w:color w:val="auto"/>
        </w:rPr>
      </w:pPr>
    </w:p>
    <w:p w14:paraId="2F268227" w14:textId="5D18785F" w:rsidR="007F2BC1" w:rsidRDefault="007F2BC1" w:rsidP="00F957DF">
      <w:pPr>
        <w:pStyle w:val="SDGEHeading21"/>
        <w:numPr>
          <w:ilvl w:val="0"/>
          <w:numId w:val="7"/>
        </w:numPr>
      </w:pPr>
      <w:r w:rsidRPr="002779B6">
        <w:rPr>
          <w:rStyle w:val="SDGEHeader2Char"/>
          <w:rFonts w:eastAsiaTheme="minorHAnsi"/>
          <w:color w:val="auto"/>
        </w:rPr>
        <w:t>Innovation</w:t>
      </w:r>
      <w:r w:rsidR="00AE2A02">
        <w:rPr>
          <w:rStyle w:val="SDGEHeader2Char"/>
          <w:rFonts w:eastAsiaTheme="minorHAnsi"/>
          <w:color w:val="auto"/>
        </w:rPr>
        <w:t>:</w:t>
      </w:r>
      <w:r w:rsidRPr="0045051C">
        <w:rPr>
          <w:color w:val="FF0000"/>
        </w:rPr>
        <w:t xml:space="preserve"> </w:t>
      </w:r>
      <w:r w:rsidRPr="00B61056">
        <w:t xml:space="preserve"> </w:t>
      </w:r>
    </w:p>
    <w:p w14:paraId="614FA41E" w14:textId="6D23B698" w:rsidR="006F5D74" w:rsidRPr="006F5D74" w:rsidRDefault="00083E9B" w:rsidP="007B1B48">
      <w:pPr>
        <w:pStyle w:val="SDGEBodyText1"/>
        <w:rPr>
          <w:rFonts w:cs="Garamond"/>
          <w:color w:val="000000"/>
        </w:rPr>
      </w:pPr>
      <w:r w:rsidRPr="007B1B48">
        <w:t>C</w:t>
      </w:r>
      <w:r w:rsidR="006F5D74" w:rsidRPr="007B1B48">
        <w:t>ustomer focus, innovation</w:t>
      </w:r>
      <w:r w:rsidR="0005131F">
        <w:t>,</w:t>
      </w:r>
      <w:r w:rsidR="006F5D74" w:rsidRPr="007B1B48">
        <w:t xml:space="preserve"> and purpose are built into the </w:t>
      </w:r>
      <w:r w:rsidR="00A81B0E">
        <w:t>AESAP</w:t>
      </w:r>
      <w:r w:rsidR="006F5D74" w:rsidRPr="007B1B48">
        <w:t xml:space="preserve"> Program. </w:t>
      </w:r>
      <w:r w:rsidR="00DD2461" w:rsidRPr="007B1B48">
        <w:t xml:space="preserve">The </w:t>
      </w:r>
      <w:r w:rsidR="00A81B0E">
        <w:t>AESAP</w:t>
      </w:r>
      <w:r w:rsidR="006F5D74" w:rsidRPr="007B1B48">
        <w:t xml:space="preserve"> Program </w:t>
      </w:r>
      <w:r w:rsidR="00CE29C1">
        <w:rPr>
          <w:rFonts w:cs="Garamond"/>
          <w:color w:val="000000"/>
        </w:rPr>
        <w:t xml:space="preserve">is designed </w:t>
      </w:r>
      <w:r w:rsidR="006F5D74" w:rsidRPr="006F5D74">
        <w:rPr>
          <w:rFonts w:cs="Garamond"/>
          <w:color w:val="000000"/>
        </w:rPr>
        <w:t xml:space="preserve">with </w:t>
      </w:r>
      <w:r w:rsidR="00CE29C1">
        <w:rPr>
          <w:rFonts w:cs="Garamond"/>
          <w:color w:val="000000"/>
        </w:rPr>
        <w:t>these</w:t>
      </w:r>
      <w:r w:rsidR="006F5D74" w:rsidRPr="006F5D74">
        <w:rPr>
          <w:rFonts w:cs="Garamond"/>
          <w:color w:val="000000"/>
        </w:rPr>
        <w:t xml:space="preserve"> key needs in mind: enhanced customer experience, increased attainment of cost-effective energy efficiency savings, and integration of additional </w:t>
      </w:r>
      <w:r w:rsidR="0005131F" w:rsidRPr="006F5D74">
        <w:rPr>
          <w:rFonts w:cs="Garamond"/>
          <w:color w:val="000000"/>
        </w:rPr>
        <w:t>demand</w:t>
      </w:r>
      <w:r w:rsidR="0005131F">
        <w:rPr>
          <w:rFonts w:cs="Garamond"/>
          <w:color w:val="000000"/>
        </w:rPr>
        <w:t>-</w:t>
      </w:r>
      <w:r w:rsidR="006F5D74" w:rsidRPr="006F5D74">
        <w:rPr>
          <w:rFonts w:cs="Garamond"/>
          <w:color w:val="000000"/>
        </w:rPr>
        <w:t xml:space="preserve">side technologies. To this end, the </w:t>
      </w:r>
      <w:r w:rsidR="00A81B0E">
        <w:rPr>
          <w:rFonts w:cs="Garamond"/>
          <w:color w:val="000000"/>
        </w:rPr>
        <w:t>AESAP</w:t>
      </w:r>
      <w:r w:rsidR="006F5D74" w:rsidRPr="006F5D74">
        <w:rPr>
          <w:rFonts w:cs="Garamond"/>
          <w:color w:val="000000"/>
        </w:rPr>
        <w:t xml:space="preserve"> Program incorporates several delivery strategy innovations to address observed customer challenges </w:t>
      </w:r>
      <w:r w:rsidR="001818A0">
        <w:rPr>
          <w:rFonts w:cs="Garamond"/>
          <w:color w:val="000000"/>
        </w:rPr>
        <w:t>in this agricultural sector</w:t>
      </w:r>
      <w:r w:rsidR="006F5D74" w:rsidRPr="006F5D74">
        <w:rPr>
          <w:rFonts w:cs="Garamond"/>
          <w:color w:val="000000"/>
        </w:rPr>
        <w:t xml:space="preserve"> while promoting cost-efficient savings attainment. These innovative delivery strategies not only enhance the customer experience but also deliver real cost-efficiencies that are realized through increased participation or improved cost-effectiveness over traditional approaches: </w:t>
      </w:r>
    </w:p>
    <w:p w14:paraId="58CEA9F2" w14:textId="373AA1E6" w:rsidR="00682783" w:rsidRDefault="006F5D74" w:rsidP="00F957DF">
      <w:pPr>
        <w:pStyle w:val="SDGEBodyText1"/>
        <w:numPr>
          <w:ilvl w:val="0"/>
          <w:numId w:val="4"/>
        </w:numPr>
      </w:pPr>
      <w:r w:rsidRPr="00825713">
        <w:rPr>
          <w:b/>
        </w:rPr>
        <w:t>Flex Incentives</w:t>
      </w:r>
      <w:r w:rsidRPr="00825713">
        <w:t xml:space="preserve">. </w:t>
      </w:r>
      <w:r w:rsidR="00682783" w:rsidRPr="00825713">
        <w:t xml:space="preserve">A </w:t>
      </w:r>
      <w:r w:rsidR="00682783" w:rsidRPr="00682783">
        <w:t>flexible incentive structure customizes incentive amounts to meet</w:t>
      </w:r>
      <w:r w:rsidR="001818A0">
        <w:t xml:space="preserve"> </w:t>
      </w:r>
      <w:r w:rsidR="00682783" w:rsidRPr="00682783">
        <w:t xml:space="preserve">customers’ required investment criteria. Flex incentives also include a bonus structure to reward customers who </w:t>
      </w:r>
      <w:r w:rsidR="00682783" w:rsidRPr="00682783">
        <w:lastRenderedPageBreak/>
        <w:t xml:space="preserve">meet specific participation criteria. Flex incentives are proposed across all </w:t>
      </w:r>
      <w:r w:rsidR="00443F3C">
        <w:t xml:space="preserve">agricultural </w:t>
      </w:r>
      <w:r w:rsidR="00682783" w:rsidRPr="00682783">
        <w:t>segments and custom technologies.</w:t>
      </w:r>
      <w:r w:rsidR="00D63D77">
        <w:t xml:space="preserve"> </w:t>
      </w:r>
    </w:p>
    <w:p w14:paraId="40DF6689" w14:textId="7A0EC0D2" w:rsidR="00682783" w:rsidRDefault="006F5D74" w:rsidP="00F957DF">
      <w:pPr>
        <w:pStyle w:val="SDGEBodyText1"/>
        <w:numPr>
          <w:ilvl w:val="0"/>
          <w:numId w:val="4"/>
        </w:numPr>
      </w:pPr>
      <w:r w:rsidRPr="00825713">
        <w:rPr>
          <w:b/>
        </w:rPr>
        <w:t>Efficiency-as-a-Service (</w:t>
      </w:r>
      <w:proofErr w:type="spellStart"/>
      <w:r w:rsidRPr="00825713">
        <w:rPr>
          <w:b/>
        </w:rPr>
        <w:t>EaaS</w:t>
      </w:r>
      <w:proofErr w:type="spellEnd"/>
      <w:r w:rsidRPr="00825713">
        <w:rPr>
          <w:b/>
        </w:rPr>
        <w:t>).</w:t>
      </w:r>
      <w:r w:rsidRPr="00825713">
        <w:t xml:space="preserve"> </w:t>
      </w:r>
      <w:r w:rsidR="00682783" w:rsidRPr="00682783">
        <w:t xml:space="preserve">Our program design integrates the “Efficiency-as-a-Service” financing model into an existing suite of financing options. </w:t>
      </w:r>
      <w:proofErr w:type="spellStart"/>
      <w:r w:rsidR="00682783" w:rsidRPr="00682783">
        <w:t>EaaS</w:t>
      </w:r>
      <w:proofErr w:type="spellEnd"/>
      <w:r w:rsidR="00682783" w:rsidRPr="00682783">
        <w:t xml:space="preserve"> circumvents the capital approval hurdle by funding EE improvements from operating budgets and provides immediate positive cash flow. Because the financier relies on savings for repayment, the innovation also supports </w:t>
      </w:r>
      <w:r w:rsidR="0005131F">
        <w:t xml:space="preserve">the </w:t>
      </w:r>
      <w:r w:rsidR="00682783" w:rsidRPr="00682783">
        <w:t xml:space="preserve">persistence of claimed savings. With favorable project economics, </w:t>
      </w:r>
      <w:proofErr w:type="spellStart"/>
      <w:r w:rsidR="00682783" w:rsidRPr="00682783">
        <w:t>EaaS</w:t>
      </w:r>
      <w:proofErr w:type="spellEnd"/>
      <w:r w:rsidR="00682783" w:rsidRPr="00682783">
        <w:t xml:space="preserve"> is scalable across customer sectors, segments, and technologies and can be extended to cover other DSM technologies that meet specified investment criteria.</w:t>
      </w:r>
    </w:p>
    <w:p w14:paraId="4C7D316F" w14:textId="58F3A900" w:rsidR="00755A27" w:rsidRDefault="006F5D74" w:rsidP="00F957DF">
      <w:pPr>
        <w:pStyle w:val="SDGEBodyText1"/>
        <w:numPr>
          <w:ilvl w:val="0"/>
          <w:numId w:val="4"/>
        </w:numPr>
      </w:pPr>
      <w:r w:rsidRPr="00825713">
        <w:rPr>
          <w:b/>
        </w:rPr>
        <w:t>Data-Driven Targeting.</w:t>
      </w:r>
      <w:r w:rsidRPr="00825713">
        <w:t xml:space="preserve"> </w:t>
      </w:r>
      <w:r w:rsidR="00825713" w:rsidRPr="00825713">
        <w:t xml:space="preserve">Our targeted outreach and marketing activities will eliminate customer confusion through tailored program messaging. By examining available </w:t>
      </w:r>
      <w:r w:rsidR="0047491A">
        <w:t xml:space="preserve">agricultural </w:t>
      </w:r>
      <w:r w:rsidR="00825713" w:rsidRPr="00825713">
        <w:t>customer and territory data, we will identify high-potential sectors, measure-specific applications, and stranded opportunities to ultimately reduce customer acquisition costs and improve customer engagement. This innovation is universally applicable across all customer classes to encourage participation and to drive deeper energy savings</w:t>
      </w:r>
      <w:r w:rsidR="00825713">
        <w:t>.</w:t>
      </w:r>
    </w:p>
    <w:p w14:paraId="53408829" w14:textId="57C4689D" w:rsidR="00825713" w:rsidRDefault="00825713" w:rsidP="00F957DF">
      <w:pPr>
        <w:pStyle w:val="SDGEBodyText1"/>
        <w:numPr>
          <w:ilvl w:val="0"/>
          <w:numId w:val="4"/>
        </w:numPr>
      </w:pPr>
      <w:r w:rsidRPr="00825713">
        <w:rPr>
          <w:b/>
        </w:rPr>
        <w:t>Measure Graduation</w:t>
      </w:r>
      <w:r w:rsidR="006F5D74" w:rsidRPr="00825713">
        <w:t xml:space="preserve">. </w:t>
      </w:r>
      <w:r w:rsidRPr="00825713">
        <w:t>When planning EE upgrades, customers may only have a certain window of time to implement a project or purchase equipment. The traditional custom</w:t>
      </w:r>
      <w:r>
        <w:t xml:space="preserve"> </w:t>
      </w:r>
      <w:r w:rsidRPr="00825713">
        <w:t xml:space="preserve">process is too arduous to accommodate expedited schedules, resulting in stranded opportunities. We will capture these projects by introducing simplified custom applications that accelerate the approval process. These Custom Express applications will rely, in part, on typical operating profiles and system configurations uncovered by data-mining historical project data. Trade Allies will primarily utilize the Custom Express approach to cost-effectively expand </w:t>
      </w:r>
      <w:r w:rsidR="0005131F">
        <w:t xml:space="preserve">the </w:t>
      </w:r>
      <w:r w:rsidRPr="00825713">
        <w:t>proliferation of traditional custom measures beyond large customers and to enable data collection for full work</w:t>
      </w:r>
      <w:r w:rsidR="0005131F">
        <w:t xml:space="preserve"> </w:t>
      </w:r>
      <w:r w:rsidRPr="00825713">
        <w:t>paper development. Once enough data is accumulated, we will seek approval of the work</w:t>
      </w:r>
      <w:r w:rsidR="0005131F">
        <w:t xml:space="preserve"> </w:t>
      </w:r>
      <w:r w:rsidRPr="00825713">
        <w:t>paper and graduate the measure to the deemed platform. This innovation is proposed for all segments but will be applied only to measures that have reached the adequate market penetration criteria to warrant the Custom Express tool and work</w:t>
      </w:r>
      <w:r w:rsidR="0005131F">
        <w:t xml:space="preserve"> </w:t>
      </w:r>
      <w:r w:rsidRPr="00825713">
        <w:t>paper development effort.</w:t>
      </w:r>
    </w:p>
    <w:p w14:paraId="4E6A4DB8" w14:textId="24EE3A42" w:rsidR="00825713" w:rsidRDefault="00825713" w:rsidP="00F957DF">
      <w:pPr>
        <w:pStyle w:val="SDGEBodyText1"/>
        <w:numPr>
          <w:ilvl w:val="0"/>
          <w:numId w:val="4"/>
        </w:numPr>
      </w:pPr>
      <w:r w:rsidRPr="00825713">
        <w:rPr>
          <w:b/>
          <w:bCs/>
        </w:rPr>
        <w:t>Data-Driven Program Management</w:t>
      </w:r>
      <w:r w:rsidR="006F5D74" w:rsidRPr="00825713">
        <w:rPr>
          <w:b/>
          <w:bCs/>
        </w:rPr>
        <w:t>.</w:t>
      </w:r>
      <w:r w:rsidR="006F5D74" w:rsidRPr="00825713">
        <w:t xml:space="preserve"> </w:t>
      </w:r>
      <w:r w:rsidRPr="00825713">
        <w:t>In this digital age, effective program management requires instant access to real-time, accurate information. By integrating Captures, our program management, tracking</w:t>
      </w:r>
      <w:r w:rsidR="0005131F">
        <w:t>,</w:t>
      </w:r>
      <w:r w:rsidRPr="00825713">
        <w:t xml:space="preserve"> and reporting system, into our program delivery model, we are providing an engine that will enable a suite of features such as continuous flex incentive budget management and data mining for targeted marketing initiatives.</w:t>
      </w:r>
    </w:p>
    <w:p w14:paraId="73B871FC" w14:textId="73DAF473" w:rsidR="007B78B4" w:rsidRDefault="00825713" w:rsidP="00F957DF">
      <w:pPr>
        <w:pStyle w:val="SDGEBodyText1"/>
        <w:numPr>
          <w:ilvl w:val="0"/>
          <w:numId w:val="4"/>
        </w:numPr>
      </w:pPr>
      <w:r w:rsidRPr="00825713">
        <w:rPr>
          <w:b/>
          <w:bCs/>
        </w:rPr>
        <w:t>Savings Persistence Monitoring</w:t>
      </w:r>
      <w:r w:rsidR="006F5D74" w:rsidRPr="00825713">
        <w:rPr>
          <w:b/>
          <w:bCs/>
        </w:rPr>
        <w:t>.</w:t>
      </w:r>
      <w:r w:rsidR="006F5D74" w:rsidRPr="00825713">
        <w:t xml:space="preserve"> </w:t>
      </w:r>
      <w:r w:rsidRPr="00825713">
        <w:t xml:space="preserve">As customers consider EE upgrades, they are often concerned about maintaining incrementally complex equipment and ensuring that proposed investment criteria (i.e. energy savings) are realized. The persistence innovation is a multi-track, real-time M&amp;V protocol that more accurately accounts for net savings over equipment life rather than one-and-done M&amp;V plans focused on </w:t>
      </w:r>
      <w:r w:rsidR="0005131F" w:rsidRPr="00825713">
        <w:t>first</w:t>
      </w:r>
      <w:r w:rsidR="0005131F">
        <w:t>-</w:t>
      </w:r>
      <w:r w:rsidRPr="00825713">
        <w:t xml:space="preserve">year savings. Persistence protocol maintains customer engagement for years after initial program participation: providing ongoing guidance and support for project performance, </w:t>
      </w:r>
      <w:r w:rsidRPr="00825713">
        <w:lastRenderedPageBreak/>
        <w:t>establishing PG&amp;E and the TRC Team as trusted energy advisors, and offering numerous opportunities to promote repeat program participation. The innovation is scalable and is proposed across all sectors.</w:t>
      </w:r>
    </w:p>
    <w:p w14:paraId="2D8BCF59" w14:textId="314EA065" w:rsidR="00825713" w:rsidRDefault="00AE2A02" w:rsidP="00F957DF">
      <w:pPr>
        <w:pStyle w:val="SDGEBodyText1"/>
        <w:numPr>
          <w:ilvl w:val="0"/>
          <w:numId w:val="4"/>
        </w:numPr>
      </w:pPr>
      <w:r>
        <w:rPr>
          <w:b/>
          <w:bCs/>
        </w:rPr>
        <w:t>Normalized Metered Energy Consumption (NMEC).</w:t>
      </w:r>
      <w:r>
        <w:t xml:space="preserve"> </w:t>
      </w:r>
      <w:r w:rsidRPr="00AE2A02">
        <w:t xml:space="preserve">Complex EE project savings are often driven by several independent variables, making actual savings difficult for customers to decipher. To overcome this challenge, we will incorporate NMEC, a CA legislative (AB802) and CPUC approved method to quantify energy savings </w:t>
      </w:r>
      <w:proofErr w:type="gramStart"/>
      <w:r w:rsidRPr="00AE2A02">
        <w:t>similar to</w:t>
      </w:r>
      <w:proofErr w:type="gramEnd"/>
      <w:r w:rsidRPr="00AE2A02">
        <w:t xml:space="preserve"> IPMVP Option C, into our program delivery for savings at the building. We understand that SB 1131 extends NMEC to all end uses and we will work with PG&amp;E and the CPUC as necessary to expand NMEC application in the agricultural sector according to SB 1131. With NMEC, savings are verified at the meter, visible to the customer, and well-aligned with utility bill reductions. NMEC savings receive existing conditions baseline per CPUC (E-4818 and others) and a net to gross (NTG) equal to 0.95 per CPUC proceedings. With these conditions and no requirement for M&amp;V equipment, NMEC is a cost-effective M&amp;V method that increases overall claimable savings for no net increase in implementation cost. NMEC methodologies also promote Strategic Energy Management (SEM) activities in the agricultural sector by monitoring long-term performance. NMEC is most applicable for customers who achieve a minimum of </w:t>
      </w:r>
      <w:proofErr w:type="gramStart"/>
      <w:r w:rsidRPr="00AE2A02">
        <w:t>10% meter</w:t>
      </w:r>
      <w:proofErr w:type="gramEnd"/>
      <w:r w:rsidRPr="00AE2A02">
        <w:t xml:space="preserve"> savings, have predictable operating patterns, and who have an accessible metering platform.</w:t>
      </w:r>
    </w:p>
    <w:p w14:paraId="306BFFE9" w14:textId="3A45507B" w:rsidR="00ED226F" w:rsidRDefault="00ED226F" w:rsidP="00ED226F">
      <w:pPr>
        <w:pStyle w:val="SDGEBodyText1"/>
      </w:pPr>
    </w:p>
    <w:p w14:paraId="44C799F9" w14:textId="130CA3FD" w:rsidR="00ED226F" w:rsidRDefault="00ED226F" w:rsidP="00F957DF">
      <w:pPr>
        <w:pStyle w:val="SDGEBodyText1"/>
        <w:numPr>
          <w:ilvl w:val="0"/>
          <w:numId w:val="7"/>
        </w:numPr>
        <w:rPr>
          <w:b/>
          <w:bCs/>
        </w:rPr>
      </w:pPr>
      <w:r w:rsidRPr="00ED226F">
        <w:rPr>
          <w:b/>
          <w:bCs/>
        </w:rPr>
        <w:t>Metrics:</w:t>
      </w:r>
    </w:p>
    <w:p w14:paraId="48242F48" w14:textId="77777777" w:rsidR="00755A27" w:rsidRPr="00755A27" w:rsidRDefault="00755A27" w:rsidP="00755A27">
      <w:pPr>
        <w:pStyle w:val="SDGEBodyText1"/>
      </w:pPr>
      <w:r w:rsidRPr="00755A27">
        <w:t>The implementer will record all project data in their project and customer tracking system and track program performance by capturing the following Key Performance Indicators (KPIs):</w:t>
      </w:r>
    </w:p>
    <w:p w14:paraId="4A8AF848" w14:textId="3395390E" w:rsidR="00755A27" w:rsidRDefault="00755A27" w:rsidP="00755A27">
      <w:pPr>
        <w:pStyle w:val="SDGEBodyText1"/>
      </w:pPr>
      <w:r w:rsidRPr="00755A27">
        <w:t>Program Performance</w:t>
      </w:r>
    </w:p>
    <w:p w14:paraId="60E64881" w14:textId="2836DA62" w:rsidR="00755A27" w:rsidRPr="00755A27" w:rsidRDefault="00755A27" w:rsidP="00F957DF">
      <w:pPr>
        <w:pStyle w:val="SDGEBodyText1"/>
        <w:numPr>
          <w:ilvl w:val="0"/>
          <w:numId w:val="11"/>
        </w:numPr>
      </w:pPr>
      <w:r w:rsidRPr="00755A27">
        <w:t xml:space="preserve">Savings to Goal (kWh, kW, </w:t>
      </w:r>
      <w:proofErr w:type="spellStart"/>
      <w:r w:rsidRPr="00755A27">
        <w:t>therms</w:t>
      </w:r>
      <w:proofErr w:type="spellEnd"/>
      <w:r w:rsidRPr="00755A27">
        <w:t>)</w:t>
      </w:r>
    </w:p>
    <w:p w14:paraId="7D7875F2" w14:textId="414CBD2C" w:rsidR="00755A27" w:rsidRPr="00755A27" w:rsidRDefault="00755A27" w:rsidP="00F957DF">
      <w:pPr>
        <w:pStyle w:val="SDGEBodyText1"/>
        <w:numPr>
          <w:ilvl w:val="0"/>
          <w:numId w:val="11"/>
        </w:numPr>
      </w:pPr>
      <w:r w:rsidRPr="00755A27">
        <w:t>TRC Ratio</w:t>
      </w:r>
    </w:p>
    <w:p w14:paraId="1151B323" w14:textId="44B797B8" w:rsidR="00755A27" w:rsidRPr="00755A27" w:rsidRDefault="00755A27" w:rsidP="00F957DF">
      <w:pPr>
        <w:pStyle w:val="SDGEBodyText1"/>
        <w:numPr>
          <w:ilvl w:val="0"/>
          <w:numId w:val="11"/>
        </w:numPr>
      </w:pPr>
      <w:r w:rsidRPr="00755A27">
        <w:t>Passed Inspections</w:t>
      </w:r>
    </w:p>
    <w:p w14:paraId="378E8AA7" w14:textId="581FA346" w:rsidR="00A4232A" w:rsidRDefault="00A4232A" w:rsidP="00F957DF">
      <w:pPr>
        <w:pStyle w:val="SDGEBodyText1"/>
        <w:numPr>
          <w:ilvl w:val="0"/>
          <w:numId w:val="11"/>
        </w:numPr>
      </w:pPr>
      <w:r>
        <w:t xml:space="preserve">Data Quality </w:t>
      </w:r>
    </w:p>
    <w:p w14:paraId="683FF5F1" w14:textId="567649D5" w:rsidR="78F7D173" w:rsidRDefault="00A84311" w:rsidP="00F957DF">
      <w:pPr>
        <w:pStyle w:val="SDGEBodyText1"/>
        <w:numPr>
          <w:ilvl w:val="0"/>
          <w:numId w:val="11"/>
        </w:numPr>
      </w:pPr>
      <w:r>
        <w:t>Pipeline Quality</w:t>
      </w:r>
    </w:p>
    <w:p w14:paraId="065200B0" w14:textId="57DA9703" w:rsidR="00755A27" w:rsidRPr="00755A27" w:rsidRDefault="00755A27" w:rsidP="00755A27">
      <w:pPr>
        <w:pStyle w:val="SDGEBodyText1"/>
      </w:pPr>
      <w:r w:rsidRPr="00755A27">
        <w:t>Financials/Savings</w:t>
      </w:r>
    </w:p>
    <w:p w14:paraId="12F1118B" w14:textId="21874A5A" w:rsidR="00755A27" w:rsidRPr="00755A27" w:rsidRDefault="00755A27" w:rsidP="00F957DF">
      <w:pPr>
        <w:pStyle w:val="SDGEBodyText1"/>
        <w:numPr>
          <w:ilvl w:val="0"/>
          <w:numId w:val="11"/>
        </w:numPr>
      </w:pPr>
      <w:r w:rsidRPr="00755A27">
        <w:t>Savings Claimed</w:t>
      </w:r>
    </w:p>
    <w:p w14:paraId="453ABE6A" w14:textId="422D2CAC" w:rsidR="00755A27" w:rsidRPr="00755A27" w:rsidRDefault="00755A27" w:rsidP="00F957DF">
      <w:pPr>
        <w:pStyle w:val="SDGEBodyText1"/>
        <w:numPr>
          <w:ilvl w:val="0"/>
          <w:numId w:val="11"/>
        </w:numPr>
      </w:pPr>
      <w:r w:rsidRPr="00755A27">
        <w:t>Budget Spent</w:t>
      </w:r>
    </w:p>
    <w:p w14:paraId="79A7B5D5" w14:textId="57E8E168" w:rsidR="00755A27" w:rsidRPr="00755A27" w:rsidRDefault="00755A27" w:rsidP="00F957DF">
      <w:pPr>
        <w:pStyle w:val="SDGEBodyText1"/>
        <w:numPr>
          <w:ilvl w:val="0"/>
          <w:numId w:val="11"/>
        </w:numPr>
      </w:pPr>
      <w:r w:rsidRPr="00755A27">
        <w:t>Savings/Budget Alignment</w:t>
      </w:r>
    </w:p>
    <w:p w14:paraId="31F7979A" w14:textId="701A8818" w:rsidR="00755A27" w:rsidRPr="00755A27" w:rsidRDefault="00755A27" w:rsidP="00755A27">
      <w:pPr>
        <w:pStyle w:val="SDGEBodyText1"/>
      </w:pPr>
      <w:r w:rsidRPr="00755A27">
        <w:t>Customer Satisfaction</w:t>
      </w:r>
    </w:p>
    <w:p w14:paraId="027FC617" w14:textId="03CB34B1" w:rsidR="00755A27" w:rsidRPr="00755A27" w:rsidRDefault="00755A27" w:rsidP="00F957DF">
      <w:pPr>
        <w:pStyle w:val="SDGEBodyText1"/>
        <w:numPr>
          <w:ilvl w:val="0"/>
          <w:numId w:val="11"/>
        </w:numPr>
      </w:pPr>
      <w:r w:rsidRPr="00755A27">
        <w:t>Customer Satisfaction Survey Scores</w:t>
      </w:r>
    </w:p>
    <w:p w14:paraId="7ADF1D58" w14:textId="15C7B8DE" w:rsidR="00755A27" w:rsidRPr="00755A27" w:rsidRDefault="00755A27" w:rsidP="00F957DF">
      <w:pPr>
        <w:pStyle w:val="SDGEBodyText1"/>
        <w:numPr>
          <w:ilvl w:val="0"/>
          <w:numId w:val="11"/>
        </w:numPr>
      </w:pPr>
      <w:r w:rsidRPr="00755A27">
        <w:t>Complaints Received</w:t>
      </w:r>
    </w:p>
    <w:p w14:paraId="5C75B3A1" w14:textId="757AE3BA" w:rsidR="00755A27" w:rsidRPr="00755A27" w:rsidRDefault="00755A27" w:rsidP="00755A27">
      <w:pPr>
        <w:pStyle w:val="SDGEBodyText1"/>
      </w:pPr>
      <w:r w:rsidRPr="00755A27">
        <w:lastRenderedPageBreak/>
        <w:t>Compliance</w:t>
      </w:r>
    </w:p>
    <w:p w14:paraId="2A78FF3B" w14:textId="0B7B4938" w:rsidR="00755A27" w:rsidRPr="00755A27" w:rsidRDefault="00A84311" w:rsidP="00F957DF">
      <w:pPr>
        <w:pStyle w:val="SDGEBodyText1"/>
        <w:numPr>
          <w:ilvl w:val="0"/>
          <w:numId w:val="12"/>
        </w:numPr>
      </w:pPr>
      <w:r>
        <w:t>Savings Forecast</w:t>
      </w:r>
      <w:r w:rsidRPr="00755A27">
        <w:t xml:space="preserve"> </w:t>
      </w:r>
      <w:r w:rsidR="00755A27" w:rsidRPr="00755A27">
        <w:t>Accuracy</w:t>
      </w:r>
    </w:p>
    <w:p w14:paraId="7EE448CE" w14:textId="133E9279" w:rsidR="00755A27" w:rsidRPr="00755A27" w:rsidRDefault="00755A27" w:rsidP="00F957DF">
      <w:pPr>
        <w:pStyle w:val="SDGEBodyText1"/>
        <w:numPr>
          <w:ilvl w:val="0"/>
          <w:numId w:val="12"/>
        </w:numPr>
      </w:pPr>
      <w:r w:rsidRPr="00755A27">
        <w:t>Engineering Quality</w:t>
      </w:r>
    </w:p>
    <w:p w14:paraId="0771FD74" w14:textId="242B3CED" w:rsidR="00755A27" w:rsidRPr="00F957DF" w:rsidRDefault="00755A27" w:rsidP="00F957DF">
      <w:pPr>
        <w:pStyle w:val="SDGEBodyText1"/>
        <w:numPr>
          <w:ilvl w:val="0"/>
          <w:numId w:val="12"/>
        </w:numPr>
        <w:rPr>
          <w:rFonts w:cs="Garamond"/>
          <w:b/>
          <w:bCs/>
          <w:color w:val="000000"/>
        </w:rPr>
      </w:pPr>
      <w:r w:rsidRPr="00755A27">
        <w:t>HTR/DAC Penetration</w:t>
      </w:r>
    </w:p>
    <w:p w14:paraId="326CC30F" w14:textId="77777777" w:rsidR="00755A27" w:rsidRDefault="00755A27" w:rsidP="007F2BC1">
      <w:pPr>
        <w:autoSpaceDE w:val="0"/>
        <w:autoSpaceDN w:val="0"/>
        <w:adjustRightInd w:val="0"/>
        <w:spacing w:after="0" w:line="240" w:lineRule="auto"/>
        <w:rPr>
          <w:rFonts w:ascii="Garamond" w:hAnsi="Garamond" w:cs="Garamond"/>
          <w:b/>
          <w:bCs/>
          <w:color w:val="000000"/>
          <w:sz w:val="24"/>
          <w:szCs w:val="24"/>
        </w:rPr>
      </w:pPr>
    </w:p>
    <w:p w14:paraId="7700AACE" w14:textId="7AB7A47B" w:rsidR="002370D4" w:rsidRPr="00E36988" w:rsidRDefault="002370D4" w:rsidP="00F957DF">
      <w:pPr>
        <w:pStyle w:val="ListParagraph"/>
        <w:numPr>
          <w:ilvl w:val="0"/>
          <w:numId w:val="7"/>
        </w:numPr>
        <w:autoSpaceDE w:val="0"/>
        <w:autoSpaceDN w:val="0"/>
        <w:adjustRightInd w:val="0"/>
        <w:spacing w:after="0"/>
        <w:rPr>
          <w:rFonts w:cs="Garamond"/>
          <w:b/>
          <w:bCs/>
          <w:color w:val="000000"/>
        </w:rPr>
      </w:pPr>
      <w:r w:rsidRPr="00E36988">
        <w:rPr>
          <w:rFonts w:cs="Garamond"/>
          <w:b/>
          <w:bCs/>
          <w:color w:val="000000"/>
        </w:rPr>
        <w:t xml:space="preserve">For Programs claiming to-code savings:  </w:t>
      </w:r>
    </w:p>
    <w:p w14:paraId="30718793" w14:textId="0B6AB4D2" w:rsidR="002B4296" w:rsidRPr="00752022" w:rsidRDefault="00435CC8" w:rsidP="00752022">
      <w:pPr>
        <w:autoSpaceDE w:val="0"/>
        <w:autoSpaceDN w:val="0"/>
        <w:adjustRightInd w:val="0"/>
        <w:spacing w:after="0" w:line="240" w:lineRule="auto"/>
        <w:rPr>
          <w:rFonts w:ascii="Garamond" w:hAnsi="Garamond" w:cs="Garamond"/>
          <w:color w:val="000000"/>
        </w:rPr>
      </w:pPr>
      <w:r>
        <w:rPr>
          <w:rFonts w:ascii="Garamond" w:hAnsi="Garamond" w:cs="Garamond"/>
          <w:color w:val="000000"/>
          <w:sz w:val="24"/>
          <w:szCs w:val="24"/>
        </w:rPr>
        <w:t>T</w:t>
      </w:r>
      <w:r w:rsidR="002370D4">
        <w:rPr>
          <w:rFonts w:ascii="Garamond" w:hAnsi="Garamond" w:cs="Garamond"/>
          <w:color w:val="000000"/>
          <w:sz w:val="24"/>
          <w:szCs w:val="24"/>
        </w:rPr>
        <w:t>he AESAP</w:t>
      </w:r>
      <w:r>
        <w:rPr>
          <w:rFonts w:ascii="Garamond" w:hAnsi="Garamond" w:cs="Garamond"/>
          <w:color w:val="000000"/>
          <w:sz w:val="24"/>
          <w:szCs w:val="24"/>
        </w:rPr>
        <w:t xml:space="preserve"> will be claiming to-code savings </w:t>
      </w:r>
      <w:r w:rsidR="00752022">
        <w:rPr>
          <w:rFonts w:ascii="Garamond" w:hAnsi="Garamond" w:cs="Garamond"/>
          <w:color w:val="000000"/>
          <w:sz w:val="24"/>
          <w:szCs w:val="24"/>
        </w:rPr>
        <w:t>and complying with Applicable Laws where appropriate</w:t>
      </w:r>
      <w:r>
        <w:rPr>
          <w:rFonts w:ascii="Garamond" w:hAnsi="Garamond" w:cs="Garamond"/>
          <w:color w:val="000000"/>
          <w:sz w:val="24"/>
          <w:szCs w:val="24"/>
        </w:rPr>
        <w:t>.</w:t>
      </w:r>
      <w:r w:rsidR="00617623">
        <w:rPr>
          <w:rFonts w:ascii="Garamond" w:hAnsi="Garamond" w:cs="Garamond"/>
          <w:color w:val="000000"/>
          <w:sz w:val="24"/>
          <w:szCs w:val="24"/>
        </w:rPr>
        <w:t xml:space="preserve">  </w:t>
      </w:r>
      <w:r w:rsidR="00752022">
        <w:rPr>
          <w:rFonts w:ascii="Garamond" w:hAnsi="Garamond" w:cs="Garamond"/>
          <w:color w:val="000000"/>
          <w:sz w:val="24"/>
          <w:szCs w:val="24"/>
        </w:rPr>
        <w:t>For instance, r</w:t>
      </w:r>
      <w:r w:rsidR="002B4296" w:rsidRPr="00752022">
        <w:rPr>
          <w:rFonts w:ascii="Garamond" w:hAnsi="Garamond" w:cs="Garamond"/>
          <w:sz w:val="24"/>
          <w:szCs w:val="24"/>
        </w:rPr>
        <w:t>efrigerated warehouses</w:t>
      </w:r>
      <w:r w:rsidR="00752022">
        <w:rPr>
          <w:rFonts w:ascii="Garamond" w:hAnsi="Garamond" w:cs="Garamond"/>
          <w:sz w:val="24"/>
          <w:szCs w:val="24"/>
        </w:rPr>
        <w:t xml:space="preserve"> will be an area where to-code savings potential resides. </w:t>
      </w:r>
      <w:r w:rsidR="003A210F">
        <w:rPr>
          <w:rFonts w:ascii="Garamond" w:hAnsi="Garamond" w:cs="Garamond"/>
          <w:sz w:val="24"/>
          <w:szCs w:val="24"/>
        </w:rPr>
        <w:t xml:space="preserve">Often equipment is continually maintained and </w:t>
      </w:r>
      <w:r w:rsidR="00132754">
        <w:rPr>
          <w:rFonts w:ascii="Garamond" w:hAnsi="Garamond" w:cs="Garamond"/>
          <w:sz w:val="24"/>
          <w:szCs w:val="24"/>
        </w:rPr>
        <w:t xml:space="preserve">expected equipment </w:t>
      </w:r>
      <w:r w:rsidR="003A210F">
        <w:rPr>
          <w:rFonts w:ascii="Garamond" w:hAnsi="Garamond" w:cs="Garamond"/>
          <w:sz w:val="24"/>
          <w:szCs w:val="24"/>
        </w:rPr>
        <w:t xml:space="preserve">turnover </w:t>
      </w:r>
      <w:r w:rsidR="00132754">
        <w:rPr>
          <w:rFonts w:ascii="Garamond" w:hAnsi="Garamond" w:cs="Garamond"/>
          <w:sz w:val="24"/>
          <w:szCs w:val="24"/>
        </w:rPr>
        <w:t xml:space="preserve">and replacement </w:t>
      </w:r>
      <w:r w:rsidR="003A210F">
        <w:rPr>
          <w:rFonts w:ascii="Garamond" w:hAnsi="Garamond" w:cs="Garamond"/>
          <w:sz w:val="24"/>
          <w:szCs w:val="24"/>
        </w:rPr>
        <w:t xml:space="preserve">does not </w:t>
      </w:r>
      <w:r w:rsidR="00132754">
        <w:rPr>
          <w:rFonts w:ascii="Garamond" w:hAnsi="Garamond" w:cs="Garamond"/>
          <w:sz w:val="24"/>
          <w:szCs w:val="24"/>
        </w:rPr>
        <w:t xml:space="preserve">naturally </w:t>
      </w:r>
      <w:r w:rsidR="003A210F">
        <w:rPr>
          <w:rFonts w:ascii="Garamond" w:hAnsi="Garamond" w:cs="Garamond"/>
          <w:sz w:val="24"/>
          <w:szCs w:val="24"/>
        </w:rPr>
        <w:t xml:space="preserve">occur. </w:t>
      </w:r>
      <w:r w:rsidR="00A629D5">
        <w:rPr>
          <w:rFonts w:ascii="Garamond" w:hAnsi="Garamond" w:cs="Garamond"/>
          <w:sz w:val="24"/>
          <w:szCs w:val="24"/>
        </w:rPr>
        <w:t xml:space="preserve">Offering to-code measures </w:t>
      </w:r>
      <w:r w:rsidR="003661BA">
        <w:rPr>
          <w:rFonts w:ascii="Garamond" w:hAnsi="Garamond" w:cs="Garamond"/>
          <w:sz w:val="24"/>
          <w:szCs w:val="24"/>
        </w:rPr>
        <w:t xml:space="preserve">and accelerated replacement options </w:t>
      </w:r>
      <w:r w:rsidR="00A629D5">
        <w:rPr>
          <w:rFonts w:ascii="Garamond" w:hAnsi="Garamond" w:cs="Garamond"/>
          <w:sz w:val="24"/>
          <w:szCs w:val="24"/>
        </w:rPr>
        <w:t>will help fill this gap while</w:t>
      </w:r>
      <w:r w:rsidR="00D63D77">
        <w:rPr>
          <w:rFonts w:ascii="Garamond" w:hAnsi="Garamond" w:cs="Garamond"/>
          <w:sz w:val="24"/>
          <w:szCs w:val="24"/>
        </w:rPr>
        <w:t xml:space="preserve"> screening projects for cost effectiveness</w:t>
      </w:r>
      <w:r w:rsidR="006D1348">
        <w:rPr>
          <w:rFonts w:ascii="Garamond" w:hAnsi="Garamond" w:cs="Garamond"/>
          <w:sz w:val="24"/>
          <w:szCs w:val="24"/>
        </w:rPr>
        <w:t xml:space="preserve">. </w:t>
      </w:r>
      <w:r w:rsidR="00752022">
        <w:rPr>
          <w:rFonts w:ascii="Garamond" w:hAnsi="Garamond" w:cs="Garamond"/>
          <w:sz w:val="24"/>
          <w:szCs w:val="24"/>
        </w:rPr>
        <w:t xml:space="preserve"> The Implementer will </w:t>
      </w:r>
      <w:r w:rsidR="002B4296" w:rsidRPr="00752022">
        <w:rPr>
          <w:rFonts w:ascii="Garamond" w:hAnsi="Garamond" w:cs="Garamond"/>
          <w:sz w:val="24"/>
          <w:szCs w:val="24"/>
        </w:rPr>
        <w:t>u</w:t>
      </w:r>
      <w:r w:rsidR="00752022">
        <w:rPr>
          <w:rFonts w:ascii="Garamond" w:hAnsi="Garamond" w:cs="Garamond"/>
          <w:sz w:val="24"/>
          <w:szCs w:val="24"/>
        </w:rPr>
        <w:t>tilize an</w:t>
      </w:r>
      <w:r w:rsidR="002B4296" w:rsidRPr="00752022">
        <w:rPr>
          <w:rFonts w:ascii="Garamond" w:hAnsi="Garamond" w:cs="Garamond"/>
          <w:sz w:val="24"/>
          <w:szCs w:val="24"/>
        </w:rPr>
        <w:t xml:space="preserve"> application process </w:t>
      </w:r>
      <w:r w:rsidR="00636DA1">
        <w:rPr>
          <w:rFonts w:ascii="Garamond" w:hAnsi="Garamond" w:cs="Garamond"/>
          <w:sz w:val="24"/>
          <w:szCs w:val="24"/>
        </w:rPr>
        <w:t>and a database</w:t>
      </w:r>
      <w:r w:rsidR="002B4296" w:rsidRPr="00752022">
        <w:rPr>
          <w:rFonts w:ascii="Garamond" w:hAnsi="Garamond" w:cs="Garamond"/>
          <w:sz w:val="24"/>
          <w:szCs w:val="24"/>
        </w:rPr>
        <w:t xml:space="preserve"> to </w:t>
      </w:r>
      <w:r w:rsidR="00752022">
        <w:rPr>
          <w:rFonts w:ascii="Garamond" w:hAnsi="Garamond" w:cs="Garamond"/>
          <w:sz w:val="24"/>
          <w:szCs w:val="24"/>
        </w:rPr>
        <w:t xml:space="preserve">track and </w:t>
      </w:r>
      <w:r w:rsidR="002B4296" w:rsidRPr="00752022">
        <w:rPr>
          <w:rFonts w:ascii="Garamond" w:hAnsi="Garamond" w:cs="Garamond"/>
          <w:sz w:val="24"/>
          <w:szCs w:val="24"/>
        </w:rPr>
        <w:t>record savings</w:t>
      </w:r>
      <w:r w:rsidR="00E84D28">
        <w:rPr>
          <w:rFonts w:ascii="Garamond" w:hAnsi="Garamond" w:cs="Garamond"/>
          <w:sz w:val="24"/>
          <w:szCs w:val="24"/>
        </w:rPr>
        <w:t xml:space="preserve"> and other customer data and information</w:t>
      </w:r>
      <w:r w:rsidR="00752022">
        <w:rPr>
          <w:rFonts w:ascii="Garamond" w:hAnsi="Garamond" w:cs="Garamond"/>
          <w:sz w:val="24"/>
          <w:szCs w:val="24"/>
        </w:rPr>
        <w:t xml:space="preserve"> throughout the Program</w:t>
      </w:r>
      <w:r w:rsidR="00E84D28">
        <w:rPr>
          <w:rFonts w:ascii="Garamond" w:hAnsi="Garamond" w:cs="Garamond"/>
          <w:sz w:val="24"/>
          <w:szCs w:val="24"/>
        </w:rPr>
        <w:t xml:space="preserve"> to understand issues with to-code potential such as, the reasons natural turnover is not happening</w:t>
      </w:r>
      <w:r w:rsidR="00A809FE">
        <w:rPr>
          <w:rFonts w:ascii="Garamond" w:hAnsi="Garamond" w:cs="Garamond"/>
          <w:sz w:val="24"/>
          <w:szCs w:val="24"/>
        </w:rPr>
        <w:t xml:space="preserve"> within the to-code opportunities</w:t>
      </w:r>
      <w:r w:rsidR="00752022">
        <w:rPr>
          <w:rFonts w:ascii="Garamond" w:hAnsi="Garamond" w:cs="Garamond"/>
          <w:sz w:val="24"/>
          <w:szCs w:val="24"/>
        </w:rPr>
        <w:t>.</w:t>
      </w:r>
    </w:p>
    <w:p w14:paraId="0C48D80D" w14:textId="61953400" w:rsidR="002370D4" w:rsidRDefault="002370D4" w:rsidP="007F2BC1">
      <w:pPr>
        <w:autoSpaceDE w:val="0"/>
        <w:autoSpaceDN w:val="0"/>
        <w:adjustRightInd w:val="0"/>
        <w:spacing w:after="0" w:line="240" w:lineRule="auto"/>
        <w:rPr>
          <w:rFonts w:ascii="Garamond" w:hAnsi="Garamond" w:cs="Garamond"/>
          <w:color w:val="000000"/>
          <w:sz w:val="24"/>
          <w:szCs w:val="24"/>
        </w:rPr>
      </w:pPr>
    </w:p>
    <w:p w14:paraId="33F8D691" w14:textId="6C4C4819" w:rsidR="002370D4" w:rsidRDefault="002370D4" w:rsidP="007F2BC1">
      <w:pPr>
        <w:autoSpaceDE w:val="0"/>
        <w:autoSpaceDN w:val="0"/>
        <w:adjustRightInd w:val="0"/>
        <w:spacing w:after="0" w:line="240" w:lineRule="auto"/>
        <w:rPr>
          <w:rFonts w:ascii="Garamond" w:hAnsi="Garamond" w:cs="Garamond"/>
          <w:color w:val="000000"/>
          <w:sz w:val="24"/>
          <w:szCs w:val="24"/>
        </w:rPr>
      </w:pPr>
    </w:p>
    <w:p w14:paraId="4576D59A" w14:textId="073C87D4" w:rsidR="002370D4" w:rsidRPr="00E36988" w:rsidRDefault="002370D4" w:rsidP="00F957DF">
      <w:pPr>
        <w:pStyle w:val="ListParagraph"/>
        <w:numPr>
          <w:ilvl w:val="0"/>
          <w:numId w:val="7"/>
        </w:numPr>
        <w:autoSpaceDE w:val="0"/>
        <w:autoSpaceDN w:val="0"/>
        <w:adjustRightInd w:val="0"/>
        <w:spacing w:after="0"/>
        <w:rPr>
          <w:rFonts w:cs="Garamond"/>
          <w:b/>
          <w:bCs/>
          <w:color w:val="000000"/>
        </w:rPr>
      </w:pPr>
      <w:bookmarkStart w:id="1" w:name="_Hlk56518340"/>
      <w:r w:rsidRPr="00E36988">
        <w:rPr>
          <w:rFonts w:cs="Garamond"/>
          <w:b/>
          <w:bCs/>
          <w:color w:val="000000"/>
        </w:rPr>
        <w:t>Pilots:</w:t>
      </w:r>
    </w:p>
    <w:p w14:paraId="2948649E" w14:textId="70CA9EB7" w:rsidR="002370D4" w:rsidRDefault="002370D4" w:rsidP="007F2BC1">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Pilot projects are not part of the AESAP.</w:t>
      </w:r>
    </w:p>
    <w:bookmarkEnd w:id="1"/>
    <w:p w14:paraId="3D3F8884" w14:textId="496516E8" w:rsidR="002370D4" w:rsidRDefault="002370D4" w:rsidP="007F2BC1">
      <w:pPr>
        <w:autoSpaceDE w:val="0"/>
        <w:autoSpaceDN w:val="0"/>
        <w:adjustRightInd w:val="0"/>
        <w:spacing w:after="0" w:line="240" w:lineRule="auto"/>
        <w:rPr>
          <w:rFonts w:ascii="Garamond" w:hAnsi="Garamond" w:cs="Garamond"/>
          <w:color w:val="000000"/>
          <w:sz w:val="24"/>
          <w:szCs w:val="24"/>
        </w:rPr>
      </w:pPr>
    </w:p>
    <w:p w14:paraId="760C3653" w14:textId="77777777" w:rsidR="002370D4" w:rsidRDefault="002370D4" w:rsidP="007B1B48">
      <w:pPr>
        <w:pStyle w:val="SDGEHeading21"/>
        <w:rPr>
          <w:color w:val="FF0000"/>
        </w:rPr>
      </w:pPr>
    </w:p>
    <w:p w14:paraId="01C4111D" w14:textId="61F1286B" w:rsidR="007F2BC1" w:rsidRPr="004A4CF0" w:rsidRDefault="007F2BC1" w:rsidP="00F957DF">
      <w:pPr>
        <w:pStyle w:val="SDGEHeading21"/>
        <w:numPr>
          <w:ilvl w:val="0"/>
          <w:numId w:val="7"/>
        </w:numPr>
      </w:pPr>
      <w:r w:rsidRPr="004A4CF0">
        <w:t>Workforce Education and Training</w:t>
      </w:r>
      <w:r w:rsidR="004A4CF0">
        <w:t>:</w:t>
      </w:r>
    </w:p>
    <w:p w14:paraId="1CB08911" w14:textId="7EA75822" w:rsidR="008D219C" w:rsidRPr="000C6934" w:rsidRDefault="00966E10" w:rsidP="000B13A3">
      <w:pPr>
        <w:pStyle w:val="SDGEBodyText1"/>
        <w:rPr>
          <w:rFonts w:cs="Arial"/>
        </w:rPr>
      </w:pPr>
      <w:r>
        <w:t>The program</w:t>
      </w:r>
      <w:r w:rsidR="008D219C" w:rsidRPr="008D219C">
        <w:t xml:space="preserve"> will engage </w:t>
      </w:r>
      <w:r w:rsidR="00A81B0E">
        <w:t>PG&amp;E</w:t>
      </w:r>
      <w:r w:rsidR="008D219C" w:rsidRPr="008D219C">
        <w:t>’s Workforce Education &amp; Training (WE</w:t>
      </w:r>
      <w:r w:rsidR="004A4CF0">
        <w:t>&amp;</w:t>
      </w:r>
      <w:r w:rsidR="008D219C" w:rsidRPr="008D219C">
        <w:t xml:space="preserve">T) program where possible to help promote the creation of a valued, skilled </w:t>
      </w:r>
      <w:r w:rsidR="008D219C" w:rsidRPr="000C6934">
        <w:t>workforce.</w:t>
      </w:r>
      <w:r w:rsidR="00222EEB" w:rsidRPr="000C6934">
        <w:t xml:space="preserve"> </w:t>
      </w:r>
      <w:r w:rsidR="00222EEB" w:rsidRPr="000C6934">
        <w:rPr>
          <w:rFonts w:cs="Arial"/>
        </w:rPr>
        <w:t xml:space="preserve">The program team </w:t>
      </w:r>
      <w:r w:rsidR="003F1F86" w:rsidRPr="000C6934">
        <w:rPr>
          <w:rFonts w:cs="Arial"/>
        </w:rPr>
        <w:t>will</w:t>
      </w:r>
      <w:r w:rsidR="00222EEB" w:rsidRPr="000C6934">
        <w:rPr>
          <w:rFonts w:cs="Arial"/>
        </w:rPr>
        <w:t xml:space="preserve"> encourage customers and Trade Pro</w:t>
      </w:r>
      <w:r w:rsidR="003F1F86" w:rsidRPr="000C6934">
        <w:rPr>
          <w:rFonts w:cs="Arial"/>
        </w:rPr>
        <w:t>fessional</w:t>
      </w:r>
      <w:r w:rsidR="00222EEB" w:rsidRPr="000C6934">
        <w:rPr>
          <w:rFonts w:cs="Arial"/>
        </w:rPr>
        <w:t xml:space="preserve">s to consider providing job access to Disadvantaged Workers through the application process. </w:t>
      </w:r>
      <w:r w:rsidR="003F1F86" w:rsidRPr="000C6934">
        <w:rPr>
          <w:rFonts w:cs="Arial"/>
        </w:rPr>
        <w:t>The</w:t>
      </w:r>
      <w:r w:rsidR="00222EEB" w:rsidRPr="000C6934">
        <w:rPr>
          <w:rFonts w:cs="Arial"/>
        </w:rPr>
        <w:t xml:space="preserve"> program team regularly work</w:t>
      </w:r>
      <w:r w:rsidR="003F1F86" w:rsidRPr="000C6934">
        <w:rPr>
          <w:rFonts w:cs="Arial"/>
        </w:rPr>
        <w:t>s</w:t>
      </w:r>
      <w:r w:rsidR="00222EEB" w:rsidRPr="000C6934">
        <w:rPr>
          <w:rFonts w:cs="Arial"/>
        </w:rPr>
        <w:t xml:space="preserve"> with local associations, training organizations</w:t>
      </w:r>
      <w:r w:rsidR="0005131F">
        <w:rPr>
          <w:rFonts w:cs="Arial"/>
        </w:rPr>
        <w:t>,</w:t>
      </w:r>
      <w:r w:rsidR="00222EEB" w:rsidRPr="000C6934">
        <w:rPr>
          <w:rFonts w:cs="Arial"/>
        </w:rPr>
        <w:t xml:space="preserve"> and colleges to support recruitment and training of a diverse industry workforce.</w:t>
      </w:r>
      <w:r w:rsidR="00BC6DEE" w:rsidRPr="000C6934">
        <w:rPr>
          <w:rFonts w:cs="Arial"/>
        </w:rPr>
        <w:t xml:space="preserve"> </w:t>
      </w:r>
      <w:r w:rsidR="00532AAA" w:rsidRPr="000C6934">
        <w:rPr>
          <w:rFonts w:cs="Arial"/>
        </w:rPr>
        <w:t xml:space="preserve">Additionally, </w:t>
      </w:r>
      <w:r w:rsidR="00C258BF" w:rsidRPr="000C6934">
        <w:rPr>
          <w:rFonts w:cs="Arial"/>
        </w:rPr>
        <w:t>workforce education and training requirements will be incorporated into any program subcontract agreements.</w:t>
      </w:r>
    </w:p>
    <w:p w14:paraId="7A521903" w14:textId="77777777" w:rsidR="00953A36" w:rsidRPr="000C6934" w:rsidRDefault="00953A36" w:rsidP="000B13A3">
      <w:pPr>
        <w:pStyle w:val="SDGEBodyText1"/>
        <w:rPr>
          <w:rFonts w:cs="Arial"/>
        </w:rPr>
      </w:pPr>
    </w:p>
    <w:p w14:paraId="5EB74BA5" w14:textId="6805C998" w:rsidR="00AB3FB5" w:rsidRPr="00253AF1" w:rsidRDefault="007F2BC1" w:rsidP="00F957DF">
      <w:pPr>
        <w:pStyle w:val="SDGEHeading21"/>
        <w:numPr>
          <w:ilvl w:val="0"/>
          <w:numId w:val="7"/>
        </w:numPr>
      </w:pPr>
      <w:r w:rsidRPr="00253AF1">
        <w:t>Workforce Standards</w:t>
      </w:r>
      <w:r w:rsidR="004A4CF0" w:rsidRPr="00253AF1">
        <w:t>:</w:t>
      </w:r>
    </w:p>
    <w:p w14:paraId="693A0F2C" w14:textId="31E0D065" w:rsidR="00253AF1" w:rsidRDefault="00E27AAF" w:rsidP="00B037BE">
      <w:pPr>
        <w:pStyle w:val="SDGEBodyText1"/>
      </w:pPr>
      <w:r w:rsidRPr="00E955B3">
        <w:rPr>
          <w:b/>
        </w:rPr>
        <w:t>HVAC</w:t>
      </w:r>
      <w:r w:rsidR="00E955B3" w:rsidRPr="00E955B3">
        <w:rPr>
          <w:b/>
        </w:rPr>
        <w:t>.</w:t>
      </w:r>
      <w:r w:rsidR="00E955B3">
        <w:t xml:space="preserve"> </w:t>
      </w:r>
      <w:r w:rsidR="00253AF1">
        <w:t>The availability of competent hourly craft personnel possessing the requisite knowledge, skills, and abilities to perform the installation, modification</w:t>
      </w:r>
      <w:r w:rsidR="0005131F">
        <w:t>,</w:t>
      </w:r>
      <w:r w:rsidR="00253AF1">
        <w:t xml:space="preserve"> and maintenance of HVAC measures will support improved program outcomes over time as well as increase the number of qualified and appropriately trained tradesmen. Marketing of the Program leverages each successful project, competent and accredited installation technicians will help ensure these successes. Accurate installation, appropriate maintenance, and operational training ensure energy savings are realized.</w:t>
      </w:r>
    </w:p>
    <w:p w14:paraId="736501E5" w14:textId="18A78CD5" w:rsidR="00253AF1" w:rsidRDefault="00253AF1" w:rsidP="00B037BE">
      <w:pPr>
        <w:pStyle w:val="SDGEBodyText1"/>
      </w:pPr>
      <w:r>
        <w:t>We have the capability to comply with the HVAC Workforce Standards through our current Trade Ally application and training process and project application prerequisites. Relevant data is captured, stored</w:t>
      </w:r>
      <w:r w:rsidR="0005131F">
        <w:t>,</w:t>
      </w:r>
      <w:r>
        <w:t xml:space="preserve"> and reported. By proactively educating customers and Trade Allies on the Standards and requiring the Standards be included in the contracting documents when customers solicit bids for HVAC measure implementation, the program can enforce compliance.</w:t>
      </w:r>
    </w:p>
    <w:p w14:paraId="05069226" w14:textId="1EB3F338" w:rsidR="00253AF1" w:rsidRDefault="00253AF1" w:rsidP="00B037BE">
      <w:pPr>
        <w:pStyle w:val="SDGEBodyText1"/>
      </w:pPr>
      <w:r>
        <w:lastRenderedPageBreak/>
        <w:t>Workforce standards to be incorporated into the program include ensuring HVAC installation technicians obtain one or more of the following: Completed an accredited HVAC apprenticeship</w:t>
      </w:r>
      <w:r w:rsidR="0005131F">
        <w:t xml:space="preserve"> , </w:t>
      </w:r>
      <w:r>
        <w:t xml:space="preserve">or are enrolled in an accredited HVAC apprenticeship; or have completed at least five years of work experience at the journey level as defined by the California Department of Industrial Relations (Title 8, Section 205 of the California Code of Regulations), passed a practical and written HVAC system installation competency test, and received credentialed training specific to the installation of the technology being installed; or hold a C-20 HVAC contractor license from the California Contractor’s </w:t>
      </w:r>
      <w:r w:rsidR="0005131F">
        <w:t xml:space="preserve">State </w:t>
      </w:r>
      <w:r>
        <w:t>Licensing Board. These requirements apply to all the individuals that perform the installation, modification, and maintenance work, not to the contracting firm itself. As proof, only Qualified Documents issued through HVAC apprenticeship programs approved by the California Department of Industrial Relations, Division of Apprenticeship Standards, will be accepted.</w:t>
      </w:r>
    </w:p>
    <w:p w14:paraId="68217B44" w14:textId="78867B24" w:rsidR="00253AF1" w:rsidRDefault="00253AF1" w:rsidP="00B037BE">
      <w:pPr>
        <w:pStyle w:val="SDGEBodyText1"/>
      </w:pPr>
      <w:r>
        <w:t>Requiring a set of standards will help ensure installation technicians have the appropriate skill level to perform HVAC work at customer sites and with customer equipment. HVAC measures are generally a critical component of ongoing operations. Proper installation, modification, and maintenance of these systems ensure customer</w:t>
      </w:r>
      <w:r w:rsidR="0005131F">
        <w:t>'</w:t>
      </w:r>
      <w:r>
        <w:t>s operational continuity and program satisfaction.</w:t>
      </w:r>
    </w:p>
    <w:p w14:paraId="472F8CAA" w14:textId="0F0C0DF1" w:rsidR="00253AF1" w:rsidRDefault="00253AF1" w:rsidP="00B037BE">
      <w:pPr>
        <w:pStyle w:val="SDGEBodyText1"/>
      </w:pPr>
      <w:r>
        <w:t xml:space="preserve">Program staff will verify each installation technician has the proper credentials </w:t>
      </w:r>
      <w:r w:rsidR="0005131F">
        <w:t>before</w:t>
      </w:r>
      <w:r>
        <w:t xml:space="preserve"> any work being performed. All HVAC projects will be checked for compliance during our QC check prior to work beginning and incentives paid. We will retain all Qualified Documents </w:t>
      </w:r>
      <w:r w:rsidR="0005131F">
        <w:t>following</w:t>
      </w:r>
      <w:r>
        <w:t xml:space="preserve"> PG&amp;E’s Document Retention policy provisions and will be available when requested for an audit by PG&amp;E.</w:t>
      </w:r>
    </w:p>
    <w:p w14:paraId="49A8CF36" w14:textId="5C7F82C2" w:rsidR="00253AF1" w:rsidRDefault="00E27AAF" w:rsidP="00B037BE">
      <w:pPr>
        <w:pStyle w:val="SDGEBodyText1"/>
      </w:pPr>
      <w:r w:rsidRPr="00E955B3">
        <w:rPr>
          <w:b/>
        </w:rPr>
        <w:t>Lighting</w:t>
      </w:r>
      <w:r w:rsidR="00E955B3" w:rsidRPr="00E955B3">
        <w:rPr>
          <w:b/>
        </w:rPr>
        <w:t>.</w:t>
      </w:r>
      <w:r w:rsidR="00E955B3">
        <w:t xml:space="preserve"> </w:t>
      </w:r>
      <w:r w:rsidR="00253AF1">
        <w:t xml:space="preserve">The availability of competent hourly craft personnel possessing the requisite knowledge, skills, and abilities to </w:t>
      </w:r>
      <w:r w:rsidR="0005131F">
        <w:t>install</w:t>
      </w:r>
      <w:r w:rsidR="00253AF1">
        <w:t xml:space="preserve"> lighting control measures will support improved program outcomes over time as well as increase the number of qualified and appropriately trained tradesmen. Marketing of the Program leverages each successful project, competent and accredited installation technicians will help ensure these successes. Accurate installation, appropriate maintenance, and operational training ensure energy savings are realized.</w:t>
      </w:r>
    </w:p>
    <w:p w14:paraId="6C222B7F" w14:textId="4B1EC00E" w:rsidR="00253AF1" w:rsidRDefault="00BD6510" w:rsidP="00B037BE">
      <w:pPr>
        <w:pStyle w:val="SDGEBodyText1"/>
      </w:pPr>
      <w:r>
        <w:t>TRC</w:t>
      </w:r>
      <w:r w:rsidR="00253AF1">
        <w:t xml:space="preserve"> ha</w:t>
      </w:r>
      <w:r>
        <w:t>s</w:t>
      </w:r>
      <w:r w:rsidR="00253AF1">
        <w:t xml:space="preserve"> the capability to comply with the Lighting Controls Workforce Standards through our current Trade Ally application and training process and project application prerequisites. Relevant data is captured, stored</w:t>
      </w:r>
      <w:r w:rsidR="0005131F">
        <w:t>,</w:t>
      </w:r>
      <w:r w:rsidR="00253AF1">
        <w:t xml:space="preserve"> and reported. By proactively educating customers and Trade Allies on the Standards and requiring the inclusion of the Standards in the contracting documents when customers solicit bids for lighting controls measure implementation, the program can enforce compliance.</w:t>
      </w:r>
    </w:p>
    <w:p w14:paraId="75EBA204" w14:textId="77777777" w:rsidR="00253AF1" w:rsidRDefault="00253AF1" w:rsidP="00B037BE">
      <w:pPr>
        <w:pStyle w:val="SDGEBodyText1"/>
      </w:pPr>
      <w:r>
        <w:t>Workforce standards to be incorporated into the program include ensuring lighting installation technicians possess certification from the California Advanced Lighting Controls Training Program (CALCTP) as either CALTCP Technical Installer or CALCTP Acceptance Test Technician. These requirements apply to all the individuals that perform the installation work, not to the contracting firm itself. As proof, only Qualified Documents issued by the California Advanced Lighting Controls Training Program (CALCTP) will be accepted.</w:t>
      </w:r>
    </w:p>
    <w:p w14:paraId="6BB36F75" w14:textId="75BAA523" w:rsidR="00253AF1" w:rsidRDefault="00253AF1" w:rsidP="00B037BE">
      <w:pPr>
        <w:pStyle w:val="SDGEBodyText1"/>
      </w:pPr>
      <w:r>
        <w:lastRenderedPageBreak/>
        <w:t>Requiring a set of standards will help ensure installation technicians have the appropriate skill level to perform installation work at customer sites and with customer equipment. Lighting Control measures are an important component of ongoing operations. Proper installation of these measures ensures operational continuity and program satisfaction.</w:t>
      </w:r>
    </w:p>
    <w:p w14:paraId="5DC7CD05" w14:textId="205B0212" w:rsidR="00253AF1" w:rsidRDefault="00253AF1" w:rsidP="00B037BE">
      <w:pPr>
        <w:pStyle w:val="SDGEBodyText1"/>
      </w:pPr>
      <w:r>
        <w:t xml:space="preserve">Program staff will verify each installation technician has the proper credentials </w:t>
      </w:r>
      <w:r w:rsidR="0005131F">
        <w:t>before</w:t>
      </w:r>
      <w:r>
        <w:t xml:space="preserve"> any work being performed. All Lighting Control projects will be checked for compliance during our QC check prior to</w:t>
      </w:r>
      <w:r w:rsidR="00C02E85">
        <w:t xml:space="preserve"> </w:t>
      </w:r>
      <w:r>
        <w:t>work beginning</w:t>
      </w:r>
      <w:r w:rsidR="00C02E85">
        <w:t xml:space="preserve"> </w:t>
      </w:r>
      <w:r>
        <w:t xml:space="preserve">and incentives paid. We will retain all Qualified Documents </w:t>
      </w:r>
      <w:r w:rsidR="0005131F">
        <w:t>following</w:t>
      </w:r>
      <w:r>
        <w:t xml:space="preserve"> PG&amp;E’s Document Retention policy provisions and will be available when requested for an audit by PG&amp;E.</w:t>
      </w:r>
    </w:p>
    <w:p w14:paraId="7B7DB921" w14:textId="77777777" w:rsidR="00636DA1" w:rsidRPr="00E27AAF" w:rsidRDefault="00636DA1" w:rsidP="00253AF1">
      <w:pPr>
        <w:pStyle w:val="SDGEBodyText1"/>
        <w:ind w:left="360"/>
      </w:pPr>
    </w:p>
    <w:p w14:paraId="0ABA719A" w14:textId="7898A2A1" w:rsidR="007F2BC1" w:rsidRPr="00BD6510" w:rsidRDefault="007F2BC1" w:rsidP="00F957DF">
      <w:pPr>
        <w:pStyle w:val="SDGEHeading21"/>
        <w:numPr>
          <w:ilvl w:val="0"/>
          <w:numId w:val="7"/>
        </w:numPr>
      </w:pPr>
      <w:r w:rsidRPr="00BD6510">
        <w:t>Disadvantaged Worker Plan</w:t>
      </w:r>
      <w:r w:rsidR="00E8108E" w:rsidRPr="00BD6510">
        <w:t>:</w:t>
      </w:r>
    </w:p>
    <w:p w14:paraId="39F3F6E3" w14:textId="1DCB6B58" w:rsidR="00BD6510" w:rsidRDefault="00BD6510" w:rsidP="00BD6510">
      <w:pPr>
        <w:pStyle w:val="SDGEBodyText1"/>
      </w:pPr>
      <w:r>
        <w:t xml:space="preserve">TRC will track Disadvantaged Worker participation where appropriate. TRC will do this by including questions on the </w:t>
      </w:r>
      <w:r w:rsidR="00F750D4">
        <w:t xml:space="preserve">Trade Ally </w:t>
      </w:r>
      <w:r>
        <w:t>application to allow for voluntary self-reporting. Periodic surveys of TAs via Survey Monkey will also ask for self-reporting of disadvantaged worked participation on specific AESAP projects. Customers performing their installations can also be asked to self-report Disadvantaged Worker details through project applications and surveys. Any information will be masked to remove any potential personally identifiable information and entered in Captures, our AESAP program management data system. Participation data can be reported on an ad-hoc basis or be provided as part of our regular reporting cycle.</w:t>
      </w:r>
    </w:p>
    <w:p w14:paraId="5F5346DE" w14:textId="749CE6B3" w:rsidR="00BD6510" w:rsidRDefault="00BD6510" w:rsidP="00BD6510">
      <w:pPr>
        <w:pStyle w:val="SDGEBodyText1"/>
      </w:pPr>
      <w:r>
        <w:t>TRC has a robust diversity and inclusion program for our staff as well as a supplier diversity program. The program team can encourage the trade allies to consider providing job access to Disadvantaged Workers through the application and training process. Our program teams regularly work with local associations, training organizations</w:t>
      </w:r>
      <w:r w:rsidR="0005131F">
        <w:t>,</w:t>
      </w:r>
      <w:r>
        <w:t xml:space="preserve"> and colleges to support recruitment and training of a diverse trade ally network.</w:t>
      </w:r>
    </w:p>
    <w:p w14:paraId="66D66B4F" w14:textId="74D550DF" w:rsidR="00636DA1" w:rsidRDefault="00BD6510" w:rsidP="00BD6510">
      <w:pPr>
        <w:pStyle w:val="SDGEBodyText1"/>
      </w:pPr>
      <w:r>
        <w:t>TRC embraces the importance of the CPUC’s desire to promote a diverse workforce. In accordance with D.18-10-008 a Disadvantaged Worker is defined as an individual who meets at least one of the following criteria:</w:t>
      </w:r>
    </w:p>
    <w:p w14:paraId="62AECEB3" w14:textId="69F69162" w:rsidR="00BD6510" w:rsidRDefault="00BD6510" w:rsidP="00F957DF">
      <w:pPr>
        <w:pStyle w:val="SDGEBodyText1"/>
        <w:numPr>
          <w:ilvl w:val="0"/>
          <w:numId w:val="5"/>
        </w:numPr>
      </w:pPr>
      <w:r>
        <w:t>Lives in a household where total income is below 50 percent of Area Median Income;</w:t>
      </w:r>
    </w:p>
    <w:p w14:paraId="673C85B6" w14:textId="25C536BF" w:rsidR="00BD6510" w:rsidRDefault="00BD6510" w:rsidP="00F957DF">
      <w:pPr>
        <w:pStyle w:val="SDGEBodyText1"/>
        <w:numPr>
          <w:ilvl w:val="0"/>
          <w:numId w:val="6"/>
        </w:numPr>
      </w:pPr>
      <w:r>
        <w:t>Is a recipient of public assistance;</w:t>
      </w:r>
    </w:p>
    <w:p w14:paraId="17E28B69" w14:textId="3FA7388E" w:rsidR="00BD6510" w:rsidRDefault="00BD6510" w:rsidP="00F957DF">
      <w:pPr>
        <w:pStyle w:val="SDGEBodyText1"/>
        <w:numPr>
          <w:ilvl w:val="0"/>
          <w:numId w:val="6"/>
        </w:numPr>
      </w:pPr>
      <w:r>
        <w:t>Lacks a high school diploma or GED;</w:t>
      </w:r>
    </w:p>
    <w:p w14:paraId="690AEB06" w14:textId="424B49C8" w:rsidR="00BD6510" w:rsidRDefault="00BD6510" w:rsidP="00F957DF">
      <w:pPr>
        <w:pStyle w:val="SDGEBodyText1"/>
        <w:numPr>
          <w:ilvl w:val="0"/>
          <w:numId w:val="6"/>
        </w:numPr>
      </w:pPr>
      <w:r>
        <w:t xml:space="preserve">Has </w:t>
      </w:r>
      <w:r w:rsidR="0005131F">
        <w:t xml:space="preserve">a </w:t>
      </w:r>
      <w:r>
        <w:t>previous history of incarceration lasting one year or more following a conviction under the criminal justice system;</w:t>
      </w:r>
    </w:p>
    <w:p w14:paraId="62E721A4" w14:textId="45F484EE" w:rsidR="00BD6510" w:rsidRDefault="00BD6510" w:rsidP="00F957DF">
      <w:pPr>
        <w:pStyle w:val="SDGEBodyText1"/>
        <w:numPr>
          <w:ilvl w:val="0"/>
          <w:numId w:val="6"/>
        </w:numPr>
      </w:pPr>
      <w:r>
        <w:t>Is a custodial single parent;</w:t>
      </w:r>
    </w:p>
    <w:p w14:paraId="58026FF6" w14:textId="2A8EF637" w:rsidR="00BD6510" w:rsidRDefault="00BD6510" w:rsidP="00F957DF">
      <w:pPr>
        <w:pStyle w:val="SDGEBodyText1"/>
        <w:numPr>
          <w:ilvl w:val="0"/>
          <w:numId w:val="6"/>
        </w:numPr>
      </w:pPr>
      <w:r>
        <w:t>Is chronically unemployed;</w:t>
      </w:r>
    </w:p>
    <w:p w14:paraId="708E12F8" w14:textId="4165F713" w:rsidR="00BD6510" w:rsidRDefault="00BD6510" w:rsidP="00F957DF">
      <w:pPr>
        <w:pStyle w:val="SDGEBodyText1"/>
        <w:numPr>
          <w:ilvl w:val="0"/>
          <w:numId w:val="6"/>
        </w:numPr>
      </w:pPr>
      <w:r>
        <w:t>Has been aged out or emancipated from the foster care system;</w:t>
      </w:r>
    </w:p>
    <w:p w14:paraId="354AEC60" w14:textId="4E7D8FA6" w:rsidR="00E8108E" w:rsidRDefault="00BD6510" w:rsidP="00F957DF">
      <w:pPr>
        <w:pStyle w:val="SDGEBodyText1"/>
        <w:numPr>
          <w:ilvl w:val="0"/>
          <w:numId w:val="6"/>
        </w:numPr>
      </w:pPr>
      <w:r>
        <w:t>Has limited English proficiency; or</w:t>
      </w:r>
    </w:p>
    <w:p w14:paraId="506B159E" w14:textId="11B16B6A" w:rsidR="00BD6510" w:rsidRPr="00BD6510" w:rsidRDefault="00BD6510" w:rsidP="00F957DF">
      <w:pPr>
        <w:pStyle w:val="SDGEBodyText1"/>
        <w:numPr>
          <w:ilvl w:val="0"/>
          <w:numId w:val="6"/>
        </w:numPr>
        <w:rPr>
          <w:rFonts w:cs="Arial"/>
        </w:rPr>
      </w:pPr>
      <w:r>
        <w:rPr>
          <w:rFonts w:cs="Arial"/>
        </w:rPr>
        <w:t>L</w:t>
      </w:r>
      <w:r w:rsidRPr="00BD6510">
        <w:rPr>
          <w:rFonts w:cs="Arial"/>
        </w:rPr>
        <w:t xml:space="preserve">ives in a high unemployment ZIP code that is in the top 25 percent of only the unemployment indicator of the </w:t>
      </w:r>
      <w:proofErr w:type="spellStart"/>
      <w:r w:rsidRPr="00BD6510">
        <w:rPr>
          <w:rFonts w:cs="Arial"/>
        </w:rPr>
        <w:t>CalEnviroScreen</w:t>
      </w:r>
      <w:proofErr w:type="spellEnd"/>
      <w:r w:rsidRPr="00BD6510">
        <w:rPr>
          <w:rFonts w:cs="Arial"/>
        </w:rPr>
        <w:t xml:space="preserve"> Tool.</w:t>
      </w:r>
    </w:p>
    <w:p w14:paraId="372940AA" w14:textId="77777777" w:rsidR="00BD6510" w:rsidRPr="00BD6510" w:rsidRDefault="00BD6510" w:rsidP="00BD6510">
      <w:pPr>
        <w:pStyle w:val="SDGEBodyText1"/>
        <w:rPr>
          <w:rFonts w:cs="Arial"/>
        </w:rPr>
      </w:pPr>
      <w:r w:rsidRPr="00BD6510">
        <w:rPr>
          <w:rFonts w:cs="Arial"/>
        </w:rPr>
        <w:lastRenderedPageBreak/>
        <w:t>For this program, we have not proposed any installation, modification, repair, or maintenance of EE equipment paid for through program funds. While we support job access for Disadvantaged Workers, the utilization of their employment is outside of the program activities.</w:t>
      </w:r>
    </w:p>
    <w:p w14:paraId="61D5076A" w14:textId="2F18E5AE" w:rsidR="00BD6510" w:rsidRDefault="00BD6510" w:rsidP="00BD6510">
      <w:pPr>
        <w:pStyle w:val="SDGEBodyText1"/>
        <w:rPr>
          <w:rFonts w:cs="Arial"/>
        </w:rPr>
      </w:pPr>
      <w:r w:rsidRPr="00BD6510">
        <w:rPr>
          <w:rFonts w:cs="Arial"/>
        </w:rPr>
        <w:t>We will report on Disadvantaged Workers within the TA network. Survey Monkey can be utilized to ensure that personal information is recorded anonymously. We will craft the survey such that the response is strictly voluntary. Any information will be masked to remove any potential</w:t>
      </w:r>
      <w:r w:rsidR="0005131F">
        <w:rPr>
          <w:rFonts w:cs="Arial"/>
        </w:rPr>
        <w:t>ly</w:t>
      </w:r>
      <w:r w:rsidRPr="00BD6510">
        <w:rPr>
          <w:rFonts w:cs="Arial"/>
        </w:rPr>
        <w:t xml:space="preserve"> identifiable information and entered in Captures, our AESAP program management data system. Participation data can be reported on an ad-hoc basis or be provided as part of our regular reporting cycle.</w:t>
      </w:r>
    </w:p>
    <w:p w14:paraId="3C0D1134" w14:textId="5C59D3C0" w:rsidR="00636DA1" w:rsidRDefault="00636DA1" w:rsidP="00BD6510">
      <w:pPr>
        <w:pStyle w:val="SDGEBodyText1"/>
        <w:rPr>
          <w:rFonts w:cs="Arial"/>
        </w:rPr>
      </w:pPr>
      <w:bookmarkStart w:id="2" w:name="_GoBack"/>
      <w:bookmarkEnd w:id="2"/>
    </w:p>
    <w:p w14:paraId="67600664" w14:textId="389EC0E6" w:rsidR="00636DA1" w:rsidRPr="00636DA1" w:rsidRDefault="00636DA1" w:rsidP="00F957DF">
      <w:pPr>
        <w:pStyle w:val="SDGEBodyText1"/>
        <w:numPr>
          <w:ilvl w:val="0"/>
          <w:numId w:val="7"/>
        </w:numPr>
        <w:rPr>
          <w:rFonts w:cs="Arial"/>
          <w:b/>
          <w:bCs/>
        </w:rPr>
      </w:pPr>
      <w:r>
        <w:rPr>
          <w:rFonts w:cs="Arial"/>
          <w:b/>
          <w:bCs/>
        </w:rPr>
        <w:t>Additional Information</w:t>
      </w:r>
      <w:r w:rsidRPr="00636DA1">
        <w:rPr>
          <w:rFonts w:cs="Arial"/>
          <w:b/>
          <w:bCs/>
        </w:rPr>
        <w:t>:</w:t>
      </w:r>
    </w:p>
    <w:p w14:paraId="7D1D611C" w14:textId="26BF5F60" w:rsidR="00636DA1" w:rsidRDefault="00636DA1" w:rsidP="00636DA1">
      <w:pPr>
        <w:pStyle w:val="SDGEBodyText1"/>
        <w:rPr>
          <w:rFonts w:cs="Arial"/>
        </w:rPr>
      </w:pPr>
      <w:r>
        <w:rPr>
          <w:rFonts w:cs="Arial"/>
        </w:rPr>
        <w:t>No additional information to provide</w:t>
      </w:r>
      <w:r w:rsidRPr="00636DA1">
        <w:rPr>
          <w:rFonts w:cs="Arial"/>
        </w:rPr>
        <w:t>.</w:t>
      </w:r>
    </w:p>
    <w:p w14:paraId="16BABFDE" w14:textId="4FF8063E" w:rsidR="00636DA1" w:rsidRDefault="00636DA1" w:rsidP="00636DA1">
      <w:pPr>
        <w:pStyle w:val="SDGEBodyText1"/>
        <w:rPr>
          <w:rFonts w:cs="Arial"/>
        </w:rPr>
      </w:pPr>
    </w:p>
    <w:p w14:paraId="7914658A" w14:textId="1E886A5A" w:rsidR="00C02E85" w:rsidRDefault="00C02E85" w:rsidP="00636DA1">
      <w:pPr>
        <w:pStyle w:val="SDGEBodyText1"/>
        <w:rPr>
          <w:rFonts w:cs="Arial"/>
        </w:rPr>
      </w:pPr>
    </w:p>
    <w:p w14:paraId="7264C50D" w14:textId="66BFC94C" w:rsidR="00C02E85" w:rsidRDefault="00C02E85" w:rsidP="00636DA1">
      <w:pPr>
        <w:pStyle w:val="SDGEBodyText1"/>
        <w:rPr>
          <w:rFonts w:cs="Arial"/>
        </w:rPr>
      </w:pPr>
    </w:p>
    <w:p w14:paraId="669A4D63" w14:textId="65691D73" w:rsidR="00C02E85" w:rsidRDefault="00C02E85" w:rsidP="00636DA1">
      <w:pPr>
        <w:pStyle w:val="SDGEBodyText1"/>
        <w:rPr>
          <w:rFonts w:cs="Arial"/>
        </w:rPr>
      </w:pPr>
    </w:p>
    <w:p w14:paraId="0C9BA79C" w14:textId="59225D04" w:rsidR="00C02E85" w:rsidRDefault="00C02E85" w:rsidP="00636DA1">
      <w:pPr>
        <w:pStyle w:val="SDGEBodyText1"/>
        <w:rPr>
          <w:rFonts w:cs="Arial"/>
        </w:rPr>
      </w:pPr>
    </w:p>
    <w:p w14:paraId="165753F9" w14:textId="35000124" w:rsidR="00C02E85" w:rsidRDefault="00C02E85" w:rsidP="00636DA1">
      <w:pPr>
        <w:pStyle w:val="SDGEBodyText1"/>
        <w:rPr>
          <w:rFonts w:cs="Arial"/>
        </w:rPr>
      </w:pPr>
    </w:p>
    <w:p w14:paraId="5C388D88" w14:textId="6A8CB842" w:rsidR="00C02E85" w:rsidRDefault="00C02E85" w:rsidP="00636DA1">
      <w:pPr>
        <w:pStyle w:val="SDGEBodyText1"/>
        <w:rPr>
          <w:rFonts w:cs="Arial"/>
        </w:rPr>
      </w:pPr>
    </w:p>
    <w:p w14:paraId="3385AB2C" w14:textId="77777777" w:rsidR="00C02E85" w:rsidRDefault="00C02E85" w:rsidP="00636DA1">
      <w:pPr>
        <w:pStyle w:val="SDGEBodyText1"/>
        <w:rPr>
          <w:rFonts w:cs="Arial"/>
        </w:rPr>
      </w:pPr>
    </w:p>
    <w:p w14:paraId="1E5C5EBF" w14:textId="77777777" w:rsidR="00636DA1" w:rsidRPr="00636DA1" w:rsidRDefault="00636DA1" w:rsidP="00636DA1">
      <w:pPr>
        <w:keepNext/>
        <w:keepLines/>
        <w:spacing w:before="240" w:after="240"/>
        <w:outlineLvl w:val="0"/>
        <w:rPr>
          <w:rFonts w:ascii="Century Gothic" w:eastAsia="Times New Roman" w:hAnsi="Century Gothic" w:cs="Times New Roman"/>
          <w:color w:val="2E74B5"/>
          <w:sz w:val="32"/>
          <w:szCs w:val="32"/>
        </w:rPr>
      </w:pPr>
      <w:bookmarkStart w:id="3" w:name="_Toc53489202"/>
      <w:r w:rsidRPr="00636DA1">
        <w:rPr>
          <w:rFonts w:ascii="Century Gothic" w:eastAsia="Times New Roman" w:hAnsi="Century Gothic" w:cs="Times New Roman"/>
          <w:color w:val="2E74B5"/>
          <w:sz w:val="32"/>
          <w:szCs w:val="32"/>
        </w:rPr>
        <w:t>Supporting Documents</w:t>
      </w:r>
      <w:bookmarkEnd w:id="3"/>
      <w:r w:rsidRPr="00636DA1">
        <w:rPr>
          <w:rFonts w:ascii="Century Gothic" w:eastAsia="Times New Roman" w:hAnsi="Century Gothic" w:cs="Times New Roman"/>
          <w:color w:val="2E74B5"/>
          <w:sz w:val="32"/>
          <w:szCs w:val="32"/>
        </w:rPr>
        <w:t xml:space="preserve"> </w:t>
      </w:r>
    </w:p>
    <w:p w14:paraId="58AB7976" w14:textId="77777777" w:rsidR="00636DA1" w:rsidRPr="00636DA1" w:rsidRDefault="00636DA1" w:rsidP="00636DA1">
      <w:pPr>
        <w:keepNext/>
        <w:keepLines/>
        <w:spacing w:before="200" w:after="0" w:line="252" w:lineRule="auto"/>
        <w:outlineLvl w:val="3"/>
        <w:rPr>
          <w:rFonts w:ascii="Garamond" w:eastAsia="Calibri" w:hAnsi="Garamond" w:cs="Times New Roman"/>
          <w:b/>
          <w:caps/>
          <w:sz w:val="24"/>
          <w:szCs w:val="24"/>
        </w:rPr>
      </w:pPr>
      <w:bookmarkStart w:id="4" w:name="_Toc53489203"/>
      <w:r w:rsidRPr="00636DA1">
        <w:rPr>
          <w:rFonts w:ascii="Garamond" w:eastAsia="Calibri" w:hAnsi="Garamond" w:cs="Times New Roman"/>
          <w:b/>
          <w:caps/>
          <w:sz w:val="24"/>
          <w:szCs w:val="24"/>
        </w:rPr>
        <w:t xml:space="preserve">1. Program Manuals and Program Rules </w:t>
      </w:r>
      <w:bookmarkEnd w:id="4"/>
    </w:p>
    <w:p w14:paraId="455F86EC" w14:textId="4A4D39FE" w:rsidR="00636DA1" w:rsidRPr="00636DA1" w:rsidRDefault="00636DA1" w:rsidP="00636DA1">
      <w:pPr>
        <w:spacing w:before="120" w:after="120" w:line="264" w:lineRule="auto"/>
        <w:rPr>
          <w:rFonts w:ascii="Garamond" w:eastAsia="Calibri" w:hAnsi="Garamond" w:cs="Times New Roman"/>
          <w:sz w:val="24"/>
          <w:szCs w:val="24"/>
        </w:rPr>
      </w:pPr>
    </w:p>
    <w:p w14:paraId="7CC7EA84" w14:textId="77777777" w:rsidR="00636DA1" w:rsidRPr="00636DA1" w:rsidRDefault="00636DA1" w:rsidP="00636DA1">
      <w:pPr>
        <w:keepNext/>
        <w:keepLines/>
        <w:spacing w:before="200" w:after="0" w:line="252" w:lineRule="auto"/>
        <w:outlineLvl w:val="3"/>
        <w:rPr>
          <w:rFonts w:ascii="Garamond" w:eastAsia="Calibri" w:hAnsi="Garamond" w:cs="Times New Roman"/>
          <w:b/>
          <w:caps/>
          <w:sz w:val="24"/>
          <w:szCs w:val="24"/>
        </w:rPr>
      </w:pPr>
      <w:bookmarkStart w:id="5" w:name="_Toc53489204"/>
      <w:r w:rsidRPr="00636DA1">
        <w:rPr>
          <w:rFonts w:ascii="Garamond" w:eastAsia="Calibri" w:hAnsi="Garamond" w:cs="Times New Roman"/>
          <w:b/>
          <w:caps/>
          <w:sz w:val="24"/>
          <w:szCs w:val="24"/>
        </w:rPr>
        <w:t>2. Program Theory and Program Logic Model</w:t>
      </w:r>
      <w:bookmarkEnd w:id="5"/>
      <w:r w:rsidRPr="00636DA1">
        <w:rPr>
          <w:rFonts w:ascii="Garamond" w:eastAsia="Calibri" w:hAnsi="Garamond" w:cs="Times New Roman"/>
          <w:b/>
          <w:caps/>
          <w:sz w:val="24"/>
          <w:szCs w:val="24"/>
        </w:rPr>
        <w:t xml:space="preserve">  </w:t>
      </w:r>
    </w:p>
    <w:p w14:paraId="1C7CC18B" w14:textId="72401B34" w:rsidR="00636DA1" w:rsidRPr="00636DA1" w:rsidRDefault="00636DA1" w:rsidP="00636DA1">
      <w:pPr>
        <w:spacing w:before="120" w:after="120" w:line="264" w:lineRule="auto"/>
        <w:rPr>
          <w:rFonts w:ascii="Garamond" w:eastAsia="Calibri" w:hAnsi="Garamond" w:cs="Times New Roman"/>
          <w:sz w:val="24"/>
          <w:szCs w:val="24"/>
        </w:rPr>
      </w:pPr>
    </w:p>
    <w:p w14:paraId="7919A113" w14:textId="77777777" w:rsidR="00636DA1" w:rsidRPr="00636DA1" w:rsidRDefault="00636DA1" w:rsidP="00636DA1">
      <w:pPr>
        <w:keepNext/>
        <w:keepLines/>
        <w:spacing w:before="200" w:after="0" w:line="252" w:lineRule="auto"/>
        <w:outlineLvl w:val="3"/>
        <w:rPr>
          <w:rFonts w:ascii="Garamond" w:eastAsia="Calibri" w:hAnsi="Garamond" w:cs="Times New Roman"/>
          <w:b/>
          <w:caps/>
          <w:sz w:val="24"/>
          <w:szCs w:val="24"/>
        </w:rPr>
      </w:pPr>
      <w:bookmarkStart w:id="6" w:name="_Toc53489205"/>
      <w:r w:rsidRPr="00636DA1">
        <w:rPr>
          <w:rFonts w:ascii="Garamond" w:eastAsia="Calibri" w:hAnsi="Garamond" w:cs="Times New Roman"/>
          <w:b/>
          <w:caps/>
          <w:sz w:val="24"/>
          <w:szCs w:val="24"/>
        </w:rPr>
        <w:t>3. Process Flow Chart</w:t>
      </w:r>
      <w:bookmarkEnd w:id="6"/>
      <w:r w:rsidRPr="00636DA1">
        <w:rPr>
          <w:rFonts w:ascii="Garamond" w:eastAsia="Calibri" w:hAnsi="Garamond" w:cs="Times New Roman"/>
          <w:b/>
          <w:caps/>
          <w:sz w:val="24"/>
          <w:szCs w:val="24"/>
        </w:rPr>
        <w:t xml:space="preserve"> </w:t>
      </w:r>
    </w:p>
    <w:p w14:paraId="67453CDA" w14:textId="72660C6F" w:rsidR="00636DA1" w:rsidRPr="00636DA1" w:rsidRDefault="00636DA1" w:rsidP="00636DA1">
      <w:pPr>
        <w:spacing w:before="120" w:after="120" w:line="264" w:lineRule="auto"/>
        <w:rPr>
          <w:rFonts w:ascii="Garamond" w:eastAsia="Calibri" w:hAnsi="Garamond" w:cs="Garamond"/>
          <w:sz w:val="24"/>
          <w:szCs w:val="24"/>
        </w:rPr>
      </w:pPr>
    </w:p>
    <w:p w14:paraId="663C6736" w14:textId="77777777" w:rsidR="00636DA1" w:rsidRPr="00636DA1" w:rsidRDefault="00636DA1" w:rsidP="00636DA1">
      <w:pPr>
        <w:keepNext/>
        <w:keepLines/>
        <w:spacing w:before="200" w:after="0" w:line="252" w:lineRule="auto"/>
        <w:outlineLvl w:val="3"/>
        <w:rPr>
          <w:rFonts w:ascii="Garamond" w:eastAsia="Calibri" w:hAnsi="Garamond" w:cs="Times New Roman"/>
          <w:b/>
          <w:caps/>
          <w:sz w:val="24"/>
          <w:szCs w:val="24"/>
        </w:rPr>
      </w:pPr>
      <w:bookmarkStart w:id="7" w:name="_Toc53489206"/>
      <w:r w:rsidRPr="00636DA1">
        <w:rPr>
          <w:rFonts w:ascii="Garamond" w:eastAsia="Calibri" w:hAnsi="Garamond" w:cs="Times New Roman"/>
          <w:b/>
          <w:caps/>
          <w:sz w:val="24"/>
          <w:szCs w:val="24"/>
        </w:rPr>
        <w:t>4. Incentive Tables, Workpapers, Software Tools</w:t>
      </w:r>
      <w:bookmarkEnd w:id="7"/>
      <w:r w:rsidRPr="00636DA1">
        <w:rPr>
          <w:rFonts w:ascii="Garamond" w:eastAsia="Calibri" w:hAnsi="Garamond" w:cs="Times New Roman"/>
          <w:b/>
          <w:caps/>
          <w:sz w:val="24"/>
          <w:szCs w:val="24"/>
        </w:rPr>
        <w:t xml:space="preserve">  </w:t>
      </w:r>
    </w:p>
    <w:p w14:paraId="365071A9" w14:textId="76467361" w:rsidR="00636DA1" w:rsidRPr="00636DA1" w:rsidRDefault="00636DA1" w:rsidP="00636DA1">
      <w:pPr>
        <w:spacing w:before="120" w:after="120" w:line="264" w:lineRule="auto"/>
        <w:rPr>
          <w:rFonts w:ascii="Garamond" w:eastAsia="Calibri" w:hAnsi="Garamond" w:cs="Times New Roman"/>
          <w:sz w:val="24"/>
          <w:szCs w:val="24"/>
        </w:rPr>
      </w:pPr>
    </w:p>
    <w:p w14:paraId="47254194" w14:textId="77777777" w:rsidR="00636DA1" w:rsidRPr="00636DA1" w:rsidRDefault="00636DA1" w:rsidP="00636DA1">
      <w:pPr>
        <w:keepNext/>
        <w:keepLines/>
        <w:spacing w:before="200" w:after="0" w:line="252" w:lineRule="auto"/>
        <w:outlineLvl w:val="3"/>
        <w:rPr>
          <w:rFonts w:ascii="Garamond" w:eastAsia="Calibri" w:hAnsi="Garamond" w:cs="Times New Roman"/>
          <w:b/>
          <w:caps/>
          <w:sz w:val="24"/>
          <w:szCs w:val="24"/>
        </w:rPr>
      </w:pPr>
      <w:bookmarkStart w:id="8" w:name="_Toc53489207"/>
      <w:r w:rsidRPr="00636DA1">
        <w:rPr>
          <w:rFonts w:ascii="Garamond" w:eastAsia="Calibri" w:hAnsi="Garamond" w:cs="Times New Roman"/>
          <w:b/>
          <w:caps/>
          <w:sz w:val="24"/>
          <w:szCs w:val="24"/>
        </w:rPr>
        <w:t>5. Quantitative Program Targets</w:t>
      </w:r>
      <w:bookmarkEnd w:id="8"/>
      <w:r w:rsidRPr="00636DA1">
        <w:rPr>
          <w:rFonts w:ascii="Garamond" w:eastAsia="Calibri" w:hAnsi="Garamond" w:cs="Times New Roman"/>
          <w:b/>
          <w:caps/>
          <w:sz w:val="24"/>
          <w:szCs w:val="24"/>
        </w:rPr>
        <w:t xml:space="preserve"> </w:t>
      </w:r>
    </w:p>
    <w:p w14:paraId="7B5194CB" w14:textId="3CAE0859" w:rsidR="00636DA1" w:rsidRPr="00636DA1" w:rsidRDefault="00636DA1" w:rsidP="00636DA1">
      <w:pPr>
        <w:spacing w:before="120" w:after="120" w:line="264" w:lineRule="auto"/>
        <w:rPr>
          <w:rFonts w:ascii="Garamond" w:eastAsia="Calibri" w:hAnsi="Garamond" w:cs="Times New Roman"/>
          <w:sz w:val="24"/>
          <w:szCs w:val="24"/>
        </w:rPr>
      </w:pPr>
    </w:p>
    <w:p w14:paraId="03C61B46" w14:textId="77777777" w:rsidR="00636DA1" w:rsidRPr="00636DA1" w:rsidRDefault="00636DA1" w:rsidP="00636DA1">
      <w:pPr>
        <w:keepNext/>
        <w:keepLines/>
        <w:spacing w:before="200" w:after="0" w:line="252" w:lineRule="auto"/>
        <w:outlineLvl w:val="3"/>
        <w:rPr>
          <w:rFonts w:ascii="Garamond" w:eastAsia="Calibri" w:hAnsi="Garamond" w:cs="Times New Roman"/>
          <w:b/>
          <w:caps/>
          <w:sz w:val="24"/>
          <w:szCs w:val="24"/>
        </w:rPr>
      </w:pPr>
      <w:bookmarkStart w:id="9" w:name="_Toc53489208"/>
      <w:r w:rsidRPr="00636DA1">
        <w:rPr>
          <w:rFonts w:ascii="Garamond" w:eastAsia="Calibri" w:hAnsi="Garamond" w:cs="Times New Roman"/>
          <w:b/>
          <w:caps/>
          <w:sz w:val="24"/>
          <w:szCs w:val="24"/>
        </w:rPr>
        <w:lastRenderedPageBreak/>
        <w:t>6. Diagram of Program</w:t>
      </w:r>
      <w:bookmarkEnd w:id="9"/>
      <w:r w:rsidRPr="00636DA1">
        <w:rPr>
          <w:rFonts w:ascii="Garamond" w:eastAsia="Calibri" w:hAnsi="Garamond" w:cs="Times New Roman"/>
          <w:b/>
          <w:caps/>
          <w:sz w:val="24"/>
          <w:szCs w:val="24"/>
        </w:rPr>
        <w:t xml:space="preserve">  </w:t>
      </w:r>
    </w:p>
    <w:p w14:paraId="6210F2B7" w14:textId="20170331" w:rsidR="00636DA1" w:rsidRPr="00636DA1" w:rsidRDefault="00636DA1" w:rsidP="00636DA1">
      <w:pPr>
        <w:spacing w:before="120" w:after="120" w:line="264" w:lineRule="auto"/>
        <w:rPr>
          <w:rFonts w:ascii="Garamond" w:eastAsia="Calibri" w:hAnsi="Garamond" w:cs="Times New Roman"/>
          <w:noProof/>
          <w:sz w:val="24"/>
          <w:szCs w:val="24"/>
        </w:rPr>
      </w:pPr>
    </w:p>
    <w:p w14:paraId="3F3C4FB7" w14:textId="77777777" w:rsidR="00636DA1" w:rsidRPr="00636DA1" w:rsidRDefault="00636DA1" w:rsidP="00636DA1">
      <w:pPr>
        <w:keepNext/>
        <w:keepLines/>
        <w:spacing w:before="200" w:after="0" w:line="252" w:lineRule="auto"/>
        <w:outlineLvl w:val="3"/>
        <w:rPr>
          <w:rFonts w:ascii="Garamond" w:eastAsia="Calibri" w:hAnsi="Garamond" w:cs="Times New Roman"/>
          <w:b/>
          <w:caps/>
          <w:sz w:val="24"/>
          <w:szCs w:val="24"/>
        </w:rPr>
      </w:pPr>
      <w:bookmarkStart w:id="10" w:name="_Toc53489209"/>
      <w:r w:rsidRPr="00636DA1">
        <w:rPr>
          <w:rFonts w:ascii="Garamond" w:eastAsia="Calibri" w:hAnsi="Garamond" w:cs="Times New Roman"/>
          <w:b/>
          <w:caps/>
          <w:sz w:val="24"/>
          <w:szCs w:val="24"/>
        </w:rPr>
        <w:t>7. Evaluation, Measurement &amp; Verification (EM&amp;V)</w:t>
      </w:r>
      <w:bookmarkEnd w:id="10"/>
    </w:p>
    <w:p w14:paraId="07CAF547" w14:textId="7CBB6EC1" w:rsidR="00636DA1" w:rsidRPr="00636DA1" w:rsidRDefault="00636DA1" w:rsidP="00636DA1">
      <w:pPr>
        <w:spacing w:before="120" w:after="120" w:line="264" w:lineRule="auto"/>
        <w:rPr>
          <w:rFonts w:ascii="Garamond" w:eastAsia="Calibri" w:hAnsi="Garamond" w:cs="Times New Roman"/>
          <w:noProof/>
          <w:sz w:val="24"/>
          <w:szCs w:val="24"/>
        </w:rPr>
      </w:pPr>
    </w:p>
    <w:p w14:paraId="10305773" w14:textId="77777777" w:rsidR="00636DA1" w:rsidRPr="00636DA1" w:rsidRDefault="00636DA1" w:rsidP="00636DA1">
      <w:pPr>
        <w:keepNext/>
        <w:keepLines/>
        <w:spacing w:before="200" w:after="0" w:line="252" w:lineRule="auto"/>
        <w:outlineLvl w:val="3"/>
        <w:rPr>
          <w:rFonts w:ascii="Garamond" w:eastAsia="Calibri" w:hAnsi="Garamond" w:cs="Times New Roman"/>
          <w:b/>
          <w:caps/>
          <w:sz w:val="24"/>
          <w:szCs w:val="24"/>
        </w:rPr>
      </w:pPr>
      <w:bookmarkStart w:id="11" w:name="_Toc53489210"/>
      <w:r w:rsidRPr="00636DA1">
        <w:rPr>
          <w:rFonts w:ascii="Garamond" w:eastAsia="Calibri" w:hAnsi="Garamond" w:cs="Times New Roman"/>
          <w:b/>
          <w:caps/>
          <w:sz w:val="24"/>
          <w:szCs w:val="24"/>
        </w:rPr>
        <w:t>8. Normalized metered energy consumption (nMEC</w:t>
      </w:r>
      <w:bookmarkEnd w:id="11"/>
      <w:r w:rsidRPr="00636DA1">
        <w:rPr>
          <w:rFonts w:ascii="Garamond" w:eastAsia="Calibri" w:hAnsi="Garamond" w:cs="Times New Roman"/>
          <w:b/>
          <w:caps/>
          <w:sz w:val="24"/>
          <w:szCs w:val="24"/>
        </w:rPr>
        <w:t>)</w:t>
      </w:r>
    </w:p>
    <w:p w14:paraId="2997822A" w14:textId="29D57A96" w:rsidR="00636DA1" w:rsidRPr="00636DA1" w:rsidRDefault="00636DA1" w:rsidP="00636DA1">
      <w:pPr>
        <w:spacing w:before="120" w:after="120" w:line="264" w:lineRule="auto"/>
        <w:rPr>
          <w:rFonts w:ascii="Garamond" w:eastAsia="Calibri" w:hAnsi="Garamond" w:cs="Times New Roman"/>
          <w:sz w:val="24"/>
          <w:szCs w:val="24"/>
        </w:rPr>
      </w:pPr>
    </w:p>
    <w:p w14:paraId="07150258" w14:textId="77777777" w:rsidR="00636DA1" w:rsidRPr="00636DA1" w:rsidRDefault="00636DA1" w:rsidP="00636DA1">
      <w:pPr>
        <w:pStyle w:val="SDGEBodyText1"/>
        <w:rPr>
          <w:rFonts w:cs="Arial"/>
        </w:rPr>
      </w:pPr>
    </w:p>
    <w:p w14:paraId="4ADFCEE5" w14:textId="77777777" w:rsidR="00BD6510" w:rsidRPr="00636DA1" w:rsidRDefault="00BD6510" w:rsidP="00BD6510">
      <w:pPr>
        <w:pStyle w:val="SDGEBodyText1"/>
        <w:rPr>
          <w:rFonts w:cs="Arial"/>
        </w:rPr>
      </w:pPr>
    </w:p>
    <w:sectPr w:rsidR="00BD6510" w:rsidRPr="00636DA1" w:rsidSect="00B11471">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61FDD30" w16cex:dateUtc="2020-11-23T2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B09C3" w14:textId="77777777" w:rsidR="000F79AD" w:rsidRDefault="000F79AD">
      <w:pPr>
        <w:spacing w:after="0" w:line="240" w:lineRule="auto"/>
      </w:pPr>
      <w:r>
        <w:separator/>
      </w:r>
    </w:p>
  </w:endnote>
  <w:endnote w:type="continuationSeparator" w:id="0">
    <w:p w14:paraId="43B1E66C" w14:textId="77777777" w:rsidR="000F79AD" w:rsidRDefault="000F79AD">
      <w:pPr>
        <w:spacing w:after="0" w:line="240" w:lineRule="auto"/>
      </w:pPr>
      <w:r>
        <w:continuationSeparator/>
      </w:r>
    </w:p>
  </w:endnote>
  <w:endnote w:type="continuationNotice" w:id="1">
    <w:p w14:paraId="5B6D8593" w14:textId="77777777" w:rsidR="000F79AD" w:rsidRDefault="000F7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00000001"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 w:name="DengXian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A7B9" w14:textId="77777777" w:rsidR="000F79AD" w:rsidRDefault="000F79AD">
      <w:pPr>
        <w:spacing w:after="0" w:line="240" w:lineRule="auto"/>
      </w:pPr>
      <w:r>
        <w:separator/>
      </w:r>
    </w:p>
  </w:footnote>
  <w:footnote w:type="continuationSeparator" w:id="0">
    <w:p w14:paraId="3DC020FC" w14:textId="77777777" w:rsidR="000F79AD" w:rsidRDefault="000F79AD">
      <w:pPr>
        <w:spacing w:after="0" w:line="240" w:lineRule="auto"/>
      </w:pPr>
      <w:r>
        <w:continuationSeparator/>
      </w:r>
    </w:p>
  </w:footnote>
  <w:footnote w:type="continuationNotice" w:id="1">
    <w:p w14:paraId="3290B8C9" w14:textId="77777777" w:rsidR="000F79AD" w:rsidRDefault="000F79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3215"/>
    <w:multiLevelType w:val="hybridMultilevel"/>
    <w:tmpl w:val="F2DC6912"/>
    <w:lvl w:ilvl="0" w:tplc="56161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802D7"/>
    <w:multiLevelType w:val="hybridMultilevel"/>
    <w:tmpl w:val="04D0FF0E"/>
    <w:lvl w:ilvl="0" w:tplc="A3A4466C">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7CA2"/>
    <w:multiLevelType w:val="hybridMultilevel"/>
    <w:tmpl w:val="963E6176"/>
    <w:lvl w:ilvl="0" w:tplc="76343E46">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21BC2"/>
    <w:multiLevelType w:val="hybridMultilevel"/>
    <w:tmpl w:val="516A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83F9C"/>
    <w:multiLevelType w:val="hybridMultilevel"/>
    <w:tmpl w:val="ECB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16818"/>
    <w:multiLevelType w:val="hybridMultilevel"/>
    <w:tmpl w:val="5B9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711FA"/>
    <w:multiLevelType w:val="hybridMultilevel"/>
    <w:tmpl w:val="B9D6B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6680F"/>
    <w:multiLevelType w:val="hybridMultilevel"/>
    <w:tmpl w:val="B08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E32A8"/>
    <w:multiLevelType w:val="hybridMultilevel"/>
    <w:tmpl w:val="0DD023F6"/>
    <w:lvl w:ilvl="0" w:tplc="04090001">
      <w:start w:val="1"/>
      <w:numFmt w:val="bullet"/>
      <w:lvlText w:val=""/>
      <w:lvlJc w:val="left"/>
      <w:pPr>
        <w:ind w:left="720" w:hanging="360"/>
      </w:pPr>
      <w:rPr>
        <w:rFonts w:ascii="Symbol" w:hAnsi="Symbol" w:hint="default"/>
        <w:color w:val="43B02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B3A7A"/>
    <w:multiLevelType w:val="hybridMultilevel"/>
    <w:tmpl w:val="667CFA02"/>
    <w:lvl w:ilvl="0" w:tplc="BAE44DE6">
      <w:start w:val="1"/>
      <w:numFmt w:val="bullet"/>
      <w:pStyle w:val="BulletLevel1"/>
      <w:lvlText w:val=""/>
      <w:lvlJc w:val="left"/>
      <w:pPr>
        <w:ind w:left="720" w:hanging="360"/>
      </w:pPr>
      <w:rPr>
        <w:rFonts w:ascii="Symbol" w:hAnsi="Symbol" w:hint="default"/>
        <w:color w:val="43B02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79CB"/>
    <w:multiLevelType w:val="hybridMultilevel"/>
    <w:tmpl w:val="83F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F7ED2"/>
    <w:multiLevelType w:val="hybridMultilevel"/>
    <w:tmpl w:val="D59EAE30"/>
    <w:lvl w:ilvl="0" w:tplc="0288576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0"/>
  </w:num>
  <w:num w:numId="5">
    <w:abstractNumId w:val="3"/>
  </w:num>
  <w:num w:numId="6">
    <w:abstractNumId w:val="10"/>
  </w:num>
  <w:num w:numId="7">
    <w:abstractNumId w:val="1"/>
  </w:num>
  <w:num w:numId="8">
    <w:abstractNumId w:val="9"/>
  </w:num>
  <w:num w:numId="9">
    <w:abstractNumId w:val="8"/>
  </w:num>
  <w:num w:numId="10">
    <w:abstractNumId w:val="7"/>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DM2NDA3MDAytzBS0lEKTi0uzszPAykwqgUA8+i4zSwAAAA="/>
  </w:docVars>
  <w:rsids>
    <w:rsidRoot w:val="007F2BC1"/>
    <w:rsid w:val="00001CC6"/>
    <w:rsid w:val="000037D5"/>
    <w:rsid w:val="00006B5E"/>
    <w:rsid w:val="00006C23"/>
    <w:rsid w:val="000070FC"/>
    <w:rsid w:val="000123BF"/>
    <w:rsid w:val="0002154D"/>
    <w:rsid w:val="0002321B"/>
    <w:rsid w:val="00025712"/>
    <w:rsid w:val="00036196"/>
    <w:rsid w:val="00037413"/>
    <w:rsid w:val="00037728"/>
    <w:rsid w:val="00041EB7"/>
    <w:rsid w:val="00043346"/>
    <w:rsid w:val="00043B7C"/>
    <w:rsid w:val="00046AE7"/>
    <w:rsid w:val="0005131F"/>
    <w:rsid w:val="00051CF1"/>
    <w:rsid w:val="0005265C"/>
    <w:rsid w:val="00052D70"/>
    <w:rsid w:val="0005331E"/>
    <w:rsid w:val="000535EB"/>
    <w:rsid w:val="0005466A"/>
    <w:rsid w:val="00057361"/>
    <w:rsid w:val="00057CA4"/>
    <w:rsid w:val="0006072C"/>
    <w:rsid w:val="00060A22"/>
    <w:rsid w:val="00062E89"/>
    <w:rsid w:val="000651D8"/>
    <w:rsid w:val="00066C90"/>
    <w:rsid w:val="000671CA"/>
    <w:rsid w:val="000728A9"/>
    <w:rsid w:val="000735C8"/>
    <w:rsid w:val="00074334"/>
    <w:rsid w:val="00074907"/>
    <w:rsid w:val="000751D6"/>
    <w:rsid w:val="00082F26"/>
    <w:rsid w:val="00083A40"/>
    <w:rsid w:val="00083E02"/>
    <w:rsid w:val="00083E9B"/>
    <w:rsid w:val="00084A88"/>
    <w:rsid w:val="00091221"/>
    <w:rsid w:val="00091BC2"/>
    <w:rsid w:val="00091FBB"/>
    <w:rsid w:val="00092A3A"/>
    <w:rsid w:val="0009399A"/>
    <w:rsid w:val="00093AA9"/>
    <w:rsid w:val="0009571A"/>
    <w:rsid w:val="00095898"/>
    <w:rsid w:val="000A1CFB"/>
    <w:rsid w:val="000A6A0C"/>
    <w:rsid w:val="000B136A"/>
    <w:rsid w:val="000B13A3"/>
    <w:rsid w:val="000B4245"/>
    <w:rsid w:val="000B5427"/>
    <w:rsid w:val="000B5B3D"/>
    <w:rsid w:val="000B5E02"/>
    <w:rsid w:val="000C21DC"/>
    <w:rsid w:val="000C40B9"/>
    <w:rsid w:val="000C4A2B"/>
    <w:rsid w:val="000C6934"/>
    <w:rsid w:val="000C6CDB"/>
    <w:rsid w:val="000D1326"/>
    <w:rsid w:val="000D6CDE"/>
    <w:rsid w:val="000D700C"/>
    <w:rsid w:val="000E09E0"/>
    <w:rsid w:val="000E1EEB"/>
    <w:rsid w:val="000E7481"/>
    <w:rsid w:val="000F1D89"/>
    <w:rsid w:val="000F1E8F"/>
    <w:rsid w:val="000F2ED3"/>
    <w:rsid w:val="000F3E41"/>
    <w:rsid w:val="000F58FB"/>
    <w:rsid w:val="000F591C"/>
    <w:rsid w:val="000F79AD"/>
    <w:rsid w:val="001006E9"/>
    <w:rsid w:val="00100EC4"/>
    <w:rsid w:val="001051F6"/>
    <w:rsid w:val="0011510E"/>
    <w:rsid w:val="00115AD5"/>
    <w:rsid w:val="00116D94"/>
    <w:rsid w:val="00121623"/>
    <w:rsid w:val="001224F8"/>
    <w:rsid w:val="00122542"/>
    <w:rsid w:val="00122DA3"/>
    <w:rsid w:val="0012440A"/>
    <w:rsid w:val="00131E5A"/>
    <w:rsid w:val="0013210C"/>
    <w:rsid w:val="00132754"/>
    <w:rsid w:val="00132A69"/>
    <w:rsid w:val="00136150"/>
    <w:rsid w:val="00136772"/>
    <w:rsid w:val="001426F5"/>
    <w:rsid w:val="00142DE5"/>
    <w:rsid w:val="00147626"/>
    <w:rsid w:val="00147993"/>
    <w:rsid w:val="0015149C"/>
    <w:rsid w:val="00152FC8"/>
    <w:rsid w:val="0015622A"/>
    <w:rsid w:val="00156FB3"/>
    <w:rsid w:val="0016317A"/>
    <w:rsid w:val="001639C7"/>
    <w:rsid w:val="001703FD"/>
    <w:rsid w:val="00174F3D"/>
    <w:rsid w:val="001753CD"/>
    <w:rsid w:val="00176F3F"/>
    <w:rsid w:val="00181109"/>
    <w:rsid w:val="001818A0"/>
    <w:rsid w:val="00182150"/>
    <w:rsid w:val="001852FB"/>
    <w:rsid w:val="00185830"/>
    <w:rsid w:val="001859B0"/>
    <w:rsid w:val="001873D3"/>
    <w:rsid w:val="00190E00"/>
    <w:rsid w:val="00193F2A"/>
    <w:rsid w:val="00196D4C"/>
    <w:rsid w:val="00197223"/>
    <w:rsid w:val="00197EC0"/>
    <w:rsid w:val="001A5F86"/>
    <w:rsid w:val="001A7188"/>
    <w:rsid w:val="001B0827"/>
    <w:rsid w:val="001B1A78"/>
    <w:rsid w:val="001B4233"/>
    <w:rsid w:val="001B4DD9"/>
    <w:rsid w:val="001B4E3B"/>
    <w:rsid w:val="001B5C5A"/>
    <w:rsid w:val="001C3107"/>
    <w:rsid w:val="001C631A"/>
    <w:rsid w:val="001D3CB7"/>
    <w:rsid w:val="001D6DE7"/>
    <w:rsid w:val="001D6DF6"/>
    <w:rsid w:val="001E1FEC"/>
    <w:rsid w:val="001E1FF5"/>
    <w:rsid w:val="001E27A9"/>
    <w:rsid w:val="001E3FA3"/>
    <w:rsid w:val="001E4440"/>
    <w:rsid w:val="001E6A1D"/>
    <w:rsid w:val="001E7C5A"/>
    <w:rsid w:val="001F15E2"/>
    <w:rsid w:val="001F1A8C"/>
    <w:rsid w:val="00202C72"/>
    <w:rsid w:val="00204566"/>
    <w:rsid w:val="002047A7"/>
    <w:rsid w:val="00210219"/>
    <w:rsid w:val="0021158D"/>
    <w:rsid w:val="00212341"/>
    <w:rsid w:val="00221B26"/>
    <w:rsid w:val="00222EEB"/>
    <w:rsid w:val="00223350"/>
    <w:rsid w:val="002242D7"/>
    <w:rsid w:val="002243C6"/>
    <w:rsid w:val="00225664"/>
    <w:rsid w:val="00227517"/>
    <w:rsid w:val="002303DC"/>
    <w:rsid w:val="00232DCD"/>
    <w:rsid w:val="00233F22"/>
    <w:rsid w:val="002357C8"/>
    <w:rsid w:val="002370D4"/>
    <w:rsid w:val="00240BE1"/>
    <w:rsid w:val="00240CAD"/>
    <w:rsid w:val="00241E56"/>
    <w:rsid w:val="0024246F"/>
    <w:rsid w:val="0024346D"/>
    <w:rsid w:val="00250648"/>
    <w:rsid w:val="00253AF1"/>
    <w:rsid w:val="00254350"/>
    <w:rsid w:val="002551A6"/>
    <w:rsid w:val="00256D13"/>
    <w:rsid w:val="00257170"/>
    <w:rsid w:val="00260009"/>
    <w:rsid w:val="00260D17"/>
    <w:rsid w:val="00262B28"/>
    <w:rsid w:val="00263790"/>
    <w:rsid w:val="00265422"/>
    <w:rsid w:val="0026600F"/>
    <w:rsid w:val="002758DD"/>
    <w:rsid w:val="002779B6"/>
    <w:rsid w:val="00281445"/>
    <w:rsid w:val="00282805"/>
    <w:rsid w:val="002841EE"/>
    <w:rsid w:val="002842F9"/>
    <w:rsid w:val="00284385"/>
    <w:rsid w:val="00284F16"/>
    <w:rsid w:val="00284F39"/>
    <w:rsid w:val="00284FE1"/>
    <w:rsid w:val="00285A1C"/>
    <w:rsid w:val="00286949"/>
    <w:rsid w:val="002900D2"/>
    <w:rsid w:val="00290522"/>
    <w:rsid w:val="00290913"/>
    <w:rsid w:val="002942BE"/>
    <w:rsid w:val="00296780"/>
    <w:rsid w:val="002A1EF5"/>
    <w:rsid w:val="002A3BF5"/>
    <w:rsid w:val="002B2909"/>
    <w:rsid w:val="002B3AB1"/>
    <w:rsid w:val="002B4296"/>
    <w:rsid w:val="002C387F"/>
    <w:rsid w:val="002C6D6B"/>
    <w:rsid w:val="002D0424"/>
    <w:rsid w:val="002D05BD"/>
    <w:rsid w:val="002D0F09"/>
    <w:rsid w:val="002D141D"/>
    <w:rsid w:val="002D2CF7"/>
    <w:rsid w:val="002E0574"/>
    <w:rsid w:val="002E2DFF"/>
    <w:rsid w:val="002E4826"/>
    <w:rsid w:val="002E5729"/>
    <w:rsid w:val="002E65B6"/>
    <w:rsid w:val="002E6841"/>
    <w:rsid w:val="002E7A6B"/>
    <w:rsid w:val="002E7B4B"/>
    <w:rsid w:val="002F1A28"/>
    <w:rsid w:val="002F1A7A"/>
    <w:rsid w:val="002F2326"/>
    <w:rsid w:val="002F2736"/>
    <w:rsid w:val="002F4591"/>
    <w:rsid w:val="002F49AF"/>
    <w:rsid w:val="003001CE"/>
    <w:rsid w:val="00300928"/>
    <w:rsid w:val="003020B1"/>
    <w:rsid w:val="00306271"/>
    <w:rsid w:val="00310817"/>
    <w:rsid w:val="00314BD7"/>
    <w:rsid w:val="00314E05"/>
    <w:rsid w:val="003157E9"/>
    <w:rsid w:val="003171E3"/>
    <w:rsid w:val="00320AF0"/>
    <w:rsid w:val="00323AE8"/>
    <w:rsid w:val="00323BD3"/>
    <w:rsid w:val="00323E19"/>
    <w:rsid w:val="00324055"/>
    <w:rsid w:val="00324091"/>
    <w:rsid w:val="003254E0"/>
    <w:rsid w:val="003272A4"/>
    <w:rsid w:val="003317F6"/>
    <w:rsid w:val="00331A06"/>
    <w:rsid w:val="003358F9"/>
    <w:rsid w:val="003458FF"/>
    <w:rsid w:val="0035081A"/>
    <w:rsid w:val="00350903"/>
    <w:rsid w:val="00350BC2"/>
    <w:rsid w:val="003511D2"/>
    <w:rsid w:val="003518A3"/>
    <w:rsid w:val="00355B25"/>
    <w:rsid w:val="00360F37"/>
    <w:rsid w:val="003619EE"/>
    <w:rsid w:val="0036247B"/>
    <w:rsid w:val="0036411D"/>
    <w:rsid w:val="003655FB"/>
    <w:rsid w:val="003661BA"/>
    <w:rsid w:val="00374DFA"/>
    <w:rsid w:val="00381B3C"/>
    <w:rsid w:val="00381C8B"/>
    <w:rsid w:val="00383E9E"/>
    <w:rsid w:val="00386215"/>
    <w:rsid w:val="003866AA"/>
    <w:rsid w:val="00390083"/>
    <w:rsid w:val="0039046B"/>
    <w:rsid w:val="00390539"/>
    <w:rsid w:val="003950B8"/>
    <w:rsid w:val="00395D98"/>
    <w:rsid w:val="003A210F"/>
    <w:rsid w:val="003A21F1"/>
    <w:rsid w:val="003A5002"/>
    <w:rsid w:val="003B0E0C"/>
    <w:rsid w:val="003B40A3"/>
    <w:rsid w:val="003B510E"/>
    <w:rsid w:val="003B5D7D"/>
    <w:rsid w:val="003B7016"/>
    <w:rsid w:val="003B7632"/>
    <w:rsid w:val="003C12E4"/>
    <w:rsid w:val="003C3344"/>
    <w:rsid w:val="003D0437"/>
    <w:rsid w:val="003D04FB"/>
    <w:rsid w:val="003D35D2"/>
    <w:rsid w:val="003D5C3E"/>
    <w:rsid w:val="003D6354"/>
    <w:rsid w:val="003D646F"/>
    <w:rsid w:val="003D713B"/>
    <w:rsid w:val="003D7FBC"/>
    <w:rsid w:val="003E2990"/>
    <w:rsid w:val="003F1F53"/>
    <w:rsid w:val="003F1F86"/>
    <w:rsid w:val="003F2167"/>
    <w:rsid w:val="003F51F4"/>
    <w:rsid w:val="003F5DD1"/>
    <w:rsid w:val="003F613B"/>
    <w:rsid w:val="00401221"/>
    <w:rsid w:val="004024BF"/>
    <w:rsid w:val="00402C8E"/>
    <w:rsid w:val="004073D1"/>
    <w:rsid w:val="004077B3"/>
    <w:rsid w:val="00407C7C"/>
    <w:rsid w:val="0041057F"/>
    <w:rsid w:val="00411F76"/>
    <w:rsid w:val="00414433"/>
    <w:rsid w:val="00415929"/>
    <w:rsid w:val="00416735"/>
    <w:rsid w:val="004239F9"/>
    <w:rsid w:val="00423D73"/>
    <w:rsid w:val="00424E08"/>
    <w:rsid w:val="004268C6"/>
    <w:rsid w:val="00427856"/>
    <w:rsid w:val="00431795"/>
    <w:rsid w:val="00433226"/>
    <w:rsid w:val="00433A8D"/>
    <w:rsid w:val="00434ACC"/>
    <w:rsid w:val="00435303"/>
    <w:rsid w:val="00435CC8"/>
    <w:rsid w:val="00436C2E"/>
    <w:rsid w:val="00437015"/>
    <w:rsid w:val="004372FF"/>
    <w:rsid w:val="004426D8"/>
    <w:rsid w:val="00443F3C"/>
    <w:rsid w:val="00443FE8"/>
    <w:rsid w:val="00444470"/>
    <w:rsid w:val="00445B68"/>
    <w:rsid w:val="0045051C"/>
    <w:rsid w:val="0045280F"/>
    <w:rsid w:val="0045432F"/>
    <w:rsid w:val="0045456C"/>
    <w:rsid w:val="004572AA"/>
    <w:rsid w:val="004609B4"/>
    <w:rsid w:val="004677D6"/>
    <w:rsid w:val="00467859"/>
    <w:rsid w:val="00467942"/>
    <w:rsid w:val="00470171"/>
    <w:rsid w:val="00470BE5"/>
    <w:rsid w:val="0047491A"/>
    <w:rsid w:val="004755ED"/>
    <w:rsid w:val="00481917"/>
    <w:rsid w:val="00482AB9"/>
    <w:rsid w:val="00483794"/>
    <w:rsid w:val="0048485C"/>
    <w:rsid w:val="004873A0"/>
    <w:rsid w:val="00490AC7"/>
    <w:rsid w:val="00491941"/>
    <w:rsid w:val="00491EBF"/>
    <w:rsid w:val="0049290B"/>
    <w:rsid w:val="00495092"/>
    <w:rsid w:val="004968AF"/>
    <w:rsid w:val="00497817"/>
    <w:rsid w:val="004A0BAE"/>
    <w:rsid w:val="004A2AA4"/>
    <w:rsid w:val="004A4CF0"/>
    <w:rsid w:val="004A6751"/>
    <w:rsid w:val="004A6815"/>
    <w:rsid w:val="004B008B"/>
    <w:rsid w:val="004B09FC"/>
    <w:rsid w:val="004B1BAF"/>
    <w:rsid w:val="004B5629"/>
    <w:rsid w:val="004C1FBB"/>
    <w:rsid w:val="004C377F"/>
    <w:rsid w:val="004C56AD"/>
    <w:rsid w:val="004C6931"/>
    <w:rsid w:val="004D05B2"/>
    <w:rsid w:val="004D1441"/>
    <w:rsid w:val="004D1BB8"/>
    <w:rsid w:val="004D739F"/>
    <w:rsid w:val="004E4883"/>
    <w:rsid w:val="004E4D4E"/>
    <w:rsid w:val="004E56FD"/>
    <w:rsid w:val="004F1725"/>
    <w:rsid w:val="004F421A"/>
    <w:rsid w:val="00500D90"/>
    <w:rsid w:val="00502F1F"/>
    <w:rsid w:val="00503685"/>
    <w:rsid w:val="005040C0"/>
    <w:rsid w:val="005076F7"/>
    <w:rsid w:val="00513A4E"/>
    <w:rsid w:val="005176BD"/>
    <w:rsid w:val="00520B38"/>
    <w:rsid w:val="00521A1E"/>
    <w:rsid w:val="00521D4C"/>
    <w:rsid w:val="00522AC9"/>
    <w:rsid w:val="00530C65"/>
    <w:rsid w:val="00532AAA"/>
    <w:rsid w:val="00532E21"/>
    <w:rsid w:val="00535D45"/>
    <w:rsid w:val="005363C8"/>
    <w:rsid w:val="005368CF"/>
    <w:rsid w:val="00536FE4"/>
    <w:rsid w:val="00540AF7"/>
    <w:rsid w:val="005413A9"/>
    <w:rsid w:val="00543852"/>
    <w:rsid w:val="005445C6"/>
    <w:rsid w:val="0054695A"/>
    <w:rsid w:val="005475BE"/>
    <w:rsid w:val="00554168"/>
    <w:rsid w:val="0055551C"/>
    <w:rsid w:val="00556F1C"/>
    <w:rsid w:val="005613FE"/>
    <w:rsid w:val="005615F7"/>
    <w:rsid w:val="00564593"/>
    <w:rsid w:val="00566B09"/>
    <w:rsid w:val="005741E6"/>
    <w:rsid w:val="00577E88"/>
    <w:rsid w:val="005803B3"/>
    <w:rsid w:val="00582A05"/>
    <w:rsid w:val="00582F46"/>
    <w:rsid w:val="00583890"/>
    <w:rsid w:val="00586314"/>
    <w:rsid w:val="00592097"/>
    <w:rsid w:val="00592194"/>
    <w:rsid w:val="0059460F"/>
    <w:rsid w:val="00595539"/>
    <w:rsid w:val="005961CA"/>
    <w:rsid w:val="00597442"/>
    <w:rsid w:val="00597DD2"/>
    <w:rsid w:val="005A0D0D"/>
    <w:rsid w:val="005A0E7F"/>
    <w:rsid w:val="005A2EAD"/>
    <w:rsid w:val="005B22CC"/>
    <w:rsid w:val="005B3791"/>
    <w:rsid w:val="005B6088"/>
    <w:rsid w:val="005B7253"/>
    <w:rsid w:val="005C009E"/>
    <w:rsid w:val="005C12EF"/>
    <w:rsid w:val="005C34F7"/>
    <w:rsid w:val="005C5F3D"/>
    <w:rsid w:val="005C6390"/>
    <w:rsid w:val="005C68D9"/>
    <w:rsid w:val="005C7D8A"/>
    <w:rsid w:val="005D0A43"/>
    <w:rsid w:val="005D40F1"/>
    <w:rsid w:val="005D7786"/>
    <w:rsid w:val="005E01AF"/>
    <w:rsid w:val="005E07E8"/>
    <w:rsid w:val="005E38B8"/>
    <w:rsid w:val="005E4D60"/>
    <w:rsid w:val="005F09AD"/>
    <w:rsid w:val="005F1857"/>
    <w:rsid w:val="005F1FBC"/>
    <w:rsid w:val="005F5FE8"/>
    <w:rsid w:val="005F612C"/>
    <w:rsid w:val="005F6D3F"/>
    <w:rsid w:val="005F73ED"/>
    <w:rsid w:val="006071B8"/>
    <w:rsid w:val="006116C2"/>
    <w:rsid w:val="006122DE"/>
    <w:rsid w:val="0061348C"/>
    <w:rsid w:val="006174BB"/>
    <w:rsid w:val="00617623"/>
    <w:rsid w:val="0062060E"/>
    <w:rsid w:val="00621254"/>
    <w:rsid w:val="006212F4"/>
    <w:rsid w:val="006217D4"/>
    <w:rsid w:val="00622D60"/>
    <w:rsid w:val="00624C93"/>
    <w:rsid w:val="006253F9"/>
    <w:rsid w:val="00625EFF"/>
    <w:rsid w:val="00632AEC"/>
    <w:rsid w:val="006349F8"/>
    <w:rsid w:val="00636DA1"/>
    <w:rsid w:val="00640798"/>
    <w:rsid w:val="006418F5"/>
    <w:rsid w:val="00641E13"/>
    <w:rsid w:val="00642648"/>
    <w:rsid w:val="00642F43"/>
    <w:rsid w:val="00643126"/>
    <w:rsid w:val="00645CB5"/>
    <w:rsid w:val="00650DB0"/>
    <w:rsid w:val="0065215F"/>
    <w:rsid w:val="006530FD"/>
    <w:rsid w:val="00654F3D"/>
    <w:rsid w:val="006611FB"/>
    <w:rsid w:val="00663851"/>
    <w:rsid w:val="00665D30"/>
    <w:rsid w:val="006662C9"/>
    <w:rsid w:val="006671DE"/>
    <w:rsid w:val="00671DCB"/>
    <w:rsid w:val="00672BBE"/>
    <w:rsid w:val="00673100"/>
    <w:rsid w:val="00675E69"/>
    <w:rsid w:val="00676103"/>
    <w:rsid w:val="006803B1"/>
    <w:rsid w:val="00680A30"/>
    <w:rsid w:val="00682783"/>
    <w:rsid w:val="0068379D"/>
    <w:rsid w:val="006872D9"/>
    <w:rsid w:val="00690CF3"/>
    <w:rsid w:val="006916B0"/>
    <w:rsid w:val="00693970"/>
    <w:rsid w:val="00693A7A"/>
    <w:rsid w:val="00695655"/>
    <w:rsid w:val="006975B5"/>
    <w:rsid w:val="006A4402"/>
    <w:rsid w:val="006A6851"/>
    <w:rsid w:val="006B10A8"/>
    <w:rsid w:val="006B50E3"/>
    <w:rsid w:val="006C0EFC"/>
    <w:rsid w:val="006C26FA"/>
    <w:rsid w:val="006C3341"/>
    <w:rsid w:val="006C5F1F"/>
    <w:rsid w:val="006C601E"/>
    <w:rsid w:val="006C6200"/>
    <w:rsid w:val="006C6AAB"/>
    <w:rsid w:val="006C72A7"/>
    <w:rsid w:val="006D1269"/>
    <w:rsid w:val="006D1348"/>
    <w:rsid w:val="006D224C"/>
    <w:rsid w:val="006D6BE3"/>
    <w:rsid w:val="006D72E0"/>
    <w:rsid w:val="006E106A"/>
    <w:rsid w:val="006E1753"/>
    <w:rsid w:val="006E3032"/>
    <w:rsid w:val="006E3632"/>
    <w:rsid w:val="006E42EA"/>
    <w:rsid w:val="006F02D2"/>
    <w:rsid w:val="006F2A32"/>
    <w:rsid w:val="006F37EC"/>
    <w:rsid w:val="006F43D7"/>
    <w:rsid w:val="006F555A"/>
    <w:rsid w:val="006F5D74"/>
    <w:rsid w:val="00701589"/>
    <w:rsid w:val="00701972"/>
    <w:rsid w:val="00701E95"/>
    <w:rsid w:val="00703657"/>
    <w:rsid w:val="00703977"/>
    <w:rsid w:val="007064AF"/>
    <w:rsid w:val="007072FA"/>
    <w:rsid w:val="00711C5D"/>
    <w:rsid w:val="007122CD"/>
    <w:rsid w:val="00712C76"/>
    <w:rsid w:val="00713626"/>
    <w:rsid w:val="00713742"/>
    <w:rsid w:val="00713753"/>
    <w:rsid w:val="00714515"/>
    <w:rsid w:val="00714C0E"/>
    <w:rsid w:val="0071741E"/>
    <w:rsid w:val="00720503"/>
    <w:rsid w:val="00720AB1"/>
    <w:rsid w:val="007278A4"/>
    <w:rsid w:val="007305A2"/>
    <w:rsid w:val="00730736"/>
    <w:rsid w:val="00731ED2"/>
    <w:rsid w:val="00733AAA"/>
    <w:rsid w:val="0073534D"/>
    <w:rsid w:val="007404E0"/>
    <w:rsid w:val="00742323"/>
    <w:rsid w:val="0074571E"/>
    <w:rsid w:val="00746141"/>
    <w:rsid w:val="00750C23"/>
    <w:rsid w:val="00752022"/>
    <w:rsid w:val="007522EC"/>
    <w:rsid w:val="0075273A"/>
    <w:rsid w:val="00752D75"/>
    <w:rsid w:val="00753EC0"/>
    <w:rsid w:val="00754AE5"/>
    <w:rsid w:val="007556FF"/>
    <w:rsid w:val="00755A27"/>
    <w:rsid w:val="00757970"/>
    <w:rsid w:val="00762DE5"/>
    <w:rsid w:val="007641CC"/>
    <w:rsid w:val="00765755"/>
    <w:rsid w:val="00765C4B"/>
    <w:rsid w:val="00766687"/>
    <w:rsid w:val="00767CF5"/>
    <w:rsid w:val="00775559"/>
    <w:rsid w:val="00776572"/>
    <w:rsid w:val="0078295D"/>
    <w:rsid w:val="00786FF4"/>
    <w:rsid w:val="007879B4"/>
    <w:rsid w:val="00787BD7"/>
    <w:rsid w:val="00793D50"/>
    <w:rsid w:val="00795B00"/>
    <w:rsid w:val="007964DF"/>
    <w:rsid w:val="007A0B8E"/>
    <w:rsid w:val="007A214B"/>
    <w:rsid w:val="007A31AD"/>
    <w:rsid w:val="007A39F2"/>
    <w:rsid w:val="007A77AD"/>
    <w:rsid w:val="007B0F8B"/>
    <w:rsid w:val="007B1B48"/>
    <w:rsid w:val="007B45A2"/>
    <w:rsid w:val="007B7261"/>
    <w:rsid w:val="007B78B4"/>
    <w:rsid w:val="007C2C4A"/>
    <w:rsid w:val="007C3EEE"/>
    <w:rsid w:val="007C5862"/>
    <w:rsid w:val="007C687D"/>
    <w:rsid w:val="007D285E"/>
    <w:rsid w:val="007D52D3"/>
    <w:rsid w:val="007D7611"/>
    <w:rsid w:val="007E1DEA"/>
    <w:rsid w:val="007E2AAB"/>
    <w:rsid w:val="007E453F"/>
    <w:rsid w:val="007E636D"/>
    <w:rsid w:val="007F11E6"/>
    <w:rsid w:val="007F2BC1"/>
    <w:rsid w:val="007F3DA2"/>
    <w:rsid w:val="007F58E4"/>
    <w:rsid w:val="007F76F5"/>
    <w:rsid w:val="008038E0"/>
    <w:rsid w:val="00805A6B"/>
    <w:rsid w:val="008109A6"/>
    <w:rsid w:val="008115A3"/>
    <w:rsid w:val="0081263E"/>
    <w:rsid w:val="00813A14"/>
    <w:rsid w:val="00814DF6"/>
    <w:rsid w:val="008151E2"/>
    <w:rsid w:val="00816F10"/>
    <w:rsid w:val="00817455"/>
    <w:rsid w:val="008207AE"/>
    <w:rsid w:val="00820972"/>
    <w:rsid w:val="00820A39"/>
    <w:rsid w:val="00821D95"/>
    <w:rsid w:val="00822009"/>
    <w:rsid w:val="00825713"/>
    <w:rsid w:val="0082594C"/>
    <w:rsid w:val="00832C0E"/>
    <w:rsid w:val="00833A76"/>
    <w:rsid w:val="0083516E"/>
    <w:rsid w:val="00835550"/>
    <w:rsid w:val="00835854"/>
    <w:rsid w:val="00835EF5"/>
    <w:rsid w:val="0083680A"/>
    <w:rsid w:val="00844BE0"/>
    <w:rsid w:val="00850F80"/>
    <w:rsid w:val="00851B5C"/>
    <w:rsid w:val="00853888"/>
    <w:rsid w:val="008547F2"/>
    <w:rsid w:val="0085618E"/>
    <w:rsid w:val="00856455"/>
    <w:rsid w:val="008564AE"/>
    <w:rsid w:val="00862EBE"/>
    <w:rsid w:val="00865151"/>
    <w:rsid w:val="008702A8"/>
    <w:rsid w:val="00874ECB"/>
    <w:rsid w:val="00875D71"/>
    <w:rsid w:val="008769DE"/>
    <w:rsid w:val="008778C0"/>
    <w:rsid w:val="00881298"/>
    <w:rsid w:val="008821BA"/>
    <w:rsid w:val="00884627"/>
    <w:rsid w:val="00885D69"/>
    <w:rsid w:val="008860DE"/>
    <w:rsid w:val="00894967"/>
    <w:rsid w:val="0089628E"/>
    <w:rsid w:val="008A0C20"/>
    <w:rsid w:val="008A13DE"/>
    <w:rsid w:val="008B0ED9"/>
    <w:rsid w:val="008B249C"/>
    <w:rsid w:val="008B7221"/>
    <w:rsid w:val="008C1ABD"/>
    <w:rsid w:val="008C1B8D"/>
    <w:rsid w:val="008C2277"/>
    <w:rsid w:val="008C2521"/>
    <w:rsid w:val="008C52B2"/>
    <w:rsid w:val="008D0061"/>
    <w:rsid w:val="008D15BF"/>
    <w:rsid w:val="008D219C"/>
    <w:rsid w:val="008D281E"/>
    <w:rsid w:val="008D29AF"/>
    <w:rsid w:val="008D2B6E"/>
    <w:rsid w:val="008D45E9"/>
    <w:rsid w:val="008D6ACB"/>
    <w:rsid w:val="008D764E"/>
    <w:rsid w:val="008E0537"/>
    <w:rsid w:val="008E13DA"/>
    <w:rsid w:val="008E1E32"/>
    <w:rsid w:val="008E330F"/>
    <w:rsid w:val="008F104D"/>
    <w:rsid w:val="00902190"/>
    <w:rsid w:val="00903AB6"/>
    <w:rsid w:val="00904522"/>
    <w:rsid w:val="00911B17"/>
    <w:rsid w:val="00913B88"/>
    <w:rsid w:val="00917268"/>
    <w:rsid w:val="009179D5"/>
    <w:rsid w:val="00920B62"/>
    <w:rsid w:val="00920B94"/>
    <w:rsid w:val="00924422"/>
    <w:rsid w:val="00925F56"/>
    <w:rsid w:val="00927DC9"/>
    <w:rsid w:val="009304BB"/>
    <w:rsid w:val="00931C49"/>
    <w:rsid w:val="0093216E"/>
    <w:rsid w:val="00932E22"/>
    <w:rsid w:val="00933DBF"/>
    <w:rsid w:val="0093545A"/>
    <w:rsid w:val="0093773E"/>
    <w:rsid w:val="00943E18"/>
    <w:rsid w:val="0094441D"/>
    <w:rsid w:val="009462C3"/>
    <w:rsid w:val="00947F89"/>
    <w:rsid w:val="00950DB7"/>
    <w:rsid w:val="00950F7B"/>
    <w:rsid w:val="0095383B"/>
    <w:rsid w:val="00953A36"/>
    <w:rsid w:val="009547EE"/>
    <w:rsid w:val="0095573A"/>
    <w:rsid w:val="00957597"/>
    <w:rsid w:val="00962380"/>
    <w:rsid w:val="00962ABA"/>
    <w:rsid w:val="00964E61"/>
    <w:rsid w:val="00966E10"/>
    <w:rsid w:val="00966E43"/>
    <w:rsid w:val="00976E66"/>
    <w:rsid w:val="00981B99"/>
    <w:rsid w:val="00982421"/>
    <w:rsid w:val="00983D6D"/>
    <w:rsid w:val="009854F3"/>
    <w:rsid w:val="0098610F"/>
    <w:rsid w:val="00986F54"/>
    <w:rsid w:val="00992074"/>
    <w:rsid w:val="00993CB6"/>
    <w:rsid w:val="009A06D3"/>
    <w:rsid w:val="009A2230"/>
    <w:rsid w:val="009A4964"/>
    <w:rsid w:val="009A67C4"/>
    <w:rsid w:val="009B0839"/>
    <w:rsid w:val="009B77B5"/>
    <w:rsid w:val="009C05C3"/>
    <w:rsid w:val="009C53F2"/>
    <w:rsid w:val="009D52A8"/>
    <w:rsid w:val="009D707A"/>
    <w:rsid w:val="009E3592"/>
    <w:rsid w:val="009E4FF6"/>
    <w:rsid w:val="009E67F6"/>
    <w:rsid w:val="009E70BF"/>
    <w:rsid w:val="009F0CB7"/>
    <w:rsid w:val="009F0D60"/>
    <w:rsid w:val="009F3D69"/>
    <w:rsid w:val="009F534C"/>
    <w:rsid w:val="009F5A41"/>
    <w:rsid w:val="009F6FD4"/>
    <w:rsid w:val="00A00468"/>
    <w:rsid w:val="00A01D10"/>
    <w:rsid w:val="00A048AE"/>
    <w:rsid w:val="00A057AA"/>
    <w:rsid w:val="00A11782"/>
    <w:rsid w:val="00A11847"/>
    <w:rsid w:val="00A127D8"/>
    <w:rsid w:val="00A13B20"/>
    <w:rsid w:val="00A17078"/>
    <w:rsid w:val="00A1791C"/>
    <w:rsid w:val="00A209E6"/>
    <w:rsid w:val="00A23FAA"/>
    <w:rsid w:val="00A25115"/>
    <w:rsid w:val="00A278AF"/>
    <w:rsid w:val="00A31206"/>
    <w:rsid w:val="00A31E6B"/>
    <w:rsid w:val="00A32584"/>
    <w:rsid w:val="00A331D8"/>
    <w:rsid w:val="00A35242"/>
    <w:rsid w:val="00A41175"/>
    <w:rsid w:val="00A4232A"/>
    <w:rsid w:val="00A4489B"/>
    <w:rsid w:val="00A44A6B"/>
    <w:rsid w:val="00A46D42"/>
    <w:rsid w:val="00A50EF3"/>
    <w:rsid w:val="00A50FC7"/>
    <w:rsid w:val="00A50FD8"/>
    <w:rsid w:val="00A517BB"/>
    <w:rsid w:val="00A53B68"/>
    <w:rsid w:val="00A55F2D"/>
    <w:rsid w:val="00A57B4F"/>
    <w:rsid w:val="00A6140A"/>
    <w:rsid w:val="00A6153B"/>
    <w:rsid w:val="00A61BB5"/>
    <w:rsid w:val="00A627E2"/>
    <w:rsid w:val="00A629D5"/>
    <w:rsid w:val="00A65286"/>
    <w:rsid w:val="00A72AED"/>
    <w:rsid w:val="00A77D65"/>
    <w:rsid w:val="00A807AE"/>
    <w:rsid w:val="00A809FE"/>
    <w:rsid w:val="00A80EDB"/>
    <w:rsid w:val="00A8171F"/>
    <w:rsid w:val="00A81B0E"/>
    <w:rsid w:val="00A81B97"/>
    <w:rsid w:val="00A82090"/>
    <w:rsid w:val="00A8399D"/>
    <w:rsid w:val="00A84311"/>
    <w:rsid w:val="00A84F02"/>
    <w:rsid w:val="00A90E3E"/>
    <w:rsid w:val="00A9160A"/>
    <w:rsid w:val="00A94A60"/>
    <w:rsid w:val="00A94B8F"/>
    <w:rsid w:val="00A95128"/>
    <w:rsid w:val="00AA1BF8"/>
    <w:rsid w:val="00AA65EC"/>
    <w:rsid w:val="00AA6A80"/>
    <w:rsid w:val="00AB3FB5"/>
    <w:rsid w:val="00AB40D8"/>
    <w:rsid w:val="00AB624F"/>
    <w:rsid w:val="00AC0909"/>
    <w:rsid w:val="00AC0A41"/>
    <w:rsid w:val="00AC7A30"/>
    <w:rsid w:val="00AD6168"/>
    <w:rsid w:val="00AD68DE"/>
    <w:rsid w:val="00AE053E"/>
    <w:rsid w:val="00AE2A02"/>
    <w:rsid w:val="00AE2D5D"/>
    <w:rsid w:val="00AE3085"/>
    <w:rsid w:val="00AF06C5"/>
    <w:rsid w:val="00AF55B8"/>
    <w:rsid w:val="00AF5CE4"/>
    <w:rsid w:val="00AF6385"/>
    <w:rsid w:val="00AF6751"/>
    <w:rsid w:val="00B01138"/>
    <w:rsid w:val="00B0173C"/>
    <w:rsid w:val="00B02AAC"/>
    <w:rsid w:val="00B02AC9"/>
    <w:rsid w:val="00B037BE"/>
    <w:rsid w:val="00B04C22"/>
    <w:rsid w:val="00B078D6"/>
    <w:rsid w:val="00B10D5C"/>
    <w:rsid w:val="00B11471"/>
    <w:rsid w:val="00B12E22"/>
    <w:rsid w:val="00B13227"/>
    <w:rsid w:val="00B16ADA"/>
    <w:rsid w:val="00B20397"/>
    <w:rsid w:val="00B21457"/>
    <w:rsid w:val="00B2241E"/>
    <w:rsid w:val="00B2369E"/>
    <w:rsid w:val="00B2620C"/>
    <w:rsid w:val="00B26F4A"/>
    <w:rsid w:val="00B325C8"/>
    <w:rsid w:val="00B34CE9"/>
    <w:rsid w:val="00B34E46"/>
    <w:rsid w:val="00B36DD6"/>
    <w:rsid w:val="00B41510"/>
    <w:rsid w:val="00B41921"/>
    <w:rsid w:val="00B5060F"/>
    <w:rsid w:val="00B513B1"/>
    <w:rsid w:val="00B53461"/>
    <w:rsid w:val="00B544EE"/>
    <w:rsid w:val="00B54702"/>
    <w:rsid w:val="00B56773"/>
    <w:rsid w:val="00B5679D"/>
    <w:rsid w:val="00B61056"/>
    <w:rsid w:val="00B61383"/>
    <w:rsid w:val="00B705ED"/>
    <w:rsid w:val="00B72190"/>
    <w:rsid w:val="00B81111"/>
    <w:rsid w:val="00B813A0"/>
    <w:rsid w:val="00B818FE"/>
    <w:rsid w:val="00B828E4"/>
    <w:rsid w:val="00B83F8C"/>
    <w:rsid w:val="00B8686C"/>
    <w:rsid w:val="00B94C28"/>
    <w:rsid w:val="00B96CEA"/>
    <w:rsid w:val="00B96CFB"/>
    <w:rsid w:val="00B9723C"/>
    <w:rsid w:val="00BA01FE"/>
    <w:rsid w:val="00BA6009"/>
    <w:rsid w:val="00BB0A47"/>
    <w:rsid w:val="00BB166E"/>
    <w:rsid w:val="00BB48E5"/>
    <w:rsid w:val="00BB4CE4"/>
    <w:rsid w:val="00BB73DC"/>
    <w:rsid w:val="00BB7430"/>
    <w:rsid w:val="00BC1F22"/>
    <w:rsid w:val="00BC6DEE"/>
    <w:rsid w:val="00BD07B5"/>
    <w:rsid w:val="00BD2CC9"/>
    <w:rsid w:val="00BD2F6A"/>
    <w:rsid w:val="00BD5234"/>
    <w:rsid w:val="00BD6510"/>
    <w:rsid w:val="00BE18A7"/>
    <w:rsid w:val="00BE7398"/>
    <w:rsid w:val="00BE7B88"/>
    <w:rsid w:val="00BE7C8F"/>
    <w:rsid w:val="00BE7E2C"/>
    <w:rsid w:val="00BF043A"/>
    <w:rsid w:val="00BF0FC6"/>
    <w:rsid w:val="00BF1DC3"/>
    <w:rsid w:val="00BF3143"/>
    <w:rsid w:val="00BF3C27"/>
    <w:rsid w:val="00BF6FD0"/>
    <w:rsid w:val="00BF72EC"/>
    <w:rsid w:val="00BF78FD"/>
    <w:rsid w:val="00C027EB"/>
    <w:rsid w:val="00C02E85"/>
    <w:rsid w:val="00C069B6"/>
    <w:rsid w:val="00C07F42"/>
    <w:rsid w:val="00C11186"/>
    <w:rsid w:val="00C1123D"/>
    <w:rsid w:val="00C116B3"/>
    <w:rsid w:val="00C12CB1"/>
    <w:rsid w:val="00C14D3C"/>
    <w:rsid w:val="00C166F1"/>
    <w:rsid w:val="00C21939"/>
    <w:rsid w:val="00C21CD0"/>
    <w:rsid w:val="00C2278B"/>
    <w:rsid w:val="00C22A5D"/>
    <w:rsid w:val="00C258BF"/>
    <w:rsid w:val="00C31B1E"/>
    <w:rsid w:val="00C3258E"/>
    <w:rsid w:val="00C3419F"/>
    <w:rsid w:val="00C36B46"/>
    <w:rsid w:val="00C43620"/>
    <w:rsid w:val="00C46BCB"/>
    <w:rsid w:val="00C502DB"/>
    <w:rsid w:val="00C5241D"/>
    <w:rsid w:val="00C57F90"/>
    <w:rsid w:val="00C62DDA"/>
    <w:rsid w:val="00C700EC"/>
    <w:rsid w:val="00C70D91"/>
    <w:rsid w:val="00C710A6"/>
    <w:rsid w:val="00C71C80"/>
    <w:rsid w:val="00C73290"/>
    <w:rsid w:val="00C73CE1"/>
    <w:rsid w:val="00C8044B"/>
    <w:rsid w:val="00C80E0D"/>
    <w:rsid w:val="00C817F0"/>
    <w:rsid w:val="00C82281"/>
    <w:rsid w:val="00C83B84"/>
    <w:rsid w:val="00C86177"/>
    <w:rsid w:val="00C8767A"/>
    <w:rsid w:val="00C91C68"/>
    <w:rsid w:val="00C93F0C"/>
    <w:rsid w:val="00C94AD2"/>
    <w:rsid w:val="00C9526D"/>
    <w:rsid w:val="00C97C88"/>
    <w:rsid w:val="00CA1742"/>
    <w:rsid w:val="00CA1F5F"/>
    <w:rsid w:val="00CA3AE6"/>
    <w:rsid w:val="00CA4619"/>
    <w:rsid w:val="00CA7C12"/>
    <w:rsid w:val="00CB53D9"/>
    <w:rsid w:val="00CB5B09"/>
    <w:rsid w:val="00CC1C83"/>
    <w:rsid w:val="00CC4463"/>
    <w:rsid w:val="00CC49F2"/>
    <w:rsid w:val="00CD2B72"/>
    <w:rsid w:val="00CD504B"/>
    <w:rsid w:val="00CE0179"/>
    <w:rsid w:val="00CE29C1"/>
    <w:rsid w:val="00CE3A3B"/>
    <w:rsid w:val="00CE66EB"/>
    <w:rsid w:val="00CE7CAD"/>
    <w:rsid w:val="00CF02E7"/>
    <w:rsid w:val="00CF5682"/>
    <w:rsid w:val="00CF6356"/>
    <w:rsid w:val="00D02556"/>
    <w:rsid w:val="00D12FE8"/>
    <w:rsid w:val="00D16D60"/>
    <w:rsid w:val="00D17D45"/>
    <w:rsid w:val="00D208A1"/>
    <w:rsid w:val="00D2277F"/>
    <w:rsid w:val="00D22B1D"/>
    <w:rsid w:val="00D23FD1"/>
    <w:rsid w:val="00D277D8"/>
    <w:rsid w:val="00D31E36"/>
    <w:rsid w:val="00D34F8F"/>
    <w:rsid w:val="00D42509"/>
    <w:rsid w:val="00D445E5"/>
    <w:rsid w:val="00D5052A"/>
    <w:rsid w:val="00D50FFD"/>
    <w:rsid w:val="00D52189"/>
    <w:rsid w:val="00D5237A"/>
    <w:rsid w:val="00D52478"/>
    <w:rsid w:val="00D54327"/>
    <w:rsid w:val="00D56B61"/>
    <w:rsid w:val="00D6279C"/>
    <w:rsid w:val="00D6369B"/>
    <w:rsid w:val="00D63D77"/>
    <w:rsid w:val="00D65C45"/>
    <w:rsid w:val="00D67530"/>
    <w:rsid w:val="00D730F3"/>
    <w:rsid w:val="00D745FA"/>
    <w:rsid w:val="00D75A8E"/>
    <w:rsid w:val="00D7688E"/>
    <w:rsid w:val="00D77D25"/>
    <w:rsid w:val="00D84245"/>
    <w:rsid w:val="00D85712"/>
    <w:rsid w:val="00D86AF6"/>
    <w:rsid w:val="00D87FCB"/>
    <w:rsid w:val="00D92C83"/>
    <w:rsid w:val="00D94DFE"/>
    <w:rsid w:val="00D9614E"/>
    <w:rsid w:val="00D979F5"/>
    <w:rsid w:val="00DA0C4C"/>
    <w:rsid w:val="00DA1A87"/>
    <w:rsid w:val="00DA4643"/>
    <w:rsid w:val="00DB2822"/>
    <w:rsid w:val="00DB62FD"/>
    <w:rsid w:val="00DB6387"/>
    <w:rsid w:val="00DB7B31"/>
    <w:rsid w:val="00DC1C52"/>
    <w:rsid w:val="00DC3339"/>
    <w:rsid w:val="00DC6617"/>
    <w:rsid w:val="00DD14BA"/>
    <w:rsid w:val="00DD2461"/>
    <w:rsid w:val="00DE1658"/>
    <w:rsid w:val="00DE26E9"/>
    <w:rsid w:val="00DE2BC0"/>
    <w:rsid w:val="00DE49F1"/>
    <w:rsid w:val="00DE6AFC"/>
    <w:rsid w:val="00DF285D"/>
    <w:rsid w:val="00DF4843"/>
    <w:rsid w:val="00DF4F19"/>
    <w:rsid w:val="00DF54CF"/>
    <w:rsid w:val="00DF6566"/>
    <w:rsid w:val="00E01FA5"/>
    <w:rsid w:val="00E03881"/>
    <w:rsid w:val="00E10273"/>
    <w:rsid w:val="00E16A49"/>
    <w:rsid w:val="00E172A5"/>
    <w:rsid w:val="00E204BA"/>
    <w:rsid w:val="00E20624"/>
    <w:rsid w:val="00E2370E"/>
    <w:rsid w:val="00E26A5E"/>
    <w:rsid w:val="00E27AAF"/>
    <w:rsid w:val="00E304F0"/>
    <w:rsid w:val="00E308C3"/>
    <w:rsid w:val="00E30D7E"/>
    <w:rsid w:val="00E326BB"/>
    <w:rsid w:val="00E355C6"/>
    <w:rsid w:val="00E36988"/>
    <w:rsid w:val="00E37F2B"/>
    <w:rsid w:val="00E401BF"/>
    <w:rsid w:val="00E413C0"/>
    <w:rsid w:val="00E41D2F"/>
    <w:rsid w:val="00E422B4"/>
    <w:rsid w:val="00E43D5D"/>
    <w:rsid w:val="00E50ECD"/>
    <w:rsid w:val="00E511C5"/>
    <w:rsid w:val="00E52089"/>
    <w:rsid w:val="00E544C3"/>
    <w:rsid w:val="00E619BF"/>
    <w:rsid w:val="00E6243E"/>
    <w:rsid w:val="00E62B5A"/>
    <w:rsid w:val="00E6323D"/>
    <w:rsid w:val="00E66A4B"/>
    <w:rsid w:val="00E72F92"/>
    <w:rsid w:val="00E73A54"/>
    <w:rsid w:val="00E76192"/>
    <w:rsid w:val="00E76E6A"/>
    <w:rsid w:val="00E77C7D"/>
    <w:rsid w:val="00E8108E"/>
    <w:rsid w:val="00E82484"/>
    <w:rsid w:val="00E83B22"/>
    <w:rsid w:val="00E84137"/>
    <w:rsid w:val="00E841AA"/>
    <w:rsid w:val="00E84D28"/>
    <w:rsid w:val="00E8503D"/>
    <w:rsid w:val="00E955B3"/>
    <w:rsid w:val="00EA0BB3"/>
    <w:rsid w:val="00EA1B2C"/>
    <w:rsid w:val="00EA47BD"/>
    <w:rsid w:val="00EA7659"/>
    <w:rsid w:val="00EB0E90"/>
    <w:rsid w:val="00EB1769"/>
    <w:rsid w:val="00EB17ED"/>
    <w:rsid w:val="00EB6174"/>
    <w:rsid w:val="00EB7099"/>
    <w:rsid w:val="00EB7FE6"/>
    <w:rsid w:val="00EC0D65"/>
    <w:rsid w:val="00EC227C"/>
    <w:rsid w:val="00EC3478"/>
    <w:rsid w:val="00EC3C98"/>
    <w:rsid w:val="00EC49F8"/>
    <w:rsid w:val="00EC5945"/>
    <w:rsid w:val="00EC656C"/>
    <w:rsid w:val="00EC7C28"/>
    <w:rsid w:val="00ED0A95"/>
    <w:rsid w:val="00ED0B0D"/>
    <w:rsid w:val="00ED226F"/>
    <w:rsid w:val="00ED46FB"/>
    <w:rsid w:val="00ED5C0F"/>
    <w:rsid w:val="00ED5E34"/>
    <w:rsid w:val="00EE063F"/>
    <w:rsid w:val="00EE12C8"/>
    <w:rsid w:val="00EE1B7D"/>
    <w:rsid w:val="00EE29CD"/>
    <w:rsid w:val="00EE524E"/>
    <w:rsid w:val="00EF73BD"/>
    <w:rsid w:val="00EF79DD"/>
    <w:rsid w:val="00F01DBA"/>
    <w:rsid w:val="00F02DA2"/>
    <w:rsid w:val="00F05FA2"/>
    <w:rsid w:val="00F119EA"/>
    <w:rsid w:val="00F11EA8"/>
    <w:rsid w:val="00F13F91"/>
    <w:rsid w:val="00F22EDB"/>
    <w:rsid w:val="00F244F5"/>
    <w:rsid w:val="00F27C13"/>
    <w:rsid w:val="00F34681"/>
    <w:rsid w:val="00F35E0B"/>
    <w:rsid w:val="00F40236"/>
    <w:rsid w:val="00F407BD"/>
    <w:rsid w:val="00F40825"/>
    <w:rsid w:val="00F40D3E"/>
    <w:rsid w:val="00F40E20"/>
    <w:rsid w:val="00F46F23"/>
    <w:rsid w:val="00F46FBB"/>
    <w:rsid w:val="00F50D74"/>
    <w:rsid w:val="00F519E3"/>
    <w:rsid w:val="00F54848"/>
    <w:rsid w:val="00F55E6B"/>
    <w:rsid w:val="00F56BD5"/>
    <w:rsid w:val="00F61047"/>
    <w:rsid w:val="00F61321"/>
    <w:rsid w:val="00F63986"/>
    <w:rsid w:val="00F74579"/>
    <w:rsid w:val="00F750D4"/>
    <w:rsid w:val="00F76023"/>
    <w:rsid w:val="00F7676F"/>
    <w:rsid w:val="00F84302"/>
    <w:rsid w:val="00F85673"/>
    <w:rsid w:val="00F85A6B"/>
    <w:rsid w:val="00F861CB"/>
    <w:rsid w:val="00F86974"/>
    <w:rsid w:val="00F86B2D"/>
    <w:rsid w:val="00F90CCE"/>
    <w:rsid w:val="00F92A51"/>
    <w:rsid w:val="00F93F22"/>
    <w:rsid w:val="00F957DF"/>
    <w:rsid w:val="00F976DE"/>
    <w:rsid w:val="00FA3565"/>
    <w:rsid w:val="00FA5E87"/>
    <w:rsid w:val="00FB19BA"/>
    <w:rsid w:val="00FB42C8"/>
    <w:rsid w:val="00FB5092"/>
    <w:rsid w:val="00FB546D"/>
    <w:rsid w:val="00FB5513"/>
    <w:rsid w:val="00FB5777"/>
    <w:rsid w:val="00FB6981"/>
    <w:rsid w:val="00FC26D3"/>
    <w:rsid w:val="00FC7F05"/>
    <w:rsid w:val="00FD214B"/>
    <w:rsid w:val="00FD468A"/>
    <w:rsid w:val="00FD46A9"/>
    <w:rsid w:val="00FE0335"/>
    <w:rsid w:val="00FE2243"/>
    <w:rsid w:val="00FE44C6"/>
    <w:rsid w:val="00FE45DC"/>
    <w:rsid w:val="00FE4914"/>
    <w:rsid w:val="00FE5B71"/>
    <w:rsid w:val="00FE69D6"/>
    <w:rsid w:val="00FF05D4"/>
    <w:rsid w:val="00FF178F"/>
    <w:rsid w:val="00FF6263"/>
    <w:rsid w:val="0D978FA1"/>
    <w:rsid w:val="13B975E9"/>
    <w:rsid w:val="191DBAFF"/>
    <w:rsid w:val="36017642"/>
    <w:rsid w:val="61FBFBD7"/>
    <w:rsid w:val="70B2B388"/>
    <w:rsid w:val="78F7D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55B7"/>
  <w15:chartTrackingRefBased/>
  <w15:docId w15:val="{9A4DF111-82EB-4D48-81EA-B529A006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pter,1.Seite,resume"/>
    <w:basedOn w:val="Normal"/>
    <w:next w:val="Normal"/>
    <w:link w:val="Heading2Char1"/>
    <w:qFormat/>
    <w:rsid w:val="00136772"/>
    <w:pPr>
      <w:keepNext/>
      <w:widowControl w:val="0"/>
      <w:shd w:val="clear" w:color="auto" w:fill="D9D9D9" w:themeFill="background1" w:themeFillShade="D9"/>
      <w:overflowPunct w:val="0"/>
      <w:autoSpaceDE w:val="0"/>
      <w:autoSpaceDN w:val="0"/>
      <w:adjustRightInd w:val="0"/>
      <w:spacing w:after="130" w:line="320" w:lineRule="atLeast"/>
      <w:textAlignment w:val="baseline"/>
      <w:outlineLvl w:val="1"/>
    </w:pPr>
    <w:rPr>
      <w:rFonts w:ascii="Times New Roman" w:eastAsia="Times New Roman" w:hAnsi="Times New Roman" w:cs="Arial"/>
      <w:b/>
      <w:bCs/>
      <w:sz w:val="28"/>
      <w:szCs w:val="28"/>
    </w:rPr>
  </w:style>
  <w:style w:type="paragraph" w:styleId="Heading3">
    <w:name w:val="heading 3"/>
    <w:basedOn w:val="Normal"/>
    <w:next w:val="Normal"/>
    <w:link w:val="Heading3Char"/>
    <w:unhideWhenUsed/>
    <w:qFormat/>
    <w:rsid w:val="00136772"/>
    <w:pPr>
      <w:keepNext/>
      <w:keepLines/>
      <w:widowControl w:val="0"/>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36D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F2BC1"/>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D77D25"/>
    <w:rPr>
      <w:sz w:val="16"/>
      <w:szCs w:val="16"/>
    </w:rPr>
  </w:style>
  <w:style w:type="paragraph" w:styleId="CommentText">
    <w:name w:val="annotation text"/>
    <w:basedOn w:val="Normal"/>
    <w:link w:val="CommentTextChar"/>
    <w:uiPriority w:val="99"/>
    <w:unhideWhenUsed/>
    <w:rsid w:val="00D77D25"/>
    <w:pPr>
      <w:spacing w:line="240" w:lineRule="auto"/>
    </w:pPr>
    <w:rPr>
      <w:sz w:val="20"/>
      <w:szCs w:val="20"/>
    </w:rPr>
  </w:style>
  <w:style w:type="character" w:customStyle="1" w:styleId="CommentTextChar">
    <w:name w:val="Comment Text Char"/>
    <w:basedOn w:val="DefaultParagraphFont"/>
    <w:link w:val="CommentText"/>
    <w:uiPriority w:val="99"/>
    <w:rsid w:val="00D77D25"/>
    <w:rPr>
      <w:sz w:val="20"/>
      <w:szCs w:val="20"/>
    </w:rPr>
  </w:style>
  <w:style w:type="paragraph" w:styleId="CommentSubject">
    <w:name w:val="annotation subject"/>
    <w:basedOn w:val="CommentText"/>
    <w:next w:val="CommentText"/>
    <w:link w:val="CommentSubjectChar"/>
    <w:uiPriority w:val="99"/>
    <w:semiHidden/>
    <w:unhideWhenUsed/>
    <w:rsid w:val="00D77D25"/>
    <w:rPr>
      <w:b/>
      <w:bCs/>
    </w:rPr>
  </w:style>
  <w:style w:type="character" w:customStyle="1" w:styleId="CommentSubjectChar">
    <w:name w:val="Comment Subject Char"/>
    <w:basedOn w:val="CommentTextChar"/>
    <w:link w:val="CommentSubject"/>
    <w:uiPriority w:val="99"/>
    <w:semiHidden/>
    <w:rsid w:val="00D77D25"/>
    <w:rPr>
      <w:b/>
      <w:bCs/>
      <w:sz w:val="20"/>
      <w:szCs w:val="20"/>
    </w:rPr>
  </w:style>
  <w:style w:type="paragraph" w:styleId="BalloonText">
    <w:name w:val="Balloon Text"/>
    <w:basedOn w:val="Normal"/>
    <w:link w:val="BalloonTextChar"/>
    <w:uiPriority w:val="99"/>
    <w:unhideWhenUsed/>
    <w:rsid w:val="00D77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77D25"/>
    <w:rPr>
      <w:rFonts w:ascii="Segoe UI" w:hAnsi="Segoe UI" w:cs="Segoe UI"/>
      <w:sz w:val="18"/>
      <w:szCs w:val="18"/>
    </w:rPr>
  </w:style>
  <w:style w:type="paragraph" w:styleId="Caption">
    <w:name w:val="caption"/>
    <w:basedOn w:val="Normal"/>
    <w:next w:val="Normal"/>
    <w:uiPriority w:val="35"/>
    <w:unhideWhenUsed/>
    <w:qFormat/>
    <w:rsid w:val="00680A30"/>
    <w:pPr>
      <w:spacing w:after="200" w:line="240" w:lineRule="auto"/>
    </w:pPr>
    <w:rPr>
      <w:i/>
      <w:iCs/>
      <w:color w:val="44546A" w:themeColor="text2"/>
      <w:sz w:val="18"/>
      <w:szCs w:val="18"/>
    </w:rPr>
  </w:style>
  <w:style w:type="character" w:customStyle="1" w:styleId="Heading2Char">
    <w:name w:val="Heading 2 Char"/>
    <w:basedOn w:val="DefaultParagraphFont"/>
    <w:uiPriority w:val="9"/>
    <w:semiHidden/>
    <w:rsid w:val="001367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36772"/>
    <w:rPr>
      <w:rFonts w:asciiTheme="majorHAnsi" w:eastAsiaTheme="majorEastAsia" w:hAnsiTheme="majorHAnsi" w:cstheme="majorBidi"/>
      <w:color w:val="1F3763" w:themeColor="accent1" w:themeShade="7F"/>
      <w:sz w:val="24"/>
      <w:szCs w:val="24"/>
    </w:rPr>
  </w:style>
  <w:style w:type="character" w:customStyle="1" w:styleId="Heading2Char1">
    <w:name w:val="Heading 2 Char1"/>
    <w:aliases w:val="Chapter Char,1.Seite Char,resume Char"/>
    <w:basedOn w:val="DefaultParagraphFont"/>
    <w:link w:val="Heading2"/>
    <w:locked/>
    <w:rsid w:val="00136772"/>
    <w:rPr>
      <w:rFonts w:ascii="Times New Roman" w:eastAsia="Times New Roman" w:hAnsi="Times New Roman" w:cs="Arial"/>
      <w:b/>
      <w:bCs/>
      <w:sz w:val="28"/>
      <w:szCs w:val="28"/>
      <w:shd w:val="clear" w:color="auto" w:fill="D9D9D9" w:themeFill="background1" w:themeFillShade="D9"/>
    </w:rPr>
  </w:style>
  <w:style w:type="paragraph" w:customStyle="1" w:styleId="01Body">
    <w:name w:val="01_Body"/>
    <w:basedOn w:val="Normal"/>
    <w:link w:val="01BodyChar"/>
    <w:autoRedefine/>
    <w:qFormat/>
    <w:rsid w:val="00136772"/>
    <w:pPr>
      <w:spacing w:before="240" w:after="200" w:line="280" w:lineRule="atLeast"/>
    </w:pPr>
    <w:rPr>
      <w:rFonts w:cstheme="minorHAnsi"/>
      <w:sz w:val="24"/>
    </w:rPr>
  </w:style>
  <w:style w:type="character" w:customStyle="1" w:styleId="01BodyChar">
    <w:name w:val="01_Body Char"/>
    <w:basedOn w:val="DefaultParagraphFont"/>
    <w:link w:val="01Body"/>
    <w:rsid w:val="00136772"/>
    <w:rPr>
      <w:rFonts w:cstheme="minorHAnsi"/>
      <w:sz w:val="24"/>
    </w:rPr>
  </w:style>
  <w:style w:type="paragraph" w:styleId="ListParagraph">
    <w:name w:val="List Paragraph"/>
    <w:aliases w:val="SDG&amp;E Bullet List"/>
    <w:basedOn w:val="Normal"/>
    <w:link w:val="ListParagraphChar"/>
    <w:qFormat/>
    <w:rsid w:val="000E1EEB"/>
    <w:pPr>
      <w:numPr>
        <w:numId w:val="2"/>
      </w:numPr>
      <w:spacing w:after="240" w:line="240" w:lineRule="auto"/>
      <w:contextualSpacing/>
    </w:pPr>
    <w:rPr>
      <w:rFonts w:ascii="Garamond" w:eastAsiaTheme="minorEastAsia" w:hAnsi="Garamond"/>
      <w:sz w:val="24"/>
      <w:szCs w:val="24"/>
    </w:rPr>
  </w:style>
  <w:style w:type="character" w:customStyle="1" w:styleId="ListParagraphChar">
    <w:name w:val="List Paragraph Char"/>
    <w:aliases w:val="SDG&amp;E Bullet List Char"/>
    <w:basedOn w:val="DefaultParagraphFont"/>
    <w:link w:val="ListParagraph"/>
    <w:locked/>
    <w:rsid w:val="00136772"/>
    <w:rPr>
      <w:rFonts w:ascii="Garamond" w:eastAsiaTheme="minorEastAsia" w:hAnsi="Garamond"/>
      <w:sz w:val="24"/>
      <w:szCs w:val="24"/>
    </w:rPr>
  </w:style>
  <w:style w:type="table" w:customStyle="1" w:styleId="ListTable3-Accent11">
    <w:name w:val="List Table 3 - Accent 11"/>
    <w:basedOn w:val="TableNormal"/>
    <w:next w:val="ListTable3-Accent1"/>
    <w:uiPriority w:val="48"/>
    <w:rsid w:val="00136772"/>
    <w:pPr>
      <w:spacing w:before="120" w:after="0" w:line="240" w:lineRule="auto"/>
    </w:pPr>
    <w:rPr>
      <w:rFonts w:eastAsia="Times New Roman"/>
      <w:sz w:val="20"/>
      <w:szCs w:val="20"/>
    </w:rPr>
    <w:tblPr>
      <w:tblStyleRowBandSize w:val="1"/>
      <w:tblStyleColBandSize w:val="1"/>
      <w:tblBorders>
        <w:top w:val="single" w:sz="4" w:space="0" w:color="44546A"/>
        <w:left w:val="single" w:sz="4" w:space="0" w:color="44546A"/>
        <w:bottom w:val="single" w:sz="4" w:space="0" w:color="44546A"/>
        <w:right w:val="single" w:sz="4" w:space="0" w:color="44546A"/>
      </w:tblBorders>
    </w:tblPr>
    <w:tblStylePr w:type="firstRow">
      <w:rPr>
        <w:b/>
        <w:bCs/>
        <w:color w:val="FFFFFF"/>
      </w:rPr>
      <w:tblPr/>
      <w:tcPr>
        <w:shd w:val="clear" w:color="auto" w:fill="44546A"/>
      </w:tcPr>
    </w:tblStylePr>
    <w:tblStylePr w:type="lastRow">
      <w:rPr>
        <w:b/>
        <w:bCs/>
      </w:rPr>
      <w:tblPr/>
      <w:tcPr>
        <w:tcBorders>
          <w:top w:val="double" w:sz="4" w:space="0" w:color="44546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546A"/>
          <w:right w:val="single" w:sz="4" w:space="0" w:color="44546A"/>
        </w:tcBorders>
      </w:tcPr>
    </w:tblStylePr>
    <w:tblStylePr w:type="band1Horz">
      <w:tblPr/>
      <w:tcPr>
        <w:tcBorders>
          <w:top w:val="single" w:sz="4" w:space="0" w:color="44546A"/>
          <w:bottom w:val="single" w:sz="4" w:space="0" w:color="44546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A"/>
          <w:left w:val="nil"/>
        </w:tcBorders>
      </w:tcPr>
    </w:tblStylePr>
    <w:tblStylePr w:type="swCell">
      <w:tblPr/>
      <w:tcPr>
        <w:tcBorders>
          <w:top w:val="double" w:sz="4" w:space="0" w:color="44546A"/>
          <w:right w:val="nil"/>
        </w:tcBorders>
      </w:tcPr>
    </w:tblStylePr>
  </w:style>
  <w:style w:type="table" w:customStyle="1" w:styleId="NewTableStyle36">
    <w:name w:val="New Table Style 36"/>
    <w:basedOn w:val="TableNormal"/>
    <w:uiPriority w:val="99"/>
    <w:rsid w:val="00136772"/>
    <w:pPr>
      <w:spacing w:before="20" w:after="0" w:line="240" w:lineRule="auto"/>
    </w:pPr>
    <w:rPr>
      <w:rFonts w:ascii="MS Reference Sans Serif" w:eastAsia="MS Reference Sans Serif" w:hAnsi="MS Reference Sans Serif" w:cs="Times New Roman"/>
      <w:sz w:val="18"/>
    </w:rPr>
    <w:tblPr>
      <w:tblStyleRowBandSize w:val="1"/>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Pr>
    <w:tcPr>
      <w:vAlign w:val="center"/>
    </w:tcPr>
    <w:tblStylePr w:type="firstRow">
      <w:pPr>
        <w:jc w:val="center"/>
      </w:pPr>
      <w:rPr>
        <w:rFonts w:ascii="DengXian Light" w:hAnsi="DengXian Light"/>
        <w:b/>
        <w:color w:val="FFFFFF"/>
        <w:sz w:val="18"/>
      </w:rPr>
      <w:tblPr/>
      <w:tcPr>
        <w:shd w:val="clear" w:color="auto" w:fill="007AA5"/>
      </w:tcPr>
    </w:tblStylePr>
    <w:tblStylePr w:type="band1Horz">
      <w:pPr>
        <w:jc w:val="left"/>
      </w:pPr>
      <w:rPr>
        <w:rFonts w:ascii="DengXian Light" w:hAnsi="DengXian Light"/>
        <w:sz w:val="18"/>
      </w:rPr>
      <w:tblPr/>
      <w:tcPr>
        <w:shd w:val="clear" w:color="auto" w:fill="E6E6E6"/>
      </w:tcPr>
    </w:tblStylePr>
    <w:tblStylePr w:type="band2Horz">
      <w:pPr>
        <w:jc w:val="left"/>
      </w:pPr>
      <w:rPr>
        <w:rFonts w:ascii="DengXian Light" w:hAnsi="DengXian Light"/>
        <w:sz w:val="18"/>
      </w:rPr>
    </w:tblStylePr>
  </w:style>
  <w:style w:type="table" w:styleId="ListTable3-Accent1">
    <w:name w:val="List Table 3 Accent 1"/>
    <w:basedOn w:val="TableNormal"/>
    <w:uiPriority w:val="48"/>
    <w:rsid w:val="0013677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uiPriority w:val="9"/>
    <w:rsid w:val="007F3DA2"/>
    <w:rPr>
      <w:rFonts w:asciiTheme="majorHAnsi" w:eastAsiaTheme="majorEastAsia" w:hAnsiTheme="majorHAnsi" w:cstheme="majorBidi"/>
      <w:color w:val="2F5496" w:themeColor="accent1" w:themeShade="BF"/>
      <w:sz w:val="32"/>
      <w:szCs w:val="32"/>
    </w:rPr>
  </w:style>
  <w:style w:type="paragraph" w:customStyle="1" w:styleId="SDGEHeader1">
    <w:name w:val="SDGE Header1"/>
    <w:basedOn w:val="Heading1"/>
    <w:next w:val="SDGEHeader2"/>
    <w:link w:val="SDGEHeader1Char"/>
    <w:autoRedefine/>
    <w:qFormat/>
    <w:rsid w:val="007F3DA2"/>
    <w:rPr>
      <w:color w:val="006FC0"/>
    </w:rPr>
  </w:style>
  <w:style w:type="paragraph" w:customStyle="1" w:styleId="SDGEHeader2">
    <w:name w:val="SDGE Header2"/>
    <w:basedOn w:val="Heading3"/>
    <w:link w:val="SDGEHeader2Char"/>
    <w:autoRedefine/>
    <w:qFormat/>
    <w:rsid w:val="007F3DA2"/>
    <w:rPr>
      <w:rFonts w:ascii="Garamond" w:hAnsi="Garamond" w:cs="Garamond"/>
      <w:bCs/>
      <w:color w:val="000000"/>
    </w:rPr>
  </w:style>
  <w:style w:type="character" w:customStyle="1" w:styleId="DefaultChar">
    <w:name w:val="Default Char"/>
    <w:basedOn w:val="DefaultParagraphFont"/>
    <w:link w:val="Default"/>
    <w:rsid w:val="007F3DA2"/>
    <w:rPr>
      <w:rFonts w:ascii="Century Gothic" w:hAnsi="Century Gothic" w:cs="Century Gothic"/>
      <w:color w:val="000000"/>
      <w:sz w:val="24"/>
      <w:szCs w:val="24"/>
    </w:rPr>
  </w:style>
  <w:style w:type="character" w:customStyle="1" w:styleId="SDGEHeader1Char">
    <w:name w:val="SDGE Header1 Char"/>
    <w:basedOn w:val="DefaultChar"/>
    <w:link w:val="SDGEHeader1"/>
    <w:rsid w:val="007F3DA2"/>
    <w:rPr>
      <w:rFonts w:asciiTheme="majorHAnsi" w:eastAsiaTheme="majorEastAsia" w:hAnsiTheme="majorHAnsi" w:cstheme="majorBidi"/>
      <w:color w:val="006FC0"/>
      <w:sz w:val="32"/>
      <w:szCs w:val="32"/>
    </w:rPr>
  </w:style>
  <w:style w:type="character" w:customStyle="1" w:styleId="SDGEHeader2Char">
    <w:name w:val="SDGE Header2 Char"/>
    <w:basedOn w:val="DefaultChar"/>
    <w:link w:val="SDGEHeader2"/>
    <w:rsid w:val="007F3DA2"/>
    <w:rPr>
      <w:rFonts w:ascii="Garamond" w:eastAsiaTheme="majorEastAsia" w:hAnsi="Garamond" w:cs="Garamond"/>
      <w:bCs/>
      <w:color w:val="000000"/>
      <w:sz w:val="24"/>
      <w:szCs w:val="24"/>
    </w:rPr>
  </w:style>
  <w:style w:type="paragraph" w:styleId="Header">
    <w:name w:val="header"/>
    <w:basedOn w:val="Normal"/>
    <w:link w:val="HeaderChar"/>
    <w:uiPriority w:val="99"/>
    <w:unhideWhenUsed/>
    <w:rsid w:val="00F9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CE"/>
  </w:style>
  <w:style w:type="paragraph" w:styleId="Footer">
    <w:name w:val="footer"/>
    <w:basedOn w:val="Normal"/>
    <w:link w:val="FooterChar"/>
    <w:uiPriority w:val="99"/>
    <w:unhideWhenUsed/>
    <w:rsid w:val="00F9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CE"/>
  </w:style>
  <w:style w:type="paragraph" w:customStyle="1" w:styleId="SDGEHeader3">
    <w:name w:val="SDGE Header 3"/>
    <w:basedOn w:val="Heading3"/>
    <w:qFormat/>
    <w:rsid w:val="00F90CCE"/>
    <w:rPr>
      <w:rFonts w:ascii="Garamond" w:hAnsi="Garamond" w:cs="Garamond"/>
      <w:b/>
      <w:color w:val="000000"/>
    </w:rPr>
  </w:style>
  <w:style w:type="paragraph" w:customStyle="1" w:styleId="SDGEBodyText1">
    <w:name w:val="SDG&amp;E Body Text1"/>
    <w:qFormat/>
    <w:rsid w:val="00F90CCE"/>
    <w:pPr>
      <w:spacing w:before="120" w:after="120" w:line="264" w:lineRule="auto"/>
    </w:pPr>
    <w:rPr>
      <w:rFonts w:ascii="Garamond" w:hAnsi="Garamond"/>
      <w:sz w:val="24"/>
      <w:szCs w:val="24"/>
    </w:rPr>
  </w:style>
  <w:style w:type="character" w:styleId="Hyperlink">
    <w:name w:val="Hyperlink"/>
    <w:basedOn w:val="DefaultParagraphFont"/>
    <w:uiPriority w:val="99"/>
    <w:unhideWhenUsed/>
    <w:rsid w:val="00F90CCE"/>
    <w:rPr>
      <w:color w:val="0563C1" w:themeColor="hyperlink"/>
      <w:u w:val="single"/>
    </w:rPr>
  </w:style>
  <w:style w:type="paragraph" w:styleId="NormalWeb">
    <w:name w:val="Normal (Web)"/>
    <w:aliases w:val="Normal (Web) Char,Normal (Web) Char Char Char,Normal (Web) Char Char1,Normal (Web) Char Char Char Char"/>
    <w:basedOn w:val="Normal"/>
    <w:link w:val="NormalWebChar1"/>
    <w:uiPriority w:val="99"/>
    <w:unhideWhenUsed/>
    <w:rsid w:val="00F90CC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
    <w:basedOn w:val="DefaultParagraphFont"/>
    <w:link w:val="FootnoteText"/>
    <w:uiPriority w:val="99"/>
    <w:semiHidden/>
    <w:locked/>
    <w:rsid w:val="00F90CCE"/>
    <w:rPr>
      <w:rFonts w:ascii="Times New Roman" w:eastAsia="Times New Roman" w:hAnsi="Times New Roman" w:cs="Times New Roman"/>
      <w:sz w:val="20"/>
      <w:szCs w:val="20"/>
    </w:rPr>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
    <w:basedOn w:val="Normal"/>
    <w:link w:val="FootnoteTextChar"/>
    <w:uiPriority w:val="99"/>
    <w:semiHidden/>
    <w:unhideWhenUsed/>
    <w:rsid w:val="00F90CCE"/>
    <w:pPr>
      <w:spacing w:after="24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90CCE"/>
    <w:rPr>
      <w:sz w:val="20"/>
      <w:szCs w:val="20"/>
    </w:rPr>
  </w:style>
  <w:style w:type="character" w:styleId="FootnoteReference">
    <w:name w:val="footnote reference"/>
    <w:aliases w:val="o"/>
    <w:uiPriority w:val="99"/>
    <w:semiHidden/>
    <w:unhideWhenUsed/>
    <w:rsid w:val="00F90CCE"/>
    <w:rPr>
      <w:rFonts w:ascii="Times New Roman" w:hAnsi="Times New Roman" w:cs="Times New Roman" w:hint="default"/>
      <w:vertAlign w:val="superscript"/>
    </w:rPr>
  </w:style>
  <w:style w:type="character" w:customStyle="1" w:styleId="NormalWebChar1">
    <w:name w:val="Normal (Web) Char1"/>
    <w:aliases w:val="Normal (Web) Char Char,Normal (Web) Char Char Char Char1,Normal (Web) Char Char1 Char,Normal (Web) Char Char Char Char Char"/>
    <w:basedOn w:val="DefaultParagraphFont"/>
    <w:link w:val="NormalWeb"/>
    <w:uiPriority w:val="99"/>
    <w:locked/>
    <w:rsid w:val="00F90CCE"/>
    <w:rPr>
      <w:rFonts w:ascii="Times New Roman" w:eastAsiaTheme="minorEastAsia" w:hAnsi="Times New Roman" w:cs="Times New Roman"/>
      <w:sz w:val="24"/>
      <w:szCs w:val="24"/>
    </w:rPr>
  </w:style>
  <w:style w:type="paragraph" w:customStyle="1" w:styleId="SDGEHeading21">
    <w:name w:val="SDG&amp;E Heading 2.1"/>
    <w:basedOn w:val="Heading3"/>
    <w:next w:val="Normal"/>
    <w:qFormat/>
    <w:rsid w:val="00F90CCE"/>
    <w:rPr>
      <w:rFonts w:ascii="Garamond" w:hAnsi="Garamond"/>
      <w:b/>
      <w:color w:val="auto"/>
    </w:rPr>
  </w:style>
  <w:style w:type="paragraph" w:styleId="Title">
    <w:name w:val="Title"/>
    <w:basedOn w:val="Normal"/>
    <w:next w:val="Normal"/>
    <w:link w:val="TitleChar"/>
    <w:uiPriority w:val="10"/>
    <w:qFormat/>
    <w:rsid w:val="00F90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CC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9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764E"/>
    <w:pPr>
      <w:widowControl w:val="0"/>
      <w:spacing w:after="0" w:line="240" w:lineRule="auto"/>
    </w:pPr>
    <w:rPr>
      <w:rFonts w:ascii="Calibri" w:hAnsi="Calibri"/>
    </w:rPr>
  </w:style>
  <w:style w:type="character" w:styleId="UnresolvedMention">
    <w:name w:val="Unresolved Mention"/>
    <w:basedOn w:val="DefaultParagraphFont"/>
    <w:uiPriority w:val="99"/>
    <w:unhideWhenUsed/>
    <w:rsid w:val="004239F9"/>
    <w:rPr>
      <w:color w:val="605E5C"/>
      <w:shd w:val="clear" w:color="auto" w:fill="E1DFDD"/>
    </w:rPr>
  </w:style>
  <w:style w:type="character" w:styleId="Mention">
    <w:name w:val="Mention"/>
    <w:basedOn w:val="DefaultParagraphFont"/>
    <w:uiPriority w:val="99"/>
    <w:unhideWhenUsed/>
    <w:rsid w:val="004239F9"/>
    <w:rPr>
      <w:color w:val="2B579A"/>
      <w:shd w:val="clear" w:color="auto" w:fill="E1DFDD"/>
    </w:rPr>
  </w:style>
  <w:style w:type="character" w:customStyle="1" w:styleId="Heading4Char">
    <w:name w:val="Heading 4 Char"/>
    <w:basedOn w:val="DefaultParagraphFont"/>
    <w:link w:val="Heading4"/>
    <w:uiPriority w:val="9"/>
    <w:semiHidden/>
    <w:rsid w:val="00636DA1"/>
    <w:rPr>
      <w:rFonts w:asciiTheme="majorHAnsi" w:eastAsiaTheme="majorEastAsia" w:hAnsiTheme="majorHAnsi" w:cstheme="majorBidi"/>
      <w:i/>
      <w:iCs/>
      <w:color w:val="2F5496" w:themeColor="accent1" w:themeShade="BF"/>
    </w:rPr>
  </w:style>
  <w:style w:type="paragraph" w:customStyle="1" w:styleId="BodyText1">
    <w:name w:val="Body Text1"/>
    <w:basedOn w:val="Normal"/>
    <w:qFormat/>
    <w:rsid w:val="00AC0909"/>
    <w:pPr>
      <w:spacing w:before="120" w:after="120" w:line="264" w:lineRule="auto"/>
    </w:pPr>
    <w:rPr>
      <w:rFonts w:ascii="Calibri" w:hAnsi="Calibri"/>
      <w:color w:val="000000" w:themeColor="text1"/>
      <w:szCs w:val="24"/>
    </w:rPr>
  </w:style>
  <w:style w:type="paragraph" w:customStyle="1" w:styleId="BulletLevel1">
    <w:name w:val="Bullet Level 1"/>
    <w:basedOn w:val="Normal"/>
    <w:qFormat/>
    <w:rsid w:val="00AC0909"/>
    <w:pPr>
      <w:numPr>
        <w:numId w:val="8"/>
      </w:numPr>
      <w:spacing w:after="60" w:line="252" w:lineRule="auto"/>
    </w:pPr>
    <w:rPr>
      <w:rFonts w:ascii="Calibri" w:hAnsi="Calibri"/>
      <w:color w:val="000000" w:themeColor="text1"/>
      <w:szCs w:val="24"/>
    </w:rPr>
  </w:style>
  <w:style w:type="table" w:customStyle="1" w:styleId="HrztlTable1">
    <w:name w:val="Hrztl Table1"/>
    <w:basedOn w:val="TableNormal"/>
    <w:next w:val="TableGrid"/>
    <w:uiPriority w:val="39"/>
    <w:rsid w:val="00AC09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127076">
      <w:bodyDiv w:val="1"/>
      <w:marLeft w:val="0"/>
      <w:marRight w:val="0"/>
      <w:marTop w:val="0"/>
      <w:marBottom w:val="0"/>
      <w:divBdr>
        <w:top w:val="none" w:sz="0" w:space="0" w:color="auto"/>
        <w:left w:val="none" w:sz="0" w:space="0" w:color="auto"/>
        <w:bottom w:val="none" w:sz="0" w:space="0" w:color="auto"/>
        <w:right w:val="none" w:sz="0" w:space="0" w:color="auto"/>
      </w:divBdr>
    </w:div>
    <w:div w:id="1065832392">
      <w:bodyDiv w:val="1"/>
      <w:marLeft w:val="0"/>
      <w:marRight w:val="0"/>
      <w:marTop w:val="0"/>
      <w:marBottom w:val="0"/>
      <w:divBdr>
        <w:top w:val="none" w:sz="0" w:space="0" w:color="auto"/>
        <w:left w:val="none" w:sz="0" w:space="0" w:color="auto"/>
        <w:bottom w:val="none" w:sz="0" w:space="0" w:color="auto"/>
        <w:right w:val="none" w:sz="0" w:space="0" w:color="auto"/>
      </w:divBdr>
    </w:div>
    <w:div w:id="1336297906">
      <w:bodyDiv w:val="1"/>
      <w:marLeft w:val="0"/>
      <w:marRight w:val="0"/>
      <w:marTop w:val="0"/>
      <w:marBottom w:val="0"/>
      <w:divBdr>
        <w:top w:val="none" w:sz="0" w:space="0" w:color="auto"/>
        <w:left w:val="none" w:sz="0" w:space="0" w:color="auto"/>
        <w:bottom w:val="none" w:sz="0" w:space="0" w:color="auto"/>
        <w:right w:val="none" w:sz="0" w:space="0" w:color="auto"/>
      </w:divBdr>
    </w:div>
    <w:div w:id="1429110242">
      <w:bodyDiv w:val="1"/>
      <w:marLeft w:val="0"/>
      <w:marRight w:val="0"/>
      <w:marTop w:val="0"/>
      <w:marBottom w:val="0"/>
      <w:divBdr>
        <w:top w:val="none" w:sz="0" w:space="0" w:color="auto"/>
        <w:left w:val="none" w:sz="0" w:space="0" w:color="auto"/>
        <w:bottom w:val="none" w:sz="0" w:space="0" w:color="auto"/>
        <w:right w:val="none" w:sz="0" w:space="0" w:color="auto"/>
      </w:divBdr>
    </w:div>
    <w:div w:id="16503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CEA7DB327534E8AAE20D9CE0D64D0" ma:contentTypeVersion="7" ma:contentTypeDescription="Create a new document." ma:contentTypeScope="" ma:versionID="4e6106d0bafb0d5f5ee28571c64f4f58">
  <xsd:schema xmlns:xsd="http://www.w3.org/2001/XMLSchema" xmlns:xs="http://www.w3.org/2001/XMLSchema" xmlns:p="http://schemas.microsoft.com/office/2006/metadata/properties" xmlns:ns2="04e70845-2ce2-498f-b5c8-7649846d4eef" xmlns:ns3="0be16179-47c0-4bb0-bcb1-70c02eac5f25" targetNamespace="http://schemas.microsoft.com/office/2006/metadata/properties" ma:root="true" ma:fieldsID="dd9263d9d0ad1742f985d8074544a147" ns2:_="" ns3:_="">
    <xsd:import namespace="04e70845-2ce2-498f-b5c8-7649846d4eef"/>
    <xsd:import namespace="0be16179-47c0-4bb0-bcb1-70c02eac5f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0845-2ce2-498f-b5c8-7649846d4e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16179-47c0-4bb0-bcb1-70c02eac5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EAEA-FB4D-41B8-B9A9-A2825907CC7A}">
  <ds:schemaRefs>
    <ds:schemaRef ds:uri="http://schemas.microsoft.com/sharepoint/v3/contenttype/forms"/>
  </ds:schemaRefs>
</ds:datastoreItem>
</file>

<file path=customXml/itemProps2.xml><?xml version="1.0" encoding="utf-8"?>
<ds:datastoreItem xmlns:ds="http://schemas.openxmlformats.org/officeDocument/2006/customXml" ds:itemID="{CCCA49AF-533B-4538-BBF2-DCC107EC6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0845-2ce2-498f-b5c8-7649846d4eef"/>
    <ds:schemaRef ds:uri="0be16179-47c0-4bb0-bcb1-70c02e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1CA57-C4B9-49D4-BCDF-FDC63A2425C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be16179-47c0-4bb0-bcb1-70c02eac5f25"/>
    <ds:schemaRef ds:uri="04e70845-2ce2-498f-b5c8-7649846d4eef"/>
    <ds:schemaRef ds:uri="http://www.w3.org/XML/1998/namespace"/>
  </ds:schemaRefs>
</ds:datastoreItem>
</file>

<file path=customXml/itemProps4.xml><?xml version="1.0" encoding="utf-8"?>
<ds:datastoreItem xmlns:ds="http://schemas.openxmlformats.org/officeDocument/2006/customXml" ds:itemID="{D4B0B62F-1307-4F5D-B108-74D8E072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Sloma, Bianca</dc:creator>
  <cp:keywords/>
  <dc:description/>
  <cp:lastModifiedBy>Gustafson, Andrew</cp:lastModifiedBy>
  <cp:revision>205</cp:revision>
  <dcterms:created xsi:type="dcterms:W3CDTF">2020-11-20T19:48:00Z</dcterms:created>
  <dcterms:modified xsi:type="dcterms:W3CDTF">2020-11-30T23:54:00Z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0x01010034DCEA7DB327534E8AAE20D9CE0D64D0</vt:lpwstr>
  </property>
  <property fmtid="{D5CDD505-2E9C-101B-9397-08002B2CF9AE}" pid="3" name="pgeRecordCategory">
    <vt:lpwstr/>
  </property>
</Properties>
</file>