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5683E" w14:textId="5C2F6769" w:rsidR="00682FBD" w:rsidRPr="009027CD" w:rsidRDefault="00682FBD" w:rsidP="00682FBD">
      <w:pPr>
        <w:overflowPunct/>
        <w:autoSpaceDE/>
        <w:autoSpaceDN/>
        <w:adjustRightInd/>
        <w:rPr>
          <w:sz w:val="24"/>
          <w:szCs w:val="24"/>
        </w:rPr>
      </w:pPr>
      <w:bookmarkStart w:id="0" w:name="_Toc131418164"/>
      <w:bookmarkStart w:id="1" w:name="_Toc128897596"/>
      <w:r>
        <w:rPr>
          <w:noProof/>
          <w:sz w:val="24"/>
          <w:szCs w:val="24"/>
        </w:rPr>
        <w:drawing>
          <wp:anchor distT="0" distB="0" distL="114300" distR="114300" simplePos="0" relativeHeight="251659264" behindDoc="1" locked="0" layoutInCell="1" allowOverlap="1" wp14:anchorId="3CA67360" wp14:editId="58A4EBD0">
            <wp:simplePos x="0" y="0"/>
            <wp:positionH relativeFrom="column">
              <wp:posOffset>4591050</wp:posOffset>
            </wp:positionH>
            <wp:positionV relativeFrom="paragraph">
              <wp:posOffset>-266700</wp:posOffset>
            </wp:positionV>
            <wp:extent cx="1209675" cy="984250"/>
            <wp:effectExtent l="0" t="0" r="9525" b="6350"/>
            <wp:wrapTight wrapText="bothSides">
              <wp:wrapPolygon edited="0">
                <wp:start x="0" y="0"/>
                <wp:lineTo x="0" y="21321"/>
                <wp:lineTo x="21430" y="21321"/>
                <wp:lineTo x="21430" y="0"/>
                <wp:lineTo x="0" y="0"/>
              </wp:wrapPolygon>
            </wp:wrapTight>
            <wp:docPr id="1" name="Picture 1" descr="MCE_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E_logo-on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984250"/>
                    </a:xfrm>
                    <a:prstGeom prst="rect">
                      <a:avLst/>
                    </a:prstGeom>
                    <a:noFill/>
                  </pic:spPr>
                </pic:pic>
              </a:graphicData>
            </a:graphic>
          </wp:anchor>
        </w:drawing>
      </w:r>
      <w:r w:rsidR="00B251E0">
        <w:rPr>
          <w:sz w:val="24"/>
          <w:szCs w:val="24"/>
        </w:rPr>
        <w:t>September 4</w:t>
      </w:r>
      <w:r w:rsidR="00A76325">
        <w:rPr>
          <w:sz w:val="24"/>
          <w:szCs w:val="24"/>
        </w:rPr>
        <w:t>, 2018</w:t>
      </w:r>
    </w:p>
    <w:p w14:paraId="032CCEB2" w14:textId="77777777" w:rsidR="00682FBD" w:rsidRPr="009027CD" w:rsidRDefault="00682FBD" w:rsidP="00682FBD">
      <w:pPr>
        <w:overflowPunct/>
        <w:autoSpaceDE/>
        <w:autoSpaceDN/>
        <w:adjustRightInd/>
        <w:jc w:val="both"/>
        <w:rPr>
          <w:sz w:val="24"/>
          <w:szCs w:val="24"/>
        </w:rPr>
      </w:pPr>
    </w:p>
    <w:p w14:paraId="690230AB" w14:textId="77777777" w:rsidR="00682FBD" w:rsidRPr="009027CD" w:rsidRDefault="00682FBD" w:rsidP="00682FBD">
      <w:pPr>
        <w:overflowPunct/>
        <w:autoSpaceDE/>
        <w:autoSpaceDN/>
        <w:adjustRightInd/>
        <w:jc w:val="both"/>
        <w:rPr>
          <w:sz w:val="24"/>
          <w:szCs w:val="24"/>
        </w:rPr>
      </w:pPr>
      <w:r w:rsidRPr="009027CD">
        <w:rPr>
          <w:sz w:val="24"/>
          <w:szCs w:val="24"/>
        </w:rPr>
        <w:t>CA Public Utilities Commission</w:t>
      </w:r>
    </w:p>
    <w:p w14:paraId="1411FE32" w14:textId="77777777" w:rsidR="00682FBD" w:rsidRPr="009027CD" w:rsidRDefault="00682FBD" w:rsidP="00682FBD">
      <w:pPr>
        <w:overflowPunct/>
        <w:autoSpaceDE/>
        <w:autoSpaceDN/>
        <w:adjustRightInd/>
        <w:jc w:val="both"/>
        <w:rPr>
          <w:sz w:val="24"/>
          <w:szCs w:val="24"/>
        </w:rPr>
      </w:pPr>
      <w:r w:rsidRPr="009027CD">
        <w:rPr>
          <w:sz w:val="24"/>
          <w:szCs w:val="24"/>
        </w:rPr>
        <w:t>Energy Division</w:t>
      </w:r>
    </w:p>
    <w:p w14:paraId="11518821" w14:textId="77777777" w:rsidR="00682FBD" w:rsidRPr="009027CD" w:rsidRDefault="00682FBD" w:rsidP="00682FBD">
      <w:pPr>
        <w:overflowPunct/>
        <w:autoSpaceDE/>
        <w:autoSpaceDN/>
        <w:adjustRightInd/>
        <w:jc w:val="both"/>
        <w:rPr>
          <w:sz w:val="24"/>
          <w:szCs w:val="24"/>
        </w:rPr>
      </w:pPr>
      <w:r w:rsidRPr="009027CD">
        <w:rPr>
          <w:sz w:val="24"/>
          <w:szCs w:val="24"/>
        </w:rPr>
        <w:t>Attention: Tariff Unit</w:t>
      </w:r>
    </w:p>
    <w:p w14:paraId="7FE003CB" w14:textId="77777777" w:rsidR="00682FBD" w:rsidRPr="009027CD" w:rsidRDefault="00682FBD" w:rsidP="00682FBD">
      <w:pPr>
        <w:overflowPunct/>
        <w:autoSpaceDE/>
        <w:autoSpaceDN/>
        <w:adjustRightInd/>
        <w:jc w:val="both"/>
        <w:rPr>
          <w:sz w:val="24"/>
          <w:szCs w:val="24"/>
        </w:rPr>
      </w:pPr>
      <w:r w:rsidRPr="009027CD">
        <w:rPr>
          <w:sz w:val="24"/>
          <w:szCs w:val="24"/>
        </w:rPr>
        <w:t>505 Van Ness Avenue, 4</w:t>
      </w:r>
      <w:r w:rsidRPr="009027CD">
        <w:rPr>
          <w:sz w:val="24"/>
          <w:szCs w:val="24"/>
          <w:vertAlign w:val="superscript"/>
        </w:rPr>
        <w:t>th</w:t>
      </w:r>
      <w:r w:rsidRPr="009027CD">
        <w:rPr>
          <w:sz w:val="24"/>
          <w:szCs w:val="24"/>
        </w:rPr>
        <w:t xml:space="preserve"> Floor</w:t>
      </w:r>
    </w:p>
    <w:p w14:paraId="4FFE9096" w14:textId="77777777" w:rsidR="00682FBD" w:rsidRPr="009027CD" w:rsidRDefault="00682FBD" w:rsidP="00682FBD">
      <w:pPr>
        <w:overflowPunct/>
        <w:autoSpaceDE/>
        <w:autoSpaceDN/>
        <w:adjustRightInd/>
        <w:jc w:val="both"/>
        <w:rPr>
          <w:sz w:val="24"/>
          <w:szCs w:val="24"/>
        </w:rPr>
      </w:pPr>
      <w:r w:rsidRPr="009027CD">
        <w:rPr>
          <w:sz w:val="24"/>
          <w:szCs w:val="24"/>
        </w:rPr>
        <w:t>San Francisco, CA 94102-3298</w:t>
      </w:r>
    </w:p>
    <w:p w14:paraId="73FD9E7C" w14:textId="77777777" w:rsidR="00682FBD" w:rsidRPr="009027CD" w:rsidRDefault="00682FBD" w:rsidP="00682FBD">
      <w:pPr>
        <w:overflowPunct/>
        <w:autoSpaceDE/>
        <w:autoSpaceDN/>
        <w:adjustRightInd/>
        <w:jc w:val="both"/>
        <w:rPr>
          <w:sz w:val="24"/>
          <w:szCs w:val="24"/>
        </w:rPr>
      </w:pPr>
    </w:p>
    <w:p w14:paraId="63B5ECA3" w14:textId="3839BBB5" w:rsidR="00682FBD" w:rsidRPr="009027CD" w:rsidRDefault="0058392D" w:rsidP="00682FBD">
      <w:pPr>
        <w:overflowPunct/>
        <w:autoSpaceDE/>
        <w:autoSpaceDN/>
        <w:adjustRightInd/>
        <w:jc w:val="center"/>
        <w:rPr>
          <w:b/>
          <w:sz w:val="24"/>
          <w:szCs w:val="24"/>
        </w:rPr>
      </w:pPr>
      <w:r>
        <w:rPr>
          <w:b/>
          <w:sz w:val="24"/>
          <w:szCs w:val="24"/>
          <w:u w:val="single"/>
        </w:rPr>
        <w:t>MCE</w:t>
      </w:r>
      <w:r w:rsidR="00B251E0">
        <w:rPr>
          <w:b/>
          <w:sz w:val="24"/>
          <w:szCs w:val="24"/>
          <w:u w:val="single"/>
        </w:rPr>
        <w:t xml:space="preserve"> </w:t>
      </w:r>
      <w:r w:rsidR="00682FBD" w:rsidRPr="00AB42C8">
        <w:rPr>
          <w:b/>
          <w:sz w:val="24"/>
          <w:szCs w:val="24"/>
          <w:u w:val="single"/>
        </w:rPr>
        <w:t xml:space="preserve">Advice Letter </w:t>
      </w:r>
      <w:r w:rsidR="001A1285">
        <w:rPr>
          <w:b/>
          <w:sz w:val="24"/>
          <w:szCs w:val="24"/>
          <w:u w:val="single"/>
        </w:rPr>
        <w:t>34</w:t>
      </w:r>
      <w:r w:rsidR="00207AA7" w:rsidRPr="00AB42C8">
        <w:rPr>
          <w:b/>
          <w:sz w:val="24"/>
          <w:szCs w:val="24"/>
          <w:u w:val="single"/>
        </w:rPr>
        <w:t>-E</w:t>
      </w:r>
    </w:p>
    <w:p w14:paraId="55441124" w14:textId="77777777" w:rsidR="00682FBD" w:rsidRDefault="00682FBD" w:rsidP="00682FBD">
      <w:pPr>
        <w:overflowPunct/>
        <w:autoSpaceDE/>
        <w:autoSpaceDN/>
        <w:adjustRightInd/>
        <w:rPr>
          <w:sz w:val="24"/>
          <w:szCs w:val="24"/>
        </w:rPr>
      </w:pPr>
    </w:p>
    <w:p w14:paraId="2F526972" w14:textId="6C8FD6D7" w:rsidR="00682FBD" w:rsidRPr="009027CD" w:rsidRDefault="00682FBD" w:rsidP="00B251E0">
      <w:pPr>
        <w:overflowPunct/>
        <w:autoSpaceDE/>
        <w:autoSpaceDN/>
        <w:adjustRightInd/>
        <w:ind w:left="720" w:hanging="720"/>
        <w:jc w:val="both"/>
        <w:rPr>
          <w:b/>
          <w:sz w:val="24"/>
          <w:szCs w:val="24"/>
        </w:rPr>
      </w:pPr>
      <w:r w:rsidRPr="009027CD">
        <w:rPr>
          <w:b/>
          <w:sz w:val="24"/>
          <w:szCs w:val="24"/>
        </w:rPr>
        <w:t xml:space="preserve">Re: </w:t>
      </w:r>
      <w:r w:rsidR="00FE78EC">
        <w:rPr>
          <w:b/>
          <w:sz w:val="24"/>
          <w:szCs w:val="24"/>
        </w:rPr>
        <w:tab/>
      </w:r>
      <w:r w:rsidR="00A76325">
        <w:rPr>
          <w:b/>
          <w:sz w:val="24"/>
          <w:szCs w:val="24"/>
        </w:rPr>
        <w:t>Marin Clean Energy</w:t>
      </w:r>
      <w:r w:rsidR="00865570">
        <w:rPr>
          <w:b/>
          <w:sz w:val="24"/>
          <w:szCs w:val="24"/>
        </w:rPr>
        <w:t>’s</w:t>
      </w:r>
      <w:r w:rsidR="00B251E0">
        <w:rPr>
          <w:b/>
          <w:sz w:val="24"/>
          <w:szCs w:val="24"/>
        </w:rPr>
        <w:t xml:space="preserve"> 2019</w:t>
      </w:r>
      <w:r w:rsidR="00A76325">
        <w:rPr>
          <w:b/>
          <w:sz w:val="24"/>
          <w:szCs w:val="24"/>
        </w:rPr>
        <w:t xml:space="preserve"> </w:t>
      </w:r>
      <w:r w:rsidR="00B251E0">
        <w:rPr>
          <w:b/>
          <w:sz w:val="24"/>
          <w:szCs w:val="24"/>
        </w:rPr>
        <w:t>Energy Efficiency Annual Budget Advice Letter</w:t>
      </w:r>
    </w:p>
    <w:p w14:paraId="07A40C50" w14:textId="77777777" w:rsidR="00682FBD" w:rsidRDefault="00682FBD" w:rsidP="00682FBD">
      <w:pPr>
        <w:overflowPunct/>
        <w:autoSpaceDE/>
        <w:autoSpaceDN/>
        <w:adjustRightInd/>
        <w:rPr>
          <w:sz w:val="24"/>
          <w:szCs w:val="24"/>
        </w:rPr>
      </w:pPr>
    </w:p>
    <w:p w14:paraId="3B7920FF" w14:textId="62AF12BF" w:rsidR="00682FBD" w:rsidRDefault="00207AA7" w:rsidP="004256B7">
      <w:pPr>
        <w:overflowPunct/>
        <w:autoSpaceDE/>
        <w:autoSpaceDN/>
        <w:adjustRightInd/>
        <w:jc w:val="both"/>
        <w:rPr>
          <w:sz w:val="24"/>
          <w:szCs w:val="24"/>
        </w:rPr>
      </w:pPr>
      <w:r>
        <w:rPr>
          <w:sz w:val="24"/>
          <w:szCs w:val="24"/>
        </w:rPr>
        <w:t>Pursu</w:t>
      </w:r>
      <w:r w:rsidR="00A76325">
        <w:rPr>
          <w:sz w:val="24"/>
          <w:szCs w:val="24"/>
        </w:rPr>
        <w:t>ant to Decision (“D.”) 18-05-041</w:t>
      </w:r>
      <w:r>
        <w:rPr>
          <w:sz w:val="24"/>
          <w:szCs w:val="24"/>
        </w:rPr>
        <w:t xml:space="preserve">, </w:t>
      </w:r>
      <w:r w:rsidRPr="00207AA7">
        <w:rPr>
          <w:i/>
          <w:sz w:val="24"/>
          <w:szCs w:val="24"/>
        </w:rPr>
        <w:t>Decision</w:t>
      </w:r>
      <w:r w:rsidR="00A76325">
        <w:rPr>
          <w:i/>
          <w:sz w:val="24"/>
          <w:szCs w:val="24"/>
        </w:rPr>
        <w:t xml:space="preserve"> Addressing Energy Efficiency Business Plans,</w:t>
      </w:r>
      <w:r>
        <w:rPr>
          <w:sz w:val="24"/>
          <w:szCs w:val="24"/>
        </w:rPr>
        <w:t xml:space="preserve"> </w:t>
      </w:r>
      <w:r w:rsidR="00A76325">
        <w:rPr>
          <w:sz w:val="24"/>
          <w:szCs w:val="24"/>
        </w:rPr>
        <w:t>Ordering Paragraph</w:t>
      </w:r>
      <w:r w:rsidR="00BA2420">
        <w:rPr>
          <w:sz w:val="24"/>
          <w:szCs w:val="24"/>
        </w:rPr>
        <w:t>s (“OP”) 40 and 41</w:t>
      </w:r>
      <w:r w:rsidR="00A76325">
        <w:rPr>
          <w:sz w:val="24"/>
          <w:szCs w:val="24"/>
        </w:rPr>
        <w:t xml:space="preserve">, </w:t>
      </w:r>
      <w:r w:rsidR="00682FBD">
        <w:rPr>
          <w:sz w:val="24"/>
          <w:szCs w:val="24"/>
        </w:rPr>
        <w:t>Marin Clean Ener</w:t>
      </w:r>
      <w:r>
        <w:rPr>
          <w:sz w:val="24"/>
          <w:szCs w:val="24"/>
        </w:rPr>
        <w:t>gy (“MCE”)</w:t>
      </w:r>
      <w:r w:rsidR="00611ACB">
        <w:rPr>
          <w:sz w:val="24"/>
          <w:szCs w:val="24"/>
        </w:rPr>
        <w:t xml:space="preserve"> </w:t>
      </w:r>
      <w:r>
        <w:rPr>
          <w:sz w:val="24"/>
          <w:szCs w:val="24"/>
        </w:rPr>
        <w:t>submits</w:t>
      </w:r>
      <w:r w:rsidR="00654EDC">
        <w:rPr>
          <w:sz w:val="24"/>
          <w:szCs w:val="24"/>
        </w:rPr>
        <w:t xml:space="preserve"> its</w:t>
      </w:r>
      <w:r w:rsidR="00A76325">
        <w:rPr>
          <w:sz w:val="24"/>
          <w:szCs w:val="24"/>
        </w:rPr>
        <w:t xml:space="preserve"> </w:t>
      </w:r>
      <w:r w:rsidR="00A14031">
        <w:rPr>
          <w:sz w:val="24"/>
          <w:szCs w:val="24"/>
        </w:rPr>
        <w:t>Annual</w:t>
      </w:r>
      <w:r w:rsidR="00BA2420">
        <w:rPr>
          <w:sz w:val="24"/>
          <w:szCs w:val="24"/>
        </w:rPr>
        <w:t xml:space="preserve"> Budget Advice Letter</w:t>
      </w:r>
      <w:r w:rsidR="00A76325">
        <w:rPr>
          <w:sz w:val="24"/>
          <w:szCs w:val="24"/>
        </w:rPr>
        <w:t xml:space="preserve"> (“</w:t>
      </w:r>
      <w:r w:rsidR="00BA2420">
        <w:rPr>
          <w:sz w:val="24"/>
          <w:szCs w:val="24"/>
        </w:rPr>
        <w:t>ABAL</w:t>
      </w:r>
      <w:r w:rsidR="00A76325">
        <w:rPr>
          <w:sz w:val="24"/>
          <w:szCs w:val="24"/>
        </w:rPr>
        <w:t xml:space="preserve">”) </w:t>
      </w:r>
      <w:r w:rsidR="00BA2420">
        <w:rPr>
          <w:sz w:val="24"/>
          <w:szCs w:val="24"/>
        </w:rPr>
        <w:t xml:space="preserve">for Program Year 2019 </w:t>
      </w:r>
      <w:r w:rsidR="00A76325">
        <w:rPr>
          <w:sz w:val="24"/>
          <w:szCs w:val="24"/>
        </w:rPr>
        <w:t xml:space="preserve">as </w:t>
      </w:r>
      <w:r w:rsidR="00865570">
        <w:rPr>
          <w:sz w:val="24"/>
          <w:szCs w:val="24"/>
        </w:rPr>
        <w:t xml:space="preserve">MCE </w:t>
      </w:r>
      <w:r w:rsidR="00A76325">
        <w:rPr>
          <w:sz w:val="24"/>
          <w:szCs w:val="24"/>
        </w:rPr>
        <w:t xml:space="preserve">Advice Letter (“AL”) </w:t>
      </w:r>
      <w:r w:rsidR="00E115B9" w:rsidRPr="00E87400">
        <w:rPr>
          <w:sz w:val="24"/>
          <w:szCs w:val="24"/>
        </w:rPr>
        <w:t>34</w:t>
      </w:r>
      <w:r w:rsidR="00A76325" w:rsidRPr="00E87400">
        <w:rPr>
          <w:sz w:val="24"/>
          <w:szCs w:val="24"/>
        </w:rPr>
        <w:t>-E</w:t>
      </w:r>
      <w:r w:rsidR="00A76325">
        <w:rPr>
          <w:sz w:val="24"/>
          <w:szCs w:val="24"/>
        </w:rPr>
        <w:t>.</w:t>
      </w:r>
      <w:r>
        <w:rPr>
          <w:rStyle w:val="FootnoteReference"/>
          <w:sz w:val="24"/>
          <w:szCs w:val="24"/>
        </w:rPr>
        <w:footnoteReference w:id="1"/>
      </w:r>
    </w:p>
    <w:p w14:paraId="6375D1A6" w14:textId="77777777" w:rsidR="00682FBD" w:rsidRDefault="00682FBD" w:rsidP="00682FBD">
      <w:pPr>
        <w:overflowPunct/>
        <w:autoSpaceDE/>
        <w:autoSpaceDN/>
        <w:adjustRightInd/>
        <w:rPr>
          <w:sz w:val="24"/>
          <w:szCs w:val="24"/>
        </w:rPr>
      </w:pPr>
    </w:p>
    <w:p w14:paraId="39F8BD19" w14:textId="729EF914" w:rsidR="00207AA7" w:rsidRDefault="00207AA7" w:rsidP="004256B7">
      <w:pPr>
        <w:overflowPunct/>
        <w:autoSpaceDE/>
        <w:autoSpaceDN/>
        <w:adjustRightInd/>
        <w:jc w:val="both"/>
        <w:rPr>
          <w:sz w:val="24"/>
          <w:szCs w:val="24"/>
        </w:rPr>
      </w:pPr>
      <w:r>
        <w:rPr>
          <w:b/>
          <w:sz w:val="24"/>
          <w:szCs w:val="24"/>
          <w:u w:val="single"/>
        </w:rPr>
        <w:t xml:space="preserve">Tier </w:t>
      </w:r>
      <w:r w:rsidRPr="00207AA7">
        <w:rPr>
          <w:b/>
          <w:sz w:val="24"/>
          <w:szCs w:val="24"/>
          <w:u w:val="single"/>
        </w:rPr>
        <w:t>Designation</w:t>
      </w:r>
      <w:r>
        <w:rPr>
          <w:b/>
          <w:sz w:val="24"/>
          <w:szCs w:val="24"/>
          <w:u w:val="single"/>
        </w:rPr>
        <w:t>:</w:t>
      </w:r>
      <w:r>
        <w:rPr>
          <w:b/>
          <w:sz w:val="24"/>
          <w:szCs w:val="24"/>
        </w:rPr>
        <w:t xml:space="preserve">  </w:t>
      </w:r>
      <w:r w:rsidR="006B0A41">
        <w:rPr>
          <w:sz w:val="24"/>
          <w:szCs w:val="24"/>
        </w:rPr>
        <w:t>This AL</w:t>
      </w:r>
      <w:r w:rsidR="00E963A0">
        <w:rPr>
          <w:sz w:val="24"/>
          <w:szCs w:val="24"/>
        </w:rPr>
        <w:t xml:space="preserve"> has a T</w:t>
      </w:r>
      <w:r w:rsidRPr="00207AA7">
        <w:rPr>
          <w:sz w:val="24"/>
          <w:szCs w:val="24"/>
        </w:rPr>
        <w:t>ier 2</w:t>
      </w:r>
      <w:r w:rsidR="00E963A0">
        <w:rPr>
          <w:sz w:val="24"/>
          <w:szCs w:val="24"/>
        </w:rPr>
        <w:t xml:space="preserve"> designation pursuant </w:t>
      </w:r>
      <w:r w:rsidR="00BA2420">
        <w:rPr>
          <w:sz w:val="24"/>
          <w:szCs w:val="24"/>
        </w:rPr>
        <w:t>General Order (“G.O.”) 96-B, Energy Industry Rule 5.2 and D.18-05-041.</w:t>
      </w:r>
    </w:p>
    <w:p w14:paraId="585A8BE9" w14:textId="77777777" w:rsidR="001C4FC0" w:rsidRDefault="001C4FC0" w:rsidP="004256B7">
      <w:pPr>
        <w:overflowPunct/>
        <w:autoSpaceDE/>
        <w:autoSpaceDN/>
        <w:adjustRightInd/>
        <w:jc w:val="both"/>
        <w:rPr>
          <w:sz w:val="24"/>
          <w:szCs w:val="24"/>
        </w:rPr>
      </w:pPr>
    </w:p>
    <w:p w14:paraId="24B65518" w14:textId="19E2E167" w:rsidR="001C4FC0" w:rsidRPr="001C4FC0" w:rsidRDefault="001C4FC0" w:rsidP="004256B7">
      <w:pPr>
        <w:overflowPunct/>
        <w:autoSpaceDE/>
        <w:autoSpaceDN/>
        <w:adjustRightInd/>
        <w:jc w:val="both"/>
        <w:rPr>
          <w:sz w:val="24"/>
          <w:szCs w:val="24"/>
        </w:rPr>
      </w:pPr>
      <w:r w:rsidRPr="009027CD">
        <w:rPr>
          <w:b/>
          <w:sz w:val="24"/>
          <w:szCs w:val="24"/>
          <w:u w:val="single"/>
        </w:rPr>
        <w:t>Effective Date:</w:t>
      </w:r>
      <w:r w:rsidR="00BA2420">
        <w:rPr>
          <w:sz w:val="24"/>
          <w:szCs w:val="24"/>
        </w:rPr>
        <w:t xml:space="preserve">  Pursuant to G.O.</w:t>
      </w:r>
      <w:r>
        <w:rPr>
          <w:sz w:val="24"/>
          <w:szCs w:val="24"/>
        </w:rPr>
        <w:t xml:space="preserve"> 96-B, MCE request</w:t>
      </w:r>
      <w:r w:rsidR="00BA2420">
        <w:rPr>
          <w:sz w:val="24"/>
          <w:szCs w:val="24"/>
        </w:rPr>
        <w:t>s</w:t>
      </w:r>
      <w:r>
        <w:rPr>
          <w:sz w:val="24"/>
          <w:szCs w:val="24"/>
        </w:rPr>
        <w:t xml:space="preserve"> that this Tier 2 </w:t>
      </w:r>
      <w:r w:rsidR="006B0A41">
        <w:rPr>
          <w:sz w:val="24"/>
          <w:szCs w:val="24"/>
        </w:rPr>
        <w:t>AL</w:t>
      </w:r>
      <w:r w:rsidR="00BA2420">
        <w:rPr>
          <w:sz w:val="24"/>
          <w:szCs w:val="24"/>
        </w:rPr>
        <w:t xml:space="preserve"> become effective on October 4</w:t>
      </w:r>
      <w:r>
        <w:rPr>
          <w:sz w:val="24"/>
          <w:szCs w:val="24"/>
        </w:rPr>
        <w:t>, 2018, which is 30 calendar days from the date of this filing.</w:t>
      </w:r>
    </w:p>
    <w:p w14:paraId="167B4239" w14:textId="77777777" w:rsidR="00207AA7" w:rsidRDefault="00207AA7" w:rsidP="00682FBD">
      <w:pPr>
        <w:overflowPunct/>
        <w:autoSpaceDE/>
        <w:autoSpaceDN/>
        <w:adjustRightInd/>
        <w:rPr>
          <w:b/>
          <w:sz w:val="24"/>
          <w:szCs w:val="24"/>
          <w:u w:val="single"/>
        </w:rPr>
      </w:pPr>
    </w:p>
    <w:p w14:paraId="09852BFB" w14:textId="77777777" w:rsidR="00852E38" w:rsidRDefault="00682FBD" w:rsidP="00682FBD">
      <w:pPr>
        <w:overflowPunct/>
        <w:autoSpaceDE/>
        <w:autoSpaceDN/>
        <w:adjustRightInd/>
        <w:rPr>
          <w:b/>
          <w:sz w:val="24"/>
          <w:szCs w:val="24"/>
          <w:u w:val="single"/>
        </w:rPr>
      </w:pPr>
      <w:r>
        <w:rPr>
          <w:b/>
          <w:sz w:val="24"/>
          <w:szCs w:val="24"/>
          <w:u w:val="single"/>
        </w:rPr>
        <w:t>Purpose</w:t>
      </w:r>
    </w:p>
    <w:p w14:paraId="56B4545F" w14:textId="77777777" w:rsidR="00852E38" w:rsidRDefault="00852E38" w:rsidP="00682FBD">
      <w:pPr>
        <w:overflowPunct/>
        <w:autoSpaceDE/>
        <w:autoSpaceDN/>
        <w:adjustRightInd/>
        <w:rPr>
          <w:b/>
          <w:sz w:val="24"/>
          <w:szCs w:val="24"/>
          <w:u w:val="single"/>
        </w:rPr>
      </w:pPr>
    </w:p>
    <w:p w14:paraId="67835978" w14:textId="30D8975F" w:rsidR="00EA0CD7" w:rsidRDefault="00BA2420" w:rsidP="005B5A9C">
      <w:pPr>
        <w:overflowPunct/>
        <w:autoSpaceDE/>
        <w:autoSpaceDN/>
        <w:adjustRightInd/>
        <w:jc w:val="both"/>
        <w:rPr>
          <w:sz w:val="24"/>
          <w:szCs w:val="24"/>
        </w:rPr>
      </w:pPr>
      <w:r>
        <w:rPr>
          <w:sz w:val="24"/>
          <w:szCs w:val="24"/>
        </w:rPr>
        <w:t>The purpose of this advice filing is</w:t>
      </w:r>
      <w:r w:rsidR="009C1A5D">
        <w:rPr>
          <w:sz w:val="24"/>
          <w:szCs w:val="24"/>
        </w:rPr>
        <w:t xml:space="preserve"> to request MCE’s energy efficiency budget for Program Year 2019. </w:t>
      </w:r>
      <w:r>
        <w:rPr>
          <w:sz w:val="24"/>
          <w:szCs w:val="24"/>
        </w:rPr>
        <w:t xml:space="preserve"> </w:t>
      </w:r>
      <w:r w:rsidR="009C1A5D">
        <w:rPr>
          <w:sz w:val="24"/>
          <w:szCs w:val="24"/>
        </w:rPr>
        <w:t xml:space="preserve">This AL complies </w:t>
      </w:r>
      <w:r>
        <w:rPr>
          <w:sz w:val="24"/>
          <w:szCs w:val="24"/>
        </w:rPr>
        <w:t>with D.18-05-041, which requires MCE to f</w:t>
      </w:r>
      <w:r w:rsidR="00EA0CD7">
        <w:rPr>
          <w:sz w:val="24"/>
          <w:szCs w:val="24"/>
        </w:rPr>
        <w:t>ile an ABAL by September 4, 201</w:t>
      </w:r>
      <w:r w:rsidR="005148F9">
        <w:rPr>
          <w:sz w:val="24"/>
          <w:szCs w:val="24"/>
        </w:rPr>
        <w:t>8. The ABAL</w:t>
      </w:r>
      <w:r>
        <w:rPr>
          <w:sz w:val="24"/>
          <w:szCs w:val="24"/>
        </w:rPr>
        <w:t xml:space="preserve"> </w:t>
      </w:r>
      <w:r w:rsidR="00EA0CD7">
        <w:rPr>
          <w:sz w:val="24"/>
          <w:szCs w:val="24"/>
        </w:rPr>
        <w:t>provide</w:t>
      </w:r>
      <w:r w:rsidR="005148F9">
        <w:rPr>
          <w:sz w:val="24"/>
          <w:szCs w:val="24"/>
        </w:rPr>
        <w:t>s</w:t>
      </w:r>
      <w:r>
        <w:rPr>
          <w:sz w:val="24"/>
          <w:szCs w:val="24"/>
        </w:rPr>
        <w:t xml:space="preserve"> information about MCE’s approved energy efficiency portfolio, including (1) cost effectiveness; (2) budget</w:t>
      </w:r>
      <w:r w:rsidR="00730178">
        <w:rPr>
          <w:sz w:val="24"/>
          <w:szCs w:val="24"/>
        </w:rPr>
        <w:t>s</w:t>
      </w:r>
      <w:r w:rsidR="00EA0CD7">
        <w:rPr>
          <w:sz w:val="24"/>
          <w:szCs w:val="24"/>
        </w:rPr>
        <w:t>; (3) energy savings; (4) metrics; and (</w:t>
      </w:r>
      <w:r w:rsidR="009B4FFB">
        <w:rPr>
          <w:sz w:val="24"/>
          <w:szCs w:val="24"/>
        </w:rPr>
        <w:t>5</w:t>
      </w:r>
      <w:r w:rsidR="00EA0CD7">
        <w:rPr>
          <w:sz w:val="24"/>
          <w:szCs w:val="24"/>
        </w:rPr>
        <w:t>) portfolio changes.</w:t>
      </w:r>
    </w:p>
    <w:p w14:paraId="309C20CA" w14:textId="77777777" w:rsidR="00EA0CD7" w:rsidRDefault="00EA0CD7" w:rsidP="005B5A9C">
      <w:pPr>
        <w:overflowPunct/>
        <w:autoSpaceDE/>
        <w:autoSpaceDN/>
        <w:adjustRightInd/>
        <w:jc w:val="both"/>
        <w:rPr>
          <w:sz w:val="24"/>
          <w:szCs w:val="24"/>
        </w:rPr>
      </w:pPr>
    </w:p>
    <w:p w14:paraId="0DE2639D" w14:textId="77777777" w:rsidR="00A07BBF" w:rsidRDefault="00A07BBF" w:rsidP="00682FBD">
      <w:pPr>
        <w:overflowPunct/>
        <w:autoSpaceDE/>
        <w:autoSpaceDN/>
        <w:adjustRightInd/>
        <w:rPr>
          <w:b/>
          <w:sz w:val="24"/>
          <w:szCs w:val="24"/>
          <w:u w:val="single"/>
        </w:rPr>
      </w:pPr>
      <w:r>
        <w:rPr>
          <w:b/>
          <w:sz w:val="24"/>
          <w:szCs w:val="24"/>
          <w:u w:val="single"/>
        </w:rPr>
        <w:t>Background</w:t>
      </w:r>
    </w:p>
    <w:p w14:paraId="0BEE7A55" w14:textId="77777777" w:rsidR="00E35BD9" w:rsidRDefault="00E35BD9" w:rsidP="004256B7">
      <w:pPr>
        <w:overflowPunct/>
        <w:autoSpaceDE/>
        <w:autoSpaceDN/>
        <w:adjustRightInd/>
        <w:jc w:val="both"/>
        <w:rPr>
          <w:sz w:val="24"/>
          <w:szCs w:val="24"/>
        </w:rPr>
      </w:pPr>
    </w:p>
    <w:p w14:paraId="214DE379" w14:textId="77777777" w:rsidR="001A1285" w:rsidRDefault="00E35BD9" w:rsidP="004256B7">
      <w:pPr>
        <w:overflowPunct/>
        <w:autoSpaceDE/>
        <w:autoSpaceDN/>
        <w:adjustRightInd/>
        <w:jc w:val="both"/>
        <w:rPr>
          <w:sz w:val="24"/>
          <w:szCs w:val="24"/>
        </w:rPr>
      </w:pPr>
      <w:r>
        <w:rPr>
          <w:sz w:val="24"/>
          <w:szCs w:val="24"/>
        </w:rPr>
        <w:t xml:space="preserve">MCE has administered energy efficiency funds under </w:t>
      </w:r>
      <w:r w:rsidR="00A44AA8">
        <w:rPr>
          <w:sz w:val="24"/>
          <w:szCs w:val="24"/>
        </w:rPr>
        <w:t xml:space="preserve">California Public Utilities Code (“Code”) </w:t>
      </w:r>
      <w:r>
        <w:rPr>
          <w:sz w:val="24"/>
          <w:szCs w:val="24"/>
        </w:rPr>
        <w:t>Section 381.1(a)-(d)</w:t>
      </w:r>
      <w:r w:rsidR="00EA38C6">
        <w:rPr>
          <w:sz w:val="24"/>
          <w:szCs w:val="24"/>
        </w:rPr>
        <w:t xml:space="preserve"> since 2013</w:t>
      </w:r>
      <w:r>
        <w:rPr>
          <w:sz w:val="24"/>
          <w:szCs w:val="24"/>
        </w:rPr>
        <w:t>.</w:t>
      </w:r>
      <w:r w:rsidR="00A44AA8">
        <w:rPr>
          <w:rStyle w:val="FootnoteReference"/>
          <w:sz w:val="24"/>
          <w:szCs w:val="24"/>
        </w:rPr>
        <w:footnoteReference w:id="2"/>
      </w:r>
      <w:r w:rsidR="00730178">
        <w:rPr>
          <w:sz w:val="24"/>
          <w:szCs w:val="24"/>
        </w:rPr>
        <w:t xml:space="preserve"> The California Public Utilities Commission (“Commission”)</w:t>
      </w:r>
      <w:r w:rsidR="00EA38C6">
        <w:rPr>
          <w:sz w:val="24"/>
          <w:szCs w:val="24"/>
        </w:rPr>
        <w:t xml:space="preserve"> </w:t>
      </w:r>
      <w:r w:rsidR="00730178">
        <w:rPr>
          <w:sz w:val="24"/>
          <w:szCs w:val="24"/>
        </w:rPr>
        <w:t xml:space="preserve">originally restricted </w:t>
      </w:r>
      <w:r w:rsidR="00EA38C6">
        <w:rPr>
          <w:sz w:val="24"/>
          <w:szCs w:val="24"/>
        </w:rPr>
        <w:t>MCE’s energy efficiency programs to serving gaps in Investor Owned Utility (“IOU”) programs and hard to reach markets.</w:t>
      </w:r>
      <w:r w:rsidR="00EA38C6">
        <w:rPr>
          <w:rStyle w:val="FootnoteReference"/>
          <w:sz w:val="24"/>
          <w:szCs w:val="24"/>
        </w:rPr>
        <w:footnoteReference w:id="3"/>
      </w:r>
      <w:r w:rsidR="00730178">
        <w:rPr>
          <w:sz w:val="24"/>
          <w:szCs w:val="24"/>
        </w:rPr>
        <w:t xml:space="preserve"> At t</w:t>
      </w:r>
      <w:r w:rsidR="00EA38C6">
        <w:rPr>
          <w:sz w:val="24"/>
          <w:szCs w:val="24"/>
        </w:rPr>
        <w:t>he</w:t>
      </w:r>
      <w:r w:rsidR="00730178">
        <w:rPr>
          <w:sz w:val="24"/>
          <w:szCs w:val="24"/>
        </w:rPr>
        <w:t xml:space="preserve"> time,</w:t>
      </w:r>
      <w:r w:rsidR="00EA38C6">
        <w:rPr>
          <w:sz w:val="24"/>
          <w:szCs w:val="24"/>
        </w:rPr>
        <w:t xml:space="preserve"> </w:t>
      </w:r>
      <w:r w:rsidR="00730178">
        <w:rPr>
          <w:sz w:val="24"/>
          <w:szCs w:val="24"/>
        </w:rPr>
        <w:t xml:space="preserve">the </w:t>
      </w:r>
      <w:r w:rsidR="00EA38C6">
        <w:rPr>
          <w:sz w:val="24"/>
          <w:szCs w:val="24"/>
        </w:rPr>
        <w:t>Commission acknowledged that these restrictions may cause MCE’s portfolio to fail the Total Resource Cost (“TRC”) test and thus did not initially impose a minimum cost effectiveness requirement on MCE.</w:t>
      </w:r>
      <w:r w:rsidR="00EA38C6">
        <w:rPr>
          <w:rStyle w:val="FootnoteReference"/>
          <w:sz w:val="24"/>
          <w:szCs w:val="24"/>
        </w:rPr>
        <w:footnoteReference w:id="4"/>
      </w:r>
      <w:r w:rsidR="00EA38C6">
        <w:rPr>
          <w:sz w:val="24"/>
          <w:szCs w:val="24"/>
        </w:rPr>
        <w:t xml:space="preserve"> In 2014, however, </w:t>
      </w:r>
      <w:r w:rsidR="00EA38C6">
        <w:rPr>
          <w:sz w:val="24"/>
          <w:szCs w:val="24"/>
        </w:rPr>
        <w:lastRenderedPageBreak/>
        <w:t>the Commission lifted the restrictions and imposed the same cost effectiveness</w:t>
      </w:r>
      <w:r w:rsidR="00A44AA8">
        <w:rPr>
          <w:sz w:val="24"/>
          <w:szCs w:val="24"/>
        </w:rPr>
        <w:t xml:space="preserve"> requirements on CCAs as </w:t>
      </w:r>
      <w:r w:rsidR="00EA38C6">
        <w:rPr>
          <w:sz w:val="24"/>
          <w:szCs w:val="24"/>
        </w:rPr>
        <w:t>IOUs.</w:t>
      </w:r>
      <w:r w:rsidR="00EA38C6">
        <w:rPr>
          <w:rStyle w:val="FootnoteReference"/>
          <w:sz w:val="24"/>
          <w:szCs w:val="24"/>
        </w:rPr>
        <w:footnoteReference w:id="5"/>
      </w:r>
      <w:r>
        <w:rPr>
          <w:sz w:val="24"/>
          <w:szCs w:val="24"/>
        </w:rPr>
        <w:t xml:space="preserve"> </w:t>
      </w:r>
    </w:p>
    <w:p w14:paraId="0C90514B" w14:textId="77777777" w:rsidR="001A1285" w:rsidRDefault="001A1285" w:rsidP="004256B7">
      <w:pPr>
        <w:overflowPunct/>
        <w:autoSpaceDE/>
        <w:autoSpaceDN/>
        <w:adjustRightInd/>
        <w:jc w:val="both"/>
        <w:rPr>
          <w:sz w:val="24"/>
          <w:szCs w:val="24"/>
        </w:rPr>
      </w:pPr>
    </w:p>
    <w:p w14:paraId="10D09241" w14:textId="58F34FBD" w:rsidR="00F67F03" w:rsidRDefault="006E6535" w:rsidP="004256B7">
      <w:pPr>
        <w:overflowPunct/>
        <w:autoSpaceDE/>
        <w:autoSpaceDN/>
        <w:adjustRightInd/>
        <w:jc w:val="both"/>
        <w:rPr>
          <w:sz w:val="24"/>
          <w:szCs w:val="24"/>
        </w:rPr>
      </w:pPr>
      <w:r>
        <w:rPr>
          <w:sz w:val="24"/>
          <w:szCs w:val="24"/>
        </w:rPr>
        <w:t xml:space="preserve">Program Administrators (“PA”) were invited to submit business plans in 2017. </w:t>
      </w:r>
      <w:r w:rsidR="00E35BD9">
        <w:rPr>
          <w:sz w:val="24"/>
          <w:szCs w:val="24"/>
        </w:rPr>
        <w:t xml:space="preserve">On January 17, 2017, MCE filed a </w:t>
      </w:r>
      <w:r w:rsidR="008457A8">
        <w:rPr>
          <w:sz w:val="24"/>
          <w:szCs w:val="24"/>
        </w:rPr>
        <w:t>Business Plan</w:t>
      </w:r>
      <w:r w:rsidR="00E35BD9">
        <w:rPr>
          <w:sz w:val="24"/>
          <w:szCs w:val="24"/>
        </w:rPr>
        <w:t xml:space="preserve"> with the Commission that requested authorization to expand MCE’s </w:t>
      </w:r>
      <w:r w:rsidR="008457A8">
        <w:rPr>
          <w:sz w:val="24"/>
          <w:szCs w:val="24"/>
        </w:rPr>
        <w:t xml:space="preserve">energy efficiency </w:t>
      </w:r>
      <w:r w:rsidR="00E35BD9">
        <w:rPr>
          <w:sz w:val="24"/>
          <w:szCs w:val="24"/>
        </w:rPr>
        <w:t>portfolio to include additional sectors and programmatic offerings.</w:t>
      </w:r>
      <w:r w:rsidR="00E35BD9">
        <w:rPr>
          <w:rStyle w:val="FootnoteReference"/>
          <w:sz w:val="24"/>
          <w:szCs w:val="24"/>
        </w:rPr>
        <w:footnoteReference w:id="6"/>
      </w:r>
      <w:r w:rsidR="008457A8">
        <w:rPr>
          <w:sz w:val="24"/>
          <w:szCs w:val="24"/>
        </w:rPr>
        <w:t xml:space="preserve"> MCE proposed to offer programs in the following sectors: (1) Single Family Residential; (2) Multifamily Residential; (3) Commercial; (4) Industrial; (5) Agricultural; and (6) Workforce Education and Training.</w:t>
      </w:r>
      <w:r w:rsidR="001A1285">
        <w:rPr>
          <w:sz w:val="24"/>
          <w:szCs w:val="24"/>
        </w:rPr>
        <w:t xml:space="preserve"> </w:t>
      </w:r>
      <w:r w:rsidR="00865570">
        <w:rPr>
          <w:sz w:val="24"/>
          <w:szCs w:val="24"/>
        </w:rPr>
        <w:t>On June 5, 2018,</w:t>
      </w:r>
      <w:r w:rsidR="00370246">
        <w:rPr>
          <w:sz w:val="24"/>
          <w:szCs w:val="24"/>
        </w:rPr>
        <w:t xml:space="preserve"> the</w:t>
      </w:r>
      <w:r w:rsidR="00865570">
        <w:rPr>
          <w:sz w:val="24"/>
          <w:szCs w:val="24"/>
        </w:rPr>
        <w:t xml:space="preserve"> Commission</w:t>
      </w:r>
      <w:r w:rsidR="00193155">
        <w:rPr>
          <w:sz w:val="24"/>
          <w:szCs w:val="24"/>
        </w:rPr>
        <w:t xml:space="preserve"> approved </w:t>
      </w:r>
      <w:r w:rsidR="00F67F03">
        <w:rPr>
          <w:sz w:val="24"/>
          <w:szCs w:val="24"/>
        </w:rPr>
        <w:t>MCE’</w:t>
      </w:r>
      <w:r w:rsidR="008457A8">
        <w:rPr>
          <w:sz w:val="24"/>
          <w:szCs w:val="24"/>
        </w:rPr>
        <w:t>s B</w:t>
      </w:r>
      <w:r w:rsidR="00F67F03">
        <w:rPr>
          <w:sz w:val="24"/>
          <w:szCs w:val="24"/>
        </w:rPr>
        <w:t>usines</w:t>
      </w:r>
      <w:r w:rsidR="008457A8">
        <w:rPr>
          <w:sz w:val="24"/>
          <w:szCs w:val="24"/>
        </w:rPr>
        <w:t>s P</w:t>
      </w:r>
      <w:r w:rsidR="00F67F03">
        <w:rPr>
          <w:sz w:val="24"/>
          <w:szCs w:val="24"/>
        </w:rPr>
        <w:t>lan</w:t>
      </w:r>
      <w:r w:rsidR="008457A8">
        <w:rPr>
          <w:sz w:val="24"/>
          <w:szCs w:val="24"/>
        </w:rPr>
        <w:t>.</w:t>
      </w:r>
      <w:r w:rsidR="00B97457">
        <w:rPr>
          <w:rStyle w:val="FootnoteReference"/>
          <w:sz w:val="24"/>
          <w:szCs w:val="24"/>
        </w:rPr>
        <w:footnoteReference w:id="7"/>
      </w:r>
    </w:p>
    <w:p w14:paraId="328E5F88" w14:textId="77777777" w:rsidR="00964120" w:rsidRDefault="00964120" w:rsidP="004256B7">
      <w:pPr>
        <w:overflowPunct/>
        <w:autoSpaceDE/>
        <w:autoSpaceDN/>
        <w:adjustRightInd/>
        <w:jc w:val="both"/>
        <w:rPr>
          <w:sz w:val="24"/>
          <w:szCs w:val="24"/>
        </w:rPr>
      </w:pPr>
    </w:p>
    <w:p w14:paraId="38504148" w14:textId="6C86C9B5" w:rsidR="00FE170D" w:rsidRPr="00FE170D" w:rsidRDefault="002B1EBB" w:rsidP="00FE170D">
      <w:pPr>
        <w:overflowPunct/>
        <w:autoSpaceDE/>
        <w:autoSpaceDN/>
        <w:adjustRightInd/>
        <w:jc w:val="both"/>
        <w:rPr>
          <w:b/>
          <w:sz w:val="24"/>
          <w:szCs w:val="24"/>
          <w:u w:val="single"/>
        </w:rPr>
      </w:pPr>
      <w:r>
        <w:rPr>
          <w:b/>
          <w:sz w:val="24"/>
          <w:szCs w:val="24"/>
          <w:u w:val="single"/>
        </w:rPr>
        <w:t xml:space="preserve">Budgets, </w:t>
      </w:r>
      <w:r w:rsidR="00FE170D" w:rsidRPr="00FE170D">
        <w:rPr>
          <w:b/>
          <w:sz w:val="24"/>
          <w:szCs w:val="24"/>
          <w:u w:val="single"/>
        </w:rPr>
        <w:t>Cost Effectiveness</w:t>
      </w:r>
      <w:r>
        <w:rPr>
          <w:b/>
          <w:sz w:val="24"/>
          <w:szCs w:val="24"/>
          <w:u w:val="single"/>
        </w:rPr>
        <w:t>, and Savings</w:t>
      </w:r>
    </w:p>
    <w:p w14:paraId="79E5457D" w14:textId="77777777" w:rsidR="00FE170D" w:rsidRDefault="00FE170D" w:rsidP="00FE170D">
      <w:pPr>
        <w:overflowPunct/>
        <w:autoSpaceDE/>
        <w:autoSpaceDN/>
        <w:adjustRightInd/>
        <w:jc w:val="both"/>
        <w:rPr>
          <w:sz w:val="24"/>
          <w:szCs w:val="24"/>
        </w:rPr>
      </w:pPr>
    </w:p>
    <w:p w14:paraId="6BA7C08C" w14:textId="2E18F614" w:rsidR="00FE170D" w:rsidRDefault="00FE170D" w:rsidP="00FE170D">
      <w:pPr>
        <w:overflowPunct/>
        <w:autoSpaceDE/>
        <w:autoSpaceDN/>
        <w:adjustRightInd/>
        <w:jc w:val="both"/>
        <w:rPr>
          <w:sz w:val="24"/>
          <w:szCs w:val="24"/>
        </w:rPr>
      </w:pPr>
      <w:r>
        <w:rPr>
          <w:sz w:val="24"/>
          <w:szCs w:val="24"/>
        </w:rPr>
        <w:t xml:space="preserve">Decision 18-05-041 provided guidance to Commission staff on how to evaluate </w:t>
      </w:r>
      <w:proofErr w:type="spellStart"/>
      <w:r>
        <w:rPr>
          <w:sz w:val="24"/>
          <w:szCs w:val="24"/>
        </w:rPr>
        <w:t>PAs’</w:t>
      </w:r>
      <w:proofErr w:type="spellEnd"/>
      <w:r>
        <w:rPr>
          <w:sz w:val="24"/>
          <w:szCs w:val="24"/>
        </w:rPr>
        <w:t xml:space="preserve"> ABALs, which included guidance on portfolio cost effectiveness.</w:t>
      </w:r>
      <w:r>
        <w:rPr>
          <w:rStyle w:val="FootnoteReference"/>
          <w:sz w:val="24"/>
          <w:szCs w:val="24"/>
        </w:rPr>
        <w:footnoteReference w:id="8"/>
      </w:r>
      <w:r>
        <w:rPr>
          <w:sz w:val="24"/>
          <w:szCs w:val="24"/>
        </w:rPr>
        <w:t xml:space="preserve"> For Program Years 2019-2022, </w:t>
      </w:r>
      <w:proofErr w:type="spellStart"/>
      <w:r>
        <w:rPr>
          <w:sz w:val="24"/>
          <w:szCs w:val="24"/>
        </w:rPr>
        <w:t>PAs’</w:t>
      </w:r>
      <w:proofErr w:type="spellEnd"/>
      <w:r>
        <w:rPr>
          <w:sz w:val="24"/>
          <w:szCs w:val="24"/>
        </w:rPr>
        <w:t xml:space="preserve"> portfolios must meet a forecasted TRC at or above 1.0. For Program Years 2023-2025, </w:t>
      </w:r>
      <w:proofErr w:type="spellStart"/>
      <w:r>
        <w:rPr>
          <w:sz w:val="24"/>
          <w:szCs w:val="24"/>
        </w:rPr>
        <w:t>PAs’</w:t>
      </w:r>
      <w:proofErr w:type="spellEnd"/>
      <w:r>
        <w:rPr>
          <w:sz w:val="24"/>
          <w:szCs w:val="24"/>
        </w:rPr>
        <w:t xml:space="preserve"> portfolios must </w:t>
      </w:r>
      <w:r w:rsidR="009B4FFB">
        <w:rPr>
          <w:sz w:val="24"/>
          <w:szCs w:val="24"/>
        </w:rPr>
        <w:t>meet a forecasted</w:t>
      </w:r>
      <w:r>
        <w:rPr>
          <w:sz w:val="24"/>
          <w:szCs w:val="24"/>
        </w:rPr>
        <w:t xml:space="preserve"> TRC at or above 1.25.</w:t>
      </w:r>
    </w:p>
    <w:p w14:paraId="1D92A988" w14:textId="77777777" w:rsidR="00FE170D" w:rsidRDefault="00FE170D" w:rsidP="00FE170D">
      <w:pPr>
        <w:overflowPunct/>
        <w:autoSpaceDE/>
        <w:autoSpaceDN/>
        <w:adjustRightInd/>
        <w:jc w:val="both"/>
        <w:rPr>
          <w:sz w:val="24"/>
          <w:szCs w:val="24"/>
        </w:rPr>
      </w:pPr>
    </w:p>
    <w:p w14:paraId="1E7E84D3" w14:textId="4A2F05C0" w:rsidR="00FE170D" w:rsidRDefault="00FE170D" w:rsidP="00FE170D">
      <w:pPr>
        <w:overflowPunct/>
        <w:autoSpaceDE/>
        <w:autoSpaceDN/>
        <w:adjustRightInd/>
        <w:jc w:val="both"/>
        <w:rPr>
          <w:sz w:val="24"/>
          <w:szCs w:val="24"/>
        </w:rPr>
      </w:pPr>
      <w:r>
        <w:rPr>
          <w:sz w:val="24"/>
          <w:szCs w:val="24"/>
        </w:rPr>
        <w:t>In the event a PA does not meet a TRC of 1.25 on a forecast basis</w:t>
      </w:r>
      <w:r w:rsidR="0073193C" w:rsidRPr="0073193C">
        <w:rPr>
          <w:sz w:val="24"/>
          <w:szCs w:val="24"/>
        </w:rPr>
        <w:t xml:space="preserve"> </w:t>
      </w:r>
      <w:r w:rsidR="0073193C">
        <w:rPr>
          <w:sz w:val="24"/>
          <w:szCs w:val="24"/>
        </w:rPr>
        <w:t>for Program Years 2019-2022</w:t>
      </w:r>
      <w:r>
        <w:rPr>
          <w:sz w:val="24"/>
          <w:szCs w:val="24"/>
        </w:rPr>
        <w:t>, ABALs must contain additional discussion about how the PA intends to meet or exceed a 1.0 TRC on an evaluated basis.</w:t>
      </w:r>
    </w:p>
    <w:p w14:paraId="0AFF4A73" w14:textId="28F8F820" w:rsidR="00E65A14" w:rsidRDefault="00E65A14" w:rsidP="00E219AE">
      <w:pPr>
        <w:overflowPunct/>
        <w:autoSpaceDE/>
        <w:autoSpaceDN/>
        <w:adjustRightInd/>
        <w:jc w:val="both"/>
        <w:rPr>
          <w:sz w:val="24"/>
          <w:szCs w:val="24"/>
        </w:rPr>
      </w:pPr>
    </w:p>
    <w:tbl>
      <w:tblPr>
        <w:tblStyle w:val="TableGrid"/>
        <w:tblW w:w="0" w:type="auto"/>
        <w:tblLook w:val="04A0" w:firstRow="1" w:lastRow="0" w:firstColumn="1" w:lastColumn="0" w:noHBand="0" w:noVBand="1"/>
      </w:tblPr>
      <w:tblGrid>
        <w:gridCol w:w="2065"/>
        <w:gridCol w:w="1800"/>
      </w:tblGrid>
      <w:tr w:rsidR="009965E6" w:rsidRPr="002B1EBB" w14:paraId="741592D8" w14:textId="77777777" w:rsidTr="009965E6">
        <w:trPr>
          <w:trHeight w:val="330"/>
        </w:trPr>
        <w:tc>
          <w:tcPr>
            <w:tcW w:w="3865" w:type="dxa"/>
            <w:gridSpan w:val="2"/>
            <w:noWrap/>
          </w:tcPr>
          <w:p w14:paraId="7F72D9AC" w14:textId="4FDC0775" w:rsidR="009965E6" w:rsidRPr="002B1EBB" w:rsidRDefault="009965E6" w:rsidP="009965E6">
            <w:pPr>
              <w:overflowPunct/>
              <w:autoSpaceDE/>
              <w:autoSpaceDN/>
              <w:adjustRightInd/>
              <w:jc w:val="center"/>
              <w:rPr>
                <w:sz w:val="24"/>
                <w:szCs w:val="24"/>
              </w:rPr>
            </w:pPr>
            <w:r>
              <w:rPr>
                <w:b/>
                <w:bCs/>
                <w:sz w:val="24"/>
                <w:szCs w:val="24"/>
              </w:rPr>
              <w:t>Portfolio TRC and PAC for 2019</w:t>
            </w:r>
          </w:p>
        </w:tc>
      </w:tr>
      <w:tr w:rsidR="009965E6" w:rsidRPr="002B1EBB" w14:paraId="771CA5F1" w14:textId="77777777" w:rsidTr="009965E6">
        <w:trPr>
          <w:trHeight w:val="330"/>
        </w:trPr>
        <w:tc>
          <w:tcPr>
            <w:tcW w:w="2065" w:type="dxa"/>
            <w:noWrap/>
            <w:hideMark/>
          </w:tcPr>
          <w:p w14:paraId="40E8734E" w14:textId="60CED695" w:rsidR="009965E6" w:rsidRPr="002B1EBB" w:rsidRDefault="009965E6" w:rsidP="009965E6">
            <w:pPr>
              <w:overflowPunct/>
              <w:autoSpaceDE/>
              <w:autoSpaceDN/>
              <w:adjustRightInd/>
              <w:jc w:val="center"/>
              <w:rPr>
                <w:b/>
                <w:bCs/>
                <w:sz w:val="24"/>
                <w:szCs w:val="24"/>
              </w:rPr>
            </w:pPr>
            <w:r w:rsidRPr="002B1EBB">
              <w:rPr>
                <w:b/>
                <w:bCs/>
                <w:sz w:val="24"/>
                <w:szCs w:val="24"/>
              </w:rPr>
              <w:t>TRC</w:t>
            </w:r>
          </w:p>
        </w:tc>
        <w:tc>
          <w:tcPr>
            <w:tcW w:w="1800" w:type="dxa"/>
            <w:noWrap/>
            <w:hideMark/>
          </w:tcPr>
          <w:p w14:paraId="309C4C02" w14:textId="77777777" w:rsidR="009965E6" w:rsidRPr="002B1EBB" w:rsidRDefault="009965E6" w:rsidP="009965E6">
            <w:pPr>
              <w:overflowPunct/>
              <w:autoSpaceDE/>
              <w:autoSpaceDN/>
              <w:adjustRightInd/>
              <w:jc w:val="center"/>
              <w:rPr>
                <w:sz w:val="24"/>
                <w:szCs w:val="24"/>
              </w:rPr>
            </w:pPr>
            <w:r w:rsidRPr="002B1EBB">
              <w:rPr>
                <w:sz w:val="24"/>
                <w:szCs w:val="24"/>
              </w:rPr>
              <w:t>1.02</w:t>
            </w:r>
          </w:p>
        </w:tc>
      </w:tr>
      <w:tr w:rsidR="009965E6" w:rsidRPr="002B1EBB" w14:paraId="5F61A2F9" w14:textId="77777777" w:rsidTr="009965E6">
        <w:trPr>
          <w:trHeight w:val="330"/>
        </w:trPr>
        <w:tc>
          <w:tcPr>
            <w:tcW w:w="2065" w:type="dxa"/>
            <w:noWrap/>
            <w:hideMark/>
          </w:tcPr>
          <w:p w14:paraId="2116F7C1" w14:textId="7A0B06A4" w:rsidR="009965E6" w:rsidRPr="002B1EBB" w:rsidRDefault="009965E6" w:rsidP="009965E6">
            <w:pPr>
              <w:overflowPunct/>
              <w:autoSpaceDE/>
              <w:autoSpaceDN/>
              <w:adjustRightInd/>
              <w:jc w:val="center"/>
              <w:rPr>
                <w:b/>
                <w:bCs/>
                <w:sz w:val="24"/>
                <w:szCs w:val="24"/>
              </w:rPr>
            </w:pPr>
            <w:r w:rsidRPr="002B1EBB">
              <w:rPr>
                <w:b/>
                <w:bCs/>
                <w:sz w:val="24"/>
                <w:szCs w:val="24"/>
              </w:rPr>
              <w:t>PAC</w:t>
            </w:r>
          </w:p>
        </w:tc>
        <w:tc>
          <w:tcPr>
            <w:tcW w:w="1800" w:type="dxa"/>
            <w:noWrap/>
            <w:hideMark/>
          </w:tcPr>
          <w:p w14:paraId="092B5B7E" w14:textId="77777777" w:rsidR="009965E6" w:rsidRPr="002B1EBB" w:rsidRDefault="009965E6" w:rsidP="009965E6">
            <w:pPr>
              <w:overflowPunct/>
              <w:autoSpaceDE/>
              <w:autoSpaceDN/>
              <w:adjustRightInd/>
              <w:jc w:val="center"/>
              <w:rPr>
                <w:sz w:val="24"/>
                <w:szCs w:val="24"/>
              </w:rPr>
            </w:pPr>
            <w:r w:rsidRPr="002B1EBB">
              <w:rPr>
                <w:sz w:val="24"/>
                <w:szCs w:val="24"/>
              </w:rPr>
              <w:t>1.17</w:t>
            </w:r>
          </w:p>
        </w:tc>
      </w:tr>
    </w:tbl>
    <w:p w14:paraId="6C74B28D" w14:textId="77777777" w:rsidR="009E6268" w:rsidRDefault="009E6268" w:rsidP="009E6268">
      <w:pPr>
        <w:overflowPunct/>
        <w:autoSpaceDE/>
        <w:autoSpaceDN/>
        <w:adjustRightInd/>
        <w:jc w:val="both"/>
        <w:rPr>
          <w:sz w:val="24"/>
          <w:szCs w:val="24"/>
        </w:rPr>
      </w:pPr>
    </w:p>
    <w:p w14:paraId="493FCB89" w14:textId="096B1797" w:rsidR="009E6268" w:rsidRDefault="009E6268" w:rsidP="009E6268">
      <w:pPr>
        <w:overflowPunct/>
        <w:autoSpaceDE/>
        <w:autoSpaceDN/>
        <w:adjustRightInd/>
        <w:jc w:val="both"/>
        <w:rPr>
          <w:sz w:val="24"/>
          <w:szCs w:val="24"/>
        </w:rPr>
      </w:pPr>
      <w:r w:rsidRPr="00473694">
        <w:rPr>
          <w:sz w:val="24"/>
          <w:szCs w:val="24"/>
        </w:rPr>
        <w:t>MCE</w:t>
      </w:r>
      <w:r>
        <w:rPr>
          <w:sz w:val="24"/>
          <w:szCs w:val="24"/>
        </w:rPr>
        <w:t xml:space="preserve"> identified a set of factors that resulted in an </w:t>
      </w:r>
      <w:r>
        <w:rPr>
          <w:i/>
          <w:sz w:val="24"/>
          <w:szCs w:val="24"/>
        </w:rPr>
        <w:t>ex ante</w:t>
      </w:r>
      <w:r>
        <w:rPr>
          <w:sz w:val="24"/>
          <w:szCs w:val="24"/>
        </w:rPr>
        <w:t xml:space="preserve"> TRC below 1.25 in 2019:</w:t>
      </w:r>
    </w:p>
    <w:p w14:paraId="2F702EB2" w14:textId="77777777" w:rsidR="009E6268" w:rsidRPr="00022BA7" w:rsidRDefault="009E6268" w:rsidP="009E6268">
      <w:pPr>
        <w:pStyle w:val="ListParagraph"/>
        <w:numPr>
          <w:ilvl w:val="0"/>
          <w:numId w:val="6"/>
        </w:numPr>
        <w:jc w:val="both"/>
        <w:rPr>
          <w:sz w:val="24"/>
          <w:szCs w:val="24"/>
        </w:rPr>
      </w:pPr>
      <w:r>
        <w:rPr>
          <w:sz w:val="24"/>
          <w:szCs w:val="24"/>
        </w:rPr>
        <w:t>There is a need</w:t>
      </w:r>
      <w:r w:rsidRPr="00022BA7">
        <w:rPr>
          <w:sz w:val="24"/>
          <w:szCs w:val="24"/>
        </w:rPr>
        <w:t xml:space="preserve"> to be conservative in forecasting new programs</w:t>
      </w:r>
      <w:r>
        <w:rPr>
          <w:sz w:val="24"/>
          <w:szCs w:val="24"/>
        </w:rPr>
        <w:t xml:space="preserve"> and their expected costs due to uncertainties inherent in running program solicitations</w:t>
      </w:r>
      <w:r w:rsidRPr="00022BA7">
        <w:rPr>
          <w:sz w:val="24"/>
          <w:szCs w:val="24"/>
        </w:rPr>
        <w:t xml:space="preserve"> </w:t>
      </w:r>
    </w:p>
    <w:p w14:paraId="7DBC3A07" w14:textId="77777777" w:rsidR="009E6268" w:rsidRPr="00022BA7" w:rsidRDefault="009E6268" w:rsidP="009E6268">
      <w:pPr>
        <w:pStyle w:val="ListParagraph"/>
        <w:numPr>
          <w:ilvl w:val="0"/>
          <w:numId w:val="6"/>
        </w:numPr>
        <w:jc w:val="both"/>
        <w:rPr>
          <w:sz w:val="24"/>
          <w:szCs w:val="24"/>
        </w:rPr>
      </w:pPr>
      <w:r>
        <w:rPr>
          <w:sz w:val="24"/>
          <w:szCs w:val="24"/>
        </w:rPr>
        <w:t>Existing p</w:t>
      </w:r>
      <w:r w:rsidRPr="00022BA7">
        <w:rPr>
          <w:sz w:val="24"/>
          <w:szCs w:val="24"/>
        </w:rPr>
        <w:t>rograms</w:t>
      </w:r>
      <w:r>
        <w:rPr>
          <w:sz w:val="24"/>
          <w:szCs w:val="24"/>
        </w:rPr>
        <w:t xml:space="preserve"> are</w:t>
      </w:r>
      <w:r w:rsidRPr="00022BA7">
        <w:rPr>
          <w:sz w:val="24"/>
          <w:szCs w:val="24"/>
        </w:rPr>
        <w:t xml:space="preserve"> in a state of transition, wit</w:t>
      </w:r>
      <w:r>
        <w:rPr>
          <w:sz w:val="24"/>
          <w:szCs w:val="24"/>
        </w:rPr>
        <w:t xml:space="preserve">h yet to be determined measure portfolios and </w:t>
      </w:r>
      <w:r w:rsidRPr="00022BA7">
        <w:rPr>
          <w:sz w:val="24"/>
          <w:szCs w:val="24"/>
        </w:rPr>
        <w:t xml:space="preserve">incentive rates, </w:t>
      </w:r>
      <w:r>
        <w:rPr>
          <w:sz w:val="24"/>
          <w:szCs w:val="24"/>
        </w:rPr>
        <w:t xml:space="preserve">and </w:t>
      </w:r>
      <w:r w:rsidRPr="00022BA7">
        <w:rPr>
          <w:sz w:val="24"/>
          <w:szCs w:val="24"/>
        </w:rPr>
        <w:t xml:space="preserve">adjusting </w:t>
      </w:r>
      <w:r>
        <w:rPr>
          <w:sz w:val="24"/>
          <w:szCs w:val="24"/>
        </w:rPr>
        <w:t>existing programs to</w:t>
      </w:r>
      <w:r w:rsidRPr="00022BA7">
        <w:rPr>
          <w:sz w:val="24"/>
          <w:szCs w:val="24"/>
        </w:rPr>
        <w:t xml:space="preserve"> new savings values</w:t>
      </w:r>
    </w:p>
    <w:p w14:paraId="390B16CE" w14:textId="77777777" w:rsidR="009E6268" w:rsidRPr="00022BA7" w:rsidRDefault="009E6268" w:rsidP="009E6268">
      <w:pPr>
        <w:pStyle w:val="ListParagraph"/>
        <w:numPr>
          <w:ilvl w:val="0"/>
          <w:numId w:val="6"/>
        </w:numPr>
        <w:jc w:val="both"/>
        <w:rPr>
          <w:sz w:val="24"/>
          <w:szCs w:val="24"/>
        </w:rPr>
      </w:pPr>
      <w:r w:rsidRPr="00022BA7">
        <w:rPr>
          <w:sz w:val="24"/>
          <w:szCs w:val="24"/>
        </w:rPr>
        <w:t>At the portfolio level, there are few high TRC programs to lift overall TRC</w:t>
      </w:r>
    </w:p>
    <w:p w14:paraId="7976A4D7" w14:textId="77777777" w:rsidR="009E6268" w:rsidRPr="00022BA7" w:rsidRDefault="009E6268" w:rsidP="009E6268">
      <w:pPr>
        <w:pStyle w:val="ListParagraph"/>
        <w:numPr>
          <w:ilvl w:val="0"/>
          <w:numId w:val="6"/>
        </w:numPr>
        <w:jc w:val="both"/>
        <w:rPr>
          <w:sz w:val="24"/>
          <w:szCs w:val="24"/>
        </w:rPr>
      </w:pPr>
      <w:r>
        <w:rPr>
          <w:sz w:val="24"/>
          <w:szCs w:val="24"/>
        </w:rPr>
        <w:t>In the near term, we expect higher than usual administrative</w:t>
      </w:r>
      <w:r w:rsidRPr="00022BA7">
        <w:rPr>
          <w:sz w:val="24"/>
          <w:szCs w:val="24"/>
        </w:rPr>
        <w:t xml:space="preserve"> costs</w:t>
      </w:r>
      <w:r>
        <w:rPr>
          <w:sz w:val="24"/>
          <w:szCs w:val="24"/>
        </w:rPr>
        <w:t xml:space="preserve"> in rolling out new programs in 2019 (Year 1 for most programs)</w:t>
      </w:r>
    </w:p>
    <w:p w14:paraId="579EBB4C" w14:textId="77777777" w:rsidR="009E6268" w:rsidRPr="00022BA7" w:rsidRDefault="009E6268" w:rsidP="009E6268">
      <w:pPr>
        <w:pStyle w:val="ListParagraph"/>
        <w:numPr>
          <w:ilvl w:val="0"/>
          <w:numId w:val="6"/>
        </w:numPr>
        <w:jc w:val="both"/>
        <w:rPr>
          <w:sz w:val="24"/>
          <w:szCs w:val="24"/>
        </w:rPr>
      </w:pPr>
      <w:r>
        <w:rPr>
          <w:sz w:val="24"/>
          <w:szCs w:val="24"/>
        </w:rPr>
        <w:t>There is limited</w:t>
      </w:r>
      <w:r w:rsidRPr="00022BA7">
        <w:rPr>
          <w:sz w:val="24"/>
          <w:szCs w:val="24"/>
        </w:rPr>
        <w:t xml:space="preserve"> data availability and guid</w:t>
      </w:r>
      <w:r>
        <w:rPr>
          <w:sz w:val="24"/>
          <w:szCs w:val="24"/>
        </w:rPr>
        <w:t>ance to develop cost-effective programs leveraging</w:t>
      </w:r>
      <w:r w:rsidRPr="00022BA7">
        <w:rPr>
          <w:sz w:val="24"/>
          <w:szCs w:val="24"/>
        </w:rPr>
        <w:t xml:space="preserve"> </w:t>
      </w:r>
      <w:r>
        <w:rPr>
          <w:sz w:val="24"/>
          <w:szCs w:val="24"/>
        </w:rPr>
        <w:t>Normalized Metered Energy Consumption (NMEC) and behavioral interventions</w:t>
      </w:r>
    </w:p>
    <w:p w14:paraId="7F8441B9" w14:textId="77777777" w:rsidR="009E6268" w:rsidRPr="00022BA7" w:rsidRDefault="009E6268" w:rsidP="009E6268">
      <w:pPr>
        <w:pStyle w:val="ListParagraph"/>
        <w:numPr>
          <w:ilvl w:val="0"/>
          <w:numId w:val="6"/>
        </w:numPr>
        <w:jc w:val="both"/>
        <w:rPr>
          <w:sz w:val="24"/>
          <w:szCs w:val="24"/>
        </w:rPr>
      </w:pPr>
      <w:r w:rsidRPr="00022BA7">
        <w:rPr>
          <w:sz w:val="24"/>
          <w:szCs w:val="24"/>
        </w:rPr>
        <w:t>High costs associated with bringing existing buildings above code</w:t>
      </w:r>
    </w:p>
    <w:p w14:paraId="0FDA64B9" w14:textId="77777777" w:rsidR="009E6268" w:rsidRDefault="009E6268" w:rsidP="009E6268">
      <w:pPr>
        <w:pStyle w:val="ListParagraph"/>
        <w:numPr>
          <w:ilvl w:val="0"/>
          <w:numId w:val="6"/>
        </w:numPr>
        <w:jc w:val="both"/>
        <w:rPr>
          <w:sz w:val="24"/>
          <w:szCs w:val="24"/>
        </w:rPr>
      </w:pPr>
      <w:r w:rsidRPr="00022BA7">
        <w:rPr>
          <w:sz w:val="24"/>
          <w:szCs w:val="24"/>
        </w:rPr>
        <w:lastRenderedPageBreak/>
        <w:t>Forecasting</w:t>
      </w:r>
      <w:r>
        <w:rPr>
          <w:sz w:val="24"/>
          <w:szCs w:val="24"/>
        </w:rPr>
        <w:t xml:space="preserve"> for Programs is</w:t>
      </w:r>
      <w:r w:rsidRPr="00022BA7">
        <w:rPr>
          <w:sz w:val="24"/>
          <w:szCs w:val="24"/>
        </w:rPr>
        <w:t xml:space="preserve"> </w:t>
      </w:r>
      <w:r>
        <w:rPr>
          <w:sz w:val="24"/>
          <w:szCs w:val="24"/>
        </w:rPr>
        <w:t>rooted in replace on burning (ROB) measures, whereas programs will be delivering early retirement/accelerated retirement projects</w:t>
      </w:r>
    </w:p>
    <w:p w14:paraId="4856D344" w14:textId="0C06D116" w:rsidR="009E6268" w:rsidRDefault="009E6268" w:rsidP="009E6268">
      <w:pPr>
        <w:pStyle w:val="ListParagraph"/>
        <w:numPr>
          <w:ilvl w:val="0"/>
          <w:numId w:val="6"/>
        </w:numPr>
        <w:jc w:val="both"/>
        <w:rPr>
          <w:sz w:val="24"/>
          <w:szCs w:val="24"/>
        </w:rPr>
      </w:pPr>
      <w:r>
        <w:rPr>
          <w:sz w:val="24"/>
          <w:szCs w:val="24"/>
        </w:rPr>
        <w:t>The lighting dispositions from early 2018 have impacted the cost effectiveness of programs which had previously used these measures</w:t>
      </w:r>
    </w:p>
    <w:p w14:paraId="7C8FEB44" w14:textId="77777777" w:rsidR="009E6268" w:rsidRDefault="009E6268" w:rsidP="009E6268">
      <w:pPr>
        <w:pStyle w:val="ListParagraph"/>
        <w:jc w:val="both"/>
        <w:rPr>
          <w:sz w:val="24"/>
          <w:szCs w:val="24"/>
        </w:rPr>
      </w:pPr>
    </w:p>
    <w:p w14:paraId="3BAAFDCC" w14:textId="77777777" w:rsidR="009E6268" w:rsidRDefault="009E6268" w:rsidP="009E6268">
      <w:pPr>
        <w:overflowPunct/>
        <w:autoSpaceDE/>
        <w:autoSpaceDN/>
        <w:adjustRightInd/>
        <w:jc w:val="both"/>
        <w:rPr>
          <w:sz w:val="24"/>
          <w:szCs w:val="24"/>
        </w:rPr>
      </w:pPr>
      <w:r>
        <w:rPr>
          <w:sz w:val="24"/>
          <w:szCs w:val="24"/>
        </w:rPr>
        <w:t>MCE is committed to meeting the evaluated 1.0 TRC through smart, agile program design and deployment. A combination of factors and MCE initiatives will increase savings and lower costs in 2019:</w:t>
      </w:r>
    </w:p>
    <w:p w14:paraId="29D74690" w14:textId="77777777" w:rsidR="009E6268" w:rsidRPr="00473694" w:rsidRDefault="009E6268" w:rsidP="009E6268">
      <w:pPr>
        <w:pStyle w:val="ListParagraph"/>
        <w:numPr>
          <w:ilvl w:val="0"/>
          <w:numId w:val="6"/>
        </w:numPr>
        <w:jc w:val="both"/>
        <w:rPr>
          <w:sz w:val="24"/>
          <w:szCs w:val="24"/>
        </w:rPr>
      </w:pPr>
      <w:r w:rsidRPr="00473694">
        <w:rPr>
          <w:sz w:val="24"/>
          <w:szCs w:val="24"/>
        </w:rPr>
        <w:t>Expanded service area provides a larger population of projects</w:t>
      </w:r>
    </w:p>
    <w:p w14:paraId="42BAD8C8" w14:textId="77777777" w:rsidR="009E6268" w:rsidRPr="00473694" w:rsidRDefault="009E6268" w:rsidP="009E6268">
      <w:pPr>
        <w:pStyle w:val="ListParagraph"/>
        <w:numPr>
          <w:ilvl w:val="0"/>
          <w:numId w:val="6"/>
        </w:numPr>
        <w:jc w:val="both"/>
        <w:rPr>
          <w:sz w:val="24"/>
          <w:szCs w:val="24"/>
        </w:rPr>
      </w:pPr>
      <w:r w:rsidRPr="00473694">
        <w:rPr>
          <w:sz w:val="24"/>
          <w:szCs w:val="24"/>
        </w:rPr>
        <w:t>Multilayered and collaborative approach to marketing and outreach with implementers to reach a wider audience</w:t>
      </w:r>
    </w:p>
    <w:p w14:paraId="151B3BAA" w14:textId="77777777" w:rsidR="009E6268" w:rsidRPr="00473694" w:rsidRDefault="009E6268" w:rsidP="009E6268">
      <w:pPr>
        <w:pStyle w:val="ListParagraph"/>
        <w:numPr>
          <w:ilvl w:val="0"/>
          <w:numId w:val="6"/>
        </w:numPr>
        <w:jc w:val="both"/>
        <w:rPr>
          <w:sz w:val="24"/>
          <w:szCs w:val="24"/>
        </w:rPr>
      </w:pPr>
      <w:r w:rsidRPr="00473694">
        <w:rPr>
          <w:sz w:val="24"/>
          <w:szCs w:val="24"/>
        </w:rPr>
        <w:t>Layering offerings (energy efficiency and beyond) and funding streams to facilitate participation and reduce overall project costs</w:t>
      </w:r>
    </w:p>
    <w:p w14:paraId="50CC956A" w14:textId="77777777" w:rsidR="009E6268" w:rsidRPr="00473694" w:rsidRDefault="009E6268" w:rsidP="009E6268">
      <w:pPr>
        <w:pStyle w:val="ListParagraph"/>
        <w:numPr>
          <w:ilvl w:val="0"/>
          <w:numId w:val="6"/>
        </w:numPr>
        <w:jc w:val="both"/>
        <w:rPr>
          <w:sz w:val="24"/>
          <w:szCs w:val="24"/>
        </w:rPr>
      </w:pPr>
      <w:r w:rsidRPr="00473694">
        <w:rPr>
          <w:sz w:val="24"/>
          <w:szCs w:val="24"/>
        </w:rPr>
        <w:t>Implementing a competitive bidding process</w:t>
      </w:r>
    </w:p>
    <w:p w14:paraId="538CE73D" w14:textId="77777777" w:rsidR="009E6268" w:rsidRPr="00473694" w:rsidRDefault="009E6268" w:rsidP="009E6268">
      <w:pPr>
        <w:pStyle w:val="ListParagraph"/>
        <w:numPr>
          <w:ilvl w:val="0"/>
          <w:numId w:val="6"/>
        </w:numPr>
        <w:jc w:val="both"/>
        <w:rPr>
          <w:sz w:val="24"/>
          <w:szCs w:val="24"/>
        </w:rPr>
      </w:pPr>
      <w:r w:rsidRPr="00473694">
        <w:rPr>
          <w:sz w:val="24"/>
          <w:szCs w:val="24"/>
        </w:rPr>
        <w:t>Engaging community partners to create access to MCE programs for all communities</w:t>
      </w:r>
    </w:p>
    <w:p w14:paraId="5F8FDFEE" w14:textId="77777777" w:rsidR="009E6268" w:rsidRPr="00473694" w:rsidRDefault="009E6268" w:rsidP="009E6268">
      <w:pPr>
        <w:pStyle w:val="ListParagraph"/>
        <w:numPr>
          <w:ilvl w:val="0"/>
          <w:numId w:val="6"/>
        </w:numPr>
        <w:jc w:val="both"/>
        <w:rPr>
          <w:sz w:val="24"/>
          <w:szCs w:val="24"/>
        </w:rPr>
      </w:pPr>
      <w:r w:rsidRPr="00473694">
        <w:rPr>
          <w:sz w:val="24"/>
          <w:szCs w:val="24"/>
        </w:rPr>
        <w:t>Use of performance-based implementation contracts</w:t>
      </w:r>
    </w:p>
    <w:p w14:paraId="2D8EA652" w14:textId="77777777" w:rsidR="009E6268" w:rsidRPr="00473694" w:rsidRDefault="009E6268" w:rsidP="009E6268">
      <w:pPr>
        <w:pStyle w:val="ListParagraph"/>
        <w:numPr>
          <w:ilvl w:val="0"/>
          <w:numId w:val="6"/>
        </w:numPr>
        <w:jc w:val="both"/>
        <w:rPr>
          <w:sz w:val="24"/>
          <w:szCs w:val="24"/>
        </w:rPr>
      </w:pPr>
      <w:r w:rsidRPr="00473694">
        <w:rPr>
          <w:sz w:val="24"/>
          <w:szCs w:val="24"/>
        </w:rPr>
        <w:t>Deploying measure cost savings strategies within existing programs</w:t>
      </w:r>
    </w:p>
    <w:p w14:paraId="548F711A" w14:textId="745B78EB" w:rsidR="009E6268" w:rsidRDefault="009E6268" w:rsidP="009E6268">
      <w:pPr>
        <w:pStyle w:val="ListParagraph"/>
        <w:numPr>
          <w:ilvl w:val="0"/>
          <w:numId w:val="6"/>
        </w:numPr>
        <w:jc w:val="both"/>
        <w:rPr>
          <w:sz w:val="24"/>
          <w:szCs w:val="24"/>
        </w:rPr>
      </w:pPr>
      <w:r w:rsidRPr="00473694">
        <w:rPr>
          <w:sz w:val="24"/>
          <w:szCs w:val="24"/>
        </w:rPr>
        <w:t>Leveraging meter data and customized projects</w:t>
      </w:r>
    </w:p>
    <w:p w14:paraId="743ABA37" w14:textId="77777777" w:rsidR="009E6268" w:rsidRPr="00473694" w:rsidRDefault="009E6268" w:rsidP="009E6268">
      <w:pPr>
        <w:pStyle w:val="ListParagraph"/>
        <w:jc w:val="both"/>
        <w:rPr>
          <w:sz w:val="24"/>
          <w:szCs w:val="24"/>
        </w:rPr>
      </w:pPr>
    </w:p>
    <w:tbl>
      <w:tblPr>
        <w:tblStyle w:val="TableGrid"/>
        <w:tblW w:w="0" w:type="auto"/>
        <w:tblLook w:val="04A0" w:firstRow="1" w:lastRow="0" w:firstColumn="1" w:lastColumn="0" w:noHBand="0" w:noVBand="1"/>
      </w:tblPr>
      <w:tblGrid>
        <w:gridCol w:w="3778"/>
        <w:gridCol w:w="1925"/>
        <w:gridCol w:w="1176"/>
        <w:gridCol w:w="1098"/>
        <w:gridCol w:w="1373"/>
      </w:tblGrid>
      <w:tr w:rsidR="002B1EBB" w:rsidRPr="002B1EBB" w14:paraId="5D317957" w14:textId="77777777" w:rsidTr="00912B2B">
        <w:trPr>
          <w:trHeight w:val="300"/>
        </w:trPr>
        <w:tc>
          <w:tcPr>
            <w:tcW w:w="9350" w:type="dxa"/>
            <w:gridSpan w:val="5"/>
            <w:noWrap/>
            <w:hideMark/>
          </w:tcPr>
          <w:p w14:paraId="34A29B6D" w14:textId="13FE9724" w:rsidR="002B1EBB" w:rsidRPr="002B1EBB" w:rsidRDefault="009965E6" w:rsidP="002B1EBB">
            <w:pPr>
              <w:overflowPunct/>
              <w:autoSpaceDE/>
              <w:autoSpaceDN/>
              <w:adjustRightInd/>
              <w:jc w:val="center"/>
              <w:rPr>
                <w:b/>
                <w:bCs/>
                <w:sz w:val="24"/>
                <w:szCs w:val="24"/>
              </w:rPr>
            </w:pPr>
            <w:r>
              <w:rPr>
                <w:b/>
                <w:bCs/>
                <w:sz w:val="24"/>
                <w:szCs w:val="24"/>
              </w:rPr>
              <w:t xml:space="preserve">2019 </w:t>
            </w:r>
            <w:r w:rsidR="002B1EBB">
              <w:rPr>
                <w:b/>
                <w:bCs/>
                <w:sz w:val="24"/>
                <w:szCs w:val="24"/>
              </w:rPr>
              <w:t>Budget and Forecast</w:t>
            </w:r>
            <w:r>
              <w:rPr>
                <w:b/>
                <w:bCs/>
                <w:sz w:val="24"/>
                <w:szCs w:val="24"/>
              </w:rPr>
              <w:t>ed</w:t>
            </w:r>
            <w:r w:rsidR="002B1EBB">
              <w:rPr>
                <w:b/>
                <w:bCs/>
                <w:sz w:val="24"/>
                <w:szCs w:val="24"/>
              </w:rPr>
              <w:t xml:space="preserve"> Energy Savings </w:t>
            </w:r>
            <w:r w:rsidR="002B1EBB" w:rsidRPr="002B1EBB">
              <w:rPr>
                <w:b/>
                <w:bCs/>
                <w:sz w:val="24"/>
                <w:szCs w:val="24"/>
              </w:rPr>
              <w:t>(Net)</w:t>
            </w:r>
          </w:p>
        </w:tc>
      </w:tr>
      <w:tr w:rsidR="002B1EBB" w:rsidRPr="002B1EBB" w14:paraId="3B1056AE" w14:textId="77777777" w:rsidTr="009E6268">
        <w:trPr>
          <w:trHeight w:val="615"/>
        </w:trPr>
        <w:tc>
          <w:tcPr>
            <w:tcW w:w="3778" w:type="dxa"/>
            <w:noWrap/>
            <w:vAlign w:val="center"/>
            <w:hideMark/>
          </w:tcPr>
          <w:p w14:paraId="4E08E927" w14:textId="77777777" w:rsidR="002B1EBB" w:rsidRPr="002B1EBB" w:rsidRDefault="002B1EBB" w:rsidP="009E6268">
            <w:pPr>
              <w:overflowPunct/>
              <w:autoSpaceDE/>
              <w:autoSpaceDN/>
              <w:adjustRightInd/>
              <w:jc w:val="center"/>
              <w:rPr>
                <w:b/>
                <w:bCs/>
                <w:sz w:val="24"/>
                <w:szCs w:val="24"/>
              </w:rPr>
            </w:pPr>
            <w:r w:rsidRPr="002B1EBB">
              <w:rPr>
                <w:b/>
                <w:bCs/>
                <w:sz w:val="24"/>
                <w:szCs w:val="24"/>
              </w:rPr>
              <w:t>Sector</w:t>
            </w:r>
          </w:p>
        </w:tc>
        <w:tc>
          <w:tcPr>
            <w:tcW w:w="1925" w:type="dxa"/>
            <w:noWrap/>
            <w:vAlign w:val="center"/>
            <w:hideMark/>
          </w:tcPr>
          <w:p w14:paraId="46E5623F" w14:textId="77777777" w:rsidR="002B1EBB" w:rsidRPr="002B1EBB" w:rsidRDefault="002B1EBB" w:rsidP="009E6268">
            <w:pPr>
              <w:overflowPunct/>
              <w:autoSpaceDE/>
              <w:autoSpaceDN/>
              <w:adjustRightInd/>
              <w:jc w:val="center"/>
              <w:rPr>
                <w:b/>
                <w:bCs/>
                <w:sz w:val="24"/>
                <w:szCs w:val="24"/>
              </w:rPr>
            </w:pPr>
            <w:r w:rsidRPr="002B1EBB">
              <w:rPr>
                <w:b/>
                <w:bCs/>
                <w:sz w:val="24"/>
                <w:szCs w:val="24"/>
              </w:rPr>
              <w:t>Program Year Budget</w:t>
            </w:r>
          </w:p>
        </w:tc>
        <w:tc>
          <w:tcPr>
            <w:tcW w:w="1176" w:type="dxa"/>
            <w:vAlign w:val="center"/>
            <w:hideMark/>
          </w:tcPr>
          <w:p w14:paraId="68F6E5FF" w14:textId="77777777" w:rsidR="002B1EBB" w:rsidRPr="002B1EBB" w:rsidRDefault="002B1EBB" w:rsidP="009E6268">
            <w:pPr>
              <w:overflowPunct/>
              <w:autoSpaceDE/>
              <w:autoSpaceDN/>
              <w:adjustRightInd/>
              <w:jc w:val="center"/>
              <w:rPr>
                <w:sz w:val="24"/>
                <w:szCs w:val="24"/>
              </w:rPr>
            </w:pPr>
            <w:r w:rsidRPr="002B1EBB">
              <w:rPr>
                <w:sz w:val="24"/>
                <w:szCs w:val="24"/>
              </w:rPr>
              <w:t>PA forecast kWh</w:t>
            </w:r>
          </w:p>
        </w:tc>
        <w:tc>
          <w:tcPr>
            <w:tcW w:w="1098" w:type="dxa"/>
            <w:vAlign w:val="center"/>
            <w:hideMark/>
          </w:tcPr>
          <w:p w14:paraId="62E2630B" w14:textId="77777777" w:rsidR="002B1EBB" w:rsidRPr="002B1EBB" w:rsidRDefault="002B1EBB" w:rsidP="009E6268">
            <w:pPr>
              <w:overflowPunct/>
              <w:autoSpaceDE/>
              <w:autoSpaceDN/>
              <w:adjustRightInd/>
              <w:jc w:val="center"/>
              <w:rPr>
                <w:sz w:val="24"/>
                <w:szCs w:val="24"/>
              </w:rPr>
            </w:pPr>
            <w:r w:rsidRPr="002B1EBB">
              <w:rPr>
                <w:sz w:val="24"/>
                <w:szCs w:val="24"/>
              </w:rPr>
              <w:t>PA forecast kW</w:t>
            </w:r>
          </w:p>
        </w:tc>
        <w:tc>
          <w:tcPr>
            <w:tcW w:w="1373" w:type="dxa"/>
            <w:vAlign w:val="center"/>
            <w:hideMark/>
          </w:tcPr>
          <w:p w14:paraId="21FE7D0E" w14:textId="77777777" w:rsidR="002B1EBB" w:rsidRPr="002B1EBB" w:rsidRDefault="002B1EBB" w:rsidP="009E6268">
            <w:pPr>
              <w:overflowPunct/>
              <w:autoSpaceDE/>
              <w:autoSpaceDN/>
              <w:adjustRightInd/>
              <w:jc w:val="center"/>
              <w:rPr>
                <w:sz w:val="24"/>
                <w:szCs w:val="24"/>
              </w:rPr>
            </w:pPr>
            <w:r w:rsidRPr="002B1EBB">
              <w:rPr>
                <w:sz w:val="24"/>
                <w:szCs w:val="24"/>
              </w:rPr>
              <w:t xml:space="preserve">PA forecast </w:t>
            </w:r>
            <w:proofErr w:type="spellStart"/>
            <w:r w:rsidRPr="002B1EBB">
              <w:rPr>
                <w:sz w:val="24"/>
                <w:szCs w:val="24"/>
              </w:rPr>
              <w:t>therms</w:t>
            </w:r>
            <w:proofErr w:type="spellEnd"/>
            <w:r w:rsidRPr="002B1EBB">
              <w:rPr>
                <w:sz w:val="24"/>
                <w:szCs w:val="24"/>
              </w:rPr>
              <w:t xml:space="preserve"> (MM)</w:t>
            </w:r>
          </w:p>
        </w:tc>
      </w:tr>
      <w:tr w:rsidR="002B1EBB" w:rsidRPr="002B1EBB" w14:paraId="34DD57C8" w14:textId="77777777" w:rsidTr="009E6268">
        <w:trPr>
          <w:trHeight w:val="315"/>
        </w:trPr>
        <w:tc>
          <w:tcPr>
            <w:tcW w:w="3778" w:type="dxa"/>
            <w:noWrap/>
            <w:vAlign w:val="bottom"/>
            <w:hideMark/>
          </w:tcPr>
          <w:p w14:paraId="7CDA2DD2" w14:textId="77777777" w:rsidR="002B1EBB" w:rsidRPr="002B1EBB" w:rsidRDefault="002B1EBB" w:rsidP="009E6268">
            <w:pPr>
              <w:overflowPunct/>
              <w:autoSpaceDE/>
              <w:autoSpaceDN/>
              <w:adjustRightInd/>
              <w:contextualSpacing/>
              <w:jc w:val="center"/>
              <w:rPr>
                <w:sz w:val="24"/>
                <w:szCs w:val="24"/>
              </w:rPr>
            </w:pPr>
            <w:r w:rsidRPr="002B1EBB">
              <w:rPr>
                <w:sz w:val="24"/>
                <w:szCs w:val="24"/>
              </w:rPr>
              <w:t>Residential</w:t>
            </w:r>
          </w:p>
        </w:tc>
        <w:tc>
          <w:tcPr>
            <w:tcW w:w="1925" w:type="dxa"/>
            <w:noWrap/>
            <w:vAlign w:val="bottom"/>
            <w:hideMark/>
          </w:tcPr>
          <w:p w14:paraId="591CBE9C" w14:textId="53F2BBFD" w:rsidR="002B1EBB" w:rsidRPr="002B1EBB" w:rsidRDefault="002B1EBB" w:rsidP="009E6268">
            <w:pPr>
              <w:overflowPunct/>
              <w:autoSpaceDE/>
              <w:autoSpaceDN/>
              <w:adjustRightInd/>
              <w:contextualSpacing/>
              <w:jc w:val="center"/>
              <w:rPr>
                <w:sz w:val="24"/>
                <w:szCs w:val="24"/>
              </w:rPr>
            </w:pPr>
            <w:r w:rsidRPr="002B1EBB">
              <w:rPr>
                <w:sz w:val="24"/>
                <w:szCs w:val="24"/>
              </w:rPr>
              <w:t>$3,865,965</w:t>
            </w:r>
          </w:p>
        </w:tc>
        <w:tc>
          <w:tcPr>
            <w:tcW w:w="1176" w:type="dxa"/>
            <w:noWrap/>
            <w:vAlign w:val="bottom"/>
            <w:hideMark/>
          </w:tcPr>
          <w:p w14:paraId="3EC9411C" w14:textId="2A5268DA" w:rsidR="002B1EBB" w:rsidRPr="002B1EBB" w:rsidRDefault="002B1EBB" w:rsidP="009E6268">
            <w:pPr>
              <w:overflowPunct/>
              <w:autoSpaceDE/>
              <w:autoSpaceDN/>
              <w:adjustRightInd/>
              <w:contextualSpacing/>
              <w:jc w:val="center"/>
              <w:rPr>
                <w:sz w:val="24"/>
                <w:szCs w:val="24"/>
              </w:rPr>
            </w:pPr>
            <w:r w:rsidRPr="002B1EBB">
              <w:rPr>
                <w:sz w:val="24"/>
                <w:szCs w:val="24"/>
              </w:rPr>
              <w:t>2,531,901</w:t>
            </w:r>
          </w:p>
        </w:tc>
        <w:tc>
          <w:tcPr>
            <w:tcW w:w="1098" w:type="dxa"/>
            <w:noWrap/>
            <w:vAlign w:val="bottom"/>
            <w:hideMark/>
          </w:tcPr>
          <w:p w14:paraId="49D3B23A" w14:textId="63643FE0" w:rsidR="002B1EBB" w:rsidRPr="002B1EBB" w:rsidRDefault="002B1EBB" w:rsidP="009E6268">
            <w:pPr>
              <w:overflowPunct/>
              <w:autoSpaceDE/>
              <w:autoSpaceDN/>
              <w:adjustRightInd/>
              <w:contextualSpacing/>
              <w:jc w:val="center"/>
              <w:rPr>
                <w:sz w:val="24"/>
                <w:szCs w:val="24"/>
              </w:rPr>
            </w:pPr>
            <w:r w:rsidRPr="002B1EBB">
              <w:rPr>
                <w:sz w:val="24"/>
                <w:szCs w:val="24"/>
              </w:rPr>
              <w:t>234</w:t>
            </w:r>
          </w:p>
        </w:tc>
        <w:tc>
          <w:tcPr>
            <w:tcW w:w="1373" w:type="dxa"/>
            <w:noWrap/>
            <w:vAlign w:val="bottom"/>
            <w:hideMark/>
          </w:tcPr>
          <w:p w14:paraId="596939DA" w14:textId="6D2618FA" w:rsidR="002B1EBB" w:rsidRPr="002B1EBB" w:rsidRDefault="002B1EBB" w:rsidP="009E6268">
            <w:pPr>
              <w:overflowPunct/>
              <w:autoSpaceDE/>
              <w:autoSpaceDN/>
              <w:adjustRightInd/>
              <w:contextualSpacing/>
              <w:jc w:val="center"/>
              <w:rPr>
                <w:sz w:val="24"/>
                <w:szCs w:val="24"/>
              </w:rPr>
            </w:pPr>
            <w:r w:rsidRPr="002B1EBB">
              <w:rPr>
                <w:sz w:val="24"/>
                <w:szCs w:val="24"/>
              </w:rPr>
              <w:t>3.2</w:t>
            </w:r>
          </w:p>
        </w:tc>
      </w:tr>
      <w:tr w:rsidR="002B1EBB" w:rsidRPr="002B1EBB" w14:paraId="46700072" w14:textId="77777777" w:rsidTr="009E6268">
        <w:trPr>
          <w:trHeight w:val="300"/>
        </w:trPr>
        <w:tc>
          <w:tcPr>
            <w:tcW w:w="3778" w:type="dxa"/>
            <w:noWrap/>
            <w:vAlign w:val="bottom"/>
            <w:hideMark/>
          </w:tcPr>
          <w:p w14:paraId="2A7D699A" w14:textId="77777777" w:rsidR="002B1EBB" w:rsidRPr="002B1EBB" w:rsidRDefault="002B1EBB" w:rsidP="009E6268">
            <w:pPr>
              <w:overflowPunct/>
              <w:autoSpaceDE/>
              <w:autoSpaceDN/>
              <w:adjustRightInd/>
              <w:contextualSpacing/>
              <w:jc w:val="center"/>
              <w:rPr>
                <w:sz w:val="24"/>
                <w:szCs w:val="24"/>
              </w:rPr>
            </w:pPr>
            <w:r w:rsidRPr="002B1EBB">
              <w:rPr>
                <w:sz w:val="24"/>
                <w:szCs w:val="24"/>
              </w:rPr>
              <w:t>Commercial</w:t>
            </w:r>
          </w:p>
        </w:tc>
        <w:tc>
          <w:tcPr>
            <w:tcW w:w="1925" w:type="dxa"/>
            <w:noWrap/>
            <w:vAlign w:val="bottom"/>
            <w:hideMark/>
          </w:tcPr>
          <w:p w14:paraId="2848F989" w14:textId="69991A57" w:rsidR="002B1EBB" w:rsidRPr="002B1EBB" w:rsidRDefault="002B1EBB" w:rsidP="009E6268">
            <w:pPr>
              <w:overflowPunct/>
              <w:autoSpaceDE/>
              <w:autoSpaceDN/>
              <w:adjustRightInd/>
              <w:contextualSpacing/>
              <w:jc w:val="center"/>
              <w:rPr>
                <w:sz w:val="24"/>
                <w:szCs w:val="24"/>
              </w:rPr>
            </w:pPr>
            <w:r w:rsidRPr="002B1EBB">
              <w:rPr>
                <w:sz w:val="24"/>
                <w:szCs w:val="24"/>
              </w:rPr>
              <w:t>$1,237,261</w:t>
            </w:r>
          </w:p>
        </w:tc>
        <w:tc>
          <w:tcPr>
            <w:tcW w:w="1176" w:type="dxa"/>
            <w:noWrap/>
            <w:vAlign w:val="bottom"/>
            <w:hideMark/>
          </w:tcPr>
          <w:p w14:paraId="1299C647" w14:textId="26649CA2" w:rsidR="002B1EBB" w:rsidRPr="002B1EBB" w:rsidRDefault="002B1EBB" w:rsidP="009E6268">
            <w:pPr>
              <w:overflowPunct/>
              <w:autoSpaceDE/>
              <w:autoSpaceDN/>
              <w:adjustRightInd/>
              <w:contextualSpacing/>
              <w:jc w:val="center"/>
              <w:rPr>
                <w:sz w:val="24"/>
                <w:szCs w:val="24"/>
              </w:rPr>
            </w:pPr>
            <w:r w:rsidRPr="002B1EBB">
              <w:rPr>
                <w:sz w:val="24"/>
                <w:szCs w:val="24"/>
              </w:rPr>
              <w:t>2,142,614</w:t>
            </w:r>
          </w:p>
        </w:tc>
        <w:tc>
          <w:tcPr>
            <w:tcW w:w="1098" w:type="dxa"/>
            <w:noWrap/>
            <w:vAlign w:val="bottom"/>
            <w:hideMark/>
          </w:tcPr>
          <w:p w14:paraId="30584C8A" w14:textId="49F33AF5" w:rsidR="002B1EBB" w:rsidRPr="002B1EBB" w:rsidRDefault="002B1EBB" w:rsidP="009E6268">
            <w:pPr>
              <w:overflowPunct/>
              <w:autoSpaceDE/>
              <w:autoSpaceDN/>
              <w:adjustRightInd/>
              <w:contextualSpacing/>
              <w:jc w:val="center"/>
              <w:rPr>
                <w:sz w:val="24"/>
                <w:szCs w:val="24"/>
              </w:rPr>
            </w:pPr>
            <w:r w:rsidRPr="002B1EBB">
              <w:rPr>
                <w:sz w:val="24"/>
                <w:szCs w:val="24"/>
              </w:rPr>
              <w:t>378</w:t>
            </w:r>
          </w:p>
        </w:tc>
        <w:tc>
          <w:tcPr>
            <w:tcW w:w="1373" w:type="dxa"/>
            <w:noWrap/>
            <w:vAlign w:val="bottom"/>
            <w:hideMark/>
          </w:tcPr>
          <w:p w14:paraId="467D0D32" w14:textId="3E22981C" w:rsidR="002B1EBB" w:rsidRPr="002B1EBB" w:rsidRDefault="002B1EBB" w:rsidP="009E6268">
            <w:pPr>
              <w:overflowPunct/>
              <w:autoSpaceDE/>
              <w:autoSpaceDN/>
              <w:adjustRightInd/>
              <w:contextualSpacing/>
              <w:jc w:val="center"/>
              <w:rPr>
                <w:sz w:val="24"/>
                <w:szCs w:val="24"/>
              </w:rPr>
            </w:pPr>
            <w:r w:rsidRPr="002B1EBB">
              <w:rPr>
                <w:sz w:val="24"/>
                <w:szCs w:val="24"/>
              </w:rPr>
              <w:t>0.2</w:t>
            </w:r>
          </w:p>
        </w:tc>
      </w:tr>
      <w:tr w:rsidR="002B1EBB" w:rsidRPr="002B1EBB" w14:paraId="7B365EF2" w14:textId="77777777" w:rsidTr="009E6268">
        <w:trPr>
          <w:trHeight w:val="300"/>
        </w:trPr>
        <w:tc>
          <w:tcPr>
            <w:tcW w:w="3778" w:type="dxa"/>
            <w:noWrap/>
            <w:vAlign w:val="bottom"/>
            <w:hideMark/>
          </w:tcPr>
          <w:p w14:paraId="51CDE19E" w14:textId="77777777" w:rsidR="002B1EBB" w:rsidRPr="002B1EBB" w:rsidRDefault="002B1EBB" w:rsidP="009E6268">
            <w:pPr>
              <w:overflowPunct/>
              <w:autoSpaceDE/>
              <w:autoSpaceDN/>
              <w:adjustRightInd/>
              <w:contextualSpacing/>
              <w:jc w:val="center"/>
              <w:rPr>
                <w:sz w:val="24"/>
                <w:szCs w:val="24"/>
              </w:rPr>
            </w:pPr>
            <w:r w:rsidRPr="002B1EBB">
              <w:rPr>
                <w:sz w:val="24"/>
                <w:szCs w:val="24"/>
              </w:rPr>
              <w:t>Industrial</w:t>
            </w:r>
          </w:p>
        </w:tc>
        <w:tc>
          <w:tcPr>
            <w:tcW w:w="1925" w:type="dxa"/>
            <w:noWrap/>
            <w:vAlign w:val="bottom"/>
            <w:hideMark/>
          </w:tcPr>
          <w:p w14:paraId="625539D2" w14:textId="50323446" w:rsidR="002B1EBB" w:rsidRPr="002B1EBB" w:rsidRDefault="002B1EBB" w:rsidP="009E6268">
            <w:pPr>
              <w:overflowPunct/>
              <w:autoSpaceDE/>
              <w:autoSpaceDN/>
              <w:adjustRightInd/>
              <w:contextualSpacing/>
              <w:jc w:val="center"/>
              <w:rPr>
                <w:sz w:val="24"/>
                <w:szCs w:val="24"/>
              </w:rPr>
            </w:pPr>
            <w:r w:rsidRPr="002B1EBB">
              <w:rPr>
                <w:sz w:val="24"/>
                <w:szCs w:val="24"/>
              </w:rPr>
              <w:t>$690,423</w:t>
            </w:r>
          </w:p>
        </w:tc>
        <w:tc>
          <w:tcPr>
            <w:tcW w:w="1176" w:type="dxa"/>
            <w:noWrap/>
            <w:vAlign w:val="bottom"/>
            <w:hideMark/>
          </w:tcPr>
          <w:p w14:paraId="7A981BCE" w14:textId="40FC4D31" w:rsidR="002B1EBB" w:rsidRPr="002B1EBB" w:rsidRDefault="002B1EBB" w:rsidP="009E6268">
            <w:pPr>
              <w:overflowPunct/>
              <w:autoSpaceDE/>
              <w:autoSpaceDN/>
              <w:adjustRightInd/>
              <w:contextualSpacing/>
              <w:jc w:val="center"/>
              <w:rPr>
                <w:sz w:val="24"/>
                <w:szCs w:val="24"/>
              </w:rPr>
            </w:pPr>
            <w:r w:rsidRPr="002B1EBB">
              <w:rPr>
                <w:sz w:val="24"/>
                <w:szCs w:val="24"/>
              </w:rPr>
              <w:t>556,588</w:t>
            </w:r>
          </w:p>
        </w:tc>
        <w:tc>
          <w:tcPr>
            <w:tcW w:w="1098" w:type="dxa"/>
            <w:noWrap/>
            <w:vAlign w:val="bottom"/>
            <w:hideMark/>
          </w:tcPr>
          <w:p w14:paraId="386FAAF8" w14:textId="2CAA5EA9" w:rsidR="002B1EBB" w:rsidRPr="002B1EBB" w:rsidRDefault="002B1EBB" w:rsidP="009E6268">
            <w:pPr>
              <w:overflowPunct/>
              <w:autoSpaceDE/>
              <w:autoSpaceDN/>
              <w:adjustRightInd/>
              <w:contextualSpacing/>
              <w:jc w:val="center"/>
              <w:rPr>
                <w:sz w:val="24"/>
                <w:szCs w:val="24"/>
              </w:rPr>
            </w:pPr>
            <w:proofErr w:type="spellStart"/>
            <w:r w:rsidRPr="002B1EBB">
              <w:rPr>
                <w:sz w:val="24"/>
                <w:szCs w:val="24"/>
              </w:rPr>
              <w:t>na</w:t>
            </w:r>
            <w:proofErr w:type="spellEnd"/>
          </w:p>
        </w:tc>
        <w:tc>
          <w:tcPr>
            <w:tcW w:w="1373" w:type="dxa"/>
            <w:noWrap/>
            <w:vAlign w:val="bottom"/>
            <w:hideMark/>
          </w:tcPr>
          <w:p w14:paraId="2EFEACC2" w14:textId="1A877C1B" w:rsidR="002B1EBB" w:rsidRPr="002B1EBB" w:rsidRDefault="002B1EBB" w:rsidP="009E6268">
            <w:pPr>
              <w:overflowPunct/>
              <w:autoSpaceDE/>
              <w:autoSpaceDN/>
              <w:adjustRightInd/>
              <w:contextualSpacing/>
              <w:jc w:val="center"/>
              <w:rPr>
                <w:sz w:val="24"/>
                <w:szCs w:val="24"/>
              </w:rPr>
            </w:pPr>
            <w:r w:rsidRPr="002B1EBB">
              <w:rPr>
                <w:sz w:val="24"/>
                <w:szCs w:val="24"/>
              </w:rPr>
              <w:t>0.8</w:t>
            </w:r>
          </w:p>
        </w:tc>
      </w:tr>
      <w:tr w:rsidR="002B1EBB" w:rsidRPr="002B1EBB" w14:paraId="17C55C6C" w14:textId="77777777" w:rsidTr="009E6268">
        <w:trPr>
          <w:trHeight w:val="300"/>
        </w:trPr>
        <w:tc>
          <w:tcPr>
            <w:tcW w:w="3778" w:type="dxa"/>
            <w:noWrap/>
            <w:vAlign w:val="bottom"/>
            <w:hideMark/>
          </w:tcPr>
          <w:p w14:paraId="6FE56D43" w14:textId="77777777" w:rsidR="002B1EBB" w:rsidRPr="002B1EBB" w:rsidRDefault="002B1EBB" w:rsidP="009E6268">
            <w:pPr>
              <w:overflowPunct/>
              <w:autoSpaceDE/>
              <w:autoSpaceDN/>
              <w:adjustRightInd/>
              <w:contextualSpacing/>
              <w:jc w:val="center"/>
              <w:rPr>
                <w:sz w:val="24"/>
                <w:szCs w:val="24"/>
              </w:rPr>
            </w:pPr>
            <w:r w:rsidRPr="002B1EBB">
              <w:rPr>
                <w:sz w:val="24"/>
                <w:szCs w:val="24"/>
              </w:rPr>
              <w:t>Agriculture</w:t>
            </w:r>
          </w:p>
        </w:tc>
        <w:tc>
          <w:tcPr>
            <w:tcW w:w="1925" w:type="dxa"/>
            <w:noWrap/>
            <w:vAlign w:val="bottom"/>
            <w:hideMark/>
          </w:tcPr>
          <w:p w14:paraId="4F9D8D37" w14:textId="5AB0D4CD" w:rsidR="002B1EBB" w:rsidRPr="002B1EBB" w:rsidRDefault="002B1EBB" w:rsidP="009E6268">
            <w:pPr>
              <w:overflowPunct/>
              <w:autoSpaceDE/>
              <w:autoSpaceDN/>
              <w:adjustRightInd/>
              <w:contextualSpacing/>
              <w:jc w:val="center"/>
              <w:rPr>
                <w:sz w:val="24"/>
                <w:szCs w:val="24"/>
              </w:rPr>
            </w:pPr>
            <w:r w:rsidRPr="002B1EBB">
              <w:rPr>
                <w:sz w:val="24"/>
                <w:szCs w:val="24"/>
              </w:rPr>
              <w:t>$764,891</w:t>
            </w:r>
          </w:p>
        </w:tc>
        <w:tc>
          <w:tcPr>
            <w:tcW w:w="1176" w:type="dxa"/>
            <w:noWrap/>
            <w:vAlign w:val="bottom"/>
            <w:hideMark/>
          </w:tcPr>
          <w:p w14:paraId="6A3F43C8" w14:textId="5E1E964E" w:rsidR="002B1EBB" w:rsidRPr="002B1EBB" w:rsidRDefault="002B1EBB" w:rsidP="009E6268">
            <w:pPr>
              <w:overflowPunct/>
              <w:autoSpaceDE/>
              <w:autoSpaceDN/>
              <w:adjustRightInd/>
              <w:contextualSpacing/>
              <w:jc w:val="center"/>
              <w:rPr>
                <w:sz w:val="24"/>
                <w:szCs w:val="24"/>
              </w:rPr>
            </w:pPr>
            <w:r w:rsidRPr="002B1EBB">
              <w:rPr>
                <w:sz w:val="24"/>
                <w:szCs w:val="24"/>
              </w:rPr>
              <w:t>799,656</w:t>
            </w:r>
          </w:p>
        </w:tc>
        <w:tc>
          <w:tcPr>
            <w:tcW w:w="1098" w:type="dxa"/>
            <w:noWrap/>
            <w:vAlign w:val="bottom"/>
            <w:hideMark/>
          </w:tcPr>
          <w:p w14:paraId="18183077" w14:textId="7BDF7C28" w:rsidR="002B1EBB" w:rsidRPr="002B1EBB" w:rsidRDefault="002B1EBB" w:rsidP="009E6268">
            <w:pPr>
              <w:overflowPunct/>
              <w:autoSpaceDE/>
              <w:autoSpaceDN/>
              <w:adjustRightInd/>
              <w:contextualSpacing/>
              <w:jc w:val="center"/>
              <w:rPr>
                <w:sz w:val="24"/>
                <w:szCs w:val="24"/>
              </w:rPr>
            </w:pPr>
            <w:proofErr w:type="spellStart"/>
            <w:r w:rsidRPr="002B1EBB">
              <w:rPr>
                <w:sz w:val="24"/>
                <w:szCs w:val="24"/>
              </w:rPr>
              <w:t>na</w:t>
            </w:r>
            <w:proofErr w:type="spellEnd"/>
          </w:p>
        </w:tc>
        <w:tc>
          <w:tcPr>
            <w:tcW w:w="1373" w:type="dxa"/>
            <w:noWrap/>
            <w:vAlign w:val="bottom"/>
            <w:hideMark/>
          </w:tcPr>
          <w:p w14:paraId="730812C7" w14:textId="047A8612" w:rsidR="002B1EBB" w:rsidRPr="002B1EBB" w:rsidRDefault="002B1EBB" w:rsidP="009E6268">
            <w:pPr>
              <w:overflowPunct/>
              <w:autoSpaceDE/>
              <w:autoSpaceDN/>
              <w:adjustRightInd/>
              <w:contextualSpacing/>
              <w:jc w:val="center"/>
              <w:rPr>
                <w:sz w:val="24"/>
                <w:szCs w:val="24"/>
              </w:rPr>
            </w:pPr>
            <w:r w:rsidRPr="002B1EBB">
              <w:rPr>
                <w:sz w:val="24"/>
                <w:szCs w:val="24"/>
              </w:rPr>
              <w:t>0.3</w:t>
            </w:r>
          </w:p>
        </w:tc>
      </w:tr>
      <w:tr w:rsidR="002B1EBB" w:rsidRPr="002B1EBB" w14:paraId="30F3064F" w14:textId="77777777" w:rsidTr="009E6268">
        <w:trPr>
          <w:trHeight w:val="300"/>
        </w:trPr>
        <w:tc>
          <w:tcPr>
            <w:tcW w:w="3778" w:type="dxa"/>
            <w:noWrap/>
            <w:vAlign w:val="bottom"/>
            <w:hideMark/>
          </w:tcPr>
          <w:p w14:paraId="09776617" w14:textId="77777777" w:rsidR="002B1EBB" w:rsidRPr="002B1EBB" w:rsidRDefault="002B1EBB" w:rsidP="009E6268">
            <w:pPr>
              <w:overflowPunct/>
              <w:autoSpaceDE/>
              <w:autoSpaceDN/>
              <w:adjustRightInd/>
              <w:contextualSpacing/>
              <w:jc w:val="center"/>
              <w:rPr>
                <w:sz w:val="24"/>
                <w:szCs w:val="24"/>
              </w:rPr>
            </w:pPr>
            <w:r w:rsidRPr="002B1EBB">
              <w:rPr>
                <w:sz w:val="24"/>
                <w:szCs w:val="24"/>
              </w:rPr>
              <w:t>Emerging Tech</w:t>
            </w:r>
          </w:p>
        </w:tc>
        <w:tc>
          <w:tcPr>
            <w:tcW w:w="1925" w:type="dxa"/>
            <w:noWrap/>
            <w:vAlign w:val="bottom"/>
            <w:hideMark/>
          </w:tcPr>
          <w:p w14:paraId="44944570" w14:textId="6B760A7F" w:rsidR="002B1EBB" w:rsidRPr="002B1EBB" w:rsidRDefault="002B1EBB" w:rsidP="009E6268">
            <w:pPr>
              <w:overflowPunct/>
              <w:autoSpaceDE/>
              <w:autoSpaceDN/>
              <w:adjustRightInd/>
              <w:contextualSpacing/>
              <w:jc w:val="center"/>
              <w:rPr>
                <w:sz w:val="24"/>
                <w:szCs w:val="24"/>
              </w:rPr>
            </w:pPr>
            <w:r w:rsidRPr="002B1EBB">
              <w:rPr>
                <w:sz w:val="24"/>
                <w:szCs w:val="24"/>
              </w:rPr>
              <w:t>$0</w:t>
            </w:r>
          </w:p>
        </w:tc>
        <w:tc>
          <w:tcPr>
            <w:tcW w:w="1176" w:type="dxa"/>
            <w:noWrap/>
            <w:vAlign w:val="bottom"/>
            <w:hideMark/>
          </w:tcPr>
          <w:p w14:paraId="0738C5AA" w14:textId="77777777" w:rsidR="002B1EBB" w:rsidRPr="002B1EBB" w:rsidRDefault="002B1EBB" w:rsidP="009E6268">
            <w:pPr>
              <w:overflowPunct/>
              <w:autoSpaceDE/>
              <w:autoSpaceDN/>
              <w:adjustRightInd/>
              <w:contextualSpacing/>
              <w:jc w:val="center"/>
              <w:rPr>
                <w:sz w:val="24"/>
                <w:szCs w:val="24"/>
              </w:rPr>
            </w:pPr>
            <w:r w:rsidRPr="002B1EBB">
              <w:rPr>
                <w:sz w:val="24"/>
                <w:szCs w:val="24"/>
              </w:rPr>
              <w:t>0</w:t>
            </w:r>
          </w:p>
        </w:tc>
        <w:tc>
          <w:tcPr>
            <w:tcW w:w="1098" w:type="dxa"/>
            <w:noWrap/>
            <w:vAlign w:val="bottom"/>
            <w:hideMark/>
          </w:tcPr>
          <w:p w14:paraId="2803B46B" w14:textId="77777777" w:rsidR="002B1EBB" w:rsidRPr="002B1EBB" w:rsidRDefault="002B1EBB" w:rsidP="009E6268">
            <w:pPr>
              <w:overflowPunct/>
              <w:autoSpaceDE/>
              <w:autoSpaceDN/>
              <w:adjustRightInd/>
              <w:contextualSpacing/>
              <w:jc w:val="center"/>
              <w:rPr>
                <w:sz w:val="24"/>
                <w:szCs w:val="24"/>
              </w:rPr>
            </w:pPr>
            <w:r w:rsidRPr="002B1EBB">
              <w:rPr>
                <w:sz w:val="24"/>
                <w:szCs w:val="24"/>
              </w:rPr>
              <w:t>0</w:t>
            </w:r>
          </w:p>
        </w:tc>
        <w:tc>
          <w:tcPr>
            <w:tcW w:w="1373" w:type="dxa"/>
            <w:noWrap/>
            <w:vAlign w:val="bottom"/>
            <w:hideMark/>
          </w:tcPr>
          <w:p w14:paraId="312D4669" w14:textId="77777777" w:rsidR="002B1EBB" w:rsidRPr="002B1EBB" w:rsidRDefault="002B1EBB" w:rsidP="009E6268">
            <w:pPr>
              <w:overflowPunct/>
              <w:autoSpaceDE/>
              <w:autoSpaceDN/>
              <w:adjustRightInd/>
              <w:contextualSpacing/>
              <w:jc w:val="center"/>
              <w:rPr>
                <w:sz w:val="24"/>
                <w:szCs w:val="24"/>
              </w:rPr>
            </w:pPr>
            <w:r w:rsidRPr="002B1EBB">
              <w:rPr>
                <w:sz w:val="24"/>
                <w:szCs w:val="24"/>
              </w:rPr>
              <w:t>0</w:t>
            </w:r>
          </w:p>
        </w:tc>
      </w:tr>
      <w:tr w:rsidR="002B1EBB" w:rsidRPr="002B1EBB" w14:paraId="1E80DA89" w14:textId="77777777" w:rsidTr="009E6268">
        <w:trPr>
          <w:trHeight w:val="300"/>
        </w:trPr>
        <w:tc>
          <w:tcPr>
            <w:tcW w:w="3778" w:type="dxa"/>
            <w:noWrap/>
            <w:vAlign w:val="bottom"/>
            <w:hideMark/>
          </w:tcPr>
          <w:p w14:paraId="7645C835" w14:textId="77777777" w:rsidR="002B1EBB" w:rsidRPr="002B1EBB" w:rsidRDefault="002B1EBB" w:rsidP="009E6268">
            <w:pPr>
              <w:overflowPunct/>
              <w:autoSpaceDE/>
              <w:autoSpaceDN/>
              <w:adjustRightInd/>
              <w:contextualSpacing/>
              <w:jc w:val="center"/>
              <w:rPr>
                <w:sz w:val="24"/>
                <w:szCs w:val="24"/>
              </w:rPr>
            </w:pPr>
            <w:r w:rsidRPr="002B1EBB">
              <w:rPr>
                <w:sz w:val="24"/>
                <w:szCs w:val="24"/>
              </w:rPr>
              <w:t>Public</w:t>
            </w:r>
          </w:p>
        </w:tc>
        <w:tc>
          <w:tcPr>
            <w:tcW w:w="1925" w:type="dxa"/>
            <w:noWrap/>
            <w:vAlign w:val="bottom"/>
            <w:hideMark/>
          </w:tcPr>
          <w:p w14:paraId="6E1E8C57" w14:textId="2A7D9F8D" w:rsidR="002B1EBB" w:rsidRPr="002B1EBB" w:rsidRDefault="002B1EBB" w:rsidP="009E6268">
            <w:pPr>
              <w:overflowPunct/>
              <w:autoSpaceDE/>
              <w:autoSpaceDN/>
              <w:adjustRightInd/>
              <w:contextualSpacing/>
              <w:jc w:val="center"/>
              <w:rPr>
                <w:sz w:val="24"/>
                <w:szCs w:val="24"/>
              </w:rPr>
            </w:pPr>
            <w:r w:rsidRPr="002B1EBB">
              <w:rPr>
                <w:sz w:val="24"/>
                <w:szCs w:val="24"/>
              </w:rPr>
              <w:t>$0</w:t>
            </w:r>
          </w:p>
        </w:tc>
        <w:tc>
          <w:tcPr>
            <w:tcW w:w="1176" w:type="dxa"/>
            <w:noWrap/>
            <w:vAlign w:val="bottom"/>
            <w:hideMark/>
          </w:tcPr>
          <w:p w14:paraId="24FAE5CF" w14:textId="3B91D5CC" w:rsidR="002B1EBB" w:rsidRPr="002B1EBB" w:rsidRDefault="002B1EBB" w:rsidP="009E6268">
            <w:pPr>
              <w:overflowPunct/>
              <w:autoSpaceDE/>
              <w:autoSpaceDN/>
              <w:adjustRightInd/>
              <w:contextualSpacing/>
              <w:jc w:val="center"/>
              <w:rPr>
                <w:sz w:val="24"/>
                <w:szCs w:val="24"/>
              </w:rPr>
            </w:pPr>
            <w:proofErr w:type="spellStart"/>
            <w:r w:rsidRPr="002B1EBB">
              <w:rPr>
                <w:sz w:val="24"/>
                <w:szCs w:val="24"/>
              </w:rPr>
              <w:t>na</w:t>
            </w:r>
            <w:proofErr w:type="spellEnd"/>
          </w:p>
        </w:tc>
        <w:tc>
          <w:tcPr>
            <w:tcW w:w="1098" w:type="dxa"/>
            <w:noWrap/>
            <w:vAlign w:val="bottom"/>
            <w:hideMark/>
          </w:tcPr>
          <w:p w14:paraId="484F07F2" w14:textId="47A88BCB" w:rsidR="002B1EBB" w:rsidRPr="002B1EBB" w:rsidRDefault="002B1EBB" w:rsidP="009E6268">
            <w:pPr>
              <w:overflowPunct/>
              <w:autoSpaceDE/>
              <w:autoSpaceDN/>
              <w:adjustRightInd/>
              <w:contextualSpacing/>
              <w:jc w:val="center"/>
              <w:rPr>
                <w:sz w:val="24"/>
                <w:szCs w:val="24"/>
              </w:rPr>
            </w:pPr>
            <w:proofErr w:type="spellStart"/>
            <w:r w:rsidRPr="002B1EBB">
              <w:rPr>
                <w:sz w:val="24"/>
                <w:szCs w:val="24"/>
              </w:rPr>
              <w:t>na</w:t>
            </w:r>
            <w:proofErr w:type="spellEnd"/>
          </w:p>
        </w:tc>
        <w:tc>
          <w:tcPr>
            <w:tcW w:w="1373" w:type="dxa"/>
            <w:noWrap/>
            <w:vAlign w:val="bottom"/>
            <w:hideMark/>
          </w:tcPr>
          <w:p w14:paraId="1AF0AF46" w14:textId="4C6C8768" w:rsidR="002B1EBB" w:rsidRPr="002B1EBB" w:rsidRDefault="002B1EBB" w:rsidP="009E6268">
            <w:pPr>
              <w:overflowPunct/>
              <w:autoSpaceDE/>
              <w:autoSpaceDN/>
              <w:adjustRightInd/>
              <w:contextualSpacing/>
              <w:jc w:val="center"/>
              <w:rPr>
                <w:sz w:val="24"/>
                <w:szCs w:val="24"/>
              </w:rPr>
            </w:pPr>
            <w:proofErr w:type="spellStart"/>
            <w:r w:rsidRPr="002B1EBB">
              <w:rPr>
                <w:sz w:val="24"/>
                <w:szCs w:val="24"/>
              </w:rPr>
              <w:t>na</w:t>
            </w:r>
            <w:proofErr w:type="spellEnd"/>
          </w:p>
        </w:tc>
      </w:tr>
      <w:tr w:rsidR="002B1EBB" w:rsidRPr="002B1EBB" w14:paraId="1F95588D" w14:textId="77777777" w:rsidTr="009E6268">
        <w:trPr>
          <w:trHeight w:val="300"/>
        </w:trPr>
        <w:tc>
          <w:tcPr>
            <w:tcW w:w="3778" w:type="dxa"/>
            <w:noWrap/>
            <w:vAlign w:val="bottom"/>
            <w:hideMark/>
          </w:tcPr>
          <w:p w14:paraId="504C85E5" w14:textId="77777777" w:rsidR="002B1EBB" w:rsidRPr="002B1EBB" w:rsidRDefault="002B1EBB" w:rsidP="009E6268">
            <w:pPr>
              <w:overflowPunct/>
              <w:autoSpaceDE/>
              <w:autoSpaceDN/>
              <w:adjustRightInd/>
              <w:contextualSpacing/>
              <w:jc w:val="center"/>
              <w:rPr>
                <w:sz w:val="24"/>
                <w:szCs w:val="24"/>
              </w:rPr>
            </w:pPr>
            <w:r w:rsidRPr="002B1EBB">
              <w:rPr>
                <w:sz w:val="24"/>
                <w:szCs w:val="24"/>
              </w:rPr>
              <w:t>Codes and Standards</w:t>
            </w:r>
          </w:p>
        </w:tc>
        <w:tc>
          <w:tcPr>
            <w:tcW w:w="1925" w:type="dxa"/>
            <w:noWrap/>
            <w:vAlign w:val="bottom"/>
            <w:hideMark/>
          </w:tcPr>
          <w:p w14:paraId="22B99103" w14:textId="7A937AC4" w:rsidR="002B1EBB" w:rsidRPr="002B1EBB" w:rsidRDefault="002B1EBB" w:rsidP="009E6268">
            <w:pPr>
              <w:overflowPunct/>
              <w:autoSpaceDE/>
              <w:autoSpaceDN/>
              <w:adjustRightInd/>
              <w:contextualSpacing/>
              <w:jc w:val="center"/>
              <w:rPr>
                <w:sz w:val="24"/>
                <w:szCs w:val="24"/>
              </w:rPr>
            </w:pPr>
            <w:r w:rsidRPr="002B1EBB">
              <w:rPr>
                <w:sz w:val="24"/>
                <w:szCs w:val="24"/>
              </w:rPr>
              <w:t>$0</w:t>
            </w:r>
          </w:p>
        </w:tc>
        <w:tc>
          <w:tcPr>
            <w:tcW w:w="1176" w:type="dxa"/>
            <w:noWrap/>
            <w:vAlign w:val="bottom"/>
            <w:hideMark/>
          </w:tcPr>
          <w:p w14:paraId="43FCEC5E" w14:textId="69550A7E" w:rsidR="002B1EBB" w:rsidRPr="002B1EBB" w:rsidRDefault="002B1EBB" w:rsidP="009E6268">
            <w:pPr>
              <w:overflowPunct/>
              <w:autoSpaceDE/>
              <w:autoSpaceDN/>
              <w:adjustRightInd/>
              <w:contextualSpacing/>
              <w:jc w:val="center"/>
              <w:rPr>
                <w:sz w:val="24"/>
                <w:szCs w:val="24"/>
              </w:rPr>
            </w:pPr>
            <w:proofErr w:type="spellStart"/>
            <w:r w:rsidRPr="002B1EBB">
              <w:rPr>
                <w:sz w:val="24"/>
                <w:szCs w:val="24"/>
              </w:rPr>
              <w:t>na</w:t>
            </w:r>
            <w:proofErr w:type="spellEnd"/>
          </w:p>
        </w:tc>
        <w:tc>
          <w:tcPr>
            <w:tcW w:w="1098" w:type="dxa"/>
            <w:noWrap/>
            <w:vAlign w:val="bottom"/>
            <w:hideMark/>
          </w:tcPr>
          <w:p w14:paraId="5904A88A" w14:textId="21B3123F" w:rsidR="002B1EBB" w:rsidRPr="002B1EBB" w:rsidRDefault="002B1EBB" w:rsidP="009E6268">
            <w:pPr>
              <w:overflowPunct/>
              <w:autoSpaceDE/>
              <w:autoSpaceDN/>
              <w:adjustRightInd/>
              <w:contextualSpacing/>
              <w:jc w:val="center"/>
              <w:rPr>
                <w:sz w:val="24"/>
                <w:szCs w:val="24"/>
              </w:rPr>
            </w:pPr>
            <w:proofErr w:type="spellStart"/>
            <w:r w:rsidRPr="002B1EBB">
              <w:rPr>
                <w:sz w:val="24"/>
                <w:szCs w:val="24"/>
              </w:rPr>
              <w:t>na</w:t>
            </w:r>
            <w:proofErr w:type="spellEnd"/>
          </w:p>
        </w:tc>
        <w:tc>
          <w:tcPr>
            <w:tcW w:w="1373" w:type="dxa"/>
            <w:noWrap/>
            <w:vAlign w:val="bottom"/>
            <w:hideMark/>
          </w:tcPr>
          <w:p w14:paraId="22C2A088" w14:textId="56A291F4" w:rsidR="002B1EBB" w:rsidRPr="002B1EBB" w:rsidRDefault="002B1EBB" w:rsidP="009E6268">
            <w:pPr>
              <w:overflowPunct/>
              <w:autoSpaceDE/>
              <w:autoSpaceDN/>
              <w:adjustRightInd/>
              <w:contextualSpacing/>
              <w:jc w:val="center"/>
              <w:rPr>
                <w:sz w:val="24"/>
                <w:szCs w:val="24"/>
              </w:rPr>
            </w:pPr>
            <w:proofErr w:type="spellStart"/>
            <w:r w:rsidRPr="002B1EBB">
              <w:rPr>
                <w:sz w:val="24"/>
                <w:szCs w:val="24"/>
              </w:rPr>
              <w:t>na</w:t>
            </w:r>
            <w:proofErr w:type="spellEnd"/>
          </w:p>
        </w:tc>
      </w:tr>
      <w:tr w:rsidR="002B1EBB" w:rsidRPr="002B1EBB" w14:paraId="685C1BD6" w14:textId="77777777" w:rsidTr="009E6268">
        <w:trPr>
          <w:trHeight w:val="300"/>
        </w:trPr>
        <w:tc>
          <w:tcPr>
            <w:tcW w:w="3778" w:type="dxa"/>
            <w:noWrap/>
            <w:vAlign w:val="bottom"/>
            <w:hideMark/>
          </w:tcPr>
          <w:p w14:paraId="3F72D637" w14:textId="77777777" w:rsidR="002B1EBB" w:rsidRPr="002B1EBB" w:rsidRDefault="002B1EBB" w:rsidP="009E6268">
            <w:pPr>
              <w:overflowPunct/>
              <w:autoSpaceDE/>
              <w:autoSpaceDN/>
              <w:adjustRightInd/>
              <w:contextualSpacing/>
              <w:jc w:val="center"/>
              <w:rPr>
                <w:sz w:val="24"/>
                <w:szCs w:val="24"/>
              </w:rPr>
            </w:pPr>
            <w:r w:rsidRPr="002B1EBB">
              <w:rPr>
                <w:sz w:val="24"/>
                <w:szCs w:val="24"/>
              </w:rPr>
              <w:t>WE&amp;T</w:t>
            </w:r>
          </w:p>
        </w:tc>
        <w:tc>
          <w:tcPr>
            <w:tcW w:w="1925" w:type="dxa"/>
            <w:noWrap/>
            <w:vAlign w:val="bottom"/>
            <w:hideMark/>
          </w:tcPr>
          <w:p w14:paraId="3390D047" w14:textId="35C61130" w:rsidR="002B1EBB" w:rsidRPr="002B1EBB" w:rsidRDefault="002B1EBB" w:rsidP="009E6268">
            <w:pPr>
              <w:overflowPunct/>
              <w:autoSpaceDE/>
              <w:autoSpaceDN/>
              <w:adjustRightInd/>
              <w:contextualSpacing/>
              <w:jc w:val="center"/>
              <w:rPr>
                <w:sz w:val="24"/>
                <w:szCs w:val="24"/>
              </w:rPr>
            </w:pPr>
            <w:r w:rsidRPr="002B1EBB">
              <w:rPr>
                <w:sz w:val="24"/>
                <w:szCs w:val="24"/>
              </w:rPr>
              <w:t>$160,000</w:t>
            </w:r>
          </w:p>
        </w:tc>
        <w:tc>
          <w:tcPr>
            <w:tcW w:w="1176" w:type="dxa"/>
            <w:noWrap/>
            <w:vAlign w:val="bottom"/>
            <w:hideMark/>
          </w:tcPr>
          <w:p w14:paraId="5592F488" w14:textId="77777777" w:rsidR="002B1EBB" w:rsidRPr="002B1EBB" w:rsidRDefault="002B1EBB" w:rsidP="009E6268">
            <w:pPr>
              <w:overflowPunct/>
              <w:autoSpaceDE/>
              <w:autoSpaceDN/>
              <w:adjustRightInd/>
              <w:contextualSpacing/>
              <w:jc w:val="center"/>
              <w:rPr>
                <w:sz w:val="24"/>
                <w:szCs w:val="24"/>
              </w:rPr>
            </w:pPr>
            <w:r w:rsidRPr="002B1EBB">
              <w:rPr>
                <w:sz w:val="24"/>
                <w:szCs w:val="24"/>
              </w:rPr>
              <w:t>0</w:t>
            </w:r>
          </w:p>
        </w:tc>
        <w:tc>
          <w:tcPr>
            <w:tcW w:w="1098" w:type="dxa"/>
            <w:noWrap/>
            <w:vAlign w:val="bottom"/>
            <w:hideMark/>
          </w:tcPr>
          <w:p w14:paraId="01BBDCDA" w14:textId="77777777" w:rsidR="002B1EBB" w:rsidRPr="002B1EBB" w:rsidRDefault="002B1EBB" w:rsidP="009E6268">
            <w:pPr>
              <w:overflowPunct/>
              <w:autoSpaceDE/>
              <w:autoSpaceDN/>
              <w:adjustRightInd/>
              <w:contextualSpacing/>
              <w:jc w:val="center"/>
              <w:rPr>
                <w:sz w:val="24"/>
                <w:szCs w:val="24"/>
              </w:rPr>
            </w:pPr>
            <w:r w:rsidRPr="002B1EBB">
              <w:rPr>
                <w:sz w:val="24"/>
                <w:szCs w:val="24"/>
              </w:rPr>
              <w:t>0</w:t>
            </w:r>
          </w:p>
        </w:tc>
        <w:tc>
          <w:tcPr>
            <w:tcW w:w="1373" w:type="dxa"/>
            <w:noWrap/>
            <w:vAlign w:val="bottom"/>
            <w:hideMark/>
          </w:tcPr>
          <w:p w14:paraId="1F1449B3" w14:textId="77777777" w:rsidR="002B1EBB" w:rsidRPr="002B1EBB" w:rsidRDefault="002B1EBB" w:rsidP="009E6268">
            <w:pPr>
              <w:overflowPunct/>
              <w:autoSpaceDE/>
              <w:autoSpaceDN/>
              <w:adjustRightInd/>
              <w:contextualSpacing/>
              <w:jc w:val="center"/>
              <w:rPr>
                <w:sz w:val="24"/>
                <w:szCs w:val="24"/>
              </w:rPr>
            </w:pPr>
            <w:r w:rsidRPr="002B1EBB">
              <w:rPr>
                <w:sz w:val="24"/>
                <w:szCs w:val="24"/>
              </w:rPr>
              <w:t>0</w:t>
            </w:r>
          </w:p>
        </w:tc>
      </w:tr>
      <w:tr w:rsidR="002B1EBB" w:rsidRPr="002B1EBB" w14:paraId="0E7BD5CC" w14:textId="77777777" w:rsidTr="009E6268">
        <w:trPr>
          <w:trHeight w:val="300"/>
        </w:trPr>
        <w:tc>
          <w:tcPr>
            <w:tcW w:w="3778" w:type="dxa"/>
            <w:noWrap/>
            <w:vAlign w:val="bottom"/>
            <w:hideMark/>
          </w:tcPr>
          <w:p w14:paraId="30A4E059" w14:textId="77777777" w:rsidR="002B1EBB" w:rsidRPr="002B1EBB" w:rsidRDefault="002B1EBB" w:rsidP="009E6268">
            <w:pPr>
              <w:overflowPunct/>
              <w:autoSpaceDE/>
              <w:autoSpaceDN/>
              <w:adjustRightInd/>
              <w:contextualSpacing/>
              <w:jc w:val="center"/>
              <w:rPr>
                <w:sz w:val="24"/>
                <w:szCs w:val="24"/>
              </w:rPr>
            </w:pPr>
            <w:r w:rsidRPr="002B1EBB">
              <w:rPr>
                <w:sz w:val="24"/>
                <w:szCs w:val="24"/>
              </w:rPr>
              <w:t>Finance</w:t>
            </w:r>
          </w:p>
        </w:tc>
        <w:tc>
          <w:tcPr>
            <w:tcW w:w="1925" w:type="dxa"/>
            <w:noWrap/>
            <w:vAlign w:val="bottom"/>
            <w:hideMark/>
          </w:tcPr>
          <w:p w14:paraId="403F769F" w14:textId="0A8E2639" w:rsidR="002B1EBB" w:rsidRPr="002B1EBB" w:rsidRDefault="002B1EBB" w:rsidP="009E6268">
            <w:pPr>
              <w:overflowPunct/>
              <w:autoSpaceDE/>
              <w:autoSpaceDN/>
              <w:adjustRightInd/>
              <w:contextualSpacing/>
              <w:jc w:val="center"/>
              <w:rPr>
                <w:sz w:val="24"/>
                <w:szCs w:val="24"/>
              </w:rPr>
            </w:pPr>
            <w:r w:rsidRPr="002B1EBB">
              <w:rPr>
                <w:sz w:val="24"/>
                <w:szCs w:val="24"/>
              </w:rPr>
              <w:t>$0</w:t>
            </w:r>
          </w:p>
        </w:tc>
        <w:tc>
          <w:tcPr>
            <w:tcW w:w="1176" w:type="dxa"/>
            <w:noWrap/>
            <w:vAlign w:val="bottom"/>
            <w:hideMark/>
          </w:tcPr>
          <w:p w14:paraId="5DB685C1" w14:textId="77777777" w:rsidR="002B1EBB" w:rsidRPr="002B1EBB" w:rsidRDefault="002B1EBB" w:rsidP="009E6268">
            <w:pPr>
              <w:overflowPunct/>
              <w:autoSpaceDE/>
              <w:autoSpaceDN/>
              <w:adjustRightInd/>
              <w:contextualSpacing/>
              <w:jc w:val="center"/>
              <w:rPr>
                <w:sz w:val="24"/>
                <w:szCs w:val="24"/>
              </w:rPr>
            </w:pPr>
            <w:r w:rsidRPr="002B1EBB">
              <w:rPr>
                <w:sz w:val="24"/>
                <w:szCs w:val="24"/>
              </w:rPr>
              <w:t>0</w:t>
            </w:r>
          </w:p>
        </w:tc>
        <w:tc>
          <w:tcPr>
            <w:tcW w:w="1098" w:type="dxa"/>
            <w:noWrap/>
            <w:vAlign w:val="bottom"/>
            <w:hideMark/>
          </w:tcPr>
          <w:p w14:paraId="3E362EB4" w14:textId="77777777" w:rsidR="002B1EBB" w:rsidRPr="002B1EBB" w:rsidRDefault="002B1EBB" w:rsidP="009E6268">
            <w:pPr>
              <w:overflowPunct/>
              <w:autoSpaceDE/>
              <w:autoSpaceDN/>
              <w:adjustRightInd/>
              <w:contextualSpacing/>
              <w:jc w:val="center"/>
              <w:rPr>
                <w:sz w:val="24"/>
                <w:szCs w:val="24"/>
              </w:rPr>
            </w:pPr>
            <w:r w:rsidRPr="002B1EBB">
              <w:rPr>
                <w:sz w:val="24"/>
                <w:szCs w:val="24"/>
              </w:rPr>
              <w:t>0</w:t>
            </w:r>
          </w:p>
        </w:tc>
        <w:tc>
          <w:tcPr>
            <w:tcW w:w="1373" w:type="dxa"/>
            <w:noWrap/>
            <w:vAlign w:val="bottom"/>
            <w:hideMark/>
          </w:tcPr>
          <w:p w14:paraId="3FAA9751" w14:textId="77777777" w:rsidR="002B1EBB" w:rsidRPr="002B1EBB" w:rsidRDefault="002B1EBB" w:rsidP="009E6268">
            <w:pPr>
              <w:overflowPunct/>
              <w:autoSpaceDE/>
              <w:autoSpaceDN/>
              <w:adjustRightInd/>
              <w:contextualSpacing/>
              <w:jc w:val="center"/>
              <w:rPr>
                <w:sz w:val="24"/>
                <w:szCs w:val="24"/>
              </w:rPr>
            </w:pPr>
            <w:r w:rsidRPr="002B1EBB">
              <w:rPr>
                <w:sz w:val="24"/>
                <w:szCs w:val="24"/>
              </w:rPr>
              <w:t>0</w:t>
            </w:r>
          </w:p>
        </w:tc>
      </w:tr>
      <w:tr w:rsidR="002B1EBB" w:rsidRPr="002B1EBB" w14:paraId="6349A1DD" w14:textId="77777777" w:rsidTr="009E6268">
        <w:trPr>
          <w:trHeight w:val="315"/>
        </w:trPr>
        <w:tc>
          <w:tcPr>
            <w:tcW w:w="3778" w:type="dxa"/>
            <w:noWrap/>
            <w:vAlign w:val="bottom"/>
            <w:hideMark/>
          </w:tcPr>
          <w:p w14:paraId="3FC59EA5" w14:textId="77777777" w:rsidR="002B1EBB" w:rsidRPr="002B1EBB" w:rsidRDefault="002B1EBB" w:rsidP="009E6268">
            <w:pPr>
              <w:overflowPunct/>
              <w:autoSpaceDE/>
              <w:autoSpaceDN/>
              <w:adjustRightInd/>
              <w:contextualSpacing/>
              <w:jc w:val="center"/>
              <w:rPr>
                <w:sz w:val="24"/>
                <w:szCs w:val="24"/>
              </w:rPr>
            </w:pPr>
            <w:r w:rsidRPr="002B1EBB">
              <w:rPr>
                <w:sz w:val="24"/>
                <w:szCs w:val="24"/>
              </w:rPr>
              <w:t>OBF Loan Pool</w:t>
            </w:r>
          </w:p>
        </w:tc>
        <w:tc>
          <w:tcPr>
            <w:tcW w:w="1925" w:type="dxa"/>
            <w:noWrap/>
            <w:vAlign w:val="bottom"/>
            <w:hideMark/>
          </w:tcPr>
          <w:p w14:paraId="1B63E7E0" w14:textId="0A5D0CA3" w:rsidR="002B1EBB" w:rsidRPr="002B1EBB" w:rsidRDefault="002B1EBB" w:rsidP="009E6268">
            <w:pPr>
              <w:overflowPunct/>
              <w:autoSpaceDE/>
              <w:autoSpaceDN/>
              <w:adjustRightInd/>
              <w:contextualSpacing/>
              <w:jc w:val="center"/>
              <w:rPr>
                <w:sz w:val="24"/>
                <w:szCs w:val="24"/>
              </w:rPr>
            </w:pPr>
            <w:r w:rsidRPr="002B1EBB">
              <w:rPr>
                <w:sz w:val="24"/>
                <w:szCs w:val="24"/>
              </w:rPr>
              <w:t>$0</w:t>
            </w:r>
          </w:p>
        </w:tc>
        <w:tc>
          <w:tcPr>
            <w:tcW w:w="1176" w:type="dxa"/>
            <w:noWrap/>
            <w:vAlign w:val="bottom"/>
            <w:hideMark/>
          </w:tcPr>
          <w:p w14:paraId="62C33E3C" w14:textId="77777777" w:rsidR="002B1EBB" w:rsidRPr="002B1EBB" w:rsidRDefault="002B1EBB" w:rsidP="009E6268">
            <w:pPr>
              <w:overflowPunct/>
              <w:autoSpaceDE/>
              <w:autoSpaceDN/>
              <w:adjustRightInd/>
              <w:contextualSpacing/>
              <w:jc w:val="center"/>
              <w:rPr>
                <w:sz w:val="24"/>
                <w:szCs w:val="24"/>
              </w:rPr>
            </w:pPr>
            <w:r w:rsidRPr="002B1EBB">
              <w:rPr>
                <w:sz w:val="24"/>
                <w:szCs w:val="24"/>
              </w:rPr>
              <w:t>0</w:t>
            </w:r>
          </w:p>
        </w:tc>
        <w:tc>
          <w:tcPr>
            <w:tcW w:w="1098" w:type="dxa"/>
            <w:noWrap/>
            <w:vAlign w:val="bottom"/>
            <w:hideMark/>
          </w:tcPr>
          <w:p w14:paraId="77377709" w14:textId="77777777" w:rsidR="002B1EBB" w:rsidRPr="002B1EBB" w:rsidRDefault="002B1EBB" w:rsidP="009E6268">
            <w:pPr>
              <w:overflowPunct/>
              <w:autoSpaceDE/>
              <w:autoSpaceDN/>
              <w:adjustRightInd/>
              <w:contextualSpacing/>
              <w:jc w:val="center"/>
              <w:rPr>
                <w:sz w:val="24"/>
                <w:szCs w:val="24"/>
              </w:rPr>
            </w:pPr>
            <w:r w:rsidRPr="002B1EBB">
              <w:rPr>
                <w:sz w:val="24"/>
                <w:szCs w:val="24"/>
              </w:rPr>
              <w:t>0</w:t>
            </w:r>
          </w:p>
        </w:tc>
        <w:tc>
          <w:tcPr>
            <w:tcW w:w="1373" w:type="dxa"/>
            <w:noWrap/>
            <w:vAlign w:val="bottom"/>
            <w:hideMark/>
          </w:tcPr>
          <w:p w14:paraId="25DE7C0C" w14:textId="77777777" w:rsidR="002B1EBB" w:rsidRPr="002B1EBB" w:rsidRDefault="002B1EBB" w:rsidP="009E6268">
            <w:pPr>
              <w:overflowPunct/>
              <w:autoSpaceDE/>
              <w:autoSpaceDN/>
              <w:adjustRightInd/>
              <w:contextualSpacing/>
              <w:jc w:val="center"/>
              <w:rPr>
                <w:sz w:val="24"/>
                <w:szCs w:val="24"/>
              </w:rPr>
            </w:pPr>
            <w:r w:rsidRPr="002B1EBB">
              <w:rPr>
                <w:sz w:val="24"/>
                <w:szCs w:val="24"/>
              </w:rPr>
              <w:t>0</w:t>
            </w:r>
          </w:p>
        </w:tc>
      </w:tr>
      <w:tr w:rsidR="002B1EBB" w:rsidRPr="002B1EBB" w14:paraId="27A23D8E" w14:textId="77777777" w:rsidTr="009E6268">
        <w:trPr>
          <w:trHeight w:val="330"/>
        </w:trPr>
        <w:tc>
          <w:tcPr>
            <w:tcW w:w="3778" w:type="dxa"/>
            <w:noWrap/>
            <w:vAlign w:val="bottom"/>
            <w:hideMark/>
          </w:tcPr>
          <w:p w14:paraId="1AD37C65" w14:textId="77777777" w:rsidR="002B1EBB" w:rsidRPr="002B1EBB" w:rsidRDefault="002B1EBB" w:rsidP="009E6268">
            <w:pPr>
              <w:overflowPunct/>
              <w:autoSpaceDE/>
              <w:autoSpaceDN/>
              <w:adjustRightInd/>
              <w:contextualSpacing/>
              <w:jc w:val="center"/>
              <w:rPr>
                <w:b/>
                <w:bCs/>
                <w:sz w:val="24"/>
                <w:szCs w:val="24"/>
              </w:rPr>
            </w:pPr>
            <w:r w:rsidRPr="002B1EBB">
              <w:rPr>
                <w:b/>
                <w:bCs/>
                <w:sz w:val="24"/>
                <w:szCs w:val="24"/>
              </w:rPr>
              <w:t>Subtotal</w:t>
            </w:r>
          </w:p>
        </w:tc>
        <w:tc>
          <w:tcPr>
            <w:tcW w:w="1925" w:type="dxa"/>
            <w:noWrap/>
            <w:vAlign w:val="bottom"/>
            <w:hideMark/>
          </w:tcPr>
          <w:p w14:paraId="3E57F1C1" w14:textId="2EBA77F9" w:rsidR="002B1EBB" w:rsidRPr="002B1EBB" w:rsidRDefault="002B1EBB" w:rsidP="009E6268">
            <w:pPr>
              <w:overflowPunct/>
              <w:autoSpaceDE/>
              <w:autoSpaceDN/>
              <w:adjustRightInd/>
              <w:contextualSpacing/>
              <w:jc w:val="center"/>
              <w:rPr>
                <w:sz w:val="24"/>
                <w:szCs w:val="24"/>
              </w:rPr>
            </w:pPr>
            <w:r w:rsidRPr="002B1EBB">
              <w:rPr>
                <w:sz w:val="24"/>
                <w:szCs w:val="24"/>
              </w:rPr>
              <w:t>$6,718,540</w:t>
            </w:r>
          </w:p>
        </w:tc>
        <w:tc>
          <w:tcPr>
            <w:tcW w:w="1176" w:type="dxa"/>
            <w:noWrap/>
            <w:vAlign w:val="bottom"/>
            <w:hideMark/>
          </w:tcPr>
          <w:p w14:paraId="4EE24264" w14:textId="0E0A11BD" w:rsidR="002B1EBB" w:rsidRPr="002B1EBB" w:rsidRDefault="002B1EBB" w:rsidP="009E6268">
            <w:pPr>
              <w:overflowPunct/>
              <w:autoSpaceDE/>
              <w:autoSpaceDN/>
              <w:adjustRightInd/>
              <w:contextualSpacing/>
              <w:jc w:val="center"/>
              <w:rPr>
                <w:sz w:val="24"/>
                <w:szCs w:val="24"/>
              </w:rPr>
            </w:pPr>
            <w:r w:rsidRPr="002B1EBB">
              <w:rPr>
                <w:sz w:val="24"/>
                <w:szCs w:val="24"/>
              </w:rPr>
              <w:t>6,030,759</w:t>
            </w:r>
          </w:p>
        </w:tc>
        <w:tc>
          <w:tcPr>
            <w:tcW w:w="1098" w:type="dxa"/>
            <w:noWrap/>
            <w:vAlign w:val="bottom"/>
            <w:hideMark/>
          </w:tcPr>
          <w:p w14:paraId="5919E8E4" w14:textId="33CA51F5" w:rsidR="002B1EBB" w:rsidRPr="002B1EBB" w:rsidRDefault="002B1EBB" w:rsidP="009E6268">
            <w:pPr>
              <w:overflowPunct/>
              <w:autoSpaceDE/>
              <w:autoSpaceDN/>
              <w:adjustRightInd/>
              <w:contextualSpacing/>
              <w:jc w:val="center"/>
              <w:rPr>
                <w:sz w:val="24"/>
                <w:szCs w:val="24"/>
              </w:rPr>
            </w:pPr>
            <w:r w:rsidRPr="002B1EBB">
              <w:rPr>
                <w:sz w:val="24"/>
                <w:szCs w:val="24"/>
              </w:rPr>
              <w:t>612</w:t>
            </w:r>
          </w:p>
        </w:tc>
        <w:tc>
          <w:tcPr>
            <w:tcW w:w="1373" w:type="dxa"/>
            <w:noWrap/>
            <w:vAlign w:val="bottom"/>
            <w:hideMark/>
          </w:tcPr>
          <w:p w14:paraId="5208689D" w14:textId="4B32BBCD" w:rsidR="002B1EBB" w:rsidRPr="002B1EBB" w:rsidRDefault="002B1EBB" w:rsidP="009E6268">
            <w:pPr>
              <w:overflowPunct/>
              <w:autoSpaceDE/>
              <w:autoSpaceDN/>
              <w:adjustRightInd/>
              <w:contextualSpacing/>
              <w:jc w:val="center"/>
              <w:rPr>
                <w:sz w:val="24"/>
                <w:szCs w:val="24"/>
              </w:rPr>
            </w:pPr>
            <w:r w:rsidRPr="002B1EBB">
              <w:rPr>
                <w:sz w:val="24"/>
                <w:szCs w:val="24"/>
              </w:rPr>
              <w:t>4</w:t>
            </w:r>
          </w:p>
        </w:tc>
      </w:tr>
      <w:tr w:rsidR="002B1EBB" w:rsidRPr="002B1EBB" w14:paraId="577C1668" w14:textId="77777777" w:rsidTr="009E6268">
        <w:trPr>
          <w:trHeight w:val="375"/>
        </w:trPr>
        <w:tc>
          <w:tcPr>
            <w:tcW w:w="3778" w:type="dxa"/>
            <w:noWrap/>
            <w:vAlign w:val="bottom"/>
            <w:hideMark/>
          </w:tcPr>
          <w:p w14:paraId="61C6D64C" w14:textId="4151AA35" w:rsidR="002B1EBB" w:rsidRPr="002B1EBB" w:rsidRDefault="002B1EBB" w:rsidP="009E6268">
            <w:pPr>
              <w:overflowPunct/>
              <w:autoSpaceDE/>
              <w:autoSpaceDN/>
              <w:adjustRightInd/>
              <w:jc w:val="center"/>
              <w:rPr>
                <w:b/>
                <w:bCs/>
                <w:sz w:val="24"/>
                <w:szCs w:val="24"/>
              </w:rPr>
            </w:pPr>
            <w:r w:rsidRPr="002B1EBB">
              <w:rPr>
                <w:b/>
                <w:bCs/>
                <w:sz w:val="24"/>
                <w:szCs w:val="24"/>
              </w:rPr>
              <w:t>Total Budget</w:t>
            </w:r>
          </w:p>
        </w:tc>
        <w:tc>
          <w:tcPr>
            <w:tcW w:w="1925" w:type="dxa"/>
            <w:noWrap/>
            <w:vAlign w:val="bottom"/>
            <w:hideMark/>
          </w:tcPr>
          <w:p w14:paraId="24180D49" w14:textId="77777777" w:rsidR="002B1EBB" w:rsidRPr="002B1EBB" w:rsidRDefault="002B1EBB" w:rsidP="009E6268">
            <w:pPr>
              <w:overflowPunct/>
              <w:autoSpaceDE/>
              <w:autoSpaceDN/>
              <w:adjustRightInd/>
              <w:jc w:val="center"/>
              <w:rPr>
                <w:sz w:val="24"/>
                <w:szCs w:val="24"/>
              </w:rPr>
            </w:pPr>
            <w:r w:rsidRPr="002B1EBB">
              <w:rPr>
                <w:sz w:val="24"/>
                <w:szCs w:val="24"/>
              </w:rPr>
              <w:t>$6,998,479</w:t>
            </w:r>
          </w:p>
        </w:tc>
        <w:tc>
          <w:tcPr>
            <w:tcW w:w="3647" w:type="dxa"/>
            <w:gridSpan w:val="3"/>
            <w:vMerge w:val="restart"/>
            <w:tcBorders>
              <w:bottom w:val="nil"/>
              <w:right w:val="nil"/>
            </w:tcBorders>
            <w:hideMark/>
          </w:tcPr>
          <w:p w14:paraId="7BD28D1A" w14:textId="77777777" w:rsidR="002B1EBB" w:rsidRPr="002B1EBB" w:rsidRDefault="002B1EBB" w:rsidP="002B1EBB">
            <w:pPr>
              <w:overflowPunct/>
              <w:autoSpaceDE/>
              <w:autoSpaceDN/>
              <w:adjustRightInd/>
              <w:jc w:val="both"/>
              <w:rPr>
                <w:sz w:val="24"/>
                <w:szCs w:val="24"/>
              </w:rPr>
            </w:pPr>
          </w:p>
        </w:tc>
      </w:tr>
      <w:tr w:rsidR="002B1EBB" w:rsidRPr="002B1EBB" w14:paraId="29929860" w14:textId="77777777" w:rsidTr="009E6268">
        <w:trPr>
          <w:trHeight w:val="375"/>
        </w:trPr>
        <w:tc>
          <w:tcPr>
            <w:tcW w:w="3778" w:type="dxa"/>
            <w:noWrap/>
            <w:vAlign w:val="bottom"/>
            <w:hideMark/>
          </w:tcPr>
          <w:p w14:paraId="240E0517" w14:textId="74FB8C0B" w:rsidR="002B1EBB" w:rsidRPr="002B1EBB" w:rsidRDefault="002B1EBB" w:rsidP="009E6268">
            <w:pPr>
              <w:overflowPunct/>
              <w:autoSpaceDE/>
              <w:autoSpaceDN/>
              <w:adjustRightInd/>
              <w:jc w:val="center"/>
              <w:rPr>
                <w:b/>
                <w:bCs/>
                <w:sz w:val="24"/>
                <w:szCs w:val="24"/>
              </w:rPr>
            </w:pPr>
            <w:r w:rsidRPr="002B1EBB">
              <w:rPr>
                <w:b/>
                <w:bCs/>
                <w:sz w:val="24"/>
                <w:szCs w:val="24"/>
              </w:rPr>
              <w:t>Uncommitted and Unspent Carryover balance</w:t>
            </w:r>
          </w:p>
        </w:tc>
        <w:tc>
          <w:tcPr>
            <w:tcW w:w="1925" w:type="dxa"/>
            <w:vAlign w:val="bottom"/>
          </w:tcPr>
          <w:p w14:paraId="62848B1B" w14:textId="40A20E5E" w:rsidR="002B1EBB" w:rsidRPr="002B1EBB" w:rsidRDefault="002B1EBB" w:rsidP="009E6268">
            <w:pPr>
              <w:overflowPunct/>
              <w:autoSpaceDE/>
              <w:autoSpaceDN/>
              <w:adjustRightInd/>
              <w:jc w:val="center"/>
              <w:rPr>
                <w:sz w:val="24"/>
                <w:szCs w:val="24"/>
              </w:rPr>
            </w:pPr>
            <w:r w:rsidRPr="002B1EBB">
              <w:rPr>
                <w:sz w:val="24"/>
                <w:szCs w:val="24"/>
              </w:rPr>
              <w:t>$0</w:t>
            </w:r>
          </w:p>
        </w:tc>
        <w:tc>
          <w:tcPr>
            <w:tcW w:w="3647" w:type="dxa"/>
            <w:gridSpan w:val="3"/>
            <w:vMerge/>
            <w:tcBorders>
              <w:bottom w:val="nil"/>
              <w:right w:val="nil"/>
            </w:tcBorders>
            <w:hideMark/>
          </w:tcPr>
          <w:p w14:paraId="674A5458" w14:textId="6EEA3713" w:rsidR="002B1EBB" w:rsidRPr="002B1EBB" w:rsidRDefault="002B1EBB" w:rsidP="002B1EBB">
            <w:pPr>
              <w:jc w:val="both"/>
              <w:rPr>
                <w:sz w:val="24"/>
                <w:szCs w:val="24"/>
              </w:rPr>
            </w:pPr>
          </w:p>
        </w:tc>
      </w:tr>
      <w:tr w:rsidR="009965E6" w:rsidRPr="002B1EBB" w14:paraId="3FEC87A5" w14:textId="77777777" w:rsidTr="009E6268">
        <w:trPr>
          <w:trHeight w:val="375"/>
        </w:trPr>
        <w:tc>
          <w:tcPr>
            <w:tcW w:w="3778" w:type="dxa"/>
            <w:noWrap/>
            <w:vAlign w:val="bottom"/>
            <w:hideMark/>
          </w:tcPr>
          <w:p w14:paraId="09872C1A" w14:textId="767ACE2F" w:rsidR="009965E6" w:rsidRPr="002B1EBB" w:rsidRDefault="009965E6" w:rsidP="009E6268">
            <w:pPr>
              <w:overflowPunct/>
              <w:autoSpaceDE/>
              <w:autoSpaceDN/>
              <w:adjustRightInd/>
              <w:jc w:val="center"/>
              <w:rPr>
                <w:b/>
                <w:bCs/>
                <w:sz w:val="24"/>
                <w:szCs w:val="24"/>
              </w:rPr>
            </w:pPr>
            <w:r w:rsidRPr="002B1EBB">
              <w:rPr>
                <w:b/>
                <w:bCs/>
                <w:sz w:val="24"/>
                <w:szCs w:val="24"/>
              </w:rPr>
              <w:t>Authorized PY Budget Cap (D.18-05-041)</w:t>
            </w:r>
          </w:p>
        </w:tc>
        <w:tc>
          <w:tcPr>
            <w:tcW w:w="1925" w:type="dxa"/>
            <w:vAlign w:val="bottom"/>
          </w:tcPr>
          <w:p w14:paraId="41D109FC" w14:textId="4EFBCD10" w:rsidR="009965E6" w:rsidRPr="002B1EBB" w:rsidRDefault="009965E6" w:rsidP="009E6268">
            <w:pPr>
              <w:overflowPunct/>
              <w:autoSpaceDE/>
              <w:autoSpaceDN/>
              <w:adjustRightInd/>
              <w:jc w:val="center"/>
              <w:rPr>
                <w:sz w:val="24"/>
                <w:szCs w:val="24"/>
              </w:rPr>
            </w:pPr>
            <w:r w:rsidRPr="002B1EBB">
              <w:rPr>
                <w:sz w:val="24"/>
                <w:szCs w:val="24"/>
              </w:rPr>
              <w:t>$8,532,000</w:t>
            </w:r>
          </w:p>
        </w:tc>
        <w:tc>
          <w:tcPr>
            <w:tcW w:w="3647" w:type="dxa"/>
            <w:gridSpan w:val="3"/>
            <w:vMerge/>
            <w:tcBorders>
              <w:bottom w:val="nil"/>
              <w:right w:val="nil"/>
            </w:tcBorders>
            <w:hideMark/>
          </w:tcPr>
          <w:p w14:paraId="28BEEF3C" w14:textId="45B4E540" w:rsidR="009965E6" w:rsidRPr="002B1EBB" w:rsidRDefault="009965E6" w:rsidP="002B1EBB">
            <w:pPr>
              <w:jc w:val="both"/>
              <w:rPr>
                <w:sz w:val="24"/>
                <w:szCs w:val="24"/>
              </w:rPr>
            </w:pPr>
          </w:p>
        </w:tc>
      </w:tr>
    </w:tbl>
    <w:p w14:paraId="1F755937" w14:textId="4F89524B" w:rsidR="009965E6" w:rsidRDefault="009965E6"/>
    <w:p w14:paraId="6226DF6F" w14:textId="08569D83" w:rsidR="009E6268" w:rsidRDefault="009E6268"/>
    <w:p w14:paraId="7DE56B8D" w14:textId="655BEC91" w:rsidR="009E6268" w:rsidRDefault="009E6268"/>
    <w:p w14:paraId="128F69B2" w14:textId="22D67E2C" w:rsidR="009E6268" w:rsidRDefault="009E6268"/>
    <w:p w14:paraId="19B333C8" w14:textId="77777777" w:rsidR="009E6268" w:rsidRDefault="009E6268"/>
    <w:p w14:paraId="0DC56DC9" w14:textId="0E01AAC5" w:rsidR="005B2D2B" w:rsidRPr="009E6268" w:rsidRDefault="005B2D2B" w:rsidP="004256B7">
      <w:pPr>
        <w:overflowPunct/>
        <w:autoSpaceDE/>
        <w:autoSpaceDN/>
        <w:adjustRightInd/>
        <w:jc w:val="both"/>
        <w:rPr>
          <w:b/>
          <w:sz w:val="24"/>
          <w:szCs w:val="24"/>
        </w:rPr>
      </w:pPr>
      <w:r w:rsidRPr="009E6268">
        <w:rPr>
          <w:b/>
          <w:sz w:val="24"/>
          <w:szCs w:val="24"/>
        </w:rPr>
        <w:lastRenderedPageBreak/>
        <w:t>Budget</w:t>
      </w:r>
      <w:r w:rsidR="001A1285" w:rsidRPr="009E6268">
        <w:rPr>
          <w:b/>
          <w:sz w:val="24"/>
          <w:szCs w:val="24"/>
        </w:rPr>
        <w:t>s</w:t>
      </w:r>
      <w:r w:rsidR="009E6268" w:rsidRPr="009E6268">
        <w:rPr>
          <w:b/>
          <w:sz w:val="24"/>
          <w:szCs w:val="24"/>
        </w:rPr>
        <w:t xml:space="preserve"> and Cost Effectiveness for 2016-2017</w:t>
      </w:r>
    </w:p>
    <w:p w14:paraId="3E0A1C00" w14:textId="77777777" w:rsidR="009E6268" w:rsidRPr="00FE170D" w:rsidRDefault="009E6268" w:rsidP="004256B7">
      <w:pPr>
        <w:overflowPunct/>
        <w:autoSpaceDE/>
        <w:autoSpaceDN/>
        <w:adjustRightInd/>
        <w:jc w:val="both"/>
        <w:rPr>
          <w:b/>
          <w:sz w:val="24"/>
          <w:szCs w:val="24"/>
          <w:u w:val="single"/>
        </w:rPr>
      </w:pPr>
    </w:p>
    <w:tbl>
      <w:tblPr>
        <w:tblW w:w="6175" w:type="dxa"/>
        <w:tblLook w:val="04A0" w:firstRow="1" w:lastRow="0" w:firstColumn="1" w:lastColumn="0" w:noHBand="0" w:noVBand="1"/>
      </w:tblPr>
      <w:tblGrid>
        <w:gridCol w:w="995"/>
        <w:gridCol w:w="1790"/>
        <w:gridCol w:w="1830"/>
        <w:gridCol w:w="1560"/>
      </w:tblGrid>
      <w:tr w:rsidR="009E6268" w:rsidRPr="009965E6" w14:paraId="74B37F40" w14:textId="77777777" w:rsidTr="009E6268">
        <w:trPr>
          <w:trHeight w:val="255"/>
        </w:trPr>
        <w:tc>
          <w:tcPr>
            <w:tcW w:w="61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434B294" w14:textId="609E4D63" w:rsidR="009E6268" w:rsidRPr="009965E6" w:rsidRDefault="009E6268" w:rsidP="001F5788">
            <w:pPr>
              <w:overflowPunct/>
              <w:autoSpaceDE/>
              <w:autoSpaceDN/>
              <w:adjustRightInd/>
              <w:jc w:val="center"/>
              <w:rPr>
                <w:b/>
                <w:bCs/>
                <w:sz w:val="24"/>
                <w:szCs w:val="24"/>
              </w:rPr>
            </w:pPr>
            <w:r w:rsidRPr="009965E6">
              <w:rPr>
                <w:b/>
                <w:bCs/>
                <w:sz w:val="24"/>
                <w:szCs w:val="24"/>
              </w:rPr>
              <w:t xml:space="preserve">Claimed TRC and PAC for </w:t>
            </w:r>
            <w:r>
              <w:rPr>
                <w:b/>
                <w:bCs/>
                <w:sz w:val="24"/>
                <w:szCs w:val="24"/>
              </w:rPr>
              <w:t>2016-2017</w:t>
            </w:r>
          </w:p>
        </w:tc>
      </w:tr>
      <w:tr w:rsidR="009E6268" w:rsidRPr="009965E6" w14:paraId="6AA834DA" w14:textId="77777777" w:rsidTr="009E6268">
        <w:trPr>
          <w:trHeight w:val="255"/>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5AFE4" w14:textId="77777777" w:rsidR="009E6268" w:rsidRPr="009965E6" w:rsidRDefault="009E6268" w:rsidP="001F5788">
            <w:pPr>
              <w:overflowPunct/>
              <w:autoSpaceDE/>
              <w:autoSpaceDN/>
              <w:adjustRightInd/>
              <w:rPr>
                <w:b/>
                <w:bCs/>
                <w:sz w:val="24"/>
                <w:szCs w:val="24"/>
              </w:rPr>
            </w:pPr>
            <w:r w:rsidRPr="009965E6">
              <w:rPr>
                <w:b/>
                <w:bCs/>
                <w:sz w:val="24"/>
                <w:szCs w:val="24"/>
              </w:rPr>
              <w:t>Year</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14:paraId="31D97833" w14:textId="77777777" w:rsidR="009E6268" w:rsidRPr="009965E6" w:rsidRDefault="009E6268" w:rsidP="001F5788">
            <w:pPr>
              <w:overflowPunct/>
              <w:autoSpaceDE/>
              <w:autoSpaceDN/>
              <w:adjustRightInd/>
              <w:rPr>
                <w:b/>
                <w:bCs/>
                <w:sz w:val="24"/>
                <w:szCs w:val="24"/>
              </w:rPr>
            </w:pPr>
            <w:r w:rsidRPr="009965E6">
              <w:rPr>
                <w:b/>
                <w:bCs/>
                <w:sz w:val="24"/>
                <w:szCs w:val="24"/>
              </w:rPr>
              <w:t>Program</w:t>
            </w:r>
          </w:p>
        </w:tc>
        <w:tc>
          <w:tcPr>
            <w:tcW w:w="1830" w:type="dxa"/>
            <w:tcBorders>
              <w:top w:val="single" w:sz="4" w:space="0" w:color="auto"/>
              <w:left w:val="nil"/>
              <w:bottom w:val="single" w:sz="4" w:space="0" w:color="auto"/>
              <w:right w:val="single" w:sz="4" w:space="0" w:color="auto"/>
            </w:tcBorders>
            <w:shd w:val="clear" w:color="auto" w:fill="auto"/>
            <w:noWrap/>
            <w:vAlign w:val="bottom"/>
            <w:hideMark/>
          </w:tcPr>
          <w:p w14:paraId="7EE5031B" w14:textId="77777777" w:rsidR="009E6268" w:rsidRPr="009965E6" w:rsidRDefault="009E6268" w:rsidP="001F5788">
            <w:pPr>
              <w:overflowPunct/>
              <w:autoSpaceDE/>
              <w:autoSpaceDN/>
              <w:adjustRightInd/>
              <w:rPr>
                <w:b/>
                <w:bCs/>
                <w:sz w:val="24"/>
                <w:szCs w:val="24"/>
              </w:rPr>
            </w:pPr>
            <w:r w:rsidRPr="009965E6">
              <w:rPr>
                <w:b/>
                <w:bCs/>
                <w:sz w:val="24"/>
                <w:szCs w:val="24"/>
              </w:rPr>
              <w:t>TRC Ratio</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2B5270F" w14:textId="77777777" w:rsidR="009E6268" w:rsidRPr="009965E6" w:rsidRDefault="009E6268" w:rsidP="001F5788">
            <w:pPr>
              <w:overflowPunct/>
              <w:autoSpaceDE/>
              <w:autoSpaceDN/>
              <w:adjustRightInd/>
              <w:rPr>
                <w:b/>
                <w:bCs/>
                <w:sz w:val="24"/>
                <w:szCs w:val="24"/>
              </w:rPr>
            </w:pPr>
            <w:r w:rsidRPr="009965E6">
              <w:rPr>
                <w:b/>
                <w:bCs/>
                <w:sz w:val="24"/>
                <w:szCs w:val="24"/>
              </w:rPr>
              <w:t>PAC Ratio</w:t>
            </w:r>
          </w:p>
        </w:tc>
      </w:tr>
      <w:tr w:rsidR="009E6268" w:rsidRPr="009965E6" w14:paraId="1F516E9B" w14:textId="77777777" w:rsidTr="009E6268">
        <w:trPr>
          <w:trHeight w:val="25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52007732" w14:textId="77777777" w:rsidR="009E6268" w:rsidRPr="009965E6" w:rsidRDefault="009E6268" w:rsidP="001F5788">
            <w:pPr>
              <w:overflowPunct/>
              <w:autoSpaceDE/>
              <w:autoSpaceDN/>
              <w:adjustRightInd/>
              <w:jc w:val="right"/>
              <w:rPr>
                <w:sz w:val="24"/>
                <w:szCs w:val="24"/>
              </w:rPr>
            </w:pPr>
            <w:r w:rsidRPr="009965E6">
              <w:rPr>
                <w:sz w:val="24"/>
                <w:szCs w:val="24"/>
              </w:rPr>
              <w:t>2017</w:t>
            </w:r>
          </w:p>
        </w:tc>
        <w:tc>
          <w:tcPr>
            <w:tcW w:w="1790" w:type="dxa"/>
            <w:tcBorders>
              <w:top w:val="nil"/>
              <w:left w:val="nil"/>
              <w:bottom w:val="single" w:sz="4" w:space="0" w:color="auto"/>
              <w:right w:val="single" w:sz="4" w:space="0" w:color="auto"/>
            </w:tcBorders>
            <w:shd w:val="clear" w:color="auto" w:fill="auto"/>
            <w:noWrap/>
            <w:vAlign w:val="bottom"/>
            <w:hideMark/>
          </w:tcPr>
          <w:p w14:paraId="76E9977F" w14:textId="77777777" w:rsidR="009E6268" w:rsidRPr="009965E6" w:rsidRDefault="009E6268" w:rsidP="001F5788">
            <w:pPr>
              <w:overflowPunct/>
              <w:autoSpaceDE/>
              <w:autoSpaceDN/>
              <w:adjustRightInd/>
              <w:rPr>
                <w:sz w:val="24"/>
                <w:szCs w:val="24"/>
              </w:rPr>
            </w:pPr>
            <w:r w:rsidRPr="009965E6">
              <w:rPr>
                <w:sz w:val="24"/>
                <w:szCs w:val="24"/>
              </w:rPr>
              <w:t>Commercial</w:t>
            </w:r>
          </w:p>
        </w:tc>
        <w:tc>
          <w:tcPr>
            <w:tcW w:w="1830" w:type="dxa"/>
            <w:tcBorders>
              <w:top w:val="nil"/>
              <w:left w:val="nil"/>
              <w:bottom w:val="single" w:sz="4" w:space="0" w:color="auto"/>
              <w:right w:val="single" w:sz="4" w:space="0" w:color="auto"/>
            </w:tcBorders>
            <w:shd w:val="clear" w:color="auto" w:fill="auto"/>
            <w:noWrap/>
            <w:vAlign w:val="bottom"/>
            <w:hideMark/>
          </w:tcPr>
          <w:p w14:paraId="7A65D746" w14:textId="77777777" w:rsidR="009E6268" w:rsidRPr="009965E6" w:rsidRDefault="009E6268" w:rsidP="001F5788">
            <w:pPr>
              <w:overflowPunct/>
              <w:autoSpaceDE/>
              <w:autoSpaceDN/>
              <w:adjustRightInd/>
              <w:jc w:val="right"/>
              <w:rPr>
                <w:sz w:val="24"/>
                <w:szCs w:val="24"/>
              </w:rPr>
            </w:pPr>
            <w:r w:rsidRPr="009965E6">
              <w:rPr>
                <w:sz w:val="24"/>
                <w:szCs w:val="24"/>
              </w:rPr>
              <w:t>1.17</w:t>
            </w:r>
          </w:p>
        </w:tc>
        <w:tc>
          <w:tcPr>
            <w:tcW w:w="1560" w:type="dxa"/>
            <w:tcBorders>
              <w:top w:val="nil"/>
              <w:left w:val="nil"/>
              <w:bottom w:val="single" w:sz="4" w:space="0" w:color="auto"/>
              <w:right w:val="single" w:sz="4" w:space="0" w:color="auto"/>
            </w:tcBorders>
            <w:shd w:val="clear" w:color="auto" w:fill="auto"/>
            <w:noWrap/>
            <w:vAlign w:val="bottom"/>
            <w:hideMark/>
          </w:tcPr>
          <w:p w14:paraId="30008740" w14:textId="77777777" w:rsidR="009E6268" w:rsidRPr="009965E6" w:rsidRDefault="009E6268" w:rsidP="001F5788">
            <w:pPr>
              <w:overflowPunct/>
              <w:autoSpaceDE/>
              <w:autoSpaceDN/>
              <w:adjustRightInd/>
              <w:jc w:val="right"/>
              <w:rPr>
                <w:sz w:val="24"/>
                <w:szCs w:val="24"/>
              </w:rPr>
            </w:pPr>
            <w:r w:rsidRPr="009965E6">
              <w:rPr>
                <w:sz w:val="24"/>
                <w:szCs w:val="24"/>
              </w:rPr>
              <w:t>1.33</w:t>
            </w:r>
          </w:p>
        </w:tc>
      </w:tr>
      <w:tr w:rsidR="009E6268" w:rsidRPr="009965E6" w14:paraId="79A7AF23" w14:textId="77777777" w:rsidTr="009E6268">
        <w:trPr>
          <w:trHeight w:val="25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120CE74F" w14:textId="77777777" w:rsidR="009E6268" w:rsidRPr="009965E6" w:rsidRDefault="009E6268" w:rsidP="001F5788">
            <w:pPr>
              <w:overflowPunct/>
              <w:autoSpaceDE/>
              <w:autoSpaceDN/>
              <w:adjustRightInd/>
              <w:jc w:val="right"/>
              <w:rPr>
                <w:sz w:val="24"/>
                <w:szCs w:val="24"/>
              </w:rPr>
            </w:pPr>
            <w:r w:rsidRPr="009965E6">
              <w:rPr>
                <w:sz w:val="24"/>
                <w:szCs w:val="24"/>
              </w:rPr>
              <w:t>2017</w:t>
            </w:r>
          </w:p>
        </w:tc>
        <w:tc>
          <w:tcPr>
            <w:tcW w:w="1790" w:type="dxa"/>
            <w:tcBorders>
              <w:top w:val="nil"/>
              <w:left w:val="nil"/>
              <w:bottom w:val="single" w:sz="4" w:space="0" w:color="auto"/>
              <w:right w:val="single" w:sz="4" w:space="0" w:color="auto"/>
            </w:tcBorders>
            <w:shd w:val="clear" w:color="auto" w:fill="auto"/>
            <w:noWrap/>
            <w:vAlign w:val="bottom"/>
            <w:hideMark/>
          </w:tcPr>
          <w:p w14:paraId="1412819E" w14:textId="77777777" w:rsidR="009E6268" w:rsidRPr="009965E6" w:rsidRDefault="009E6268" w:rsidP="001F5788">
            <w:pPr>
              <w:overflowPunct/>
              <w:autoSpaceDE/>
              <w:autoSpaceDN/>
              <w:adjustRightInd/>
              <w:rPr>
                <w:sz w:val="24"/>
                <w:szCs w:val="24"/>
              </w:rPr>
            </w:pPr>
            <w:r w:rsidRPr="009965E6">
              <w:rPr>
                <w:sz w:val="24"/>
                <w:szCs w:val="24"/>
              </w:rPr>
              <w:t>Multifamily</w:t>
            </w:r>
          </w:p>
        </w:tc>
        <w:tc>
          <w:tcPr>
            <w:tcW w:w="1830" w:type="dxa"/>
            <w:tcBorders>
              <w:top w:val="nil"/>
              <w:left w:val="nil"/>
              <w:bottom w:val="single" w:sz="4" w:space="0" w:color="auto"/>
              <w:right w:val="single" w:sz="4" w:space="0" w:color="auto"/>
            </w:tcBorders>
            <w:shd w:val="clear" w:color="auto" w:fill="auto"/>
            <w:noWrap/>
            <w:vAlign w:val="bottom"/>
            <w:hideMark/>
          </w:tcPr>
          <w:p w14:paraId="25033B8E" w14:textId="77777777" w:rsidR="009E6268" w:rsidRPr="009965E6" w:rsidRDefault="009E6268" w:rsidP="001F5788">
            <w:pPr>
              <w:overflowPunct/>
              <w:autoSpaceDE/>
              <w:autoSpaceDN/>
              <w:adjustRightInd/>
              <w:jc w:val="right"/>
              <w:rPr>
                <w:sz w:val="24"/>
                <w:szCs w:val="24"/>
              </w:rPr>
            </w:pPr>
            <w:r w:rsidRPr="009965E6">
              <w:rPr>
                <w:sz w:val="24"/>
                <w:szCs w:val="24"/>
              </w:rPr>
              <w:t>0.26</w:t>
            </w:r>
          </w:p>
        </w:tc>
        <w:tc>
          <w:tcPr>
            <w:tcW w:w="1560" w:type="dxa"/>
            <w:tcBorders>
              <w:top w:val="nil"/>
              <w:left w:val="nil"/>
              <w:bottom w:val="single" w:sz="4" w:space="0" w:color="auto"/>
              <w:right w:val="single" w:sz="4" w:space="0" w:color="auto"/>
            </w:tcBorders>
            <w:shd w:val="clear" w:color="auto" w:fill="auto"/>
            <w:noWrap/>
            <w:vAlign w:val="bottom"/>
            <w:hideMark/>
          </w:tcPr>
          <w:p w14:paraId="0810700F" w14:textId="77777777" w:rsidR="009E6268" w:rsidRPr="009965E6" w:rsidRDefault="009E6268" w:rsidP="001F5788">
            <w:pPr>
              <w:overflowPunct/>
              <w:autoSpaceDE/>
              <w:autoSpaceDN/>
              <w:adjustRightInd/>
              <w:jc w:val="right"/>
              <w:rPr>
                <w:sz w:val="24"/>
                <w:szCs w:val="24"/>
              </w:rPr>
            </w:pPr>
            <w:r w:rsidRPr="009965E6">
              <w:rPr>
                <w:sz w:val="24"/>
                <w:szCs w:val="24"/>
              </w:rPr>
              <w:t>0.55</w:t>
            </w:r>
          </w:p>
        </w:tc>
      </w:tr>
      <w:tr w:rsidR="009E6268" w:rsidRPr="009965E6" w14:paraId="1FB2C05F" w14:textId="77777777" w:rsidTr="009E6268">
        <w:trPr>
          <w:trHeight w:val="25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30F6BAB1" w14:textId="77777777" w:rsidR="009E6268" w:rsidRPr="009965E6" w:rsidRDefault="009E6268" w:rsidP="001F5788">
            <w:pPr>
              <w:overflowPunct/>
              <w:autoSpaceDE/>
              <w:autoSpaceDN/>
              <w:adjustRightInd/>
              <w:jc w:val="right"/>
              <w:rPr>
                <w:sz w:val="24"/>
                <w:szCs w:val="24"/>
              </w:rPr>
            </w:pPr>
            <w:r w:rsidRPr="009965E6">
              <w:rPr>
                <w:sz w:val="24"/>
                <w:szCs w:val="24"/>
              </w:rPr>
              <w:t>2017</w:t>
            </w:r>
          </w:p>
        </w:tc>
        <w:tc>
          <w:tcPr>
            <w:tcW w:w="1790" w:type="dxa"/>
            <w:tcBorders>
              <w:top w:val="nil"/>
              <w:left w:val="nil"/>
              <w:bottom w:val="single" w:sz="4" w:space="0" w:color="auto"/>
              <w:right w:val="single" w:sz="4" w:space="0" w:color="auto"/>
            </w:tcBorders>
            <w:shd w:val="clear" w:color="auto" w:fill="auto"/>
            <w:noWrap/>
            <w:vAlign w:val="bottom"/>
            <w:hideMark/>
          </w:tcPr>
          <w:p w14:paraId="0464DE36" w14:textId="77777777" w:rsidR="009E6268" w:rsidRPr="009965E6" w:rsidRDefault="009E6268" w:rsidP="001F5788">
            <w:pPr>
              <w:overflowPunct/>
              <w:autoSpaceDE/>
              <w:autoSpaceDN/>
              <w:adjustRightInd/>
              <w:rPr>
                <w:sz w:val="24"/>
                <w:szCs w:val="24"/>
              </w:rPr>
            </w:pPr>
            <w:r w:rsidRPr="009965E6">
              <w:rPr>
                <w:sz w:val="24"/>
                <w:szCs w:val="24"/>
              </w:rPr>
              <w:t>Single Family</w:t>
            </w:r>
          </w:p>
        </w:tc>
        <w:tc>
          <w:tcPr>
            <w:tcW w:w="1830" w:type="dxa"/>
            <w:tcBorders>
              <w:top w:val="nil"/>
              <w:left w:val="nil"/>
              <w:bottom w:val="single" w:sz="4" w:space="0" w:color="auto"/>
              <w:right w:val="single" w:sz="4" w:space="0" w:color="auto"/>
            </w:tcBorders>
            <w:shd w:val="clear" w:color="auto" w:fill="auto"/>
            <w:noWrap/>
            <w:vAlign w:val="bottom"/>
            <w:hideMark/>
          </w:tcPr>
          <w:p w14:paraId="2CAD8327" w14:textId="77777777" w:rsidR="009E6268" w:rsidRPr="009965E6" w:rsidRDefault="009E6268" w:rsidP="001F5788">
            <w:pPr>
              <w:overflowPunct/>
              <w:autoSpaceDE/>
              <w:autoSpaceDN/>
              <w:adjustRightInd/>
              <w:jc w:val="right"/>
              <w:rPr>
                <w:sz w:val="24"/>
                <w:szCs w:val="24"/>
              </w:rPr>
            </w:pPr>
            <w:r w:rsidRPr="009965E6">
              <w:rPr>
                <w:sz w:val="24"/>
                <w:szCs w:val="24"/>
              </w:rPr>
              <w:t>0.34</w:t>
            </w:r>
          </w:p>
        </w:tc>
        <w:tc>
          <w:tcPr>
            <w:tcW w:w="1560" w:type="dxa"/>
            <w:tcBorders>
              <w:top w:val="nil"/>
              <w:left w:val="nil"/>
              <w:bottom w:val="single" w:sz="4" w:space="0" w:color="auto"/>
              <w:right w:val="single" w:sz="4" w:space="0" w:color="auto"/>
            </w:tcBorders>
            <w:shd w:val="clear" w:color="auto" w:fill="auto"/>
            <w:noWrap/>
            <w:vAlign w:val="bottom"/>
            <w:hideMark/>
          </w:tcPr>
          <w:p w14:paraId="178D383A" w14:textId="77777777" w:rsidR="009E6268" w:rsidRPr="009965E6" w:rsidRDefault="009E6268" w:rsidP="001F5788">
            <w:pPr>
              <w:overflowPunct/>
              <w:autoSpaceDE/>
              <w:autoSpaceDN/>
              <w:adjustRightInd/>
              <w:jc w:val="right"/>
              <w:rPr>
                <w:sz w:val="24"/>
                <w:szCs w:val="24"/>
              </w:rPr>
            </w:pPr>
            <w:r w:rsidRPr="009965E6">
              <w:rPr>
                <w:sz w:val="24"/>
                <w:szCs w:val="24"/>
              </w:rPr>
              <w:t>0.34</w:t>
            </w:r>
          </w:p>
        </w:tc>
      </w:tr>
      <w:tr w:rsidR="009E6268" w:rsidRPr="009965E6" w14:paraId="17D2A6D8" w14:textId="77777777" w:rsidTr="009E6268">
        <w:trPr>
          <w:trHeight w:val="25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278AB1F0" w14:textId="77777777" w:rsidR="009E6268" w:rsidRPr="009965E6" w:rsidRDefault="009E6268" w:rsidP="001F5788">
            <w:pPr>
              <w:overflowPunct/>
              <w:autoSpaceDE/>
              <w:autoSpaceDN/>
              <w:adjustRightInd/>
              <w:jc w:val="right"/>
              <w:rPr>
                <w:sz w:val="24"/>
                <w:szCs w:val="24"/>
              </w:rPr>
            </w:pPr>
            <w:r w:rsidRPr="009965E6">
              <w:rPr>
                <w:sz w:val="24"/>
                <w:szCs w:val="24"/>
              </w:rPr>
              <w:t>2016</w:t>
            </w:r>
          </w:p>
        </w:tc>
        <w:tc>
          <w:tcPr>
            <w:tcW w:w="1790" w:type="dxa"/>
            <w:tcBorders>
              <w:top w:val="nil"/>
              <w:left w:val="nil"/>
              <w:bottom w:val="single" w:sz="4" w:space="0" w:color="auto"/>
              <w:right w:val="single" w:sz="4" w:space="0" w:color="auto"/>
            </w:tcBorders>
            <w:shd w:val="clear" w:color="auto" w:fill="auto"/>
            <w:noWrap/>
            <w:vAlign w:val="bottom"/>
            <w:hideMark/>
          </w:tcPr>
          <w:p w14:paraId="0ED90B39" w14:textId="77777777" w:rsidR="009E6268" w:rsidRPr="009965E6" w:rsidRDefault="009E6268" w:rsidP="001F5788">
            <w:pPr>
              <w:overflowPunct/>
              <w:autoSpaceDE/>
              <w:autoSpaceDN/>
              <w:adjustRightInd/>
              <w:rPr>
                <w:sz w:val="24"/>
                <w:szCs w:val="24"/>
              </w:rPr>
            </w:pPr>
            <w:r w:rsidRPr="009965E6">
              <w:rPr>
                <w:sz w:val="24"/>
                <w:szCs w:val="24"/>
              </w:rPr>
              <w:t>Commercial</w:t>
            </w:r>
          </w:p>
        </w:tc>
        <w:tc>
          <w:tcPr>
            <w:tcW w:w="1830" w:type="dxa"/>
            <w:tcBorders>
              <w:top w:val="nil"/>
              <w:left w:val="nil"/>
              <w:bottom w:val="single" w:sz="4" w:space="0" w:color="auto"/>
              <w:right w:val="single" w:sz="4" w:space="0" w:color="auto"/>
            </w:tcBorders>
            <w:shd w:val="clear" w:color="auto" w:fill="auto"/>
            <w:noWrap/>
            <w:vAlign w:val="bottom"/>
            <w:hideMark/>
          </w:tcPr>
          <w:p w14:paraId="379044AD" w14:textId="77777777" w:rsidR="009E6268" w:rsidRPr="009965E6" w:rsidRDefault="009E6268" w:rsidP="001F5788">
            <w:pPr>
              <w:overflowPunct/>
              <w:autoSpaceDE/>
              <w:autoSpaceDN/>
              <w:adjustRightInd/>
              <w:jc w:val="right"/>
              <w:rPr>
                <w:sz w:val="24"/>
                <w:szCs w:val="24"/>
              </w:rPr>
            </w:pPr>
            <w:r w:rsidRPr="009965E6">
              <w:rPr>
                <w:sz w:val="24"/>
                <w:szCs w:val="24"/>
              </w:rPr>
              <w:t>0.48</w:t>
            </w:r>
          </w:p>
        </w:tc>
        <w:tc>
          <w:tcPr>
            <w:tcW w:w="1560" w:type="dxa"/>
            <w:tcBorders>
              <w:top w:val="nil"/>
              <w:left w:val="nil"/>
              <w:bottom w:val="single" w:sz="4" w:space="0" w:color="auto"/>
              <w:right w:val="single" w:sz="4" w:space="0" w:color="auto"/>
            </w:tcBorders>
            <w:shd w:val="clear" w:color="auto" w:fill="auto"/>
            <w:noWrap/>
            <w:vAlign w:val="bottom"/>
            <w:hideMark/>
          </w:tcPr>
          <w:p w14:paraId="34A778D1" w14:textId="77777777" w:rsidR="009E6268" w:rsidRPr="009965E6" w:rsidRDefault="009E6268" w:rsidP="001F5788">
            <w:pPr>
              <w:overflowPunct/>
              <w:autoSpaceDE/>
              <w:autoSpaceDN/>
              <w:adjustRightInd/>
              <w:jc w:val="right"/>
              <w:rPr>
                <w:sz w:val="24"/>
                <w:szCs w:val="24"/>
              </w:rPr>
            </w:pPr>
            <w:r w:rsidRPr="009965E6">
              <w:rPr>
                <w:sz w:val="24"/>
                <w:szCs w:val="24"/>
              </w:rPr>
              <w:t>0.52</w:t>
            </w:r>
          </w:p>
        </w:tc>
      </w:tr>
      <w:tr w:rsidR="009E6268" w:rsidRPr="009965E6" w14:paraId="5C463F92" w14:textId="77777777" w:rsidTr="009E6268">
        <w:trPr>
          <w:trHeight w:val="255"/>
        </w:trPr>
        <w:tc>
          <w:tcPr>
            <w:tcW w:w="995" w:type="dxa"/>
            <w:tcBorders>
              <w:top w:val="nil"/>
              <w:left w:val="single" w:sz="4" w:space="0" w:color="auto"/>
              <w:bottom w:val="single" w:sz="4" w:space="0" w:color="auto"/>
              <w:right w:val="single" w:sz="4" w:space="0" w:color="auto"/>
            </w:tcBorders>
            <w:shd w:val="clear" w:color="auto" w:fill="auto"/>
            <w:noWrap/>
            <w:vAlign w:val="bottom"/>
            <w:hideMark/>
          </w:tcPr>
          <w:p w14:paraId="075779CC" w14:textId="77777777" w:rsidR="009E6268" w:rsidRPr="009965E6" w:rsidRDefault="009E6268" w:rsidP="001F5788">
            <w:pPr>
              <w:overflowPunct/>
              <w:autoSpaceDE/>
              <w:autoSpaceDN/>
              <w:adjustRightInd/>
              <w:jc w:val="right"/>
              <w:rPr>
                <w:sz w:val="24"/>
                <w:szCs w:val="24"/>
              </w:rPr>
            </w:pPr>
            <w:r w:rsidRPr="009965E6">
              <w:rPr>
                <w:sz w:val="24"/>
                <w:szCs w:val="24"/>
              </w:rPr>
              <w:t>2016</w:t>
            </w:r>
          </w:p>
        </w:tc>
        <w:tc>
          <w:tcPr>
            <w:tcW w:w="1790" w:type="dxa"/>
            <w:tcBorders>
              <w:top w:val="nil"/>
              <w:left w:val="nil"/>
              <w:bottom w:val="single" w:sz="4" w:space="0" w:color="auto"/>
              <w:right w:val="single" w:sz="4" w:space="0" w:color="auto"/>
            </w:tcBorders>
            <w:shd w:val="clear" w:color="auto" w:fill="auto"/>
            <w:noWrap/>
            <w:vAlign w:val="bottom"/>
            <w:hideMark/>
          </w:tcPr>
          <w:p w14:paraId="41E84BF8" w14:textId="77777777" w:rsidR="009E6268" w:rsidRPr="009965E6" w:rsidRDefault="009E6268" w:rsidP="001F5788">
            <w:pPr>
              <w:overflowPunct/>
              <w:autoSpaceDE/>
              <w:autoSpaceDN/>
              <w:adjustRightInd/>
              <w:rPr>
                <w:sz w:val="24"/>
                <w:szCs w:val="24"/>
              </w:rPr>
            </w:pPr>
            <w:r w:rsidRPr="009965E6">
              <w:rPr>
                <w:sz w:val="24"/>
                <w:szCs w:val="24"/>
              </w:rPr>
              <w:t>Multifamily</w:t>
            </w:r>
          </w:p>
        </w:tc>
        <w:tc>
          <w:tcPr>
            <w:tcW w:w="1830" w:type="dxa"/>
            <w:tcBorders>
              <w:top w:val="nil"/>
              <w:left w:val="nil"/>
              <w:bottom w:val="single" w:sz="4" w:space="0" w:color="auto"/>
              <w:right w:val="single" w:sz="4" w:space="0" w:color="auto"/>
            </w:tcBorders>
            <w:shd w:val="clear" w:color="auto" w:fill="auto"/>
            <w:noWrap/>
            <w:vAlign w:val="bottom"/>
            <w:hideMark/>
          </w:tcPr>
          <w:p w14:paraId="07B7402A" w14:textId="77777777" w:rsidR="009E6268" w:rsidRPr="009965E6" w:rsidRDefault="009E6268" w:rsidP="001F5788">
            <w:pPr>
              <w:overflowPunct/>
              <w:autoSpaceDE/>
              <w:autoSpaceDN/>
              <w:adjustRightInd/>
              <w:jc w:val="right"/>
              <w:rPr>
                <w:sz w:val="24"/>
                <w:szCs w:val="24"/>
              </w:rPr>
            </w:pPr>
            <w:r w:rsidRPr="009965E6">
              <w:rPr>
                <w:sz w:val="24"/>
                <w:szCs w:val="24"/>
              </w:rPr>
              <w:t>0.24</w:t>
            </w:r>
          </w:p>
        </w:tc>
        <w:tc>
          <w:tcPr>
            <w:tcW w:w="1560" w:type="dxa"/>
            <w:tcBorders>
              <w:top w:val="nil"/>
              <w:left w:val="nil"/>
              <w:bottom w:val="single" w:sz="4" w:space="0" w:color="auto"/>
              <w:right w:val="single" w:sz="4" w:space="0" w:color="auto"/>
            </w:tcBorders>
            <w:shd w:val="clear" w:color="auto" w:fill="auto"/>
            <w:noWrap/>
            <w:vAlign w:val="bottom"/>
            <w:hideMark/>
          </w:tcPr>
          <w:p w14:paraId="1C254149" w14:textId="77777777" w:rsidR="009E6268" w:rsidRPr="009965E6" w:rsidRDefault="009E6268" w:rsidP="001F5788">
            <w:pPr>
              <w:overflowPunct/>
              <w:autoSpaceDE/>
              <w:autoSpaceDN/>
              <w:adjustRightInd/>
              <w:jc w:val="right"/>
              <w:rPr>
                <w:sz w:val="24"/>
                <w:szCs w:val="24"/>
              </w:rPr>
            </w:pPr>
            <w:r w:rsidRPr="009965E6">
              <w:rPr>
                <w:sz w:val="24"/>
                <w:szCs w:val="24"/>
              </w:rPr>
              <w:t>0.58</w:t>
            </w:r>
          </w:p>
        </w:tc>
      </w:tr>
    </w:tbl>
    <w:p w14:paraId="0359753F" w14:textId="77777777" w:rsidR="009E6268" w:rsidRDefault="009E6268" w:rsidP="004256B7">
      <w:pPr>
        <w:overflowPunct/>
        <w:autoSpaceDE/>
        <w:autoSpaceDN/>
        <w:adjustRightInd/>
        <w:jc w:val="both"/>
        <w:rPr>
          <w:sz w:val="24"/>
          <w:szCs w:val="24"/>
        </w:rPr>
      </w:pPr>
    </w:p>
    <w:tbl>
      <w:tblPr>
        <w:tblW w:w="9521" w:type="dxa"/>
        <w:tblInd w:w="-5" w:type="dxa"/>
        <w:tblLook w:val="04A0" w:firstRow="1" w:lastRow="0" w:firstColumn="1" w:lastColumn="0" w:noHBand="0" w:noVBand="1"/>
      </w:tblPr>
      <w:tblGrid>
        <w:gridCol w:w="1522"/>
        <w:gridCol w:w="1533"/>
        <w:gridCol w:w="1596"/>
        <w:gridCol w:w="1596"/>
        <w:gridCol w:w="1596"/>
        <w:gridCol w:w="1678"/>
      </w:tblGrid>
      <w:tr w:rsidR="00822687" w:rsidRPr="00E115B9" w14:paraId="22FD15F7" w14:textId="77777777" w:rsidTr="00E115B9">
        <w:trPr>
          <w:trHeight w:val="300"/>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37A72" w14:textId="77777777" w:rsidR="00822687" w:rsidRPr="00E115B9" w:rsidRDefault="00822687" w:rsidP="00822687">
            <w:pPr>
              <w:overflowPunct/>
              <w:autoSpaceDE/>
              <w:autoSpaceDN/>
              <w:adjustRightInd/>
              <w:rPr>
                <w:color w:val="000000"/>
                <w:sz w:val="24"/>
                <w:szCs w:val="24"/>
              </w:rPr>
            </w:pPr>
            <w:r w:rsidRPr="00E115B9">
              <w:rPr>
                <w:color w:val="000000"/>
                <w:sz w:val="24"/>
                <w:szCs w:val="24"/>
              </w:rPr>
              <w:t> </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14:paraId="151D2E13" w14:textId="77777777" w:rsidR="00822687" w:rsidRPr="00E115B9" w:rsidRDefault="00822687" w:rsidP="00822687">
            <w:pPr>
              <w:overflowPunct/>
              <w:autoSpaceDE/>
              <w:autoSpaceDN/>
              <w:adjustRightInd/>
              <w:rPr>
                <w:color w:val="000000"/>
                <w:sz w:val="24"/>
                <w:szCs w:val="24"/>
              </w:rPr>
            </w:pPr>
            <w:r w:rsidRPr="00E115B9">
              <w:rPr>
                <w:color w:val="000000"/>
                <w:sz w:val="24"/>
                <w:szCs w:val="24"/>
              </w:rPr>
              <w:t> </w:t>
            </w:r>
          </w:p>
        </w:tc>
        <w:tc>
          <w:tcPr>
            <w:tcW w:w="3192" w:type="dxa"/>
            <w:gridSpan w:val="2"/>
            <w:tcBorders>
              <w:top w:val="single" w:sz="4" w:space="0" w:color="auto"/>
              <w:left w:val="nil"/>
              <w:bottom w:val="single" w:sz="4" w:space="0" w:color="auto"/>
              <w:right w:val="single" w:sz="4" w:space="0" w:color="000000"/>
            </w:tcBorders>
            <w:shd w:val="clear" w:color="000000" w:fill="FCE4D6"/>
            <w:noWrap/>
            <w:vAlign w:val="bottom"/>
            <w:hideMark/>
          </w:tcPr>
          <w:p w14:paraId="1B7D4D65" w14:textId="77777777" w:rsidR="00822687" w:rsidRPr="009E6268" w:rsidRDefault="00822687" w:rsidP="00822687">
            <w:pPr>
              <w:overflowPunct/>
              <w:autoSpaceDE/>
              <w:autoSpaceDN/>
              <w:adjustRightInd/>
              <w:jc w:val="center"/>
              <w:rPr>
                <w:b/>
                <w:color w:val="000000"/>
                <w:sz w:val="24"/>
                <w:szCs w:val="24"/>
              </w:rPr>
            </w:pPr>
            <w:r w:rsidRPr="009E6268">
              <w:rPr>
                <w:b/>
                <w:color w:val="000000"/>
                <w:sz w:val="24"/>
                <w:szCs w:val="24"/>
              </w:rPr>
              <w:t>2016</w:t>
            </w:r>
          </w:p>
        </w:tc>
        <w:tc>
          <w:tcPr>
            <w:tcW w:w="3274" w:type="dxa"/>
            <w:gridSpan w:val="2"/>
            <w:tcBorders>
              <w:top w:val="single" w:sz="4" w:space="0" w:color="auto"/>
              <w:left w:val="nil"/>
              <w:bottom w:val="single" w:sz="4" w:space="0" w:color="auto"/>
              <w:right w:val="single" w:sz="4" w:space="0" w:color="000000"/>
            </w:tcBorders>
            <w:shd w:val="clear" w:color="000000" w:fill="F8CBAD"/>
            <w:noWrap/>
            <w:vAlign w:val="bottom"/>
            <w:hideMark/>
          </w:tcPr>
          <w:p w14:paraId="310EE1E7" w14:textId="77777777" w:rsidR="00822687" w:rsidRPr="009E6268" w:rsidRDefault="00822687" w:rsidP="00822687">
            <w:pPr>
              <w:overflowPunct/>
              <w:autoSpaceDE/>
              <w:autoSpaceDN/>
              <w:adjustRightInd/>
              <w:jc w:val="center"/>
              <w:rPr>
                <w:b/>
                <w:color w:val="000000"/>
                <w:sz w:val="24"/>
                <w:szCs w:val="24"/>
              </w:rPr>
            </w:pPr>
            <w:r w:rsidRPr="009E6268">
              <w:rPr>
                <w:b/>
                <w:color w:val="000000"/>
                <w:sz w:val="24"/>
                <w:szCs w:val="24"/>
              </w:rPr>
              <w:t>2017</w:t>
            </w:r>
          </w:p>
        </w:tc>
      </w:tr>
      <w:tr w:rsidR="00822687" w:rsidRPr="00E115B9" w14:paraId="4CD2BFED" w14:textId="77777777" w:rsidTr="00E115B9">
        <w:trPr>
          <w:trHeight w:val="645"/>
        </w:trPr>
        <w:tc>
          <w:tcPr>
            <w:tcW w:w="1522" w:type="dxa"/>
            <w:tcBorders>
              <w:top w:val="nil"/>
              <w:left w:val="single" w:sz="4" w:space="0" w:color="auto"/>
              <w:bottom w:val="single" w:sz="4" w:space="0" w:color="auto"/>
              <w:right w:val="single" w:sz="4" w:space="0" w:color="auto"/>
            </w:tcBorders>
            <w:shd w:val="clear" w:color="auto" w:fill="auto"/>
            <w:vAlign w:val="bottom"/>
            <w:hideMark/>
          </w:tcPr>
          <w:p w14:paraId="62405D4D" w14:textId="77777777" w:rsidR="00822687" w:rsidRPr="00E115B9" w:rsidRDefault="00822687" w:rsidP="00822687">
            <w:pPr>
              <w:overflowPunct/>
              <w:autoSpaceDE/>
              <w:autoSpaceDN/>
              <w:adjustRightInd/>
              <w:jc w:val="center"/>
              <w:rPr>
                <w:b/>
                <w:bCs/>
                <w:color w:val="000000"/>
                <w:sz w:val="24"/>
                <w:szCs w:val="24"/>
              </w:rPr>
            </w:pPr>
            <w:r w:rsidRPr="00E115B9">
              <w:rPr>
                <w:b/>
                <w:bCs/>
                <w:color w:val="000000"/>
                <w:sz w:val="24"/>
                <w:szCs w:val="24"/>
              </w:rPr>
              <w:t>Program ID</w:t>
            </w:r>
          </w:p>
        </w:tc>
        <w:tc>
          <w:tcPr>
            <w:tcW w:w="1533" w:type="dxa"/>
            <w:tcBorders>
              <w:top w:val="nil"/>
              <w:left w:val="nil"/>
              <w:bottom w:val="single" w:sz="4" w:space="0" w:color="auto"/>
              <w:right w:val="single" w:sz="4" w:space="0" w:color="auto"/>
            </w:tcBorders>
            <w:shd w:val="clear" w:color="auto" w:fill="auto"/>
            <w:vAlign w:val="bottom"/>
            <w:hideMark/>
          </w:tcPr>
          <w:p w14:paraId="5A483221" w14:textId="77777777" w:rsidR="00822687" w:rsidRPr="00E115B9" w:rsidRDefault="00822687" w:rsidP="00822687">
            <w:pPr>
              <w:overflowPunct/>
              <w:autoSpaceDE/>
              <w:autoSpaceDN/>
              <w:adjustRightInd/>
              <w:jc w:val="center"/>
              <w:rPr>
                <w:b/>
                <w:bCs/>
                <w:color w:val="000000"/>
                <w:sz w:val="24"/>
                <w:szCs w:val="24"/>
              </w:rPr>
            </w:pPr>
            <w:r w:rsidRPr="00E115B9">
              <w:rPr>
                <w:b/>
                <w:bCs/>
                <w:color w:val="000000"/>
                <w:sz w:val="24"/>
                <w:szCs w:val="24"/>
              </w:rPr>
              <w:t>Program Name</w:t>
            </w:r>
          </w:p>
        </w:tc>
        <w:tc>
          <w:tcPr>
            <w:tcW w:w="1596" w:type="dxa"/>
            <w:tcBorders>
              <w:top w:val="nil"/>
              <w:left w:val="nil"/>
              <w:bottom w:val="single" w:sz="4" w:space="0" w:color="auto"/>
              <w:right w:val="single" w:sz="4" w:space="0" w:color="auto"/>
            </w:tcBorders>
            <w:shd w:val="clear" w:color="auto" w:fill="auto"/>
            <w:vAlign w:val="bottom"/>
            <w:hideMark/>
          </w:tcPr>
          <w:p w14:paraId="1EB8100E" w14:textId="77777777" w:rsidR="00822687" w:rsidRPr="00E115B9" w:rsidRDefault="00822687" w:rsidP="00822687">
            <w:pPr>
              <w:overflowPunct/>
              <w:autoSpaceDE/>
              <w:autoSpaceDN/>
              <w:adjustRightInd/>
              <w:jc w:val="center"/>
              <w:rPr>
                <w:b/>
                <w:bCs/>
                <w:color w:val="000000"/>
                <w:sz w:val="24"/>
                <w:szCs w:val="24"/>
              </w:rPr>
            </w:pPr>
            <w:r w:rsidRPr="00E115B9">
              <w:rPr>
                <w:b/>
                <w:bCs/>
                <w:color w:val="000000"/>
                <w:sz w:val="24"/>
                <w:szCs w:val="24"/>
              </w:rPr>
              <w:t>Authorized Budget</w:t>
            </w:r>
          </w:p>
        </w:tc>
        <w:tc>
          <w:tcPr>
            <w:tcW w:w="1596" w:type="dxa"/>
            <w:tcBorders>
              <w:top w:val="nil"/>
              <w:left w:val="nil"/>
              <w:bottom w:val="single" w:sz="4" w:space="0" w:color="auto"/>
              <w:right w:val="single" w:sz="4" w:space="0" w:color="auto"/>
            </w:tcBorders>
            <w:shd w:val="clear" w:color="auto" w:fill="auto"/>
            <w:vAlign w:val="bottom"/>
            <w:hideMark/>
          </w:tcPr>
          <w:p w14:paraId="164CAA6D" w14:textId="77777777" w:rsidR="00822687" w:rsidRPr="00E115B9" w:rsidRDefault="00822687" w:rsidP="00822687">
            <w:pPr>
              <w:overflowPunct/>
              <w:autoSpaceDE/>
              <w:autoSpaceDN/>
              <w:adjustRightInd/>
              <w:jc w:val="center"/>
              <w:rPr>
                <w:b/>
                <w:bCs/>
                <w:color w:val="000000"/>
                <w:sz w:val="24"/>
                <w:szCs w:val="24"/>
              </w:rPr>
            </w:pPr>
            <w:r w:rsidRPr="00E115B9">
              <w:rPr>
                <w:b/>
                <w:bCs/>
                <w:color w:val="000000"/>
                <w:sz w:val="24"/>
                <w:szCs w:val="24"/>
              </w:rPr>
              <w:t>Annual Expenditures</w:t>
            </w:r>
          </w:p>
        </w:tc>
        <w:tc>
          <w:tcPr>
            <w:tcW w:w="1596" w:type="dxa"/>
            <w:tcBorders>
              <w:top w:val="nil"/>
              <w:left w:val="nil"/>
              <w:bottom w:val="single" w:sz="4" w:space="0" w:color="auto"/>
              <w:right w:val="single" w:sz="4" w:space="0" w:color="auto"/>
            </w:tcBorders>
            <w:shd w:val="clear" w:color="auto" w:fill="auto"/>
            <w:vAlign w:val="bottom"/>
            <w:hideMark/>
          </w:tcPr>
          <w:p w14:paraId="1632DA10" w14:textId="77777777" w:rsidR="00822687" w:rsidRPr="00E115B9" w:rsidRDefault="00822687" w:rsidP="00822687">
            <w:pPr>
              <w:overflowPunct/>
              <w:autoSpaceDE/>
              <w:autoSpaceDN/>
              <w:adjustRightInd/>
              <w:jc w:val="center"/>
              <w:rPr>
                <w:b/>
                <w:bCs/>
                <w:color w:val="000000"/>
                <w:sz w:val="24"/>
                <w:szCs w:val="24"/>
              </w:rPr>
            </w:pPr>
            <w:r w:rsidRPr="00E115B9">
              <w:rPr>
                <w:b/>
                <w:bCs/>
                <w:color w:val="000000"/>
                <w:sz w:val="24"/>
                <w:szCs w:val="24"/>
              </w:rPr>
              <w:t>Authorized Budget</w:t>
            </w:r>
          </w:p>
        </w:tc>
        <w:tc>
          <w:tcPr>
            <w:tcW w:w="1678" w:type="dxa"/>
            <w:tcBorders>
              <w:top w:val="nil"/>
              <w:left w:val="nil"/>
              <w:bottom w:val="single" w:sz="4" w:space="0" w:color="auto"/>
              <w:right w:val="single" w:sz="4" w:space="0" w:color="auto"/>
            </w:tcBorders>
            <w:shd w:val="clear" w:color="auto" w:fill="auto"/>
            <w:vAlign w:val="bottom"/>
            <w:hideMark/>
          </w:tcPr>
          <w:p w14:paraId="37E44FB6" w14:textId="77777777" w:rsidR="00822687" w:rsidRPr="00E115B9" w:rsidRDefault="00822687" w:rsidP="00822687">
            <w:pPr>
              <w:overflowPunct/>
              <w:autoSpaceDE/>
              <w:autoSpaceDN/>
              <w:adjustRightInd/>
              <w:jc w:val="center"/>
              <w:rPr>
                <w:b/>
                <w:bCs/>
                <w:color w:val="000000"/>
                <w:sz w:val="24"/>
                <w:szCs w:val="24"/>
              </w:rPr>
            </w:pPr>
            <w:r w:rsidRPr="00E115B9">
              <w:rPr>
                <w:b/>
                <w:bCs/>
                <w:color w:val="000000"/>
                <w:sz w:val="24"/>
                <w:szCs w:val="24"/>
              </w:rPr>
              <w:t>Annual Expenditures</w:t>
            </w:r>
          </w:p>
        </w:tc>
      </w:tr>
      <w:tr w:rsidR="00822687" w:rsidRPr="00E115B9" w14:paraId="74478408" w14:textId="77777777" w:rsidTr="00E115B9">
        <w:trPr>
          <w:trHeight w:val="300"/>
        </w:trPr>
        <w:tc>
          <w:tcPr>
            <w:tcW w:w="1522" w:type="dxa"/>
            <w:tcBorders>
              <w:top w:val="nil"/>
              <w:left w:val="single" w:sz="4" w:space="0" w:color="auto"/>
              <w:bottom w:val="single" w:sz="4" w:space="0" w:color="auto"/>
              <w:right w:val="single" w:sz="4" w:space="0" w:color="auto"/>
            </w:tcBorders>
            <w:shd w:val="clear" w:color="auto" w:fill="auto"/>
            <w:noWrap/>
            <w:vAlign w:val="bottom"/>
            <w:hideMark/>
          </w:tcPr>
          <w:p w14:paraId="4C19B386" w14:textId="77777777" w:rsidR="00822687" w:rsidRPr="00E115B9" w:rsidRDefault="00822687" w:rsidP="00822687">
            <w:pPr>
              <w:overflowPunct/>
              <w:autoSpaceDE/>
              <w:autoSpaceDN/>
              <w:adjustRightInd/>
              <w:jc w:val="center"/>
              <w:rPr>
                <w:color w:val="000000"/>
                <w:sz w:val="24"/>
                <w:szCs w:val="24"/>
              </w:rPr>
            </w:pPr>
            <w:r w:rsidRPr="00E115B9">
              <w:rPr>
                <w:color w:val="000000"/>
                <w:sz w:val="24"/>
                <w:szCs w:val="24"/>
              </w:rPr>
              <w:t>MCE01</w:t>
            </w:r>
          </w:p>
        </w:tc>
        <w:tc>
          <w:tcPr>
            <w:tcW w:w="1533" w:type="dxa"/>
            <w:tcBorders>
              <w:top w:val="nil"/>
              <w:left w:val="nil"/>
              <w:bottom w:val="single" w:sz="4" w:space="0" w:color="auto"/>
              <w:right w:val="single" w:sz="4" w:space="0" w:color="auto"/>
            </w:tcBorders>
            <w:shd w:val="clear" w:color="auto" w:fill="auto"/>
            <w:noWrap/>
            <w:vAlign w:val="bottom"/>
            <w:hideMark/>
          </w:tcPr>
          <w:p w14:paraId="11090003" w14:textId="77777777" w:rsidR="00822687" w:rsidRPr="00E115B9" w:rsidRDefault="00822687" w:rsidP="00822687">
            <w:pPr>
              <w:overflowPunct/>
              <w:autoSpaceDE/>
              <w:autoSpaceDN/>
              <w:adjustRightInd/>
              <w:jc w:val="center"/>
              <w:rPr>
                <w:color w:val="000000"/>
                <w:sz w:val="24"/>
                <w:szCs w:val="24"/>
              </w:rPr>
            </w:pPr>
            <w:r w:rsidRPr="00E115B9">
              <w:rPr>
                <w:color w:val="000000"/>
                <w:sz w:val="24"/>
                <w:szCs w:val="24"/>
              </w:rPr>
              <w:t>Multifamily</w:t>
            </w:r>
          </w:p>
        </w:tc>
        <w:tc>
          <w:tcPr>
            <w:tcW w:w="1596" w:type="dxa"/>
            <w:tcBorders>
              <w:top w:val="nil"/>
              <w:left w:val="nil"/>
              <w:bottom w:val="single" w:sz="4" w:space="0" w:color="auto"/>
              <w:right w:val="single" w:sz="4" w:space="0" w:color="auto"/>
            </w:tcBorders>
            <w:shd w:val="clear" w:color="auto" w:fill="auto"/>
            <w:noWrap/>
            <w:vAlign w:val="bottom"/>
            <w:hideMark/>
          </w:tcPr>
          <w:p w14:paraId="21522EE3" w14:textId="77777777" w:rsidR="00822687" w:rsidRPr="00E115B9" w:rsidRDefault="00822687" w:rsidP="00822687">
            <w:pPr>
              <w:overflowPunct/>
              <w:autoSpaceDE/>
              <w:autoSpaceDN/>
              <w:adjustRightInd/>
              <w:jc w:val="right"/>
              <w:rPr>
                <w:color w:val="000000"/>
                <w:sz w:val="24"/>
                <w:szCs w:val="24"/>
              </w:rPr>
            </w:pPr>
            <w:r w:rsidRPr="00E115B9">
              <w:rPr>
                <w:color w:val="000000"/>
                <w:sz w:val="24"/>
                <w:szCs w:val="24"/>
              </w:rPr>
              <w:t xml:space="preserve">$937,246.42 </w:t>
            </w:r>
          </w:p>
        </w:tc>
        <w:tc>
          <w:tcPr>
            <w:tcW w:w="1596" w:type="dxa"/>
            <w:tcBorders>
              <w:top w:val="nil"/>
              <w:left w:val="nil"/>
              <w:bottom w:val="single" w:sz="4" w:space="0" w:color="auto"/>
              <w:right w:val="single" w:sz="4" w:space="0" w:color="auto"/>
            </w:tcBorders>
            <w:shd w:val="clear" w:color="auto" w:fill="auto"/>
            <w:noWrap/>
            <w:vAlign w:val="bottom"/>
            <w:hideMark/>
          </w:tcPr>
          <w:p w14:paraId="68DD6BFE" w14:textId="77777777" w:rsidR="00822687" w:rsidRPr="00E115B9" w:rsidRDefault="00822687" w:rsidP="00822687">
            <w:pPr>
              <w:overflowPunct/>
              <w:autoSpaceDE/>
              <w:autoSpaceDN/>
              <w:adjustRightInd/>
              <w:jc w:val="right"/>
              <w:rPr>
                <w:color w:val="000000"/>
                <w:sz w:val="24"/>
                <w:szCs w:val="24"/>
              </w:rPr>
            </w:pPr>
            <w:r w:rsidRPr="00E115B9">
              <w:rPr>
                <w:color w:val="000000"/>
                <w:sz w:val="24"/>
                <w:szCs w:val="24"/>
              </w:rPr>
              <w:t xml:space="preserve">$603,528.96 </w:t>
            </w:r>
          </w:p>
        </w:tc>
        <w:tc>
          <w:tcPr>
            <w:tcW w:w="1596" w:type="dxa"/>
            <w:tcBorders>
              <w:top w:val="nil"/>
              <w:left w:val="nil"/>
              <w:bottom w:val="single" w:sz="4" w:space="0" w:color="auto"/>
              <w:right w:val="single" w:sz="4" w:space="0" w:color="auto"/>
            </w:tcBorders>
            <w:shd w:val="clear" w:color="auto" w:fill="auto"/>
            <w:noWrap/>
            <w:vAlign w:val="bottom"/>
            <w:hideMark/>
          </w:tcPr>
          <w:p w14:paraId="1184CB97" w14:textId="77777777" w:rsidR="00822687" w:rsidRPr="00E115B9" w:rsidRDefault="00822687" w:rsidP="00822687">
            <w:pPr>
              <w:overflowPunct/>
              <w:autoSpaceDE/>
              <w:autoSpaceDN/>
              <w:adjustRightInd/>
              <w:jc w:val="right"/>
              <w:rPr>
                <w:color w:val="000000"/>
                <w:sz w:val="24"/>
                <w:szCs w:val="24"/>
              </w:rPr>
            </w:pPr>
            <w:r w:rsidRPr="00E115B9">
              <w:rPr>
                <w:color w:val="000000"/>
                <w:sz w:val="24"/>
                <w:szCs w:val="24"/>
              </w:rPr>
              <w:t xml:space="preserve">$1,156,414.70 </w:t>
            </w:r>
          </w:p>
        </w:tc>
        <w:tc>
          <w:tcPr>
            <w:tcW w:w="1678" w:type="dxa"/>
            <w:tcBorders>
              <w:top w:val="nil"/>
              <w:left w:val="nil"/>
              <w:bottom w:val="single" w:sz="4" w:space="0" w:color="auto"/>
              <w:right w:val="single" w:sz="4" w:space="0" w:color="auto"/>
            </w:tcBorders>
            <w:shd w:val="clear" w:color="auto" w:fill="auto"/>
            <w:noWrap/>
            <w:vAlign w:val="bottom"/>
            <w:hideMark/>
          </w:tcPr>
          <w:p w14:paraId="2E830AF1" w14:textId="77777777" w:rsidR="00822687" w:rsidRPr="00E115B9" w:rsidRDefault="00822687" w:rsidP="00822687">
            <w:pPr>
              <w:overflowPunct/>
              <w:autoSpaceDE/>
              <w:autoSpaceDN/>
              <w:adjustRightInd/>
              <w:jc w:val="right"/>
              <w:rPr>
                <w:color w:val="000000"/>
                <w:sz w:val="24"/>
                <w:szCs w:val="24"/>
              </w:rPr>
            </w:pPr>
            <w:r w:rsidRPr="00E115B9">
              <w:rPr>
                <w:color w:val="000000"/>
                <w:sz w:val="24"/>
                <w:szCs w:val="24"/>
              </w:rPr>
              <w:t xml:space="preserve">$491,844.44 </w:t>
            </w:r>
          </w:p>
        </w:tc>
      </w:tr>
      <w:tr w:rsidR="00822687" w:rsidRPr="00E115B9" w14:paraId="70B935CC" w14:textId="77777777" w:rsidTr="00E115B9">
        <w:trPr>
          <w:trHeight w:val="300"/>
        </w:trPr>
        <w:tc>
          <w:tcPr>
            <w:tcW w:w="1522" w:type="dxa"/>
            <w:tcBorders>
              <w:top w:val="nil"/>
              <w:left w:val="single" w:sz="4" w:space="0" w:color="auto"/>
              <w:bottom w:val="single" w:sz="4" w:space="0" w:color="auto"/>
              <w:right w:val="single" w:sz="4" w:space="0" w:color="auto"/>
            </w:tcBorders>
            <w:shd w:val="clear" w:color="auto" w:fill="auto"/>
            <w:noWrap/>
            <w:vAlign w:val="bottom"/>
            <w:hideMark/>
          </w:tcPr>
          <w:p w14:paraId="76A127DB" w14:textId="77777777" w:rsidR="00822687" w:rsidRPr="00E115B9" w:rsidRDefault="00822687" w:rsidP="00822687">
            <w:pPr>
              <w:overflowPunct/>
              <w:autoSpaceDE/>
              <w:autoSpaceDN/>
              <w:adjustRightInd/>
              <w:jc w:val="center"/>
              <w:rPr>
                <w:color w:val="000000"/>
                <w:sz w:val="24"/>
                <w:szCs w:val="24"/>
              </w:rPr>
            </w:pPr>
            <w:r w:rsidRPr="00E115B9">
              <w:rPr>
                <w:color w:val="000000"/>
                <w:sz w:val="24"/>
                <w:szCs w:val="24"/>
              </w:rPr>
              <w:t>MCE02</w:t>
            </w:r>
          </w:p>
        </w:tc>
        <w:tc>
          <w:tcPr>
            <w:tcW w:w="1533" w:type="dxa"/>
            <w:tcBorders>
              <w:top w:val="nil"/>
              <w:left w:val="nil"/>
              <w:bottom w:val="single" w:sz="4" w:space="0" w:color="auto"/>
              <w:right w:val="single" w:sz="4" w:space="0" w:color="auto"/>
            </w:tcBorders>
            <w:shd w:val="clear" w:color="auto" w:fill="auto"/>
            <w:noWrap/>
            <w:vAlign w:val="bottom"/>
            <w:hideMark/>
          </w:tcPr>
          <w:p w14:paraId="1F82EDA1" w14:textId="77777777" w:rsidR="00822687" w:rsidRPr="00E115B9" w:rsidRDefault="00822687" w:rsidP="00822687">
            <w:pPr>
              <w:overflowPunct/>
              <w:autoSpaceDE/>
              <w:autoSpaceDN/>
              <w:adjustRightInd/>
              <w:jc w:val="center"/>
              <w:rPr>
                <w:color w:val="000000"/>
                <w:sz w:val="24"/>
                <w:szCs w:val="24"/>
              </w:rPr>
            </w:pPr>
            <w:r w:rsidRPr="00E115B9">
              <w:rPr>
                <w:color w:val="000000"/>
                <w:sz w:val="24"/>
                <w:szCs w:val="24"/>
              </w:rPr>
              <w:t>Commercial</w:t>
            </w:r>
          </w:p>
        </w:tc>
        <w:tc>
          <w:tcPr>
            <w:tcW w:w="1596" w:type="dxa"/>
            <w:tcBorders>
              <w:top w:val="nil"/>
              <w:left w:val="nil"/>
              <w:bottom w:val="single" w:sz="4" w:space="0" w:color="auto"/>
              <w:right w:val="single" w:sz="4" w:space="0" w:color="auto"/>
            </w:tcBorders>
            <w:shd w:val="clear" w:color="auto" w:fill="auto"/>
            <w:noWrap/>
            <w:vAlign w:val="bottom"/>
            <w:hideMark/>
          </w:tcPr>
          <w:p w14:paraId="7CE2F0B5" w14:textId="77777777" w:rsidR="00822687" w:rsidRPr="00E115B9" w:rsidRDefault="00822687" w:rsidP="00822687">
            <w:pPr>
              <w:overflowPunct/>
              <w:autoSpaceDE/>
              <w:autoSpaceDN/>
              <w:adjustRightInd/>
              <w:jc w:val="right"/>
              <w:rPr>
                <w:color w:val="000000"/>
                <w:sz w:val="24"/>
                <w:szCs w:val="24"/>
              </w:rPr>
            </w:pPr>
            <w:r w:rsidRPr="00E115B9">
              <w:rPr>
                <w:color w:val="000000"/>
                <w:sz w:val="24"/>
                <w:szCs w:val="24"/>
              </w:rPr>
              <w:t xml:space="preserve">$423,333.88 </w:t>
            </w:r>
          </w:p>
        </w:tc>
        <w:tc>
          <w:tcPr>
            <w:tcW w:w="1596" w:type="dxa"/>
            <w:tcBorders>
              <w:top w:val="nil"/>
              <w:left w:val="nil"/>
              <w:bottom w:val="single" w:sz="4" w:space="0" w:color="auto"/>
              <w:right w:val="single" w:sz="4" w:space="0" w:color="auto"/>
            </w:tcBorders>
            <w:shd w:val="clear" w:color="auto" w:fill="auto"/>
            <w:noWrap/>
            <w:vAlign w:val="bottom"/>
            <w:hideMark/>
          </w:tcPr>
          <w:p w14:paraId="29394AF0" w14:textId="77777777" w:rsidR="00822687" w:rsidRPr="00E115B9" w:rsidRDefault="00822687" w:rsidP="00822687">
            <w:pPr>
              <w:overflowPunct/>
              <w:autoSpaceDE/>
              <w:autoSpaceDN/>
              <w:adjustRightInd/>
              <w:jc w:val="right"/>
              <w:rPr>
                <w:color w:val="000000"/>
                <w:sz w:val="24"/>
                <w:szCs w:val="24"/>
              </w:rPr>
            </w:pPr>
            <w:r w:rsidRPr="00E115B9">
              <w:rPr>
                <w:color w:val="000000"/>
                <w:sz w:val="24"/>
                <w:szCs w:val="24"/>
              </w:rPr>
              <w:t xml:space="preserve">$390,663.42 </w:t>
            </w:r>
          </w:p>
        </w:tc>
        <w:tc>
          <w:tcPr>
            <w:tcW w:w="1596" w:type="dxa"/>
            <w:tcBorders>
              <w:top w:val="nil"/>
              <w:left w:val="nil"/>
              <w:bottom w:val="single" w:sz="4" w:space="0" w:color="auto"/>
              <w:right w:val="single" w:sz="4" w:space="0" w:color="auto"/>
            </w:tcBorders>
            <w:shd w:val="clear" w:color="auto" w:fill="auto"/>
            <w:noWrap/>
            <w:vAlign w:val="bottom"/>
            <w:hideMark/>
          </w:tcPr>
          <w:p w14:paraId="15FCA458" w14:textId="77777777" w:rsidR="00822687" w:rsidRPr="00E115B9" w:rsidRDefault="00822687" w:rsidP="00822687">
            <w:pPr>
              <w:overflowPunct/>
              <w:autoSpaceDE/>
              <w:autoSpaceDN/>
              <w:adjustRightInd/>
              <w:jc w:val="right"/>
              <w:rPr>
                <w:color w:val="000000"/>
                <w:sz w:val="24"/>
                <w:szCs w:val="24"/>
              </w:rPr>
            </w:pPr>
            <w:r w:rsidRPr="00E115B9">
              <w:rPr>
                <w:color w:val="000000"/>
                <w:sz w:val="24"/>
                <w:szCs w:val="24"/>
              </w:rPr>
              <w:t xml:space="preserve">$918,551.56 </w:t>
            </w:r>
          </w:p>
        </w:tc>
        <w:tc>
          <w:tcPr>
            <w:tcW w:w="1678" w:type="dxa"/>
            <w:tcBorders>
              <w:top w:val="nil"/>
              <w:left w:val="nil"/>
              <w:bottom w:val="single" w:sz="4" w:space="0" w:color="auto"/>
              <w:right w:val="single" w:sz="4" w:space="0" w:color="auto"/>
            </w:tcBorders>
            <w:shd w:val="clear" w:color="auto" w:fill="auto"/>
            <w:noWrap/>
            <w:vAlign w:val="bottom"/>
            <w:hideMark/>
          </w:tcPr>
          <w:p w14:paraId="18397E91" w14:textId="77777777" w:rsidR="00822687" w:rsidRPr="00E115B9" w:rsidRDefault="00822687" w:rsidP="00822687">
            <w:pPr>
              <w:overflowPunct/>
              <w:autoSpaceDE/>
              <w:autoSpaceDN/>
              <w:adjustRightInd/>
              <w:jc w:val="right"/>
              <w:rPr>
                <w:color w:val="000000"/>
                <w:sz w:val="24"/>
                <w:szCs w:val="24"/>
              </w:rPr>
            </w:pPr>
            <w:r w:rsidRPr="00E115B9">
              <w:rPr>
                <w:color w:val="000000"/>
                <w:sz w:val="24"/>
                <w:szCs w:val="24"/>
              </w:rPr>
              <w:t xml:space="preserve">$774,410.70 </w:t>
            </w:r>
          </w:p>
        </w:tc>
      </w:tr>
      <w:tr w:rsidR="00822687" w:rsidRPr="00E115B9" w14:paraId="061259EB" w14:textId="77777777" w:rsidTr="00E115B9">
        <w:trPr>
          <w:trHeight w:val="300"/>
        </w:trPr>
        <w:tc>
          <w:tcPr>
            <w:tcW w:w="1522" w:type="dxa"/>
            <w:tcBorders>
              <w:top w:val="nil"/>
              <w:left w:val="single" w:sz="4" w:space="0" w:color="auto"/>
              <w:bottom w:val="single" w:sz="4" w:space="0" w:color="auto"/>
              <w:right w:val="single" w:sz="4" w:space="0" w:color="auto"/>
            </w:tcBorders>
            <w:shd w:val="clear" w:color="auto" w:fill="auto"/>
            <w:noWrap/>
            <w:vAlign w:val="bottom"/>
            <w:hideMark/>
          </w:tcPr>
          <w:p w14:paraId="0C51CB00" w14:textId="77777777" w:rsidR="00822687" w:rsidRPr="00E115B9" w:rsidRDefault="00822687" w:rsidP="00822687">
            <w:pPr>
              <w:overflowPunct/>
              <w:autoSpaceDE/>
              <w:autoSpaceDN/>
              <w:adjustRightInd/>
              <w:jc w:val="center"/>
              <w:rPr>
                <w:color w:val="000000"/>
                <w:sz w:val="24"/>
                <w:szCs w:val="24"/>
              </w:rPr>
            </w:pPr>
            <w:r w:rsidRPr="00E115B9">
              <w:rPr>
                <w:color w:val="000000"/>
                <w:sz w:val="24"/>
                <w:szCs w:val="24"/>
              </w:rPr>
              <w:t>MCE03</w:t>
            </w:r>
          </w:p>
        </w:tc>
        <w:tc>
          <w:tcPr>
            <w:tcW w:w="1533" w:type="dxa"/>
            <w:tcBorders>
              <w:top w:val="nil"/>
              <w:left w:val="nil"/>
              <w:bottom w:val="single" w:sz="4" w:space="0" w:color="auto"/>
              <w:right w:val="single" w:sz="4" w:space="0" w:color="auto"/>
            </w:tcBorders>
            <w:shd w:val="clear" w:color="auto" w:fill="auto"/>
            <w:noWrap/>
            <w:vAlign w:val="bottom"/>
            <w:hideMark/>
          </w:tcPr>
          <w:p w14:paraId="38E56417" w14:textId="77777777" w:rsidR="00822687" w:rsidRPr="00E115B9" w:rsidRDefault="00822687" w:rsidP="00822687">
            <w:pPr>
              <w:overflowPunct/>
              <w:autoSpaceDE/>
              <w:autoSpaceDN/>
              <w:adjustRightInd/>
              <w:jc w:val="center"/>
              <w:rPr>
                <w:color w:val="000000"/>
                <w:sz w:val="24"/>
                <w:szCs w:val="24"/>
              </w:rPr>
            </w:pPr>
            <w:r w:rsidRPr="00E115B9">
              <w:rPr>
                <w:color w:val="000000"/>
                <w:sz w:val="24"/>
                <w:szCs w:val="24"/>
              </w:rPr>
              <w:t>Single Family</w:t>
            </w:r>
          </w:p>
        </w:tc>
        <w:tc>
          <w:tcPr>
            <w:tcW w:w="1596" w:type="dxa"/>
            <w:tcBorders>
              <w:top w:val="nil"/>
              <w:left w:val="nil"/>
              <w:bottom w:val="single" w:sz="4" w:space="0" w:color="auto"/>
              <w:right w:val="single" w:sz="4" w:space="0" w:color="auto"/>
            </w:tcBorders>
            <w:shd w:val="clear" w:color="auto" w:fill="auto"/>
            <w:noWrap/>
            <w:vAlign w:val="bottom"/>
            <w:hideMark/>
          </w:tcPr>
          <w:p w14:paraId="533D9CD2" w14:textId="77777777" w:rsidR="00822687" w:rsidRPr="00E115B9" w:rsidRDefault="00822687" w:rsidP="00822687">
            <w:pPr>
              <w:overflowPunct/>
              <w:autoSpaceDE/>
              <w:autoSpaceDN/>
              <w:adjustRightInd/>
              <w:jc w:val="right"/>
              <w:rPr>
                <w:color w:val="000000"/>
                <w:sz w:val="24"/>
                <w:szCs w:val="24"/>
              </w:rPr>
            </w:pPr>
            <w:r w:rsidRPr="00E115B9">
              <w:rPr>
                <w:color w:val="000000"/>
                <w:sz w:val="24"/>
                <w:szCs w:val="24"/>
              </w:rPr>
              <w:t xml:space="preserve">$193,735.70 </w:t>
            </w:r>
          </w:p>
        </w:tc>
        <w:tc>
          <w:tcPr>
            <w:tcW w:w="1596" w:type="dxa"/>
            <w:tcBorders>
              <w:top w:val="nil"/>
              <w:left w:val="nil"/>
              <w:bottom w:val="single" w:sz="4" w:space="0" w:color="auto"/>
              <w:right w:val="single" w:sz="4" w:space="0" w:color="auto"/>
            </w:tcBorders>
            <w:shd w:val="clear" w:color="auto" w:fill="auto"/>
            <w:noWrap/>
            <w:vAlign w:val="bottom"/>
            <w:hideMark/>
          </w:tcPr>
          <w:p w14:paraId="7DB615A7" w14:textId="77777777" w:rsidR="00822687" w:rsidRPr="00E115B9" w:rsidRDefault="00822687" w:rsidP="00822687">
            <w:pPr>
              <w:overflowPunct/>
              <w:autoSpaceDE/>
              <w:autoSpaceDN/>
              <w:adjustRightInd/>
              <w:jc w:val="right"/>
              <w:rPr>
                <w:color w:val="000000"/>
                <w:sz w:val="24"/>
                <w:szCs w:val="24"/>
              </w:rPr>
            </w:pPr>
            <w:r w:rsidRPr="00E115B9">
              <w:rPr>
                <w:color w:val="000000"/>
                <w:sz w:val="24"/>
                <w:szCs w:val="24"/>
              </w:rPr>
              <w:t xml:space="preserve">$145,870.27 </w:t>
            </w:r>
          </w:p>
        </w:tc>
        <w:tc>
          <w:tcPr>
            <w:tcW w:w="1596" w:type="dxa"/>
            <w:tcBorders>
              <w:top w:val="nil"/>
              <w:left w:val="nil"/>
              <w:bottom w:val="single" w:sz="4" w:space="0" w:color="auto"/>
              <w:right w:val="single" w:sz="4" w:space="0" w:color="auto"/>
            </w:tcBorders>
            <w:shd w:val="clear" w:color="auto" w:fill="auto"/>
            <w:noWrap/>
            <w:vAlign w:val="bottom"/>
            <w:hideMark/>
          </w:tcPr>
          <w:p w14:paraId="4D69A10D" w14:textId="77777777" w:rsidR="00822687" w:rsidRPr="00E115B9" w:rsidRDefault="00822687" w:rsidP="00822687">
            <w:pPr>
              <w:overflowPunct/>
              <w:autoSpaceDE/>
              <w:autoSpaceDN/>
              <w:adjustRightInd/>
              <w:jc w:val="right"/>
              <w:rPr>
                <w:color w:val="000000"/>
                <w:sz w:val="24"/>
                <w:szCs w:val="24"/>
              </w:rPr>
            </w:pPr>
            <w:r w:rsidRPr="00E115B9">
              <w:rPr>
                <w:color w:val="000000"/>
                <w:sz w:val="24"/>
                <w:szCs w:val="24"/>
              </w:rPr>
              <w:t xml:space="preserve">$209,349.74 </w:t>
            </w:r>
          </w:p>
        </w:tc>
        <w:tc>
          <w:tcPr>
            <w:tcW w:w="1678" w:type="dxa"/>
            <w:tcBorders>
              <w:top w:val="nil"/>
              <w:left w:val="nil"/>
              <w:bottom w:val="single" w:sz="4" w:space="0" w:color="auto"/>
              <w:right w:val="single" w:sz="4" w:space="0" w:color="auto"/>
            </w:tcBorders>
            <w:shd w:val="clear" w:color="auto" w:fill="auto"/>
            <w:noWrap/>
            <w:vAlign w:val="bottom"/>
            <w:hideMark/>
          </w:tcPr>
          <w:p w14:paraId="68545373" w14:textId="77777777" w:rsidR="00822687" w:rsidRPr="00E115B9" w:rsidRDefault="00822687" w:rsidP="00822687">
            <w:pPr>
              <w:overflowPunct/>
              <w:autoSpaceDE/>
              <w:autoSpaceDN/>
              <w:adjustRightInd/>
              <w:jc w:val="right"/>
              <w:rPr>
                <w:color w:val="000000"/>
                <w:sz w:val="24"/>
                <w:szCs w:val="24"/>
              </w:rPr>
            </w:pPr>
            <w:r w:rsidRPr="00E115B9">
              <w:rPr>
                <w:color w:val="000000"/>
                <w:sz w:val="24"/>
                <w:szCs w:val="24"/>
              </w:rPr>
              <w:t xml:space="preserve">$117,834.83 </w:t>
            </w:r>
          </w:p>
        </w:tc>
      </w:tr>
      <w:tr w:rsidR="00822687" w:rsidRPr="00E115B9" w14:paraId="3C15054D" w14:textId="77777777" w:rsidTr="00E115B9">
        <w:trPr>
          <w:trHeight w:val="300"/>
        </w:trPr>
        <w:tc>
          <w:tcPr>
            <w:tcW w:w="1522" w:type="dxa"/>
            <w:tcBorders>
              <w:top w:val="nil"/>
              <w:left w:val="single" w:sz="4" w:space="0" w:color="auto"/>
              <w:bottom w:val="single" w:sz="4" w:space="0" w:color="auto"/>
              <w:right w:val="single" w:sz="4" w:space="0" w:color="auto"/>
            </w:tcBorders>
            <w:shd w:val="clear" w:color="auto" w:fill="auto"/>
            <w:noWrap/>
            <w:vAlign w:val="bottom"/>
            <w:hideMark/>
          </w:tcPr>
          <w:p w14:paraId="09103882" w14:textId="77777777" w:rsidR="00822687" w:rsidRPr="00E115B9" w:rsidRDefault="00822687" w:rsidP="00822687">
            <w:pPr>
              <w:overflowPunct/>
              <w:autoSpaceDE/>
              <w:autoSpaceDN/>
              <w:adjustRightInd/>
              <w:jc w:val="center"/>
              <w:rPr>
                <w:color w:val="000000"/>
                <w:sz w:val="24"/>
                <w:szCs w:val="24"/>
              </w:rPr>
            </w:pPr>
            <w:r w:rsidRPr="00E115B9">
              <w:rPr>
                <w:color w:val="000000"/>
                <w:sz w:val="24"/>
                <w:szCs w:val="24"/>
              </w:rPr>
              <w:t>MCE04</w:t>
            </w:r>
          </w:p>
        </w:tc>
        <w:tc>
          <w:tcPr>
            <w:tcW w:w="1533" w:type="dxa"/>
            <w:tcBorders>
              <w:top w:val="nil"/>
              <w:left w:val="nil"/>
              <w:bottom w:val="single" w:sz="4" w:space="0" w:color="auto"/>
              <w:right w:val="single" w:sz="4" w:space="0" w:color="auto"/>
            </w:tcBorders>
            <w:shd w:val="clear" w:color="auto" w:fill="auto"/>
            <w:noWrap/>
            <w:vAlign w:val="bottom"/>
            <w:hideMark/>
          </w:tcPr>
          <w:p w14:paraId="4E54862D" w14:textId="77777777" w:rsidR="00822687" w:rsidRPr="00E115B9" w:rsidRDefault="00822687" w:rsidP="00822687">
            <w:pPr>
              <w:overflowPunct/>
              <w:autoSpaceDE/>
              <w:autoSpaceDN/>
              <w:adjustRightInd/>
              <w:jc w:val="center"/>
              <w:rPr>
                <w:color w:val="000000"/>
                <w:sz w:val="24"/>
                <w:szCs w:val="24"/>
              </w:rPr>
            </w:pPr>
            <w:r w:rsidRPr="00E115B9">
              <w:rPr>
                <w:color w:val="000000"/>
                <w:sz w:val="24"/>
                <w:szCs w:val="24"/>
              </w:rPr>
              <w:t>Financing</w:t>
            </w:r>
          </w:p>
        </w:tc>
        <w:tc>
          <w:tcPr>
            <w:tcW w:w="1596" w:type="dxa"/>
            <w:tcBorders>
              <w:top w:val="nil"/>
              <w:left w:val="nil"/>
              <w:bottom w:val="single" w:sz="4" w:space="0" w:color="auto"/>
              <w:right w:val="single" w:sz="4" w:space="0" w:color="auto"/>
            </w:tcBorders>
            <w:shd w:val="clear" w:color="auto" w:fill="auto"/>
            <w:noWrap/>
            <w:vAlign w:val="bottom"/>
            <w:hideMark/>
          </w:tcPr>
          <w:p w14:paraId="1BAC59F8" w14:textId="77777777" w:rsidR="00822687" w:rsidRPr="00E115B9" w:rsidRDefault="00822687" w:rsidP="00822687">
            <w:pPr>
              <w:overflowPunct/>
              <w:autoSpaceDE/>
              <w:autoSpaceDN/>
              <w:adjustRightInd/>
              <w:jc w:val="right"/>
              <w:rPr>
                <w:color w:val="000000"/>
                <w:sz w:val="24"/>
                <w:szCs w:val="24"/>
              </w:rPr>
            </w:pPr>
            <w:r w:rsidRPr="00E115B9">
              <w:rPr>
                <w:color w:val="000000"/>
                <w:sz w:val="24"/>
                <w:szCs w:val="24"/>
              </w:rPr>
              <w:t xml:space="preserve">$32,031.00 </w:t>
            </w:r>
          </w:p>
        </w:tc>
        <w:tc>
          <w:tcPr>
            <w:tcW w:w="1596" w:type="dxa"/>
            <w:tcBorders>
              <w:top w:val="nil"/>
              <w:left w:val="nil"/>
              <w:bottom w:val="single" w:sz="4" w:space="0" w:color="auto"/>
              <w:right w:val="single" w:sz="4" w:space="0" w:color="auto"/>
            </w:tcBorders>
            <w:shd w:val="clear" w:color="auto" w:fill="auto"/>
            <w:noWrap/>
            <w:vAlign w:val="bottom"/>
            <w:hideMark/>
          </w:tcPr>
          <w:p w14:paraId="3E044EF8" w14:textId="77777777" w:rsidR="00822687" w:rsidRPr="00E115B9" w:rsidRDefault="00822687" w:rsidP="00822687">
            <w:pPr>
              <w:overflowPunct/>
              <w:autoSpaceDE/>
              <w:autoSpaceDN/>
              <w:adjustRightInd/>
              <w:jc w:val="right"/>
              <w:rPr>
                <w:color w:val="000000"/>
                <w:sz w:val="24"/>
                <w:szCs w:val="24"/>
              </w:rPr>
            </w:pPr>
            <w:r w:rsidRPr="00E115B9">
              <w:rPr>
                <w:color w:val="000000"/>
                <w:sz w:val="24"/>
                <w:szCs w:val="24"/>
              </w:rPr>
              <w:t xml:space="preserve">$25,222.34 </w:t>
            </w:r>
          </w:p>
        </w:tc>
        <w:tc>
          <w:tcPr>
            <w:tcW w:w="1596" w:type="dxa"/>
            <w:tcBorders>
              <w:top w:val="nil"/>
              <w:left w:val="nil"/>
              <w:bottom w:val="single" w:sz="4" w:space="0" w:color="auto"/>
              <w:right w:val="single" w:sz="4" w:space="0" w:color="auto"/>
            </w:tcBorders>
            <w:shd w:val="clear" w:color="auto" w:fill="auto"/>
            <w:noWrap/>
            <w:vAlign w:val="bottom"/>
            <w:hideMark/>
          </w:tcPr>
          <w:p w14:paraId="46564BB2" w14:textId="77777777" w:rsidR="00822687" w:rsidRPr="00E115B9" w:rsidRDefault="00822687" w:rsidP="00822687">
            <w:pPr>
              <w:overflowPunct/>
              <w:autoSpaceDE/>
              <w:autoSpaceDN/>
              <w:adjustRightInd/>
              <w:jc w:val="right"/>
              <w:rPr>
                <w:color w:val="000000"/>
                <w:sz w:val="24"/>
                <w:szCs w:val="24"/>
              </w:rPr>
            </w:pPr>
            <w:r w:rsidRPr="00E115B9">
              <w:rPr>
                <w:color w:val="000000"/>
                <w:sz w:val="24"/>
                <w:szCs w:val="24"/>
              </w:rPr>
              <w:t xml:space="preserve">$49,531.00 </w:t>
            </w:r>
          </w:p>
        </w:tc>
        <w:tc>
          <w:tcPr>
            <w:tcW w:w="1678" w:type="dxa"/>
            <w:tcBorders>
              <w:top w:val="nil"/>
              <w:left w:val="nil"/>
              <w:bottom w:val="single" w:sz="4" w:space="0" w:color="auto"/>
              <w:right w:val="single" w:sz="4" w:space="0" w:color="auto"/>
            </w:tcBorders>
            <w:shd w:val="clear" w:color="auto" w:fill="auto"/>
            <w:noWrap/>
            <w:vAlign w:val="bottom"/>
            <w:hideMark/>
          </w:tcPr>
          <w:p w14:paraId="77A2D011" w14:textId="77777777" w:rsidR="00822687" w:rsidRPr="00E115B9" w:rsidRDefault="00822687" w:rsidP="00822687">
            <w:pPr>
              <w:overflowPunct/>
              <w:autoSpaceDE/>
              <w:autoSpaceDN/>
              <w:adjustRightInd/>
              <w:jc w:val="right"/>
              <w:rPr>
                <w:color w:val="000000"/>
                <w:sz w:val="24"/>
                <w:szCs w:val="24"/>
              </w:rPr>
            </w:pPr>
            <w:r w:rsidRPr="00E115B9">
              <w:rPr>
                <w:color w:val="000000"/>
                <w:sz w:val="24"/>
                <w:szCs w:val="24"/>
              </w:rPr>
              <w:t xml:space="preserve">$19,222.83 </w:t>
            </w:r>
          </w:p>
        </w:tc>
      </w:tr>
      <w:tr w:rsidR="00822687" w:rsidRPr="00E115B9" w14:paraId="34727468" w14:textId="77777777" w:rsidTr="00E115B9">
        <w:trPr>
          <w:trHeight w:val="300"/>
        </w:trPr>
        <w:tc>
          <w:tcPr>
            <w:tcW w:w="1522" w:type="dxa"/>
            <w:tcBorders>
              <w:top w:val="nil"/>
              <w:left w:val="single" w:sz="4" w:space="0" w:color="auto"/>
              <w:bottom w:val="single" w:sz="4" w:space="0" w:color="auto"/>
              <w:right w:val="single" w:sz="4" w:space="0" w:color="auto"/>
            </w:tcBorders>
            <w:shd w:val="clear" w:color="auto" w:fill="auto"/>
            <w:noWrap/>
            <w:vAlign w:val="bottom"/>
            <w:hideMark/>
          </w:tcPr>
          <w:p w14:paraId="0D792ED2" w14:textId="77777777" w:rsidR="00822687" w:rsidRPr="00E115B9" w:rsidRDefault="00822687" w:rsidP="00822687">
            <w:pPr>
              <w:overflowPunct/>
              <w:autoSpaceDE/>
              <w:autoSpaceDN/>
              <w:adjustRightInd/>
              <w:jc w:val="center"/>
              <w:rPr>
                <w:b/>
                <w:bCs/>
                <w:color w:val="000000"/>
                <w:sz w:val="24"/>
                <w:szCs w:val="24"/>
              </w:rPr>
            </w:pPr>
            <w:r w:rsidRPr="00E115B9">
              <w:rPr>
                <w:b/>
                <w:bCs/>
                <w:color w:val="000000"/>
                <w:sz w:val="24"/>
                <w:szCs w:val="24"/>
              </w:rPr>
              <w:t>Portfolio Total</w:t>
            </w:r>
          </w:p>
        </w:tc>
        <w:tc>
          <w:tcPr>
            <w:tcW w:w="1533" w:type="dxa"/>
            <w:tcBorders>
              <w:top w:val="nil"/>
              <w:left w:val="nil"/>
              <w:bottom w:val="single" w:sz="4" w:space="0" w:color="auto"/>
              <w:right w:val="single" w:sz="4" w:space="0" w:color="auto"/>
            </w:tcBorders>
            <w:shd w:val="clear" w:color="auto" w:fill="auto"/>
            <w:noWrap/>
            <w:vAlign w:val="bottom"/>
            <w:hideMark/>
          </w:tcPr>
          <w:p w14:paraId="7D05EB94" w14:textId="77777777" w:rsidR="00822687" w:rsidRPr="00E115B9" w:rsidRDefault="00822687" w:rsidP="00822687">
            <w:pPr>
              <w:overflowPunct/>
              <w:autoSpaceDE/>
              <w:autoSpaceDN/>
              <w:adjustRightInd/>
              <w:jc w:val="center"/>
              <w:rPr>
                <w:b/>
                <w:bCs/>
                <w:color w:val="000000"/>
                <w:sz w:val="24"/>
                <w:szCs w:val="24"/>
              </w:rPr>
            </w:pPr>
            <w:r w:rsidRPr="00E115B9">
              <w:rPr>
                <w:b/>
                <w:bCs/>
                <w:color w:val="000000"/>
                <w:sz w:val="24"/>
                <w:szCs w:val="24"/>
              </w:rPr>
              <w:t>Portfolio</w:t>
            </w:r>
          </w:p>
        </w:tc>
        <w:tc>
          <w:tcPr>
            <w:tcW w:w="1596" w:type="dxa"/>
            <w:tcBorders>
              <w:top w:val="nil"/>
              <w:left w:val="nil"/>
              <w:bottom w:val="single" w:sz="4" w:space="0" w:color="auto"/>
              <w:right w:val="single" w:sz="4" w:space="0" w:color="auto"/>
            </w:tcBorders>
            <w:shd w:val="clear" w:color="auto" w:fill="auto"/>
            <w:noWrap/>
            <w:vAlign w:val="bottom"/>
            <w:hideMark/>
          </w:tcPr>
          <w:p w14:paraId="672B7CEE" w14:textId="77777777" w:rsidR="00822687" w:rsidRPr="00E115B9" w:rsidRDefault="00822687" w:rsidP="00822687">
            <w:pPr>
              <w:overflowPunct/>
              <w:autoSpaceDE/>
              <w:autoSpaceDN/>
              <w:adjustRightInd/>
              <w:jc w:val="right"/>
              <w:rPr>
                <w:b/>
                <w:bCs/>
                <w:color w:val="000000"/>
                <w:sz w:val="24"/>
                <w:szCs w:val="24"/>
              </w:rPr>
            </w:pPr>
            <w:r w:rsidRPr="00E115B9">
              <w:rPr>
                <w:b/>
                <w:bCs/>
                <w:color w:val="000000"/>
                <w:sz w:val="24"/>
                <w:szCs w:val="24"/>
              </w:rPr>
              <w:t xml:space="preserve">$1,586,347.00 </w:t>
            </w:r>
          </w:p>
        </w:tc>
        <w:tc>
          <w:tcPr>
            <w:tcW w:w="1596" w:type="dxa"/>
            <w:tcBorders>
              <w:top w:val="nil"/>
              <w:left w:val="nil"/>
              <w:bottom w:val="single" w:sz="4" w:space="0" w:color="auto"/>
              <w:right w:val="single" w:sz="4" w:space="0" w:color="auto"/>
            </w:tcBorders>
            <w:shd w:val="clear" w:color="auto" w:fill="auto"/>
            <w:noWrap/>
            <w:vAlign w:val="bottom"/>
            <w:hideMark/>
          </w:tcPr>
          <w:p w14:paraId="0A64B385" w14:textId="77777777" w:rsidR="00822687" w:rsidRPr="00E115B9" w:rsidRDefault="00822687" w:rsidP="00822687">
            <w:pPr>
              <w:overflowPunct/>
              <w:autoSpaceDE/>
              <w:autoSpaceDN/>
              <w:adjustRightInd/>
              <w:jc w:val="right"/>
              <w:rPr>
                <w:b/>
                <w:bCs/>
                <w:color w:val="000000"/>
                <w:sz w:val="24"/>
                <w:szCs w:val="24"/>
              </w:rPr>
            </w:pPr>
            <w:r w:rsidRPr="00E115B9">
              <w:rPr>
                <w:b/>
                <w:bCs/>
                <w:color w:val="000000"/>
                <w:sz w:val="24"/>
                <w:szCs w:val="24"/>
              </w:rPr>
              <w:t xml:space="preserve">$1,165,284.99 </w:t>
            </w:r>
          </w:p>
        </w:tc>
        <w:tc>
          <w:tcPr>
            <w:tcW w:w="1596" w:type="dxa"/>
            <w:tcBorders>
              <w:top w:val="nil"/>
              <w:left w:val="nil"/>
              <w:bottom w:val="single" w:sz="4" w:space="0" w:color="auto"/>
              <w:right w:val="single" w:sz="4" w:space="0" w:color="auto"/>
            </w:tcBorders>
            <w:shd w:val="clear" w:color="auto" w:fill="auto"/>
            <w:noWrap/>
            <w:vAlign w:val="bottom"/>
            <w:hideMark/>
          </w:tcPr>
          <w:p w14:paraId="5447AEDC" w14:textId="77777777" w:rsidR="00822687" w:rsidRPr="00E115B9" w:rsidRDefault="00822687" w:rsidP="00822687">
            <w:pPr>
              <w:overflowPunct/>
              <w:autoSpaceDE/>
              <w:autoSpaceDN/>
              <w:adjustRightInd/>
              <w:jc w:val="right"/>
              <w:rPr>
                <w:b/>
                <w:bCs/>
                <w:color w:val="000000"/>
                <w:sz w:val="24"/>
                <w:szCs w:val="24"/>
              </w:rPr>
            </w:pPr>
            <w:r w:rsidRPr="00E115B9">
              <w:rPr>
                <w:b/>
                <w:bCs/>
                <w:color w:val="000000"/>
                <w:sz w:val="24"/>
                <w:szCs w:val="24"/>
              </w:rPr>
              <w:t xml:space="preserve">$2,333,847.00 </w:t>
            </w:r>
          </w:p>
        </w:tc>
        <w:tc>
          <w:tcPr>
            <w:tcW w:w="1678" w:type="dxa"/>
            <w:tcBorders>
              <w:top w:val="nil"/>
              <w:left w:val="nil"/>
              <w:bottom w:val="single" w:sz="4" w:space="0" w:color="auto"/>
              <w:right w:val="single" w:sz="4" w:space="0" w:color="auto"/>
            </w:tcBorders>
            <w:shd w:val="clear" w:color="auto" w:fill="auto"/>
            <w:noWrap/>
            <w:vAlign w:val="bottom"/>
            <w:hideMark/>
          </w:tcPr>
          <w:p w14:paraId="5D0C1AF1" w14:textId="77777777" w:rsidR="00822687" w:rsidRPr="00E115B9" w:rsidRDefault="00822687" w:rsidP="00822687">
            <w:pPr>
              <w:overflowPunct/>
              <w:autoSpaceDE/>
              <w:autoSpaceDN/>
              <w:adjustRightInd/>
              <w:jc w:val="right"/>
              <w:rPr>
                <w:b/>
                <w:bCs/>
                <w:color w:val="000000"/>
                <w:sz w:val="24"/>
                <w:szCs w:val="24"/>
              </w:rPr>
            </w:pPr>
            <w:r w:rsidRPr="00E115B9">
              <w:rPr>
                <w:b/>
                <w:bCs/>
                <w:color w:val="000000"/>
                <w:sz w:val="24"/>
                <w:szCs w:val="24"/>
              </w:rPr>
              <w:t xml:space="preserve">$1,403,312.80 </w:t>
            </w:r>
          </w:p>
        </w:tc>
      </w:tr>
    </w:tbl>
    <w:p w14:paraId="061F09E8" w14:textId="0D960BA9" w:rsidR="00822687" w:rsidRDefault="00822687" w:rsidP="00822687">
      <w:pPr>
        <w:overflowPunct/>
        <w:autoSpaceDE/>
        <w:autoSpaceDN/>
        <w:adjustRightInd/>
        <w:jc w:val="center"/>
        <w:rPr>
          <w:sz w:val="24"/>
          <w:szCs w:val="24"/>
        </w:rPr>
      </w:pPr>
    </w:p>
    <w:p w14:paraId="0E5DF247" w14:textId="2153114B" w:rsidR="00473C62" w:rsidRPr="00FE170D" w:rsidRDefault="00473C62" w:rsidP="004256B7">
      <w:pPr>
        <w:overflowPunct/>
        <w:autoSpaceDE/>
        <w:autoSpaceDN/>
        <w:adjustRightInd/>
        <w:jc w:val="both"/>
        <w:rPr>
          <w:b/>
          <w:sz w:val="24"/>
          <w:szCs w:val="24"/>
          <w:u w:val="single"/>
        </w:rPr>
      </w:pPr>
      <w:r w:rsidRPr="00FE170D">
        <w:rPr>
          <w:b/>
          <w:sz w:val="24"/>
          <w:szCs w:val="24"/>
          <w:u w:val="single"/>
        </w:rPr>
        <w:t xml:space="preserve">Portfolio and Program </w:t>
      </w:r>
      <w:r w:rsidR="006B7E96">
        <w:rPr>
          <w:b/>
          <w:sz w:val="24"/>
          <w:szCs w:val="24"/>
          <w:u w:val="single"/>
        </w:rPr>
        <w:t>Changes</w:t>
      </w:r>
    </w:p>
    <w:p w14:paraId="296F4489" w14:textId="77777777" w:rsidR="0019458C" w:rsidRDefault="0019458C" w:rsidP="0019458C">
      <w:pPr>
        <w:overflowPunct/>
        <w:autoSpaceDE/>
        <w:autoSpaceDN/>
        <w:adjustRightInd/>
        <w:jc w:val="both"/>
        <w:rPr>
          <w:sz w:val="24"/>
          <w:szCs w:val="24"/>
        </w:rPr>
      </w:pPr>
    </w:p>
    <w:p w14:paraId="7155F7D5" w14:textId="5AB8F312" w:rsidR="00E66F8E" w:rsidRPr="000639D9" w:rsidRDefault="00C117A3" w:rsidP="0019458C">
      <w:pPr>
        <w:overflowPunct/>
        <w:autoSpaceDE/>
        <w:autoSpaceDN/>
        <w:adjustRightInd/>
        <w:jc w:val="both"/>
        <w:rPr>
          <w:b/>
          <w:sz w:val="24"/>
          <w:szCs w:val="24"/>
        </w:rPr>
      </w:pPr>
      <w:r w:rsidRPr="000639D9">
        <w:rPr>
          <w:b/>
          <w:sz w:val="24"/>
          <w:szCs w:val="24"/>
        </w:rPr>
        <w:t>Programs that have ended</w:t>
      </w:r>
      <w:r w:rsidR="0019458C">
        <w:rPr>
          <w:b/>
          <w:sz w:val="24"/>
          <w:szCs w:val="24"/>
        </w:rPr>
        <w:t>:</w:t>
      </w:r>
    </w:p>
    <w:p w14:paraId="0A119D12" w14:textId="30CF6CED" w:rsidR="00E66F8E" w:rsidRDefault="00C117A3" w:rsidP="0019458C">
      <w:pPr>
        <w:overflowPunct/>
        <w:autoSpaceDE/>
        <w:autoSpaceDN/>
        <w:adjustRightInd/>
        <w:ind w:left="720"/>
        <w:jc w:val="both"/>
        <w:rPr>
          <w:sz w:val="24"/>
          <w:szCs w:val="24"/>
        </w:rPr>
      </w:pPr>
      <w:r w:rsidRPr="00605793">
        <w:rPr>
          <w:b/>
          <w:sz w:val="24"/>
          <w:szCs w:val="24"/>
          <w:u w:val="single"/>
        </w:rPr>
        <w:t>Financing</w:t>
      </w:r>
      <w:r w:rsidR="00605793" w:rsidRPr="00605793">
        <w:rPr>
          <w:b/>
          <w:sz w:val="24"/>
          <w:szCs w:val="24"/>
          <w:u w:val="single"/>
        </w:rPr>
        <w:t>:</w:t>
      </w:r>
      <w:r w:rsidRPr="00605793">
        <w:rPr>
          <w:sz w:val="24"/>
          <w:szCs w:val="24"/>
        </w:rPr>
        <w:t xml:space="preserve"> MCE is </w:t>
      </w:r>
      <w:r w:rsidR="009E6268">
        <w:rPr>
          <w:sz w:val="24"/>
          <w:szCs w:val="24"/>
        </w:rPr>
        <w:t>not offering its</w:t>
      </w:r>
      <w:r w:rsidR="00E115B9">
        <w:rPr>
          <w:sz w:val="24"/>
          <w:szCs w:val="24"/>
        </w:rPr>
        <w:t xml:space="preserve"> Financing program in</w:t>
      </w:r>
      <w:r w:rsidRPr="00605793">
        <w:rPr>
          <w:sz w:val="24"/>
          <w:szCs w:val="24"/>
        </w:rPr>
        <w:t xml:space="preserve"> 2019. </w:t>
      </w:r>
      <w:r w:rsidR="00E115B9">
        <w:rPr>
          <w:sz w:val="24"/>
          <w:szCs w:val="24"/>
        </w:rPr>
        <w:t>MCE does not claim savings for this program</w:t>
      </w:r>
      <w:r w:rsidR="0019458C">
        <w:rPr>
          <w:sz w:val="24"/>
          <w:szCs w:val="24"/>
        </w:rPr>
        <w:t>.</w:t>
      </w:r>
      <w:r w:rsidR="00E115B9">
        <w:rPr>
          <w:sz w:val="24"/>
          <w:szCs w:val="24"/>
        </w:rPr>
        <w:t xml:space="preserve"> </w:t>
      </w:r>
      <w:r w:rsidR="0019458C">
        <w:rPr>
          <w:sz w:val="24"/>
          <w:szCs w:val="24"/>
        </w:rPr>
        <w:t>I</w:t>
      </w:r>
      <w:r w:rsidR="009E6268">
        <w:rPr>
          <w:sz w:val="24"/>
          <w:szCs w:val="24"/>
        </w:rPr>
        <w:t xml:space="preserve">t is being closed due to </w:t>
      </w:r>
      <w:r w:rsidR="00E115B9">
        <w:rPr>
          <w:sz w:val="24"/>
          <w:szCs w:val="24"/>
        </w:rPr>
        <w:t xml:space="preserve">low participation and </w:t>
      </w:r>
      <w:r w:rsidR="0019458C">
        <w:rPr>
          <w:sz w:val="24"/>
          <w:szCs w:val="24"/>
        </w:rPr>
        <w:t xml:space="preserve">the availability of </w:t>
      </w:r>
      <w:r w:rsidR="009E6268">
        <w:rPr>
          <w:sz w:val="24"/>
          <w:szCs w:val="24"/>
        </w:rPr>
        <w:t>alternative</w:t>
      </w:r>
      <w:r w:rsidR="00E115B9">
        <w:rPr>
          <w:sz w:val="24"/>
          <w:szCs w:val="24"/>
        </w:rPr>
        <w:t xml:space="preserve"> financing </w:t>
      </w:r>
      <w:r w:rsidR="009E6268">
        <w:rPr>
          <w:sz w:val="24"/>
          <w:szCs w:val="24"/>
        </w:rPr>
        <w:t>options</w:t>
      </w:r>
      <w:r w:rsidR="0019458C">
        <w:rPr>
          <w:sz w:val="24"/>
          <w:szCs w:val="24"/>
        </w:rPr>
        <w:t xml:space="preserve"> for customers</w:t>
      </w:r>
      <w:r w:rsidR="009E6268">
        <w:rPr>
          <w:sz w:val="24"/>
          <w:szCs w:val="24"/>
        </w:rPr>
        <w:t>.</w:t>
      </w:r>
      <w:r w:rsidR="00E115B9">
        <w:rPr>
          <w:sz w:val="24"/>
          <w:szCs w:val="24"/>
        </w:rPr>
        <w:t xml:space="preserve"> </w:t>
      </w:r>
      <w:r w:rsidRPr="00605793">
        <w:rPr>
          <w:sz w:val="24"/>
          <w:szCs w:val="24"/>
        </w:rPr>
        <w:t>MCE will help its customers leverage existing financing programs (</w:t>
      </w:r>
      <w:r w:rsidRPr="00605793">
        <w:rPr>
          <w:i/>
          <w:iCs/>
          <w:sz w:val="24"/>
          <w:szCs w:val="24"/>
        </w:rPr>
        <w:t xml:space="preserve">e.g. </w:t>
      </w:r>
      <w:r w:rsidRPr="00605793">
        <w:rPr>
          <w:sz w:val="24"/>
          <w:szCs w:val="24"/>
        </w:rPr>
        <w:t>CAEATFA).</w:t>
      </w:r>
    </w:p>
    <w:p w14:paraId="527A6785" w14:textId="77777777" w:rsidR="0019458C" w:rsidRDefault="0019458C" w:rsidP="0019458C">
      <w:pPr>
        <w:overflowPunct/>
        <w:autoSpaceDE/>
        <w:autoSpaceDN/>
        <w:adjustRightInd/>
        <w:jc w:val="both"/>
        <w:rPr>
          <w:sz w:val="24"/>
          <w:szCs w:val="24"/>
        </w:rPr>
      </w:pPr>
    </w:p>
    <w:p w14:paraId="60C36439" w14:textId="0451E7B0" w:rsidR="00E66F8E" w:rsidRPr="000639D9" w:rsidRDefault="00C117A3" w:rsidP="0019458C">
      <w:pPr>
        <w:overflowPunct/>
        <w:autoSpaceDE/>
        <w:autoSpaceDN/>
        <w:adjustRightInd/>
        <w:jc w:val="both"/>
        <w:rPr>
          <w:b/>
          <w:sz w:val="24"/>
          <w:szCs w:val="24"/>
        </w:rPr>
      </w:pPr>
      <w:r w:rsidRPr="000639D9">
        <w:rPr>
          <w:b/>
          <w:sz w:val="24"/>
          <w:szCs w:val="24"/>
        </w:rPr>
        <w:t>Programs unchanged from 2018 to 2019</w:t>
      </w:r>
      <w:r w:rsidR="0019458C">
        <w:rPr>
          <w:b/>
          <w:sz w:val="24"/>
          <w:szCs w:val="24"/>
        </w:rPr>
        <w:t>:</w:t>
      </w:r>
    </w:p>
    <w:p w14:paraId="42E8D0BF" w14:textId="2F9EE699" w:rsidR="00E66F8E" w:rsidRPr="00605793" w:rsidRDefault="00C117A3" w:rsidP="0019458C">
      <w:pPr>
        <w:overflowPunct/>
        <w:autoSpaceDE/>
        <w:autoSpaceDN/>
        <w:adjustRightInd/>
        <w:ind w:left="720"/>
        <w:jc w:val="both"/>
        <w:rPr>
          <w:sz w:val="24"/>
          <w:szCs w:val="24"/>
        </w:rPr>
      </w:pPr>
      <w:r w:rsidRPr="00605793">
        <w:rPr>
          <w:b/>
          <w:sz w:val="24"/>
          <w:szCs w:val="24"/>
          <w:u w:val="single"/>
        </w:rPr>
        <w:t>Multifamily Program:</w:t>
      </w:r>
      <w:r w:rsidR="00605793" w:rsidRPr="00605793">
        <w:rPr>
          <w:b/>
          <w:sz w:val="24"/>
          <w:szCs w:val="24"/>
        </w:rPr>
        <w:t xml:space="preserve"> </w:t>
      </w:r>
      <w:r w:rsidRPr="00605793">
        <w:rPr>
          <w:sz w:val="24"/>
          <w:szCs w:val="24"/>
        </w:rPr>
        <w:t>This program provides complimentary walk-through energy assessments and technical assistance to identify energy and water saving opportunities at multifamily properties. To help implement these energy upgrades, the program provides cash rebates, assists with contractor bid solicitations and educates and trains operations and maintenance staff. </w:t>
      </w:r>
    </w:p>
    <w:p w14:paraId="789D1AC1" w14:textId="7E014EC0" w:rsidR="00E66F8E" w:rsidRDefault="00C117A3" w:rsidP="0019458C">
      <w:pPr>
        <w:overflowPunct/>
        <w:autoSpaceDE/>
        <w:autoSpaceDN/>
        <w:adjustRightInd/>
        <w:ind w:left="720"/>
        <w:jc w:val="both"/>
        <w:rPr>
          <w:sz w:val="24"/>
          <w:szCs w:val="24"/>
        </w:rPr>
      </w:pPr>
      <w:r w:rsidRPr="00605793">
        <w:rPr>
          <w:b/>
          <w:sz w:val="24"/>
          <w:szCs w:val="24"/>
          <w:u w:val="single"/>
        </w:rPr>
        <w:t>Seasonal Savings Program:</w:t>
      </w:r>
      <w:r w:rsidRPr="00605793">
        <w:rPr>
          <w:sz w:val="24"/>
          <w:szCs w:val="24"/>
        </w:rPr>
        <w:t> This program offers customers the opportunity to make their cooling and heating schedules more efficient through a series of small adjustments to scheduled temperatures by a software algorithm. Customers are offered the program on their thermostat and/or through a phone app and must opt-in to participate.</w:t>
      </w:r>
    </w:p>
    <w:p w14:paraId="4B5BA804" w14:textId="77777777" w:rsidR="0019458C" w:rsidRDefault="0019458C" w:rsidP="0019458C">
      <w:pPr>
        <w:overflowPunct/>
        <w:autoSpaceDE/>
        <w:autoSpaceDN/>
        <w:adjustRightInd/>
        <w:jc w:val="both"/>
        <w:rPr>
          <w:sz w:val="24"/>
          <w:szCs w:val="24"/>
        </w:rPr>
      </w:pPr>
    </w:p>
    <w:p w14:paraId="7F1F4F77" w14:textId="55320A53" w:rsidR="00E66F8E" w:rsidRPr="000639D9" w:rsidRDefault="00C117A3" w:rsidP="0019458C">
      <w:pPr>
        <w:overflowPunct/>
        <w:autoSpaceDE/>
        <w:autoSpaceDN/>
        <w:adjustRightInd/>
        <w:jc w:val="both"/>
        <w:rPr>
          <w:b/>
          <w:sz w:val="24"/>
          <w:szCs w:val="24"/>
        </w:rPr>
      </w:pPr>
      <w:r w:rsidRPr="000639D9">
        <w:rPr>
          <w:b/>
          <w:sz w:val="24"/>
          <w:szCs w:val="24"/>
        </w:rPr>
        <w:t>Programs that have changes</w:t>
      </w:r>
      <w:r w:rsidR="0019458C">
        <w:rPr>
          <w:b/>
          <w:sz w:val="24"/>
          <w:szCs w:val="24"/>
        </w:rPr>
        <w:t>:</w:t>
      </w:r>
    </w:p>
    <w:p w14:paraId="6F388A3A" w14:textId="7BC3059D" w:rsidR="00E66F8E" w:rsidRDefault="00C117A3" w:rsidP="0019458C">
      <w:pPr>
        <w:overflowPunct/>
        <w:autoSpaceDE/>
        <w:autoSpaceDN/>
        <w:adjustRightInd/>
        <w:ind w:left="720"/>
        <w:jc w:val="both"/>
        <w:rPr>
          <w:sz w:val="24"/>
          <w:szCs w:val="24"/>
        </w:rPr>
      </w:pPr>
      <w:r w:rsidRPr="00605793">
        <w:rPr>
          <w:b/>
          <w:sz w:val="24"/>
          <w:szCs w:val="24"/>
          <w:u w:val="single"/>
        </w:rPr>
        <w:t>Commercial:</w:t>
      </w:r>
      <w:r w:rsidRPr="00605793">
        <w:rPr>
          <w:sz w:val="24"/>
          <w:szCs w:val="24"/>
        </w:rPr>
        <w:t xml:space="preserve"> The program provides support to all commercial customers in MCE's service area. Its primary objectives are to facilitate the uptake of high quality energy efficiency projects, and improve the technical capability, pricing and program experience of both customers and the local contractor community. The program aims to achieve these </w:t>
      </w:r>
      <w:r w:rsidRPr="00605793">
        <w:rPr>
          <w:sz w:val="24"/>
          <w:szCs w:val="24"/>
        </w:rPr>
        <w:lastRenderedPageBreak/>
        <w:t>objectives through a customer and contractor-friendly project assessment platform, competitive bidding, contractor training resources and ongoing coordination with PG&amp;E programs which also serve commercial customers. The program is undergoing an expanded scope, alongside new customer and contractor engagement strategies.</w:t>
      </w:r>
    </w:p>
    <w:p w14:paraId="03BB54B8" w14:textId="77777777" w:rsidR="0019458C" w:rsidRPr="00605793" w:rsidRDefault="0019458C" w:rsidP="0019458C">
      <w:pPr>
        <w:overflowPunct/>
        <w:autoSpaceDE/>
        <w:autoSpaceDN/>
        <w:adjustRightInd/>
        <w:ind w:left="720"/>
        <w:jc w:val="both"/>
        <w:rPr>
          <w:sz w:val="24"/>
          <w:szCs w:val="24"/>
        </w:rPr>
      </w:pPr>
    </w:p>
    <w:p w14:paraId="671BD8F7" w14:textId="4109E343" w:rsidR="00E66F8E" w:rsidRPr="000639D9" w:rsidRDefault="00C117A3" w:rsidP="0019458C">
      <w:pPr>
        <w:overflowPunct/>
        <w:autoSpaceDE/>
        <w:autoSpaceDN/>
        <w:adjustRightInd/>
        <w:jc w:val="both"/>
        <w:rPr>
          <w:b/>
          <w:sz w:val="24"/>
          <w:szCs w:val="24"/>
        </w:rPr>
      </w:pPr>
      <w:r w:rsidRPr="000639D9">
        <w:rPr>
          <w:b/>
          <w:sz w:val="24"/>
          <w:szCs w:val="24"/>
        </w:rPr>
        <w:t>Programs to be launched in 2019</w:t>
      </w:r>
      <w:r w:rsidR="0019458C">
        <w:rPr>
          <w:b/>
          <w:sz w:val="24"/>
          <w:szCs w:val="24"/>
        </w:rPr>
        <w:t>”</w:t>
      </w:r>
    </w:p>
    <w:p w14:paraId="325F6C59" w14:textId="71142086" w:rsidR="00E66F8E" w:rsidRPr="00605793" w:rsidRDefault="00C117A3" w:rsidP="0019458C">
      <w:pPr>
        <w:overflowPunct/>
        <w:autoSpaceDE/>
        <w:autoSpaceDN/>
        <w:adjustRightInd/>
        <w:ind w:left="720"/>
        <w:jc w:val="both"/>
        <w:rPr>
          <w:sz w:val="24"/>
          <w:szCs w:val="24"/>
        </w:rPr>
      </w:pPr>
      <w:r w:rsidRPr="00605793">
        <w:rPr>
          <w:b/>
          <w:sz w:val="24"/>
          <w:szCs w:val="24"/>
          <w:u w:val="single"/>
        </w:rPr>
        <w:t>Industrial:</w:t>
      </w:r>
      <w:r w:rsidR="00605793">
        <w:rPr>
          <w:sz w:val="24"/>
          <w:szCs w:val="24"/>
        </w:rPr>
        <w:t xml:space="preserve"> </w:t>
      </w:r>
      <w:r w:rsidRPr="00605793">
        <w:rPr>
          <w:sz w:val="24"/>
          <w:szCs w:val="24"/>
        </w:rPr>
        <w:t xml:space="preserve">This program will provide technical project development resources, procurement support and a mix of deemed and calculated incentives for industrial customers within MCE’s service area. </w:t>
      </w:r>
    </w:p>
    <w:p w14:paraId="11CC6C66" w14:textId="77777777" w:rsidR="00E66F8E" w:rsidRPr="00605793" w:rsidRDefault="00C117A3" w:rsidP="0019458C">
      <w:pPr>
        <w:overflowPunct/>
        <w:autoSpaceDE/>
        <w:autoSpaceDN/>
        <w:adjustRightInd/>
        <w:ind w:left="720"/>
        <w:jc w:val="both"/>
        <w:rPr>
          <w:sz w:val="24"/>
          <w:szCs w:val="24"/>
        </w:rPr>
      </w:pPr>
      <w:r w:rsidRPr="00605793">
        <w:rPr>
          <w:b/>
          <w:sz w:val="24"/>
          <w:szCs w:val="24"/>
          <w:u w:val="single"/>
        </w:rPr>
        <w:t>Agricultural:</w:t>
      </w:r>
      <w:r w:rsidRPr="00605793">
        <w:rPr>
          <w:sz w:val="24"/>
          <w:szCs w:val="24"/>
        </w:rPr>
        <w:t xml:space="preserve"> This program will provide technical project development resources, procurement support and a mix of deemed and calculated incentives for agricultural customers.</w:t>
      </w:r>
    </w:p>
    <w:p w14:paraId="32D3EE5F" w14:textId="77777777" w:rsidR="00E66F8E" w:rsidRPr="00605793" w:rsidRDefault="00C117A3" w:rsidP="0019458C">
      <w:pPr>
        <w:overflowPunct/>
        <w:autoSpaceDE/>
        <w:autoSpaceDN/>
        <w:adjustRightInd/>
        <w:ind w:left="720"/>
        <w:jc w:val="both"/>
        <w:rPr>
          <w:sz w:val="24"/>
          <w:szCs w:val="24"/>
        </w:rPr>
      </w:pPr>
      <w:r w:rsidRPr="00605793">
        <w:rPr>
          <w:b/>
          <w:sz w:val="24"/>
          <w:szCs w:val="24"/>
          <w:u w:val="single"/>
        </w:rPr>
        <w:t>Single Family, Single Measure:</w:t>
      </w:r>
      <w:r w:rsidRPr="00605793">
        <w:rPr>
          <w:sz w:val="24"/>
          <w:szCs w:val="24"/>
        </w:rPr>
        <w:t> This program will provide home owners the opportunity to receive one-off rebates for measures including lighting, HVAC, insulation, and efficient appliances. There will be higher rebates for measures that offer benefits across multiple resources (water-energy, for example).</w:t>
      </w:r>
    </w:p>
    <w:p w14:paraId="076C81F1" w14:textId="77777777" w:rsidR="00E66F8E" w:rsidRPr="00605793" w:rsidRDefault="00C117A3" w:rsidP="0019458C">
      <w:pPr>
        <w:overflowPunct/>
        <w:autoSpaceDE/>
        <w:autoSpaceDN/>
        <w:adjustRightInd/>
        <w:ind w:left="720"/>
        <w:jc w:val="both"/>
        <w:rPr>
          <w:sz w:val="24"/>
          <w:szCs w:val="24"/>
        </w:rPr>
      </w:pPr>
      <w:r w:rsidRPr="00605793">
        <w:rPr>
          <w:b/>
          <w:sz w:val="24"/>
          <w:szCs w:val="24"/>
          <w:u w:val="single"/>
        </w:rPr>
        <w:t>Single Family Comprehensive:</w:t>
      </w:r>
      <w:r w:rsidRPr="00605793">
        <w:rPr>
          <w:sz w:val="24"/>
          <w:szCs w:val="24"/>
        </w:rPr>
        <w:t xml:space="preserve"> This program will offer a variety of strategies including but not limited to behavioral interventions, ZNC, new construction, and comprehensive retrofits. </w:t>
      </w:r>
    </w:p>
    <w:p w14:paraId="68C19C57" w14:textId="77777777" w:rsidR="00E66F8E" w:rsidRPr="00605793" w:rsidRDefault="00C117A3" w:rsidP="0019458C">
      <w:pPr>
        <w:overflowPunct/>
        <w:autoSpaceDE/>
        <w:autoSpaceDN/>
        <w:adjustRightInd/>
        <w:ind w:left="720"/>
        <w:jc w:val="both"/>
        <w:rPr>
          <w:sz w:val="24"/>
          <w:szCs w:val="24"/>
        </w:rPr>
      </w:pPr>
      <w:r w:rsidRPr="00605793">
        <w:rPr>
          <w:b/>
          <w:sz w:val="24"/>
          <w:szCs w:val="24"/>
          <w:u w:val="single"/>
        </w:rPr>
        <w:t>Single Family Standalone Direct Install:</w:t>
      </w:r>
      <w:r w:rsidRPr="00605793">
        <w:rPr>
          <w:sz w:val="24"/>
          <w:szCs w:val="24"/>
        </w:rPr>
        <w:t> This program will provide no-cost energy and water saving upgrades, health and safety measures, and access to other resources and non-energy services for single family homeowners and renters. This offering will include conservation education.</w:t>
      </w:r>
    </w:p>
    <w:p w14:paraId="6697B2BC" w14:textId="77777777" w:rsidR="00E66F8E" w:rsidRPr="00605793" w:rsidRDefault="00C117A3" w:rsidP="0019458C">
      <w:pPr>
        <w:overflowPunct/>
        <w:autoSpaceDE/>
        <w:autoSpaceDN/>
        <w:adjustRightInd/>
        <w:ind w:left="720"/>
        <w:jc w:val="both"/>
        <w:rPr>
          <w:sz w:val="24"/>
          <w:szCs w:val="24"/>
        </w:rPr>
      </w:pPr>
      <w:r w:rsidRPr="00605793">
        <w:rPr>
          <w:b/>
          <w:sz w:val="24"/>
          <w:szCs w:val="24"/>
          <w:u w:val="single"/>
        </w:rPr>
        <w:t>Multifamily Single Measure:</w:t>
      </w:r>
      <w:r w:rsidRPr="00605793">
        <w:rPr>
          <w:sz w:val="24"/>
          <w:szCs w:val="24"/>
        </w:rPr>
        <w:t xml:space="preserve"> This program will provide multifamily property owners the opportunity to receive one-off rebates for measures including lighting, HVAC, insulation, and efficient appliances. There will be higher rebates for measures that offer benefits across multiple resources (water-energy, for example).</w:t>
      </w:r>
    </w:p>
    <w:p w14:paraId="64B0BD2C" w14:textId="77777777" w:rsidR="00E66F8E" w:rsidRPr="00605793" w:rsidRDefault="00C117A3" w:rsidP="0019458C">
      <w:pPr>
        <w:overflowPunct/>
        <w:autoSpaceDE/>
        <w:autoSpaceDN/>
        <w:adjustRightInd/>
        <w:ind w:left="720"/>
        <w:jc w:val="both"/>
        <w:rPr>
          <w:sz w:val="24"/>
          <w:szCs w:val="24"/>
        </w:rPr>
      </w:pPr>
      <w:r w:rsidRPr="00605793">
        <w:rPr>
          <w:b/>
          <w:sz w:val="24"/>
          <w:szCs w:val="24"/>
          <w:u w:val="single"/>
        </w:rPr>
        <w:t>Multifamily Standalone Direct Install:</w:t>
      </w:r>
      <w:r w:rsidRPr="00605793">
        <w:rPr>
          <w:sz w:val="24"/>
          <w:szCs w:val="24"/>
        </w:rPr>
        <w:t xml:space="preserve"> This program will provide no-cost energy and water saving upgrades, health and safety measures, and access to other resources and non-energy services for multifamily unit residents. This offering will include conservation education for tenants.  </w:t>
      </w:r>
    </w:p>
    <w:p w14:paraId="2F3A2C3A" w14:textId="77777777" w:rsidR="006B7E96" w:rsidRDefault="006B7E96" w:rsidP="004256B7">
      <w:pPr>
        <w:overflowPunct/>
        <w:autoSpaceDE/>
        <w:autoSpaceDN/>
        <w:adjustRightInd/>
        <w:jc w:val="both"/>
        <w:rPr>
          <w:b/>
          <w:sz w:val="24"/>
          <w:szCs w:val="24"/>
        </w:rPr>
      </w:pPr>
    </w:p>
    <w:p w14:paraId="732A8767" w14:textId="77777777" w:rsidR="002130A3" w:rsidRDefault="002130A3" w:rsidP="002130A3">
      <w:pPr>
        <w:rPr>
          <w:b/>
          <w:sz w:val="24"/>
          <w:szCs w:val="24"/>
          <w:u w:val="single"/>
        </w:rPr>
      </w:pPr>
      <w:r>
        <w:rPr>
          <w:b/>
          <w:sz w:val="24"/>
          <w:szCs w:val="24"/>
          <w:u w:val="single"/>
        </w:rPr>
        <w:t>Conclusion</w:t>
      </w:r>
    </w:p>
    <w:p w14:paraId="419971B4" w14:textId="77777777" w:rsidR="002130A3" w:rsidRDefault="002130A3" w:rsidP="002130A3">
      <w:pPr>
        <w:rPr>
          <w:b/>
          <w:sz w:val="24"/>
          <w:szCs w:val="24"/>
          <w:u w:val="single"/>
        </w:rPr>
      </w:pPr>
    </w:p>
    <w:p w14:paraId="23B51925" w14:textId="60BBDA60" w:rsidR="00370246" w:rsidRDefault="00605793" w:rsidP="009C4649">
      <w:pPr>
        <w:widowControl w:val="0"/>
        <w:jc w:val="both"/>
        <w:rPr>
          <w:sz w:val="24"/>
          <w:szCs w:val="24"/>
        </w:rPr>
      </w:pPr>
      <w:r w:rsidRPr="00605793">
        <w:rPr>
          <w:sz w:val="24"/>
          <w:szCs w:val="24"/>
        </w:rPr>
        <w:t xml:space="preserve">MCE </w:t>
      </w:r>
      <w:r w:rsidR="0019458C">
        <w:rPr>
          <w:sz w:val="24"/>
          <w:szCs w:val="24"/>
        </w:rPr>
        <w:t xml:space="preserve">respectfully </w:t>
      </w:r>
      <w:r w:rsidRPr="00605793">
        <w:rPr>
          <w:sz w:val="24"/>
          <w:szCs w:val="24"/>
        </w:rPr>
        <w:t>requests the Commission approve its 2019 energy efficiency portfolio budget.</w:t>
      </w:r>
    </w:p>
    <w:p w14:paraId="5C66333C" w14:textId="77777777" w:rsidR="00C42414" w:rsidRPr="00C42414" w:rsidRDefault="00C42414" w:rsidP="009C4649">
      <w:pPr>
        <w:widowControl w:val="0"/>
        <w:jc w:val="both"/>
        <w:rPr>
          <w:sz w:val="24"/>
          <w:szCs w:val="24"/>
        </w:rPr>
      </w:pPr>
    </w:p>
    <w:p w14:paraId="1941F03A" w14:textId="77777777" w:rsidR="009A17C6" w:rsidRPr="009027CD" w:rsidRDefault="009A17C6" w:rsidP="009C4649">
      <w:pPr>
        <w:widowControl w:val="0"/>
        <w:overflowPunct/>
        <w:jc w:val="both"/>
        <w:rPr>
          <w:b/>
          <w:sz w:val="24"/>
          <w:szCs w:val="24"/>
          <w:u w:val="single"/>
        </w:rPr>
      </w:pPr>
      <w:r w:rsidRPr="009027CD">
        <w:rPr>
          <w:b/>
          <w:sz w:val="24"/>
          <w:szCs w:val="24"/>
          <w:u w:val="single"/>
        </w:rPr>
        <w:t>Notice</w:t>
      </w:r>
    </w:p>
    <w:p w14:paraId="11A9A449" w14:textId="77777777" w:rsidR="009A17C6" w:rsidRPr="009027CD" w:rsidRDefault="009A17C6" w:rsidP="009C4649">
      <w:pPr>
        <w:widowControl w:val="0"/>
        <w:overflowPunct/>
        <w:jc w:val="both"/>
        <w:rPr>
          <w:sz w:val="24"/>
          <w:szCs w:val="24"/>
        </w:rPr>
      </w:pPr>
    </w:p>
    <w:p w14:paraId="7955FBF7" w14:textId="0BFFF91C" w:rsidR="00370246" w:rsidRDefault="00143D87" w:rsidP="009C4649">
      <w:pPr>
        <w:widowControl w:val="0"/>
        <w:overflowPunct/>
        <w:jc w:val="both"/>
        <w:rPr>
          <w:sz w:val="24"/>
          <w:szCs w:val="24"/>
        </w:rPr>
      </w:pPr>
      <w:r>
        <w:rPr>
          <w:sz w:val="24"/>
          <w:szCs w:val="24"/>
        </w:rPr>
        <w:t>A copy of this AL</w:t>
      </w:r>
      <w:r w:rsidR="00370246">
        <w:rPr>
          <w:sz w:val="24"/>
          <w:szCs w:val="24"/>
        </w:rPr>
        <w:t xml:space="preserve"> is being served on the official Commission service lists for Application 17-01-013, </w:t>
      </w:r>
      <w:r w:rsidR="00370246">
        <w:rPr>
          <w:i/>
          <w:sz w:val="24"/>
          <w:szCs w:val="24"/>
        </w:rPr>
        <w:t xml:space="preserve">et </w:t>
      </w:r>
      <w:r w:rsidR="00370246" w:rsidRPr="00370246">
        <w:rPr>
          <w:i/>
          <w:sz w:val="24"/>
          <w:szCs w:val="24"/>
        </w:rPr>
        <w:t>al</w:t>
      </w:r>
      <w:r w:rsidR="00370246">
        <w:rPr>
          <w:sz w:val="24"/>
          <w:szCs w:val="24"/>
        </w:rPr>
        <w:t>. and</w:t>
      </w:r>
      <w:r>
        <w:rPr>
          <w:sz w:val="24"/>
          <w:szCs w:val="24"/>
        </w:rPr>
        <w:t xml:space="preserve"> Rulemaking 13-11-0</w:t>
      </w:r>
      <w:r w:rsidR="00370246">
        <w:rPr>
          <w:sz w:val="24"/>
          <w:szCs w:val="24"/>
        </w:rPr>
        <w:t>05.</w:t>
      </w:r>
    </w:p>
    <w:p w14:paraId="3FFEF76B" w14:textId="77777777" w:rsidR="00370246" w:rsidRDefault="00370246" w:rsidP="009C4649">
      <w:pPr>
        <w:widowControl w:val="0"/>
        <w:overflowPunct/>
        <w:jc w:val="both"/>
        <w:rPr>
          <w:sz w:val="24"/>
          <w:szCs w:val="24"/>
        </w:rPr>
      </w:pPr>
    </w:p>
    <w:p w14:paraId="7F8425E7" w14:textId="77777777" w:rsidR="00370246" w:rsidRDefault="00370246" w:rsidP="00370246">
      <w:pPr>
        <w:overflowPunct/>
        <w:jc w:val="both"/>
        <w:rPr>
          <w:sz w:val="24"/>
          <w:szCs w:val="24"/>
        </w:rPr>
      </w:pPr>
      <w:r w:rsidRPr="004063C7">
        <w:rPr>
          <w:sz w:val="24"/>
          <w:szCs w:val="24"/>
        </w:rPr>
        <w:t>For changes to th</w:t>
      </w:r>
      <w:r>
        <w:rPr>
          <w:sz w:val="24"/>
          <w:szCs w:val="24"/>
        </w:rPr>
        <w:t>e</w:t>
      </w:r>
      <w:r w:rsidRPr="004063C7">
        <w:rPr>
          <w:sz w:val="24"/>
          <w:szCs w:val="24"/>
        </w:rPr>
        <w:t>s</w:t>
      </w:r>
      <w:r>
        <w:rPr>
          <w:sz w:val="24"/>
          <w:szCs w:val="24"/>
        </w:rPr>
        <w:t>e</w:t>
      </w:r>
      <w:r w:rsidRPr="004063C7">
        <w:rPr>
          <w:sz w:val="24"/>
          <w:szCs w:val="24"/>
        </w:rPr>
        <w:t xml:space="preserve"> service list</w:t>
      </w:r>
      <w:r>
        <w:rPr>
          <w:sz w:val="24"/>
          <w:szCs w:val="24"/>
        </w:rPr>
        <w:t>s</w:t>
      </w:r>
      <w:r w:rsidRPr="004063C7">
        <w:rPr>
          <w:sz w:val="24"/>
          <w:szCs w:val="24"/>
        </w:rPr>
        <w:t xml:space="preserve">, please contact the Commission’s Process Office at (415) 703-2021 or by electronic mail at </w:t>
      </w:r>
      <w:hyperlink r:id="rId9" w:history="1">
        <w:r w:rsidRPr="004063C7">
          <w:rPr>
            <w:rStyle w:val="Hyperlink"/>
            <w:sz w:val="24"/>
            <w:szCs w:val="24"/>
          </w:rPr>
          <w:t>Process_Office@cpuc.ca.gov</w:t>
        </w:r>
      </w:hyperlink>
      <w:r w:rsidRPr="004063C7">
        <w:rPr>
          <w:sz w:val="24"/>
          <w:szCs w:val="24"/>
        </w:rPr>
        <w:t>.</w:t>
      </w:r>
    </w:p>
    <w:p w14:paraId="33668835" w14:textId="77777777" w:rsidR="00370246" w:rsidRDefault="00370246" w:rsidP="009C4649">
      <w:pPr>
        <w:widowControl w:val="0"/>
        <w:overflowPunct/>
        <w:jc w:val="both"/>
        <w:rPr>
          <w:sz w:val="24"/>
          <w:szCs w:val="24"/>
        </w:rPr>
      </w:pPr>
    </w:p>
    <w:p w14:paraId="0BAF0828" w14:textId="54D8961C" w:rsidR="00370246" w:rsidRPr="00370246" w:rsidRDefault="00370246" w:rsidP="009C4649">
      <w:pPr>
        <w:widowControl w:val="0"/>
        <w:overflowPunct/>
        <w:jc w:val="both"/>
        <w:rPr>
          <w:b/>
          <w:sz w:val="24"/>
          <w:szCs w:val="24"/>
          <w:u w:val="single"/>
        </w:rPr>
      </w:pPr>
      <w:r>
        <w:rPr>
          <w:b/>
          <w:sz w:val="24"/>
          <w:szCs w:val="24"/>
          <w:u w:val="single"/>
        </w:rPr>
        <w:t>Protests</w:t>
      </w:r>
    </w:p>
    <w:p w14:paraId="6CF7E8A2" w14:textId="77777777" w:rsidR="00370246" w:rsidRDefault="00370246" w:rsidP="009C4649">
      <w:pPr>
        <w:widowControl w:val="0"/>
        <w:overflowPunct/>
        <w:jc w:val="both"/>
        <w:rPr>
          <w:sz w:val="24"/>
          <w:szCs w:val="24"/>
        </w:rPr>
      </w:pPr>
    </w:p>
    <w:p w14:paraId="6CDC67D5" w14:textId="10539505" w:rsidR="009A17C6" w:rsidRDefault="009A17C6" w:rsidP="009C4649">
      <w:pPr>
        <w:widowControl w:val="0"/>
        <w:overflowPunct/>
        <w:jc w:val="both"/>
        <w:rPr>
          <w:sz w:val="24"/>
          <w:szCs w:val="24"/>
        </w:rPr>
      </w:pPr>
      <w:r w:rsidRPr="00370246">
        <w:rPr>
          <w:sz w:val="24"/>
          <w:szCs w:val="24"/>
        </w:rPr>
        <w:lastRenderedPageBreak/>
        <w:t>Anyone</w:t>
      </w:r>
      <w:r>
        <w:rPr>
          <w:sz w:val="24"/>
          <w:szCs w:val="24"/>
        </w:rPr>
        <w:t xml:space="preserve"> wishing to protest this advice filing may do so by letter via U.S. Mail, facsimile, or electronically, any of which must be received no later than 20 days after the date of this advice filing. Protests should be mailed to:</w:t>
      </w:r>
    </w:p>
    <w:p w14:paraId="193589FF" w14:textId="77777777" w:rsidR="009C4649" w:rsidRDefault="009A17C6" w:rsidP="009C4649">
      <w:pPr>
        <w:widowControl w:val="0"/>
        <w:overflowPunct/>
        <w:jc w:val="both"/>
        <w:rPr>
          <w:sz w:val="24"/>
          <w:szCs w:val="24"/>
        </w:rPr>
      </w:pPr>
      <w:r>
        <w:rPr>
          <w:sz w:val="24"/>
          <w:szCs w:val="24"/>
        </w:rPr>
        <w:tab/>
      </w:r>
      <w:r>
        <w:rPr>
          <w:sz w:val="24"/>
          <w:szCs w:val="24"/>
        </w:rPr>
        <w:tab/>
      </w:r>
    </w:p>
    <w:p w14:paraId="5E884CEA" w14:textId="35FBBA81" w:rsidR="009A17C6" w:rsidRDefault="009A17C6" w:rsidP="009C4649">
      <w:pPr>
        <w:widowControl w:val="0"/>
        <w:overflowPunct/>
        <w:ind w:left="720" w:firstLine="720"/>
        <w:jc w:val="both"/>
        <w:rPr>
          <w:sz w:val="24"/>
          <w:szCs w:val="24"/>
        </w:rPr>
      </w:pPr>
      <w:r>
        <w:rPr>
          <w:sz w:val="24"/>
          <w:szCs w:val="24"/>
        </w:rPr>
        <w:t>CPUC, Energy Division</w:t>
      </w:r>
    </w:p>
    <w:p w14:paraId="2DFB94A3" w14:textId="77777777" w:rsidR="009A17C6" w:rsidRDefault="009A17C6" w:rsidP="009C4649">
      <w:pPr>
        <w:widowControl w:val="0"/>
        <w:overflowPunct/>
        <w:jc w:val="both"/>
        <w:rPr>
          <w:sz w:val="24"/>
          <w:szCs w:val="24"/>
        </w:rPr>
      </w:pPr>
      <w:r>
        <w:rPr>
          <w:sz w:val="24"/>
          <w:szCs w:val="24"/>
        </w:rPr>
        <w:tab/>
      </w:r>
      <w:r>
        <w:rPr>
          <w:sz w:val="24"/>
          <w:szCs w:val="24"/>
        </w:rPr>
        <w:tab/>
        <w:t>Attention: Tariff Unit</w:t>
      </w:r>
    </w:p>
    <w:p w14:paraId="2781ECB6" w14:textId="77777777" w:rsidR="009A17C6" w:rsidRDefault="009A17C6" w:rsidP="009C4649">
      <w:pPr>
        <w:widowControl w:val="0"/>
        <w:overflowPunct/>
        <w:jc w:val="both"/>
        <w:rPr>
          <w:sz w:val="24"/>
          <w:szCs w:val="24"/>
        </w:rPr>
      </w:pPr>
      <w:r>
        <w:rPr>
          <w:sz w:val="24"/>
          <w:szCs w:val="24"/>
        </w:rPr>
        <w:tab/>
      </w:r>
      <w:r>
        <w:rPr>
          <w:sz w:val="24"/>
          <w:szCs w:val="24"/>
        </w:rPr>
        <w:tab/>
        <w:t>505 Van Ness Avenue</w:t>
      </w:r>
    </w:p>
    <w:p w14:paraId="3E62BE23" w14:textId="77777777" w:rsidR="009A17C6" w:rsidRDefault="009A17C6" w:rsidP="009C4649">
      <w:pPr>
        <w:widowControl w:val="0"/>
        <w:overflowPunct/>
        <w:jc w:val="both"/>
        <w:rPr>
          <w:sz w:val="24"/>
          <w:szCs w:val="24"/>
        </w:rPr>
      </w:pPr>
      <w:r>
        <w:rPr>
          <w:sz w:val="24"/>
          <w:szCs w:val="24"/>
        </w:rPr>
        <w:tab/>
      </w:r>
      <w:r>
        <w:rPr>
          <w:sz w:val="24"/>
          <w:szCs w:val="24"/>
        </w:rPr>
        <w:tab/>
        <w:t>San Francisco, CA 94102</w:t>
      </w:r>
    </w:p>
    <w:p w14:paraId="6D250B25" w14:textId="77777777" w:rsidR="009A17C6" w:rsidRDefault="009A17C6" w:rsidP="009C4649">
      <w:pPr>
        <w:widowControl w:val="0"/>
        <w:overflowPunct/>
        <w:jc w:val="both"/>
        <w:rPr>
          <w:sz w:val="24"/>
          <w:szCs w:val="24"/>
        </w:rPr>
      </w:pPr>
      <w:r>
        <w:rPr>
          <w:sz w:val="24"/>
          <w:szCs w:val="24"/>
        </w:rPr>
        <w:tab/>
      </w:r>
      <w:r>
        <w:rPr>
          <w:sz w:val="24"/>
          <w:szCs w:val="24"/>
        </w:rPr>
        <w:tab/>
        <w:t xml:space="preserve">Email: </w:t>
      </w:r>
      <w:hyperlink r:id="rId10" w:history="1">
        <w:r w:rsidRPr="008E0CBE">
          <w:rPr>
            <w:rStyle w:val="Hyperlink"/>
            <w:sz w:val="24"/>
            <w:szCs w:val="24"/>
          </w:rPr>
          <w:t>EDTariffUnit@cpuc.ca.gov</w:t>
        </w:r>
      </w:hyperlink>
    </w:p>
    <w:p w14:paraId="412980C1" w14:textId="77777777" w:rsidR="009A17C6" w:rsidRDefault="009A17C6" w:rsidP="009C4649">
      <w:pPr>
        <w:widowControl w:val="0"/>
        <w:overflowPunct/>
        <w:jc w:val="both"/>
        <w:rPr>
          <w:sz w:val="24"/>
          <w:szCs w:val="24"/>
        </w:rPr>
      </w:pPr>
    </w:p>
    <w:p w14:paraId="73C041A5" w14:textId="0410A69E" w:rsidR="00E2117F" w:rsidRDefault="009A17C6" w:rsidP="009C4649">
      <w:pPr>
        <w:widowControl w:val="0"/>
        <w:overflowPunct/>
        <w:jc w:val="both"/>
        <w:rPr>
          <w:sz w:val="24"/>
          <w:szCs w:val="24"/>
        </w:rPr>
      </w:pPr>
      <w:r w:rsidRPr="004063C7">
        <w:rPr>
          <w:sz w:val="24"/>
          <w:szCs w:val="24"/>
        </w:rPr>
        <w:t>Copies should also be mailed to the attention of the Director, Energy Division, Room 4004 (same address as above).</w:t>
      </w:r>
    </w:p>
    <w:p w14:paraId="31A3557F" w14:textId="77777777" w:rsidR="00E2117F" w:rsidRDefault="00E2117F" w:rsidP="009C4649">
      <w:pPr>
        <w:widowControl w:val="0"/>
        <w:overflowPunct/>
        <w:jc w:val="both"/>
        <w:rPr>
          <w:sz w:val="24"/>
          <w:szCs w:val="24"/>
        </w:rPr>
      </w:pPr>
    </w:p>
    <w:p w14:paraId="4189E5B7" w14:textId="23D01B8A" w:rsidR="009A17C6" w:rsidRPr="007404C7" w:rsidRDefault="009A17C6" w:rsidP="009C4649">
      <w:pPr>
        <w:widowControl w:val="0"/>
        <w:overflowPunct/>
        <w:jc w:val="both"/>
        <w:rPr>
          <w:sz w:val="24"/>
          <w:szCs w:val="24"/>
        </w:rPr>
      </w:pPr>
      <w:r w:rsidRPr="004063C7">
        <w:rPr>
          <w:sz w:val="24"/>
          <w:szCs w:val="24"/>
        </w:rPr>
        <w:t xml:space="preserve">In addition, protests and all other correspondence regarding this </w:t>
      </w:r>
      <w:r w:rsidR="004B119E">
        <w:rPr>
          <w:sz w:val="24"/>
          <w:szCs w:val="24"/>
        </w:rPr>
        <w:t>AL</w:t>
      </w:r>
      <w:r w:rsidRPr="004063C7">
        <w:rPr>
          <w:sz w:val="24"/>
          <w:szCs w:val="24"/>
        </w:rPr>
        <w:t xml:space="preserve"> should also be sent by letter and transmitted electronically to the attention of:</w:t>
      </w:r>
    </w:p>
    <w:p w14:paraId="623E8721" w14:textId="77777777" w:rsidR="009A17C6" w:rsidRPr="009A17C6" w:rsidRDefault="009A17C6" w:rsidP="009A17C6">
      <w:pPr>
        <w:rPr>
          <w:sz w:val="24"/>
          <w:szCs w:val="24"/>
        </w:rPr>
      </w:pPr>
    </w:p>
    <w:p w14:paraId="13D2DB2D" w14:textId="148869BC" w:rsidR="009A17C6" w:rsidRPr="00605793" w:rsidRDefault="003E61BF" w:rsidP="009A17C6">
      <w:pPr>
        <w:pStyle w:val="BodyText"/>
        <w:keepNext/>
        <w:rPr>
          <w:szCs w:val="24"/>
        </w:rPr>
      </w:pPr>
      <w:r w:rsidRPr="00605793">
        <w:rPr>
          <w:szCs w:val="24"/>
        </w:rPr>
        <w:t>Michael Callahan</w:t>
      </w:r>
    </w:p>
    <w:p w14:paraId="1B2F0D30" w14:textId="0AFEDC67" w:rsidR="009A17C6" w:rsidRPr="00605793" w:rsidRDefault="00B02547" w:rsidP="009A17C6">
      <w:pPr>
        <w:pStyle w:val="BodyText"/>
        <w:keepNext/>
        <w:rPr>
          <w:szCs w:val="24"/>
        </w:rPr>
      </w:pPr>
      <w:r w:rsidRPr="00605793">
        <w:rPr>
          <w:szCs w:val="24"/>
        </w:rPr>
        <w:t>Policy</w:t>
      </w:r>
      <w:r w:rsidR="009A17C6" w:rsidRPr="00605793">
        <w:rPr>
          <w:szCs w:val="24"/>
        </w:rPr>
        <w:t xml:space="preserve"> Counsel</w:t>
      </w:r>
    </w:p>
    <w:p w14:paraId="7719BAFB" w14:textId="77777777" w:rsidR="009A17C6" w:rsidRPr="00605793" w:rsidRDefault="009A17C6" w:rsidP="009A17C6">
      <w:pPr>
        <w:keepNext/>
        <w:overflowPunct/>
        <w:jc w:val="both"/>
        <w:rPr>
          <w:smallCaps/>
          <w:sz w:val="24"/>
          <w:szCs w:val="24"/>
        </w:rPr>
      </w:pPr>
      <w:r w:rsidRPr="00605793">
        <w:rPr>
          <w:smallCaps/>
          <w:sz w:val="24"/>
          <w:szCs w:val="24"/>
        </w:rPr>
        <w:t>Marin Clean Energy</w:t>
      </w:r>
    </w:p>
    <w:p w14:paraId="31273981" w14:textId="77777777" w:rsidR="009A17C6" w:rsidRPr="00605793" w:rsidRDefault="009A17C6" w:rsidP="009A17C6">
      <w:pPr>
        <w:pStyle w:val="BodyText"/>
        <w:keepNext/>
        <w:rPr>
          <w:szCs w:val="24"/>
        </w:rPr>
      </w:pPr>
      <w:r w:rsidRPr="00605793">
        <w:rPr>
          <w:szCs w:val="24"/>
        </w:rPr>
        <w:t>1125 Tamalpais Ave.</w:t>
      </w:r>
    </w:p>
    <w:p w14:paraId="48D5C954" w14:textId="77777777" w:rsidR="009A17C6" w:rsidRPr="00605793" w:rsidRDefault="009A17C6" w:rsidP="009A17C6">
      <w:pPr>
        <w:pStyle w:val="BodyText"/>
        <w:keepNext/>
        <w:rPr>
          <w:szCs w:val="24"/>
        </w:rPr>
      </w:pPr>
      <w:r w:rsidRPr="00605793">
        <w:rPr>
          <w:szCs w:val="24"/>
        </w:rPr>
        <w:t>San Rafael, CA  94901</w:t>
      </w:r>
    </w:p>
    <w:p w14:paraId="4C996F96" w14:textId="504D1927" w:rsidR="009A17C6" w:rsidRPr="00605793" w:rsidRDefault="00B02547" w:rsidP="009A17C6">
      <w:pPr>
        <w:pStyle w:val="BodyText"/>
        <w:keepNext/>
        <w:rPr>
          <w:szCs w:val="24"/>
        </w:rPr>
      </w:pPr>
      <w:r w:rsidRPr="00605793">
        <w:rPr>
          <w:szCs w:val="24"/>
        </w:rPr>
        <w:t xml:space="preserve">Phone: </w:t>
      </w:r>
      <w:r w:rsidRPr="00605793">
        <w:rPr>
          <w:szCs w:val="24"/>
        </w:rPr>
        <w:tab/>
        <w:t>(415) 464-604</w:t>
      </w:r>
      <w:r w:rsidR="003E61BF" w:rsidRPr="00605793">
        <w:rPr>
          <w:szCs w:val="24"/>
        </w:rPr>
        <w:t>5</w:t>
      </w:r>
    </w:p>
    <w:p w14:paraId="355A9FB1" w14:textId="77777777" w:rsidR="009A17C6" w:rsidRPr="00605793" w:rsidRDefault="009A17C6" w:rsidP="009A17C6">
      <w:pPr>
        <w:pStyle w:val="BodyText"/>
        <w:keepNext/>
        <w:rPr>
          <w:szCs w:val="24"/>
        </w:rPr>
      </w:pPr>
      <w:r w:rsidRPr="00605793">
        <w:rPr>
          <w:szCs w:val="24"/>
        </w:rPr>
        <w:t>Facsimile:</w:t>
      </w:r>
      <w:r w:rsidRPr="00605793">
        <w:rPr>
          <w:szCs w:val="24"/>
        </w:rPr>
        <w:tab/>
        <w:t>(415) 459-8095</w:t>
      </w:r>
    </w:p>
    <w:p w14:paraId="70AD06BD" w14:textId="2EF931D9" w:rsidR="009A17C6" w:rsidRPr="004063C7" w:rsidRDefault="001256AA" w:rsidP="009A17C6">
      <w:pPr>
        <w:pStyle w:val="BodyText"/>
        <w:keepNext/>
        <w:rPr>
          <w:szCs w:val="24"/>
        </w:rPr>
      </w:pPr>
      <w:hyperlink r:id="rId11" w:history="1">
        <w:r w:rsidR="003E61BF" w:rsidRPr="00605793">
          <w:rPr>
            <w:rStyle w:val="Hyperlink"/>
            <w:szCs w:val="24"/>
          </w:rPr>
          <w:t>mcallahan@mceCleanEnergy.org</w:t>
        </w:r>
      </w:hyperlink>
    </w:p>
    <w:p w14:paraId="38E87EC4" w14:textId="77777777" w:rsidR="009A17C6" w:rsidRPr="004063C7" w:rsidRDefault="009A17C6" w:rsidP="009A17C6">
      <w:pPr>
        <w:keepNext/>
        <w:overflowPunct/>
        <w:jc w:val="both"/>
        <w:rPr>
          <w:sz w:val="24"/>
          <w:szCs w:val="24"/>
        </w:rPr>
      </w:pPr>
    </w:p>
    <w:p w14:paraId="4A53F3A7" w14:textId="575DFC98" w:rsidR="009A17C6" w:rsidRPr="0019458C" w:rsidRDefault="003E61BF" w:rsidP="009A17C6">
      <w:pPr>
        <w:keepNext/>
        <w:overflowPunct/>
        <w:jc w:val="both"/>
        <w:rPr>
          <w:sz w:val="24"/>
          <w:szCs w:val="24"/>
        </w:rPr>
      </w:pPr>
      <w:r w:rsidRPr="0019458C">
        <w:rPr>
          <w:sz w:val="24"/>
          <w:szCs w:val="24"/>
        </w:rPr>
        <w:t>Meaghan Doran</w:t>
      </w:r>
    </w:p>
    <w:p w14:paraId="11B72E54" w14:textId="4BB03A9F" w:rsidR="009A17C6" w:rsidRPr="0019458C" w:rsidRDefault="003E61BF" w:rsidP="009A17C6">
      <w:pPr>
        <w:keepNext/>
        <w:overflowPunct/>
        <w:jc w:val="both"/>
        <w:rPr>
          <w:sz w:val="24"/>
          <w:szCs w:val="24"/>
        </w:rPr>
      </w:pPr>
      <w:r w:rsidRPr="0019458C">
        <w:rPr>
          <w:sz w:val="24"/>
          <w:szCs w:val="24"/>
        </w:rPr>
        <w:t xml:space="preserve">Manager </w:t>
      </w:r>
      <w:r w:rsidR="000A6E88" w:rsidRPr="0019458C">
        <w:rPr>
          <w:sz w:val="24"/>
          <w:szCs w:val="24"/>
        </w:rPr>
        <w:t xml:space="preserve">of </w:t>
      </w:r>
      <w:r w:rsidR="008506DE" w:rsidRPr="0019458C">
        <w:rPr>
          <w:sz w:val="24"/>
          <w:szCs w:val="24"/>
        </w:rPr>
        <w:t>Customer Programs</w:t>
      </w:r>
    </w:p>
    <w:p w14:paraId="3B790C21" w14:textId="77777777" w:rsidR="009A17C6" w:rsidRPr="0019458C" w:rsidRDefault="009A17C6" w:rsidP="009A17C6">
      <w:pPr>
        <w:keepNext/>
        <w:overflowPunct/>
        <w:jc w:val="both"/>
        <w:rPr>
          <w:smallCaps/>
          <w:sz w:val="24"/>
          <w:szCs w:val="24"/>
        </w:rPr>
      </w:pPr>
      <w:r w:rsidRPr="0019458C">
        <w:rPr>
          <w:smallCaps/>
          <w:sz w:val="24"/>
          <w:szCs w:val="24"/>
        </w:rPr>
        <w:t>Marin Clean Energy</w:t>
      </w:r>
    </w:p>
    <w:p w14:paraId="2DD32FFF" w14:textId="77777777" w:rsidR="009A17C6" w:rsidRPr="0019458C" w:rsidRDefault="009A17C6" w:rsidP="009A17C6">
      <w:pPr>
        <w:keepNext/>
        <w:overflowPunct/>
        <w:jc w:val="both"/>
        <w:rPr>
          <w:sz w:val="24"/>
          <w:szCs w:val="24"/>
        </w:rPr>
      </w:pPr>
      <w:r w:rsidRPr="0019458C">
        <w:rPr>
          <w:sz w:val="24"/>
          <w:szCs w:val="24"/>
        </w:rPr>
        <w:t>1125 Tamalpais Ave.</w:t>
      </w:r>
    </w:p>
    <w:p w14:paraId="19E51398" w14:textId="77777777" w:rsidR="009A17C6" w:rsidRPr="0019458C" w:rsidRDefault="009A17C6" w:rsidP="009A17C6">
      <w:pPr>
        <w:keepNext/>
        <w:overflowPunct/>
        <w:jc w:val="both"/>
        <w:rPr>
          <w:sz w:val="24"/>
          <w:szCs w:val="24"/>
        </w:rPr>
      </w:pPr>
      <w:r w:rsidRPr="0019458C">
        <w:rPr>
          <w:sz w:val="24"/>
          <w:szCs w:val="24"/>
        </w:rPr>
        <w:t>San Rafael, CA  94901</w:t>
      </w:r>
    </w:p>
    <w:p w14:paraId="042D6C6A" w14:textId="42C5B2B7" w:rsidR="009A17C6" w:rsidRPr="0019458C" w:rsidRDefault="002F1CDF" w:rsidP="009A17C6">
      <w:pPr>
        <w:keepNext/>
        <w:overflowPunct/>
        <w:jc w:val="both"/>
        <w:rPr>
          <w:sz w:val="24"/>
          <w:szCs w:val="24"/>
        </w:rPr>
      </w:pPr>
      <w:r w:rsidRPr="0019458C">
        <w:rPr>
          <w:sz w:val="24"/>
          <w:szCs w:val="24"/>
        </w:rPr>
        <w:t xml:space="preserve">Phone: </w:t>
      </w:r>
      <w:r w:rsidRPr="0019458C">
        <w:rPr>
          <w:sz w:val="24"/>
          <w:szCs w:val="24"/>
        </w:rPr>
        <w:tab/>
        <w:t>(415) 464-603</w:t>
      </w:r>
      <w:r w:rsidR="003E61BF" w:rsidRPr="0019458C">
        <w:rPr>
          <w:sz w:val="24"/>
          <w:szCs w:val="24"/>
        </w:rPr>
        <w:t>9</w:t>
      </w:r>
    </w:p>
    <w:p w14:paraId="5DA4C8D7" w14:textId="77777777" w:rsidR="009A17C6" w:rsidRPr="0019458C" w:rsidRDefault="009A17C6" w:rsidP="009A17C6">
      <w:pPr>
        <w:keepNext/>
        <w:overflowPunct/>
        <w:jc w:val="both"/>
        <w:rPr>
          <w:sz w:val="24"/>
          <w:szCs w:val="24"/>
        </w:rPr>
      </w:pPr>
      <w:r w:rsidRPr="0019458C">
        <w:rPr>
          <w:sz w:val="24"/>
          <w:szCs w:val="24"/>
        </w:rPr>
        <w:t>Facsimile:</w:t>
      </w:r>
      <w:r w:rsidRPr="0019458C">
        <w:rPr>
          <w:sz w:val="24"/>
          <w:szCs w:val="24"/>
        </w:rPr>
        <w:tab/>
        <w:t>(415) 459-8095</w:t>
      </w:r>
    </w:p>
    <w:p w14:paraId="15B9D200" w14:textId="44CE74F1" w:rsidR="009A17C6" w:rsidRPr="00C117A3" w:rsidRDefault="00C117A3" w:rsidP="009A17C6">
      <w:pPr>
        <w:keepNext/>
        <w:overflowPunct/>
        <w:jc w:val="both"/>
        <w:rPr>
          <w:rStyle w:val="Hyperlink"/>
          <w:sz w:val="24"/>
          <w:szCs w:val="24"/>
        </w:rPr>
      </w:pPr>
      <w:r>
        <w:rPr>
          <w:rStyle w:val="Hyperlink"/>
          <w:sz w:val="24"/>
          <w:szCs w:val="24"/>
        </w:rPr>
        <w:fldChar w:fldCharType="begin"/>
      </w:r>
      <w:r>
        <w:rPr>
          <w:rStyle w:val="Hyperlink"/>
          <w:sz w:val="24"/>
          <w:szCs w:val="24"/>
        </w:rPr>
        <w:instrText xml:space="preserve"> HYPERLINK "mailto:mdoran@mceCleanEnergy.org" </w:instrText>
      </w:r>
      <w:r>
        <w:rPr>
          <w:rStyle w:val="Hyperlink"/>
          <w:sz w:val="24"/>
          <w:szCs w:val="24"/>
        </w:rPr>
        <w:fldChar w:fldCharType="separate"/>
      </w:r>
      <w:r w:rsidR="003E61BF" w:rsidRPr="00C117A3">
        <w:rPr>
          <w:rStyle w:val="Hyperlink"/>
          <w:sz w:val="24"/>
          <w:szCs w:val="24"/>
        </w:rPr>
        <w:t>mdoran@mceCleanEnergy.org</w:t>
      </w:r>
    </w:p>
    <w:p w14:paraId="14BA0113" w14:textId="519900DF" w:rsidR="009A17C6" w:rsidRPr="004063C7" w:rsidRDefault="00C117A3" w:rsidP="009A17C6">
      <w:pPr>
        <w:keepNext/>
        <w:overflowPunct/>
        <w:jc w:val="both"/>
        <w:rPr>
          <w:sz w:val="24"/>
          <w:szCs w:val="24"/>
        </w:rPr>
      </w:pPr>
      <w:r>
        <w:rPr>
          <w:rStyle w:val="Hyperlink"/>
          <w:sz w:val="24"/>
          <w:szCs w:val="24"/>
        </w:rPr>
        <w:fldChar w:fldCharType="end"/>
      </w:r>
    </w:p>
    <w:p w14:paraId="3EC7FCC9" w14:textId="77777777" w:rsidR="004063C7" w:rsidRPr="004063C7" w:rsidRDefault="004063C7" w:rsidP="004063C7">
      <w:pPr>
        <w:jc w:val="both"/>
        <w:rPr>
          <w:sz w:val="24"/>
          <w:szCs w:val="24"/>
        </w:rPr>
      </w:pPr>
      <w:r w:rsidRPr="004063C7">
        <w:rPr>
          <w:sz w:val="24"/>
          <w:szCs w:val="24"/>
        </w:rPr>
        <w:t xml:space="preserve">There are no restrictions on who may file a protest, but the protest shall set forth specifically the grounds upon which it is based and shall be submitted expeditiously. </w:t>
      </w:r>
    </w:p>
    <w:p w14:paraId="1E04F66B" w14:textId="77777777" w:rsidR="00F0775B" w:rsidRPr="002A1203" w:rsidRDefault="00F0775B" w:rsidP="002A1203">
      <w:pPr>
        <w:overflowPunct/>
        <w:jc w:val="both"/>
        <w:rPr>
          <w:sz w:val="24"/>
          <w:szCs w:val="24"/>
        </w:rPr>
      </w:pPr>
    </w:p>
    <w:p w14:paraId="79C9C275" w14:textId="77777777" w:rsidR="00635E04" w:rsidRPr="009027CD" w:rsidRDefault="00635E04" w:rsidP="00635E04">
      <w:pPr>
        <w:overflowPunct/>
        <w:autoSpaceDE/>
        <w:autoSpaceDN/>
        <w:adjustRightInd/>
        <w:jc w:val="both"/>
        <w:rPr>
          <w:b/>
          <w:sz w:val="24"/>
          <w:u w:val="single"/>
        </w:rPr>
      </w:pPr>
      <w:r w:rsidRPr="009027CD">
        <w:rPr>
          <w:b/>
          <w:sz w:val="24"/>
          <w:u w:val="single"/>
        </w:rPr>
        <w:t>Correspondence</w:t>
      </w:r>
    </w:p>
    <w:p w14:paraId="4C35F0B9" w14:textId="77777777" w:rsidR="00635E04" w:rsidRPr="009027CD" w:rsidRDefault="00635E04" w:rsidP="00635E04">
      <w:pPr>
        <w:overflowPunct/>
        <w:autoSpaceDE/>
        <w:autoSpaceDN/>
        <w:adjustRightInd/>
        <w:jc w:val="both"/>
        <w:rPr>
          <w:sz w:val="24"/>
        </w:rPr>
      </w:pPr>
    </w:p>
    <w:p w14:paraId="4C60CA8A" w14:textId="5B2875E3" w:rsidR="00635E04" w:rsidRPr="003E61BF" w:rsidRDefault="00002028" w:rsidP="00635E04">
      <w:pPr>
        <w:keepNext/>
        <w:overflowPunct/>
        <w:autoSpaceDE/>
        <w:autoSpaceDN/>
        <w:adjustRightInd/>
        <w:jc w:val="both"/>
        <w:rPr>
          <w:sz w:val="24"/>
          <w:szCs w:val="24"/>
        </w:rPr>
      </w:pPr>
      <w:r w:rsidRPr="00605793">
        <w:rPr>
          <w:sz w:val="24"/>
          <w:szCs w:val="24"/>
        </w:rPr>
        <w:t xml:space="preserve">For questions, please contact </w:t>
      </w:r>
      <w:r w:rsidR="003E61BF" w:rsidRPr="00605793">
        <w:rPr>
          <w:sz w:val="24"/>
          <w:szCs w:val="24"/>
        </w:rPr>
        <w:t>Michael Callahan</w:t>
      </w:r>
      <w:r w:rsidR="002F1CDF" w:rsidRPr="00605793">
        <w:rPr>
          <w:sz w:val="24"/>
          <w:szCs w:val="24"/>
        </w:rPr>
        <w:t xml:space="preserve"> at (415) 464-</w:t>
      </w:r>
      <w:r w:rsidR="003E61BF" w:rsidRPr="00605793">
        <w:rPr>
          <w:sz w:val="24"/>
          <w:szCs w:val="24"/>
        </w:rPr>
        <w:t xml:space="preserve">6045 </w:t>
      </w:r>
      <w:r w:rsidRPr="00605793">
        <w:rPr>
          <w:sz w:val="24"/>
          <w:szCs w:val="24"/>
        </w:rPr>
        <w:t xml:space="preserve">or by electronic mail at </w:t>
      </w:r>
      <w:hyperlink r:id="rId12" w:history="1">
        <w:r w:rsidR="003E61BF" w:rsidRPr="00605793">
          <w:rPr>
            <w:rStyle w:val="Hyperlink"/>
            <w:sz w:val="24"/>
            <w:szCs w:val="24"/>
          </w:rPr>
          <w:t>mcallahan@mceCleanEnergy.org</w:t>
        </w:r>
      </w:hyperlink>
      <w:r w:rsidRPr="00605793">
        <w:rPr>
          <w:sz w:val="24"/>
          <w:szCs w:val="24"/>
        </w:rPr>
        <w:t>.</w:t>
      </w:r>
    </w:p>
    <w:p w14:paraId="1FC5BF8D" w14:textId="77777777" w:rsidR="00002028" w:rsidRPr="003E61BF" w:rsidRDefault="00002028" w:rsidP="00635E04">
      <w:pPr>
        <w:overflowPunct/>
        <w:rPr>
          <w:sz w:val="24"/>
          <w:szCs w:val="24"/>
        </w:rPr>
      </w:pPr>
    </w:p>
    <w:p w14:paraId="00524A5C" w14:textId="77777777" w:rsidR="00002028" w:rsidRPr="003E61BF" w:rsidRDefault="00002028" w:rsidP="00635E04">
      <w:pPr>
        <w:overflowPunct/>
        <w:rPr>
          <w:sz w:val="24"/>
          <w:szCs w:val="24"/>
        </w:rPr>
      </w:pPr>
    </w:p>
    <w:p w14:paraId="0925BF1D" w14:textId="6DE0C3DE" w:rsidR="00635E04" w:rsidRPr="00605793" w:rsidRDefault="00B02547" w:rsidP="00635E04">
      <w:pPr>
        <w:keepNext/>
        <w:overflowPunct/>
        <w:rPr>
          <w:sz w:val="24"/>
          <w:szCs w:val="24"/>
        </w:rPr>
      </w:pPr>
      <w:r w:rsidRPr="003E61BF">
        <w:rPr>
          <w:sz w:val="24"/>
          <w:szCs w:val="24"/>
          <w:u w:val="single"/>
        </w:rPr>
        <w:lastRenderedPageBreak/>
        <w:t>/</w:t>
      </w:r>
      <w:r w:rsidRPr="00605793">
        <w:rPr>
          <w:sz w:val="24"/>
          <w:szCs w:val="24"/>
          <w:u w:val="single"/>
        </w:rPr>
        <w:t xml:space="preserve">s/ </w:t>
      </w:r>
      <w:r w:rsidR="003E61BF" w:rsidRPr="00605793">
        <w:rPr>
          <w:sz w:val="24"/>
          <w:szCs w:val="24"/>
          <w:u w:val="single"/>
        </w:rPr>
        <w:t>Michael Callahan</w:t>
      </w:r>
    </w:p>
    <w:p w14:paraId="099D6DBD" w14:textId="77777777" w:rsidR="00595108" w:rsidRPr="00605793" w:rsidRDefault="00595108" w:rsidP="00635E04">
      <w:pPr>
        <w:keepNext/>
        <w:overflowPunct/>
        <w:rPr>
          <w:sz w:val="24"/>
          <w:szCs w:val="24"/>
        </w:rPr>
      </w:pPr>
    </w:p>
    <w:p w14:paraId="08218066" w14:textId="3EE9D642" w:rsidR="00635E04" w:rsidRPr="00605793" w:rsidRDefault="003E61BF" w:rsidP="00635E04">
      <w:pPr>
        <w:keepNext/>
        <w:overflowPunct/>
        <w:rPr>
          <w:sz w:val="24"/>
          <w:szCs w:val="24"/>
        </w:rPr>
      </w:pPr>
      <w:r w:rsidRPr="00605793">
        <w:rPr>
          <w:sz w:val="24"/>
          <w:szCs w:val="24"/>
        </w:rPr>
        <w:t>Michael Callahan</w:t>
      </w:r>
    </w:p>
    <w:p w14:paraId="084779C3" w14:textId="2825AFA6" w:rsidR="00635E04" w:rsidRPr="00605793" w:rsidRDefault="00B02547" w:rsidP="00635E04">
      <w:pPr>
        <w:keepNext/>
        <w:overflowPunct/>
        <w:rPr>
          <w:sz w:val="24"/>
          <w:szCs w:val="24"/>
        </w:rPr>
      </w:pPr>
      <w:r w:rsidRPr="00605793">
        <w:rPr>
          <w:sz w:val="24"/>
          <w:szCs w:val="24"/>
        </w:rPr>
        <w:t>Policy</w:t>
      </w:r>
      <w:r w:rsidR="00635E04" w:rsidRPr="00605793">
        <w:rPr>
          <w:sz w:val="24"/>
          <w:szCs w:val="24"/>
        </w:rPr>
        <w:t xml:space="preserve"> Counsel</w:t>
      </w:r>
    </w:p>
    <w:p w14:paraId="3916E3DD" w14:textId="77777777" w:rsidR="009A17C6" w:rsidRPr="00F44B04" w:rsidRDefault="009A17C6" w:rsidP="009A17C6">
      <w:pPr>
        <w:keepNext/>
        <w:overflowPunct/>
        <w:jc w:val="both"/>
        <w:rPr>
          <w:smallCaps/>
          <w:sz w:val="24"/>
          <w:szCs w:val="24"/>
        </w:rPr>
      </w:pPr>
      <w:r w:rsidRPr="00605793">
        <w:rPr>
          <w:smallCaps/>
          <w:sz w:val="24"/>
          <w:szCs w:val="24"/>
        </w:rPr>
        <w:t>Marin Clean Energy</w:t>
      </w:r>
    </w:p>
    <w:p w14:paraId="3E306DB3" w14:textId="77777777" w:rsidR="00635E04" w:rsidRPr="009027CD" w:rsidRDefault="00635E04" w:rsidP="00635E04">
      <w:pPr>
        <w:keepNext/>
        <w:overflowPunct/>
        <w:rPr>
          <w:smallCaps/>
          <w:sz w:val="24"/>
          <w:szCs w:val="24"/>
        </w:rPr>
      </w:pPr>
    </w:p>
    <w:p w14:paraId="458C9114" w14:textId="65C3AF78" w:rsidR="009027CD" w:rsidRPr="001C4FC0" w:rsidRDefault="004063C7" w:rsidP="009A17C6">
      <w:pPr>
        <w:overflowPunct/>
        <w:rPr>
          <w:sz w:val="24"/>
          <w:szCs w:val="24"/>
        </w:rPr>
      </w:pPr>
      <w:r>
        <w:rPr>
          <w:sz w:val="24"/>
          <w:szCs w:val="24"/>
        </w:rPr>
        <w:t>cc:</w:t>
      </w:r>
      <w:r>
        <w:rPr>
          <w:sz w:val="24"/>
          <w:szCs w:val="24"/>
        </w:rPr>
        <w:tab/>
        <w:t>Service List</w:t>
      </w:r>
      <w:r w:rsidR="00B02547">
        <w:rPr>
          <w:sz w:val="24"/>
          <w:szCs w:val="24"/>
        </w:rPr>
        <w:t>s:</w:t>
      </w:r>
      <w:r>
        <w:rPr>
          <w:sz w:val="24"/>
          <w:szCs w:val="24"/>
        </w:rPr>
        <w:t xml:space="preserve"> R.13-11-005</w:t>
      </w:r>
      <w:r w:rsidR="00B02547">
        <w:rPr>
          <w:sz w:val="24"/>
          <w:szCs w:val="24"/>
        </w:rPr>
        <w:t xml:space="preserve">; A17-01-013, </w:t>
      </w:r>
      <w:r w:rsidR="00B02547">
        <w:rPr>
          <w:i/>
          <w:sz w:val="24"/>
          <w:szCs w:val="24"/>
        </w:rPr>
        <w:t>et al</w:t>
      </w:r>
      <w:r w:rsidR="00B02547">
        <w:rPr>
          <w:sz w:val="24"/>
          <w:szCs w:val="24"/>
        </w:rPr>
        <w:t>.</w:t>
      </w:r>
      <w:bookmarkEnd w:id="0"/>
      <w:bookmarkEnd w:id="1"/>
    </w:p>
    <w:sectPr w:rsidR="009027CD" w:rsidRPr="001C4FC0" w:rsidSect="007065B2">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13546" w14:textId="77777777" w:rsidR="000C7371" w:rsidRDefault="000C7371">
      <w:r>
        <w:separator/>
      </w:r>
    </w:p>
  </w:endnote>
  <w:endnote w:type="continuationSeparator" w:id="0">
    <w:p w14:paraId="7D54C534" w14:textId="77777777" w:rsidR="000C7371" w:rsidRDefault="000C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015F" w14:textId="7ECBB73C" w:rsidR="00A44AA8" w:rsidRDefault="00A44AA8">
    <w:pPr>
      <w:pStyle w:val="Footer"/>
      <w:jc w:val="center"/>
    </w:pPr>
    <w:r>
      <w:t xml:space="preserve">MCE Advice Letter </w:t>
    </w:r>
    <w:r w:rsidR="0019458C">
      <w:t>34</w:t>
    </w:r>
    <w:r>
      <w:t>-E</w:t>
    </w:r>
  </w:p>
  <w:p w14:paraId="07849CF1" w14:textId="136FFE1C" w:rsidR="00A44AA8" w:rsidRDefault="00A44AA8">
    <w:pPr>
      <w:pStyle w:val="Footer"/>
      <w:jc w:val="center"/>
    </w:pPr>
    <w:r>
      <w:fldChar w:fldCharType="begin"/>
    </w:r>
    <w:r>
      <w:instrText xml:space="preserve"> PAGE   \* MERGEFORMAT </w:instrText>
    </w:r>
    <w:r>
      <w:fldChar w:fldCharType="separate"/>
    </w:r>
    <w:r w:rsidR="008C4F9B">
      <w:rPr>
        <w:noProof/>
      </w:rPr>
      <w:t>1</w:t>
    </w:r>
    <w:r>
      <w:rPr>
        <w:noProof/>
      </w:rPr>
      <w:fldChar w:fldCharType="end"/>
    </w:r>
  </w:p>
  <w:p w14:paraId="05857922" w14:textId="77777777" w:rsidR="00A44AA8" w:rsidRDefault="00A44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8DB3B" w14:textId="77777777" w:rsidR="000C7371" w:rsidRDefault="000C7371">
      <w:r>
        <w:separator/>
      </w:r>
    </w:p>
  </w:footnote>
  <w:footnote w:type="continuationSeparator" w:id="0">
    <w:p w14:paraId="30DEE518" w14:textId="77777777" w:rsidR="000C7371" w:rsidRDefault="000C7371">
      <w:r>
        <w:continuationSeparator/>
      </w:r>
    </w:p>
  </w:footnote>
  <w:footnote w:id="1">
    <w:p w14:paraId="70BADA44" w14:textId="72102C3F" w:rsidR="00A44AA8" w:rsidRPr="00F06239" w:rsidRDefault="00A44AA8">
      <w:pPr>
        <w:pStyle w:val="FootnoteText"/>
        <w:rPr>
          <w:sz w:val="24"/>
          <w:szCs w:val="24"/>
        </w:rPr>
      </w:pPr>
      <w:r w:rsidRPr="00F06239">
        <w:rPr>
          <w:rStyle w:val="FootnoteReference"/>
          <w:sz w:val="24"/>
          <w:szCs w:val="24"/>
        </w:rPr>
        <w:footnoteRef/>
      </w:r>
      <w:r w:rsidRPr="00F06239">
        <w:rPr>
          <w:sz w:val="24"/>
          <w:szCs w:val="24"/>
        </w:rPr>
        <w:t xml:space="preserve"> D.</w:t>
      </w:r>
      <w:r>
        <w:rPr>
          <w:sz w:val="24"/>
          <w:szCs w:val="24"/>
        </w:rPr>
        <w:t>18-05-041, OP 40, 41 at</w:t>
      </w:r>
      <w:r w:rsidRPr="00F06239">
        <w:rPr>
          <w:sz w:val="24"/>
          <w:szCs w:val="24"/>
        </w:rPr>
        <w:t xml:space="preserve"> </w:t>
      </w:r>
      <w:r>
        <w:rPr>
          <w:sz w:val="24"/>
          <w:szCs w:val="24"/>
        </w:rPr>
        <w:t>p. 191</w:t>
      </w:r>
      <w:r w:rsidRPr="00F06239">
        <w:rPr>
          <w:sz w:val="24"/>
          <w:szCs w:val="24"/>
        </w:rPr>
        <w:t>.</w:t>
      </w:r>
    </w:p>
  </w:footnote>
  <w:footnote w:id="2">
    <w:p w14:paraId="70888520" w14:textId="01CB0271" w:rsidR="00A44AA8" w:rsidRDefault="00A44AA8">
      <w:pPr>
        <w:pStyle w:val="FootnoteText"/>
      </w:pPr>
      <w:r>
        <w:rPr>
          <w:rStyle w:val="FootnoteReference"/>
        </w:rPr>
        <w:footnoteRef/>
      </w:r>
      <w:r>
        <w:t xml:space="preserve"> </w:t>
      </w:r>
      <w:r>
        <w:rPr>
          <w:sz w:val="24"/>
          <w:szCs w:val="24"/>
        </w:rPr>
        <w:t>To date, MCE is the only community choice aggregator (“CCA”) to have requested energy efficiency funding under Code Section 381.1(a)-(d).</w:t>
      </w:r>
    </w:p>
  </w:footnote>
  <w:footnote w:id="3">
    <w:p w14:paraId="0680D157" w14:textId="6C7662C6" w:rsidR="00A44AA8" w:rsidRPr="00EA38C6" w:rsidRDefault="00A44AA8">
      <w:pPr>
        <w:pStyle w:val="FootnoteText"/>
        <w:rPr>
          <w:sz w:val="24"/>
          <w:szCs w:val="24"/>
        </w:rPr>
      </w:pPr>
      <w:r w:rsidRPr="00EA38C6">
        <w:rPr>
          <w:rStyle w:val="FootnoteReference"/>
          <w:sz w:val="24"/>
          <w:szCs w:val="24"/>
        </w:rPr>
        <w:footnoteRef/>
      </w:r>
      <w:r w:rsidRPr="00EA38C6">
        <w:rPr>
          <w:sz w:val="24"/>
          <w:szCs w:val="24"/>
        </w:rPr>
        <w:t xml:space="preserve"> D.12-11-015 at pp.45-6.</w:t>
      </w:r>
    </w:p>
  </w:footnote>
  <w:footnote w:id="4">
    <w:p w14:paraId="5D977F08" w14:textId="78F63B57" w:rsidR="00A44AA8" w:rsidRPr="00EA38C6" w:rsidRDefault="00A44AA8">
      <w:pPr>
        <w:pStyle w:val="FootnoteText"/>
        <w:rPr>
          <w:sz w:val="24"/>
          <w:szCs w:val="24"/>
        </w:rPr>
      </w:pPr>
      <w:r w:rsidRPr="00EA38C6">
        <w:rPr>
          <w:rStyle w:val="FootnoteReference"/>
          <w:sz w:val="24"/>
          <w:szCs w:val="24"/>
        </w:rPr>
        <w:footnoteRef/>
      </w:r>
      <w:r w:rsidRPr="00EA38C6">
        <w:rPr>
          <w:sz w:val="24"/>
          <w:szCs w:val="24"/>
        </w:rPr>
        <w:t xml:space="preserve"> D.12-11-015 at p. 46.</w:t>
      </w:r>
    </w:p>
  </w:footnote>
  <w:footnote w:id="5">
    <w:p w14:paraId="1A8A48C4" w14:textId="1C9AE601" w:rsidR="00A44AA8" w:rsidRPr="00EA38C6" w:rsidRDefault="00A44AA8">
      <w:pPr>
        <w:pStyle w:val="FootnoteText"/>
        <w:rPr>
          <w:sz w:val="24"/>
          <w:szCs w:val="24"/>
        </w:rPr>
      </w:pPr>
      <w:r w:rsidRPr="00EA38C6">
        <w:rPr>
          <w:rStyle w:val="FootnoteReference"/>
          <w:sz w:val="24"/>
          <w:szCs w:val="24"/>
        </w:rPr>
        <w:footnoteRef/>
      </w:r>
      <w:r w:rsidRPr="00EA38C6">
        <w:rPr>
          <w:sz w:val="24"/>
          <w:szCs w:val="24"/>
        </w:rPr>
        <w:t xml:space="preserve"> D.14-01-033 at p. 14; </w:t>
      </w:r>
      <w:r w:rsidRPr="00EA38C6">
        <w:rPr>
          <w:i/>
          <w:sz w:val="24"/>
          <w:szCs w:val="24"/>
        </w:rPr>
        <w:t xml:space="preserve">see also </w:t>
      </w:r>
      <w:r w:rsidRPr="00EA38C6">
        <w:rPr>
          <w:sz w:val="24"/>
          <w:szCs w:val="24"/>
        </w:rPr>
        <w:t>D.14-10-046 at p. 120.</w:t>
      </w:r>
    </w:p>
  </w:footnote>
  <w:footnote w:id="6">
    <w:p w14:paraId="00F7012E" w14:textId="77777777" w:rsidR="00A44AA8" w:rsidRPr="001638F5" w:rsidRDefault="00A44AA8" w:rsidP="00E35BD9">
      <w:pPr>
        <w:pStyle w:val="FootnoteText"/>
        <w:rPr>
          <w:sz w:val="24"/>
          <w:szCs w:val="24"/>
        </w:rPr>
      </w:pPr>
      <w:r w:rsidRPr="001638F5">
        <w:rPr>
          <w:rStyle w:val="FootnoteReference"/>
          <w:sz w:val="24"/>
          <w:szCs w:val="24"/>
        </w:rPr>
        <w:footnoteRef/>
      </w:r>
      <w:r w:rsidRPr="001638F5">
        <w:rPr>
          <w:sz w:val="24"/>
          <w:szCs w:val="24"/>
        </w:rPr>
        <w:t xml:space="preserve"> </w:t>
      </w:r>
      <w:r w:rsidRPr="001638F5">
        <w:rPr>
          <w:i/>
          <w:sz w:val="24"/>
          <w:szCs w:val="24"/>
        </w:rPr>
        <w:t>See</w:t>
      </w:r>
      <w:r w:rsidRPr="001638F5">
        <w:rPr>
          <w:sz w:val="24"/>
          <w:szCs w:val="24"/>
        </w:rPr>
        <w:t xml:space="preserve"> Application of Marin Clean Energy for Approval of its Energy Efficiency Business Plan (</w:t>
      </w:r>
      <w:r>
        <w:rPr>
          <w:sz w:val="24"/>
          <w:szCs w:val="24"/>
        </w:rPr>
        <w:t xml:space="preserve">Application (“A.”) </w:t>
      </w:r>
      <w:r w:rsidRPr="001638F5">
        <w:rPr>
          <w:sz w:val="24"/>
          <w:szCs w:val="24"/>
        </w:rPr>
        <w:t>17-01-017) filed January 17, 2017.</w:t>
      </w:r>
    </w:p>
  </w:footnote>
  <w:footnote w:id="7">
    <w:p w14:paraId="69154D2E" w14:textId="18381041" w:rsidR="00A44AA8" w:rsidRPr="001C4FC0" w:rsidRDefault="00A44AA8">
      <w:pPr>
        <w:pStyle w:val="FootnoteText"/>
        <w:rPr>
          <w:sz w:val="24"/>
          <w:szCs w:val="24"/>
        </w:rPr>
      </w:pPr>
      <w:r w:rsidRPr="001C4FC0">
        <w:rPr>
          <w:rStyle w:val="FootnoteReference"/>
          <w:sz w:val="24"/>
          <w:szCs w:val="24"/>
        </w:rPr>
        <w:footnoteRef/>
      </w:r>
      <w:r w:rsidRPr="001C4FC0">
        <w:rPr>
          <w:sz w:val="24"/>
          <w:szCs w:val="24"/>
        </w:rPr>
        <w:t xml:space="preserve"> D.18-05-041</w:t>
      </w:r>
      <w:r>
        <w:rPr>
          <w:sz w:val="24"/>
          <w:szCs w:val="24"/>
        </w:rPr>
        <w:t>, OP 33 at p. 189</w:t>
      </w:r>
      <w:r w:rsidRPr="001C4FC0">
        <w:rPr>
          <w:sz w:val="24"/>
          <w:szCs w:val="24"/>
        </w:rPr>
        <w:t>.</w:t>
      </w:r>
    </w:p>
  </w:footnote>
  <w:footnote w:id="8">
    <w:p w14:paraId="2CA9EAB2" w14:textId="77777777" w:rsidR="00FE170D" w:rsidRDefault="00FE170D" w:rsidP="00FE170D">
      <w:pPr>
        <w:pStyle w:val="FootnoteText"/>
      </w:pPr>
      <w:r>
        <w:rPr>
          <w:rStyle w:val="FootnoteReference"/>
        </w:rPr>
        <w:footnoteRef/>
      </w:r>
      <w:r>
        <w:t xml:space="preserve"> </w:t>
      </w:r>
      <w:r>
        <w:rPr>
          <w:sz w:val="24"/>
          <w:szCs w:val="24"/>
        </w:rPr>
        <w:t>D.18-05-041 at pp. 132-37.</w:t>
      </w:r>
      <w:bookmarkStart w:id="2" w:name="_GoBack"/>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53F3" w14:textId="5492E08F" w:rsidR="00730178" w:rsidRDefault="00B77FCB">
    <w:pPr>
      <w:pStyle w:val="Header"/>
    </w:pPr>
    <w:r>
      <w:rPr>
        <w:noProof/>
      </w:rPr>
      <mc:AlternateContent>
        <mc:Choice Requires="wps">
          <w:drawing>
            <wp:anchor distT="0" distB="0" distL="114300" distR="114300" simplePos="0" relativeHeight="251656704" behindDoc="1" locked="0" layoutInCell="0" allowOverlap="1" wp14:anchorId="0A947A24" wp14:editId="6F5615E5">
              <wp:simplePos x="0" y="0"/>
              <wp:positionH relativeFrom="margin">
                <wp:align>center</wp:align>
              </wp:positionH>
              <wp:positionV relativeFrom="margin">
                <wp:align>center</wp:align>
              </wp:positionV>
              <wp:extent cx="6285230" cy="2094865"/>
              <wp:effectExtent l="0" t="1695450" r="0" b="157226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5C6BDB" w14:textId="77777777" w:rsidR="00B77FCB" w:rsidRDefault="00B77FCB" w:rsidP="00B77FCB">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947A24" id="_x0000_t202" coordsize="21600,21600" o:spt="202" path="m,l,21600r21600,l21600,xe">
              <v:stroke joinstyle="miter"/>
              <v:path gradientshapeok="t" o:connecttype="rect"/>
            </v:shapetype>
            <v:shape id="WordArt 3" o:spid="_x0000_s1026" type="#_x0000_t202" style="position:absolute;margin-left:0;margin-top:0;width:494.9pt;height:164.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II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" o:allowincell="f" filled="f" stroked="f">
              <v:stroke joinstyle="round"/>
              <o:lock v:ext="edit" shapetype="t"/>
              <v:textbox style="mso-fit-shape-to-text:t">
                <w:txbxContent>
                  <w:p w14:paraId="415C6BDB" w14:textId="77777777" w:rsidR="00B77FCB" w:rsidRDefault="00B77FCB" w:rsidP="00B77FCB">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11EF5" w14:textId="225A13A1" w:rsidR="00730178" w:rsidRDefault="00B77FCB">
    <w:pPr>
      <w:pStyle w:val="Header"/>
    </w:pPr>
    <w:r>
      <w:rPr>
        <w:noProof/>
      </w:rPr>
      <mc:AlternateContent>
        <mc:Choice Requires="wps">
          <w:drawing>
            <wp:anchor distT="0" distB="0" distL="114300" distR="114300" simplePos="0" relativeHeight="251657728" behindDoc="1" locked="0" layoutInCell="0" allowOverlap="1" wp14:anchorId="252CD13E" wp14:editId="0496A58F">
              <wp:simplePos x="0" y="0"/>
              <wp:positionH relativeFrom="margin">
                <wp:align>center</wp:align>
              </wp:positionH>
              <wp:positionV relativeFrom="margin">
                <wp:align>center</wp:align>
              </wp:positionV>
              <wp:extent cx="6285230" cy="2094865"/>
              <wp:effectExtent l="0" t="1695450" r="0" b="15722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A4B84B" w14:textId="77777777" w:rsidR="00B77FCB" w:rsidRDefault="00B77FCB" w:rsidP="00B77FCB">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2CD13E" id="_x0000_t202" coordsize="21600,21600" o:spt="202" path="m,l,21600r21600,l21600,xe">
              <v:stroke joinstyle="miter"/>
              <v:path gradientshapeok="t" o:connecttype="rect"/>
            </v:shapetype>
            <v:shape id="WordArt 2" o:spid="_x0000_s1027" type="#_x0000_t202" style="position:absolute;margin-left:0;margin-top:0;width:494.9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mdiAIAAAMF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" o:allowincell="f" filled="f" stroked="f">
              <v:stroke joinstyle="round"/>
              <o:lock v:ext="edit" shapetype="t"/>
              <v:textbox style="mso-fit-shape-to-text:t">
                <w:txbxContent>
                  <w:p w14:paraId="3EA4B84B" w14:textId="77777777" w:rsidR="00B77FCB" w:rsidRDefault="00B77FCB" w:rsidP="00B77FCB">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0DEA" w14:textId="5C61A462" w:rsidR="00730178" w:rsidRDefault="001256AA">
    <w:pPr>
      <w:pStyle w:val="Header"/>
    </w:pPr>
    <w:r>
      <w:rPr>
        <w:noProof/>
      </w:rPr>
      <w:pict w14:anchorId="28EC1A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94.9pt;height:164.9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4626"/>
    <w:multiLevelType w:val="hybridMultilevel"/>
    <w:tmpl w:val="8E2E12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5CEF"/>
    <w:multiLevelType w:val="hybridMultilevel"/>
    <w:tmpl w:val="5EBA5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46FD4"/>
    <w:multiLevelType w:val="hybridMultilevel"/>
    <w:tmpl w:val="B42EFB1A"/>
    <w:lvl w:ilvl="0" w:tplc="DA4C5376">
      <w:start w:val="1"/>
      <w:numFmt w:val="bullet"/>
      <w:lvlText w:val=""/>
      <w:lvlJc w:val="left"/>
      <w:pPr>
        <w:tabs>
          <w:tab w:val="num" w:pos="720"/>
        </w:tabs>
        <w:ind w:left="720" w:hanging="360"/>
      </w:pPr>
      <w:rPr>
        <w:rFonts w:ascii="Wingdings 3" w:hAnsi="Wingdings 3" w:hint="default"/>
      </w:rPr>
    </w:lvl>
    <w:lvl w:ilvl="1" w:tplc="61E873A0">
      <w:start w:val="1"/>
      <w:numFmt w:val="bullet"/>
      <w:lvlText w:val=""/>
      <w:lvlJc w:val="left"/>
      <w:pPr>
        <w:tabs>
          <w:tab w:val="num" w:pos="1440"/>
        </w:tabs>
        <w:ind w:left="1440" w:hanging="360"/>
      </w:pPr>
      <w:rPr>
        <w:rFonts w:ascii="Wingdings 3" w:hAnsi="Wingdings 3" w:hint="default"/>
      </w:rPr>
    </w:lvl>
    <w:lvl w:ilvl="2" w:tplc="354C3620" w:tentative="1">
      <w:start w:val="1"/>
      <w:numFmt w:val="bullet"/>
      <w:lvlText w:val=""/>
      <w:lvlJc w:val="left"/>
      <w:pPr>
        <w:tabs>
          <w:tab w:val="num" w:pos="2160"/>
        </w:tabs>
        <w:ind w:left="2160" w:hanging="360"/>
      </w:pPr>
      <w:rPr>
        <w:rFonts w:ascii="Wingdings 3" w:hAnsi="Wingdings 3" w:hint="default"/>
      </w:rPr>
    </w:lvl>
    <w:lvl w:ilvl="3" w:tplc="DB12D9F4" w:tentative="1">
      <w:start w:val="1"/>
      <w:numFmt w:val="bullet"/>
      <w:lvlText w:val=""/>
      <w:lvlJc w:val="left"/>
      <w:pPr>
        <w:tabs>
          <w:tab w:val="num" w:pos="2880"/>
        </w:tabs>
        <w:ind w:left="2880" w:hanging="360"/>
      </w:pPr>
      <w:rPr>
        <w:rFonts w:ascii="Wingdings 3" w:hAnsi="Wingdings 3" w:hint="default"/>
      </w:rPr>
    </w:lvl>
    <w:lvl w:ilvl="4" w:tplc="214A61B4" w:tentative="1">
      <w:start w:val="1"/>
      <w:numFmt w:val="bullet"/>
      <w:lvlText w:val=""/>
      <w:lvlJc w:val="left"/>
      <w:pPr>
        <w:tabs>
          <w:tab w:val="num" w:pos="3600"/>
        </w:tabs>
        <w:ind w:left="3600" w:hanging="360"/>
      </w:pPr>
      <w:rPr>
        <w:rFonts w:ascii="Wingdings 3" w:hAnsi="Wingdings 3" w:hint="default"/>
      </w:rPr>
    </w:lvl>
    <w:lvl w:ilvl="5" w:tplc="8C60B056" w:tentative="1">
      <w:start w:val="1"/>
      <w:numFmt w:val="bullet"/>
      <w:lvlText w:val=""/>
      <w:lvlJc w:val="left"/>
      <w:pPr>
        <w:tabs>
          <w:tab w:val="num" w:pos="4320"/>
        </w:tabs>
        <w:ind w:left="4320" w:hanging="360"/>
      </w:pPr>
      <w:rPr>
        <w:rFonts w:ascii="Wingdings 3" w:hAnsi="Wingdings 3" w:hint="default"/>
      </w:rPr>
    </w:lvl>
    <w:lvl w:ilvl="6" w:tplc="5EEC1F82" w:tentative="1">
      <w:start w:val="1"/>
      <w:numFmt w:val="bullet"/>
      <w:lvlText w:val=""/>
      <w:lvlJc w:val="left"/>
      <w:pPr>
        <w:tabs>
          <w:tab w:val="num" w:pos="5040"/>
        </w:tabs>
        <w:ind w:left="5040" w:hanging="360"/>
      </w:pPr>
      <w:rPr>
        <w:rFonts w:ascii="Wingdings 3" w:hAnsi="Wingdings 3" w:hint="default"/>
      </w:rPr>
    </w:lvl>
    <w:lvl w:ilvl="7" w:tplc="FFAC2630" w:tentative="1">
      <w:start w:val="1"/>
      <w:numFmt w:val="bullet"/>
      <w:lvlText w:val=""/>
      <w:lvlJc w:val="left"/>
      <w:pPr>
        <w:tabs>
          <w:tab w:val="num" w:pos="5760"/>
        </w:tabs>
        <w:ind w:left="5760" w:hanging="360"/>
      </w:pPr>
      <w:rPr>
        <w:rFonts w:ascii="Wingdings 3" w:hAnsi="Wingdings 3" w:hint="default"/>
      </w:rPr>
    </w:lvl>
    <w:lvl w:ilvl="8" w:tplc="60DC44E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77F447C"/>
    <w:multiLevelType w:val="hybridMultilevel"/>
    <w:tmpl w:val="00D4FF64"/>
    <w:lvl w:ilvl="0" w:tplc="375E671A">
      <w:start w:val="1"/>
      <w:numFmt w:val="bullet"/>
      <w:lvlText w:val=""/>
      <w:lvlJc w:val="left"/>
      <w:pPr>
        <w:tabs>
          <w:tab w:val="num" w:pos="720"/>
        </w:tabs>
        <w:ind w:left="720" w:hanging="360"/>
      </w:pPr>
      <w:rPr>
        <w:rFonts w:ascii="Wingdings 3" w:hAnsi="Wingdings 3" w:hint="default"/>
      </w:rPr>
    </w:lvl>
    <w:lvl w:ilvl="1" w:tplc="DCE2762A">
      <w:start w:val="118"/>
      <w:numFmt w:val="bullet"/>
      <w:lvlText w:val="•"/>
      <w:lvlJc w:val="left"/>
      <w:pPr>
        <w:tabs>
          <w:tab w:val="num" w:pos="1440"/>
        </w:tabs>
        <w:ind w:left="1440" w:hanging="360"/>
      </w:pPr>
      <w:rPr>
        <w:rFonts w:ascii="Arial" w:hAnsi="Arial" w:hint="default"/>
      </w:rPr>
    </w:lvl>
    <w:lvl w:ilvl="2" w:tplc="C7B02AE8" w:tentative="1">
      <w:start w:val="1"/>
      <w:numFmt w:val="bullet"/>
      <w:lvlText w:val=""/>
      <w:lvlJc w:val="left"/>
      <w:pPr>
        <w:tabs>
          <w:tab w:val="num" w:pos="2160"/>
        </w:tabs>
        <w:ind w:left="2160" w:hanging="360"/>
      </w:pPr>
      <w:rPr>
        <w:rFonts w:ascii="Wingdings 3" w:hAnsi="Wingdings 3" w:hint="default"/>
      </w:rPr>
    </w:lvl>
    <w:lvl w:ilvl="3" w:tplc="89D669A6" w:tentative="1">
      <w:start w:val="1"/>
      <w:numFmt w:val="bullet"/>
      <w:lvlText w:val=""/>
      <w:lvlJc w:val="left"/>
      <w:pPr>
        <w:tabs>
          <w:tab w:val="num" w:pos="2880"/>
        </w:tabs>
        <w:ind w:left="2880" w:hanging="360"/>
      </w:pPr>
      <w:rPr>
        <w:rFonts w:ascii="Wingdings 3" w:hAnsi="Wingdings 3" w:hint="default"/>
      </w:rPr>
    </w:lvl>
    <w:lvl w:ilvl="4" w:tplc="7586F86E" w:tentative="1">
      <w:start w:val="1"/>
      <w:numFmt w:val="bullet"/>
      <w:lvlText w:val=""/>
      <w:lvlJc w:val="left"/>
      <w:pPr>
        <w:tabs>
          <w:tab w:val="num" w:pos="3600"/>
        </w:tabs>
        <w:ind w:left="3600" w:hanging="360"/>
      </w:pPr>
      <w:rPr>
        <w:rFonts w:ascii="Wingdings 3" w:hAnsi="Wingdings 3" w:hint="default"/>
      </w:rPr>
    </w:lvl>
    <w:lvl w:ilvl="5" w:tplc="37B4872C" w:tentative="1">
      <w:start w:val="1"/>
      <w:numFmt w:val="bullet"/>
      <w:lvlText w:val=""/>
      <w:lvlJc w:val="left"/>
      <w:pPr>
        <w:tabs>
          <w:tab w:val="num" w:pos="4320"/>
        </w:tabs>
        <w:ind w:left="4320" w:hanging="360"/>
      </w:pPr>
      <w:rPr>
        <w:rFonts w:ascii="Wingdings 3" w:hAnsi="Wingdings 3" w:hint="default"/>
      </w:rPr>
    </w:lvl>
    <w:lvl w:ilvl="6" w:tplc="3212560C" w:tentative="1">
      <w:start w:val="1"/>
      <w:numFmt w:val="bullet"/>
      <w:lvlText w:val=""/>
      <w:lvlJc w:val="left"/>
      <w:pPr>
        <w:tabs>
          <w:tab w:val="num" w:pos="5040"/>
        </w:tabs>
        <w:ind w:left="5040" w:hanging="360"/>
      </w:pPr>
      <w:rPr>
        <w:rFonts w:ascii="Wingdings 3" w:hAnsi="Wingdings 3" w:hint="default"/>
      </w:rPr>
    </w:lvl>
    <w:lvl w:ilvl="7" w:tplc="5DFCEDB0" w:tentative="1">
      <w:start w:val="1"/>
      <w:numFmt w:val="bullet"/>
      <w:lvlText w:val=""/>
      <w:lvlJc w:val="left"/>
      <w:pPr>
        <w:tabs>
          <w:tab w:val="num" w:pos="5760"/>
        </w:tabs>
        <w:ind w:left="5760" w:hanging="360"/>
      </w:pPr>
      <w:rPr>
        <w:rFonts w:ascii="Wingdings 3" w:hAnsi="Wingdings 3" w:hint="default"/>
      </w:rPr>
    </w:lvl>
    <w:lvl w:ilvl="8" w:tplc="0DA82D7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AEF35A3"/>
    <w:multiLevelType w:val="hybridMultilevel"/>
    <w:tmpl w:val="B7025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97435"/>
    <w:multiLevelType w:val="hybridMultilevel"/>
    <w:tmpl w:val="C152F408"/>
    <w:lvl w:ilvl="0" w:tplc="979CE450">
      <w:start w:val="1"/>
      <w:numFmt w:val="bullet"/>
      <w:lvlText w:val="•"/>
      <w:lvlJc w:val="left"/>
      <w:pPr>
        <w:tabs>
          <w:tab w:val="num" w:pos="720"/>
        </w:tabs>
        <w:ind w:left="720" w:hanging="360"/>
      </w:pPr>
      <w:rPr>
        <w:rFonts w:ascii="Arial" w:hAnsi="Arial" w:hint="default"/>
      </w:rPr>
    </w:lvl>
    <w:lvl w:ilvl="1" w:tplc="7C680A5E">
      <w:start w:val="1"/>
      <w:numFmt w:val="bullet"/>
      <w:lvlText w:val="•"/>
      <w:lvlJc w:val="left"/>
      <w:pPr>
        <w:tabs>
          <w:tab w:val="num" w:pos="1440"/>
        </w:tabs>
        <w:ind w:left="1440" w:hanging="360"/>
      </w:pPr>
      <w:rPr>
        <w:rFonts w:ascii="Arial" w:hAnsi="Arial" w:hint="default"/>
      </w:rPr>
    </w:lvl>
    <w:lvl w:ilvl="2" w:tplc="1B98DC82" w:tentative="1">
      <w:start w:val="1"/>
      <w:numFmt w:val="bullet"/>
      <w:lvlText w:val="•"/>
      <w:lvlJc w:val="left"/>
      <w:pPr>
        <w:tabs>
          <w:tab w:val="num" w:pos="2160"/>
        </w:tabs>
        <w:ind w:left="2160" w:hanging="360"/>
      </w:pPr>
      <w:rPr>
        <w:rFonts w:ascii="Arial" w:hAnsi="Arial" w:hint="default"/>
      </w:rPr>
    </w:lvl>
    <w:lvl w:ilvl="3" w:tplc="F9245F96" w:tentative="1">
      <w:start w:val="1"/>
      <w:numFmt w:val="bullet"/>
      <w:lvlText w:val="•"/>
      <w:lvlJc w:val="left"/>
      <w:pPr>
        <w:tabs>
          <w:tab w:val="num" w:pos="2880"/>
        </w:tabs>
        <w:ind w:left="2880" w:hanging="360"/>
      </w:pPr>
      <w:rPr>
        <w:rFonts w:ascii="Arial" w:hAnsi="Arial" w:hint="default"/>
      </w:rPr>
    </w:lvl>
    <w:lvl w:ilvl="4" w:tplc="97AC1872" w:tentative="1">
      <w:start w:val="1"/>
      <w:numFmt w:val="bullet"/>
      <w:lvlText w:val="•"/>
      <w:lvlJc w:val="left"/>
      <w:pPr>
        <w:tabs>
          <w:tab w:val="num" w:pos="3600"/>
        </w:tabs>
        <w:ind w:left="3600" w:hanging="360"/>
      </w:pPr>
      <w:rPr>
        <w:rFonts w:ascii="Arial" w:hAnsi="Arial" w:hint="default"/>
      </w:rPr>
    </w:lvl>
    <w:lvl w:ilvl="5" w:tplc="0F50E068" w:tentative="1">
      <w:start w:val="1"/>
      <w:numFmt w:val="bullet"/>
      <w:lvlText w:val="•"/>
      <w:lvlJc w:val="left"/>
      <w:pPr>
        <w:tabs>
          <w:tab w:val="num" w:pos="4320"/>
        </w:tabs>
        <w:ind w:left="4320" w:hanging="360"/>
      </w:pPr>
      <w:rPr>
        <w:rFonts w:ascii="Arial" w:hAnsi="Arial" w:hint="default"/>
      </w:rPr>
    </w:lvl>
    <w:lvl w:ilvl="6" w:tplc="B5F0680A" w:tentative="1">
      <w:start w:val="1"/>
      <w:numFmt w:val="bullet"/>
      <w:lvlText w:val="•"/>
      <w:lvlJc w:val="left"/>
      <w:pPr>
        <w:tabs>
          <w:tab w:val="num" w:pos="5040"/>
        </w:tabs>
        <w:ind w:left="5040" w:hanging="360"/>
      </w:pPr>
      <w:rPr>
        <w:rFonts w:ascii="Arial" w:hAnsi="Arial" w:hint="default"/>
      </w:rPr>
    </w:lvl>
    <w:lvl w:ilvl="7" w:tplc="E24E6EDC" w:tentative="1">
      <w:start w:val="1"/>
      <w:numFmt w:val="bullet"/>
      <w:lvlText w:val="•"/>
      <w:lvlJc w:val="left"/>
      <w:pPr>
        <w:tabs>
          <w:tab w:val="num" w:pos="5760"/>
        </w:tabs>
        <w:ind w:left="5760" w:hanging="360"/>
      </w:pPr>
      <w:rPr>
        <w:rFonts w:ascii="Arial" w:hAnsi="Arial" w:hint="default"/>
      </w:rPr>
    </w:lvl>
    <w:lvl w:ilvl="8" w:tplc="71F8D7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FA3BC8"/>
    <w:multiLevelType w:val="hybridMultilevel"/>
    <w:tmpl w:val="39AE4074"/>
    <w:lvl w:ilvl="0" w:tplc="F26C9BDC">
      <w:start w:val="1"/>
      <w:numFmt w:val="bullet"/>
      <w:lvlText w:val=""/>
      <w:lvlJc w:val="left"/>
      <w:pPr>
        <w:tabs>
          <w:tab w:val="num" w:pos="720"/>
        </w:tabs>
        <w:ind w:left="720" w:hanging="360"/>
      </w:pPr>
      <w:rPr>
        <w:rFonts w:ascii="Wingdings 3" w:hAnsi="Wingdings 3" w:hint="default"/>
      </w:rPr>
    </w:lvl>
    <w:lvl w:ilvl="1" w:tplc="C65E7A9E">
      <w:start w:val="1"/>
      <w:numFmt w:val="bullet"/>
      <w:lvlText w:val=""/>
      <w:lvlJc w:val="left"/>
      <w:pPr>
        <w:tabs>
          <w:tab w:val="num" w:pos="1440"/>
        </w:tabs>
        <w:ind w:left="1440" w:hanging="360"/>
      </w:pPr>
      <w:rPr>
        <w:rFonts w:ascii="Wingdings 3" w:hAnsi="Wingdings 3" w:hint="default"/>
      </w:rPr>
    </w:lvl>
    <w:lvl w:ilvl="2" w:tplc="83CE1F14" w:tentative="1">
      <w:start w:val="1"/>
      <w:numFmt w:val="bullet"/>
      <w:lvlText w:val=""/>
      <w:lvlJc w:val="left"/>
      <w:pPr>
        <w:tabs>
          <w:tab w:val="num" w:pos="2160"/>
        </w:tabs>
        <w:ind w:left="2160" w:hanging="360"/>
      </w:pPr>
      <w:rPr>
        <w:rFonts w:ascii="Wingdings 3" w:hAnsi="Wingdings 3" w:hint="default"/>
      </w:rPr>
    </w:lvl>
    <w:lvl w:ilvl="3" w:tplc="A80E8C96" w:tentative="1">
      <w:start w:val="1"/>
      <w:numFmt w:val="bullet"/>
      <w:lvlText w:val=""/>
      <w:lvlJc w:val="left"/>
      <w:pPr>
        <w:tabs>
          <w:tab w:val="num" w:pos="2880"/>
        </w:tabs>
        <w:ind w:left="2880" w:hanging="360"/>
      </w:pPr>
      <w:rPr>
        <w:rFonts w:ascii="Wingdings 3" w:hAnsi="Wingdings 3" w:hint="default"/>
      </w:rPr>
    </w:lvl>
    <w:lvl w:ilvl="4" w:tplc="D4683EB0" w:tentative="1">
      <w:start w:val="1"/>
      <w:numFmt w:val="bullet"/>
      <w:lvlText w:val=""/>
      <w:lvlJc w:val="left"/>
      <w:pPr>
        <w:tabs>
          <w:tab w:val="num" w:pos="3600"/>
        </w:tabs>
        <w:ind w:left="3600" w:hanging="360"/>
      </w:pPr>
      <w:rPr>
        <w:rFonts w:ascii="Wingdings 3" w:hAnsi="Wingdings 3" w:hint="default"/>
      </w:rPr>
    </w:lvl>
    <w:lvl w:ilvl="5" w:tplc="440833C4" w:tentative="1">
      <w:start w:val="1"/>
      <w:numFmt w:val="bullet"/>
      <w:lvlText w:val=""/>
      <w:lvlJc w:val="left"/>
      <w:pPr>
        <w:tabs>
          <w:tab w:val="num" w:pos="4320"/>
        </w:tabs>
        <w:ind w:left="4320" w:hanging="360"/>
      </w:pPr>
      <w:rPr>
        <w:rFonts w:ascii="Wingdings 3" w:hAnsi="Wingdings 3" w:hint="default"/>
      </w:rPr>
    </w:lvl>
    <w:lvl w:ilvl="6" w:tplc="2E04AD10" w:tentative="1">
      <w:start w:val="1"/>
      <w:numFmt w:val="bullet"/>
      <w:lvlText w:val=""/>
      <w:lvlJc w:val="left"/>
      <w:pPr>
        <w:tabs>
          <w:tab w:val="num" w:pos="5040"/>
        </w:tabs>
        <w:ind w:left="5040" w:hanging="360"/>
      </w:pPr>
      <w:rPr>
        <w:rFonts w:ascii="Wingdings 3" w:hAnsi="Wingdings 3" w:hint="default"/>
      </w:rPr>
    </w:lvl>
    <w:lvl w:ilvl="7" w:tplc="CC928BF2" w:tentative="1">
      <w:start w:val="1"/>
      <w:numFmt w:val="bullet"/>
      <w:lvlText w:val=""/>
      <w:lvlJc w:val="left"/>
      <w:pPr>
        <w:tabs>
          <w:tab w:val="num" w:pos="5760"/>
        </w:tabs>
        <w:ind w:left="5760" w:hanging="360"/>
      </w:pPr>
      <w:rPr>
        <w:rFonts w:ascii="Wingdings 3" w:hAnsi="Wingdings 3" w:hint="default"/>
      </w:rPr>
    </w:lvl>
    <w:lvl w:ilvl="8" w:tplc="41B67654"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1A47AB1"/>
    <w:multiLevelType w:val="hybridMultilevel"/>
    <w:tmpl w:val="7150A60C"/>
    <w:lvl w:ilvl="0" w:tplc="C0A2BA58">
      <w:start w:val="1"/>
      <w:numFmt w:val="bullet"/>
      <w:lvlText w:val=""/>
      <w:lvlJc w:val="left"/>
      <w:pPr>
        <w:tabs>
          <w:tab w:val="num" w:pos="720"/>
        </w:tabs>
        <w:ind w:left="720" w:hanging="360"/>
      </w:pPr>
      <w:rPr>
        <w:rFonts w:ascii="Wingdings 3" w:hAnsi="Wingdings 3" w:hint="default"/>
      </w:rPr>
    </w:lvl>
    <w:lvl w:ilvl="1" w:tplc="377629C4">
      <w:start w:val="1"/>
      <w:numFmt w:val="bullet"/>
      <w:lvlText w:val=""/>
      <w:lvlJc w:val="left"/>
      <w:pPr>
        <w:tabs>
          <w:tab w:val="num" w:pos="1440"/>
        </w:tabs>
        <w:ind w:left="1440" w:hanging="360"/>
      </w:pPr>
      <w:rPr>
        <w:rFonts w:ascii="Wingdings 3" w:hAnsi="Wingdings 3" w:hint="default"/>
      </w:rPr>
    </w:lvl>
    <w:lvl w:ilvl="2" w:tplc="BBA4103C" w:tentative="1">
      <w:start w:val="1"/>
      <w:numFmt w:val="bullet"/>
      <w:lvlText w:val=""/>
      <w:lvlJc w:val="left"/>
      <w:pPr>
        <w:tabs>
          <w:tab w:val="num" w:pos="2160"/>
        </w:tabs>
        <w:ind w:left="2160" w:hanging="360"/>
      </w:pPr>
      <w:rPr>
        <w:rFonts w:ascii="Wingdings 3" w:hAnsi="Wingdings 3" w:hint="default"/>
      </w:rPr>
    </w:lvl>
    <w:lvl w:ilvl="3" w:tplc="2BBE99D6" w:tentative="1">
      <w:start w:val="1"/>
      <w:numFmt w:val="bullet"/>
      <w:lvlText w:val=""/>
      <w:lvlJc w:val="left"/>
      <w:pPr>
        <w:tabs>
          <w:tab w:val="num" w:pos="2880"/>
        </w:tabs>
        <w:ind w:left="2880" w:hanging="360"/>
      </w:pPr>
      <w:rPr>
        <w:rFonts w:ascii="Wingdings 3" w:hAnsi="Wingdings 3" w:hint="default"/>
      </w:rPr>
    </w:lvl>
    <w:lvl w:ilvl="4" w:tplc="4CBC3608" w:tentative="1">
      <w:start w:val="1"/>
      <w:numFmt w:val="bullet"/>
      <w:lvlText w:val=""/>
      <w:lvlJc w:val="left"/>
      <w:pPr>
        <w:tabs>
          <w:tab w:val="num" w:pos="3600"/>
        </w:tabs>
        <w:ind w:left="3600" w:hanging="360"/>
      </w:pPr>
      <w:rPr>
        <w:rFonts w:ascii="Wingdings 3" w:hAnsi="Wingdings 3" w:hint="default"/>
      </w:rPr>
    </w:lvl>
    <w:lvl w:ilvl="5" w:tplc="2FC638C8" w:tentative="1">
      <w:start w:val="1"/>
      <w:numFmt w:val="bullet"/>
      <w:lvlText w:val=""/>
      <w:lvlJc w:val="left"/>
      <w:pPr>
        <w:tabs>
          <w:tab w:val="num" w:pos="4320"/>
        </w:tabs>
        <w:ind w:left="4320" w:hanging="360"/>
      </w:pPr>
      <w:rPr>
        <w:rFonts w:ascii="Wingdings 3" w:hAnsi="Wingdings 3" w:hint="default"/>
      </w:rPr>
    </w:lvl>
    <w:lvl w:ilvl="6" w:tplc="AAD4F458" w:tentative="1">
      <w:start w:val="1"/>
      <w:numFmt w:val="bullet"/>
      <w:lvlText w:val=""/>
      <w:lvlJc w:val="left"/>
      <w:pPr>
        <w:tabs>
          <w:tab w:val="num" w:pos="5040"/>
        </w:tabs>
        <w:ind w:left="5040" w:hanging="360"/>
      </w:pPr>
      <w:rPr>
        <w:rFonts w:ascii="Wingdings 3" w:hAnsi="Wingdings 3" w:hint="default"/>
      </w:rPr>
    </w:lvl>
    <w:lvl w:ilvl="7" w:tplc="9614F896" w:tentative="1">
      <w:start w:val="1"/>
      <w:numFmt w:val="bullet"/>
      <w:lvlText w:val=""/>
      <w:lvlJc w:val="left"/>
      <w:pPr>
        <w:tabs>
          <w:tab w:val="num" w:pos="5760"/>
        </w:tabs>
        <w:ind w:left="5760" w:hanging="360"/>
      </w:pPr>
      <w:rPr>
        <w:rFonts w:ascii="Wingdings 3" w:hAnsi="Wingdings 3" w:hint="default"/>
      </w:rPr>
    </w:lvl>
    <w:lvl w:ilvl="8" w:tplc="44D03C0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1B02C69"/>
    <w:multiLevelType w:val="hybridMultilevel"/>
    <w:tmpl w:val="E27C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24112"/>
    <w:multiLevelType w:val="hybridMultilevel"/>
    <w:tmpl w:val="2CA881FE"/>
    <w:lvl w:ilvl="0" w:tplc="6546CD30">
      <w:start w:val="1"/>
      <w:numFmt w:val="bullet"/>
      <w:lvlText w:val=""/>
      <w:lvlJc w:val="left"/>
      <w:pPr>
        <w:tabs>
          <w:tab w:val="num" w:pos="720"/>
        </w:tabs>
        <w:ind w:left="720" w:hanging="360"/>
      </w:pPr>
      <w:rPr>
        <w:rFonts w:ascii="Wingdings 3" w:hAnsi="Wingdings 3" w:hint="default"/>
      </w:rPr>
    </w:lvl>
    <w:lvl w:ilvl="1" w:tplc="3F840120">
      <w:start w:val="118"/>
      <w:numFmt w:val="bullet"/>
      <w:lvlText w:val="•"/>
      <w:lvlJc w:val="left"/>
      <w:pPr>
        <w:tabs>
          <w:tab w:val="num" w:pos="1440"/>
        </w:tabs>
        <w:ind w:left="1440" w:hanging="360"/>
      </w:pPr>
      <w:rPr>
        <w:rFonts w:ascii="Arial" w:hAnsi="Arial" w:hint="default"/>
      </w:rPr>
    </w:lvl>
    <w:lvl w:ilvl="2" w:tplc="8280D602" w:tentative="1">
      <w:start w:val="1"/>
      <w:numFmt w:val="bullet"/>
      <w:lvlText w:val=""/>
      <w:lvlJc w:val="left"/>
      <w:pPr>
        <w:tabs>
          <w:tab w:val="num" w:pos="2160"/>
        </w:tabs>
        <w:ind w:left="2160" w:hanging="360"/>
      </w:pPr>
      <w:rPr>
        <w:rFonts w:ascii="Wingdings 3" w:hAnsi="Wingdings 3" w:hint="default"/>
      </w:rPr>
    </w:lvl>
    <w:lvl w:ilvl="3" w:tplc="A350E1B6" w:tentative="1">
      <w:start w:val="1"/>
      <w:numFmt w:val="bullet"/>
      <w:lvlText w:val=""/>
      <w:lvlJc w:val="left"/>
      <w:pPr>
        <w:tabs>
          <w:tab w:val="num" w:pos="2880"/>
        </w:tabs>
        <w:ind w:left="2880" w:hanging="360"/>
      </w:pPr>
      <w:rPr>
        <w:rFonts w:ascii="Wingdings 3" w:hAnsi="Wingdings 3" w:hint="default"/>
      </w:rPr>
    </w:lvl>
    <w:lvl w:ilvl="4" w:tplc="7E62EEF2" w:tentative="1">
      <w:start w:val="1"/>
      <w:numFmt w:val="bullet"/>
      <w:lvlText w:val=""/>
      <w:lvlJc w:val="left"/>
      <w:pPr>
        <w:tabs>
          <w:tab w:val="num" w:pos="3600"/>
        </w:tabs>
        <w:ind w:left="3600" w:hanging="360"/>
      </w:pPr>
      <w:rPr>
        <w:rFonts w:ascii="Wingdings 3" w:hAnsi="Wingdings 3" w:hint="default"/>
      </w:rPr>
    </w:lvl>
    <w:lvl w:ilvl="5" w:tplc="6242F934" w:tentative="1">
      <w:start w:val="1"/>
      <w:numFmt w:val="bullet"/>
      <w:lvlText w:val=""/>
      <w:lvlJc w:val="left"/>
      <w:pPr>
        <w:tabs>
          <w:tab w:val="num" w:pos="4320"/>
        </w:tabs>
        <w:ind w:left="4320" w:hanging="360"/>
      </w:pPr>
      <w:rPr>
        <w:rFonts w:ascii="Wingdings 3" w:hAnsi="Wingdings 3" w:hint="default"/>
      </w:rPr>
    </w:lvl>
    <w:lvl w:ilvl="6" w:tplc="0BE243DE" w:tentative="1">
      <w:start w:val="1"/>
      <w:numFmt w:val="bullet"/>
      <w:lvlText w:val=""/>
      <w:lvlJc w:val="left"/>
      <w:pPr>
        <w:tabs>
          <w:tab w:val="num" w:pos="5040"/>
        </w:tabs>
        <w:ind w:left="5040" w:hanging="360"/>
      </w:pPr>
      <w:rPr>
        <w:rFonts w:ascii="Wingdings 3" w:hAnsi="Wingdings 3" w:hint="default"/>
      </w:rPr>
    </w:lvl>
    <w:lvl w:ilvl="7" w:tplc="2D9E7B82" w:tentative="1">
      <w:start w:val="1"/>
      <w:numFmt w:val="bullet"/>
      <w:lvlText w:val=""/>
      <w:lvlJc w:val="left"/>
      <w:pPr>
        <w:tabs>
          <w:tab w:val="num" w:pos="5760"/>
        </w:tabs>
        <w:ind w:left="5760" w:hanging="360"/>
      </w:pPr>
      <w:rPr>
        <w:rFonts w:ascii="Wingdings 3" w:hAnsi="Wingdings 3" w:hint="default"/>
      </w:rPr>
    </w:lvl>
    <w:lvl w:ilvl="8" w:tplc="C73CE9F6"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EDC6515"/>
    <w:multiLevelType w:val="hybridMultilevel"/>
    <w:tmpl w:val="1076D43A"/>
    <w:lvl w:ilvl="0" w:tplc="B980E4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486B53"/>
    <w:multiLevelType w:val="hybridMultilevel"/>
    <w:tmpl w:val="46C6A1FE"/>
    <w:lvl w:ilvl="0" w:tplc="309C3F70">
      <w:start w:val="1"/>
      <w:numFmt w:val="bullet"/>
      <w:lvlText w:val=""/>
      <w:lvlJc w:val="left"/>
      <w:pPr>
        <w:tabs>
          <w:tab w:val="num" w:pos="720"/>
        </w:tabs>
        <w:ind w:left="720" w:hanging="360"/>
      </w:pPr>
      <w:rPr>
        <w:rFonts w:ascii="Wingdings 3" w:hAnsi="Wingdings 3" w:hint="default"/>
      </w:rPr>
    </w:lvl>
    <w:lvl w:ilvl="1" w:tplc="35EAC780">
      <w:start w:val="1"/>
      <w:numFmt w:val="bullet"/>
      <w:lvlText w:val=""/>
      <w:lvlJc w:val="left"/>
      <w:pPr>
        <w:tabs>
          <w:tab w:val="num" w:pos="1440"/>
        </w:tabs>
        <w:ind w:left="1440" w:hanging="360"/>
      </w:pPr>
      <w:rPr>
        <w:rFonts w:ascii="Wingdings 3" w:hAnsi="Wingdings 3" w:hint="default"/>
      </w:rPr>
    </w:lvl>
    <w:lvl w:ilvl="2" w:tplc="FFB44C14" w:tentative="1">
      <w:start w:val="1"/>
      <w:numFmt w:val="bullet"/>
      <w:lvlText w:val=""/>
      <w:lvlJc w:val="left"/>
      <w:pPr>
        <w:tabs>
          <w:tab w:val="num" w:pos="2160"/>
        </w:tabs>
        <w:ind w:left="2160" w:hanging="360"/>
      </w:pPr>
      <w:rPr>
        <w:rFonts w:ascii="Wingdings 3" w:hAnsi="Wingdings 3" w:hint="default"/>
      </w:rPr>
    </w:lvl>
    <w:lvl w:ilvl="3" w:tplc="EDF45706" w:tentative="1">
      <w:start w:val="1"/>
      <w:numFmt w:val="bullet"/>
      <w:lvlText w:val=""/>
      <w:lvlJc w:val="left"/>
      <w:pPr>
        <w:tabs>
          <w:tab w:val="num" w:pos="2880"/>
        </w:tabs>
        <w:ind w:left="2880" w:hanging="360"/>
      </w:pPr>
      <w:rPr>
        <w:rFonts w:ascii="Wingdings 3" w:hAnsi="Wingdings 3" w:hint="default"/>
      </w:rPr>
    </w:lvl>
    <w:lvl w:ilvl="4" w:tplc="1826B7DC" w:tentative="1">
      <w:start w:val="1"/>
      <w:numFmt w:val="bullet"/>
      <w:lvlText w:val=""/>
      <w:lvlJc w:val="left"/>
      <w:pPr>
        <w:tabs>
          <w:tab w:val="num" w:pos="3600"/>
        </w:tabs>
        <w:ind w:left="3600" w:hanging="360"/>
      </w:pPr>
      <w:rPr>
        <w:rFonts w:ascii="Wingdings 3" w:hAnsi="Wingdings 3" w:hint="default"/>
      </w:rPr>
    </w:lvl>
    <w:lvl w:ilvl="5" w:tplc="F28442CE" w:tentative="1">
      <w:start w:val="1"/>
      <w:numFmt w:val="bullet"/>
      <w:lvlText w:val=""/>
      <w:lvlJc w:val="left"/>
      <w:pPr>
        <w:tabs>
          <w:tab w:val="num" w:pos="4320"/>
        </w:tabs>
        <w:ind w:left="4320" w:hanging="360"/>
      </w:pPr>
      <w:rPr>
        <w:rFonts w:ascii="Wingdings 3" w:hAnsi="Wingdings 3" w:hint="default"/>
      </w:rPr>
    </w:lvl>
    <w:lvl w:ilvl="6" w:tplc="2C5AE1C6" w:tentative="1">
      <w:start w:val="1"/>
      <w:numFmt w:val="bullet"/>
      <w:lvlText w:val=""/>
      <w:lvlJc w:val="left"/>
      <w:pPr>
        <w:tabs>
          <w:tab w:val="num" w:pos="5040"/>
        </w:tabs>
        <w:ind w:left="5040" w:hanging="360"/>
      </w:pPr>
      <w:rPr>
        <w:rFonts w:ascii="Wingdings 3" w:hAnsi="Wingdings 3" w:hint="default"/>
      </w:rPr>
    </w:lvl>
    <w:lvl w:ilvl="7" w:tplc="F2EE2900" w:tentative="1">
      <w:start w:val="1"/>
      <w:numFmt w:val="bullet"/>
      <w:lvlText w:val=""/>
      <w:lvlJc w:val="left"/>
      <w:pPr>
        <w:tabs>
          <w:tab w:val="num" w:pos="5760"/>
        </w:tabs>
        <w:ind w:left="5760" w:hanging="360"/>
      </w:pPr>
      <w:rPr>
        <w:rFonts w:ascii="Wingdings 3" w:hAnsi="Wingdings 3" w:hint="default"/>
      </w:rPr>
    </w:lvl>
    <w:lvl w:ilvl="8" w:tplc="568EF0F2"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8AC2999"/>
    <w:multiLevelType w:val="hybridMultilevel"/>
    <w:tmpl w:val="00B8F8D4"/>
    <w:lvl w:ilvl="0" w:tplc="6896AD84">
      <w:start w:val="1"/>
      <w:numFmt w:val="bullet"/>
      <w:lvlText w:val=""/>
      <w:lvlJc w:val="left"/>
      <w:pPr>
        <w:tabs>
          <w:tab w:val="num" w:pos="720"/>
        </w:tabs>
        <w:ind w:left="720" w:hanging="360"/>
      </w:pPr>
      <w:rPr>
        <w:rFonts w:ascii="Wingdings 3" w:hAnsi="Wingdings 3" w:hint="default"/>
      </w:rPr>
    </w:lvl>
    <w:lvl w:ilvl="1" w:tplc="1780E78C">
      <w:start w:val="118"/>
      <w:numFmt w:val="bullet"/>
      <w:lvlText w:val="•"/>
      <w:lvlJc w:val="left"/>
      <w:pPr>
        <w:tabs>
          <w:tab w:val="num" w:pos="1440"/>
        </w:tabs>
        <w:ind w:left="1440" w:hanging="360"/>
      </w:pPr>
      <w:rPr>
        <w:rFonts w:ascii="Arial" w:hAnsi="Arial" w:hint="default"/>
      </w:rPr>
    </w:lvl>
    <w:lvl w:ilvl="2" w:tplc="AA2CFB74" w:tentative="1">
      <w:start w:val="1"/>
      <w:numFmt w:val="bullet"/>
      <w:lvlText w:val=""/>
      <w:lvlJc w:val="left"/>
      <w:pPr>
        <w:tabs>
          <w:tab w:val="num" w:pos="2160"/>
        </w:tabs>
        <w:ind w:left="2160" w:hanging="360"/>
      </w:pPr>
      <w:rPr>
        <w:rFonts w:ascii="Wingdings 3" w:hAnsi="Wingdings 3" w:hint="default"/>
      </w:rPr>
    </w:lvl>
    <w:lvl w:ilvl="3" w:tplc="3CA4EB76" w:tentative="1">
      <w:start w:val="1"/>
      <w:numFmt w:val="bullet"/>
      <w:lvlText w:val=""/>
      <w:lvlJc w:val="left"/>
      <w:pPr>
        <w:tabs>
          <w:tab w:val="num" w:pos="2880"/>
        </w:tabs>
        <w:ind w:left="2880" w:hanging="360"/>
      </w:pPr>
      <w:rPr>
        <w:rFonts w:ascii="Wingdings 3" w:hAnsi="Wingdings 3" w:hint="default"/>
      </w:rPr>
    </w:lvl>
    <w:lvl w:ilvl="4" w:tplc="A5F06980" w:tentative="1">
      <w:start w:val="1"/>
      <w:numFmt w:val="bullet"/>
      <w:lvlText w:val=""/>
      <w:lvlJc w:val="left"/>
      <w:pPr>
        <w:tabs>
          <w:tab w:val="num" w:pos="3600"/>
        </w:tabs>
        <w:ind w:left="3600" w:hanging="360"/>
      </w:pPr>
      <w:rPr>
        <w:rFonts w:ascii="Wingdings 3" w:hAnsi="Wingdings 3" w:hint="default"/>
      </w:rPr>
    </w:lvl>
    <w:lvl w:ilvl="5" w:tplc="B4F6C2B0" w:tentative="1">
      <w:start w:val="1"/>
      <w:numFmt w:val="bullet"/>
      <w:lvlText w:val=""/>
      <w:lvlJc w:val="left"/>
      <w:pPr>
        <w:tabs>
          <w:tab w:val="num" w:pos="4320"/>
        </w:tabs>
        <w:ind w:left="4320" w:hanging="360"/>
      </w:pPr>
      <w:rPr>
        <w:rFonts w:ascii="Wingdings 3" w:hAnsi="Wingdings 3" w:hint="default"/>
      </w:rPr>
    </w:lvl>
    <w:lvl w:ilvl="6" w:tplc="4B3EF156" w:tentative="1">
      <w:start w:val="1"/>
      <w:numFmt w:val="bullet"/>
      <w:lvlText w:val=""/>
      <w:lvlJc w:val="left"/>
      <w:pPr>
        <w:tabs>
          <w:tab w:val="num" w:pos="5040"/>
        </w:tabs>
        <w:ind w:left="5040" w:hanging="360"/>
      </w:pPr>
      <w:rPr>
        <w:rFonts w:ascii="Wingdings 3" w:hAnsi="Wingdings 3" w:hint="default"/>
      </w:rPr>
    </w:lvl>
    <w:lvl w:ilvl="7" w:tplc="2EAAB57C" w:tentative="1">
      <w:start w:val="1"/>
      <w:numFmt w:val="bullet"/>
      <w:lvlText w:val=""/>
      <w:lvlJc w:val="left"/>
      <w:pPr>
        <w:tabs>
          <w:tab w:val="num" w:pos="5760"/>
        </w:tabs>
        <w:ind w:left="5760" w:hanging="360"/>
      </w:pPr>
      <w:rPr>
        <w:rFonts w:ascii="Wingdings 3" w:hAnsi="Wingdings 3" w:hint="default"/>
      </w:rPr>
    </w:lvl>
    <w:lvl w:ilvl="8" w:tplc="03701C52" w:tentative="1">
      <w:start w:val="1"/>
      <w:numFmt w:val="bullet"/>
      <w:lvlText w:val=""/>
      <w:lvlJc w:val="left"/>
      <w:pPr>
        <w:tabs>
          <w:tab w:val="num" w:pos="6480"/>
        </w:tabs>
        <w:ind w:left="6480" w:hanging="360"/>
      </w:pPr>
      <w:rPr>
        <w:rFonts w:ascii="Wingdings 3" w:hAnsi="Wingdings 3" w:hint="default"/>
      </w:rPr>
    </w:lvl>
  </w:abstractNum>
  <w:num w:numId="1">
    <w:abstractNumId w:val="10"/>
  </w:num>
  <w:num w:numId="2">
    <w:abstractNumId w:val="8"/>
  </w:num>
  <w:num w:numId="3">
    <w:abstractNumId w:val="1"/>
  </w:num>
  <w:num w:numId="4">
    <w:abstractNumId w:val="0"/>
  </w:num>
  <w:num w:numId="5">
    <w:abstractNumId w:val="5"/>
  </w:num>
  <w:num w:numId="6">
    <w:abstractNumId w:val="4"/>
  </w:num>
  <w:num w:numId="7">
    <w:abstractNumId w:val="11"/>
  </w:num>
  <w:num w:numId="8">
    <w:abstractNumId w:val="2"/>
  </w:num>
  <w:num w:numId="9">
    <w:abstractNumId w:val="6"/>
  </w:num>
  <w:num w:numId="10">
    <w:abstractNumId w:val="12"/>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1D3"/>
    <w:rsid w:val="00002028"/>
    <w:rsid w:val="00020746"/>
    <w:rsid w:val="00022614"/>
    <w:rsid w:val="00022BA7"/>
    <w:rsid w:val="00027819"/>
    <w:rsid w:val="00033901"/>
    <w:rsid w:val="0004014F"/>
    <w:rsid w:val="00041508"/>
    <w:rsid w:val="00045478"/>
    <w:rsid w:val="00056ED3"/>
    <w:rsid w:val="000614FF"/>
    <w:rsid w:val="00061914"/>
    <w:rsid w:val="000639D9"/>
    <w:rsid w:val="00065E02"/>
    <w:rsid w:val="000703FA"/>
    <w:rsid w:val="00072712"/>
    <w:rsid w:val="00080955"/>
    <w:rsid w:val="00084783"/>
    <w:rsid w:val="00092926"/>
    <w:rsid w:val="000A18B7"/>
    <w:rsid w:val="000A3F70"/>
    <w:rsid w:val="000A6E88"/>
    <w:rsid w:val="000B666D"/>
    <w:rsid w:val="000C3F81"/>
    <w:rsid w:val="000C5698"/>
    <w:rsid w:val="000C7371"/>
    <w:rsid w:val="000C744D"/>
    <w:rsid w:val="000C7A6D"/>
    <w:rsid w:val="000D4F33"/>
    <w:rsid w:val="000D579E"/>
    <w:rsid w:val="000D5ED5"/>
    <w:rsid w:val="000E0341"/>
    <w:rsid w:val="000E40A8"/>
    <w:rsid w:val="000F0456"/>
    <w:rsid w:val="001017EE"/>
    <w:rsid w:val="00116C90"/>
    <w:rsid w:val="00121C5F"/>
    <w:rsid w:val="001256AA"/>
    <w:rsid w:val="00142369"/>
    <w:rsid w:val="001432CD"/>
    <w:rsid w:val="00143D87"/>
    <w:rsid w:val="001449AD"/>
    <w:rsid w:val="001451F3"/>
    <w:rsid w:val="00150C53"/>
    <w:rsid w:val="00154CA7"/>
    <w:rsid w:val="001604BC"/>
    <w:rsid w:val="001638F5"/>
    <w:rsid w:val="00167C3E"/>
    <w:rsid w:val="00171D7E"/>
    <w:rsid w:val="0018040F"/>
    <w:rsid w:val="00181B8B"/>
    <w:rsid w:val="00190155"/>
    <w:rsid w:val="00193155"/>
    <w:rsid w:val="0019458C"/>
    <w:rsid w:val="00195BAD"/>
    <w:rsid w:val="001A1285"/>
    <w:rsid w:val="001A5B1B"/>
    <w:rsid w:val="001A5E68"/>
    <w:rsid w:val="001B44B2"/>
    <w:rsid w:val="001B45BB"/>
    <w:rsid w:val="001C4FC0"/>
    <w:rsid w:val="001D34A0"/>
    <w:rsid w:val="001D42E9"/>
    <w:rsid w:val="001E026F"/>
    <w:rsid w:val="001E0521"/>
    <w:rsid w:val="00201ECC"/>
    <w:rsid w:val="00207AA7"/>
    <w:rsid w:val="002130A3"/>
    <w:rsid w:val="00217659"/>
    <w:rsid w:val="00220AFD"/>
    <w:rsid w:val="0022422B"/>
    <w:rsid w:val="00231A15"/>
    <w:rsid w:val="00237651"/>
    <w:rsid w:val="002434A7"/>
    <w:rsid w:val="00244972"/>
    <w:rsid w:val="002652E4"/>
    <w:rsid w:val="00265A68"/>
    <w:rsid w:val="00270073"/>
    <w:rsid w:val="00271B3E"/>
    <w:rsid w:val="00274759"/>
    <w:rsid w:val="002813B5"/>
    <w:rsid w:val="002824AB"/>
    <w:rsid w:val="002945FC"/>
    <w:rsid w:val="00296A61"/>
    <w:rsid w:val="002A1203"/>
    <w:rsid w:val="002A3D8C"/>
    <w:rsid w:val="002B1EBB"/>
    <w:rsid w:val="002D5047"/>
    <w:rsid w:val="002E76BA"/>
    <w:rsid w:val="002F1CD4"/>
    <w:rsid w:val="002F1CDF"/>
    <w:rsid w:val="002F4273"/>
    <w:rsid w:val="002F4AAB"/>
    <w:rsid w:val="003058D8"/>
    <w:rsid w:val="0031089C"/>
    <w:rsid w:val="0031138D"/>
    <w:rsid w:val="00322001"/>
    <w:rsid w:val="00323557"/>
    <w:rsid w:val="00324810"/>
    <w:rsid w:val="003345BA"/>
    <w:rsid w:val="003376C4"/>
    <w:rsid w:val="003439BC"/>
    <w:rsid w:val="003544AF"/>
    <w:rsid w:val="00354AA6"/>
    <w:rsid w:val="003566BC"/>
    <w:rsid w:val="00367871"/>
    <w:rsid w:val="00367B56"/>
    <w:rsid w:val="00370246"/>
    <w:rsid w:val="003719B8"/>
    <w:rsid w:val="0037212F"/>
    <w:rsid w:val="003740E3"/>
    <w:rsid w:val="00375114"/>
    <w:rsid w:val="00377593"/>
    <w:rsid w:val="003817C0"/>
    <w:rsid w:val="0039282F"/>
    <w:rsid w:val="003A08CA"/>
    <w:rsid w:val="003A140A"/>
    <w:rsid w:val="003B4934"/>
    <w:rsid w:val="003B4C0F"/>
    <w:rsid w:val="003B61FE"/>
    <w:rsid w:val="003C720A"/>
    <w:rsid w:val="003D6C8C"/>
    <w:rsid w:val="003E2145"/>
    <w:rsid w:val="003E351A"/>
    <w:rsid w:val="003E61BF"/>
    <w:rsid w:val="003F18FB"/>
    <w:rsid w:val="004005B2"/>
    <w:rsid w:val="0040581E"/>
    <w:rsid w:val="004063C7"/>
    <w:rsid w:val="0041076E"/>
    <w:rsid w:val="00410AF7"/>
    <w:rsid w:val="00410BBA"/>
    <w:rsid w:val="00412816"/>
    <w:rsid w:val="00413516"/>
    <w:rsid w:val="00413FB2"/>
    <w:rsid w:val="00416695"/>
    <w:rsid w:val="00420713"/>
    <w:rsid w:val="00424481"/>
    <w:rsid w:val="004256B7"/>
    <w:rsid w:val="00431FBB"/>
    <w:rsid w:val="004432BD"/>
    <w:rsid w:val="004446C8"/>
    <w:rsid w:val="00444D38"/>
    <w:rsid w:val="00445010"/>
    <w:rsid w:val="004462CF"/>
    <w:rsid w:val="00451014"/>
    <w:rsid w:val="0045230B"/>
    <w:rsid w:val="004607FF"/>
    <w:rsid w:val="00472CC7"/>
    <w:rsid w:val="0047335B"/>
    <w:rsid w:val="00473694"/>
    <w:rsid w:val="00473C62"/>
    <w:rsid w:val="004823E2"/>
    <w:rsid w:val="00482A6D"/>
    <w:rsid w:val="00490FAD"/>
    <w:rsid w:val="00495747"/>
    <w:rsid w:val="004B04EE"/>
    <w:rsid w:val="004B119E"/>
    <w:rsid w:val="004C06E6"/>
    <w:rsid w:val="004C2CC4"/>
    <w:rsid w:val="004C7E4A"/>
    <w:rsid w:val="004D7D3C"/>
    <w:rsid w:val="004E5230"/>
    <w:rsid w:val="004F1429"/>
    <w:rsid w:val="005004AA"/>
    <w:rsid w:val="005030FF"/>
    <w:rsid w:val="00503834"/>
    <w:rsid w:val="00503C30"/>
    <w:rsid w:val="005148F9"/>
    <w:rsid w:val="00535C9D"/>
    <w:rsid w:val="00540823"/>
    <w:rsid w:val="00546EDF"/>
    <w:rsid w:val="00550C28"/>
    <w:rsid w:val="005577ED"/>
    <w:rsid w:val="00565E2C"/>
    <w:rsid w:val="0058392D"/>
    <w:rsid w:val="00583B4F"/>
    <w:rsid w:val="00584D61"/>
    <w:rsid w:val="00594451"/>
    <w:rsid w:val="00595108"/>
    <w:rsid w:val="005951E5"/>
    <w:rsid w:val="005A591B"/>
    <w:rsid w:val="005B0755"/>
    <w:rsid w:val="005B0A46"/>
    <w:rsid w:val="005B1861"/>
    <w:rsid w:val="005B2D2B"/>
    <w:rsid w:val="005B5A9C"/>
    <w:rsid w:val="005C04D0"/>
    <w:rsid w:val="005E55FC"/>
    <w:rsid w:val="005E6004"/>
    <w:rsid w:val="005F6F67"/>
    <w:rsid w:val="005F6FE2"/>
    <w:rsid w:val="0060406A"/>
    <w:rsid w:val="00605793"/>
    <w:rsid w:val="00610EA3"/>
    <w:rsid w:val="00611ACB"/>
    <w:rsid w:val="00625C6B"/>
    <w:rsid w:val="00630B9D"/>
    <w:rsid w:val="0063353D"/>
    <w:rsid w:val="0063519A"/>
    <w:rsid w:val="0063558C"/>
    <w:rsid w:val="00635E04"/>
    <w:rsid w:val="006371FE"/>
    <w:rsid w:val="0063746D"/>
    <w:rsid w:val="0064429B"/>
    <w:rsid w:val="006444FD"/>
    <w:rsid w:val="00647DE3"/>
    <w:rsid w:val="00651B00"/>
    <w:rsid w:val="006548E0"/>
    <w:rsid w:val="00654EDC"/>
    <w:rsid w:val="00667489"/>
    <w:rsid w:val="00681A7C"/>
    <w:rsid w:val="00682FBD"/>
    <w:rsid w:val="00686D06"/>
    <w:rsid w:val="00690609"/>
    <w:rsid w:val="0069290E"/>
    <w:rsid w:val="00694706"/>
    <w:rsid w:val="00696287"/>
    <w:rsid w:val="00697279"/>
    <w:rsid w:val="006A57C7"/>
    <w:rsid w:val="006A6AE2"/>
    <w:rsid w:val="006B0A41"/>
    <w:rsid w:val="006B7E96"/>
    <w:rsid w:val="006C51B2"/>
    <w:rsid w:val="006C6883"/>
    <w:rsid w:val="006E10E6"/>
    <w:rsid w:val="006E15EE"/>
    <w:rsid w:val="006E5FEA"/>
    <w:rsid w:val="006E6535"/>
    <w:rsid w:val="006F08D8"/>
    <w:rsid w:val="006F4449"/>
    <w:rsid w:val="006F613A"/>
    <w:rsid w:val="00703ADE"/>
    <w:rsid w:val="0070468C"/>
    <w:rsid w:val="007065B2"/>
    <w:rsid w:val="00711720"/>
    <w:rsid w:val="00713F4C"/>
    <w:rsid w:val="00721A56"/>
    <w:rsid w:val="00730178"/>
    <w:rsid w:val="0073193C"/>
    <w:rsid w:val="007372DC"/>
    <w:rsid w:val="007404C7"/>
    <w:rsid w:val="00745582"/>
    <w:rsid w:val="00752E5F"/>
    <w:rsid w:val="00757ED6"/>
    <w:rsid w:val="007660AD"/>
    <w:rsid w:val="00776B2F"/>
    <w:rsid w:val="007776FB"/>
    <w:rsid w:val="00781FF8"/>
    <w:rsid w:val="0078615C"/>
    <w:rsid w:val="007968D2"/>
    <w:rsid w:val="007A36E7"/>
    <w:rsid w:val="007A7BA6"/>
    <w:rsid w:val="007B1C46"/>
    <w:rsid w:val="007B2DC3"/>
    <w:rsid w:val="007C2592"/>
    <w:rsid w:val="007C33DB"/>
    <w:rsid w:val="007D0BE9"/>
    <w:rsid w:val="007D41D3"/>
    <w:rsid w:val="007E2B62"/>
    <w:rsid w:val="007E4A21"/>
    <w:rsid w:val="007E7141"/>
    <w:rsid w:val="007F63A2"/>
    <w:rsid w:val="00816E10"/>
    <w:rsid w:val="00820A64"/>
    <w:rsid w:val="00822687"/>
    <w:rsid w:val="00832BF0"/>
    <w:rsid w:val="008359EE"/>
    <w:rsid w:val="00841BC4"/>
    <w:rsid w:val="008457A8"/>
    <w:rsid w:val="008506DE"/>
    <w:rsid w:val="00852E38"/>
    <w:rsid w:val="00854410"/>
    <w:rsid w:val="008565E5"/>
    <w:rsid w:val="008574CE"/>
    <w:rsid w:val="00865570"/>
    <w:rsid w:val="00866C2E"/>
    <w:rsid w:val="00867343"/>
    <w:rsid w:val="00867F85"/>
    <w:rsid w:val="00867F9B"/>
    <w:rsid w:val="0087067D"/>
    <w:rsid w:val="00871E6E"/>
    <w:rsid w:val="00875F7A"/>
    <w:rsid w:val="00877050"/>
    <w:rsid w:val="00880F49"/>
    <w:rsid w:val="00881688"/>
    <w:rsid w:val="00881696"/>
    <w:rsid w:val="008852A8"/>
    <w:rsid w:val="00886BDB"/>
    <w:rsid w:val="00886EF9"/>
    <w:rsid w:val="008927FD"/>
    <w:rsid w:val="008944B8"/>
    <w:rsid w:val="0089454F"/>
    <w:rsid w:val="008946B2"/>
    <w:rsid w:val="00894915"/>
    <w:rsid w:val="00895320"/>
    <w:rsid w:val="008A1721"/>
    <w:rsid w:val="008A658E"/>
    <w:rsid w:val="008C463F"/>
    <w:rsid w:val="008C4F9B"/>
    <w:rsid w:val="008D229E"/>
    <w:rsid w:val="008E1CB4"/>
    <w:rsid w:val="008E67DD"/>
    <w:rsid w:val="008F35AF"/>
    <w:rsid w:val="008F7300"/>
    <w:rsid w:val="00900792"/>
    <w:rsid w:val="009027CD"/>
    <w:rsid w:val="009134D4"/>
    <w:rsid w:val="00927055"/>
    <w:rsid w:val="00927205"/>
    <w:rsid w:val="00930C90"/>
    <w:rsid w:val="0093533E"/>
    <w:rsid w:val="009402CF"/>
    <w:rsid w:val="00950A2E"/>
    <w:rsid w:val="0095194B"/>
    <w:rsid w:val="00954C05"/>
    <w:rsid w:val="00957613"/>
    <w:rsid w:val="00964120"/>
    <w:rsid w:val="009722D4"/>
    <w:rsid w:val="0097270C"/>
    <w:rsid w:val="00972B29"/>
    <w:rsid w:val="0097319F"/>
    <w:rsid w:val="00977298"/>
    <w:rsid w:val="00980F16"/>
    <w:rsid w:val="00983CF8"/>
    <w:rsid w:val="00990D17"/>
    <w:rsid w:val="0099552B"/>
    <w:rsid w:val="00995EC1"/>
    <w:rsid w:val="009965E6"/>
    <w:rsid w:val="009A17C6"/>
    <w:rsid w:val="009A1859"/>
    <w:rsid w:val="009A7B8E"/>
    <w:rsid w:val="009B4F1A"/>
    <w:rsid w:val="009B4FFB"/>
    <w:rsid w:val="009B5922"/>
    <w:rsid w:val="009B5CF1"/>
    <w:rsid w:val="009C1A5D"/>
    <w:rsid w:val="009C3C65"/>
    <w:rsid w:val="009C4649"/>
    <w:rsid w:val="009C48A2"/>
    <w:rsid w:val="009D31BC"/>
    <w:rsid w:val="009D76DD"/>
    <w:rsid w:val="009E3A49"/>
    <w:rsid w:val="009E3FF7"/>
    <w:rsid w:val="009E6268"/>
    <w:rsid w:val="009F730C"/>
    <w:rsid w:val="00A02398"/>
    <w:rsid w:val="00A07BBF"/>
    <w:rsid w:val="00A13F91"/>
    <w:rsid w:val="00A14031"/>
    <w:rsid w:val="00A2542E"/>
    <w:rsid w:val="00A278C4"/>
    <w:rsid w:val="00A33F02"/>
    <w:rsid w:val="00A33F9F"/>
    <w:rsid w:val="00A37939"/>
    <w:rsid w:val="00A37F45"/>
    <w:rsid w:val="00A44AA8"/>
    <w:rsid w:val="00A46438"/>
    <w:rsid w:val="00A51582"/>
    <w:rsid w:val="00A538CB"/>
    <w:rsid w:val="00A53F14"/>
    <w:rsid w:val="00A65A73"/>
    <w:rsid w:val="00A6627C"/>
    <w:rsid w:val="00A7121A"/>
    <w:rsid w:val="00A733FB"/>
    <w:rsid w:val="00A73D76"/>
    <w:rsid w:val="00A76325"/>
    <w:rsid w:val="00A92FFF"/>
    <w:rsid w:val="00A941D3"/>
    <w:rsid w:val="00AB42C8"/>
    <w:rsid w:val="00AC19F0"/>
    <w:rsid w:val="00AD53E0"/>
    <w:rsid w:val="00AD7BFD"/>
    <w:rsid w:val="00AE30E1"/>
    <w:rsid w:val="00AE4E9D"/>
    <w:rsid w:val="00B02547"/>
    <w:rsid w:val="00B15A03"/>
    <w:rsid w:val="00B22EB3"/>
    <w:rsid w:val="00B251E0"/>
    <w:rsid w:val="00B277A1"/>
    <w:rsid w:val="00B306C3"/>
    <w:rsid w:val="00B3690C"/>
    <w:rsid w:val="00B4119A"/>
    <w:rsid w:val="00B4553F"/>
    <w:rsid w:val="00B47572"/>
    <w:rsid w:val="00B55AB7"/>
    <w:rsid w:val="00B6270E"/>
    <w:rsid w:val="00B63299"/>
    <w:rsid w:val="00B647D8"/>
    <w:rsid w:val="00B657E9"/>
    <w:rsid w:val="00B6796D"/>
    <w:rsid w:val="00B7634B"/>
    <w:rsid w:val="00B77FCB"/>
    <w:rsid w:val="00B83248"/>
    <w:rsid w:val="00B85A01"/>
    <w:rsid w:val="00B86636"/>
    <w:rsid w:val="00B92DFA"/>
    <w:rsid w:val="00B97457"/>
    <w:rsid w:val="00BA2420"/>
    <w:rsid w:val="00BA66E3"/>
    <w:rsid w:val="00BB3715"/>
    <w:rsid w:val="00BB64E1"/>
    <w:rsid w:val="00BB78AA"/>
    <w:rsid w:val="00BC3307"/>
    <w:rsid w:val="00BD613B"/>
    <w:rsid w:val="00BD7BCE"/>
    <w:rsid w:val="00BE10C8"/>
    <w:rsid w:val="00BE2055"/>
    <w:rsid w:val="00BE3CBF"/>
    <w:rsid w:val="00BF040F"/>
    <w:rsid w:val="00BF7930"/>
    <w:rsid w:val="00C01EF4"/>
    <w:rsid w:val="00C026C1"/>
    <w:rsid w:val="00C035E4"/>
    <w:rsid w:val="00C0752A"/>
    <w:rsid w:val="00C11763"/>
    <w:rsid w:val="00C117A3"/>
    <w:rsid w:val="00C168B4"/>
    <w:rsid w:val="00C21542"/>
    <w:rsid w:val="00C21D4B"/>
    <w:rsid w:val="00C243A3"/>
    <w:rsid w:val="00C2469A"/>
    <w:rsid w:val="00C3268A"/>
    <w:rsid w:val="00C35998"/>
    <w:rsid w:val="00C40C3C"/>
    <w:rsid w:val="00C42414"/>
    <w:rsid w:val="00C53E76"/>
    <w:rsid w:val="00C54BE0"/>
    <w:rsid w:val="00C573CB"/>
    <w:rsid w:val="00C57A3E"/>
    <w:rsid w:val="00C606C9"/>
    <w:rsid w:val="00C7127A"/>
    <w:rsid w:val="00C93F4A"/>
    <w:rsid w:val="00C95566"/>
    <w:rsid w:val="00CA07D9"/>
    <w:rsid w:val="00CA5557"/>
    <w:rsid w:val="00CA6062"/>
    <w:rsid w:val="00CA69FD"/>
    <w:rsid w:val="00CB0343"/>
    <w:rsid w:val="00CB19BE"/>
    <w:rsid w:val="00CB3C70"/>
    <w:rsid w:val="00CB5CF0"/>
    <w:rsid w:val="00CC0340"/>
    <w:rsid w:val="00CC0F8A"/>
    <w:rsid w:val="00CC152D"/>
    <w:rsid w:val="00CC55B7"/>
    <w:rsid w:val="00CC62D2"/>
    <w:rsid w:val="00CC6898"/>
    <w:rsid w:val="00CD46CA"/>
    <w:rsid w:val="00CE1D90"/>
    <w:rsid w:val="00CE5DBA"/>
    <w:rsid w:val="00CE7100"/>
    <w:rsid w:val="00CF271D"/>
    <w:rsid w:val="00D056BB"/>
    <w:rsid w:val="00D05AD3"/>
    <w:rsid w:val="00D10877"/>
    <w:rsid w:val="00D1260D"/>
    <w:rsid w:val="00D1604D"/>
    <w:rsid w:val="00D210D2"/>
    <w:rsid w:val="00D270E9"/>
    <w:rsid w:val="00D35479"/>
    <w:rsid w:val="00D36095"/>
    <w:rsid w:val="00D40883"/>
    <w:rsid w:val="00D43BE6"/>
    <w:rsid w:val="00D47486"/>
    <w:rsid w:val="00D524B2"/>
    <w:rsid w:val="00D536D2"/>
    <w:rsid w:val="00D55809"/>
    <w:rsid w:val="00D720F7"/>
    <w:rsid w:val="00D756E5"/>
    <w:rsid w:val="00D91AB0"/>
    <w:rsid w:val="00D975D2"/>
    <w:rsid w:val="00DA0DA7"/>
    <w:rsid w:val="00DA2B1D"/>
    <w:rsid w:val="00DB0073"/>
    <w:rsid w:val="00DB0AED"/>
    <w:rsid w:val="00DB4577"/>
    <w:rsid w:val="00DB4E7E"/>
    <w:rsid w:val="00DB6D43"/>
    <w:rsid w:val="00DC4AFA"/>
    <w:rsid w:val="00DC6F62"/>
    <w:rsid w:val="00DC7251"/>
    <w:rsid w:val="00DD0620"/>
    <w:rsid w:val="00DD19F9"/>
    <w:rsid w:val="00DD7512"/>
    <w:rsid w:val="00DE2EF5"/>
    <w:rsid w:val="00DE5686"/>
    <w:rsid w:val="00DF04D5"/>
    <w:rsid w:val="00DF4F5A"/>
    <w:rsid w:val="00DF595E"/>
    <w:rsid w:val="00E003C7"/>
    <w:rsid w:val="00E03178"/>
    <w:rsid w:val="00E115B9"/>
    <w:rsid w:val="00E1276E"/>
    <w:rsid w:val="00E1295A"/>
    <w:rsid w:val="00E13B0E"/>
    <w:rsid w:val="00E16221"/>
    <w:rsid w:val="00E2117F"/>
    <w:rsid w:val="00E219AE"/>
    <w:rsid w:val="00E2745B"/>
    <w:rsid w:val="00E277DE"/>
    <w:rsid w:val="00E33E12"/>
    <w:rsid w:val="00E33EF0"/>
    <w:rsid w:val="00E35BD9"/>
    <w:rsid w:val="00E449CF"/>
    <w:rsid w:val="00E5275C"/>
    <w:rsid w:val="00E57B4B"/>
    <w:rsid w:val="00E65A14"/>
    <w:rsid w:val="00E66F8E"/>
    <w:rsid w:val="00E7039D"/>
    <w:rsid w:val="00E80A5B"/>
    <w:rsid w:val="00E82278"/>
    <w:rsid w:val="00E82AFB"/>
    <w:rsid w:val="00E83F6C"/>
    <w:rsid w:val="00E85BB5"/>
    <w:rsid w:val="00E87400"/>
    <w:rsid w:val="00E91271"/>
    <w:rsid w:val="00E96291"/>
    <w:rsid w:val="00E963A0"/>
    <w:rsid w:val="00EA0CD7"/>
    <w:rsid w:val="00EA38C6"/>
    <w:rsid w:val="00EA5ACD"/>
    <w:rsid w:val="00EC5C31"/>
    <w:rsid w:val="00ED3275"/>
    <w:rsid w:val="00EE1C1C"/>
    <w:rsid w:val="00EE38AF"/>
    <w:rsid w:val="00EE3912"/>
    <w:rsid w:val="00EE535C"/>
    <w:rsid w:val="00EF6B6A"/>
    <w:rsid w:val="00F00248"/>
    <w:rsid w:val="00F02984"/>
    <w:rsid w:val="00F05357"/>
    <w:rsid w:val="00F0551B"/>
    <w:rsid w:val="00F06239"/>
    <w:rsid w:val="00F06E91"/>
    <w:rsid w:val="00F072E2"/>
    <w:rsid w:val="00F0775B"/>
    <w:rsid w:val="00F07AF4"/>
    <w:rsid w:val="00F200C9"/>
    <w:rsid w:val="00F24578"/>
    <w:rsid w:val="00F264D8"/>
    <w:rsid w:val="00F31D05"/>
    <w:rsid w:val="00F3226E"/>
    <w:rsid w:val="00F41DE5"/>
    <w:rsid w:val="00F42BAF"/>
    <w:rsid w:val="00F44B04"/>
    <w:rsid w:val="00F55B47"/>
    <w:rsid w:val="00F56063"/>
    <w:rsid w:val="00F56FD6"/>
    <w:rsid w:val="00F67F03"/>
    <w:rsid w:val="00F703BD"/>
    <w:rsid w:val="00F73EAA"/>
    <w:rsid w:val="00F81107"/>
    <w:rsid w:val="00F82749"/>
    <w:rsid w:val="00F85077"/>
    <w:rsid w:val="00F85891"/>
    <w:rsid w:val="00F869E3"/>
    <w:rsid w:val="00FA2DA4"/>
    <w:rsid w:val="00FB4D6C"/>
    <w:rsid w:val="00FB5FDB"/>
    <w:rsid w:val="00FC0ED1"/>
    <w:rsid w:val="00FD503B"/>
    <w:rsid w:val="00FD6845"/>
    <w:rsid w:val="00FE10DA"/>
    <w:rsid w:val="00FE170D"/>
    <w:rsid w:val="00FE78EC"/>
    <w:rsid w:val="00FF6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86ECFF"/>
  <w15:docId w15:val="{5A11776C-030B-4745-916C-C76BA32C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41D3"/>
    <w:pPr>
      <w:overflowPunct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41D3"/>
    <w:rPr>
      <w:color w:val="0000FF"/>
      <w:u w:val="single"/>
    </w:rPr>
  </w:style>
  <w:style w:type="paragraph" w:styleId="FootnoteText">
    <w:name w:val="footnote text"/>
    <w:basedOn w:val="Normal"/>
    <w:link w:val="FootnoteTextChar"/>
    <w:semiHidden/>
    <w:rsid w:val="007D41D3"/>
    <w:pPr>
      <w:spacing w:after="80"/>
    </w:pPr>
  </w:style>
  <w:style w:type="character" w:styleId="FootnoteReference">
    <w:name w:val="footnote reference"/>
    <w:aliases w:val="o"/>
    <w:rsid w:val="007D41D3"/>
    <w:rPr>
      <w:vertAlign w:val="superscript"/>
    </w:rPr>
  </w:style>
  <w:style w:type="paragraph" w:styleId="BalloonText">
    <w:name w:val="Balloon Text"/>
    <w:basedOn w:val="Normal"/>
    <w:link w:val="BalloonTextChar"/>
    <w:rsid w:val="002D5047"/>
    <w:rPr>
      <w:rFonts w:ascii="Tahoma" w:hAnsi="Tahoma" w:cs="Tahoma"/>
      <w:sz w:val="16"/>
      <w:szCs w:val="16"/>
    </w:rPr>
  </w:style>
  <w:style w:type="character" w:customStyle="1" w:styleId="BalloonTextChar">
    <w:name w:val="Balloon Text Char"/>
    <w:link w:val="BalloonText"/>
    <w:rsid w:val="002D5047"/>
    <w:rPr>
      <w:rFonts w:ascii="Tahoma" w:hAnsi="Tahoma" w:cs="Tahoma"/>
      <w:sz w:val="16"/>
      <w:szCs w:val="16"/>
    </w:rPr>
  </w:style>
  <w:style w:type="paragraph" w:styleId="Footer">
    <w:name w:val="footer"/>
    <w:basedOn w:val="Normal"/>
    <w:link w:val="FooterChar"/>
    <w:uiPriority w:val="99"/>
    <w:rsid w:val="009027CD"/>
    <w:pPr>
      <w:tabs>
        <w:tab w:val="center" w:pos="4680"/>
        <w:tab w:val="right" w:pos="9360"/>
      </w:tabs>
      <w:overflowPunct/>
      <w:autoSpaceDE/>
      <w:autoSpaceDN/>
      <w:adjustRightInd/>
    </w:pPr>
    <w:rPr>
      <w:sz w:val="24"/>
      <w:szCs w:val="24"/>
    </w:rPr>
  </w:style>
  <w:style w:type="character" w:customStyle="1" w:styleId="FooterChar">
    <w:name w:val="Footer Char"/>
    <w:link w:val="Footer"/>
    <w:uiPriority w:val="99"/>
    <w:rsid w:val="009027CD"/>
    <w:rPr>
      <w:sz w:val="24"/>
      <w:szCs w:val="24"/>
    </w:rPr>
  </w:style>
  <w:style w:type="character" w:styleId="CommentReference">
    <w:name w:val="annotation reference"/>
    <w:rsid w:val="00410AF7"/>
    <w:rPr>
      <w:sz w:val="16"/>
      <w:szCs w:val="16"/>
    </w:rPr>
  </w:style>
  <w:style w:type="paragraph" w:styleId="CommentText">
    <w:name w:val="annotation text"/>
    <w:basedOn w:val="Normal"/>
    <w:link w:val="CommentTextChar"/>
    <w:rsid w:val="00410AF7"/>
  </w:style>
  <w:style w:type="character" w:customStyle="1" w:styleId="CommentTextChar">
    <w:name w:val="Comment Text Char"/>
    <w:basedOn w:val="DefaultParagraphFont"/>
    <w:link w:val="CommentText"/>
    <w:rsid w:val="00410AF7"/>
  </w:style>
  <w:style w:type="paragraph" w:styleId="CommentSubject">
    <w:name w:val="annotation subject"/>
    <w:basedOn w:val="CommentText"/>
    <w:next w:val="CommentText"/>
    <w:link w:val="CommentSubjectChar"/>
    <w:rsid w:val="00410AF7"/>
    <w:rPr>
      <w:b/>
      <w:bCs/>
    </w:rPr>
  </w:style>
  <w:style w:type="character" w:customStyle="1" w:styleId="CommentSubjectChar">
    <w:name w:val="Comment Subject Char"/>
    <w:link w:val="CommentSubject"/>
    <w:rsid w:val="00410AF7"/>
    <w:rPr>
      <w:b/>
      <w:bCs/>
    </w:rPr>
  </w:style>
  <w:style w:type="paragraph" w:styleId="Header">
    <w:name w:val="header"/>
    <w:basedOn w:val="Normal"/>
    <w:link w:val="HeaderChar"/>
    <w:rsid w:val="00697279"/>
    <w:pPr>
      <w:tabs>
        <w:tab w:val="center" w:pos="4680"/>
        <w:tab w:val="right" w:pos="9360"/>
      </w:tabs>
    </w:pPr>
  </w:style>
  <w:style w:type="character" w:customStyle="1" w:styleId="HeaderChar">
    <w:name w:val="Header Char"/>
    <w:basedOn w:val="DefaultParagraphFont"/>
    <w:link w:val="Header"/>
    <w:rsid w:val="00697279"/>
  </w:style>
  <w:style w:type="character" w:customStyle="1" w:styleId="FootnoteTextChar">
    <w:name w:val="Footnote Text Char"/>
    <w:basedOn w:val="DefaultParagraphFont"/>
    <w:link w:val="FootnoteText"/>
    <w:semiHidden/>
    <w:rsid w:val="00713F4C"/>
  </w:style>
  <w:style w:type="table" w:styleId="TableGrid">
    <w:name w:val="Table Grid"/>
    <w:basedOn w:val="TableNormal"/>
    <w:rsid w:val="00F0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063C7"/>
    <w:pPr>
      <w:overflowPunct/>
      <w:autoSpaceDE/>
      <w:autoSpaceDN/>
      <w:adjustRightInd/>
      <w:jc w:val="both"/>
    </w:pPr>
    <w:rPr>
      <w:sz w:val="24"/>
    </w:rPr>
  </w:style>
  <w:style w:type="character" w:customStyle="1" w:styleId="BodyTextChar">
    <w:name w:val="Body Text Char"/>
    <w:basedOn w:val="DefaultParagraphFont"/>
    <w:link w:val="BodyText"/>
    <w:rsid w:val="004063C7"/>
    <w:rPr>
      <w:sz w:val="24"/>
    </w:rPr>
  </w:style>
  <w:style w:type="paragraph" w:styleId="ListParagraph">
    <w:name w:val="List Paragraph"/>
    <w:basedOn w:val="Normal"/>
    <w:uiPriority w:val="34"/>
    <w:qFormat/>
    <w:rsid w:val="00752E5F"/>
    <w:pPr>
      <w:ind w:left="720"/>
      <w:contextualSpacing/>
    </w:pPr>
  </w:style>
  <w:style w:type="paragraph" w:styleId="NormalWeb">
    <w:name w:val="Normal (Web)"/>
    <w:basedOn w:val="Normal"/>
    <w:uiPriority w:val="99"/>
    <w:semiHidden/>
    <w:unhideWhenUsed/>
    <w:rsid w:val="00B77FCB"/>
    <w:pPr>
      <w:overflowPunct/>
      <w:autoSpaceDE/>
      <w:autoSpaceDN/>
      <w:adjustRightInd/>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C117A3"/>
    <w:rPr>
      <w:color w:val="605E5C"/>
      <w:shd w:val="clear" w:color="auto" w:fill="E1DFDD"/>
    </w:rPr>
  </w:style>
  <w:style w:type="character" w:styleId="FollowedHyperlink">
    <w:name w:val="FollowedHyperlink"/>
    <w:basedOn w:val="DefaultParagraphFont"/>
    <w:semiHidden/>
    <w:unhideWhenUsed/>
    <w:rsid w:val="00C117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4452">
      <w:bodyDiv w:val="1"/>
      <w:marLeft w:val="0"/>
      <w:marRight w:val="0"/>
      <w:marTop w:val="0"/>
      <w:marBottom w:val="0"/>
      <w:divBdr>
        <w:top w:val="none" w:sz="0" w:space="0" w:color="auto"/>
        <w:left w:val="none" w:sz="0" w:space="0" w:color="auto"/>
        <w:bottom w:val="none" w:sz="0" w:space="0" w:color="auto"/>
        <w:right w:val="none" w:sz="0" w:space="0" w:color="auto"/>
      </w:divBdr>
    </w:div>
    <w:div w:id="88352737">
      <w:bodyDiv w:val="1"/>
      <w:marLeft w:val="0"/>
      <w:marRight w:val="0"/>
      <w:marTop w:val="0"/>
      <w:marBottom w:val="0"/>
      <w:divBdr>
        <w:top w:val="none" w:sz="0" w:space="0" w:color="auto"/>
        <w:left w:val="none" w:sz="0" w:space="0" w:color="auto"/>
        <w:bottom w:val="none" w:sz="0" w:space="0" w:color="auto"/>
        <w:right w:val="none" w:sz="0" w:space="0" w:color="auto"/>
      </w:divBdr>
    </w:div>
    <w:div w:id="114377548">
      <w:bodyDiv w:val="1"/>
      <w:marLeft w:val="0"/>
      <w:marRight w:val="0"/>
      <w:marTop w:val="0"/>
      <w:marBottom w:val="0"/>
      <w:divBdr>
        <w:top w:val="none" w:sz="0" w:space="0" w:color="auto"/>
        <w:left w:val="none" w:sz="0" w:space="0" w:color="auto"/>
        <w:bottom w:val="none" w:sz="0" w:space="0" w:color="auto"/>
        <w:right w:val="none" w:sz="0" w:space="0" w:color="auto"/>
      </w:divBdr>
    </w:div>
    <w:div w:id="329067718">
      <w:bodyDiv w:val="1"/>
      <w:marLeft w:val="0"/>
      <w:marRight w:val="0"/>
      <w:marTop w:val="0"/>
      <w:marBottom w:val="0"/>
      <w:divBdr>
        <w:top w:val="none" w:sz="0" w:space="0" w:color="auto"/>
        <w:left w:val="none" w:sz="0" w:space="0" w:color="auto"/>
        <w:bottom w:val="none" w:sz="0" w:space="0" w:color="auto"/>
        <w:right w:val="none" w:sz="0" w:space="0" w:color="auto"/>
      </w:divBdr>
      <w:divsChild>
        <w:div w:id="393940424">
          <w:marLeft w:val="1166"/>
          <w:marRight w:val="0"/>
          <w:marTop w:val="200"/>
          <w:marBottom w:val="0"/>
          <w:divBdr>
            <w:top w:val="none" w:sz="0" w:space="0" w:color="auto"/>
            <w:left w:val="none" w:sz="0" w:space="0" w:color="auto"/>
            <w:bottom w:val="none" w:sz="0" w:space="0" w:color="auto"/>
            <w:right w:val="none" w:sz="0" w:space="0" w:color="auto"/>
          </w:divBdr>
        </w:div>
        <w:div w:id="1004237689">
          <w:marLeft w:val="1166"/>
          <w:marRight w:val="0"/>
          <w:marTop w:val="200"/>
          <w:marBottom w:val="0"/>
          <w:divBdr>
            <w:top w:val="none" w:sz="0" w:space="0" w:color="auto"/>
            <w:left w:val="none" w:sz="0" w:space="0" w:color="auto"/>
            <w:bottom w:val="none" w:sz="0" w:space="0" w:color="auto"/>
            <w:right w:val="none" w:sz="0" w:space="0" w:color="auto"/>
          </w:divBdr>
        </w:div>
      </w:divsChild>
    </w:div>
    <w:div w:id="374352831">
      <w:bodyDiv w:val="1"/>
      <w:marLeft w:val="0"/>
      <w:marRight w:val="0"/>
      <w:marTop w:val="0"/>
      <w:marBottom w:val="0"/>
      <w:divBdr>
        <w:top w:val="none" w:sz="0" w:space="0" w:color="auto"/>
        <w:left w:val="none" w:sz="0" w:space="0" w:color="auto"/>
        <w:bottom w:val="none" w:sz="0" w:space="0" w:color="auto"/>
        <w:right w:val="none" w:sz="0" w:space="0" w:color="auto"/>
      </w:divBdr>
    </w:div>
    <w:div w:id="387268144">
      <w:bodyDiv w:val="1"/>
      <w:marLeft w:val="0"/>
      <w:marRight w:val="0"/>
      <w:marTop w:val="0"/>
      <w:marBottom w:val="0"/>
      <w:divBdr>
        <w:top w:val="none" w:sz="0" w:space="0" w:color="auto"/>
        <w:left w:val="none" w:sz="0" w:space="0" w:color="auto"/>
        <w:bottom w:val="none" w:sz="0" w:space="0" w:color="auto"/>
        <w:right w:val="none" w:sz="0" w:space="0" w:color="auto"/>
      </w:divBdr>
      <w:divsChild>
        <w:div w:id="1502816187">
          <w:marLeft w:val="1166"/>
          <w:marRight w:val="0"/>
          <w:marTop w:val="200"/>
          <w:marBottom w:val="0"/>
          <w:divBdr>
            <w:top w:val="none" w:sz="0" w:space="0" w:color="auto"/>
            <w:left w:val="none" w:sz="0" w:space="0" w:color="auto"/>
            <w:bottom w:val="none" w:sz="0" w:space="0" w:color="auto"/>
            <w:right w:val="none" w:sz="0" w:space="0" w:color="auto"/>
          </w:divBdr>
        </w:div>
        <w:div w:id="567612389">
          <w:marLeft w:val="1166"/>
          <w:marRight w:val="0"/>
          <w:marTop w:val="200"/>
          <w:marBottom w:val="0"/>
          <w:divBdr>
            <w:top w:val="none" w:sz="0" w:space="0" w:color="auto"/>
            <w:left w:val="none" w:sz="0" w:space="0" w:color="auto"/>
            <w:bottom w:val="none" w:sz="0" w:space="0" w:color="auto"/>
            <w:right w:val="none" w:sz="0" w:space="0" w:color="auto"/>
          </w:divBdr>
        </w:div>
        <w:div w:id="398671375">
          <w:marLeft w:val="1166"/>
          <w:marRight w:val="0"/>
          <w:marTop w:val="200"/>
          <w:marBottom w:val="0"/>
          <w:divBdr>
            <w:top w:val="none" w:sz="0" w:space="0" w:color="auto"/>
            <w:left w:val="none" w:sz="0" w:space="0" w:color="auto"/>
            <w:bottom w:val="none" w:sz="0" w:space="0" w:color="auto"/>
            <w:right w:val="none" w:sz="0" w:space="0" w:color="auto"/>
          </w:divBdr>
        </w:div>
        <w:div w:id="1863667203">
          <w:marLeft w:val="1166"/>
          <w:marRight w:val="0"/>
          <w:marTop w:val="200"/>
          <w:marBottom w:val="0"/>
          <w:divBdr>
            <w:top w:val="none" w:sz="0" w:space="0" w:color="auto"/>
            <w:left w:val="none" w:sz="0" w:space="0" w:color="auto"/>
            <w:bottom w:val="none" w:sz="0" w:space="0" w:color="auto"/>
            <w:right w:val="none" w:sz="0" w:space="0" w:color="auto"/>
          </w:divBdr>
        </w:div>
        <w:div w:id="1552301816">
          <w:marLeft w:val="1166"/>
          <w:marRight w:val="0"/>
          <w:marTop w:val="200"/>
          <w:marBottom w:val="0"/>
          <w:divBdr>
            <w:top w:val="none" w:sz="0" w:space="0" w:color="auto"/>
            <w:left w:val="none" w:sz="0" w:space="0" w:color="auto"/>
            <w:bottom w:val="none" w:sz="0" w:space="0" w:color="auto"/>
            <w:right w:val="none" w:sz="0" w:space="0" w:color="auto"/>
          </w:divBdr>
        </w:div>
        <w:div w:id="557937396">
          <w:marLeft w:val="1166"/>
          <w:marRight w:val="0"/>
          <w:marTop w:val="200"/>
          <w:marBottom w:val="0"/>
          <w:divBdr>
            <w:top w:val="none" w:sz="0" w:space="0" w:color="auto"/>
            <w:left w:val="none" w:sz="0" w:space="0" w:color="auto"/>
            <w:bottom w:val="none" w:sz="0" w:space="0" w:color="auto"/>
            <w:right w:val="none" w:sz="0" w:space="0" w:color="auto"/>
          </w:divBdr>
        </w:div>
        <w:div w:id="1521162796">
          <w:marLeft w:val="1166"/>
          <w:marRight w:val="0"/>
          <w:marTop w:val="200"/>
          <w:marBottom w:val="0"/>
          <w:divBdr>
            <w:top w:val="none" w:sz="0" w:space="0" w:color="auto"/>
            <w:left w:val="none" w:sz="0" w:space="0" w:color="auto"/>
            <w:bottom w:val="none" w:sz="0" w:space="0" w:color="auto"/>
            <w:right w:val="none" w:sz="0" w:space="0" w:color="auto"/>
          </w:divBdr>
        </w:div>
      </w:divsChild>
    </w:div>
    <w:div w:id="468518032">
      <w:bodyDiv w:val="1"/>
      <w:marLeft w:val="0"/>
      <w:marRight w:val="0"/>
      <w:marTop w:val="0"/>
      <w:marBottom w:val="0"/>
      <w:divBdr>
        <w:top w:val="none" w:sz="0" w:space="0" w:color="auto"/>
        <w:left w:val="none" w:sz="0" w:space="0" w:color="auto"/>
        <w:bottom w:val="none" w:sz="0" w:space="0" w:color="auto"/>
        <w:right w:val="none" w:sz="0" w:space="0" w:color="auto"/>
      </w:divBdr>
    </w:div>
    <w:div w:id="484513571">
      <w:bodyDiv w:val="1"/>
      <w:marLeft w:val="0"/>
      <w:marRight w:val="0"/>
      <w:marTop w:val="0"/>
      <w:marBottom w:val="0"/>
      <w:divBdr>
        <w:top w:val="none" w:sz="0" w:space="0" w:color="auto"/>
        <w:left w:val="none" w:sz="0" w:space="0" w:color="auto"/>
        <w:bottom w:val="none" w:sz="0" w:space="0" w:color="auto"/>
        <w:right w:val="none" w:sz="0" w:space="0" w:color="auto"/>
      </w:divBdr>
    </w:div>
    <w:div w:id="484662496">
      <w:bodyDiv w:val="1"/>
      <w:marLeft w:val="0"/>
      <w:marRight w:val="0"/>
      <w:marTop w:val="0"/>
      <w:marBottom w:val="0"/>
      <w:divBdr>
        <w:top w:val="none" w:sz="0" w:space="0" w:color="auto"/>
        <w:left w:val="none" w:sz="0" w:space="0" w:color="auto"/>
        <w:bottom w:val="none" w:sz="0" w:space="0" w:color="auto"/>
        <w:right w:val="none" w:sz="0" w:space="0" w:color="auto"/>
      </w:divBdr>
    </w:div>
    <w:div w:id="486021617">
      <w:bodyDiv w:val="1"/>
      <w:marLeft w:val="0"/>
      <w:marRight w:val="0"/>
      <w:marTop w:val="0"/>
      <w:marBottom w:val="0"/>
      <w:divBdr>
        <w:top w:val="none" w:sz="0" w:space="0" w:color="auto"/>
        <w:left w:val="none" w:sz="0" w:space="0" w:color="auto"/>
        <w:bottom w:val="none" w:sz="0" w:space="0" w:color="auto"/>
        <w:right w:val="none" w:sz="0" w:space="0" w:color="auto"/>
      </w:divBdr>
      <w:divsChild>
        <w:div w:id="716666675">
          <w:marLeft w:val="1166"/>
          <w:marRight w:val="0"/>
          <w:marTop w:val="200"/>
          <w:marBottom w:val="0"/>
          <w:divBdr>
            <w:top w:val="none" w:sz="0" w:space="0" w:color="auto"/>
            <w:left w:val="none" w:sz="0" w:space="0" w:color="auto"/>
            <w:bottom w:val="none" w:sz="0" w:space="0" w:color="auto"/>
            <w:right w:val="none" w:sz="0" w:space="0" w:color="auto"/>
          </w:divBdr>
        </w:div>
        <w:div w:id="1217743465">
          <w:marLeft w:val="1166"/>
          <w:marRight w:val="0"/>
          <w:marTop w:val="200"/>
          <w:marBottom w:val="0"/>
          <w:divBdr>
            <w:top w:val="none" w:sz="0" w:space="0" w:color="auto"/>
            <w:left w:val="none" w:sz="0" w:space="0" w:color="auto"/>
            <w:bottom w:val="none" w:sz="0" w:space="0" w:color="auto"/>
            <w:right w:val="none" w:sz="0" w:space="0" w:color="auto"/>
          </w:divBdr>
        </w:div>
        <w:div w:id="1649868891">
          <w:marLeft w:val="1166"/>
          <w:marRight w:val="0"/>
          <w:marTop w:val="200"/>
          <w:marBottom w:val="0"/>
          <w:divBdr>
            <w:top w:val="none" w:sz="0" w:space="0" w:color="auto"/>
            <w:left w:val="none" w:sz="0" w:space="0" w:color="auto"/>
            <w:bottom w:val="none" w:sz="0" w:space="0" w:color="auto"/>
            <w:right w:val="none" w:sz="0" w:space="0" w:color="auto"/>
          </w:divBdr>
        </w:div>
        <w:div w:id="1893736640">
          <w:marLeft w:val="1166"/>
          <w:marRight w:val="0"/>
          <w:marTop w:val="200"/>
          <w:marBottom w:val="0"/>
          <w:divBdr>
            <w:top w:val="none" w:sz="0" w:space="0" w:color="auto"/>
            <w:left w:val="none" w:sz="0" w:space="0" w:color="auto"/>
            <w:bottom w:val="none" w:sz="0" w:space="0" w:color="auto"/>
            <w:right w:val="none" w:sz="0" w:space="0" w:color="auto"/>
          </w:divBdr>
        </w:div>
        <w:div w:id="1674456156">
          <w:marLeft w:val="1166"/>
          <w:marRight w:val="0"/>
          <w:marTop w:val="200"/>
          <w:marBottom w:val="0"/>
          <w:divBdr>
            <w:top w:val="none" w:sz="0" w:space="0" w:color="auto"/>
            <w:left w:val="none" w:sz="0" w:space="0" w:color="auto"/>
            <w:bottom w:val="none" w:sz="0" w:space="0" w:color="auto"/>
            <w:right w:val="none" w:sz="0" w:space="0" w:color="auto"/>
          </w:divBdr>
        </w:div>
        <w:div w:id="1264340755">
          <w:marLeft w:val="1166"/>
          <w:marRight w:val="0"/>
          <w:marTop w:val="200"/>
          <w:marBottom w:val="0"/>
          <w:divBdr>
            <w:top w:val="none" w:sz="0" w:space="0" w:color="auto"/>
            <w:left w:val="none" w:sz="0" w:space="0" w:color="auto"/>
            <w:bottom w:val="none" w:sz="0" w:space="0" w:color="auto"/>
            <w:right w:val="none" w:sz="0" w:space="0" w:color="auto"/>
          </w:divBdr>
        </w:div>
        <w:div w:id="917789929">
          <w:marLeft w:val="1166"/>
          <w:marRight w:val="0"/>
          <w:marTop w:val="200"/>
          <w:marBottom w:val="0"/>
          <w:divBdr>
            <w:top w:val="none" w:sz="0" w:space="0" w:color="auto"/>
            <w:left w:val="none" w:sz="0" w:space="0" w:color="auto"/>
            <w:bottom w:val="none" w:sz="0" w:space="0" w:color="auto"/>
            <w:right w:val="none" w:sz="0" w:space="0" w:color="auto"/>
          </w:divBdr>
        </w:div>
        <w:div w:id="2027518161">
          <w:marLeft w:val="1166"/>
          <w:marRight w:val="0"/>
          <w:marTop w:val="200"/>
          <w:marBottom w:val="0"/>
          <w:divBdr>
            <w:top w:val="none" w:sz="0" w:space="0" w:color="auto"/>
            <w:left w:val="none" w:sz="0" w:space="0" w:color="auto"/>
            <w:bottom w:val="none" w:sz="0" w:space="0" w:color="auto"/>
            <w:right w:val="none" w:sz="0" w:space="0" w:color="auto"/>
          </w:divBdr>
        </w:div>
      </w:divsChild>
    </w:div>
    <w:div w:id="714499777">
      <w:bodyDiv w:val="1"/>
      <w:marLeft w:val="0"/>
      <w:marRight w:val="0"/>
      <w:marTop w:val="0"/>
      <w:marBottom w:val="0"/>
      <w:divBdr>
        <w:top w:val="none" w:sz="0" w:space="0" w:color="auto"/>
        <w:left w:val="none" w:sz="0" w:space="0" w:color="auto"/>
        <w:bottom w:val="none" w:sz="0" w:space="0" w:color="auto"/>
        <w:right w:val="none" w:sz="0" w:space="0" w:color="auto"/>
      </w:divBdr>
    </w:div>
    <w:div w:id="726756538">
      <w:bodyDiv w:val="1"/>
      <w:marLeft w:val="0"/>
      <w:marRight w:val="0"/>
      <w:marTop w:val="0"/>
      <w:marBottom w:val="0"/>
      <w:divBdr>
        <w:top w:val="none" w:sz="0" w:space="0" w:color="auto"/>
        <w:left w:val="none" w:sz="0" w:space="0" w:color="auto"/>
        <w:bottom w:val="none" w:sz="0" w:space="0" w:color="auto"/>
        <w:right w:val="none" w:sz="0" w:space="0" w:color="auto"/>
      </w:divBdr>
    </w:div>
    <w:div w:id="757017348">
      <w:bodyDiv w:val="1"/>
      <w:marLeft w:val="0"/>
      <w:marRight w:val="0"/>
      <w:marTop w:val="0"/>
      <w:marBottom w:val="0"/>
      <w:divBdr>
        <w:top w:val="none" w:sz="0" w:space="0" w:color="auto"/>
        <w:left w:val="none" w:sz="0" w:space="0" w:color="auto"/>
        <w:bottom w:val="none" w:sz="0" w:space="0" w:color="auto"/>
        <w:right w:val="none" w:sz="0" w:space="0" w:color="auto"/>
      </w:divBdr>
    </w:div>
    <w:div w:id="981271202">
      <w:bodyDiv w:val="1"/>
      <w:marLeft w:val="0"/>
      <w:marRight w:val="0"/>
      <w:marTop w:val="0"/>
      <w:marBottom w:val="0"/>
      <w:divBdr>
        <w:top w:val="none" w:sz="0" w:space="0" w:color="auto"/>
        <w:left w:val="none" w:sz="0" w:space="0" w:color="auto"/>
        <w:bottom w:val="none" w:sz="0" w:space="0" w:color="auto"/>
        <w:right w:val="none" w:sz="0" w:space="0" w:color="auto"/>
      </w:divBdr>
    </w:div>
    <w:div w:id="1025792071">
      <w:bodyDiv w:val="1"/>
      <w:marLeft w:val="0"/>
      <w:marRight w:val="0"/>
      <w:marTop w:val="0"/>
      <w:marBottom w:val="0"/>
      <w:divBdr>
        <w:top w:val="none" w:sz="0" w:space="0" w:color="auto"/>
        <w:left w:val="none" w:sz="0" w:space="0" w:color="auto"/>
        <w:bottom w:val="none" w:sz="0" w:space="0" w:color="auto"/>
        <w:right w:val="none" w:sz="0" w:space="0" w:color="auto"/>
      </w:divBdr>
    </w:div>
    <w:div w:id="1335959637">
      <w:bodyDiv w:val="1"/>
      <w:marLeft w:val="0"/>
      <w:marRight w:val="0"/>
      <w:marTop w:val="0"/>
      <w:marBottom w:val="0"/>
      <w:divBdr>
        <w:top w:val="none" w:sz="0" w:space="0" w:color="auto"/>
        <w:left w:val="none" w:sz="0" w:space="0" w:color="auto"/>
        <w:bottom w:val="none" w:sz="0" w:space="0" w:color="auto"/>
        <w:right w:val="none" w:sz="0" w:space="0" w:color="auto"/>
      </w:divBdr>
      <w:divsChild>
        <w:div w:id="1783961189">
          <w:marLeft w:val="547"/>
          <w:marRight w:val="0"/>
          <w:marTop w:val="200"/>
          <w:marBottom w:val="0"/>
          <w:divBdr>
            <w:top w:val="none" w:sz="0" w:space="0" w:color="auto"/>
            <w:left w:val="none" w:sz="0" w:space="0" w:color="auto"/>
            <w:bottom w:val="none" w:sz="0" w:space="0" w:color="auto"/>
            <w:right w:val="none" w:sz="0" w:space="0" w:color="auto"/>
          </w:divBdr>
        </w:div>
        <w:div w:id="1027021021">
          <w:marLeft w:val="1166"/>
          <w:marRight w:val="0"/>
          <w:marTop w:val="200"/>
          <w:marBottom w:val="0"/>
          <w:divBdr>
            <w:top w:val="none" w:sz="0" w:space="0" w:color="auto"/>
            <w:left w:val="none" w:sz="0" w:space="0" w:color="auto"/>
            <w:bottom w:val="none" w:sz="0" w:space="0" w:color="auto"/>
            <w:right w:val="none" w:sz="0" w:space="0" w:color="auto"/>
          </w:divBdr>
        </w:div>
        <w:div w:id="1210343462">
          <w:marLeft w:val="1166"/>
          <w:marRight w:val="0"/>
          <w:marTop w:val="200"/>
          <w:marBottom w:val="0"/>
          <w:divBdr>
            <w:top w:val="none" w:sz="0" w:space="0" w:color="auto"/>
            <w:left w:val="none" w:sz="0" w:space="0" w:color="auto"/>
            <w:bottom w:val="none" w:sz="0" w:space="0" w:color="auto"/>
            <w:right w:val="none" w:sz="0" w:space="0" w:color="auto"/>
          </w:divBdr>
        </w:div>
        <w:div w:id="1153985558">
          <w:marLeft w:val="1166"/>
          <w:marRight w:val="0"/>
          <w:marTop w:val="200"/>
          <w:marBottom w:val="0"/>
          <w:divBdr>
            <w:top w:val="none" w:sz="0" w:space="0" w:color="auto"/>
            <w:left w:val="none" w:sz="0" w:space="0" w:color="auto"/>
            <w:bottom w:val="none" w:sz="0" w:space="0" w:color="auto"/>
            <w:right w:val="none" w:sz="0" w:space="0" w:color="auto"/>
          </w:divBdr>
        </w:div>
        <w:div w:id="1600913798">
          <w:marLeft w:val="1166"/>
          <w:marRight w:val="0"/>
          <w:marTop w:val="200"/>
          <w:marBottom w:val="0"/>
          <w:divBdr>
            <w:top w:val="none" w:sz="0" w:space="0" w:color="auto"/>
            <w:left w:val="none" w:sz="0" w:space="0" w:color="auto"/>
            <w:bottom w:val="none" w:sz="0" w:space="0" w:color="auto"/>
            <w:right w:val="none" w:sz="0" w:space="0" w:color="auto"/>
          </w:divBdr>
        </w:div>
        <w:div w:id="1845587057">
          <w:marLeft w:val="1166"/>
          <w:marRight w:val="0"/>
          <w:marTop w:val="200"/>
          <w:marBottom w:val="0"/>
          <w:divBdr>
            <w:top w:val="none" w:sz="0" w:space="0" w:color="auto"/>
            <w:left w:val="none" w:sz="0" w:space="0" w:color="auto"/>
            <w:bottom w:val="none" w:sz="0" w:space="0" w:color="auto"/>
            <w:right w:val="none" w:sz="0" w:space="0" w:color="auto"/>
          </w:divBdr>
        </w:div>
      </w:divsChild>
    </w:div>
    <w:div w:id="1486779507">
      <w:bodyDiv w:val="1"/>
      <w:marLeft w:val="0"/>
      <w:marRight w:val="0"/>
      <w:marTop w:val="0"/>
      <w:marBottom w:val="0"/>
      <w:divBdr>
        <w:top w:val="none" w:sz="0" w:space="0" w:color="auto"/>
        <w:left w:val="none" w:sz="0" w:space="0" w:color="auto"/>
        <w:bottom w:val="none" w:sz="0" w:space="0" w:color="auto"/>
        <w:right w:val="none" w:sz="0" w:space="0" w:color="auto"/>
      </w:divBdr>
    </w:div>
    <w:div w:id="1544754132">
      <w:bodyDiv w:val="1"/>
      <w:marLeft w:val="0"/>
      <w:marRight w:val="0"/>
      <w:marTop w:val="0"/>
      <w:marBottom w:val="0"/>
      <w:divBdr>
        <w:top w:val="none" w:sz="0" w:space="0" w:color="auto"/>
        <w:left w:val="none" w:sz="0" w:space="0" w:color="auto"/>
        <w:bottom w:val="none" w:sz="0" w:space="0" w:color="auto"/>
        <w:right w:val="none" w:sz="0" w:space="0" w:color="auto"/>
      </w:divBdr>
    </w:div>
    <w:div w:id="1594507929">
      <w:bodyDiv w:val="1"/>
      <w:marLeft w:val="0"/>
      <w:marRight w:val="0"/>
      <w:marTop w:val="0"/>
      <w:marBottom w:val="0"/>
      <w:divBdr>
        <w:top w:val="none" w:sz="0" w:space="0" w:color="auto"/>
        <w:left w:val="none" w:sz="0" w:space="0" w:color="auto"/>
        <w:bottom w:val="none" w:sz="0" w:space="0" w:color="auto"/>
        <w:right w:val="none" w:sz="0" w:space="0" w:color="auto"/>
      </w:divBdr>
    </w:div>
    <w:div w:id="1616329979">
      <w:bodyDiv w:val="1"/>
      <w:marLeft w:val="0"/>
      <w:marRight w:val="0"/>
      <w:marTop w:val="0"/>
      <w:marBottom w:val="0"/>
      <w:divBdr>
        <w:top w:val="none" w:sz="0" w:space="0" w:color="auto"/>
        <w:left w:val="none" w:sz="0" w:space="0" w:color="auto"/>
        <w:bottom w:val="none" w:sz="0" w:space="0" w:color="auto"/>
        <w:right w:val="none" w:sz="0" w:space="0" w:color="auto"/>
      </w:divBdr>
    </w:div>
    <w:div w:id="1685595668">
      <w:bodyDiv w:val="1"/>
      <w:marLeft w:val="0"/>
      <w:marRight w:val="0"/>
      <w:marTop w:val="0"/>
      <w:marBottom w:val="0"/>
      <w:divBdr>
        <w:top w:val="none" w:sz="0" w:space="0" w:color="auto"/>
        <w:left w:val="none" w:sz="0" w:space="0" w:color="auto"/>
        <w:bottom w:val="none" w:sz="0" w:space="0" w:color="auto"/>
        <w:right w:val="none" w:sz="0" w:space="0" w:color="auto"/>
      </w:divBdr>
      <w:divsChild>
        <w:div w:id="1058480363">
          <w:marLeft w:val="1166"/>
          <w:marRight w:val="0"/>
          <w:marTop w:val="200"/>
          <w:marBottom w:val="0"/>
          <w:divBdr>
            <w:top w:val="none" w:sz="0" w:space="0" w:color="auto"/>
            <w:left w:val="none" w:sz="0" w:space="0" w:color="auto"/>
            <w:bottom w:val="none" w:sz="0" w:space="0" w:color="auto"/>
            <w:right w:val="none" w:sz="0" w:space="0" w:color="auto"/>
          </w:divBdr>
        </w:div>
        <w:div w:id="310868866">
          <w:marLeft w:val="1166"/>
          <w:marRight w:val="0"/>
          <w:marTop w:val="200"/>
          <w:marBottom w:val="0"/>
          <w:divBdr>
            <w:top w:val="none" w:sz="0" w:space="0" w:color="auto"/>
            <w:left w:val="none" w:sz="0" w:space="0" w:color="auto"/>
            <w:bottom w:val="none" w:sz="0" w:space="0" w:color="auto"/>
            <w:right w:val="none" w:sz="0" w:space="0" w:color="auto"/>
          </w:divBdr>
        </w:div>
      </w:divsChild>
    </w:div>
    <w:div w:id="1721318977">
      <w:bodyDiv w:val="1"/>
      <w:marLeft w:val="0"/>
      <w:marRight w:val="0"/>
      <w:marTop w:val="0"/>
      <w:marBottom w:val="0"/>
      <w:divBdr>
        <w:top w:val="none" w:sz="0" w:space="0" w:color="auto"/>
        <w:left w:val="none" w:sz="0" w:space="0" w:color="auto"/>
        <w:bottom w:val="none" w:sz="0" w:space="0" w:color="auto"/>
        <w:right w:val="none" w:sz="0" w:space="0" w:color="auto"/>
      </w:divBdr>
    </w:div>
    <w:div w:id="1763064817">
      <w:bodyDiv w:val="1"/>
      <w:marLeft w:val="0"/>
      <w:marRight w:val="0"/>
      <w:marTop w:val="0"/>
      <w:marBottom w:val="0"/>
      <w:divBdr>
        <w:top w:val="none" w:sz="0" w:space="0" w:color="auto"/>
        <w:left w:val="none" w:sz="0" w:space="0" w:color="auto"/>
        <w:bottom w:val="none" w:sz="0" w:space="0" w:color="auto"/>
        <w:right w:val="none" w:sz="0" w:space="0" w:color="auto"/>
      </w:divBdr>
      <w:divsChild>
        <w:div w:id="554976363">
          <w:marLeft w:val="1166"/>
          <w:marRight w:val="0"/>
          <w:marTop w:val="200"/>
          <w:marBottom w:val="0"/>
          <w:divBdr>
            <w:top w:val="none" w:sz="0" w:space="0" w:color="auto"/>
            <w:left w:val="none" w:sz="0" w:space="0" w:color="auto"/>
            <w:bottom w:val="none" w:sz="0" w:space="0" w:color="auto"/>
            <w:right w:val="none" w:sz="0" w:space="0" w:color="auto"/>
          </w:divBdr>
        </w:div>
      </w:divsChild>
    </w:div>
    <w:div w:id="1810320161">
      <w:bodyDiv w:val="1"/>
      <w:marLeft w:val="0"/>
      <w:marRight w:val="0"/>
      <w:marTop w:val="0"/>
      <w:marBottom w:val="0"/>
      <w:divBdr>
        <w:top w:val="none" w:sz="0" w:space="0" w:color="auto"/>
        <w:left w:val="none" w:sz="0" w:space="0" w:color="auto"/>
        <w:bottom w:val="none" w:sz="0" w:space="0" w:color="auto"/>
        <w:right w:val="none" w:sz="0" w:space="0" w:color="auto"/>
      </w:divBdr>
      <w:divsChild>
        <w:div w:id="1033194614">
          <w:marLeft w:val="1166"/>
          <w:marRight w:val="0"/>
          <w:marTop w:val="200"/>
          <w:marBottom w:val="0"/>
          <w:divBdr>
            <w:top w:val="none" w:sz="0" w:space="0" w:color="auto"/>
            <w:left w:val="none" w:sz="0" w:space="0" w:color="auto"/>
            <w:bottom w:val="none" w:sz="0" w:space="0" w:color="auto"/>
            <w:right w:val="none" w:sz="0" w:space="0" w:color="auto"/>
          </w:divBdr>
        </w:div>
        <w:div w:id="1373312336">
          <w:marLeft w:val="1166"/>
          <w:marRight w:val="0"/>
          <w:marTop w:val="200"/>
          <w:marBottom w:val="0"/>
          <w:divBdr>
            <w:top w:val="none" w:sz="0" w:space="0" w:color="auto"/>
            <w:left w:val="none" w:sz="0" w:space="0" w:color="auto"/>
            <w:bottom w:val="none" w:sz="0" w:space="0" w:color="auto"/>
            <w:right w:val="none" w:sz="0" w:space="0" w:color="auto"/>
          </w:divBdr>
        </w:div>
        <w:div w:id="172182772">
          <w:marLeft w:val="1166"/>
          <w:marRight w:val="0"/>
          <w:marTop w:val="200"/>
          <w:marBottom w:val="0"/>
          <w:divBdr>
            <w:top w:val="none" w:sz="0" w:space="0" w:color="auto"/>
            <w:left w:val="none" w:sz="0" w:space="0" w:color="auto"/>
            <w:bottom w:val="none" w:sz="0" w:space="0" w:color="auto"/>
            <w:right w:val="none" w:sz="0" w:space="0" w:color="auto"/>
          </w:divBdr>
        </w:div>
        <w:div w:id="331297134">
          <w:marLeft w:val="1166"/>
          <w:marRight w:val="0"/>
          <w:marTop w:val="200"/>
          <w:marBottom w:val="0"/>
          <w:divBdr>
            <w:top w:val="none" w:sz="0" w:space="0" w:color="auto"/>
            <w:left w:val="none" w:sz="0" w:space="0" w:color="auto"/>
            <w:bottom w:val="none" w:sz="0" w:space="0" w:color="auto"/>
            <w:right w:val="none" w:sz="0" w:space="0" w:color="auto"/>
          </w:divBdr>
        </w:div>
        <w:div w:id="1901361863">
          <w:marLeft w:val="1166"/>
          <w:marRight w:val="0"/>
          <w:marTop w:val="200"/>
          <w:marBottom w:val="0"/>
          <w:divBdr>
            <w:top w:val="none" w:sz="0" w:space="0" w:color="auto"/>
            <w:left w:val="none" w:sz="0" w:space="0" w:color="auto"/>
            <w:bottom w:val="none" w:sz="0" w:space="0" w:color="auto"/>
            <w:right w:val="none" w:sz="0" w:space="0" w:color="auto"/>
          </w:divBdr>
        </w:div>
        <w:div w:id="322978948">
          <w:marLeft w:val="1166"/>
          <w:marRight w:val="0"/>
          <w:marTop w:val="200"/>
          <w:marBottom w:val="0"/>
          <w:divBdr>
            <w:top w:val="none" w:sz="0" w:space="0" w:color="auto"/>
            <w:left w:val="none" w:sz="0" w:space="0" w:color="auto"/>
            <w:bottom w:val="none" w:sz="0" w:space="0" w:color="auto"/>
            <w:right w:val="none" w:sz="0" w:space="0" w:color="auto"/>
          </w:divBdr>
        </w:div>
        <w:div w:id="601185420">
          <w:marLeft w:val="1166"/>
          <w:marRight w:val="0"/>
          <w:marTop w:val="200"/>
          <w:marBottom w:val="0"/>
          <w:divBdr>
            <w:top w:val="none" w:sz="0" w:space="0" w:color="auto"/>
            <w:left w:val="none" w:sz="0" w:space="0" w:color="auto"/>
            <w:bottom w:val="none" w:sz="0" w:space="0" w:color="auto"/>
            <w:right w:val="none" w:sz="0" w:space="0" w:color="auto"/>
          </w:divBdr>
        </w:div>
        <w:div w:id="1857036990">
          <w:marLeft w:val="1166"/>
          <w:marRight w:val="0"/>
          <w:marTop w:val="200"/>
          <w:marBottom w:val="0"/>
          <w:divBdr>
            <w:top w:val="none" w:sz="0" w:space="0" w:color="auto"/>
            <w:left w:val="none" w:sz="0" w:space="0" w:color="auto"/>
            <w:bottom w:val="none" w:sz="0" w:space="0" w:color="auto"/>
            <w:right w:val="none" w:sz="0" w:space="0" w:color="auto"/>
          </w:divBdr>
        </w:div>
      </w:divsChild>
    </w:div>
    <w:div w:id="1877039106">
      <w:bodyDiv w:val="1"/>
      <w:marLeft w:val="0"/>
      <w:marRight w:val="0"/>
      <w:marTop w:val="0"/>
      <w:marBottom w:val="0"/>
      <w:divBdr>
        <w:top w:val="none" w:sz="0" w:space="0" w:color="auto"/>
        <w:left w:val="none" w:sz="0" w:space="0" w:color="auto"/>
        <w:bottom w:val="none" w:sz="0" w:space="0" w:color="auto"/>
        <w:right w:val="none" w:sz="0" w:space="0" w:color="auto"/>
      </w:divBdr>
      <w:divsChild>
        <w:div w:id="1890530656">
          <w:marLeft w:val="547"/>
          <w:marRight w:val="0"/>
          <w:marTop w:val="200"/>
          <w:marBottom w:val="0"/>
          <w:divBdr>
            <w:top w:val="none" w:sz="0" w:space="0" w:color="auto"/>
            <w:left w:val="none" w:sz="0" w:space="0" w:color="auto"/>
            <w:bottom w:val="none" w:sz="0" w:space="0" w:color="auto"/>
            <w:right w:val="none" w:sz="0" w:space="0" w:color="auto"/>
          </w:divBdr>
        </w:div>
        <w:div w:id="1110050397">
          <w:marLeft w:val="1166"/>
          <w:marRight w:val="0"/>
          <w:marTop w:val="200"/>
          <w:marBottom w:val="0"/>
          <w:divBdr>
            <w:top w:val="none" w:sz="0" w:space="0" w:color="auto"/>
            <w:left w:val="none" w:sz="0" w:space="0" w:color="auto"/>
            <w:bottom w:val="none" w:sz="0" w:space="0" w:color="auto"/>
            <w:right w:val="none" w:sz="0" w:space="0" w:color="auto"/>
          </w:divBdr>
        </w:div>
        <w:div w:id="277446092">
          <w:marLeft w:val="547"/>
          <w:marRight w:val="0"/>
          <w:marTop w:val="200"/>
          <w:marBottom w:val="0"/>
          <w:divBdr>
            <w:top w:val="none" w:sz="0" w:space="0" w:color="auto"/>
            <w:left w:val="none" w:sz="0" w:space="0" w:color="auto"/>
            <w:bottom w:val="none" w:sz="0" w:space="0" w:color="auto"/>
            <w:right w:val="none" w:sz="0" w:space="0" w:color="auto"/>
          </w:divBdr>
        </w:div>
        <w:div w:id="1412972087">
          <w:marLeft w:val="1166"/>
          <w:marRight w:val="0"/>
          <w:marTop w:val="200"/>
          <w:marBottom w:val="0"/>
          <w:divBdr>
            <w:top w:val="none" w:sz="0" w:space="0" w:color="auto"/>
            <w:left w:val="none" w:sz="0" w:space="0" w:color="auto"/>
            <w:bottom w:val="none" w:sz="0" w:space="0" w:color="auto"/>
            <w:right w:val="none" w:sz="0" w:space="0" w:color="auto"/>
          </w:divBdr>
        </w:div>
        <w:div w:id="1201165474">
          <w:marLeft w:val="1166"/>
          <w:marRight w:val="0"/>
          <w:marTop w:val="200"/>
          <w:marBottom w:val="0"/>
          <w:divBdr>
            <w:top w:val="none" w:sz="0" w:space="0" w:color="auto"/>
            <w:left w:val="none" w:sz="0" w:space="0" w:color="auto"/>
            <w:bottom w:val="none" w:sz="0" w:space="0" w:color="auto"/>
            <w:right w:val="none" w:sz="0" w:space="0" w:color="auto"/>
          </w:divBdr>
        </w:div>
      </w:divsChild>
    </w:div>
    <w:div w:id="1936866356">
      <w:bodyDiv w:val="1"/>
      <w:marLeft w:val="0"/>
      <w:marRight w:val="0"/>
      <w:marTop w:val="0"/>
      <w:marBottom w:val="0"/>
      <w:divBdr>
        <w:top w:val="none" w:sz="0" w:space="0" w:color="auto"/>
        <w:left w:val="none" w:sz="0" w:space="0" w:color="auto"/>
        <w:bottom w:val="none" w:sz="0" w:space="0" w:color="auto"/>
        <w:right w:val="none" w:sz="0" w:space="0" w:color="auto"/>
      </w:divBdr>
    </w:div>
    <w:div w:id="1954508537">
      <w:bodyDiv w:val="1"/>
      <w:marLeft w:val="0"/>
      <w:marRight w:val="0"/>
      <w:marTop w:val="0"/>
      <w:marBottom w:val="0"/>
      <w:divBdr>
        <w:top w:val="none" w:sz="0" w:space="0" w:color="auto"/>
        <w:left w:val="none" w:sz="0" w:space="0" w:color="auto"/>
        <w:bottom w:val="none" w:sz="0" w:space="0" w:color="auto"/>
        <w:right w:val="none" w:sz="0" w:space="0" w:color="auto"/>
      </w:divBdr>
    </w:div>
    <w:div w:id="1988590152">
      <w:bodyDiv w:val="1"/>
      <w:marLeft w:val="0"/>
      <w:marRight w:val="0"/>
      <w:marTop w:val="0"/>
      <w:marBottom w:val="0"/>
      <w:divBdr>
        <w:top w:val="none" w:sz="0" w:space="0" w:color="auto"/>
        <w:left w:val="none" w:sz="0" w:space="0" w:color="auto"/>
        <w:bottom w:val="none" w:sz="0" w:space="0" w:color="auto"/>
        <w:right w:val="none" w:sz="0" w:space="0" w:color="auto"/>
      </w:divBdr>
      <w:divsChild>
        <w:div w:id="725834501">
          <w:marLeft w:val="547"/>
          <w:marRight w:val="0"/>
          <w:marTop w:val="200"/>
          <w:marBottom w:val="0"/>
          <w:divBdr>
            <w:top w:val="none" w:sz="0" w:space="0" w:color="auto"/>
            <w:left w:val="none" w:sz="0" w:space="0" w:color="auto"/>
            <w:bottom w:val="none" w:sz="0" w:space="0" w:color="auto"/>
            <w:right w:val="none" w:sz="0" w:space="0" w:color="auto"/>
          </w:divBdr>
        </w:div>
        <w:div w:id="626279398">
          <w:marLeft w:val="1166"/>
          <w:marRight w:val="0"/>
          <w:marTop w:val="200"/>
          <w:marBottom w:val="0"/>
          <w:divBdr>
            <w:top w:val="none" w:sz="0" w:space="0" w:color="auto"/>
            <w:left w:val="none" w:sz="0" w:space="0" w:color="auto"/>
            <w:bottom w:val="none" w:sz="0" w:space="0" w:color="auto"/>
            <w:right w:val="none" w:sz="0" w:space="0" w:color="auto"/>
          </w:divBdr>
        </w:div>
        <w:div w:id="747921863">
          <w:marLeft w:val="547"/>
          <w:marRight w:val="0"/>
          <w:marTop w:val="200"/>
          <w:marBottom w:val="0"/>
          <w:divBdr>
            <w:top w:val="none" w:sz="0" w:space="0" w:color="auto"/>
            <w:left w:val="none" w:sz="0" w:space="0" w:color="auto"/>
            <w:bottom w:val="none" w:sz="0" w:space="0" w:color="auto"/>
            <w:right w:val="none" w:sz="0" w:space="0" w:color="auto"/>
          </w:divBdr>
        </w:div>
        <w:div w:id="489829951">
          <w:marLeft w:val="1166"/>
          <w:marRight w:val="0"/>
          <w:marTop w:val="200"/>
          <w:marBottom w:val="0"/>
          <w:divBdr>
            <w:top w:val="none" w:sz="0" w:space="0" w:color="auto"/>
            <w:left w:val="none" w:sz="0" w:space="0" w:color="auto"/>
            <w:bottom w:val="none" w:sz="0" w:space="0" w:color="auto"/>
            <w:right w:val="none" w:sz="0" w:space="0" w:color="auto"/>
          </w:divBdr>
        </w:div>
        <w:div w:id="1822112565">
          <w:marLeft w:val="1166"/>
          <w:marRight w:val="0"/>
          <w:marTop w:val="200"/>
          <w:marBottom w:val="0"/>
          <w:divBdr>
            <w:top w:val="none" w:sz="0" w:space="0" w:color="auto"/>
            <w:left w:val="none" w:sz="0" w:space="0" w:color="auto"/>
            <w:bottom w:val="none" w:sz="0" w:space="0" w:color="auto"/>
            <w:right w:val="none" w:sz="0" w:space="0" w:color="auto"/>
          </w:divBdr>
        </w:div>
      </w:divsChild>
    </w:div>
    <w:div w:id="1998681429">
      <w:bodyDiv w:val="1"/>
      <w:marLeft w:val="0"/>
      <w:marRight w:val="0"/>
      <w:marTop w:val="0"/>
      <w:marBottom w:val="0"/>
      <w:divBdr>
        <w:top w:val="none" w:sz="0" w:space="0" w:color="auto"/>
        <w:left w:val="none" w:sz="0" w:space="0" w:color="auto"/>
        <w:bottom w:val="none" w:sz="0" w:space="0" w:color="auto"/>
        <w:right w:val="none" w:sz="0" w:space="0" w:color="auto"/>
      </w:divBdr>
    </w:div>
    <w:div w:id="2030713633">
      <w:bodyDiv w:val="1"/>
      <w:marLeft w:val="0"/>
      <w:marRight w:val="0"/>
      <w:marTop w:val="0"/>
      <w:marBottom w:val="0"/>
      <w:divBdr>
        <w:top w:val="none" w:sz="0" w:space="0" w:color="auto"/>
        <w:left w:val="none" w:sz="0" w:space="0" w:color="auto"/>
        <w:bottom w:val="none" w:sz="0" w:space="0" w:color="auto"/>
        <w:right w:val="none" w:sz="0" w:space="0" w:color="auto"/>
      </w:divBdr>
      <w:divsChild>
        <w:div w:id="727072908">
          <w:marLeft w:val="1166"/>
          <w:marRight w:val="0"/>
          <w:marTop w:val="200"/>
          <w:marBottom w:val="0"/>
          <w:divBdr>
            <w:top w:val="none" w:sz="0" w:space="0" w:color="auto"/>
            <w:left w:val="none" w:sz="0" w:space="0" w:color="auto"/>
            <w:bottom w:val="none" w:sz="0" w:space="0" w:color="auto"/>
            <w:right w:val="none" w:sz="0" w:space="0" w:color="auto"/>
          </w:divBdr>
        </w:div>
        <w:div w:id="962466483">
          <w:marLeft w:val="1166"/>
          <w:marRight w:val="0"/>
          <w:marTop w:val="200"/>
          <w:marBottom w:val="0"/>
          <w:divBdr>
            <w:top w:val="none" w:sz="0" w:space="0" w:color="auto"/>
            <w:left w:val="none" w:sz="0" w:space="0" w:color="auto"/>
            <w:bottom w:val="none" w:sz="0" w:space="0" w:color="auto"/>
            <w:right w:val="none" w:sz="0" w:space="0" w:color="auto"/>
          </w:divBdr>
        </w:div>
        <w:div w:id="2032951886">
          <w:marLeft w:val="1166"/>
          <w:marRight w:val="0"/>
          <w:marTop w:val="200"/>
          <w:marBottom w:val="0"/>
          <w:divBdr>
            <w:top w:val="none" w:sz="0" w:space="0" w:color="auto"/>
            <w:left w:val="none" w:sz="0" w:space="0" w:color="auto"/>
            <w:bottom w:val="none" w:sz="0" w:space="0" w:color="auto"/>
            <w:right w:val="none" w:sz="0" w:space="0" w:color="auto"/>
          </w:divBdr>
        </w:div>
        <w:div w:id="1593464536">
          <w:marLeft w:val="1166"/>
          <w:marRight w:val="0"/>
          <w:marTop w:val="200"/>
          <w:marBottom w:val="0"/>
          <w:divBdr>
            <w:top w:val="none" w:sz="0" w:space="0" w:color="auto"/>
            <w:left w:val="none" w:sz="0" w:space="0" w:color="auto"/>
            <w:bottom w:val="none" w:sz="0" w:space="0" w:color="auto"/>
            <w:right w:val="none" w:sz="0" w:space="0" w:color="auto"/>
          </w:divBdr>
        </w:div>
        <w:div w:id="952979801">
          <w:marLeft w:val="1166"/>
          <w:marRight w:val="0"/>
          <w:marTop w:val="200"/>
          <w:marBottom w:val="0"/>
          <w:divBdr>
            <w:top w:val="none" w:sz="0" w:space="0" w:color="auto"/>
            <w:left w:val="none" w:sz="0" w:space="0" w:color="auto"/>
            <w:bottom w:val="none" w:sz="0" w:space="0" w:color="auto"/>
            <w:right w:val="none" w:sz="0" w:space="0" w:color="auto"/>
          </w:divBdr>
        </w:div>
        <w:div w:id="1207520675">
          <w:marLeft w:val="1166"/>
          <w:marRight w:val="0"/>
          <w:marTop w:val="200"/>
          <w:marBottom w:val="0"/>
          <w:divBdr>
            <w:top w:val="none" w:sz="0" w:space="0" w:color="auto"/>
            <w:left w:val="none" w:sz="0" w:space="0" w:color="auto"/>
            <w:bottom w:val="none" w:sz="0" w:space="0" w:color="auto"/>
            <w:right w:val="none" w:sz="0" w:space="0" w:color="auto"/>
          </w:divBdr>
        </w:div>
        <w:div w:id="1130132306">
          <w:marLeft w:val="1166"/>
          <w:marRight w:val="0"/>
          <w:marTop w:val="200"/>
          <w:marBottom w:val="0"/>
          <w:divBdr>
            <w:top w:val="none" w:sz="0" w:space="0" w:color="auto"/>
            <w:left w:val="none" w:sz="0" w:space="0" w:color="auto"/>
            <w:bottom w:val="none" w:sz="0" w:space="0" w:color="auto"/>
            <w:right w:val="none" w:sz="0" w:space="0" w:color="auto"/>
          </w:divBdr>
        </w:div>
        <w:div w:id="557320522">
          <w:marLeft w:val="1166"/>
          <w:marRight w:val="0"/>
          <w:marTop w:val="200"/>
          <w:marBottom w:val="0"/>
          <w:divBdr>
            <w:top w:val="none" w:sz="0" w:space="0" w:color="auto"/>
            <w:left w:val="none" w:sz="0" w:space="0" w:color="auto"/>
            <w:bottom w:val="none" w:sz="0" w:space="0" w:color="auto"/>
            <w:right w:val="none" w:sz="0" w:space="0" w:color="auto"/>
          </w:divBdr>
        </w:div>
      </w:divsChild>
    </w:div>
    <w:div w:id="2031224657">
      <w:bodyDiv w:val="1"/>
      <w:marLeft w:val="0"/>
      <w:marRight w:val="0"/>
      <w:marTop w:val="0"/>
      <w:marBottom w:val="0"/>
      <w:divBdr>
        <w:top w:val="none" w:sz="0" w:space="0" w:color="auto"/>
        <w:left w:val="none" w:sz="0" w:space="0" w:color="auto"/>
        <w:bottom w:val="none" w:sz="0" w:space="0" w:color="auto"/>
        <w:right w:val="none" w:sz="0" w:space="0" w:color="auto"/>
      </w:divBdr>
    </w:div>
    <w:div w:id="211551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allahan@mceCleanEnerg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llahan@mceCleanEnerg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DTariffUnit@cpuc.ca.gov" TargetMode="External"/><Relationship Id="rId4" Type="http://schemas.openxmlformats.org/officeDocument/2006/relationships/settings" Target="settings.xml"/><Relationship Id="rId9" Type="http://schemas.openxmlformats.org/officeDocument/2006/relationships/hyperlink" Target="mailto:Process_Office@cpuc.c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9DBEF-9964-48DB-B315-255CE36D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1671</Words>
  <Characters>10337</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CALIFORNIA PUBLIC UTILITIES COMMISSION</vt:lpstr>
    </vt:vector>
  </TitlesOfParts>
  <Company>cpuc</Company>
  <LinksUpToDate>false</LinksUpToDate>
  <CharactersWithSpaces>11985</CharactersWithSpaces>
  <SharedDoc>false</SharedDoc>
  <HLinks>
    <vt:vector size="36" baseType="variant">
      <vt:variant>
        <vt:i4>4653110</vt:i4>
      </vt:variant>
      <vt:variant>
        <vt:i4>35</vt:i4>
      </vt:variant>
      <vt:variant>
        <vt:i4>0</vt:i4>
      </vt:variant>
      <vt:variant>
        <vt:i4>5</vt:i4>
      </vt:variant>
      <vt:variant>
        <vt:lpwstr>mailto:mcallahan-dudley@mceCleanEnergy.org</vt:lpwstr>
      </vt:variant>
      <vt:variant>
        <vt:lpwstr/>
      </vt:variant>
      <vt:variant>
        <vt:i4>4259949</vt:i4>
      </vt:variant>
      <vt:variant>
        <vt:i4>32</vt:i4>
      </vt:variant>
      <vt:variant>
        <vt:i4>0</vt:i4>
      </vt:variant>
      <vt:variant>
        <vt:i4>5</vt:i4>
      </vt:variant>
      <vt:variant>
        <vt:lpwstr>mailto:bmenten@mceCleanEnergy.org</vt:lpwstr>
      </vt:variant>
      <vt:variant>
        <vt:lpwstr/>
      </vt:variant>
      <vt:variant>
        <vt:i4>4653110</vt:i4>
      </vt:variant>
      <vt:variant>
        <vt:i4>29</vt:i4>
      </vt:variant>
      <vt:variant>
        <vt:i4>0</vt:i4>
      </vt:variant>
      <vt:variant>
        <vt:i4>5</vt:i4>
      </vt:variant>
      <vt:variant>
        <vt:lpwstr>mailto:mcallahan-dudley@mceCleanEnergy.org</vt:lpwstr>
      </vt:variant>
      <vt:variant>
        <vt:lpwstr/>
      </vt:variant>
      <vt:variant>
        <vt:i4>655460</vt:i4>
      </vt:variant>
      <vt:variant>
        <vt:i4>26</vt:i4>
      </vt:variant>
      <vt:variant>
        <vt:i4>0</vt:i4>
      </vt:variant>
      <vt:variant>
        <vt:i4>5</vt:i4>
      </vt:variant>
      <vt:variant>
        <vt:lpwstr>mailto:EDTariffUnit@cpuc.ca.gov</vt:lpwstr>
      </vt:variant>
      <vt:variant>
        <vt:lpwstr/>
      </vt:variant>
      <vt:variant>
        <vt:i4>4653110</vt:i4>
      </vt:variant>
      <vt:variant>
        <vt:i4>23</vt:i4>
      </vt:variant>
      <vt:variant>
        <vt:i4>0</vt:i4>
      </vt:variant>
      <vt:variant>
        <vt:i4>5</vt:i4>
      </vt:variant>
      <vt:variant>
        <vt:lpwstr>mailto:mcallahan-dudley@mcecleanenergy.org</vt:lpwstr>
      </vt:variant>
      <vt:variant>
        <vt:lpwstr/>
      </vt:variant>
      <vt:variant>
        <vt:i4>655460</vt:i4>
      </vt:variant>
      <vt:variant>
        <vt:i4>20</vt:i4>
      </vt:variant>
      <vt:variant>
        <vt:i4>0</vt:i4>
      </vt:variant>
      <vt:variant>
        <vt:i4>5</vt:i4>
      </vt:variant>
      <vt:variant>
        <vt:lpwstr>mailto:EDTariffUnit@cpuc.ca.gov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PUBLIC UTILITIES COMMISSION</dc:title>
  <dc:creator>Nathaniel Malcolm</dc:creator>
  <cp:lastModifiedBy>Mike Callahan</cp:lastModifiedBy>
  <cp:revision>3</cp:revision>
  <cp:lastPrinted>2016-11-30T22:41:00Z</cp:lastPrinted>
  <dcterms:created xsi:type="dcterms:W3CDTF">2018-07-31T02:48:00Z</dcterms:created>
  <dcterms:modified xsi:type="dcterms:W3CDTF">2018-07-31T03:10:00Z</dcterms:modified>
</cp:coreProperties>
</file>