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4A4C" w14:textId="7A49E2FD" w:rsidR="007D3E28" w:rsidRPr="0010623D" w:rsidRDefault="007D3E28" w:rsidP="007D3E28">
      <w:pPr>
        <w:jc w:val="center"/>
        <w:rPr>
          <w:rFonts w:ascii="Calibri" w:hAnsi="Calibri" w:cs="Calibri"/>
          <w:b/>
        </w:rPr>
      </w:pPr>
      <w:r w:rsidRPr="0010623D">
        <w:rPr>
          <w:rFonts w:ascii="Calibri" w:hAnsi="Calibri" w:cs="Calibri"/>
          <w:b/>
        </w:rPr>
        <w:t xml:space="preserve">CAEECC-Hosted EE Filing Process Working Group </w:t>
      </w:r>
    </w:p>
    <w:p w14:paraId="42DD3C52" w14:textId="77777777" w:rsidR="001F30BB" w:rsidRPr="007D547D" w:rsidRDefault="001F30BB" w:rsidP="001F30BB">
      <w:pPr>
        <w:jc w:val="center"/>
        <w:rPr>
          <w:rFonts w:ascii="Calibri" w:hAnsi="Calibri" w:cs="Calibri"/>
          <w:b/>
        </w:rPr>
      </w:pPr>
      <w:r>
        <w:rPr>
          <w:rFonts w:ascii="Calibri" w:hAnsi="Calibri" w:cs="Calibri"/>
          <w:b/>
        </w:rPr>
        <w:t>Part 2 of 2</w:t>
      </w:r>
    </w:p>
    <w:p w14:paraId="3C5FEB6F" w14:textId="77777777" w:rsidR="001F30BB" w:rsidRDefault="001F30BB" w:rsidP="001F30BB">
      <w:pPr>
        <w:jc w:val="center"/>
        <w:rPr>
          <w:rFonts w:ascii="Calibri" w:hAnsi="Calibri" w:cs="Calibri"/>
          <w:bCs/>
          <w:i/>
          <w:iCs/>
        </w:rPr>
      </w:pPr>
      <w:r>
        <w:rPr>
          <w:rFonts w:ascii="Calibri" w:hAnsi="Calibri" w:cs="Calibri"/>
          <w:b/>
        </w:rPr>
        <w:t>November 9</w:t>
      </w:r>
      <w:r w:rsidRPr="00FE43BC">
        <w:rPr>
          <w:rFonts w:ascii="Calibri" w:hAnsi="Calibri" w:cs="Calibri"/>
          <w:b/>
          <w:vertAlign w:val="superscript"/>
        </w:rPr>
        <w:t>th</w:t>
      </w:r>
      <w:r w:rsidRPr="007D547D">
        <w:rPr>
          <w:rFonts w:ascii="Calibri" w:hAnsi="Calibri" w:cs="Calibri"/>
          <w:b/>
        </w:rPr>
        <w:t xml:space="preserve">, 2020, </w:t>
      </w:r>
      <w:r>
        <w:rPr>
          <w:rFonts w:ascii="Calibri" w:hAnsi="Calibri" w:cs="Calibri"/>
          <w:b/>
        </w:rPr>
        <w:t>9:30-12:00</w:t>
      </w:r>
      <w:r w:rsidRPr="007D547D">
        <w:rPr>
          <w:rFonts w:ascii="Calibri" w:hAnsi="Calibri" w:cs="Calibri"/>
          <w:b/>
        </w:rPr>
        <w:t xml:space="preserve"> </w:t>
      </w:r>
    </w:p>
    <w:p w14:paraId="46D7CC67" w14:textId="77777777" w:rsidR="001F30BB" w:rsidRPr="0010623D" w:rsidRDefault="001F30BB" w:rsidP="001F30BB">
      <w:pPr>
        <w:jc w:val="center"/>
        <w:rPr>
          <w:rFonts w:ascii="Calibri" w:hAnsi="Calibri" w:cs="Calibri"/>
          <w:b/>
        </w:rPr>
      </w:pPr>
      <w:r w:rsidRPr="0010623D">
        <w:rPr>
          <w:rFonts w:ascii="Calibri" w:hAnsi="Calibri" w:cs="Calibri"/>
          <w:b/>
        </w:rPr>
        <w:t>Facilitators: Dr. Jonathan Raab &amp; Katie Abrams</w:t>
      </w:r>
    </w:p>
    <w:p w14:paraId="5FC96568" w14:textId="77777777" w:rsidR="001F30BB" w:rsidRDefault="001F30BB" w:rsidP="001F30BB">
      <w:pPr>
        <w:jc w:val="center"/>
        <w:rPr>
          <w:rFonts w:ascii="Calibri" w:hAnsi="Calibri" w:cs="Calibri"/>
          <w:b/>
        </w:rPr>
      </w:pPr>
    </w:p>
    <w:p w14:paraId="4C442664" w14:textId="77777777" w:rsidR="001F30BB" w:rsidRPr="00C94912" w:rsidRDefault="001F30BB" w:rsidP="001F30BB">
      <w:pPr>
        <w:jc w:val="center"/>
        <w:rPr>
          <w:rFonts w:ascii="Calibri" w:hAnsi="Calibri" w:cs="Calibri"/>
          <w:b/>
          <w:bCs/>
          <w:u w:val="single"/>
        </w:rPr>
      </w:pPr>
      <w:r w:rsidRPr="00233E27">
        <w:rPr>
          <w:rFonts w:ascii="Calibri" w:hAnsi="Calibri" w:cs="Calibri"/>
          <w:b/>
          <w:bCs/>
          <w:u w:val="single"/>
        </w:rPr>
        <w:t>Background</w:t>
      </w:r>
      <w:r>
        <w:rPr>
          <w:rFonts w:ascii="Calibri" w:hAnsi="Calibri" w:cs="Calibri"/>
          <w:b/>
          <w:bCs/>
          <w:u w:val="single"/>
        </w:rPr>
        <w:t>/Purpose:</w:t>
      </w:r>
    </w:p>
    <w:p w14:paraId="6D819B79" w14:textId="77777777" w:rsidR="001F30BB" w:rsidRDefault="001F30BB" w:rsidP="001F30BB">
      <w:pPr>
        <w:rPr>
          <w:rFonts w:ascii="Calibri" w:hAnsi="Calibri" w:cs="Calibri"/>
        </w:rPr>
      </w:pPr>
      <w:r w:rsidRPr="00233E27">
        <w:rPr>
          <w:rFonts w:ascii="Calibri" w:hAnsi="Calibri" w:cs="Calibri"/>
        </w:rPr>
        <w:t>The Energy Division</w:t>
      </w:r>
      <w:r>
        <w:rPr>
          <w:rFonts w:ascii="Calibri" w:hAnsi="Calibri" w:cs="Calibri"/>
        </w:rPr>
        <w:t xml:space="preserve"> (ED)</w:t>
      </w:r>
      <w:r w:rsidRPr="00233E27">
        <w:rPr>
          <w:rFonts w:ascii="Calibri" w:hAnsi="Calibri" w:cs="Calibri"/>
        </w:rPr>
        <w:t xml:space="preserve"> has requested CAEECC’s EE Filing Process Working Group</w:t>
      </w:r>
      <w:r w:rsidRPr="00233E27" w:rsidDel="005F27C0">
        <w:rPr>
          <w:rFonts w:ascii="Calibri" w:hAnsi="Calibri" w:cs="Calibri"/>
        </w:rPr>
        <w:t xml:space="preserve"> </w:t>
      </w:r>
      <w:r w:rsidRPr="00233E27">
        <w:rPr>
          <w:rFonts w:ascii="Calibri" w:hAnsi="Calibri" w:cs="Calibri"/>
        </w:rPr>
        <w:t xml:space="preserve">discuss with ED some of its recommendations. Specifically, ED hopes to better understand how to </w:t>
      </w:r>
      <w:r>
        <w:rPr>
          <w:rFonts w:ascii="Calibri" w:hAnsi="Calibri" w:cs="Calibri"/>
        </w:rPr>
        <w:t xml:space="preserve">practically </w:t>
      </w:r>
      <w:r w:rsidRPr="00233E27">
        <w:rPr>
          <w:rFonts w:ascii="Calibri" w:hAnsi="Calibri" w:cs="Calibri"/>
        </w:rPr>
        <w:t>implement these recommendations, such that they can better advise the Commission on the WG’s proposal. For reference, E</w:t>
      </w:r>
      <w:r>
        <w:rPr>
          <w:rFonts w:ascii="Calibri" w:hAnsi="Calibri" w:cs="Calibri"/>
        </w:rPr>
        <w:t>E</w:t>
      </w:r>
      <w:r w:rsidRPr="00233E27">
        <w:rPr>
          <w:rFonts w:ascii="Calibri" w:hAnsi="Calibri" w:cs="Calibri"/>
        </w:rPr>
        <w:t xml:space="preserve"> Filing Process Working Group documents can be found on the </w:t>
      </w:r>
      <w:hyperlink r:id="rId5" w:history="1">
        <w:r w:rsidRPr="00233E27">
          <w:rPr>
            <w:rStyle w:val="Hyperlink"/>
            <w:rFonts w:ascii="Calibri" w:hAnsi="Calibri" w:cs="Calibri"/>
          </w:rPr>
          <w:t>EE Filing WG page</w:t>
        </w:r>
      </w:hyperlink>
      <w:r w:rsidRPr="00233E27">
        <w:rPr>
          <w:rFonts w:ascii="Calibri" w:hAnsi="Calibri" w:cs="Calibri"/>
        </w:rPr>
        <w:t xml:space="preserve">. A </w:t>
      </w:r>
      <w:r>
        <w:rPr>
          <w:rFonts w:ascii="Calibri" w:hAnsi="Calibri" w:cs="Calibri"/>
        </w:rPr>
        <w:t xml:space="preserve">first meeting in this 2-part series is scheduled with </w:t>
      </w:r>
      <w:r w:rsidRPr="00233E27">
        <w:rPr>
          <w:rFonts w:ascii="Calibri" w:hAnsi="Calibri" w:cs="Calibri"/>
        </w:rPr>
        <w:t xml:space="preserve">ED </w:t>
      </w:r>
      <w:r>
        <w:rPr>
          <w:rFonts w:ascii="Calibri" w:hAnsi="Calibri" w:cs="Calibri"/>
        </w:rPr>
        <w:t>on October 30th</w:t>
      </w:r>
      <w:r w:rsidRPr="00233E27">
        <w:rPr>
          <w:rFonts w:ascii="Calibri" w:hAnsi="Calibri" w:cs="Calibri"/>
        </w:rPr>
        <w:t xml:space="preserve">, 2020. </w:t>
      </w:r>
    </w:p>
    <w:p w14:paraId="2036664C" w14:textId="77777777" w:rsidR="001F30BB" w:rsidRDefault="001F30BB" w:rsidP="001F30BB">
      <w:pPr>
        <w:rPr>
          <w:rFonts w:ascii="Calibri" w:hAnsi="Calibri" w:cs="Calibri"/>
          <w:i/>
          <w:iCs/>
        </w:rPr>
      </w:pPr>
    </w:p>
    <w:p w14:paraId="61FF3677" w14:textId="77777777" w:rsidR="001F30BB" w:rsidRPr="00C94912" w:rsidRDefault="001F30BB" w:rsidP="001F30BB">
      <w:pPr>
        <w:jc w:val="center"/>
        <w:rPr>
          <w:rFonts w:eastAsiaTheme="minorEastAsia"/>
          <w:b/>
          <w:bCs/>
          <w:u w:val="single"/>
        </w:rPr>
      </w:pPr>
      <w:r>
        <w:rPr>
          <w:rFonts w:eastAsiaTheme="minorEastAsia"/>
          <w:b/>
          <w:bCs/>
          <w:u w:val="single"/>
        </w:rPr>
        <w:t>Key Considerations/Caveats</w:t>
      </w:r>
      <w:r w:rsidRPr="007B11E7">
        <w:rPr>
          <w:rFonts w:eastAsiaTheme="minorEastAsia"/>
          <w:b/>
          <w:bCs/>
          <w:u w:val="single"/>
        </w:rPr>
        <w:t>:</w:t>
      </w:r>
    </w:p>
    <w:p w14:paraId="16D970AA" w14:textId="77777777" w:rsidR="001F30BB" w:rsidRPr="00233E27" w:rsidRDefault="001F30BB" w:rsidP="001F30BB">
      <w:pPr>
        <w:pStyle w:val="ListParagraph"/>
        <w:numPr>
          <w:ilvl w:val="0"/>
          <w:numId w:val="25"/>
        </w:numPr>
        <w:spacing w:after="0" w:line="240" w:lineRule="auto"/>
        <w:rPr>
          <w:rFonts w:eastAsiaTheme="minorEastAsia"/>
          <w:sz w:val="24"/>
          <w:szCs w:val="24"/>
        </w:rPr>
      </w:pPr>
      <w:r w:rsidRPr="00233E27">
        <w:rPr>
          <w:rFonts w:eastAsiaTheme="minorEastAsia"/>
          <w:sz w:val="24"/>
          <w:szCs w:val="24"/>
        </w:rPr>
        <w:t>Questions and responses at th</w:t>
      </w:r>
      <w:r>
        <w:rPr>
          <w:rFonts w:eastAsiaTheme="minorEastAsia"/>
          <w:sz w:val="24"/>
          <w:szCs w:val="24"/>
        </w:rPr>
        <w:t>is</w:t>
      </w:r>
      <w:r w:rsidRPr="00233E27">
        <w:rPr>
          <w:rFonts w:eastAsiaTheme="minorEastAsia"/>
          <w:sz w:val="24"/>
          <w:szCs w:val="24"/>
        </w:rPr>
        <w:t xml:space="preserve"> CAEECC meeting will be for discussion purposes only.</w:t>
      </w:r>
    </w:p>
    <w:p w14:paraId="2EC3DFC8" w14:textId="77777777" w:rsidR="001F30BB" w:rsidRPr="00233E27" w:rsidRDefault="001F30BB" w:rsidP="001F30BB">
      <w:pPr>
        <w:pStyle w:val="ListParagraph"/>
        <w:numPr>
          <w:ilvl w:val="0"/>
          <w:numId w:val="25"/>
        </w:numPr>
        <w:spacing w:after="0" w:line="240" w:lineRule="auto"/>
        <w:rPr>
          <w:rFonts w:eastAsiaTheme="minorEastAsia"/>
          <w:sz w:val="24"/>
          <w:szCs w:val="24"/>
        </w:rPr>
      </w:pPr>
      <w:r w:rsidRPr="00233E27">
        <w:rPr>
          <w:rFonts w:eastAsiaTheme="minorEastAsia"/>
          <w:sz w:val="24"/>
          <w:szCs w:val="24"/>
        </w:rPr>
        <w:t>This meeting will NOT be</w:t>
      </w:r>
      <w:r w:rsidRPr="00413163">
        <w:rPr>
          <w:rFonts w:eastAsiaTheme="minorEastAsia"/>
        </w:rPr>
        <w:t xml:space="preserve"> </w:t>
      </w:r>
      <w:r w:rsidRPr="00233E27">
        <w:rPr>
          <w:rFonts w:eastAsiaTheme="minorEastAsia"/>
          <w:sz w:val="24"/>
          <w:szCs w:val="24"/>
        </w:rPr>
        <w:t>for purposes of official record building on the CAEECC proposal in the EE proceeding.</w:t>
      </w:r>
    </w:p>
    <w:p w14:paraId="2B6CD413" w14:textId="77777777" w:rsidR="001F30BB" w:rsidRDefault="001F30BB" w:rsidP="001F30BB">
      <w:pPr>
        <w:pStyle w:val="ListParagraph"/>
        <w:numPr>
          <w:ilvl w:val="0"/>
          <w:numId w:val="25"/>
        </w:numPr>
        <w:spacing w:after="0" w:line="240" w:lineRule="auto"/>
        <w:rPr>
          <w:rFonts w:eastAsiaTheme="minorEastAsia"/>
          <w:sz w:val="24"/>
          <w:szCs w:val="24"/>
        </w:rPr>
      </w:pPr>
      <w:r w:rsidRPr="00233E27">
        <w:rPr>
          <w:rFonts w:eastAsiaTheme="minorEastAsia"/>
          <w:sz w:val="24"/>
          <w:szCs w:val="24"/>
        </w:rPr>
        <w:t xml:space="preserve">Energy Division is not looking for new consensus proposals on the topics below. </w:t>
      </w:r>
    </w:p>
    <w:p w14:paraId="6A7B7620" w14:textId="17FD50B1" w:rsidR="007D547D" w:rsidRPr="00A5049E" w:rsidRDefault="007D547D">
      <w:pPr>
        <w:rPr>
          <w:rFonts w:ascii="Calibri" w:hAnsi="Calibri" w:cs="Calibri"/>
          <w:i/>
          <w:iCs/>
        </w:rPr>
      </w:pPr>
    </w:p>
    <w:tbl>
      <w:tblPr>
        <w:tblStyle w:val="TableGrid"/>
        <w:tblW w:w="12422" w:type="dxa"/>
        <w:tblLook w:val="04A0" w:firstRow="1" w:lastRow="0" w:firstColumn="1" w:lastColumn="0" w:noHBand="0" w:noVBand="1"/>
      </w:tblPr>
      <w:tblGrid>
        <w:gridCol w:w="1075"/>
        <w:gridCol w:w="2520"/>
        <w:gridCol w:w="8827"/>
      </w:tblGrid>
      <w:tr w:rsidR="001F30BB" w:rsidRPr="009D387F" w14:paraId="5BEEF583" w14:textId="77777777" w:rsidTr="001F30BB">
        <w:trPr>
          <w:tblHeader/>
        </w:trPr>
        <w:tc>
          <w:tcPr>
            <w:tcW w:w="1075" w:type="dxa"/>
            <w:shd w:val="clear" w:color="auto" w:fill="BFBFBF" w:themeFill="background1" w:themeFillShade="BF"/>
          </w:tcPr>
          <w:p w14:paraId="208E217D" w14:textId="5550832E" w:rsidR="001F30BB" w:rsidRPr="00063880" w:rsidRDefault="001F30BB" w:rsidP="001F30BB">
            <w:pPr>
              <w:rPr>
                <w:rFonts w:ascii="Calibri" w:hAnsi="Calibri" w:cs="Calibri"/>
                <w:b/>
                <w:bCs/>
                <w:sz w:val="22"/>
                <w:szCs w:val="22"/>
              </w:rPr>
            </w:pPr>
            <w:r w:rsidRPr="00FE43BC">
              <w:rPr>
                <w:rFonts w:ascii="Calibri" w:hAnsi="Calibri" w:cs="Calibri"/>
                <w:b/>
                <w:bCs/>
                <w:sz w:val="22"/>
                <w:szCs w:val="22"/>
              </w:rPr>
              <w:t>Time</w:t>
            </w:r>
          </w:p>
        </w:tc>
        <w:tc>
          <w:tcPr>
            <w:tcW w:w="2520" w:type="dxa"/>
            <w:shd w:val="clear" w:color="auto" w:fill="BFBFBF" w:themeFill="background1" w:themeFillShade="BF"/>
          </w:tcPr>
          <w:p w14:paraId="3185C850" w14:textId="657868A8" w:rsidR="001F30BB" w:rsidRPr="009D387F" w:rsidRDefault="001F30BB" w:rsidP="001F30BB">
            <w:pPr>
              <w:rPr>
                <w:rFonts w:ascii="Calibri" w:hAnsi="Calibri" w:cs="Calibri"/>
                <w:b/>
                <w:bCs/>
                <w:sz w:val="22"/>
                <w:szCs w:val="22"/>
              </w:rPr>
            </w:pPr>
            <w:r w:rsidRPr="009D387F">
              <w:rPr>
                <w:rFonts w:ascii="Calibri" w:hAnsi="Calibri" w:cs="Calibri"/>
                <w:b/>
                <w:bCs/>
                <w:sz w:val="22"/>
                <w:szCs w:val="22"/>
              </w:rPr>
              <w:t>Topic</w:t>
            </w:r>
          </w:p>
        </w:tc>
        <w:tc>
          <w:tcPr>
            <w:tcW w:w="8827" w:type="dxa"/>
            <w:shd w:val="clear" w:color="auto" w:fill="BFBFBF" w:themeFill="background1" w:themeFillShade="BF"/>
          </w:tcPr>
          <w:p w14:paraId="746264AC" w14:textId="764242D3" w:rsidR="001F30BB" w:rsidRPr="009D387F" w:rsidRDefault="001F30BB" w:rsidP="001F30BB">
            <w:pPr>
              <w:rPr>
                <w:rFonts w:ascii="Calibri" w:hAnsi="Calibri" w:cs="Calibri"/>
                <w:b/>
                <w:bCs/>
                <w:sz w:val="22"/>
                <w:szCs w:val="22"/>
              </w:rPr>
            </w:pPr>
            <w:r w:rsidRPr="009D387F">
              <w:rPr>
                <w:rFonts w:ascii="Calibri" w:hAnsi="Calibri" w:cs="Calibri"/>
                <w:b/>
                <w:bCs/>
                <w:sz w:val="22"/>
                <w:szCs w:val="22"/>
              </w:rPr>
              <w:t>ED’s Question to Address</w:t>
            </w:r>
          </w:p>
        </w:tc>
      </w:tr>
      <w:tr w:rsidR="001F30BB" w:rsidRPr="00FE43BC" w14:paraId="64783DDE" w14:textId="77777777" w:rsidTr="001F30BB">
        <w:tc>
          <w:tcPr>
            <w:tcW w:w="1075" w:type="dxa"/>
          </w:tcPr>
          <w:p w14:paraId="2A4BE4EE" w14:textId="63873FAC" w:rsidR="001F30BB" w:rsidRPr="00FE43BC" w:rsidRDefault="001F30BB" w:rsidP="008057C4">
            <w:pPr>
              <w:rPr>
                <w:rFonts w:ascii="Calibri" w:hAnsi="Calibri" w:cs="Calibri"/>
                <w:sz w:val="22"/>
                <w:szCs w:val="22"/>
              </w:rPr>
            </w:pPr>
            <w:r>
              <w:rPr>
                <w:rFonts w:ascii="Calibri" w:hAnsi="Calibri" w:cs="Calibri"/>
                <w:sz w:val="22"/>
                <w:szCs w:val="22"/>
              </w:rPr>
              <w:t xml:space="preserve">9:30 </w:t>
            </w:r>
            <w:r w:rsidRPr="00FE43BC">
              <w:rPr>
                <w:rFonts w:ascii="Calibri" w:hAnsi="Calibri" w:cs="Calibri"/>
                <w:sz w:val="22"/>
                <w:szCs w:val="22"/>
              </w:rPr>
              <w:t>-</w:t>
            </w:r>
            <w:r>
              <w:rPr>
                <w:rFonts w:ascii="Calibri" w:hAnsi="Calibri" w:cs="Calibri"/>
                <w:sz w:val="22"/>
                <w:szCs w:val="22"/>
              </w:rPr>
              <w:t xml:space="preserve"> 9:</w:t>
            </w:r>
            <w:r w:rsidR="00AC6AA7">
              <w:rPr>
                <w:rFonts w:ascii="Calibri" w:hAnsi="Calibri" w:cs="Calibri"/>
                <w:sz w:val="22"/>
                <w:szCs w:val="22"/>
              </w:rPr>
              <w:t xml:space="preserve">35 </w:t>
            </w:r>
            <w:r>
              <w:rPr>
                <w:rFonts w:ascii="Calibri" w:hAnsi="Calibri" w:cs="Calibri"/>
                <w:sz w:val="22"/>
                <w:szCs w:val="22"/>
              </w:rPr>
              <w:t>am</w:t>
            </w:r>
          </w:p>
        </w:tc>
        <w:tc>
          <w:tcPr>
            <w:tcW w:w="2520" w:type="dxa"/>
          </w:tcPr>
          <w:p w14:paraId="3C9A498A" w14:textId="09288B78" w:rsidR="001F30BB" w:rsidRPr="00FE43BC" w:rsidRDefault="001F30BB" w:rsidP="008057C4">
            <w:pPr>
              <w:rPr>
                <w:rFonts w:ascii="Calibri" w:eastAsiaTheme="minorEastAsia" w:hAnsi="Calibri" w:cs="Calibri"/>
                <w:b/>
                <w:bCs/>
                <w:sz w:val="22"/>
                <w:szCs w:val="22"/>
              </w:rPr>
            </w:pPr>
            <w:r w:rsidRPr="00FE43BC">
              <w:rPr>
                <w:rFonts w:ascii="Calibri" w:hAnsi="Calibri" w:cs="Calibri"/>
                <w:b/>
                <w:bCs/>
                <w:sz w:val="22"/>
                <w:szCs w:val="22"/>
              </w:rPr>
              <w:t xml:space="preserve">Agenda Review </w:t>
            </w:r>
          </w:p>
        </w:tc>
        <w:tc>
          <w:tcPr>
            <w:tcW w:w="8827" w:type="dxa"/>
          </w:tcPr>
          <w:p w14:paraId="06040D20" w14:textId="77777777" w:rsidR="001F30BB" w:rsidRPr="00FE43BC" w:rsidRDefault="001F30BB" w:rsidP="008057C4">
            <w:pPr>
              <w:rPr>
                <w:rFonts w:eastAsiaTheme="minorEastAsia"/>
                <w:sz w:val="22"/>
                <w:szCs w:val="22"/>
              </w:rPr>
            </w:pPr>
            <w:r>
              <w:rPr>
                <w:rFonts w:eastAsiaTheme="minorEastAsia"/>
                <w:sz w:val="22"/>
                <w:szCs w:val="22"/>
              </w:rPr>
              <w:t>Facilitation Team</w:t>
            </w:r>
          </w:p>
        </w:tc>
      </w:tr>
      <w:tr w:rsidR="001F30BB" w:rsidRPr="009D387F" w14:paraId="1E465234" w14:textId="77777777" w:rsidTr="001F30BB">
        <w:tc>
          <w:tcPr>
            <w:tcW w:w="1075" w:type="dxa"/>
          </w:tcPr>
          <w:p w14:paraId="7646CD13" w14:textId="3493B5C6" w:rsidR="001F30BB" w:rsidRPr="00063880" w:rsidRDefault="00EB3E6A" w:rsidP="008057C4">
            <w:pPr>
              <w:rPr>
                <w:rFonts w:ascii="Calibri" w:hAnsi="Calibri" w:cs="Calibri"/>
                <w:sz w:val="22"/>
                <w:szCs w:val="22"/>
              </w:rPr>
            </w:pPr>
            <w:r>
              <w:rPr>
                <w:rFonts w:ascii="Calibri" w:hAnsi="Calibri" w:cs="Calibri"/>
                <w:sz w:val="22"/>
                <w:szCs w:val="22"/>
              </w:rPr>
              <w:t>9:</w:t>
            </w:r>
            <w:r w:rsidR="00AC6AA7">
              <w:rPr>
                <w:rFonts w:ascii="Calibri" w:hAnsi="Calibri" w:cs="Calibri"/>
                <w:sz w:val="22"/>
                <w:szCs w:val="22"/>
              </w:rPr>
              <w:t>35</w:t>
            </w:r>
            <w:r>
              <w:rPr>
                <w:rFonts w:ascii="Calibri" w:hAnsi="Calibri" w:cs="Calibri"/>
                <w:sz w:val="22"/>
                <w:szCs w:val="22"/>
              </w:rPr>
              <w:t>-10:40 am</w:t>
            </w:r>
          </w:p>
        </w:tc>
        <w:tc>
          <w:tcPr>
            <w:tcW w:w="2520" w:type="dxa"/>
          </w:tcPr>
          <w:p w14:paraId="15363808" w14:textId="77777777" w:rsidR="001F30BB" w:rsidRPr="00D870BF" w:rsidRDefault="001F30BB" w:rsidP="008057C4">
            <w:pPr>
              <w:rPr>
                <w:rFonts w:eastAsiaTheme="minorEastAsia"/>
                <w:b/>
                <w:bCs/>
                <w:sz w:val="22"/>
                <w:szCs w:val="22"/>
              </w:rPr>
            </w:pPr>
            <w:r w:rsidRPr="00FE43BC">
              <w:rPr>
                <w:rFonts w:eastAsiaTheme="minorEastAsia"/>
                <w:b/>
                <w:bCs/>
                <w:sz w:val="22"/>
                <w:szCs w:val="22"/>
              </w:rPr>
              <w:t>2021 and Beyond Example Questions</w:t>
            </w:r>
          </w:p>
        </w:tc>
        <w:tc>
          <w:tcPr>
            <w:tcW w:w="8827" w:type="dxa"/>
          </w:tcPr>
          <w:p w14:paraId="636BB807" w14:textId="77777777" w:rsidR="001F30BB" w:rsidRPr="001F30BB" w:rsidRDefault="001F30BB" w:rsidP="001F30BB">
            <w:pPr>
              <w:rPr>
                <w:rFonts w:eastAsiaTheme="minorEastAsia"/>
                <w:sz w:val="22"/>
                <w:szCs w:val="22"/>
              </w:rPr>
            </w:pPr>
            <w:r w:rsidRPr="001F30BB">
              <w:rPr>
                <w:rFonts w:eastAsiaTheme="minorEastAsia"/>
                <w:sz w:val="22"/>
                <w:szCs w:val="22"/>
              </w:rPr>
              <w:t>The July 3, 2020 ruling on COVID requires that all program administrators refile their business plans/applications in September 2021.  In addition, the NRDC motion envisioned a transition to the revised filing process after the current rolling portfolio process is set to expire in 2025. However, given that the COVID ruling likely means the CPUC will issue a decision on the NRDC motion in the first half of 2021 with guidance for new applications and new goals are expected to be adopted by the CPUC in mid-2021,  when and how do you see the transition to a new portfolio cycle taking place?  Please consider how a timeline could be structured that addresses relevant bus stops, including ACC and DEER, goals, vintages and paying attention to lead times for development and adoption of key inputs. This timeline should also include any stakeholder process envisaged regarding the “enhanced annual reports”.</w:t>
            </w:r>
          </w:p>
          <w:p w14:paraId="367FDE9A" w14:textId="48D44C88" w:rsidR="001F30BB" w:rsidRPr="00ED774D" w:rsidRDefault="001F30BB" w:rsidP="00ED774D">
            <w:pPr>
              <w:pStyle w:val="ListParagraph"/>
              <w:numPr>
                <w:ilvl w:val="0"/>
                <w:numId w:val="19"/>
              </w:numPr>
              <w:rPr>
                <w:i/>
                <w:iCs/>
              </w:rPr>
            </w:pPr>
            <w:r w:rsidRPr="00ED774D">
              <w:rPr>
                <w:rFonts w:eastAsiaTheme="minorEastAsia"/>
                <w:b/>
                <w:bCs/>
              </w:rPr>
              <w:t>When should the new cycle begin / start?</w:t>
            </w:r>
            <w:r w:rsidR="00EF6D14" w:rsidRPr="00ED774D">
              <w:rPr>
                <w:rFonts w:eastAsiaTheme="minorEastAsia"/>
                <w:b/>
                <w:bCs/>
              </w:rPr>
              <w:t xml:space="preserve"> [</w:t>
            </w:r>
            <w:r w:rsidR="00EF6D14" w:rsidRPr="00ED774D">
              <w:rPr>
                <w:rFonts w:eastAsiaTheme="minorEastAsia"/>
                <w:i/>
                <w:iCs/>
              </w:rPr>
              <w:t>Alice</w:t>
            </w:r>
            <w:r w:rsidR="00493C15" w:rsidRPr="00ED774D">
              <w:rPr>
                <w:rFonts w:eastAsiaTheme="minorEastAsia"/>
                <w:i/>
                <w:iCs/>
              </w:rPr>
              <w:t xml:space="preserve"> </w:t>
            </w:r>
            <w:proofErr w:type="spellStart"/>
            <w:r w:rsidR="00493C15" w:rsidRPr="00ED774D">
              <w:rPr>
                <w:rFonts w:eastAsiaTheme="minorEastAsia"/>
                <w:i/>
                <w:iCs/>
              </w:rPr>
              <w:t>Havenar-Daughton</w:t>
            </w:r>
            <w:proofErr w:type="spellEnd"/>
            <w:r w:rsidR="00493C15" w:rsidRPr="00ED774D">
              <w:rPr>
                <w:rFonts w:eastAsiaTheme="minorEastAsia"/>
                <w:i/>
                <w:iCs/>
              </w:rPr>
              <w:t xml:space="preserve">, MCE </w:t>
            </w:r>
            <w:r w:rsidR="00EF6D14" w:rsidRPr="00ED774D">
              <w:rPr>
                <w:rFonts w:eastAsiaTheme="minorEastAsia"/>
                <w:i/>
                <w:iCs/>
              </w:rPr>
              <w:t xml:space="preserve">and Jenny Berg, </w:t>
            </w:r>
            <w:proofErr w:type="spellStart"/>
            <w:r w:rsidR="00EF6D14" w:rsidRPr="00ED774D">
              <w:rPr>
                <w:rFonts w:eastAsiaTheme="minorEastAsia"/>
                <w:i/>
                <w:iCs/>
              </w:rPr>
              <w:t>BayRen</w:t>
            </w:r>
            <w:proofErr w:type="spellEnd"/>
            <w:r w:rsidR="00493C15" w:rsidRPr="00ED774D">
              <w:rPr>
                <w:rFonts w:eastAsiaTheme="minorEastAsia"/>
                <w:i/>
                <w:iCs/>
              </w:rPr>
              <w:t>]</w:t>
            </w:r>
          </w:p>
          <w:p w14:paraId="589EB607" w14:textId="53C9C0FD" w:rsidR="00EF6D14" w:rsidRPr="00523E66" w:rsidRDefault="00EF6D14" w:rsidP="00523E66">
            <w:pPr>
              <w:pStyle w:val="ListParagraph"/>
              <w:numPr>
                <w:ilvl w:val="0"/>
                <w:numId w:val="19"/>
              </w:numPr>
              <w:rPr>
                <w:rFonts w:eastAsiaTheme="minorEastAsia"/>
                <w:i/>
                <w:iCs/>
              </w:rPr>
            </w:pPr>
            <w:r w:rsidRPr="001F30BB">
              <w:rPr>
                <w:rFonts w:eastAsiaTheme="minorEastAsia"/>
                <w:b/>
                <w:bCs/>
              </w:rPr>
              <w:t>Should the Commission still require 2022 ABALs in September 2021?  Do stakeholders see any drawbacks should the Commission eliminate the requirement for ABALs in September of 2021?</w:t>
            </w:r>
            <w:r>
              <w:rPr>
                <w:rFonts w:eastAsiaTheme="minorEastAsia"/>
                <w:b/>
                <w:bCs/>
              </w:rPr>
              <w:t xml:space="preserve"> [</w:t>
            </w:r>
            <w:r w:rsidR="00493C15" w:rsidRPr="00523E66">
              <w:rPr>
                <w:rFonts w:eastAsiaTheme="minorEastAsia"/>
                <w:i/>
                <w:iCs/>
              </w:rPr>
              <w:t xml:space="preserve">Alice </w:t>
            </w:r>
            <w:proofErr w:type="spellStart"/>
            <w:r w:rsidR="00493C15" w:rsidRPr="00523E66">
              <w:rPr>
                <w:rFonts w:eastAsiaTheme="minorEastAsia"/>
                <w:i/>
                <w:iCs/>
              </w:rPr>
              <w:t>Havenar-Daughton</w:t>
            </w:r>
            <w:proofErr w:type="spellEnd"/>
            <w:r w:rsidR="00493C15" w:rsidRPr="00523E66">
              <w:rPr>
                <w:rFonts w:eastAsiaTheme="minorEastAsia"/>
                <w:i/>
                <w:iCs/>
              </w:rPr>
              <w:t xml:space="preserve">, MCE and Jenny Berg, </w:t>
            </w:r>
            <w:proofErr w:type="spellStart"/>
            <w:r w:rsidR="00493C15" w:rsidRPr="00523E66">
              <w:rPr>
                <w:rFonts w:eastAsiaTheme="minorEastAsia"/>
                <w:i/>
                <w:iCs/>
              </w:rPr>
              <w:t>BayRen</w:t>
            </w:r>
            <w:proofErr w:type="spellEnd"/>
            <w:r w:rsidR="00493C15" w:rsidRPr="00523E66">
              <w:rPr>
                <w:rFonts w:eastAsiaTheme="minorEastAsia"/>
                <w:i/>
                <w:iCs/>
              </w:rPr>
              <w:t>]</w:t>
            </w:r>
          </w:p>
          <w:p w14:paraId="628B8FA9" w14:textId="043251B7" w:rsidR="001F30BB" w:rsidRPr="00523E66" w:rsidRDefault="001F30BB" w:rsidP="001F30BB">
            <w:pPr>
              <w:pStyle w:val="ListParagraph"/>
              <w:numPr>
                <w:ilvl w:val="1"/>
                <w:numId w:val="19"/>
              </w:numPr>
              <w:rPr>
                <w:rFonts w:eastAsiaTheme="minorEastAsia"/>
                <w:i/>
                <w:iCs/>
              </w:rPr>
            </w:pPr>
            <w:r w:rsidRPr="001F30BB">
              <w:rPr>
                <w:rFonts w:eastAsiaTheme="minorEastAsia"/>
                <w:b/>
                <w:bCs/>
              </w:rPr>
              <w:lastRenderedPageBreak/>
              <w:t>How should the Commission address the freezing of ex-ante savings values proposal work during the transition to the new portfolio cycle?</w:t>
            </w:r>
            <w:r w:rsidR="00EF6D14">
              <w:rPr>
                <w:rFonts w:eastAsiaTheme="minorEastAsia"/>
                <w:b/>
                <w:bCs/>
              </w:rPr>
              <w:t xml:space="preserve"> [</w:t>
            </w:r>
            <w:r w:rsidR="00EF6D14" w:rsidRPr="00523E66">
              <w:rPr>
                <w:rFonts w:eastAsiaTheme="minorEastAsia"/>
                <w:i/>
                <w:iCs/>
              </w:rPr>
              <w:t>Chris</w:t>
            </w:r>
            <w:r w:rsidR="00493C15" w:rsidRPr="00523E66">
              <w:rPr>
                <w:rFonts w:eastAsiaTheme="minorEastAsia"/>
                <w:i/>
                <w:iCs/>
              </w:rPr>
              <w:t xml:space="preserve"> </w:t>
            </w:r>
            <w:proofErr w:type="spellStart"/>
            <w:proofErr w:type="gramStart"/>
            <w:r w:rsidR="00493C15" w:rsidRPr="00523E66">
              <w:rPr>
                <w:rFonts w:eastAsiaTheme="minorEastAsia"/>
                <w:i/>
                <w:iCs/>
              </w:rPr>
              <w:t>Malotte</w:t>
            </w:r>
            <w:proofErr w:type="spellEnd"/>
            <w:r w:rsidR="00493C15" w:rsidRPr="00523E66">
              <w:rPr>
                <w:rFonts w:eastAsiaTheme="minorEastAsia"/>
                <w:i/>
                <w:iCs/>
              </w:rPr>
              <w:t xml:space="preserve">, </w:t>
            </w:r>
            <w:r w:rsidR="00EF6D14" w:rsidRPr="00523E66">
              <w:rPr>
                <w:rFonts w:eastAsiaTheme="minorEastAsia"/>
                <w:i/>
                <w:iCs/>
              </w:rPr>
              <w:t xml:space="preserve"> SCE</w:t>
            </w:r>
            <w:proofErr w:type="gramEnd"/>
            <w:r w:rsidR="00523E66">
              <w:rPr>
                <w:rFonts w:eastAsiaTheme="minorEastAsia"/>
                <w:i/>
                <w:iCs/>
              </w:rPr>
              <w:t>]</w:t>
            </w:r>
          </w:p>
          <w:p w14:paraId="304D3DBD" w14:textId="7C444216" w:rsidR="001F30BB" w:rsidRPr="001F30BB" w:rsidRDefault="001F30BB" w:rsidP="00ED774D"/>
        </w:tc>
      </w:tr>
      <w:tr w:rsidR="001F30BB" w:rsidRPr="009D387F" w14:paraId="3DE70DF7" w14:textId="77777777" w:rsidTr="001F30BB">
        <w:tc>
          <w:tcPr>
            <w:tcW w:w="1075" w:type="dxa"/>
          </w:tcPr>
          <w:p w14:paraId="0CF97A60" w14:textId="2FB9FB4D" w:rsidR="001F30BB" w:rsidRPr="00063880" w:rsidRDefault="00EB3E6A" w:rsidP="001F30BB">
            <w:pPr>
              <w:rPr>
                <w:rFonts w:ascii="Calibri" w:hAnsi="Calibri" w:cs="Calibri"/>
                <w:sz w:val="22"/>
                <w:szCs w:val="22"/>
              </w:rPr>
            </w:pPr>
            <w:r w:rsidRPr="00FE43BC">
              <w:rPr>
                <w:rFonts w:ascii="Calibri" w:hAnsi="Calibri" w:cs="Calibri"/>
                <w:sz w:val="22"/>
                <w:szCs w:val="22"/>
              </w:rPr>
              <w:lastRenderedPageBreak/>
              <w:t>1</w:t>
            </w:r>
            <w:r>
              <w:rPr>
                <w:rFonts w:ascii="Calibri" w:hAnsi="Calibri" w:cs="Calibri"/>
                <w:sz w:val="22"/>
                <w:szCs w:val="22"/>
              </w:rPr>
              <w:t>0</w:t>
            </w:r>
            <w:r w:rsidRPr="00FE43BC">
              <w:rPr>
                <w:rFonts w:ascii="Calibri" w:hAnsi="Calibri" w:cs="Calibri"/>
                <w:sz w:val="22"/>
                <w:szCs w:val="22"/>
              </w:rPr>
              <w:t>:</w:t>
            </w:r>
            <w:r w:rsidR="00AC6AA7">
              <w:rPr>
                <w:rFonts w:ascii="Calibri" w:hAnsi="Calibri" w:cs="Calibri"/>
                <w:sz w:val="22"/>
                <w:szCs w:val="22"/>
              </w:rPr>
              <w:t>40</w:t>
            </w:r>
            <w:r w:rsidRPr="00FE43BC">
              <w:rPr>
                <w:rFonts w:ascii="Calibri" w:hAnsi="Calibri" w:cs="Calibri"/>
                <w:sz w:val="22"/>
                <w:szCs w:val="22"/>
              </w:rPr>
              <w:t xml:space="preserve"> –</w:t>
            </w:r>
            <w:r>
              <w:rPr>
                <w:rFonts w:ascii="Calibri" w:hAnsi="Calibri" w:cs="Calibri"/>
                <w:sz w:val="22"/>
                <w:szCs w:val="22"/>
              </w:rPr>
              <w:t>11</w:t>
            </w:r>
            <w:r w:rsidRPr="00FE43BC">
              <w:rPr>
                <w:rFonts w:ascii="Calibri" w:hAnsi="Calibri" w:cs="Calibri"/>
                <w:sz w:val="22"/>
                <w:szCs w:val="22"/>
              </w:rPr>
              <w:t>:</w:t>
            </w:r>
            <w:r w:rsidR="00AC6AA7">
              <w:rPr>
                <w:rFonts w:ascii="Calibri" w:hAnsi="Calibri" w:cs="Calibri"/>
                <w:sz w:val="22"/>
                <w:szCs w:val="22"/>
              </w:rPr>
              <w:t>4</w:t>
            </w:r>
            <w:r w:rsidRPr="00FE43BC">
              <w:rPr>
                <w:rFonts w:ascii="Calibri" w:hAnsi="Calibri" w:cs="Calibri"/>
                <w:sz w:val="22"/>
                <w:szCs w:val="22"/>
              </w:rPr>
              <w:t xml:space="preserve">0 </w:t>
            </w:r>
            <w:r>
              <w:rPr>
                <w:rFonts w:ascii="Calibri" w:hAnsi="Calibri" w:cs="Calibri"/>
                <w:sz w:val="22"/>
                <w:szCs w:val="22"/>
              </w:rPr>
              <w:t>a</w:t>
            </w:r>
            <w:r w:rsidRPr="00FE43BC">
              <w:rPr>
                <w:rFonts w:ascii="Calibri" w:hAnsi="Calibri" w:cs="Calibri"/>
                <w:sz w:val="22"/>
                <w:szCs w:val="22"/>
              </w:rPr>
              <w:t>m</w:t>
            </w:r>
          </w:p>
        </w:tc>
        <w:tc>
          <w:tcPr>
            <w:tcW w:w="2520" w:type="dxa"/>
          </w:tcPr>
          <w:p w14:paraId="319F11E1" w14:textId="77777777" w:rsidR="001F30BB" w:rsidRPr="00FE43BC" w:rsidRDefault="001F30BB" w:rsidP="001F30BB">
            <w:pPr>
              <w:rPr>
                <w:rFonts w:eastAsiaTheme="minorEastAsia"/>
                <w:sz w:val="22"/>
                <w:szCs w:val="22"/>
              </w:rPr>
            </w:pPr>
            <w:r w:rsidRPr="00FE43BC">
              <w:rPr>
                <w:rFonts w:eastAsiaTheme="minorEastAsia"/>
                <w:b/>
                <w:bCs/>
                <w:sz w:val="22"/>
                <w:szCs w:val="22"/>
              </w:rPr>
              <w:t>Aligning Goals and Budgets: Technical Inputs</w:t>
            </w:r>
          </w:p>
          <w:p w14:paraId="0F9153F9" w14:textId="3E7DB643" w:rsidR="001F30BB" w:rsidRPr="009D387F" w:rsidRDefault="001F30BB" w:rsidP="001F30BB">
            <w:pPr>
              <w:pStyle w:val="ListParagraph"/>
              <w:spacing w:after="0" w:line="240" w:lineRule="auto"/>
              <w:ind w:left="360"/>
              <w:rPr>
                <w:rFonts w:ascii="Calibri" w:eastAsiaTheme="minorEastAsia" w:hAnsi="Calibri" w:cs="Calibri"/>
              </w:rPr>
            </w:pPr>
          </w:p>
        </w:tc>
        <w:tc>
          <w:tcPr>
            <w:tcW w:w="8827" w:type="dxa"/>
          </w:tcPr>
          <w:p w14:paraId="2CC13D90" w14:textId="163E9CC8" w:rsidR="001F30BB" w:rsidRPr="001F30BB" w:rsidRDefault="001F30BB" w:rsidP="001F30BB">
            <w:pPr>
              <w:rPr>
                <w:rFonts w:eastAsiaTheme="minorEastAsia"/>
                <w:sz w:val="22"/>
                <w:szCs w:val="22"/>
              </w:rPr>
            </w:pPr>
            <w:r w:rsidRPr="001F30BB">
              <w:rPr>
                <w:rFonts w:eastAsiaTheme="minorEastAsia"/>
                <w:sz w:val="22"/>
                <w:szCs w:val="22"/>
                <w:u w:val="single"/>
              </w:rPr>
              <w:t>Avoided Costs:</w:t>
            </w:r>
            <w:r w:rsidR="00EF6D14">
              <w:rPr>
                <w:rFonts w:eastAsiaTheme="minorEastAsia"/>
                <w:b/>
                <w:bCs/>
                <w:color w:val="201F1E"/>
              </w:rPr>
              <w:t xml:space="preserve"> </w:t>
            </w:r>
            <w:r w:rsidR="00EF6D14" w:rsidRPr="00523E66">
              <w:rPr>
                <w:rFonts w:eastAsiaTheme="minorEastAsia"/>
                <w:i/>
                <w:iCs/>
                <w:color w:val="201F1E"/>
              </w:rPr>
              <w:t>[Ryan</w:t>
            </w:r>
            <w:r w:rsidR="00493C15" w:rsidRPr="00523E66">
              <w:rPr>
                <w:rFonts w:eastAsiaTheme="minorEastAsia"/>
                <w:i/>
                <w:iCs/>
                <w:color w:val="201F1E"/>
              </w:rPr>
              <w:t xml:space="preserve"> Bullard,</w:t>
            </w:r>
            <w:r w:rsidR="00EF6D14" w:rsidRPr="00523E66">
              <w:rPr>
                <w:rFonts w:eastAsiaTheme="minorEastAsia"/>
                <w:i/>
                <w:iCs/>
                <w:color w:val="201F1E"/>
              </w:rPr>
              <w:t xml:space="preserve"> SCE]</w:t>
            </w:r>
          </w:p>
          <w:p w14:paraId="7E71DC54" w14:textId="221212F2" w:rsidR="00EF6D14" w:rsidRPr="00ED774D" w:rsidRDefault="00EF6D14" w:rsidP="00EF6D14">
            <w:pPr>
              <w:pStyle w:val="ListParagraph"/>
              <w:numPr>
                <w:ilvl w:val="0"/>
                <w:numId w:val="19"/>
              </w:numPr>
              <w:spacing w:after="0" w:line="240" w:lineRule="auto"/>
              <w:rPr>
                <w:rFonts w:asciiTheme="minorEastAsia" w:eastAsiaTheme="minorEastAsia" w:hAnsiTheme="minorEastAsia" w:cstheme="minorEastAsia"/>
                <w:b/>
                <w:bCs/>
              </w:rPr>
            </w:pPr>
            <w:r w:rsidRPr="001F30BB">
              <w:rPr>
                <w:rFonts w:eastAsiaTheme="minorEastAsia"/>
                <w:b/>
                <w:bCs/>
              </w:rPr>
              <w:t>Energy Division has concerns that there will not be sufficient time to review the new avoided costs calculator during minor update years and issue a resolution or decision if the updates are determined “</w:t>
            </w:r>
            <w:proofErr w:type="gramStart"/>
            <w:r w:rsidRPr="001F30BB">
              <w:rPr>
                <w:rFonts w:eastAsiaTheme="minorEastAsia"/>
                <w:b/>
                <w:bCs/>
              </w:rPr>
              <w:t>material.“</w:t>
            </w:r>
            <w:proofErr w:type="gramEnd"/>
            <w:r w:rsidRPr="001F30BB">
              <w:rPr>
                <w:rFonts w:eastAsiaTheme="minorEastAsia"/>
                <w:b/>
                <w:bCs/>
              </w:rPr>
              <w:t xml:space="preserve"> Would it be reasonable to forgo implementation of the minor </w:t>
            </w:r>
            <w:r w:rsidRPr="001F30BB">
              <w:rPr>
                <w:rFonts w:eastAsiaTheme="minorEastAsia"/>
                <w:b/>
                <w:bCs/>
                <w:color w:val="201F1E"/>
              </w:rPr>
              <w:t>avoided cost calculator updates?</w:t>
            </w:r>
            <w:r>
              <w:rPr>
                <w:rFonts w:eastAsiaTheme="minorEastAsia"/>
                <w:b/>
                <w:bCs/>
                <w:color w:val="201F1E"/>
              </w:rPr>
              <w:t xml:space="preserve">  </w:t>
            </w:r>
          </w:p>
          <w:p w14:paraId="0C637789" w14:textId="766A49CC" w:rsidR="001F30BB" w:rsidRPr="001F30BB" w:rsidRDefault="001F30BB" w:rsidP="001F30BB">
            <w:pPr>
              <w:pStyle w:val="ListParagraph"/>
              <w:numPr>
                <w:ilvl w:val="0"/>
                <w:numId w:val="19"/>
              </w:numPr>
              <w:spacing w:after="0" w:line="240" w:lineRule="auto"/>
              <w:rPr>
                <w:rFonts w:eastAsiaTheme="minorEastAsia"/>
                <w:b/>
                <w:bCs/>
              </w:rPr>
            </w:pPr>
            <w:r w:rsidRPr="001F30BB">
              <w:rPr>
                <w:rFonts w:eastAsiaTheme="minorEastAsia"/>
                <w:b/>
                <w:bCs/>
              </w:rPr>
              <w:t xml:space="preserve">Should there be a stakeholder process for determining if avoided costs are “material”? What would this look like? </w:t>
            </w:r>
          </w:p>
          <w:p w14:paraId="57A477A2" w14:textId="669E16B6" w:rsidR="001F30BB" w:rsidRPr="001F30BB" w:rsidRDefault="001F30BB" w:rsidP="001F30BB">
            <w:pPr>
              <w:pStyle w:val="ListParagraph"/>
              <w:numPr>
                <w:ilvl w:val="0"/>
                <w:numId w:val="19"/>
              </w:numPr>
              <w:spacing w:after="0" w:line="240" w:lineRule="auto"/>
              <w:rPr>
                <w:rFonts w:eastAsiaTheme="minorEastAsia"/>
                <w:b/>
                <w:bCs/>
              </w:rPr>
            </w:pPr>
            <w:r w:rsidRPr="001F30BB">
              <w:rPr>
                <w:rFonts w:eastAsiaTheme="minorEastAsia"/>
                <w:b/>
                <w:bCs/>
              </w:rPr>
              <w:t xml:space="preserve">Would refreshing avoided costs in a minor update year require a refresh to both electric and gas avoided costs, or could they be refreshed independently? </w:t>
            </w:r>
            <w:r w:rsidR="00EF6D14">
              <w:rPr>
                <w:rFonts w:eastAsiaTheme="minorEastAsia"/>
                <w:b/>
                <w:bCs/>
              </w:rPr>
              <w:t xml:space="preserve"> </w:t>
            </w:r>
          </w:p>
          <w:p w14:paraId="5B8E71CB" w14:textId="77777777" w:rsidR="001F30BB" w:rsidRPr="001F30BB" w:rsidRDefault="001F30BB" w:rsidP="001F30BB">
            <w:pPr>
              <w:pStyle w:val="ListParagraph"/>
              <w:spacing w:after="0" w:line="240" w:lineRule="auto"/>
              <w:ind w:left="0"/>
              <w:rPr>
                <w:rFonts w:eastAsiaTheme="minorEastAsia"/>
                <w:u w:val="single"/>
              </w:rPr>
            </w:pPr>
          </w:p>
          <w:p w14:paraId="5AE485A7" w14:textId="7CE9B3D2" w:rsidR="00493C15" w:rsidRPr="00ED774D" w:rsidRDefault="001F30BB" w:rsidP="00ED774D">
            <w:pPr>
              <w:pStyle w:val="ListParagraph"/>
              <w:spacing w:after="0" w:line="240" w:lineRule="auto"/>
              <w:ind w:left="0"/>
              <w:rPr>
                <w:rFonts w:eastAsiaTheme="minorEastAsia"/>
              </w:rPr>
            </w:pPr>
            <w:r w:rsidRPr="001F30BB">
              <w:rPr>
                <w:rFonts w:eastAsiaTheme="minorEastAsia"/>
                <w:u w:val="single"/>
              </w:rPr>
              <w:t>Other Technical Inputs:</w:t>
            </w:r>
            <w:r w:rsidR="00EF6D14">
              <w:rPr>
                <w:rFonts w:eastAsiaTheme="minorEastAsia"/>
                <w:u w:val="single"/>
              </w:rPr>
              <w:t xml:space="preserve"> </w:t>
            </w:r>
            <w:r w:rsidR="00EF6D14" w:rsidRPr="00523E66">
              <w:rPr>
                <w:rFonts w:eastAsiaTheme="minorEastAsia"/>
                <w:i/>
                <w:iCs/>
                <w:u w:val="single"/>
              </w:rPr>
              <w:t>[</w:t>
            </w:r>
            <w:proofErr w:type="spellStart"/>
            <w:r w:rsidR="00EF6D14" w:rsidRPr="00523E66">
              <w:rPr>
                <w:rFonts w:eastAsiaTheme="minorEastAsia"/>
                <w:i/>
                <w:iCs/>
                <w:u w:val="single"/>
              </w:rPr>
              <w:t>Serj</w:t>
            </w:r>
            <w:proofErr w:type="spellEnd"/>
            <w:r w:rsidR="00493C15" w:rsidRPr="00523E66">
              <w:rPr>
                <w:rFonts w:eastAsiaTheme="minorEastAsia"/>
                <w:i/>
                <w:iCs/>
                <w:u w:val="single"/>
              </w:rPr>
              <w:t xml:space="preserve"> </w:t>
            </w:r>
            <w:proofErr w:type="spellStart"/>
            <w:r w:rsidR="00493C15" w:rsidRPr="00523E66">
              <w:rPr>
                <w:rFonts w:ascii="Calibri" w:hAnsi="Calibri" w:cs="Calibri"/>
                <w:i/>
                <w:iCs/>
                <w:color w:val="000000"/>
              </w:rPr>
              <w:t>Berelson</w:t>
            </w:r>
            <w:proofErr w:type="spellEnd"/>
            <w:r w:rsidR="00493C15" w:rsidRPr="00523E66">
              <w:rPr>
                <w:rFonts w:ascii="Calibri" w:hAnsi="Calibri" w:cs="Calibri"/>
                <w:i/>
                <w:iCs/>
                <w:color w:val="000000"/>
              </w:rPr>
              <w:t>, CEDMC]</w:t>
            </w:r>
          </w:p>
          <w:p w14:paraId="02B060D3" w14:textId="55AB10C7" w:rsidR="001F30BB" w:rsidRPr="001F30BB" w:rsidRDefault="001F30BB" w:rsidP="001F30BB">
            <w:pPr>
              <w:pStyle w:val="ListParagraph"/>
              <w:spacing w:after="0" w:line="240" w:lineRule="auto"/>
              <w:ind w:left="0"/>
              <w:rPr>
                <w:rFonts w:eastAsiaTheme="minorEastAsia"/>
              </w:rPr>
            </w:pPr>
          </w:p>
          <w:p w14:paraId="437F3D98" w14:textId="77777777" w:rsidR="001F30BB" w:rsidRPr="001F30BB" w:rsidRDefault="001F30BB" w:rsidP="001F30BB">
            <w:pPr>
              <w:pStyle w:val="ListParagraph"/>
              <w:numPr>
                <w:ilvl w:val="0"/>
                <w:numId w:val="20"/>
              </w:numPr>
              <w:spacing w:after="0" w:line="240" w:lineRule="auto"/>
              <w:rPr>
                <w:rFonts w:eastAsiaTheme="minorEastAsia"/>
                <w:b/>
                <w:bCs/>
              </w:rPr>
            </w:pPr>
            <w:r w:rsidRPr="001F30BB">
              <w:rPr>
                <w:rFonts w:eastAsiaTheme="minorEastAsia"/>
                <w:b/>
                <w:bCs/>
              </w:rPr>
              <w:t xml:space="preserve">Does the proposal recommend that </w:t>
            </w:r>
            <w:r w:rsidRPr="001F30BB">
              <w:rPr>
                <w:rFonts w:eastAsiaTheme="minorEastAsia"/>
                <w:b/>
                <w:bCs/>
                <w:u w:val="single"/>
              </w:rPr>
              <w:t xml:space="preserve">all </w:t>
            </w:r>
            <w:r w:rsidRPr="001F30BB">
              <w:rPr>
                <w:rFonts w:eastAsiaTheme="minorEastAsia"/>
                <w:b/>
                <w:bCs/>
              </w:rPr>
              <w:t>technical inputs be frozen, or should exceptions be made for any of the following examples: workpaper errors, new technologies, newly available / viable measures based on CPUC decisions?</w:t>
            </w:r>
          </w:p>
          <w:p w14:paraId="036AB9E1" w14:textId="77777777" w:rsidR="001F30BB" w:rsidRPr="001F30BB" w:rsidRDefault="001F30BB" w:rsidP="001F30BB">
            <w:pPr>
              <w:pStyle w:val="ListParagraph"/>
              <w:numPr>
                <w:ilvl w:val="0"/>
                <w:numId w:val="20"/>
              </w:numPr>
              <w:spacing w:after="0" w:line="240" w:lineRule="auto"/>
              <w:rPr>
                <w:rFonts w:eastAsiaTheme="minorEastAsia"/>
                <w:b/>
                <w:bCs/>
              </w:rPr>
            </w:pPr>
            <w:r w:rsidRPr="001F30BB">
              <w:rPr>
                <w:rFonts w:eastAsiaTheme="minorEastAsia"/>
                <w:b/>
                <w:bCs/>
              </w:rPr>
              <w:t>Is it CAEECC’s intention that technical input changes to workpapers and DEER be frozen, even if the changes would result in increased cost effectiveness and energy efficiency savings?</w:t>
            </w:r>
          </w:p>
          <w:p w14:paraId="554F2AA2" w14:textId="27717E26" w:rsidR="001F30BB" w:rsidRPr="001F30BB" w:rsidRDefault="001F30BB" w:rsidP="001F30BB">
            <w:pPr>
              <w:rPr>
                <w:rFonts w:eastAsiaTheme="minorEastAsia"/>
                <w:sz w:val="22"/>
                <w:szCs w:val="22"/>
              </w:rPr>
            </w:pPr>
          </w:p>
        </w:tc>
      </w:tr>
      <w:tr w:rsidR="00EF6D14" w:rsidRPr="009D387F" w14:paraId="387A7C73" w14:textId="77777777" w:rsidTr="001F30BB">
        <w:tc>
          <w:tcPr>
            <w:tcW w:w="1075" w:type="dxa"/>
          </w:tcPr>
          <w:p w14:paraId="3238115F" w14:textId="0E3AEFEE" w:rsidR="00EF6D14" w:rsidRPr="00FE43BC" w:rsidRDefault="00AC6AA7" w:rsidP="001F30BB">
            <w:pPr>
              <w:rPr>
                <w:rFonts w:ascii="Calibri" w:hAnsi="Calibri" w:cs="Calibri"/>
                <w:sz w:val="22"/>
                <w:szCs w:val="22"/>
              </w:rPr>
            </w:pPr>
            <w:r>
              <w:rPr>
                <w:rFonts w:ascii="Calibri" w:hAnsi="Calibri" w:cs="Calibri"/>
                <w:sz w:val="22"/>
                <w:szCs w:val="22"/>
              </w:rPr>
              <w:t>11:40—11:55</w:t>
            </w:r>
          </w:p>
        </w:tc>
        <w:tc>
          <w:tcPr>
            <w:tcW w:w="2520" w:type="dxa"/>
          </w:tcPr>
          <w:p w14:paraId="2BFF48E6" w14:textId="74DF1F3C" w:rsidR="00EF6D14" w:rsidRPr="00FE43BC" w:rsidRDefault="00EF6D14" w:rsidP="001F30BB">
            <w:pPr>
              <w:rPr>
                <w:rFonts w:eastAsiaTheme="minorEastAsia"/>
                <w:b/>
                <w:bCs/>
                <w:sz w:val="22"/>
                <w:szCs w:val="22"/>
              </w:rPr>
            </w:pPr>
            <w:r>
              <w:rPr>
                <w:rFonts w:eastAsiaTheme="minorEastAsia"/>
                <w:b/>
                <w:bCs/>
                <w:sz w:val="22"/>
                <w:szCs w:val="22"/>
              </w:rPr>
              <w:t>Concluding/Summary Discussion</w:t>
            </w:r>
          </w:p>
        </w:tc>
        <w:tc>
          <w:tcPr>
            <w:tcW w:w="8827" w:type="dxa"/>
          </w:tcPr>
          <w:p w14:paraId="28598BDE" w14:textId="77777777" w:rsidR="00493C15" w:rsidRPr="00523E66" w:rsidRDefault="00EF6D14" w:rsidP="001F30BB">
            <w:pPr>
              <w:rPr>
                <w:rFonts w:eastAsiaTheme="minorEastAsia"/>
                <w:i/>
                <w:iCs/>
              </w:rPr>
            </w:pPr>
            <w:r w:rsidRPr="001F30BB">
              <w:rPr>
                <w:rFonts w:eastAsiaTheme="minorEastAsia"/>
                <w:b/>
                <w:bCs/>
              </w:rPr>
              <w:t>Discuss any major challenges you see with transitioning to the revised EE filing processes as proposed in the NRDC filing motion?</w:t>
            </w:r>
            <w:r>
              <w:rPr>
                <w:rFonts w:eastAsiaTheme="minorEastAsia"/>
                <w:b/>
                <w:bCs/>
              </w:rPr>
              <w:t xml:space="preserve"> </w:t>
            </w:r>
            <w:r w:rsidRPr="00523E66">
              <w:rPr>
                <w:rFonts w:eastAsiaTheme="minorEastAsia"/>
                <w:i/>
                <w:iCs/>
              </w:rPr>
              <w:t xml:space="preserve">[Lara </w:t>
            </w:r>
            <w:proofErr w:type="spellStart"/>
            <w:r w:rsidRPr="00523E66">
              <w:rPr>
                <w:rFonts w:eastAsiaTheme="minorEastAsia"/>
                <w:i/>
                <w:iCs/>
              </w:rPr>
              <w:t>Ettenson</w:t>
            </w:r>
            <w:proofErr w:type="spellEnd"/>
            <w:r w:rsidRPr="00523E66">
              <w:rPr>
                <w:rFonts w:eastAsiaTheme="minorEastAsia"/>
                <w:i/>
                <w:iCs/>
              </w:rPr>
              <w:t xml:space="preserve">, NDRC &amp; Laurel </w:t>
            </w:r>
          </w:p>
          <w:p w14:paraId="7B9C5BCB" w14:textId="7FC3825C" w:rsidR="00EF6D14" w:rsidRPr="00ED774D" w:rsidRDefault="00493C15" w:rsidP="001F30BB">
            <w:pPr>
              <w:rPr>
                <w:rFonts w:ascii="Calibri" w:hAnsi="Calibri" w:cs="Calibri"/>
                <w:color w:val="000000"/>
              </w:rPr>
            </w:pPr>
            <w:r w:rsidRPr="00523E66">
              <w:rPr>
                <w:rFonts w:ascii="Calibri" w:hAnsi="Calibri" w:cs="Calibri"/>
                <w:i/>
                <w:iCs/>
                <w:color w:val="000000"/>
              </w:rPr>
              <w:t>Rothschild, The Energy Coalition]</w:t>
            </w:r>
          </w:p>
        </w:tc>
      </w:tr>
      <w:tr w:rsidR="001F30BB" w:rsidRPr="009D387F" w14:paraId="2D89D810" w14:textId="77777777" w:rsidTr="001F30BB">
        <w:tc>
          <w:tcPr>
            <w:tcW w:w="1075" w:type="dxa"/>
          </w:tcPr>
          <w:p w14:paraId="365ADB00" w14:textId="6BA2AEA8" w:rsidR="001F30BB" w:rsidRPr="00063880" w:rsidRDefault="001F30BB" w:rsidP="001F30BB">
            <w:pPr>
              <w:rPr>
                <w:rFonts w:ascii="Calibri" w:hAnsi="Calibri" w:cs="Calibri"/>
                <w:sz w:val="22"/>
                <w:szCs w:val="22"/>
              </w:rPr>
            </w:pPr>
            <w:r>
              <w:rPr>
                <w:rFonts w:ascii="Calibri" w:hAnsi="Calibri" w:cs="Calibri"/>
                <w:sz w:val="22"/>
                <w:szCs w:val="22"/>
              </w:rPr>
              <w:t>11</w:t>
            </w:r>
            <w:r w:rsidRPr="00FE43BC">
              <w:rPr>
                <w:rFonts w:ascii="Calibri" w:hAnsi="Calibri" w:cs="Calibri"/>
                <w:sz w:val="22"/>
                <w:szCs w:val="22"/>
              </w:rPr>
              <w:t>:5</w:t>
            </w:r>
            <w:r w:rsidR="00AC6AA7">
              <w:rPr>
                <w:rFonts w:ascii="Calibri" w:hAnsi="Calibri" w:cs="Calibri"/>
                <w:sz w:val="22"/>
                <w:szCs w:val="22"/>
              </w:rPr>
              <w:t>5</w:t>
            </w:r>
            <w:r w:rsidRPr="00FE43BC">
              <w:rPr>
                <w:rFonts w:ascii="Calibri" w:hAnsi="Calibri" w:cs="Calibri"/>
                <w:sz w:val="22"/>
                <w:szCs w:val="22"/>
              </w:rPr>
              <w:t xml:space="preserve"> – </w:t>
            </w:r>
            <w:r>
              <w:rPr>
                <w:rFonts w:ascii="Calibri" w:hAnsi="Calibri" w:cs="Calibri"/>
                <w:sz w:val="22"/>
                <w:szCs w:val="22"/>
              </w:rPr>
              <w:t>12</w:t>
            </w:r>
            <w:r w:rsidRPr="00FE43BC">
              <w:rPr>
                <w:rFonts w:ascii="Calibri" w:hAnsi="Calibri" w:cs="Calibri"/>
                <w:sz w:val="22"/>
                <w:szCs w:val="22"/>
              </w:rPr>
              <w:t xml:space="preserve">:00 pm  </w:t>
            </w:r>
          </w:p>
        </w:tc>
        <w:tc>
          <w:tcPr>
            <w:tcW w:w="2520" w:type="dxa"/>
          </w:tcPr>
          <w:p w14:paraId="42E35C23" w14:textId="0F0C12E0" w:rsidR="001F30BB" w:rsidRPr="009D387F" w:rsidRDefault="001F30BB" w:rsidP="001F30BB">
            <w:pPr>
              <w:rPr>
                <w:rFonts w:ascii="Calibri" w:hAnsi="Calibri" w:cs="Calibri"/>
                <w:b/>
                <w:bCs/>
                <w:sz w:val="22"/>
                <w:szCs w:val="22"/>
              </w:rPr>
            </w:pPr>
            <w:r w:rsidRPr="009D387F">
              <w:rPr>
                <w:rFonts w:ascii="Calibri" w:hAnsi="Calibri" w:cs="Calibri"/>
                <w:b/>
                <w:bCs/>
                <w:sz w:val="22"/>
                <w:szCs w:val="22"/>
              </w:rPr>
              <w:t>Wrap Up &amp; Next Steps</w:t>
            </w:r>
          </w:p>
        </w:tc>
        <w:tc>
          <w:tcPr>
            <w:tcW w:w="8827" w:type="dxa"/>
          </w:tcPr>
          <w:p w14:paraId="275293D7" w14:textId="67C0A504" w:rsidR="001F30BB" w:rsidRPr="009D387F" w:rsidRDefault="001F30BB" w:rsidP="001F30BB">
            <w:pPr>
              <w:rPr>
                <w:rFonts w:ascii="Calibri" w:hAnsi="Calibri" w:cs="Calibri"/>
                <w:sz w:val="22"/>
                <w:szCs w:val="22"/>
              </w:rPr>
            </w:pPr>
          </w:p>
        </w:tc>
      </w:tr>
    </w:tbl>
    <w:p w14:paraId="10BA38E5" w14:textId="77777777" w:rsidR="00AA24C6" w:rsidRPr="009D387F" w:rsidRDefault="00AA24C6">
      <w:pPr>
        <w:rPr>
          <w:rFonts w:ascii="Calibri" w:hAnsi="Calibri" w:cs="Calibri"/>
        </w:rPr>
      </w:pPr>
    </w:p>
    <w:sectPr w:rsidR="00AA24C6" w:rsidRPr="009D387F" w:rsidSect="00733E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7F7B"/>
    <w:multiLevelType w:val="hybridMultilevel"/>
    <w:tmpl w:val="CABE6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5735A3"/>
    <w:multiLevelType w:val="hybridMultilevel"/>
    <w:tmpl w:val="4EBACAA4"/>
    <w:lvl w:ilvl="0" w:tplc="0B3E9E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3466"/>
    <w:multiLevelType w:val="hybridMultilevel"/>
    <w:tmpl w:val="555AF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F67A1"/>
    <w:multiLevelType w:val="hybridMultilevel"/>
    <w:tmpl w:val="2F4864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630" w:hanging="360"/>
      </w:pPr>
      <w:rPr>
        <w:rFonts w:ascii="Symbol" w:hAnsi="Symbol" w:hint="default"/>
      </w:rPr>
    </w:lvl>
    <w:lvl w:ilvl="3" w:tplc="FFFFFFFF" w:tentative="1">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F4F45"/>
    <w:multiLevelType w:val="hybridMultilevel"/>
    <w:tmpl w:val="9DAA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E1A3C"/>
    <w:multiLevelType w:val="hybridMultilevel"/>
    <w:tmpl w:val="555AF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01725"/>
    <w:multiLevelType w:val="hybridMultilevel"/>
    <w:tmpl w:val="555AF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796E19"/>
    <w:multiLevelType w:val="multilevel"/>
    <w:tmpl w:val="11D2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20A65"/>
    <w:multiLevelType w:val="hybridMultilevel"/>
    <w:tmpl w:val="FFFFFFFF"/>
    <w:lvl w:ilvl="0" w:tplc="107E3562">
      <w:start w:val="1"/>
      <w:numFmt w:val="bullet"/>
      <w:lvlText w:val=""/>
      <w:lvlJc w:val="left"/>
      <w:pPr>
        <w:ind w:left="720" w:hanging="360"/>
      </w:pPr>
      <w:rPr>
        <w:rFonts w:ascii="Symbol" w:hAnsi="Symbol" w:hint="default"/>
      </w:rPr>
    </w:lvl>
    <w:lvl w:ilvl="1" w:tplc="621086B0">
      <w:start w:val="1"/>
      <w:numFmt w:val="bullet"/>
      <w:lvlText w:val="o"/>
      <w:lvlJc w:val="left"/>
      <w:pPr>
        <w:ind w:left="1440" w:hanging="360"/>
      </w:pPr>
      <w:rPr>
        <w:rFonts w:ascii="Courier New" w:hAnsi="Courier New" w:hint="default"/>
      </w:rPr>
    </w:lvl>
    <w:lvl w:ilvl="2" w:tplc="9ED244BA">
      <w:start w:val="1"/>
      <w:numFmt w:val="bullet"/>
      <w:lvlText w:val=""/>
      <w:lvlJc w:val="left"/>
      <w:pPr>
        <w:ind w:left="1080" w:hanging="360"/>
      </w:pPr>
      <w:rPr>
        <w:rFonts w:ascii="Wingdings" w:hAnsi="Wingdings" w:hint="default"/>
      </w:rPr>
    </w:lvl>
    <w:lvl w:ilvl="3" w:tplc="00227716">
      <w:start w:val="1"/>
      <w:numFmt w:val="bullet"/>
      <w:lvlText w:val=""/>
      <w:lvlJc w:val="left"/>
      <w:pPr>
        <w:ind w:left="2880" w:hanging="360"/>
      </w:pPr>
      <w:rPr>
        <w:rFonts w:ascii="Symbol" w:hAnsi="Symbol" w:hint="default"/>
      </w:rPr>
    </w:lvl>
    <w:lvl w:ilvl="4" w:tplc="F9582650">
      <w:start w:val="1"/>
      <w:numFmt w:val="bullet"/>
      <w:lvlText w:val="o"/>
      <w:lvlJc w:val="left"/>
      <w:pPr>
        <w:ind w:left="3600" w:hanging="360"/>
      </w:pPr>
      <w:rPr>
        <w:rFonts w:ascii="Courier New" w:hAnsi="Courier New" w:hint="default"/>
      </w:rPr>
    </w:lvl>
    <w:lvl w:ilvl="5" w:tplc="4230985E">
      <w:start w:val="1"/>
      <w:numFmt w:val="bullet"/>
      <w:lvlText w:val=""/>
      <w:lvlJc w:val="left"/>
      <w:pPr>
        <w:ind w:left="4320" w:hanging="360"/>
      </w:pPr>
      <w:rPr>
        <w:rFonts w:ascii="Wingdings" w:hAnsi="Wingdings" w:hint="default"/>
      </w:rPr>
    </w:lvl>
    <w:lvl w:ilvl="6" w:tplc="F1363ABC">
      <w:start w:val="1"/>
      <w:numFmt w:val="bullet"/>
      <w:lvlText w:val=""/>
      <w:lvlJc w:val="left"/>
      <w:pPr>
        <w:ind w:left="5040" w:hanging="360"/>
      </w:pPr>
      <w:rPr>
        <w:rFonts w:ascii="Symbol" w:hAnsi="Symbol" w:hint="default"/>
      </w:rPr>
    </w:lvl>
    <w:lvl w:ilvl="7" w:tplc="874A8482">
      <w:start w:val="1"/>
      <w:numFmt w:val="bullet"/>
      <w:lvlText w:val="o"/>
      <w:lvlJc w:val="left"/>
      <w:pPr>
        <w:ind w:left="5760" w:hanging="360"/>
      </w:pPr>
      <w:rPr>
        <w:rFonts w:ascii="Courier New" w:hAnsi="Courier New" w:hint="default"/>
      </w:rPr>
    </w:lvl>
    <w:lvl w:ilvl="8" w:tplc="FDE4D3E0">
      <w:start w:val="1"/>
      <w:numFmt w:val="bullet"/>
      <w:lvlText w:val=""/>
      <w:lvlJc w:val="left"/>
      <w:pPr>
        <w:ind w:left="6480" w:hanging="360"/>
      </w:pPr>
      <w:rPr>
        <w:rFonts w:ascii="Wingdings" w:hAnsi="Wingdings" w:hint="default"/>
      </w:rPr>
    </w:lvl>
  </w:abstractNum>
  <w:abstractNum w:abstractNumId="9" w15:restartNumberingAfterBreak="0">
    <w:nsid w:val="3E783B09"/>
    <w:multiLevelType w:val="hybridMultilevel"/>
    <w:tmpl w:val="555AF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A27EB7"/>
    <w:multiLevelType w:val="hybridMultilevel"/>
    <w:tmpl w:val="02DCF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940DD"/>
    <w:multiLevelType w:val="hybridMultilevel"/>
    <w:tmpl w:val="4F98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10084"/>
    <w:multiLevelType w:val="hybridMultilevel"/>
    <w:tmpl w:val="EFEE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00A1A"/>
    <w:multiLevelType w:val="hybridMultilevel"/>
    <w:tmpl w:val="13B2053A"/>
    <w:lvl w:ilvl="0" w:tplc="BFFA6618">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F4D3C"/>
    <w:multiLevelType w:val="hybridMultilevel"/>
    <w:tmpl w:val="FFFFFFFF"/>
    <w:lvl w:ilvl="0" w:tplc="99746610">
      <w:start w:val="1"/>
      <w:numFmt w:val="bullet"/>
      <w:lvlText w:val="o"/>
      <w:lvlJc w:val="left"/>
      <w:pPr>
        <w:ind w:left="720" w:hanging="360"/>
      </w:pPr>
      <w:rPr>
        <w:rFonts w:ascii="Courier New" w:hAnsi="Courier New" w:hint="default"/>
      </w:rPr>
    </w:lvl>
    <w:lvl w:ilvl="1" w:tplc="0C486E5E">
      <w:start w:val="1"/>
      <w:numFmt w:val="bullet"/>
      <w:lvlText w:val="o"/>
      <w:lvlJc w:val="left"/>
      <w:pPr>
        <w:ind w:left="1440" w:hanging="360"/>
      </w:pPr>
      <w:rPr>
        <w:rFonts w:ascii="Courier New" w:hAnsi="Courier New" w:hint="default"/>
      </w:rPr>
    </w:lvl>
    <w:lvl w:ilvl="2" w:tplc="816A48D4">
      <w:start w:val="1"/>
      <w:numFmt w:val="bullet"/>
      <w:lvlText w:val=""/>
      <w:lvlJc w:val="left"/>
      <w:pPr>
        <w:ind w:left="2160" w:hanging="360"/>
      </w:pPr>
      <w:rPr>
        <w:rFonts w:ascii="Wingdings" w:hAnsi="Wingdings" w:hint="default"/>
      </w:rPr>
    </w:lvl>
    <w:lvl w:ilvl="3" w:tplc="45264916">
      <w:start w:val="1"/>
      <w:numFmt w:val="bullet"/>
      <w:lvlText w:val=""/>
      <w:lvlJc w:val="left"/>
      <w:pPr>
        <w:ind w:left="2880" w:hanging="360"/>
      </w:pPr>
      <w:rPr>
        <w:rFonts w:ascii="Symbol" w:hAnsi="Symbol" w:hint="default"/>
      </w:rPr>
    </w:lvl>
    <w:lvl w:ilvl="4" w:tplc="2D56C7B2">
      <w:start w:val="1"/>
      <w:numFmt w:val="bullet"/>
      <w:lvlText w:val="o"/>
      <w:lvlJc w:val="left"/>
      <w:pPr>
        <w:ind w:left="3600" w:hanging="360"/>
      </w:pPr>
      <w:rPr>
        <w:rFonts w:ascii="Courier New" w:hAnsi="Courier New" w:hint="default"/>
      </w:rPr>
    </w:lvl>
    <w:lvl w:ilvl="5" w:tplc="6CBA8730">
      <w:start w:val="1"/>
      <w:numFmt w:val="bullet"/>
      <w:lvlText w:val=""/>
      <w:lvlJc w:val="left"/>
      <w:pPr>
        <w:ind w:left="4320" w:hanging="360"/>
      </w:pPr>
      <w:rPr>
        <w:rFonts w:ascii="Wingdings" w:hAnsi="Wingdings" w:hint="default"/>
      </w:rPr>
    </w:lvl>
    <w:lvl w:ilvl="6" w:tplc="D17C1110">
      <w:start w:val="1"/>
      <w:numFmt w:val="bullet"/>
      <w:lvlText w:val=""/>
      <w:lvlJc w:val="left"/>
      <w:pPr>
        <w:ind w:left="5040" w:hanging="360"/>
      </w:pPr>
      <w:rPr>
        <w:rFonts w:ascii="Symbol" w:hAnsi="Symbol" w:hint="default"/>
      </w:rPr>
    </w:lvl>
    <w:lvl w:ilvl="7" w:tplc="1310C758">
      <w:start w:val="1"/>
      <w:numFmt w:val="bullet"/>
      <w:lvlText w:val="o"/>
      <w:lvlJc w:val="left"/>
      <w:pPr>
        <w:ind w:left="5760" w:hanging="360"/>
      </w:pPr>
      <w:rPr>
        <w:rFonts w:ascii="Courier New" w:hAnsi="Courier New" w:hint="default"/>
      </w:rPr>
    </w:lvl>
    <w:lvl w:ilvl="8" w:tplc="3962D856">
      <w:start w:val="1"/>
      <w:numFmt w:val="bullet"/>
      <w:lvlText w:val=""/>
      <w:lvlJc w:val="left"/>
      <w:pPr>
        <w:ind w:left="6480" w:hanging="360"/>
      </w:pPr>
      <w:rPr>
        <w:rFonts w:ascii="Wingdings" w:hAnsi="Wingdings" w:hint="default"/>
      </w:rPr>
    </w:lvl>
  </w:abstractNum>
  <w:abstractNum w:abstractNumId="15" w15:restartNumberingAfterBreak="0">
    <w:nsid w:val="4FCD34EE"/>
    <w:multiLevelType w:val="hybridMultilevel"/>
    <w:tmpl w:val="B89A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B7A21"/>
    <w:multiLevelType w:val="hybridMultilevel"/>
    <w:tmpl w:val="432C65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677644"/>
    <w:multiLevelType w:val="hybridMultilevel"/>
    <w:tmpl w:val="D2CC7ACE"/>
    <w:lvl w:ilvl="0" w:tplc="FFFFFFFF">
      <w:start w:val="1"/>
      <w:numFmt w:val="bullet"/>
      <w:lvlText w:val="o"/>
      <w:lvlJc w:val="left"/>
      <w:pPr>
        <w:ind w:left="144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B2498"/>
    <w:multiLevelType w:val="hybridMultilevel"/>
    <w:tmpl w:val="ED00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6662FE"/>
    <w:multiLevelType w:val="hybridMultilevel"/>
    <w:tmpl w:val="8D6CC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71F5F"/>
    <w:multiLevelType w:val="hybridMultilevel"/>
    <w:tmpl w:val="FFFFFFFF"/>
    <w:lvl w:ilvl="0" w:tplc="8D22E128">
      <w:start w:val="1"/>
      <w:numFmt w:val="bullet"/>
      <w:lvlText w:val="o"/>
      <w:lvlJc w:val="left"/>
      <w:pPr>
        <w:ind w:left="720" w:hanging="360"/>
      </w:pPr>
      <w:rPr>
        <w:rFonts w:ascii="Courier New" w:hAnsi="Courier New" w:hint="default"/>
      </w:rPr>
    </w:lvl>
    <w:lvl w:ilvl="1" w:tplc="3558F0D2">
      <w:start w:val="1"/>
      <w:numFmt w:val="bullet"/>
      <w:lvlText w:val="o"/>
      <w:lvlJc w:val="left"/>
      <w:pPr>
        <w:ind w:left="1440" w:hanging="360"/>
      </w:pPr>
      <w:rPr>
        <w:rFonts w:ascii="Courier New" w:hAnsi="Courier New" w:hint="default"/>
      </w:rPr>
    </w:lvl>
    <w:lvl w:ilvl="2" w:tplc="34E0E6A8">
      <w:start w:val="1"/>
      <w:numFmt w:val="bullet"/>
      <w:lvlText w:val=""/>
      <w:lvlJc w:val="left"/>
      <w:pPr>
        <w:ind w:left="2160" w:hanging="360"/>
      </w:pPr>
      <w:rPr>
        <w:rFonts w:ascii="Wingdings" w:hAnsi="Wingdings" w:hint="default"/>
      </w:rPr>
    </w:lvl>
    <w:lvl w:ilvl="3" w:tplc="6EDC8D1E">
      <w:start w:val="1"/>
      <w:numFmt w:val="bullet"/>
      <w:lvlText w:val=""/>
      <w:lvlJc w:val="left"/>
      <w:pPr>
        <w:ind w:left="2880" w:hanging="360"/>
      </w:pPr>
      <w:rPr>
        <w:rFonts w:ascii="Symbol" w:hAnsi="Symbol" w:hint="default"/>
      </w:rPr>
    </w:lvl>
    <w:lvl w:ilvl="4" w:tplc="5BD4348E">
      <w:start w:val="1"/>
      <w:numFmt w:val="bullet"/>
      <w:lvlText w:val="o"/>
      <w:lvlJc w:val="left"/>
      <w:pPr>
        <w:ind w:left="3600" w:hanging="360"/>
      </w:pPr>
      <w:rPr>
        <w:rFonts w:ascii="Courier New" w:hAnsi="Courier New" w:hint="default"/>
      </w:rPr>
    </w:lvl>
    <w:lvl w:ilvl="5" w:tplc="9A88D47E">
      <w:start w:val="1"/>
      <w:numFmt w:val="bullet"/>
      <w:lvlText w:val=""/>
      <w:lvlJc w:val="left"/>
      <w:pPr>
        <w:ind w:left="4320" w:hanging="360"/>
      </w:pPr>
      <w:rPr>
        <w:rFonts w:ascii="Wingdings" w:hAnsi="Wingdings" w:hint="default"/>
      </w:rPr>
    </w:lvl>
    <w:lvl w:ilvl="6" w:tplc="8BCEE006">
      <w:start w:val="1"/>
      <w:numFmt w:val="bullet"/>
      <w:lvlText w:val=""/>
      <w:lvlJc w:val="left"/>
      <w:pPr>
        <w:ind w:left="5040" w:hanging="360"/>
      </w:pPr>
      <w:rPr>
        <w:rFonts w:ascii="Symbol" w:hAnsi="Symbol" w:hint="default"/>
      </w:rPr>
    </w:lvl>
    <w:lvl w:ilvl="7" w:tplc="D7AA57EA">
      <w:start w:val="1"/>
      <w:numFmt w:val="bullet"/>
      <w:lvlText w:val="o"/>
      <w:lvlJc w:val="left"/>
      <w:pPr>
        <w:ind w:left="5760" w:hanging="360"/>
      </w:pPr>
      <w:rPr>
        <w:rFonts w:ascii="Courier New" w:hAnsi="Courier New" w:hint="default"/>
      </w:rPr>
    </w:lvl>
    <w:lvl w:ilvl="8" w:tplc="2320F67C">
      <w:start w:val="1"/>
      <w:numFmt w:val="bullet"/>
      <w:lvlText w:val=""/>
      <w:lvlJc w:val="left"/>
      <w:pPr>
        <w:ind w:left="6480" w:hanging="360"/>
      </w:pPr>
      <w:rPr>
        <w:rFonts w:ascii="Wingdings" w:hAnsi="Wingdings" w:hint="default"/>
      </w:rPr>
    </w:lvl>
  </w:abstractNum>
  <w:abstractNum w:abstractNumId="21" w15:restartNumberingAfterBreak="0">
    <w:nsid w:val="68DD33F9"/>
    <w:multiLevelType w:val="hybridMultilevel"/>
    <w:tmpl w:val="26E2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91D0B"/>
    <w:multiLevelType w:val="hybridMultilevel"/>
    <w:tmpl w:val="FFFFFFFF"/>
    <w:lvl w:ilvl="0" w:tplc="E6A04E3A">
      <w:start w:val="1"/>
      <w:numFmt w:val="bullet"/>
      <w:lvlText w:val=""/>
      <w:lvlJc w:val="left"/>
      <w:pPr>
        <w:ind w:left="360" w:hanging="360"/>
      </w:pPr>
      <w:rPr>
        <w:rFonts w:ascii="Symbol" w:hAnsi="Symbol" w:hint="default"/>
      </w:rPr>
    </w:lvl>
    <w:lvl w:ilvl="1" w:tplc="86BC6004">
      <w:start w:val="1"/>
      <w:numFmt w:val="bullet"/>
      <w:lvlText w:val="o"/>
      <w:lvlJc w:val="left"/>
      <w:pPr>
        <w:ind w:left="1080" w:hanging="360"/>
      </w:pPr>
      <w:rPr>
        <w:rFonts w:ascii="Courier New" w:hAnsi="Courier New" w:hint="default"/>
      </w:rPr>
    </w:lvl>
    <w:lvl w:ilvl="2" w:tplc="171CFFE0">
      <w:start w:val="1"/>
      <w:numFmt w:val="bullet"/>
      <w:lvlText w:val=""/>
      <w:lvlJc w:val="left"/>
      <w:pPr>
        <w:ind w:left="1800" w:hanging="360"/>
      </w:pPr>
      <w:rPr>
        <w:rFonts w:ascii="Wingdings" w:hAnsi="Wingdings" w:hint="default"/>
      </w:rPr>
    </w:lvl>
    <w:lvl w:ilvl="3" w:tplc="D84C829C">
      <w:start w:val="1"/>
      <w:numFmt w:val="bullet"/>
      <w:lvlText w:val=""/>
      <w:lvlJc w:val="left"/>
      <w:pPr>
        <w:ind w:left="2520" w:hanging="360"/>
      </w:pPr>
      <w:rPr>
        <w:rFonts w:ascii="Symbol" w:hAnsi="Symbol" w:hint="default"/>
      </w:rPr>
    </w:lvl>
    <w:lvl w:ilvl="4" w:tplc="0ADE3F1E">
      <w:start w:val="1"/>
      <w:numFmt w:val="bullet"/>
      <w:lvlText w:val="o"/>
      <w:lvlJc w:val="left"/>
      <w:pPr>
        <w:ind w:left="3240" w:hanging="360"/>
      </w:pPr>
      <w:rPr>
        <w:rFonts w:ascii="Courier New" w:hAnsi="Courier New" w:hint="default"/>
      </w:rPr>
    </w:lvl>
    <w:lvl w:ilvl="5" w:tplc="B1F8F9EC">
      <w:start w:val="1"/>
      <w:numFmt w:val="bullet"/>
      <w:lvlText w:val=""/>
      <w:lvlJc w:val="left"/>
      <w:pPr>
        <w:ind w:left="3960" w:hanging="360"/>
      </w:pPr>
      <w:rPr>
        <w:rFonts w:ascii="Wingdings" w:hAnsi="Wingdings" w:hint="default"/>
      </w:rPr>
    </w:lvl>
    <w:lvl w:ilvl="6" w:tplc="766A1EB8">
      <w:start w:val="1"/>
      <w:numFmt w:val="bullet"/>
      <w:lvlText w:val=""/>
      <w:lvlJc w:val="left"/>
      <w:pPr>
        <w:ind w:left="4680" w:hanging="360"/>
      </w:pPr>
      <w:rPr>
        <w:rFonts w:ascii="Symbol" w:hAnsi="Symbol" w:hint="default"/>
      </w:rPr>
    </w:lvl>
    <w:lvl w:ilvl="7" w:tplc="CDAAA858">
      <w:start w:val="1"/>
      <w:numFmt w:val="bullet"/>
      <w:lvlText w:val="o"/>
      <w:lvlJc w:val="left"/>
      <w:pPr>
        <w:ind w:left="5400" w:hanging="360"/>
      </w:pPr>
      <w:rPr>
        <w:rFonts w:ascii="Courier New" w:hAnsi="Courier New" w:hint="default"/>
      </w:rPr>
    </w:lvl>
    <w:lvl w:ilvl="8" w:tplc="A81837F0">
      <w:start w:val="1"/>
      <w:numFmt w:val="bullet"/>
      <w:lvlText w:val=""/>
      <w:lvlJc w:val="left"/>
      <w:pPr>
        <w:ind w:left="6120" w:hanging="360"/>
      </w:pPr>
      <w:rPr>
        <w:rFonts w:ascii="Wingdings" w:hAnsi="Wingdings" w:hint="default"/>
      </w:rPr>
    </w:lvl>
  </w:abstractNum>
  <w:abstractNum w:abstractNumId="23" w15:restartNumberingAfterBreak="0">
    <w:nsid w:val="6D5B1909"/>
    <w:multiLevelType w:val="hybridMultilevel"/>
    <w:tmpl w:val="608C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531DD"/>
    <w:multiLevelType w:val="hybridMultilevel"/>
    <w:tmpl w:val="555AF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378D8"/>
    <w:multiLevelType w:val="hybridMultilevel"/>
    <w:tmpl w:val="FFFFFFFF"/>
    <w:lvl w:ilvl="0" w:tplc="6C4C01A8">
      <w:start w:val="1"/>
      <w:numFmt w:val="bullet"/>
      <w:lvlText w:val=""/>
      <w:lvlJc w:val="left"/>
      <w:pPr>
        <w:ind w:left="720" w:hanging="360"/>
      </w:pPr>
      <w:rPr>
        <w:rFonts w:ascii="Symbol" w:hAnsi="Symbol" w:hint="default"/>
      </w:rPr>
    </w:lvl>
    <w:lvl w:ilvl="1" w:tplc="0A468CDE">
      <w:start w:val="1"/>
      <w:numFmt w:val="bullet"/>
      <w:lvlText w:val="o"/>
      <w:lvlJc w:val="left"/>
      <w:pPr>
        <w:ind w:left="1440" w:hanging="360"/>
      </w:pPr>
      <w:rPr>
        <w:rFonts w:ascii="Courier New" w:hAnsi="Courier New" w:hint="default"/>
      </w:rPr>
    </w:lvl>
    <w:lvl w:ilvl="2" w:tplc="93EC5F16">
      <w:start w:val="1"/>
      <w:numFmt w:val="bullet"/>
      <w:lvlText w:val=""/>
      <w:lvlJc w:val="left"/>
      <w:pPr>
        <w:ind w:left="2160" w:hanging="360"/>
      </w:pPr>
      <w:rPr>
        <w:rFonts w:ascii="Wingdings" w:hAnsi="Wingdings" w:hint="default"/>
      </w:rPr>
    </w:lvl>
    <w:lvl w:ilvl="3" w:tplc="442CA64A">
      <w:start w:val="1"/>
      <w:numFmt w:val="bullet"/>
      <w:lvlText w:val=""/>
      <w:lvlJc w:val="left"/>
      <w:pPr>
        <w:ind w:left="2880" w:hanging="360"/>
      </w:pPr>
      <w:rPr>
        <w:rFonts w:ascii="Symbol" w:hAnsi="Symbol" w:hint="default"/>
      </w:rPr>
    </w:lvl>
    <w:lvl w:ilvl="4" w:tplc="E6B68890">
      <w:start w:val="1"/>
      <w:numFmt w:val="bullet"/>
      <w:lvlText w:val="o"/>
      <w:lvlJc w:val="left"/>
      <w:pPr>
        <w:ind w:left="3600" w:hanging="360"/>
      </w:pPr>
      <w:rPr>
        <w:rFonts w:ascii="Courier New" w:hAnsi="Courier New" w:hint="default"/>
      </w:rPr>
    </w:lvl>
    <w:lvl w:ilvl="5" w:tplc="97E837DE">
      <w:start w:val="1"/>
      <w:numFmt w:val="bullet"/>
      <w:lvlText w:val=""/>
      <w:lvlJc w:val="left"/>
      <w:pPr>
        <w:ind w:left="4320" w:hanging="360"/>
      </w:pPr>
      <w:rPr>
        <w:rFonts w:ascii="Wingdings" w:hAnsi="Wingdings" w:hint="default"/>
      </w:rPr>
    </w:lvl>
    <w:lvl w:ilvl="6" w:tplc="88548E98">
      <w:start w:val="1"/>
      <w:numFmt w:val="bullet"/>
      <w:lvlText w:val=""/>
      <w:lvlJc w:val="left"/>
      <w:pPr>
        <w:ind w:left="5040" w:hanging="360"/>
      </w:pPr>
      <w:rPr>
        <w:rFonts w:ascii="Symbol" w:hAnsi="Symbol" w:hint="default"/>
      </w:rPr>
    </w:lvl>
    <w:lvl w:ilvl="7" w:tplc="ED38FA96">
      <w:start w:val="1"/>
      <w:numFmt w:val="bullet"/>
      <w:lvlText w:val="o"/>
      <w:lvlJc w:val="left"/>
      <w:pPr>
        <w:ind w:left="5760" w:hanging="360"/>
      </w:pPr>
      <w:rPr>
        <w:rFonts w:ascii="Courier New" w:hAnsi="Courier New" w:hint="default"/>
      </w:rPr>
    </w:lvl>
    <w:lvl w:ilvl="8" w:tplc="07A6A7A4">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9"/>
  </w:num>
  <w:num w:numId="4">
    <w:abstractNumId w:val="2"/>
  </w:num>
  <w:num w:numId="5">
    <w:abstractNumId w:val="24"/>
  </w:num>
  <w:num w:numId="6">
    <w:abstractNumId w:val="6"/>
  </w:num>
  <w:num w:numId="7">
    <w:abstractNumId w:val="9"/>
  </w:num>
  <w:num w:numId="8">
    <w:abstractNumId w:val="0"/>
  </w:num>
  <w:num w:numId="9">
    <w:abstractNumId w:val="21"/>
  </w:num>
  <w:num w:numId="10">
    <w:abstractNumId w:val="20"/>
  </w:num>
  <w:num w:numId="11">
    <w:abstractNumId w:val="14"/>
  </w:num>
  <w:num w:numId="12">
    <w:abstractNumId w:val="22"/>
  </w:num>
  <w:num w:numId="13">
    <w:abstractNumId w:val="10"/>
  </w:num>
  <w:num w:numId="14">
    <w:abstractNumId w:val="18"/>
  </w:num>
  <w:num w:numId="15">
    <w:abstractNumId w:val="12"/>
  </w:num>
  <w:num w:numId="16">
    <w:abstractNumId w:val="16"/>
  </w:num>
  <w:num w:numId="17">
    <w:abstractNumId w:val="3"/>
  </w:num>
  <w:num w:numId="18">
    <w:abstractNumId w:val="8"/>
  </w:num>
  <w:num w:numId="19">
    <w:abstractNumId w:val="17"/>
  </w:num>
  <w:num w:numId="20">
    <w:abstractNumId w:val="25"/>
  </w:num>
  <w:num w:numId="21">
    <w:abstractNumId w:val="11"/>
  </w:num>
  <w:num w:numId="22">
    <w:abstractNumId w:val="1"/>
  </w:num>
  <w:num w:numId="23">
    <w:abstractNumId w:val="13"/>
  </w:num>
  <w:num w:numId="24">
    <w:abstractNumId w:val="23"/>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28"/>
    <w:rsid w:val="00040625"/>
    <w:rsid w:val="0004552E"/>
    <w:rsid w:val="00063880"/>
    <w:rsid w:val="000F4571"/>
    <w:rsid w:val="000F757C"/>
    <w:rsid w:val="001000F6"/>
    <w:rsid w:val="0010623D"/>
    <w:rsid w:val="001E537E"/>
    <w:rsid w:val="001F30BB"/>
    <w:rsid w:val="001F6B55"/>
    <w:rsid w:val="002362D9"/>
    <w:rsid w:val="0026364E"/>
    <w:rsid w:val="002B13EC"/>
    <w:rsid w:val="002E7DDA"/>
    <w:rsid w:val="00321E80"/>
    <w:rsid w:val="00342476"/>
    <w:rsid w:val="0038136C"/>
    <w:rsid w:val="00493C15"/>
    <w:rsid w:val="00523E66"/>
    <w:rsid w:val="00540AB6"/>
    <w:rsid w:val="0056006E"/>
    <w:rsid w:val="0056265E"/>
    <w:rsid w:val="00587509"/>
    <w:rsid w:val="005F27C0"/>
    <w:rsid w:val="00612C1D"/>
    <w:rsid w:val="00617F91"/>
    <w:rsid w:val="006479F1"/>
    <w:rsid w:val="0066175E"/>
    <w:rsid w:val="00674CA1"/>
    <w:rsid w:val="00733B8C"/>
    <w:rsid w:val="00733EFB"/>
    <w:rsid w:val="00745B31"/>
    <w:rsid w:val="00745F71"/>
    <w:rsid w:val="007A4E01"/>
    <w:rsid w:val="007D3E28"/>
    <w:rsid w:val="007D547D"/>
    <w:rsid w:val="007D78A2"/>
    <w:rsid w:val="007E0DEA"/>
    <w:rsid w:val="00844020"/>
    <w:rsid w:val="00846D6B"/>
    <w:rsid w:val="00854E53"/>
    <w:rsid w:val="00883302"/>
    <w:rsid w:val="008A09F9"/>
    <w:rsid w:val="008A30BC"/>
    <w:rsid w:val="008B3831"/>
    <w:rsid w:val="008C1605"/>
    <w:rsid w:val="009D387F"/>
    <w:rsid w:val="00A34147"/>
    <w:rsid w:val="00A5049E"/>
    <w:rsid w:val="00A5068C"/>
    <w:rsid w:val="00A5162E"/>
    <w:rsid w:val="00A5626D"/>
    <w:rsid w:val="00A601BE"/>
    <w:rsid w:val="00A70E5A"/>
    <w:rsid w:val="00A7103D"/>
    <w:rsid w:val="00AA24C6"/>
    <w:rsid w:val="00AB66AD"/>
    <w:rsid w:val="00AC6AA7"/>
    <w:rsid w:val="00C30D90"/>
    <w:rsid w:val="00C53ACB"/>
    <w:rsid w:val="00CF0615"/>
    <w:rsid w:val="00CF4330"/>
    <w:rsid w:val="00CF5C53"/>
    <w:rsid w:val="00D347F5"/>
    <w:rsid w:val="00D636EB"/>
    <w:rsid w:val="00D84A46"/>
    <w:rsid w:val="00D870BF"/>
    <w:rsid w:val="00DE1689"/>
    <w:rsid w:val="00E5475F"/>
    <w:rsid w:val="00EB3E6A"/>
    <w:rsid w:val="00ED774D"/>
    <w:rsid w:val="00EF6D14"/>
    <w:rsid w:val="00FC6C9F"/>
    <w:rsid w:val="00FE37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4D8B"/>
  <w15:chartTrackingRefBased/>
  <w15:docId w15:val="{06D3DE1C-379E-F243-9ED6-281EC0C1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E28"/>
    <w:pPr>
      <w:spacing w:after="160" w:line="259" w:lineRule="auto"/>
      <w:ind w:left="720"/>
      <w:contextualSpacing/>
    </w:pPr>
    <w:rPr>
      <w:sz w:val="22"/>
      <w:szCs w:val="22"/>
    </w:rPr>
  </w:style>
  <w:style w:type="character" w:styleId="Hyperlink">
    <w:name w:val="Hyperlink"/>
    <w:basedOn w:val="DefaultParagraphFont"/>
    <w:uiPriority w:val="99"/>
    <w:unhideWhenUsed/>
    <w:rsid w:val="007D3E28"/>
    <w:rPr>
      <w:color w:val="0563C1" w:themeColor="hyperlink"/>
      <w:u w:val="single"/>
    </w:rPr>
  </w:style>
  <w:style w:type="character" w:styleId="UnresolvedMention">
    <w:name w:val="Unresolved Mention"/>
    <w:basedOn w:val="DefaultParagraphFont"/>
    <w:uiPriority w:val="99"/>
    <w:semiHidden/>
    <w:unhideWhenUsed/>
    <w:rsid w:val="00CF0615"/>
    <w:rPr>
      <w:color w:val="605E5C"/>
      <w:shd w:val="clear" w:color="auto" w:fill="E1DFDD"/>
    </w:rPr>
  </w:style>
  <w:style w:type="table" w:styleId="TableGrid">
    <w:name w:val="Table Grid"/>
    <w:basedOn w:val="TableNormal"/>
    <w:uiPriority w:val="39"/>
    <w:rsid w:val="00CF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03D"/>
    <w:rPr>
      <w:sz w:val="16"/>
      <w:szCs w:val="16"/>
    </w:rPr>
  </w:style>
  <w:style w:type="paragraph" w:styleId="CommentText">
    <w:name w:val="annotation text"/>
    <w:basedOn w:val="Normal"/>
    <w:link w:val="CommentTextChar"/>
    <w:uiPriority w:val="99"/>
    <w:semiHidden/>
    <w:unhideWhenUsed/>
    <w:rsid w:val="00A7103D"/>
    <w:rPr>
      <w:sz w:val="20"/>
      <w:szCs w:val="20"/>
    </w:rPr>
  </w:style>
  <w:style w:type="character" w:customStyle="1" w:styleId="CommentTextChar">
    <w:name w:val="Comment Text Char"/>
    <w:basedOn w:val="DefaultParagraphFont"/>
    <w:link w:val="CommentText"/>
    <w:uiPriority w:val="99"/>
    <w:semiHidden/>
    <w:rsid w:val="00A7103D"/>
    <w:rPr>
      <w:sz w:val="20"/>
      <w:szCs w:val="20"/>
    </w:rPr>
  </w:style>
  <w:style w:type="paragraph" w:styleId="CommentSubject">
    <w:name w:val="annotation subject"/>
    <w:basedOn w:val="CommentText"/>
    <w:next w:val="CommentText"/>
    <w:link w:val="CommentSubjectChar"/>
    <w:uiPriority w:val="99"/>
    <w:semiHidden/>
    <w:unhideWhenUsed/>
    <w:rsid w:val="00A7103D"/>
    <w:rPr>
      <w:b/>
      <w:bCs/>
    </w:rPr>
  </w:style>
  <w:style w:type="character" w:customStyle="1" w:styleId="CommentSubjectChar">
    <w:name w:val="Comment Subject Char"/>
    <w:basedOn w:val="CommentTextChar"/>
    <w:link w:val="CommentSubject"/>
    <w:uiPriority w:val="99"/>
    <w:semiHidden/>
    <w:rsid w:val="00A7103D"/>
    <w:rPr>
      <w:b/>
      <w:bCs/>
      <w:sz w:val="20"/>
      <w:szCs w:val="20"/>
    </w:rPr>
  </w:style>
  <w:style w:type="paragraph" w:styleId="BalloonText">
    <w:name w:val="Balloon Text"/>
    <w:basedOn w:val="Normal"/>
    <w:link w:val="BalloonTextChar"/>
    <w:uiPriority w:val="99"/>
    <w:semiHidden/>
    <w:unhideWhenUsed/>
    <w:rsid w:val="00A71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10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79286">
      <w:bodyDiv w:val="1"/>
      <w:marLeft w:val="0"/>
      <w:marRight w:val="0"/>
      <w:marTop w:val="0"/>
      <w:marBottom w:val="0"/>
      <w:divBdr>
        <w:top w:val="none" w:sz="0" w:space="0" w:color="auto"/>
        <w:left w:val="none" w:sz="0" w:space="0" w:color="auto"/>
        <w:bottom w:val="none" w:sz="0" w:space="0" w:color="auto"/>
        <w:right w:val="none" w:sz="0" w:space="0" w:color="auto"/>
      </w:divBdr>
    </w:div>
    <w:div w:id="325745049">
      <w:bodyDiv w:val="1"/>
      <w:marLeft w:val="0"/>
      <w:marRight w:val="0"/>
      <w:marTop w:val="0"/>
      <w:marBottom w:val="0"/>
      <w:divBdr>
        <w:top w:val="none" w:sz="0" w:space="0" w:color="auto"/>
        <w:left w:val="none" w:sz="0" w:space="0" w:color="auto"/>
        <w:bottom w:val="none" w:sz="0" w:space="0" w:color="auto"/>
        <w:right w:val="none" w:sz="0" w:space="0" w:color="auto"/>
      </w:divBdr>
    </w:div>
    <w:div w:id="879130831">
      <w:bodyDiv w:val="1"/>
      <w:marLeft w:val="0"/>
      <w:marRight w:val="0"/>
      <w:marTop w:val="0"/>
      <w:marBottom w:val="0"/>
      <w:divBdr>
        <w:top w:val="none" w:sz="0" w:space="0" w:color="auto"/>
        <w:left w:val="none" w:sz="0" w:space="0" w:color="auto"/>
        <w:bottom w:val="none" w:sz="0" w:space="0" w:color="auto"/>
        <w:right w:val="none" w:sz="0" w:space="0" w:color="auto"/>
      </w:divBdr>
    </w:div>
    <w:div w:id="20235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eecc.org/ee-portfolio-filing-process-wor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Jonathan Raab</cp:lastModifiedBy>
  <cp:revision>3</cp:revision>
  <dcterms:created xsi:type="dcterms:W3CDTF">2020-11-03T19:22:00Z</dcterms:created>
  <dcterms:modified xsi:type="dcterms:W3CDTF">2020-11-03T19:24:00Z</dcterms:modified>
</cp:coreProperties>
</file>