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41FD" w14:textId="6453A6EF" w:rsidR="00E319B1" w:rsidRDefault="002178CA">
      <w:pPr>
        <w:rPr>
          <w:sz w:val="32"/>
          <w:szCs w:val="32"/>
        </w:rPr>
      </w:pPr>
      <w:r w:rsidRPr="00E44BB4">
        <w:rPr>
          <w:sz w:val="32"/>
          <w:szCs w:val="32"/>
        </w:rPr>
        <w:t>Generally Supported Ideas from C&amp;S/MTI Savings Attribution Sub-group</w:t>
      </w:r>
    </w:p>
    <w:p w14:paraId="5BE17D00" w14:textId="08546016" w:rsidR="002221B9" w:rsidRPr="002221B9" w:rsidRDefault="002221B9">
      <w:pPr>
        <w:rPr>
          <w:sz w:val="22"/>
          <w:szCs w:val="22"/>
        </w:rPr>
      </w:pPr>
      <w:r>
        <w:rPr>
          <w:sz w:val="22"/>
          <w:szCs w:val="22"/>
        </w:rPr>
        <w:t>Draft 10/1</w:t>
      </w:r>
      <w:r w:rsidR="00F13213">
        <w:rPr>
          <w:sz w:val="22"/>
          <w:szCs w:val="22"/>
        </w:rPr>
        <w:t>6</w:t>
      </w:r>
      <w:r>
        <w:rPr>
          <w:sz w:val="22"/>
          <w:szCs w:val="22"/>
        </w:rPr>
        <w:t>/2020</w:t>
      </w:r>
    </w:p>
    <w:p w14:paraId="402479EE" w14:textId="52667853" w:rsidR="002178CA" w:rsidRDefault="002178CA"/>
    <w:p w14:paraId="551C4F63" w14:textId="141670B5" w:rsidR="00403347" w:rsidRDefault="00403347" w:rsidP="00E44BB4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Group supports “close cooperation and collaboration between the MT portfolio and the existing rolling portfolio”</w:t>
      </w:r>
      <w:r>
        <w:rPr>
          <w:rStyle w:val="FootnoteReference"/>
          <w:rFonts w:asciiTheme="minorHAnsi" w:eastAsiaTheme="minorHAnsi" w:hAnsiTheme="minorHAnsi" w:cstheme="minorBidi"/>
        </w:rPr>
        <w:footnoteReference w:id="1"/>
      </w:r>
      <w:r>
        <w:rPr>
          <w:rFonts w:asciiTheme="minorHAnsi" w:eastAsiaTheme="minorHAnsi" w:hAnsiTheme="minorHAnsi" w:cstheme="minorBidi"/>
        </w:rPr>
        <w:t>, including the C&amp;S team.</w:t>
      </w:r>
    </w:p>
    <w:p w14:paraId="721AC754" w14:textId="4A55B562" w:rsidR="002178CA" w:rsidRPr="00E44BB4" w:rsidRDefault="002178CA" w:rsidP="00E44BB4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Theme="minorHAnsi" w:eastAsiaTheme="minorHAnsi" w:hAnsiTheme="minorHAnsi" w:cstheme="minorBidi"/>
        </w:rPr>
      </w:pPr>
      <w:r w:rsidRPr="00E44BB4">
        <w:rPr>
          <w:rFonts w:asciiTheme="minorHAnsi" w:eastAsiaTheme="minorHAnsi" w:hAnsiTheme="minorHAnsi" w:cstheme="minorBidi"/>
        </w:rPr>
        <w:t>MTA and C&amp;S are individually responsible to their own regulatory requirements, oversight and process rules. </w:t>
      </w:r>
    </w:p>
    <w:p w14:paraId="085DC6F9" w14:textId="77777777" w:rsidR="002178CA" w:rsidRPr="00E44BB4" w:rsidRDefault="002178CA" w:rsidP="00E44BB4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Theme="minorHAnsi" w:eastAsiaTheme="minorHAnsi" w:hAnsiTheme="minorHAnsi" w:cstheme="minorBidi"/>
        </w:rPr>
      </w:pPr>
      <w:r w:rsidRPr="00E44BB4">
        <w:rPr>
          <w:rFonts w:asciiTheme="minorHAnsi" w:eastAsiaTheme="minorHAnsi" w:hAnsiTheme="minorHAnsi" w:cstheme="minorBidi"/>
        </w:rPr>
        <w:t>The MTA (at the administrator level) will have performance criteria in addition to attributed savings. </w:t>
      </w:r>
    </w:p>
    <w:p w14:paraId="10A6EFD7" w14:textId="1575553F" w:rsidR="002178CA" w:rsidRPr="00E44BB4" w:rsidRDefault="002178CA" w:rsidP="00E44BB4">
      <w:pPr>
        <w:pStyle w:val="NormalWeb"/>
        <w:numPr>
          <w:ilvl w:val="0"/>
          <w:numId w:val="2"/>
        </w:numPr>
        <w:spacing w:before="200" w:beforeAutospacing="0" w:after="200" w:afterAutospacing="0"/>
        <w:textAlignment w:val="baseline"/>
        <w:rPr>
          <w:rFonts w:asciiTheme="minorHAnsi" w:eastAsiaTheme="minorHAnsi" w:hAnsiTheme="minorHAnsi" w:cstheme="minorBidi"/>
        </w:rPr>
      </w:pPr>
      <w:r w:rsidRPr="00E44BB4">
        <w:rPr>
          <w:rFonts w:asciiTheme="minorHAnsi" w:eastAsiaTheme="minorHAnsi" w:hAnsiTheme="minorHAnsi" w:cstheme="minorBidi"/>
        </w:rPr>
        <w:t>The MTA will create an initial forecast</w:t>
      </w:r>
      <w:r w:rsidR="00640D2E">
        <w:rPr>
          <w:rStyle w:val="FootnoteReference"/>
          <w:rFonts w:asciiTheme="minorHAnsi" w:eastAsiaTheme="minorHAnsi" w:hAnsiTheme="minorHAnsi" w:cstheme="minorBidi"/>
        </w:rPr>
        <w:footnoteReference w:id="2"/>
      </w:r>
      <w:r w:rsidRPr="00E44BB4">
        <w:rPr>
          <w:rFonts w:asciiTheme="minorHAnsi" w:eastAsiaTheme="minorHAnsi" w:hAnsiTheme="minorHAnsi" w:cstheme="minorBidi"/>
        </w:rPr>
        <w:t xml:space="preserve"> of total MTI/C&amp;S savings for planning purposes in collaboration with C&amp;S</w:t>
      </w:r>
      <w:r w:rsidR="00D84458">
        <w:rPr>
          <w:rFonts w:asciiTheme="minorHAnsi" w:eastAsiaTheme="minorHAnsi" w:hAnsiTheme="minorHAnsi" w:cstheme="minorBidi"/>
        </w:rPr>
        <w:t xml:space="preserve"> Program Administrator</w:t>
      </w:r>
      <w:r w:rsidR="00403347">
        <w:rPr>
          <w:rFonts w:asciiTheme="minorHAnsi" w:eastAsiaTheme="minorHAnsi" w:hAnsiTheme="minorHAnsi" w:cstheme="minorBidi"/>
        </w:rPr>
        <w:t xml:space="preserve">.  </w:t>
      </w:r>
      <w:r w:rsidR="00C60048">
        <w:rPr>
          <w:rFonts w:asciiTheme="minorHAnsi" w:eastAsiaTheme="minorHAnsi" w:hAnsiTheme="minorHAnsi" w:cstheme="minorBidi"/>
        </w:rPr>
        <w:t>Savings</w:t>
      </w:r>
      <w:r w:rsidR="00640D2E">
        <w:rPr>
          <w:rFonts w:asciiTheme="minorHAnsi" w:eastAsiaTheme="minorHAnsi" w:hAnsiTheme="minorHAnsi" w:cstheme="minorBidi"/>
        </w:rPr>
        <w:t xml:space="preserve"> are incremental to a naturally occurring baseline. </w:t>
      </w:r>
    </w:p>
    <w:p w14:paraId="3A29ED2F" w14:textId="55793A58" w:rsidR="00AE7C0C" w:rsidRDefault="002178CA" w:rsidP="00640D2E">
      <w:pPr>
        <w:pStyle w:val="NormalWeb"/>
        <w:numPr>
          <w:ilvl w:val="1"/>
          <w:numId w:val="2"/>
        </w:numPr>
        <w:spacing w:beforeAutospacing="0" w:after="200" w:afterAutospacing="0"/>
        <w:textAlignment w:val="baseline"/>
        <w:rPr>
          <w:rFonts w:asciiTheme="minorHAnsi" w:eastAsiaTheme="minorHAnsi" w:hAnsiTheme="minorHAnsi" w:cstheme="minorBidi"/>
        </w:rPr>
      </w:pPr>
      <w:r w:rsidRPr="00E44BB4">
        <w:rPr>
          <w:rFonts w:asciiTheme="minorHAnsi" w:eastAsiaTheme="minorHAnsi" w:hAnsiTheme="minorHAnsi" w:cstheme="minorBidi"/>
        </w:rPr>
        <w:t xml:space="preserve">The MTA will also forecast initial savings for </w:t>
      </w:r>
      <w:r w:rsidR="00D84458">
        <w:rPr>
          <w:rFonts w:asciiTheme="minorHAnsi" w:eastAsiaTheme="minorHAnsi" w:hAnsiTheme="minorHAnsi" w:cstheme="minorBidi"/>
        </w:rPr>
        <w:t>individual</w:t>
      </w:r>
      <w:r w:rsidR="00D84458" w:rsidRPr="00E44BB4">
        <w:rPr>
          <w:rFonts w:asciiTheme="minorHAnsi" w:eastAsiaTheme="minorHAnsi" w:hAnsiTheme="minorHAnsi" w:cstheme="minorBidi"/>
        </w:rPr>
        <w:t xml:space="preserve"> </w:t>
      </w:r>
      <w:r w:rsidRPr="00E44BB4">
        <w:rPr>
          <w:rFonts w:asciiTheme="minorHAnsi" w:eastAsiaTheme="minorHAnsi" w:hAnsiTheme="minorHAnsi" w:cstheme="minorBidi"/>
        </w:rPr>
        <w:t>MTI</w:t>
      </w:r>
      <w:r w:rsidR="00D84458">
        <w:rPr>
          <w:rFonts w:asciiTheme="minorHAnsi" w:eastAsiaTheme="minorHAnsi" w:hAnsiTheme="minorHAnsi" w:cstheme="minorBidi"/>
        </w:rPr>
        <w:t>s</w:t>
      </w:r>
      <w:r w:rsidRPr="00E44BB4">
        <w:rPr>
          <w:rFonts w:asciiTheme="minorHAnsi" w:eastAsiaTheme="minorHAnsi" w:hAnsiTheme="minorHAnsi" w:cstheme="minorBidi"/>
        </w:rPr>
        <w:t xml:space="preserve"> separate from C&amp;S </w:t>
      </w:r>
      <w:r w:rsidR="00D84458">
        <w:rPr>
          <w:rFonts w:asciiTheme="minorHAnsi" w:eastAsiaTheme="minorHAnsi" w:hAnsiTheme="minorHAnsi" w:cstheme="minorBidi"/>
        </w:rPr>
        <w:t>f</w:t>
      </w:r>
      <w:r w:rsidRPr="00E44BB4">
        <w:rPr>
          <w:rFonts w:asciiTheme="minorHAnsi" w:eastAsiaTheme="minorHAnsi" w:hAnsiTheme="minorHAnsi" w:cstheme="minorBidi"/>
        </w:rPr>
        <w:t>or planning purposes</w:t>
      </w:r>
      <w:r w:rsidR="00D84458">
        <w:rPr>
          <w:rFonts w:asciiTheme="minorHAnsi" w:eastAsiaTheme="minorHAnsi" w:hAnsiTheme="minorHAnsi" w:cstheme="minorBidi"/>
        </w:rPr>
        <w:t>.  This will be done</w:t>
      </w:r>
      <w:r w:rsidRPr="00E44BB4">
        <w:rPr>
          <w:rFonts w:asciiTheme="minorHAnsi" w:eastAsiaTheme="minorHAnsi" w:hAnsiTheme="minorHAnsi" w:cstheme="minorBidi"/>
        </w:rPr>
        <w:t xml:space="preserve"> in collaboration with C&amp;S </w:t>
      </w:r>
      <w:r w:rsidR="00D84458">
        <w:rPr>
          <w:rFonts w:asciiTheme="minorHAnsi" w:eastAsiaTheme="minorHAnsi" w:hAnsiTheme="minorHAnsi" w:cstheme="minorBidi"/>
        </w:rPr>
        <w:t>Program Administrator and</w:t>
      </w:r>
      <w:r w:rsidR="00403347">
        <w:rPr>
          <w:rFonts w:asciiTheme="minorHAnsi" w:eastAsiaTheme="minorHAnsi" w:hAnsiTheme="minorHAnsi" w:cstheme="minorBidi"/>
        </w:rPr>
        <w:t xml:space="preserve"> will de</w:t>
      </w:r>
      <w:r w:rsidR="00F13213">
        <w:rPr>
          <w:rFonts w:asciiTheme="minorHAnsi" w:eastAsiaTheme="minorHAnsi" w:hAnsiTheme="minorHAnsi" w:cstheme="minorBidi"/>
        </w:rPr>
        <w:t xml:space="preserve"> </w:t>
      </w:r>
      <w:r w:rsidR="00403347">
        <w:rPr>
          <w:rFonts w:asciiTheme="minorHAnsi" w:eastAsiaTheme="minorHAnsi" w:hAnsiTheme="minorHAnsi" w:cstheme="minorBidi"/>
        </w:rPr>
        <w:t xml:space="preserve">facto </w:t>
      </w:r>
      <w:r w:rsidR="00640D2E">
        <w:rPr>
          <w:rFonts w:asciiTheme="minorHAnsi" w:eastAsiaTheme="minorHAnsi" w:hAnsiTheme="minorHAnsi" w:cstheme="minorBidi"/>
        </w:rPr>
        <w:t xml:space="preserve">result in </w:t>
      </w:r>
      <w:r w:rsidR="00403347">
        <w:rPr>
          <w:rFonts w:asciiTheme="minorHAnsi" w:eastAsiaTheme="minorHAnsi" w:hAnsiTheme="minorHAnsi" w:cstheme="minorBidi"/>
        </w:rPr>
        <w:t>relative forecasted shares</w:t>
      </w:r>
      <w:r w:rsidR="00AC0AD9">
        <w:rPr>
          <w:rFonts w:asciiTheme="minorHAnsi" w:eastAsiaTheme="minorHAnsi" w:hAnsiTheme="minorHAnsi" w:cstheme="minorBidi"/>
        </w:rPr>
        <w:t xml:space="preserve"> </w:t>
      </w:r>
    </w:p>
    <w:p w14:paraId="31FB2EAD" w14:textId="76909B07" w:rsidR="00403347" w:rsidRPr="00640D2E" w:rsidRDefault="003E433F" w:rsidP="00640D2E">
      <w:pPr>
        <w:pStyle w:val="NormalWeb"/>
        <w:numPr>
          <w:ilvl w:val="1"/>
          <w:numId w:val="2"/>
        </w:numPr>
        <w:spacing w:beforeAutospacing="0" w:after="200" w:afterAutospacing="0"/>
        <w:textAlignment w:val="baseline"/>
        <w:rPr>
          <w:rFonts w:asciiTheme="minorHAnsi" w:eastAsiaTheme="minorHAnsi" w:hAnsiTheme="minorHAnsi" w:cstheme="minorBidi"/>
        </w:rPr>
      </w:pPr>
      <w:r w:rsidRPr="00E44BB4">
        <w:rPr>
          <w:rFonts w:asciiTheme="minorHAnsi" w:eastAsiaTheme="minorHAnsi" w:hAnsiTheme="minorHAnsi" w:cstheme="minorBidi"/>
        </w:rPr>
        <w:t>The MTA will also forecast initial savings for the MTI separate</w:t>
      </w:r>
      <w:r>
        <w:rPr>
          <w:rFonts w:asciiTheme="minorHAnsi" w:eastAsiaTheme="minorHAnsi" w:hAnsiTheme="minorHAnsi" w:cstheme="minorBidi"/>
        </w:rPr>
        <w:t xml:space="preserve"> that are unrelated (non-overlapping) with any anticipated</w:t>
      </w:r>
      <w:r w:rsidR="000F0DFC">
        <w:rPr>
          <w:rFonts w:asciiTheme="minorHAnsi" w:eastAsiaTheme="minorHAnsi" w:hAnsiTheme="minorHAnsi" w:cstheme="minorBidi"/>
        </w:rPr>
        <w:t xml:space="preserve"> C&amp;S </w:t>
      </w:r>
      <w:r w:rsidR="00955A01">
        <w:rPr>
          <w:rFonts w:asciiTheme="minorHAnsi" w:eastAsiaTheme="minorHAnsi" w:hAnsiTheme="minorHAnsi" w:cstheme="minorBidi"/>
        </w:rPr>
        <w:t>adoption</w:t>
      </w:r>
      <w:r>
        <w:rPr>
          <w:rFonts w:asciiTheme="minorHAnsi" w:eastAsiaTheme="minorHAnsi" w:hAnsiTheme="minorHAnsi" w:cstheme="minorBidi"/>
        </w:rPr>
        <w:t xml:space="preserve"> outcomes</w:t>
      </w:r>
      <w:r w:rsidR="00955A01">
        <w:rPr>
          <w:rFonts w:asciiTheme="minorHAnsi" w:eastAsiaTheme="minorHAnsi" w:hAnsiTheme="minorHAnsi" w:cstheme="minorBidi"/>
        </w:rPr>
        <w:t xml:space="preserve">, if applicable. </w:t>
      </w:r>
      <w:r w:rsidR="00403347">
        <w:rPr>
          <w:rFonts w:asciiTheme="minorHAnsi" w:eastAsiaTheme="minorHAnsi" w:hAnsiTheme="minorHAnsi" w:cstheme="minorBidi"/>
        </w:rPr>
        <w:t xml:space="preserve"> </w:t>
      </w:r>
      <w:r w:rsidR="002178CA" w:rsidRPr="00E44BB4">
        <w:rPr>
          <w:rFonts w:asciiTheme="minorHAnsi" w:eastAsiaTheme="minorHAnsi" w:hAnsiTheme="minorHAnsi" w:cstheme="minorBidi"/>
        </w:rPr>
        <w:t>  </w:t>
      </w:r>
    </w:p>
    <w:p w14:paraId="46235F96" w14:textId="6506AD70" w:rsidR="002178CA" w:rsidRPr="00E44BB4" w:rsidRDefault="002178CA" w:rsidP="00E44BB4">
      <w:pPr>
        <w:pStyle w:val="NormalWeb"/>
        <w:numPr>
          <w:ilvl w:val="0"/>
          <w:numId w:val="2"/>
        </w:numPr>
        <w:spacing w:before="200" w:beforeAutospacing="0" w:after="200" w:afterAutospacing="0"/>
        <w:textAlignment w:val="baseline"/>
        <w:rPr>
          <w:rFonts w:asciiTheme="minorHAnsi" w:eastAsiaTheme="minorHAnsi" w:hAnsiTheme="minorHAnsi" w:cstheme="minorBidi"/>
        </w:rPr>
      </w:pPr>
      <w:r w:rsidRPr="00E44BB4">
        <w:rPr>
          <w:rFonts w:asciiTheme="minorHAnsi" w:eastAsiaTheme="minorHAnsi" w:hAnsiTheme="minorHAnsi" w:cstheme="minorBidi"/>
        </w:rPr>
        <w:t>There will be one or more mid-course updates</w:t>
      </w:r>
      <w:r w:rsidR="00640D2E">
        <w:rPr>
          <w:rStyle w:val="FootnoteReference"/>
          <w:rFonts w:asciiTheme="minorHAnsi" w:eastAsiaTheme="minorHAnsi" w:hAnsiTheme="minorHAnsi" w:cstheme="minorBidi"/>
        </w:rPr>
        <w:footnoteReference w:id="3"/>
      </w:r>
      <w:r w:rsidRPr="00E44BB4">
        <w:rPr>
          <w:rFonts w:asciiTheme="minorHAnsi" w:eastAsiaTheme="minorHAnsi" w:hAnsiTheme="minorHAnsi" w:cstheme="minorBidi"/>
        </w:rPr>
        <w:t xml:space="preserve"> (joint between C&amp;S </w:t>
      </w:r>
      <w:r w:rsidR="00D84458">
        <w:rPr>
          <w:rFonts w:asciiTheme="minorHAnsi" w:eastAsiaTheme="minorHAnsi" w:hAnsiTheme="minorHAnsi" w:cstheme="minorBidi"/>
        </w:rPr>
        <w:t>Program Administrator</w:t>
      </w:r>
      <w:r w:rsidR="00D84458" w:rsidRPr="00E44BB4">
        <w:rPr>
          <w:rFonts w:asciiTheme="minorHAnsi" w:eastAsiaTheme="minorHAnsi" w:hAnsiTheme="minorHAnsi" w:cstheme="minorBidi"/>
        </w:rPr>
        <w:t xml:space="preserve"> </w:t>
      </w:r>
      <w:r w:rsidRPr="00E44BB4">
        <w:rPr>
          <w:rFonts w:asciiTheme="minorHAnsi" w:eastAsiaTheme="minorHAnsi" w:hAnsiTheme="minorHAnsi" w:cstheme="minorBidi"/>
        </w:rPr>
        <w:t>and MTA) to re-evaluate forecasted savings</w:t>
      </w:r>
      <w:r w:rsidR="00963EA4">
        <w:rPr>
          <w:rFonts w:asciiTheme="minorHAnsi" w:eastAsiaTheme="minorHAnsi" w:hAnsiTheme="minorHAnsi" w:cstheme="minorBidi"/>
        </w:rPr>
        <w:t xml:space="preserve"> and update </w:t>
      </w:r>
      <w:r w:rsidR="00B01AF8">
        <w:rPr>
          <w:rFonts w:asciiTheme="minorHAnsi" w:eastAsiaTheme="minorHAnsi" w:hAnsiTheme="minorHAnsi" w:cstheme="minorBidi"/>
        </w:rPr>
        <w:t>baselines as necessary</w:t>
      </w:r>
    </w:p>
    <w:p w14:paraId="5616E7AA" w14:textId="2EA5732E" w:rsidR="002178CA" w:rsidRDefault="002178CA" w:rsidP="00E44BB4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Theme="minorHAnsi" w:eastAsiaTheme="minorHAnsi" w:hAnsiTheme="minorHAnsi" w:cstheme="minorBidi"/>
        </w:rPr>
      </w:pPr>
      <w:r w:rsidRPr="00E44BB4">
        <w:rPr>
          <w:rFonts w:asciiTheme="minorHAnsi" w:eastAsiaTheme="minorHAnsi" w:hAnsiTheme="minorHAnsi" w:cstheme="minorBidi"/>
        </w:rPr>
        <w:t>There will be an ex-post evaluation to determine total savings and attribution of savings to C&amp;S and MTA</w:t>
      </w:r>
      <w:r w:rsidR="00E44BB4">
        <w:rPr>
          <w:rFonts w:asciiTheme="minorHAnsi" w:eastAsiaTheme="minorHAnsi" w:hAnsiTheme="minorHAnsi" w:cstheme="minorBidi"/>
        </w:rPr>
        <w:t xml:space="preserve"> when C&amp;S are included in </w:t>
      </w:r>
      <w:r w:rsidR="00D84458">
        <w:rPr>
          <w:rFonts w:asciiTheme="minorHAnsi" w:eastAsiaTheme="minorHAnsi" w:hAnsiTheme="minorHAnsi" w:cstheme="minorBidi"/>
        </w:rPr>
        <w:t xml:space="preserve">individual </w:t>
      </w:r>
      <w:r w:rsidR="00E44BB4">
        <w:rPr>
          <w:rFonts w:asciiTheme="minorHAnsi" w:eastAsiaTheme="minorHAnsi" w:hAnsiTheme="minorHAnsi" w:cstheme="minorBidi"/>
        </w:rPr>
        <w:t>MTI logic model</w:t>
      </w:r>
      <w:r w:rsidR="00D84458">
        <w:rPr>
          <w:rFonts w:asciiTheme="minorHAnsi" w:eastAsiaTheme="minorHAnsi" w:hAnsiTheme="minorHAnsi" w:cstheme="minorBidi"/>
        </w:rPr>
        <w:t>s</w:t>
      </w:r>
      <w:r w:rsidRPr="00E44BB4">
        <w:rPr>
          <w:rFonts w:asciiTheme="minorHAnsi" w:eastAsiaTheme="minorHAnsi" w:hAnsiTheme="minorHAnsi" w:cstheme="minorBidi"/>
        </w:rPr>
        <w:t>.</w:t>
      </w:r>
    </w:p>
    <w:p w14:paraId="32130E13" w14:textId="1E9D895A" w:rsidR="005238E2" w:rsidRDefault="005238E2" w:rsidP="005238E2">
      <w:pPr>
        <w:pStyle w:val="NormalWeb"/>
        <w:numPr>
          <w:ilvl w:val="1"/>
          <w:numId w:val="2"/>
        </w:numPr>
        <w:spacing w:before="0" w:beforeAutospacing="0" w:after="200" w:afterAutospacing="0"/>
        <w:textAlignment w:val="baseline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Assuming a Delphi process used</w:t>
      </w:r>
      <w:r w:rsidR="006E313E">
        <w:rPr>
          <w:rFonts w:asciiTheme="minorHAnsi" w:eastAsiaTheme="minorHAnsi" w:hAnsiTheme="minorHAnsi" w:cstheme="minorBidi"/>
        </w:rPr>
        <w:t xml:space="preserve"> during the ex-post evaluation</w:t>
      </w:r>
      <w:r>
        <w:rPr>
          <w:rFonts w:asciiTheme="minorHAnsi" w:eastAsiaTheme="minorHAnsi" w:hAnsiTheme="minorHAnsi" w:cstheme="minorBidi"/>
        </w:rPr>
        <w:t xml:space="preserve">, the scope of the Delphi </w:t>
      </w:r>
      <w:r w:rsidR="006E313E">
        <w:rPr>
          <w:rFonts w:asciiTheme="minorHAnsi" w:eastAsiaTheme="minorHAnsi" w:hAnsiTheme="minorHAnsi" w:cstheme="minorBidi"/>
        </w:rPr>
        <w:t>will</w:t>
      </w:r>
      <w:r>
        <w:rPr>
          <w:rFonts w:asciiTheme="minorHAnsi" w:eastAsiaTheme="minorHAnsi" w:hAnsiTheme="minorHAnsi" w:cstheme="minorBidi"/>
        </w:rPr>
        <w:t xml:space="preserve"> include </w:t>
      </w:r>
      <w:commentRangeStart w:id="0"/>
      <w:r>
        <w:rPr>
          <w:rFonts w:asciiTheme="minorHAnsi" w:eastAsiaTheme="minorHAnsi" w:hAnsiTheme="minorHAnsi" w:cstheme="minorBidi"/>
        </w:rPr>
        <w:t xml:space="preserve">all rate-payer funded activities </w:t>
      </w:r>
      <w:commentRangeEnd w:id="0"/>
      <w:r w:rsidR="00F13213">
        <w:rPr>
          <w:rStyle w:val="CommentReference"/>
          <w:rFonts w:asciiTheme="minorHAnsi" w:eastAsiaTheme="minorHAnsi" w:hAnsiTheme="minorHAnsi" w:cstheme="minorBidi"/>
        </w:rPr>
        <w:commentReference w:id="0"/>
      </w:r>
      <w:r>
        <w:rPr>
          <w:rFonts w:asciiTheme="minorHAnsi" w:eastAsiaTheme="minorHAnsi" w:hAnsiTheme="minorHAnsi" w:cstheme="minorBidi"/>
        </w:rPr>
        <w:t>that were intentionally targeted toward a C&amp;S adoption.</w:t>
      </w:r>
    </w:p>
    <w:p w14:paraId="47DA4ACF" w14:textId="1847F228" w:rsidR="005238E2" w:rsidRDefault="005238E2" w:rsidP="005238E2">
      <w:pPr>
        <w:pStyle w:val="NormalWeb"/>
        <w:numPr>
          <w:ilvl w:val="1"/>
          <w:numId w:val="2"/>
        </w:numPr>
        <w:spacing w:before="0" w:beforeAutospacing="0" w:after="200" w:afterAutospacing="0"/>
        <w:textAlignment w:val="baseline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MTI logic models, MTI program interventions, MTI 3P market progress evaluation reports would all be part of the Delphi panel materials along with </w:t>
      </w:r>
      <w:r w:rsidR="00AC1B9A">
        <w:rPr>
          <w:rFonts w:asciiTheme="minorHAnsi" w:eastAsiaTheme="minorHAnsi" w:hAnsiTheme="minorHAnsi" w:cstheme="minorBidi"/>
        </w:rPr>
        <w:t>c</w:t>
      </w:r>
      <w:r w:rsidR="00180AA5">
        <w:rPr>
          <w:rFonts w:asciiTheme="minorHAnsi" w:eastAsiaTheme="minorHAnsi" w:hAnsiTheme="minorHAnsi" w:cstheme="minorBidi"/>
        </w:rPr>
        <w:t xml:space="preserve">ode </w:t>
      </w:r>
      <w:r w:rsidR="00AC1B9A">
        <w:rPr>
          <w:rFonts w:asciiTheme="minorHAnsi" w:eastAsiaTheme="minorHAnsi" w:hAnsiTheme="minorHAnsi" w:cstheme="minorBidi"/>
        </w:rPr>
        <w:t>c</w:t>
      </w:r>
      <w:r w:rsidR="00180AA5">
        <w:rPr>
          <w:rFonts w:asciiTheme="minorHAnsi" w:eastAsiaTheme="minorHAnsi" w:hAnsiTheme="minorHAnsi" w:cstheme="minorBidi"/>
        </w:rPr>
        <w:t xml:space="preserve">hange </w:t>
      </w:r>
      <w:r w:rsidR="00AC1B9A">
        <w:rPr>
          <w:rFonts w:asciiTheme="minorHAnsi" w:eastAsiaTheme="minorHAnsi" w:hAnsiTheme="minorHAnsi" w:cstheme="minorBidi"/>
        </w:rPr>
        <w:t>t</w:t>
      </w:r>
      <w:r w:rsidR="00180AA5">
        <w:rPr>
          <w:rFonts w:asciiTheme="minorHAnsi" w:eastAsiaTheme="minorHAnsi" w:hAnsiTheme="minorHAnsi" w:cstheme="minorBidi"/>
        </w:rPr>
        <w:t>heory</w:t>
      </w:r>
      <w:r w:rsidR="00AC1B9A">
        <w:rPr>
          <w:rFonts w:asciiTheme="minorHAnsi" w:eastAsiaTheme="minorHAnsi" w:hAnsiTheme="minorHAnsi" w:cstheme="minorBidi"/>
        </w:rPr>
        <w:t xml:space="preserve"> reports,</w:t>
      </w:r>
      <w:r w:rsidR="00180AA5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CASE reports</w:t>
      </w:r>
      <w:r w:rsidR="00AC1B9A">
        <w:rPr>
          <w:rFonts w:asciiTheme="minorHAnsi" w:eastAsiaTheme="minorHAnsi" w:hAnsiTheme="minorHAnsi" w:cstheme="minorBidi"/>
        </w:rPr>
        <w:t>, and other documentation of influence</w:t>
      </w:r>
    </w:p>
    <w:p w14:paraId="68B79627" w14:textId="71BACA9E" w:rsidR="00403347" w:rsidRDefault="00403347" w:rsidP="005238E2">
      <w:pPr>
        <w:pStyle w:val="NormalWeb"/>
        <w:numPr>
          <w:ilvl w:val="1"/>
          <w:numId w:val="2"/>
        </w:numPr>
        <w:spacing w:before="0" w:beforeAutospacing="0" w:after="200" w:afterAutospacing="0"/>
        <w:textAlignment w:val="baseline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MTI activities would be reviewed from the beginning of </w:t>
      </w:r>
      <w:commentRangeStart w:id="1"/>
      <w:r>
        <w:rPr>
          <w:rFonts w:asciiTheme="minorHAnsi" w:eastAsiaTheme="minorHAnsi" w:hAnsiTheme="minorHAnsi" w:cstheme="minorBidi"/>
        </w:rPr>
        <w:t xml:space="preserve">Phase II through C&amp;S </w:t>
      </w:r>
      <w:commentRangeEnd w:id="1"/>
      <w:r w:rsidR="00F13213">
        <w:rPr>
          <w:rStyle w:val="CommentReference"/>
          <w:rFonts w:asciiTheme="minorHAnsi" w:eastAsiaTheme="minorHAnsi" w:hAnsiTheme="minorHAnsi" w:cstheme="minorBidi"/>
        </w:rPr>
        <w:commentReference w:id="1"/>
      </w:r>
      <w:r>
        <w:rPr>
          <w:rFonts w:asciiTheme="minorHAnsi" w:eastAsiaTheme="minorHAnsi" w:hAnsiTheme="minorHAnsi" w:cstheme="minorBidi"/>
        </w:rPr>
        <w:t>adoption</w:t>
      </w:r>
      <w:r w:rsidR="00905613"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 xml:space="preserve"> </w:t>
      </w:r>
      <w:commentRangeStart w:id="2"/>
      <w:commentRangeEnd w:id="2"/>
      <w:r w:rsidR="00905613">
        <w:rPr>
          <w:rStyle w:val="CommentReference"/>
          <w:rFonts w:asciiTheme="minorHAnsi" w:eastAsiaTheme="minorHAnsi" w:hAnsiTheme="minorHAnsi" w:cstheme="minorBidi"/>
        </w:rPr>
        <w:commentReference w:id="2"/>
      </w:r>
    </w:p>
    <w:sectPr w:rsidR="00403347" w:rsidSect="008F054F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gie Gardner" w:date="2020-10-16T09:31:00Z" w:initials="MG">
    <w:p w14:paraId="52195F38" w14:textId="44F3542B" w:rsidR="00F13213" w:rsidRDefault="00F13213">
      <w:pPr>
        <w:pStyle w:val="CommentText"/>
      </w:pPr>
      <w:r>
        <w:rPr>
          <w:rStyle w:val="CommentReference"/>
        </w:rPr>
        <w:annotationRef/>
      </w:r>
      <w:r>
        <w:t>The group is not fully on board with this and it could use further discussion.  Is it feasible?  Since RA doesn’t target code/standard adoption, does it make sense?</w:t>
      </w:r>
    </w:p>
  </w:comment>
  <w:comment w:id="1" w:author="Margie Gardner" w:date="2020-10-16T09:33:00Z" w:initials="MG">
    <w:p w14:paraId="69009C73" w14:textId="1049366C" w:rsidR="00F13213" w:rsidRDefault="00F13213">
      <w:pPr>
        <w:pStyle w:val="CommentText"/>
      </w:pPr>
      <w:r>
        <w:rPr>
          <w:rStyle w:val="CommentReference"/>
        </w:rPr>
        <w:annotationRef/>
      </w:r>
      <w:r>
        <w:t xml:space="preserve">Jeff:  shouldn’t this include any support the MTI gives to enhancing compliance in the field?  NOTE:  this wasn’t fully discussed in the group. </w:t>
      </w:r>
    </w:p>
  </w:comment>
  <w:comment w:id="2" w:author="Eilert, Patrick" w:date="2020-10-15T15:15:00Z" w:initials="EP">
    <w:p w14:paraId="462E664B" w14:textId="5C03957F" w:rsidR="00905613" w:rsidRDefault="00905613">
      <w:pPr>
        <w:pStyle w:val="CommentText"/>
      </w:pPr>
      <w:r>
        <w:rPr>
          <w:rStyle w:val="CommentReference"/>
        </w:rPr>
        <w:annotationRef/>
      </w:r>
      <w:r>
        <w:t>Evaluation ends at adoption.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2195F38" w15:done="0"/>
  <w15:commentEx w15:paraId="69009C73" w15:done="0"/>
  <w15:commentEx w15:paraId="462E66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E70E" w16cex:dateUtc="2020-10-16T16:31:00Z"/>
  <w16cex:commentExtensible w16cex:durableId="2333E766" w16cex:dateUtc="2020-10-16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195F38" w16cid:durableId="2333E70E"/>
  <w16cid:commentId w16cid:paraId="69009C73" w16cid:durableId="2333E766"/>
  <w16cid:commentId w16cid:paraId="462E664B" w16cid:durableId="2332E6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35651" w14:textId="77777777" w:rsidR="003042EE" w:rsidRDefault="003042EE" w:rsidP="00403347">
      <w:r>
        <w:separator/>
      </w:r>
    </w:p>
  </w:endnote>
  <w:endnote w:type="continuationSeparator" w:id="0">
    <w:p w14:paraId="44FAEAA6" w14:textId="77777777" w:rsidR="003042EE" w:rsidRDefault="003042EE" w:rsidP="0040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30806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1EB0EA" w14:textId="2BAF9944" w:rsidR="00614F4B" w:rsidRDefault="00614F4B" w:rsidP="00E56F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CBD106" w14:textId="77777777" w:rsidR="00614F4B" w:rsidRDefault="00614F4B" w:rsidP="00614F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69609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9DBD39" w14:textId="36AEF539" w:rsidR="00614F4B" w:rsidRDefault="00614F4B" w:rsidP="00E56F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4F2DD2" w14:textId="77777777" w:rsidR="00614F4B" w:rsidRDefault="00614F4B" w:rsidP="00614F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7C52" w14:textId="77777777" w:rsidR="003042EE" w:rsidRDefault="003042EE" w:rsidP="00403347">
      <w:r>
        <w:separator/>
      </w:r>
    </w:p>
  </w:footnote>
  <w:footnote w:type="continuationSeparator" w:id="0">
    <w:p w14:paraId="3A5AC504" w14:textId="77777777" w:rsidR="003042EE" w:rsidRDefault="003042EE" w:rsidP="00403347">
      <w:r>
        <w:continuationSeparator/>
      </w:r>
    </w:p>
  </w:footnote>
  <w:footnote w:id="1">
    <w:p w14:paraId="6D2C87C9" w14:textId="1C6F57AD" w:rsidR="00403347" w:rsidRDefault="00403347">
      <w:pPr>
        <w:pStyle w:val="FootnoteText"/>
      </w:pPr>
      <w:r>
        <w:rPr>
          <w:rStyle w:val="FootnoteReference"/>
        </w:rPr>
        <w:footnoteRef/>
      </w:r>
      <w:r>
        <w:t xml:space="preserve"> CPUC decision, finding of fact 27</w:t>
      </w:r>
    </w:p>
  </w:footnote>
  <w:footnote w:id="2">
    <w:p w14:paraId="71B6A2D3" w14:textId="7F4486CA" w:rsidR="00640D2E" w:rsidRDefault="00640D2E">
      <w:pPr>
        <w:pStyle w:val="FootnoteText"/>
      </w:pPr>
      <w:r>
        <w:rPr>
          <w:rStyle w:val="FootnoteReference"/>
        </w:rPr>
        <w:footnoteRef/>
      </w:r>
      <w:r>
        <w:t xml:space="preserve"> CPUC decision, page 159, 4rd bullet.</w:t>
      </w:r>
    </w:p>
  </w:footnote>
  <w:footnote w:id="3">
    <w:p w14:paraId="66D3F0E4" w14:textId="46DD0E22" w:rsidR="00640D2E" w:rsidRDefault="00640D2E">
      <w:pPr>
        <w:pStyle w:val="FootnoteText"/>
      </w:pPr>
      <w:r>
        <w:rPr>
          <w:rStyle w:val="FootnoteReference"/>
        </w:rPr>
        <w:footnoteRef/>
      </w:r>
      <w:r>
        <w:t xml:space="preserve"> CPUC decision, page 158, 11</w:t>
      </w:r>
      <w:r w:rsidRPr="00640D2E">
        <w:rPr>
          <w:vertAlign w:val="superscript"/>
        </w:rPr>
        <w:t>th</w:t>
      </w:r>
      <w:r>
        <w:t xml:space="preserve"> bullet.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A1887"/>
    <w:multiLevelType w:val="multilevel"/>
    <w:tmpl w:val="6E7C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B027D"/>
    <w:multiLevelType w:val="multilevel"/>
    <w:tmpl w:val="35E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C7FEC"/>
    <w:multiLevelType w:val="multilevel"/>
    <w:tmpl w:val="96E4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4B3C53"/>
    <w:multiLevelType w:val="multilevel"/>
    <w:tmpl w:val="E3D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F3972"/>
    <w:multiLevelType w:val="multilevel"/>
    <w:tmpl w:val="36B8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66B1C"/>
    <w:multiLevelType w:val="multilevel"/>
    <w:tmpl w:val="DEE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43AE0"/>
    <w:multiLevelType w:val="multilevel"/>
    <w:tmpl w:val="A3CA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D0DD7"/>
    <w:multiLevelType w:val="hybridMultilevel"/>
    <w:tmpl w:val="52387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490018"/>
    <w:multiLevelType w:val="multilevel"/>
    <w:tmpl w:val="AA6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2F07A0"/>
    <w:multiLevelType w:val="multilevel"/>
    <w:tmpl w:val="613A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6"/>
  </w:num>
  <w:num w:numId="1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8"/>
  </w:num>
  <w:num w:numId="1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  <w:num w:numId="15">
    <w:abstractNumId w:val="1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gie Gardner">
    <w15:presenceInfo w15:providerId="AD" w15:userId="S::mgardner@resource-innovations.com::2424ae1d-562a-4f6b-a7e1-933581aaf68b"/>
  </w15:person>
  <w15:person w15:author="Eilert, Patrick">
    <w15:presenceInfo w15:providerId="AD" w15:userId="S::PLE2@pge.com::aa1bae46-2cc9-40a0-9a10-44cf8d659e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CA"/>
    <w:rsid w:val="000107D1"/>
    <w:rsid w:val="00083B99"/>
    <w:rsid w:val="000F0DFC"/>
    <w:rsid w:val="00143C82"/>
    <w:rsid w:val="001662BA"/>
    <w:rsid w:val="00180AA5"/>
    <w:rsid w:val="002178CA"/>
    <w:rsid w:val="002221B9"/>
    <w:rsid w:val="002D5AE3"/>
    <w:rsid w:val="002D5E24"/>
    <w:rsid w:val="003042EE"/>
    <w:rsid w:val="003E433F"/>
    <w:rsid w:val="00403347"/>
    <w:rsid w:val="00414742"/>
    <w:rsid w:val="005238E2"/>
    <w:rsid w:val="00614F4B"/>
    <w:rsid w:val="00640D2E"/>
    <w:rsid w:val="00646A38"/>
    <w:rsid w:val="006B09E7"/>
    <w:rsid w:val="006E313E"/>
    <w:rsid w:val="006F068B"/>
    <w:rsid w:val="007F3B1C"/>
    <w:rsid w:val="008877DD"/>
    <w:rsid w:val="008F054F"/>
    <w:rsid w:val="00905613"/>
    <w:rsid w:val="00955A01"/>
    <w:rsid w:val="00963EA4"/>
    <w:rsid w:val="00991CFA"/>
    <w:rsid w:val="00A270E5"/>
    <w:rsid w:val="00AC0AD9"/>
    <w:rsid w:val="00AC1B9A"/>
    <w:rsid w:val="00AE7C0C"/>
    <w:rsid w:val="00B01AF8"/>
    <w:rsid w:val="00B45F75"/>
    <w:rsid w:val="00BB1554"/>
    <w:rsid w:val="00BC3BE2"/>
    <w:rsid w:val="00C44A6A"/>
    <w:rsid w:val="00C5700A"/>
    <w:rsid w:val="00C60048"/>
    <w:rsid w:val="00D84458"/>
    <w:rsid w:val="00E44BB4"/>
    <w:rsid w:val="00F13213"/>
    <w:rsid w:val="00F72BC5"/>
    <w:rsid w:val="00FE18A3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2391E"/>
  <w14:defaultImageDpi w14:val="32767"/>
  <w15:chartTrackingRefBased/>
  <w15:docId w15:val="{CCFAC770-C8DB-8F43-9BA6-9FA3E3D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8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3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47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3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3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34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14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4B"/>
  </w:style>
  <w:style w:type="character" w:styleId="PageNumber">
    <w:name w:val="page number"/>
    <w:basedOn w:val="DefaultParagraphFont"/>
    <w:uiPriority w:val="99"/>
    <w:semiHidden/>
    <w:unhideWhenUsed/>
    <w:rsid w:val="00614F4B"/>
  </w:style>
  <w:style w:type="paragraph" w:styleId="Revision">
    <w:name w:val="Revision"/>
    <w:hidden/>
    <w:uiPriority w:val="99"/>
    <w:semiHidden/>
    <w:rsid w:val="00F1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F502678C42647A6E5C23DEB13CF68" ma:contentTypeVersion="12" ma:contentTypeDescription="Create a new document." ma:contentTypeScope="" ma:versionID="83aeb92245368d6c87474a46117383a9">
  <xsd:schema xmlns:xsd="http://www.w3.org/2001/XMLSchema" xmlns:xs="http://www.w3.org/2001/XMLSchema" xmlns:p="http://schemas.microsoft.com/office/2006/metadata/properties" xmlns:ns3="711dd8f0-2524-4653-b4f9-9af3ea2d76f1" xmlns:ns4="de4a231a-2623-44c4-8374-833f851cae11" targetNamespace="http://schemas.microsoft.com/office/2006/metadata/properties" ma:root="true" ma:fieldsID="8ade97d5b4051b9d966c89692951d5fb" ns3:_="" ns4:_="">
    <xsd:import namespace="711dd8f0-2524-4653-b4f9-9af3ea2d76f1"/>
    <xsd:import namespace="de4a231a-2623-44c4-8374-833f851cae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dd8f0-2524-4653-b4f9-9af3ea2d76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231a-2623-44c4-8374-833f851ca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49DFC-4454-4A1A-AF7E-0F04CEE9E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9A056-A0EE-47AC-9E6A-F579B977B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BD746-CA4E-4299-B9E5-5BF94A66E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dd8f0-2524-4653-b4f9-9af3ea2d76f1"/>
    <ds:schemaRef ds:uri="de4a231a-2623-44c4-8374-833f851ca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Gardner</dc:creator>
  <cp:keywords/>
  <dc:description/>
  <cp:lastModifiedBy>Jonathan Raab</cp:lastModifiedBy>
  <cp:revision>2</cp:revision>
  <dcterms:created xsi:type="dcterms:W3CDTF">2020-10-16T17:54:00Z</dcterms:created>
  <dcterms:modified xsi:type="dcterms:W3CDTF">2020-10-16T17:54:00Z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0x0101009B7F502678C42647A6E5C23DEB13CF68</vt:lpwstr>
  </property>
</Properties>
</file>