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rm3betp6g5en" w:id="0"/>
      <w:bookmarkEnd w:id="0"/>
      <w:r w:rsidDel="00000000" w:rsidR="00000000" w:rsidRPr="00000000">
        <w:rPr>
          <w:rtl w:val="0"/>
        </w:rPr>
        <w:t xml:space="preserve">Annual 2024 Portfolio Performance Report Review</w:t>
      </w:r>
    </w:p>
    <w:p w:rsidR="00000000" w:rsidDel="00000000" w:rsidP="00000000" w:rsidRDefault="00000000" w:rsidRPr="00000000" w14:paraId="00000002">
      <w:pPr>
        <w:pStyle w:val="Subtitle"/>
        <w:rPr/>
      </w:pPr>
      <w:bookmarkStart w:colFirst="0" w:colLast="0" w:name="_q1s901pe2gk7" w:id="1"/>
      <w:bookmarkEnd w:id="1"/>
      <w:r w:rsidDel="00000000" w:rsidR="00000000" w:rsidRPr="00000000">
        <w:rPr>
          <w:rtl w:val="0"/>
        </w:rPr>
        <w:t xml:space="preserve">August 5, 2025</w:t>
      </w:r>
    </w:p>
    <w:p w:rsidR="00000000" w:rsidDel="00000000" w:rsidP="00000000" w:rsidRDefault="00000000" w:rsidRPr="00000000" w14:paraId="00000003">
      <w:pPr>
        <w:pStyle w:val="Heading1"/>
        <w:rPr/>
      </w:pPr>
      <w:bookmarkStart w:colFirst="0" w:colLast="0" w:name="_wyxaprrcn6pg" w:id="2"/>
      <w:bookmarkEnd w:id="2"/>
      <w:r w:rsidDel="00000000" w:rsidR="00000000" w:rsidRPr="00000000">
        <w:rPr>
          <w:rtl w:val="0"/>
        </w:rPr>
        <w:t xml:space="preserve">Overview</w:t>
      </w:r>
    </w:p>
    <w:p w:rsidR="00000000" w:rsidDel="00000000" w:rsidP="00000000" w:rsidRDefault="00000000" w:rsidRPr="00000000" w14:paraId="00000004">
      <w:pPr>
        <w:rPr>
          <w:i w:val="1"/>
        </w:rPr>
      </w:pPr>
      <w:r w:rsidDel="00000000" w:rsidR="00000000" w:rsidRPr="00000000">
        <w:rPr>
          <w:rtl w:val="0"/>
        </w:rPr>
        <w:t xml:space="preserve">On August 5, 2025, representatives from the California Energy Efficiency Committee (CAEECC) Member organizations </w:t>
      </w:r>
      <w:r w:rsidDel="00000000" w:rsidR="00000000" w:rsidRPr="00000000">
        <w:rPr>
          <w:rtl w:val="0"/>
        </w:rPr>
        <w:t xml:space="preserve">presented</w:t>
      </w:r>
      <w:r w:rsidDel="00000000" w:rsidR="00000000" w:rsidRPr="00000000">
        <w:rPr>
          <w:rtl w:val="0"/>
        </w:rPr>
        <w:t xml:space="preserve"> their 2024 Annual Portfolio Performance Report Review via Zoom. </w:t>
      </w:r>
      <w:r w:rsidDel="00000000" w:rsidR="00000000" w:rsidRPr="00000000">
        <w:rPr>
          <w:rtl w:val="0"/>
        </w:rPr>
        <w:t xml:space="preserve">There were </w:t>
      </w:r>
      <w:r w:rsidDel="00000000" w:rsidR="00000000" w:rsidRPr="00000000">
        <w:rPr>
          <w:rtl w:val="0"/>
        </w:rPr>
        <w:t xml:space="preserve">112</w:t>
      </w:r>
      <w:r w:rsidDel="00000000" w:rsidR="00000000" w:rsidRPr="00000000">
        <w:rPr>
          <w:rtl w:val="0"/>
        </w:rPr>
        <w:t xml:space="preserve"> attendees, including </w:t>
      </w:r>
      <w:r w:rsidDel="00000000" w:rsidR="00000000" w:rsidRPr="00000000">
        <w:rPr>
          <w:rtl w:val="0"/>
        </w:rPr>
        <w:t xml:space="preserve">22</w:t>
      </w:r>
      <w:r w:rsidDel="00000000" w:rsidR="00000000" w:rsidRPr="00000000">
        <w:rPr>
          <w:rtl w:val="0"/>
        </w:rPr>
        <w:t xml:space="preserve"> representatives from </w:t>
      </w:r>
      <w:r w:rsidDel="00000000" w:rsidR="00000000" w:rsidRPr="00000000">
        <w:rPr>
          <w:rtl w:val="0"/>
        </w:rPr>
        <w:t xml:space="preserve">18</w:t>
      </w:r>
      <w:r w:rsidDel="00000000" w:rsidR="00000000" w:rsidRPr="00000000">
        <w:rPr>
          <w:rtl w:val="0"/>
        </w:rPr>
        <w:t xml:space="preserve"> CAEECC Member organizations and </w:t>
      </w:r>
      <w:r w:rsidDel="00000000" w:rsidR="00000000" w:rsidRPr="00000000">
        <w:rPr>
          <w:rtl w:val="0"/>
        </w:rPr>
        <w:t xml:space="preserve">2</w:t>
      </w:r>
      <w:r w:rsidDel="00000000" w:rsidR="00000000" w:rsidRPr="00000000">
        <w:rPr>
          <w:rtl w:val="0"/>
        </w:rPr>
        <w:t xml:space="preserve"> CAEECC Ex-Officio agencies as well as </w:t>
      </w:r>
      <w:r w:rsidDel="00000000" w:rsidR="00000000" w:rsidRPr="00000000">
        <w:rPr>
          <w:rtl w:val="0"/>
        </w:rPr>
        <w:t xml:space="preserve">90</w:t>
      </w:r>
      <w:r w:rsidDel="00000000" w:rsidR="00000000" w:rsidRPr="00000000">
        <w:rPr>
          <w:rtl w:val="0"/>
        </w:rPr>
        <w:t xml:space="preserve"> Members of the Public</w:t>
      </w:r>
      <w:r w:rsidDel="00000000" w:rsidR="00000000" w:rsidRPr="00000000">
        <w:rPr>
          <w:rtl w:val="0"/>
        </w:rPr>
        <w:t xml:space="preserve"> </w:t>
      </w:r>
      <w:r w:rsidDel="00000000" w:rsidR="00000000" w:rsidRPr="00000000">
        <w:rPr>
          <w:i w:val="1"/>
          <w:rtl w:val="0"/>
        </w:rPr>
        <w:t xml:space="preserve">(See </w:t>
      </w:r>
      <w:hyperlink w:anchor="_1ci93xb">
        <w:r w:rsidDel="00000000" w:rsidR="00000000" w:rsidRPr="00000000">
          <w:rPr>
            <w:i w:val="1"/>
            <w:color w:val="1155cc"/>
            <w:u w:val="single"/>
            <w:rtl w:val="0"/>
          </w:rPr>
          <w:t xml:space="preserve">Appendix A</w:t>
        </w:r>
      </w:hyperlink>
      <w:r w:rsidDel="00000000" w:rsidR="00000000" w:rsidRPr="00000000">
        <w:rPr>
          <w:i w:val="1"/>
          <w:rtl w:val="0"/>
        </w:rPr>
        <w:t xml:space="preserve"> for a full list of meeting registrants)</w:t>
      </w:r>
    </w:p>
    <w:p w:rsidR="00000000" w:rsidDel="00000000" w:rsidP="00000000" w:rsidRDefault="00000000" w:rsidRPr="00000000" w14:paraId="00000005">
      <w:pPr>
        <w:spacing w:after="200" w:before="200" w:lineRule="auto"/>
        <w:rPr>
          <w:b w:val="1"/>
        </w:rPr>
        <w:sectPr>
          <w:headerReference r:id="rId7" w:type="default"/>
          <w:footerReference r:id="rId8" w:type="default"/>
          <w:footerReference r:id="rId9" w:type="first"/>
          <w:pgSz w:h="15840" w:w="12240" w:orient="portrait"/>
          <w:pgMar w:bottom="1440" w:top="1440" w:left="1440" w:right="1440" w:header="720" w:footer="720"/>
          <w:pgNumType w:start="1"/>
        </w:sectPr>
      </w:pPr>
      <w:r w:rsidDel="00000000" w:rsidR="00000000" w:rsidRPr="00000000">
        <w:rPr>
          <w:rtl w:val="0"/>
        </w:rPr>
        <w:t xml:space="preserve">This meeting was facilitated by Katie Abrams (Abrams) of Birch Road Consulting and supported by Michelle Vigen Ralston (Ralston) and Suhaila Sikand (Sikand) of Common Spark Consulting, as well as Susan Rivo (Rivo) of Raab Associates. Portfolio Administrator (PA) presenters and Questions &amp; Input support included:</w:t>
      </w:r>
      <w:r w:rsidDel="00000000" w:rsidR="00000000" w:rsidRPr="00000000">
        <w:rPr>
          <w:rtl w:val="0"/>
        </w:rPr>
      </w:r>
    </w:p>
    <w:p w:rsidR="00000000" w:rsidDel="00000000" w:rsidP="00000000" w:rsidRDefault="00000000" w:rsidRPr="00000000" w14:paraId="00000006">
      <w:pPr>
        <w:ind w:left="360" w:right="-90" w:firstLine="0"/>
        <w:rPr/>
      </w:pPr>
      <w:hyperlink w:anchor="_x8pud0qyh7nk">
        <w:r w:rsidDel="00000000" w:rsidR="00000000" w:rsidRPr="00000000">
          <w:rPr>
            <w:b w:val="1"/>
            <w:color w:val="1155cc"/>
            <w:u w:val="single"/>
            <w:rtl w:val="0"/>
          </w:rPr>
          <w:t xml:space="preserve">CCR REN</w:t>
        </w:r>
      </w:hyperlink>
      <w:r w:rsidDel="00000000" w:rsidR="00000000" w:rsidRPr="00000000">
        <w:rPr>
          <w:b w:val="1"/>
          <w:rtl w:val="0"/>
        </w:rPr>
        <w:t xml:space="preserve">:</w:t>
      </w:r>
      <w:r w:rsidDel="00000000" w:rsidR="00000000" w:rsidRPr="00000000">
        <w:rPr>
          <w:rtl w:val="0"/>
        </w:rPr>
        <w:t xml:space="preserve"> Jordan Garbayo</w:t>
      </w:r>
    </w:p>
    <w:p w:rsidR="00000000" w:rsidDel="00000000" w:rsidP="00000000" w:rsidRDefault="00000000" w:rsidRPr="00000000" w14:paraId="00000007">
      <w:pPr>
        <w:ind w:left="360" w:right="-90" w:firstLine="0"/>
        <w:rPr/>
      </w:pPr>
      <w:hyperlink w:anchor="_x8pud0qyh7nk">
        <w:r w:rsidDel="00000000" w:rsidR="00000000" w:rsidRPr="00000000">
          <w:rPr>
            <w:b w:val="1"/>
            <w:color w:val="1155cc"/>
            <w:u w:val="single"/>
            <w:rtl w:val="0"/>
          </w:rPr>
          <w:t xml:space="preserve">NREN</w:t>
        </w:r>
      </w:hyperlink>
      <w:r w:rsidDel="00000000" w:rsidR="00000000" w:rsidRPr="00000000">
        <w:rPr>
          <w:b w:val="1"/>
          <w:rtl w:val="0"/>
        </w:rPr>
        <w:t xml:space="preserve">:</w:t>
      </w:r>
      <w:r w:rsidDel="00000000" w:rsidR="00000000" w:rsidRPr="00000000">
        <w:rPr>
          <w:rtl w:val="0"/>
        </w:rPr>
        <w:t xml:space="preserve"> Patricia Terry and Stephen Kullmann</w:t>
      </w:r>
    </w:p>
    <w:p w:rsidR="00000000" w:rsidDel="00000000" w:rsidP="00000000" w:rsidRDefault="00000000" w:rsidRPr="00000000" w14:paraId="00000008">
      <w:pPr>
        <w:ind w:left="360" w:right="-90" w:firstLine="0"/>
        <w:rPr/>
      </w:pPr>
      <w:hyperlink w:anchor="_x8pud0qyh7nk">
        <w:r w:rsidDel="00000000" w:rsidR="00000000" w:rsidRPr="00000000">
          <w:rPr>
            <w:b w:val="1"/>
            <w:color w:val="1155cc"/>
            <w:u w:val="single"/>
            <w:rtl w:val="0"/>
          </w:rPr>
          <w:t xml:space="preserve">SDREN</w:t>
        </w:r>
      </w:hyperlink>
      <w:r w:rsidDel="00000000" w:rsidR="00000000" w:rsidRPr="00000000">
        <w:rPr>
          <w:b w:val="1"/>
          <w:rtl w:val="0"/>
        </w:rPr>
        <w:t xml:space="preserve">:</w:t>
      </w:r>
      <w:r w:rsidDel="00000000" w:rsidR="00000000" w:rsidRPr="00000000">
        <w:rPr>
          <w:rtl w:val="0"/>
        </w:rPr>
        <w:t xml:space="preserve"> Sheena Tran and Aisha Cervantes-Cissna</w:t>
      </w:r>
    </w:p>
    <w:p w:rsidR="00000000" w:rsidDel="00000000" w:rsidP="00000000" w:rsidRDefault="00000000" w:rsidRPr="00000000" w14:paraId="00000009">
      <w:pPr>
        <w:ind w:left="360" w:right="-90" w:firstLine="0"/>
        <w:rPr/>
      </w:pPr>
      <w:hyperlink w:anchor="_ozymyb6b9vsl">
        <w:r w:rsidDel="00000000" w:rsidR="00000000" w:rsidRPr="00000000">
          <w:rPr>
            <w:b w:val="1"/>
            <w:color w:val="1155cc"/>
            <w:u w:val="single"/>
            <w:rtl w:val="0"/>
          </w:rPr>
          <w:t xml:space="preserve">3C-REN</w:t>
        </w:r>
      </w:hyperlink>
      <w:r w:rsidDel="00000000" w:rsidR="00000000" w:rsidRPr="00000000">
        <w:rPr>
          <w:b w:val="1"/>
          <w:rtl w:val="0"/>
        </w:rPr>
        <w:t xml:space="preserve">:</w:t>
      </w:r>
      <w:r w:rsidDel="00000000" w:rsidR="00000000" w:rsidRPr="00000000">
        <w:rPr>
          <w:rtl w:val="0"/>
        </w:rPr>
        <w:t xml:space="preserve"> Erica Helson, Nancy Barba, and Margaret Marchant</w:t>
      </w:r>
    </w:p>
    <w:p w:rsidR="00000000" w:rsidDel="00000000" w:rsidP="00000000" w:rsidRDefault="00000000" w:rsidRPr="00000000" w14:paraId="0000000A">
      <w:pPr>
        <w:ind w:left="360" w:right="-90" w:firstLine="0"/>
        <w:rPr/>
      </w:pPr>
      <w:hyperlink w:anchor="_respero9yn1g">
        <w:r w:rsidDel="00000000" w:rsidR="00000000" w:rsidRPr="00000000">
          <w:rPr>
            <w:b w:val="1"/>
            <w:color w:val="1155cc"/>
            <w:u w:val="single"/>
            <w:rtl w:val="0"/>
          </w:rPr>
          <w:t xml:space="preserve">SCE</w:t>
        </w:r>
      </w:hyperlink>
      <w:r w:rsidDel="00000000" w:rsidR="00000000" w:rsidRPr="00000000">
        <w:rPr>
          <w:b w:val="1"/>
          <w:rtl w:val="0"/>
        </w:rPr>
        <w:t xml:space="preserve">:</w:t>
      </w:r>
      <w:r w:rsidDel="00000000" w:rsidR="00000000" w:rsidRPr="00000000">
        <w:rPr>
          <w:rtl w:val="0"/>
        </w:rPr>
        <w:t xml:space="preserve"> Ashley Hall, Justine Chao, Desiree Villalobos, and Christopher Malotte</w:t>
      </w:r>
    </w:p>
    <w:p w:rsidR="00000000" w:rsidDel="00000000" w:rsidP="00000000" w:rsidRDefault="00000000" w:rsidRPr="00000000" w14:paraId="0000000B">
      <w:pPr>
        <w:ind w:left="360" w:right="-90" w:firstLine="0"/>
        <w:rPr/>
      </w:pPr>
      <w:hyperlink w:anchor="_y6murcgosc68">
        <w:r w:rsidDel="00000000" w:rsidR="00000000" w:rsidRPr="00000000">
          <w:rPr>
            <w:b w:val="1"/>
            <w:color w:val="1155cc"/>
            <w:u w:val="single"/>
            <w:rtl w:val="0"/>
          </w:rPr>
          <w:t xml:space="preserve">SoCalGas</w:t>
        </w:r>
      </w:hyperlink>
      <w:r w:rsidDel="00000000" w:rsidR="00000000" w:rsidRPr="00000000">
        <w:rPr>
          <w:b w:val="1"/>
          <w:rtl w:val="0"/>
        </w:rPr>
        <w:t xml:space="preserve">: </w:t>
      </w:r>
      <w:r w:rsidDel="00000000" w:rsidR="00000000" w:rsidRPr="00000000">
        <w:rPr>
          <w:rtl w:val="0"/>
        </w:rPr>
        <w:t xml:space="preserve">Mori Farid, Roy Christian, Andres Danryd, and Darren Hanway </w:t>
      </w:r>
    </w:p>
    <w:p w:rsidR="00000000" w:rsidDel="00000000" w:rsidP="00000000" w:rsidRDefault="00000000" w:rsidRPr="00000000" w14:paraId="0000000C">
      <w:pPr>
        <w:ind w:left="360" w:right="-90" w:firstLine="0"/>
        <w:rPr/>
      </w:pPr>
      <w:hyperlink w:anchor="_isav72y0c4dv">
        <w:r w:rsidDel="00000000" w:rsidR="00000000" w:rsidRPr="00000000">
          <w:rPr>
            <w:b w:val="1"/>
            <w:color w:val="1155cc"/>
            <w:u w:val="single"/>
            <w:rtl w:val="0"/>
          </w:rPr>
          <w:t xml:space="preserve">SDG&amp;E</w:t>
        </w:r>
      </w:hyperlink>
      <w:r w:rsidDel="00000000" w:rsidR="00000000" w:rsidRPr="00000000">
        <w:rPr>
          <w:b w:val="1"/>
          <w:rtl w:val="0"/>
        </w:rPr>
        <w:t xml:space="preserve">:</w:t>
      </w:r>
      <w:r w:rsidDel="00000000" w:rsidR="00000000" w:rsidRPr="00000000">
        <w:rPr>
          <w:rtl w:val="0"/>
        </w:rPr>
        <w:t xml:space="preserve"> Kelvin Valenzuela</w:t>
      </w:r>
    </w:p>
    <w:p w:rsidR="00000000" w:rsidDel="00000000" w:rsidP="00000000" w:rsidRDefault="00000000" w:rsidRPr="00000000" w14:paraId="0000000D">
      <w:pPr>
        <w:ind w:left="360" w:right="-90" w:firstLine="0"/>
        <w:rPr/>
      </w:pPr>
      <w:hyperlink w:anchor="_ym8igct6p05m">
        <w:r w:rsidDel="00000000" w:rsidR="00000000" w:rsidRPr="00000000">
          <w:rPr>
            <w:b w:val="1"/>
            <w:color w:val="1155cc"/>
            <w:u w:val="single"/>
            <w:rtl w:val="0"/>
          </w:rPr>
          <w:t xml:space="preserve">I-REN</w:t>
        </w:r>
      </w:hyperlink>
      <w:r w:rsidDel="00000000" w:rsidR="00000000" w:rsidRPr="00000000">
        <w:rPr>
          <w:b w:val="1"/>
          <w:rtl w:val="0"/>
        </w:rPr>
        <w:t xml:space="preserve">:</w:t>
      </w:r>
      <w:r w:rsidDel="00000000" w:rsidR="00000000" w:rsidRPr="00000000">
        <w:rPr>
          <w:rtl w:val="0"/>
        </w:rPr>
        <w:t xml:space="preserve"> Benjamin Druyon, Margaret Marchant and Jesse Farber-Eger</w:t>
      </w:r>
    </w:p>
    <w:p w:rsidR="00000000" w:rsidDel="00000000" w:rsidP="00000000" w:rsidRDefault="00000000" w:rsidRPr="00000000" w14:paraId="0000000E">
      <w:pPr>
        <w:ind w:left="360" w:right="-90" w:firstLine="0"/>
        <w:rPr/>
      </w:pPr>
      <w:hyperlink w:anchor="_2kfa6i4z2b5i">
        <w:r w:rsidDel="00000000" w:rsidR="00000000" w:rsidRPr="00000000">
          <w:rPr>
            <w:b w:val="1"/>
            <w:color w:val="1155cc"/>
            <w:u w:val="single"/>
            <w:rtl w:val="0"/>
          </w:rPr>
          <w:t xml:space="preserve">SoCalREN</w:t>
        </w:r>
      </w:hyperlink>
      <w:r w:rsidDel="00000000" w:rsidR="00000000" w:rsidRPr="00000000">
        <w:rPr>
          <w:b w:val="1"/>
          <w:rtl w:val="0"/>
        </w:rPr>
        <w:t xml:space="preserve">:</w:t>
      </w:r>
      <w:r w:rsidDel="00000000" w:rsidR="00000000" w:rsidRPr="00000000">
        <w:rPr>
          <w:rtl w:val="0"/>
        </w:rPr>
        <w:t xml:space="preserve"> Lujuana Medina and Sulma </w:t>
      </w:r>
      <w:r w:rsidDel="00000000" w:rsidR="00000000" w:rsidRPr="00000000">
        <w:rPr>
          <w:rtl w:val="0"/>
        </w:rPr>
        <w:t xml:space="preserve">Hernandez</w:t>
      </w:r>
    </w:p>
    <w:p w:rsidR="00000000" w:rsidDel="00000000" w:rsidP="00000000" w:rsidRDefault="00000000" w:rsidRPr="00000000" w14:paraId="0000000F">
      <w:pPr>
        <w:ind w:left="360" w:right="-90" w:firstLine="0"/>
        <w:rPr/>
      </w:pPr>
      <w:hyperlink w:anchor="_85tsa278qiu5">
        <w:r w:rsidDel="00000000" w:rsidR="00000000" w:rsidRPr="00000000">
          <w:rPr>
            <w:b w:val="1"/>
            <w:color w:val="1155cc"/>
            <w:u w:val="single"/>
            <w:rtl w:val="0"/>
          </w:rPr>
          <w:t xml:space="preserve">PG&amp;E</w:t>
        </w:r>
      </w:hyperlink>
      <w:r w:rsidDel="00000000" w:rsidR="00000000" w:rsidRPr="00000000">
        <w:rPr>
          <w:b w:val="1"/>
          <w:rtl w:val="0"/>
        </w:rPr>
        <w:t xml:space="preserve">:</w:t>
      </w:r>
      <w:r w:rsidDel="00000000" w:rsidR="00000000" w:rsidRPr="00000000">
        <w:rPr>
          <w:rtl w:val="0"/>
        </w:rPr>
        <w:t xml:space="preserve"> Lisa Hunter, Billy Roderick, Jake Richardson, and Angela McDonald</w:t>
      </w:r>
    </w:p>
    <w:p w:rsidR="00000000" w:rsidDel="00000000" w:rsidP="00000000" w:rsidRDefault="00000000" w:rsidRPr="00000000" w14:paraId="00000010">
      <w:pPr>
        <w:ind w:left="360" w:right="-90" w:firstLine="0"/>
        <w:rPr/>
      </w:pPr>
      <w:hyperlink w:anchor="_hq8ffd5zhk5g">
        <w:r w:rsidDel="00000000" w:rsidR="00000000" w:rsidRPr="00000000">
          <w:rPr>
            <w:b w:val="1"/>
            <w:color w:val="1155cc"/>
            <w:u w:val="single"/>
            <w:rtl w:val="0"/>
          </w:rPr>
          <w:t xml:space="preserve">MCE</w:t>
        </w:r>
      </w:hyperlink>
      <w:r w:rsidDel="00000000" w:rsidR="00000000" w:rsidRPr="00000000">
        <w:rPr>
          <w:b w:val="1"/>
          <w:rtl w:val="0"/>
        </w:rPr>
        <w:t xml:space="preserve">:</w:t>
      </w:r>
      <w:r w:rsidDel="00000000" w:rsidR="00000000" w:rsidRPr="00000000">
        <w:rPr>
          <w:rtl w:val="0"/>
        </w:rPr>
        <w:t xml:space="preserve"> Alice Havenar-Daughton, Qua Vallery, Jenn Green, and Alex Valenti</w:t>
      </w:r>
    </w:p>
    <w:p w:rsidR="00000000" w:rsidDel="00000000" w:rsidP="00000000" w:rsidRDefault="00000000" w:rsidRPr="00000000" w14:paraId="00000011">
      <w:pPr>
        <w:ind w:left="360" w:right="-90" w:firstLine="0"/>
        <w:rPr/>
        <w:sectPr>
          <w:type w:val="continuous"/>
          <w:pgSz w:h="15840" w:w="12240" w:orient="portrait"/>
          <w:pgMar w:bottom="1440" w:top="1440" w:left="1440" w:right="1440" w:header="720" w:footer="720"/>
          <w:cols w:equalWidth="0" w:num="2">
            <w:col w:space="360" w:w="4500"/>
            <w:col w:space="0" w:w="4500"/>
          </w:cols>
        </w:sectPr>
      </w:pPr>
      <w:hyperlink w:anchor="_2qqc6z1v013x">
        <w:r w:rsidDel="00000000" w:rsidR="00000000" w:rsidRPr="00000000">
          <w:rPr>
            <w:b w:val="1"/>
            <w:color w:val="1155cc"/>
            <w:u w:val="single"/>
            <w:rtl w:val="0"/>
          </w:rPr>
          <w:t xml:space="preserve">BayREN</w:t>
        </w:r>
      </w:hyperlink>
      <w:r w:rsidDel="00000000" w:rsidR="00000000" w:rsidRPr="00000000">
        <w:rPr>
          <w:b w:val="1"/>
          <w:rtl w:val="0"/>
        </w:rPr>
        <w:t xml:space="preserve">:</w:t>
      </w:r>
      <w:r w:rsidDel="00000000" w:rsidR="00000000" w:rsidRPr="00000000">
        <w:rPr>
          <w:rtl w:val="0"/>
        </w:rPr>
        <w:t xml:space="preserve"> Jane Elias and Tim Olsen</w:t>
      </w:r>
    </w:p>
    <w:p w:rsidR="00000000" w:rsidDel="00000000" w:rsidP="00000000" w:rsidRDefault="00000000" w:rsidRPr="00000000" w14:paraId="00000012">
      <w:pPr>
        <w:spacing w:before="200" w:lineRule="auto"/>
        <w:rPr/>
      </w:pPr>
      <w:r w:rsidDel="00000000" w:rsidR="00000000" w:rsidRPr="00000000">
        <w:rPr>
          <w:rtl w:val="0"/>
        </w:rPr>
        <w:t xml:space="preserve">Relevant materials—including the Agenda, the Slide Deck, PA Annual Reports, a link to CEDARS for additional data on energy savings, and the CAEECC Consensus EE Filing Process Proposal—are available at </w:t>
      </w:r>
      <w:hyperlink r:id="rId10">
        <w:r w:rsidDel="00000000" w:rsidR="00000000" w:rsidRPr="00000000">
          <w:rPr>
            <w:color w:val="1155cc"/>
            <w:u w:val="single"/>
            <w:rtl w:val="0"/>
          </w:rPr>
          <w:t xml:space="preserve">https://www.caeecc.org/8-5-2025-pppr-mtg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spacing w:before="200" w:lineRule="auto"/>
        <w:rPr/>
      </w:pPr>
      <w:r w:rsidDel="00000000" w:rsidR="00000000" w:rsidRPr="00000000">
        <w:rPr>
          <w:rtl w:val="0"/>
        </w:rPr>
        <w:t xml:space="preserve">Key themes from the Annual 2024 Portfolio Performance Report Review:</w:t>
      </w:r>
    </w:p>
    <w:p w:rsidR="00000000" w:rsidDel="00000000" w:rsidP="00000000" w:rsidRDefault="00000000" w:rsidRPr="00000000" w14:paraId="00000014">
      <w:pPr>
        <w:numPr>
          <w:ilvl w:val="0"/>
          <w:numId w:val="18"/>
        </w:numPr>
        <w:ind w:left="720" w:hanging="360"/>
        <w:rPr/>
      </w:pPr>
      <w:r w:rsidDel="00000000" w:rsidR="00000000" w:rsidRPr="00000000">
        <w:rPr>
          <w:rtl w:val="0"/>
        </w:rPr>
        <w:t xml:space="preserve">All IOUs met their total system benefit (TSB) requirements and met or came close to cost effectiveness targets.</w:t>
      </w:r>
    </w:p>
    <w:p w:rsidR="00000000" w:rsidDel="00000000" w:rsidP="00000000" w:rsidRDefault="00000000" w:rsidRPr="00000000" w14:paraId="00000015">
      <w:pPr>
        <w:numPr>
          <w:ilvl w:val="0"/>
          <w:numId w:val="18"/>
        </w:numPr>
        <w:ind w:left="720" w:hanging="360"/>
        <w:rPr/>
      </w:pPr>
      <w:r w:rsidDel="00000000" w:rsidR="00000000" w:rsidRPr="00000000">
        <w:rPr>
          <w:rtl w:val="0"/>
        </w:rPr>
        <w:t xml:space="preserve">The top five contributing programs to TSB per PA were all different.</w:t>
      </w:r>
    </w:p>
    <w:p w:rsidR="00000000" w:rsidDel="00000000" w:rsidP="00000000" w:rsidRDefault="00000000" w:rsidRPr="00000000" w14:paraId="00000016">
      <w:pPr>
        <w:numPr>
          <w:ilvl w:val="0"/>
          <w:numId w:val="18"/>
        </w:numPr>
        <w:spacing w:after="0" w:afterAutospacing="0" w:lineRule="auto"/>
        <w:ind w:left="720" w:hanging="360"/>
      </w:pPr>
      <w:r w:rsidDel="00000000" w:rsidR="00000000" w:rsidRPr="00000000">
        <w:rPr>
          <w:b w:val="1"/>
          <w:rtl w:val="0"/>
        </w:rPr>
        <w:t xml:space="preserve">Performance Metrics:</w:t>
      </w:r>
      <w:r w:rsidDel="00000000" w:rsidR="00000000" w:rsidRPr="00000000">
        <w:rPr>
          <w:rtl w:val="0"/>
        </w:rPr>
        <w:t xml:space="preserve"> PAs are required to achieve TSB goals and non-RENs must also meet total resource cost (TRC) (cost-effectiveness) requirements. Portfolio programs tend to meet one more than the other, so a diversity of programs must be balanced to meet both metrics. Fuel substitution and gas-for-gas measures have an increasing impact on these metrics. </w:t>
      </w:r>
    </w:p>
    <w:p w:rsidR="00000000" w:rsidDel="00000000" w:rsidP="00000000" w:rsidRDefault="00000000" w:rsidRPr="00000000" w14:paraId="00000017">
      <w:pPr>
        <w:numPr>
          <w:ilvl w:val="0"/>
          <w:numId w:val="18"/>
        </w:numPr>
        <w:spacing w:after="0" w:afterAutospacing="0" w:lineRule="auto"/>
        <w:ind w:left="720" w:hanging="360"/>
        <w:rPr>
          <w:b w:val="1"/>
        </w:rPr>
      </w:pPr>
      <w:r w:rsidDel="00000000" w:rsidR="00000000" w:rsidRPr="00000000">
        <w:rPr>
          <w:b w:val="1"/>
          <w:rtl w:val="0"/>
        </w:rPr>
        <w:t xml:space="preserve">Diversity of Programs:</w:t>
      </w:r>
      <w:r w:rsidDel="00000000" w:rsidR="00000000" w:rsidRPr="00000000">
        <w:rPr>
          <w:rtl w:val="0"/>
        </w:rPr>
        <w:t xml:space="preserve"> There is a diversity of programs among PAs, with a continued strong focus on commercial and residential programs. SEM and industrial programs drove energy savings, TRC, and TSB success. </w:t>
      </w:r>
      <w:r w:rsidDel="00000000" w:rsidR="00000000" w:rsidRPr="00000000">
        <w:rPr>
          <w:rtl w:val="0"/>
        </w:rPr>
        <w:t xml:space="preserve">Normalized metered energy consumption (NMEC)</w:t>
      </w:r>
      <w:r w:rsidDel="00000000" w:rsidR="00000000" w:rsidRPr="00000000">
        <w:rPr>
          <w:rtl w:val="0"/>
        </w:rPr>
        <w:t xml:space="preserve"> is also showing up more significantly in portfolios. </w:t>
      </w:r>
    </w:p>
    <w:p w:rsidR="00000000" w:rsidDel="00000000" w:rsidP="00000000" w:rsidRDefault="00000000" w:rsidRPr="00000000" w14:paraId="00000018">
      <w:pPr>
        <w:numPr>
          <w:ilvl w:val="0"/>
          <w:numId w:val="18"/>
        </w:numPr>
        <w:spacing w:after="0" w:afterAutospacing="0" w:lineRule="auto"/>
        <w:ind w:left="720" w:hanging="360"/>
        <w:rPr>
          <w:b w:val="1"/>
        </w:rPr>
      </w:pPr>
      <w:r w:rsidDel="00000000" w:rsidR="00000000" w:rsidRPr="00000000">
        <w:rPr>
          <w:b w:val="1"/>
          <w:rtl w:val="0"/>
        </w:rPr>
        <w:t xml:space="preserve">Workforce:</w:t>
      </w:r>
      <w:r w:rsidDel="00000000" w:rsidR="00000000" w:rsidRPr="00000000">
        <w:rPr>
          <w:rtl w:val="0"/>
        </w:rPr>
        <w:t xml:space="preserve"> Stakeholders seek more intention to make connections between  workforce development programs and energy efficiency (EE) programs.</w:t>
      </w:r>
    </w:p>
    <w:p w:rsidR="00000000" w:rsidDel="00000000" w:rsidP="00000000" w:rsidRDefault="00000000" w:rsidRPr="00000000" w14:paraId="00000019">
      <w:pPr>
        <w:numPr>
          <w:ilvl w:val="0"/>
          <w:numId w:val="18"/>
        </w:numPr>
        <w:spacing w:after="0" w:afterAutospacing="0" w:lineRule="auto"/>
        <w:ind w:left="720" w:hanging="360"/>
        <w:rPr>
          <w:b w:val="1"/>
        </w:rPr>
      </w:pPr>
      <w:r w:rsidDel="00000000" w:rsidR="00000000" w:rsidRPr="00000000">
        <w:rPr>
          <w:b w:val="1"/>
          <w:rtl w:val="0"/>
        </w:rPr>
        <w:t xml:space="preserve">Market Challenges:</w:t>
      </w:r>
      <w:r w:rsidDel="00000000" w:rsidR="00000000" w:rsidRPr="00000000">
        <w:rPr>
          <w:rtl w:val="0"/>
        </w:rPr>
        <w:t xml:space="preserve"> PAs are showing ongoing innovation to better serve hard to reach (HTR) customers. Issues are arising especially when asking for sensitive data. Changing measure packages (without sufficient notice) and challenges in NMEC modeling create project uncertainty or holdups. PAs realized a workforce transition is needed for a significant increase in heat pump (HP) installations. Lastly, program and implementer transitions take time and may be part of certain programs’ increased costs.</w:t>
      </w:r>
    </w:p>
    <w:p w:rsidR="00000000" w:rsidDel="00000000" w:rsidP="00000000" w:rsidRDefault="00000000" w:rsidRPr="00000000" w14:paraId="0000001A">
      <w:pPr>
        <w:numPr>
          <w:ilvl w:val="0"/>
          <w:numId w:val="18"/>
        </w:numPr>
        <w:spacing w:after="200" w:lineRule="auto"/>
        <w:ind w:left="720" w:hanging="360"/>
        <w:rPr>
          <w:b w:val="1"/>
        </w:rPr>
      </w:pPr>
      <w:r w:rsidDel="00000000" w:rsidR="00000000" w:rsidRPr="00000000">
        <w:rPr>
          <w:b w:val="1"/>
          <w:rtl w:val="0"/>
        </w:rPr>
        <w:t xml:space="preserve">Affordability and Political Considerations:</w:t>
      </w:r>
      <w:r w:rsidDel="00000000" w:rsidR="00000000" w:rsidRPr="00000000">
        <w:rPr>
          <w:rtl w:val="0"/>
        </w:rPr>
        <w:t xml:space="preserve"> While cost effectiveness is often the metric used to consider affordability, TSB also contributes to affordability but less transparently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rPr/>
        <w:sectPr>
          <w:type w:val="continuous"/>
          <w:pgSz w:h="15840" w:w="12240" w:orient="portrait"/>
          <w:pgMar w:bottom="1440" w:top="1440" w:left="1440" w:right="1440" w:header="720" w:footer="720"/>
        </w:sectPr>
      </w:pPr>
      <w:r w:rsidDel="00000000" w:rsidR="00000000" w:rsidRPr="00000000">
        <w:rPr>
          <w:i w:val="1"/>
          <w:rtl w:val="0"/>
        </w:rPr>
        <w:t xml:space="preserve">This meeting summary is intended to capture the overarching discussion of ideas, thoughts, and concerns; it is a high-level summary and not a transcript.</w:t>
      </w:r>
      <w:r w:rsidDel="00000000" w:rsidR="00000000" w:rsidRPr="00000000">
        <w:rPr>
          <w:rtl w:val="0"/>
        </w:rPr>
      </w:r>
    </w:p>
    <w:p w:rsidR="00000000" w:rsidDel="00000000" w:rsidP="00000000" w:rsidRDefault="00000000" w:rsidRPr="00000000" w14:paraId="0000001C">
      <w:pPr>
        <w:pStyle w:val="Heading1"/>
        <w:rPr/>
      </w:pPr>
      <w:bookmarkStart w:colFirst="0" w:colLast="0" w:name="_2gs70ics5bbq" w:id="3"/>
      <w:bookmarkEnd w:id="3"/>
      <w:r w:rsidDel="00000000" w:rsidR="00000000" w:rsidRPr="00000000">
        <w:rPr>
          <w:rtl w:val="0"/>
        </w:rPr>
        <w:t xml:space="preserve">Performance Overview</w:t>
      </w:r>
    </w:p>
    <w:p w:rsidR="00000000" w:rsidDel="00000000" w:rsidP="00000000" w:rsidRDefault="00000000" w:rsidRPr="00000000" w14:paraId="0000001D">
      <w:pPr>
        <w:rPr>
          <w:sz w:val="20"/>
          <w:szCs w:val="20"/>
        </w:rPr>
      </w:pPr>
      <w:r w:rsidDel="00000000" w:rsidR="00000000" w:rsidRPr="00000000">
        <w:rPr>
          <w:i w:val="1"/>
          <w:sz w:val="20"/>
          <w:szCs w:val="20"/>
          <w:rtl w:val="0"/>
        </w:rPr>
        <w:t xml:space="preserve">Slides: 18 - 33</w:t>
      </w:r>
      <w:r w:rsidDel="00000000" w:rsidR="00000000" w:rsidRPr="00000000">
        <w:rPr>
          <w:rtl w:val="0"/>
        </w:rPr>
      </w:r>
    </w:p>
    <w:p w:rsidR="00000000" w:rsidDel="00000000" w:rsidP="00000000" w:rsidRDefault="00000000" w:rsidRPr="00000000" w14:paraId="0000001E">
      <w:pPr>
        <w:spacing w:before="200" w:lineRule="auto"/>
        <w:rPr/>
      </w:pPr>
      <w:r w:rsidDel="00000000" w:rsidR="00000000" w:rsidRPr="00000000">
        <w:rPr>
          <w:rtl w:val="0"/>
        </w:rPr>
        <w:t xml:space="preserve">Coby Rudolph and Gillian Weaver (CPUC Energy Division) presented an overview of the 2024 performance reviews, covering achievements compared to targets, cost effectiveness (CE), expenditures, and TSB achievement. Of note, all IOUs met their TSB targets, met or came close to cost effectiveness targets, and generally saw a significant growth in fuel substitution since 2023.</w:t>
      </w:r>
    </w:p>
    <w:p w:rsidR="00000000" w:rsidDel="00000000" w:rsidP="00000000" w:rsidRDefault="00000000" w:rsidRPr="00000000" w14:paraId="0000001F">
      <w:pPr>
        <w:spacing w:before="200" w:lineRule="auto"/>
        <w:rPr/>
      </w:pPr>
      <w:r w:rsidDel="00000000" w:rsidR="00000000" w:rsidRPr="00000000">
        <w:rPr>
          <w:rtl w:val="0"/>
        </w:rPr>
        <w:t xml:space="preserve">Energy</w:t>
      </w:r>
      <w:r w:rsidDel="00000000" w:rsidR="00000000" w:rsidRPr="00000000">
        <w:rPr>
          <w:rtl w:val="0"/>
        </w:rPr>
        <w:t xml:space="preserve"> Division shared a CEDARS table that shows spend by segment, as well as by PA. To view the data, follow the link below and select “2024”: </w:t>
      </w:r>
      <w:hyperlink r:id="rId11">
        <w:r w:rsidDel="00000000" w:rsidR="00000000" w:rsidRPr="00000000">
          <w:rPr>
            <w:color w:val="1155cc"/>
            <w:u w:val="single"/>
            <w:rtl w:val="0"/>
          </w:rPr>
          <w:t xml:space="preserve">https://cedars.cpuc.ca.gov/claims/all-confirmed-dashboard/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pStyle w:val="Heading1"/>
        <w:rPr/>
      </w:pPr>
      <w:bookmarkStart w:colFirst="0" w:colLast="0" w:name="_x8pud0qyh7nk" w:id="4"/>
      <w:bookmarkEnd w:id="4"/>
      <w:r w:rsidDel="00000000" w:rsidR="00000000" w:rsidRPr="00000000">
        <w:rPr>
          <w:rtl w:val="0"/>
        </w:rPr>
        <w:t xml:space="preserve">Overview of New PAs</w:t>
      </w:r>
      <w:r w:rsidDel="00000000" w:rsidR="00000000" w:rsidRPr="00000000">
        <w:rPr>
          <w:rtl w:val="0"/>
        </w:rPr>
      </w:r>
    </w:p>
    <w:p w:rsidR="00000000" w:rsidDel="00000000" w:rsidP="00000000" w:rsidRDefault="00000000" w:rsidRPr="00000000" w14:paraId="00000021">
      <w:pPr>
        <w:spacing w:after="200" w:lineRule="auto"/>
        <w:rPr/>
      </w:pPr>
      <w:r w:rsidDel="00000000" w:rsidR="00000000" w:rsidRPr="00000000">
        <w:rPr>
          <w:i w:val="1"/>
          <w:sz w:val="20"/>
          <w:szCs w:val="20"/>
          <w:rtl w:val="0"/>
        </w:rPr>
        <w:t xml:space="preserve">Slides: 34 - 57</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As new PAs, </w:t>
      </w:r>
      <w:r w:rsidDel="00000000" w:rsidR="00000000" w:rsidRPr="00000000">
        <w:rPr>
          <w:rtl w:val="0"/>
        </w:rPr>
        <w:t xml:space="preserve">CCR REN, NREN, and SDREN did not have 2024 programs to present at the Annual Portfolio Performance Report Review. Instead, they </w:t>
      </w:r>
      <w:r w:rsidDel="00000000" w:rsidR="00000000" w:rsidRPr="00000000">
        <w:rPr>
          <w:rtl w:val="0"/>
        </w:rPr>
        <w:t xml:space="preserve">presented their respective service area, 2024 spend, and preview of portfolio activities. </w:t>
      </w:r>
    </w:p>
    <w:p w:rsidR="00000000" w:rsidDel="00000000" w:rsidP="00000000" w:rsidRDefault="00000000" w:rsidRPr="00000000" w14:paraId="00000023">
      <w:pPr>
        <w:spacing w:after="120" w:before="200" w:line="240" w:lineRule="auto"/>
        <w:ind w:left="0" w:firstLine="0"/>
        <w:rPr>
          <w:i w:val="1"/>
        </w:rPr>
      </w:pPr>
      <w:r w:rsidDel="00000000" w:rsidR="00000000" w:rsidRPr="00000000">
        <w:rPr>
          <w:i w:val="1"/>
          <w:rtl w:val="0"/>
        </w:rPr>
        <w:t xml:space="preserve">No questions or input was elevated for new PAs from CAEECC Members or the Public.</w:t>
      </w:r>
    </w:p>
    <w:p w:rsidR="00000000" w:rsidDel="00000000" w:rsidP="00000000" w:rsidRDefault="00000000" w:rsidRPr="00000000" w14:paraId="00000024">
      <w:pPr>
        <w:pStyle w:val="Heading1"/>
        <w:rPr/>
      </w:pPr>
      <w:bookmarkStart w:colFirst="0" w:colLast="0" w:name="_bjjfm8wdk2ma" w:id="5"/>
      <w:bookmarkEnd w:id="5"/>
      <w:r w:rsidDel="00000000" w:rsidR="00000000" w:rsidRPr="00000000">
        <w:rPr>
          <w:rtl w:val="0"/>
        </w:rPr>
        <w:t xml:space="preserve">Central CA Performance Review</w:t>
      </w:r>
    </w:p>
    <w:p w:rsidR="00000000" w:rsidDel="00000000" w:rsidP="00000000" w:rsidRDefault="00000000" w:rsidRPr="00000000" w14:paraId="00000025">
      <w:pPr>
        <w:spacing w:before="0" w:lineRule="auto"/>
        <w:rPr>
          <w:i w:val="1"/>
          <w:color w:val="2a2a2a"/>
          <w:sz w:val="20"/>
          <w:szCs w:val="20"/>
        </w:rPr>
      </w:pPr>
      <w:r w:rsidDel="00000000" w:rsidR="00000000" w:rsidRPr="00000000">
        <w:rPr>
          <w:i w:val="1"/>
          <w:sz w:val="20"/>
          <w:szCs w:val="20"/>
          <w:rtl w:val="0"/>
        </w:rPr>
        <w:t xml:space="preserve">Slides:</w:t>
      </w:r>
      <w:r w:rsidDel="00000000" w:rsidR="00000000" w:rsidRPr="00000000">
        <w:rPr>
          <w:i w:val="1"/>
          <w:color w:val="2a2a2a"/>
          <w:sz w:val="20"/>
          <w:szCs w:val="20"/>
          <w:rtl w:val="0"/>
        </w:rPr>
        <w:t xml:space="preserve"> 58 - 68</w:t>
      </w:r>
    </w:p>
    <w:p w:rsidR="00000000" w:rsidDel="00000000" w:rsidP="00000000" w:rsidRDefault="00000000" w:rsidRPr="00000000" w14:paraId="00000026">
      <w:pPr>
        <w:spacing w:before="200" w:lineRule="auto"/>
        <w:rPr/>
      </w:pPr>
      <w:r w:rsidDel="00000000" w:rsidR="00000000" w:rsidRPr="00000000">
        <w:rPr>
          <w:rtl w:val="0"/>
        </w:rPr>
        <w:t xml:space="preserve">3C-REN presented their 2024 Annual Portfolio Performance Report Review followed by Questions &amp; Input from CAEECC Members and then by Members of the Public via Slido. </w:t>
      </w:r>
    </w:p>
    <w:p w:rsidR="00000000" w:rsidDel="00000000" w:rsidP="00000000" w:rsidRDefault="00000000" w:rsidRPr="00000000" w14:paraId="00000027">
      <w:pPr>
        <w:pStyle w:val="Heading2"/>
        <w:keepNext w:val="0"/>
        <w:keepLines w:val="0"/>
        <w:rPr/>
      </w:pPr>
      <w:bookmarkStart w:colFirst="0" w:colLast="0" w:name="_ozymyb6b9vsl" w:id="6"/>
      <w:bookmarkEnd w:id="6"/>
      <w:r w:rsidDel="00000000" w:rsidR="00000000" w:rsidRPr="00000000">
        <w:rPr>
          <w:rtl w:val="0"/>
        </w:rPr>
        <w:t xml:space="preserve">Summary of Discussion </w:t>
      </w:r>
      <w:r w:rsidDel="00000000" w:rsidR="00000000" w:rsidRPr="00000000">
        <w:rPr>
          <w:rtl w:val="0"/>
        </w:rPr>
        <w:t xml:space="preserve">on 3C-REN’s 2024 Annual Portfolio Performance Report Review</w:t>
      </w:r>
    </w:p>
    <w:p w:rsidR="00000000" w:rsidDel="00000000" w:rsidP="00000000" w:rsidRDefault="00000000" w:rsidRPr="00000000" w14:paraId="00000028">
      <w:pPr>
        <w:keepNext w:val="0"/>
        <w:keepLines w:val="0"/>
        <w:numPr>
          <w:ilvl w:val="0"/>
          <w:numId w:val="22"/>
        </w:numPr>
        <w:ind w:left="720" w:hanging="360"/>
        <w:rPr/>
      </w:pPr>
      <w:r w:rsidDel="00000000" w:rsidR="00000000" w:rsidRPr="00000000">
        <w:rPr>
          <w:rtl w:val="0"/>
        </w:rPr>
        <w:t xml:space="preserve">3C-REN is working to balance energy savings, project costs, and greenhouse gas (GHG) reductions for programs while prioritizing serving HTR customers.</w:t>
      </w:r>
    </w:p>
    <w:p w:rsidR="00000000" w:rsidDel="00000000" w:rsidP="00000000" w:rsidRDefault="00000000" w:rsidRPr="00000000" w14:paraId="00000029">
      <w:pPr>
        <w:keepNext w:val="0"/>
        <w:keepLines w:val="0"/>
        <w:numPr>
          <w:ilvl w:val="0"/>
          <w:numId w:val="22"/>
        </w:numPr>
        <w:ind w:left="720" w:hanging="360"/>
        <w:rPr>
          <w:u w:val="none"/>
        </w:rPr>
      </w:pPr>
      <w:r w:rsidDel="00000000" w:rsidR="00000000" w:rsidRPr="00000000">
        <w:rPr>
          <w:rtl w:val="0"/>
        </w:rPr>
        <w:t xml:space="preserve">3C-REN is facing challenges—including requiring contractors to forecast energy savings and a limited upfront incentive—within their commercial NMEC program to reach HTR commercial customers specifically. 3C-REN is guiding contractors to do more customer outreach, such as door to door, and supporting smaller local contractors to participate in the NMEC program. </w:t>
      </w:r>
    </w:p>
    <w:p w:rsidR="00000000" w:rsidDel="00000000" w:rsidP="00000000" w:rsidRDefault="00000000" w:rsidRPr="00000000" w14:paraId="0000002A">
      <w:pPr>
        <w:keepNext w:val="0"/>
        <w:keepLines w:val="0"/>
        <w:numPr>
          <w:ilvl w:val="0"/>
          <w:numId w:val="22"/>
        </w:numPr>
        <w:ind w:left="720" w:hanging="360"/>
        <w:rPr>
          <w:u w:val="none"/>
        </w:rPr>
      </w:pPr>
      <w:r w:rsidDel="00000000" w:rsidR="00000000" w:rsidRPr="00000000">
        <w:rPr>
          <w:rtl w:val="0"/>
        </w:rPr>
        <w:t xml:space="preserve">3C-REN had more residential participants choosing electrification measure implementation than expected, which drove much of the TSB and electricity realization rates.</w:t>
      </w:r>
      <w:r w:rsidDel="00000000" w:rsidR="00000000" w:rsidRPr="00000000">
        <w:rPr>
          <w:rtl w:val="0"/>
        </w:rPr>
      </w:r>
    </w:p>
    <w:p w:rsidR="00000000" w:rsidDel="00000000" w:rsidP="00000000" w:rsidRDefault="00000000" w:rsidRPr="00000000" w14:paraId="0000002B">
      <w:pPr>
        <w:keepNext w:val="0"/>
        <w:keepLines w:val="0"/>
        <w:numPr>
          <w:ilvl w:val="0"/>
          <w:numId w:val="22"/>
        </w:numPr>
        <w:ind w:left="720" w:hanging="360"/>
        <w:rPr>
          <w:u w:val="none"/>
        </w:rPr>
      </w:pPr>
      <w:r w:rsidDel="00000000" w:rsidR="00000000" w:rsidRPr="00000000">
        <w:rPr>
          <w:rtl w:val="0"/>
        </w:rPr>
        <w:t xml:space="preserve">3C-REN is working to address the challenge of small contractors not being able to meet requirements to participate in their residential NMEC program, such as forecasting energy savings. However, the high kWh (97%), therm (81%), and TSB (92%) realization rates show that contractors currently participating in their programs are submitting energy estimates that very closely match measured energy performance.</w:t>
      </w:r>
    </w:p>
    <w:p w:rsidR="00000000" w:rsidDel="00000000" w:rsidP="00000000" w:rsidRDefault="00000000" w:rsidRPr="00000000" w14:paraId="0000002C">
      <w:pPr>
        <w:keepNext w:val="0"/>
        <w:keepLines w:val="0"/>
        <w:numPr>
          <w:ilvl w:val="0"/>
          <w:numId w:val="22"/>
        </w:numPr>
        <w:ind w:left="720" w:hanging="360"/>
        <w:rPr>
          <w:u w:val="none"/>
        </w:rPr>
      </w:pPr>
      <w:r w:rsidDel="00000000" w:rsidR="00000000" w:rsidRPr="00000000">
        <w:rPr>
          <w:rtl w:val="0"/>
        </w:rPr>
        <w:t xml:space="preserve">3C-REN does not track if workforce training leads to installations directly and does not require workforce program participants to report on installations after a training. 3C-REN has addressed a previous gap in trained contractors for heat pump water heater (HPWH) installation through their training efforts.</w:t>
      </w:r>
      <w:r w:rsidDel="00000000" w:rsidR="00000000" w:rsidRPr="00000000">
        <w:rPr>
          <w:rtl w:val="0"/>
        </w:rPr>
      </w:r>
    </w:p>
    <w:p w:rsidR="00000000" w:rsidDel="00000000" w:rsidP="00000000" w:rsidRDefault="00000000" w:rsidRPr="00000000" w14:paraId="0000002D">
      <w:pPr>
        <w:spacing w:after="120" w:before="200" w:line="240" w:lineRule="auto"/>
        <w:rPr>
          <w:i w:val="1"/>
          <w:color w:val="2a2a2a"/>
        </w:rPr>
      </w:pPr>
      <w:r w:rsidDel="00000000" w:rsidR="00000000" w:rsidRPr="00000000">
        <w:rPr>
          <w:i w:val="1"/>
          <w:color w:val="2a2a2a"/>
          <w:rtl w:val="0"/>
        </w:rPr>
        <w:t xml:space="preserve">Questions, Responses, and Input are available in </w:t>
      </w:r>
      <w:hyperlink w:anchor="_85j6eu1kxb0l">
        <w:r w:rsidDel="00000000" w:rsidR="00000000" w:rsidRPr="00000000">
          <w:rPr>
            <w:i w:val="1"/>
            <w:color w:val="1155cc"/>
            <w:u w:val="single"/>
            <w:rtl w:val="0"/>
          </w:rPr>
          <w:t xml:space="preserve">Appendix B: 3C-REN Q&amp;A and Input</w:t>
        </w:r>
      </w:hyperlink>
      <w:r w:rsidDel="00000000" w:rsidR="00000000" w:rsidRPr="00000000">
        <w:rPr>
          <w:rtl w:val="0"/>
        </w:rPr>
      </w:r>
    </w:p>
    <w:p w:rsidR="00000000" w:rsidDel="00000000" w:rsidP="00000000" w:rsidRDefault="00000000" w:rsidRPr="00000000" w14:paraId="0000002E">
      <w:pPr>
        <w:pStyle w:val="Heading1"/>
        <w:spacing w:before="400" w:lineRule="auto"/>
        <w:rPr/>
      </w:pPr>
      <w:bookmarkStart w:colFirst="0" w:colLast="0" w:name="_sjl8nho9pfjm" w:id="7"/>
      <w:bookmarkEnd w:id="7"/>
      <w:r w:rsidDel="00000000" w:rsidR="00000000" w:rsidRPr="00000000">
        <w:rPr>
          <w:rtl w:val="0"/>
        </w:rPr>
        <w:t xml:space="preserve">Southern CA Performance Review</w:t>
      </w:r>
    </w:p>
    <w:p w:rsidR="00000000" w:rsidDel="00000000" w:rsidP="00000000" w:rsidRDefault="00000000" w:rsidRPr="00000000" w14:paraId="0000002F">
      <w:pPr>
        <w:spacing w:after="200" w:lineRule="auto"/>
        <w:rPr>
          <w:i w:val="1"/>
        </w:rPr>
      </w:pPr>
      <w:r w:rsidDel="00000000" w:rsidR="00000000" w:rsidRPr="00000000">
        <w:rPr>
          <w:i w:val="1"/>
          <w:sz w:val="20"/>
          <w:szCs w:val="20"/>
          <w:rtl w:val="0"/>
        </w:rPr>
        <w:t xml:space="preserve">Slides: 69 - 124</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SCE, SoCalGas, SDGE, I-REN, and SoCalREN presented their respective 2024 Annual Portfolio Performance Report Review. Each presentation was followed by Questions &amp; Input from CAEECC Members and then by Members of the Public via Slido. The session concluded with a Regional Q&amp;A, providing attendees the opportunity to direct questions to any specific PA in the region or present high-level themes for multiple PAs to address.</w:t>
      </w:r>
    </w:p>
    <w:p w:rsidR="00000000" w:rsidDel="00000000" w:rsidP="00000000" w:rsidRDefault="00000000" w:rsidRPr="00000000" w14:paraId="00000031">
      <w:pPr>
        <w:pStyle w:val="Heading2"/>
        <w:keepNext w:val="0"/>
        <w:keepLines w:val="0"/>
        <w:rPr/>
      </w:pPr>
      <w:bookmarkStart w:colFirst="0" w:colLast="0" w:name="_respero9yn1g" w:id="8"/>
      <w:bookmarkEnd w:id="8"/>
      <w:r w:rsidDel="00000000" w:rsidR="00000000" w:rsidRPr="00000000">
        <w:rPr>
          <w:rtl w:val="0"/>
        </w:rPr>
        <w:t xml:space="preserve">Summary of Discussion on SCE’s 2024 Annual Portfolio Performance Report Review</w:t>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SCE summarized two program closures in 2024 due to cost effectiveness thresholds and external factors that were difficult to overcome.</w:t>
      </w:r>
    </w:p>
    <w:p w:rsidR="00000000" w:rsidDel="00000000" w:rsidP="00000000" w:rsidRDefault="00000000" w:rsidRPr="00000000" w14:paraId="00000033">
      <w:pPr>
        <w:numPr>
          <w:ilvl w:val="0"/>
          <w:numId w:val="7"/>
        </w:numPr>
        <w:ind w:left="720" w:hanging="360"/>
        <w:rPr/>
      </w:pPr>
      <w:r w:rsidDel="00000000" w:rsidR="00000000" w:rsidRPr="00000000">
        <w:rPr>
          <w:rtl w:val="0"/>
        </w:rPr>
        <w:t xml:space="preserve">SCE noted there are multiple programs for non-equity residential customers, noting that the single family (SF) and multifamily (MF) programs have a high participation rate and may provide </w:t>
      </w:r>
      <w:r w:rsidDel="00000000" w:rsidR="00000000" w:rsidRPr="00000000">
        <w:rPr>
          <w:rtl w:val="0"/>
        </w:rPr>
        <w:t xml:space="preserve">excess delivery</w:t>
      </w:r>
      <w:r w:rsidDel="00000000" w:rsidR="00000000" w:rsidRPr="00000000">
        <w:rPr>
          <w:rtl w:val="0"/>
        </w:rPr>
        <w:t xml:space="preserve"> in 2025.</w:t>
      </w:r>
      <w:r w:rsidDel="00000000" w:rsidR="00000000" w:rsidRPr="00000000">
        <w:rPr>
          <w:rtl w:val="0"/>
        </w:rPr>
      </w:r>
    </w:p>
    <w:p w:rsidR="00000000" w:rsidDel="00000000" w:rsidP="00000000" w:rsidRDefault="00000000" w:rsidRPr="00000000" w14:paraId="00000034">
      <w:pPr>
        <w:spacing w:after="120" w:before="200" w:line="240" w:lineRule="auto"/>
        <w:rPr/>
      </w:pPr>
      <w:r w:rsidDel="00000000" w:rsidR="00000000" w:rsidRPr="00000000">
        <w:rPr>
          <w:i w:val="1"/>
          <w:color w:val="2a2a2a"/>
          <w:rtl w:val="0"/>
        </w:rPr>
        <w:t xml:space="preserve">Questions, Responses, and Input are available in </w:t>
      </w:r>
      <w:hyperlink w:anchor="_i0lr3f7oy2ks">
        <w:r w:rsidDel="00000000" w:rsidR="00000000" w:rsidRPr="00000000">
          <w:rPr>
            <w:i w:val="1"/>
            <w:color w:val="1155cc"/>
            <w:u w:val="single"/>
            <w:rtl w:val="0"/>
          </w:rPr>
          <w:t xml:space="preserve">Appendix B: SCE Q&amp;A and Input</w:t>
        </w:r>
      </w:hyperlink>
      <w:r w:rsidDel="00000000" w:rsidR="00000000" w:rsidRPr="00000000">
        <w:rPr>
          <w:rtl w:val="0"/>
        </w:rPr>
      </w:r>
    </w:p>
    <w:p w:rsidR="00000000" w:rsidDel="00000000" w:rsidP="00000000" w:rsidRDefault="00000000" w:rsidRPr="00000000" w14:paraId="00000035">
      <w:pPr>
        <w:pStyle w:val="Heading2"/>
        <w:keepNext w:val="0"/>
        <w:keepLines w:val="0"/>
        <w:rPr/>
      </w:pPr>
      <w:bookmarkStart w:colFirst="0" w:colLast="0" w:name="_y6murcgosc68" w:id="9"/>
      <w:bookmarkEnd w:id="9"/>
      <w:r w:rsidDel="00000000" w:rsidR="00000000" w:rsidRPr="00000000">
        <w:rPr>
          <w:rtl w:val="0"/>
        </w:rPr>
        <w:t xml:space="preserve">Summary of Discussion on SoCalGas’ 2024 Annual Portfolio Performance Report Review</w:t>
      </w:r>
      <w:r w:rsidDel="00000000" w:rsidR="00000000" w:rsidRPr="00000000">
        <w:rPr>
          <w:rtl w:val="0"/>
        </w:rPr>
      </w:r>
    </w:p>
    <w:p w:rsidR="00000000" w:rsidDel="00000000" w:rsidP="00000000" w:rsidRDefault="00000000" w:rsidRPr="00000000" w14:paraId="00000036">
      <w:pPr>
        <w:numPr>
          <w:ilvl w:val="0"/>
          <w:numId w:val="24"/>
        </w:numPr>
        <w:ind w:left="720" w:hanging="360"/>
        <w:rPr>
          <w:u w:val="none"/>
        </w:rPr>
      </w:pPr>
      <w:r w:rsidDel="00000000" w:rsidR="00000000" w:rsidRPr="00000000">
        <w:rPr>
          <w:rtl w:val="0"/>
        </w:rPr>
        <w:t xml:space="preserve">SoCalGas highlighted their top performing programs for TSB (Midstream Commercial Water Heating, Residential Core, and Small Business) and top Expenditures (Residential Core, Agricultural, and Midstream Commercial Water Heating).</w:t>
      </w:r>
    </w:p>
    <w:p w:rsidR="00000000" w:rsidDel="00000000" w:rsidP="00000000" w:rsidRDefault="00000000" w:rsidRPr="00000000" w14:paraId="00000037">
      <w:pPr>
        <w:numPr>
          <w:ilvl w:val="0"/>
          <w:numId w:val="24"/>
        </w:numPr>
        <w:ind w:left="720" w:hanging="360"/>
        <w:rPr/>
      </w:pPr>
      <w:r w:rsidDel="00000000" w:rsidR="00000000" w:rsidRPr="00000000">
        <w:rPr>
          <w:rtl w:val="0"/>
        </w:rPr>
        <w:t xml:space="preserve">SoCalGas distributed 66,062 Energy Efficiency kits to residential customers and received a total of 73 returns.</w:t>
      </w:r>
    </w:p>
    <w:p w:rsidR="00000000" w:rsidDel="00000000" w:rsidP="00000000" w:rsidRDefault="00000000" w:rsidRPr="00000000" w14:paraId="00000038">
      <w:pPr>
        <w:spacing w:after="120" w:before="200" w:line="240" w:lineRule="auto"/>
        <w:rPr/>
      </w:pPr>
      <w:r w:rsidDel="00000000" w:rsidR="00000000" w:rsidRPr="00000000">
        <w:rPr>
          <w:i w:val="1"/>
          <w:color w:val="2a2a2a"/>
          <w:rtl w:val="0"/>
        </w:rPr>
        <w:t xml:space="preserve">Questions, Responses, and Input are available in </w:t>
      </w:r>
      <w:hyperlink w:anchor="_867actin3o4b">
        <w:r w:rsidDel="00000000" w:rsidR="00000000" w:rsidRPr="00000000">
          <w:rPr>
            <w:i w:val="1"/>
            <w:color w:val="1155cc"/>
            <w:u w:val="single"/>
            <w:rtl w:val="0"/>
          </w:rPr>
          <w:t xml:space="preserve">Appendix B: SoCalGas Q&amp;A and Input</w:t>
        </w:r>
      </w:hyperlink>
      <w:r w:rsidDel="00000000" w:rsidR="00000000" w:rsidRPr="00000000">
        <w:rPr>
          <w:rtl w:val="0"/>
        </w:rPr>
      </w:r>
    </w:p>
    <w:p w:rsidR="00000000" w:rsidDel="00000000" w:rsidP="00000000" w:rsidRDefault="00000000" w:rsidRPr="00000000" w14:paraId="00000039">
      <w:pPr>
        <w:pStyle w:val="Heading2"/>
        <w:keepNext w:val="0"/>
        <w:keepLines w:val="0"/>
        <w:spacing w:before="320" w:lineRule="auto"/>
        <w:rPr/>
      </w:pPr>
      <w:bookmarkStart w:colFirst="0" w:colLast="0" w:name="_isav72y0c4dv" w:id="10"/>
      <w:bookmarkEnd w:id="10"/>
      <w:r w:rsidDel="00000000" w:rsidR="00000000" w:rsidRPr="00000000">
        <w:rPr>
          <w:rtl w:val="0"/>
        </w:rPr>
        <w:t xml:space="preserve">Summary of Discussion on SDG&amp;E’s 2024 Annual Portfolio Performance Report Review</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SDG&amp;E clarified that some reporting tables in their presentation had differences from the reporting tables in CEDARS due to the limitations in CEDARS to reclassify legacy programs. The reporting in </w:t>
      </w:r>
      <w:r w:rsidDel="00000000" w:rsidR="00000000" w:rsidRPr="00000000">
        <w:rPr>
          <w:rtl w:val="0"/>
        </w:rPr>
        <w:t xml:space="preserve">CEDARS</w:t>
      </w:r>
      <w:r w:rsidDel="00000000" w:rsidR="00000000" w:rsidRPr="00000000">
        <w:rPr>
          <w:rtl w:val="0"/>
        </w:rPr>
        <w:t xml:space="preserve"> is accurate.</w:t>
      </w:r>
    </w:p>
    <w:p w:rsidR="00000000" w:rsidDel="00000000" w:rsidP="00000000" w:rsidRDefault="00000000" w:rsidRPr="00000000" w14:paraId="0000003B">
      <w:pPr>
        <w:spacing w:after="120" w:before="200" w:line="240" w:lineRule="auto"/>
        <w:rPr/>
      </w:pPr>
      <w:r w:rsidDel="00000000" w:rsidR="00000000" w:rsidRPr="00000000">
        <w:rPr>
          <w:i w:val="1"/>
          <w:color w:val="2a2a2a"/>
          <w:rtl w:val="0"/>
        </w:rPr>
        <w:t xml:space="preserve">Questions, Responses, and Input are available in </w:t>
      </w:r>
      <w:hyperlink w:anchor="_qxfkwndpr4tt">
        <w:r w:rsidDel="00000000" w:rsidR="00000000" w:rsidRPr="00000000">
          <w:rPr>
            <w:i w:val="1"/>
            <w:color w:val="1155cc"/>
            <w:u w:val="single"/>
            <w:rtl w:val="0"/>
          </w:rPr>
          <w:t xml:space="preserve">Appendix B: SDG&amp;E Q&amp;A and Input</w:t>
        </w:r>
      </w:hyperlink>
      <w:r w:rsidDel="00000000" w:rsidR="00000000" w:rsidRPr="00000000">
        <w:rPr>
          <w:rtl w:val="0"/>
        </w:rPr>
      </w:r>
    </w:p>
    <w:p w:rsidR="00000000" w:rsidDel="00000000" w:rsidP="00000000" w:rsidRDefault="00000000" w:rsidRPr="00000000" w14:paraId="0000003C">
      <w:pPr>
        <w:pStyle w:val="Heading2"/>
        <w:keepNext w:val="0"/>
        <w:keepLines w:val="0"/>
        <w:rPr/>
      </w:pPr>
      <w:bookmarkStart w:colFirst="0" w:colLast="0" w:name="_ym8igct6p05m" w:id="11"/>
      <w:bookmarkEnd w:id="11"/>
      <w:r w:rsidDel="00000000" w:rsidR="00000000" w:rsidRPr="00000000">
        <w:rPr>
          <w:rtl w:val="0"/>
        </w:rPr>
        <w:t xml:space="preserve">Summary of Discussion on I-REN’s 2024 Annual Portfolio Performance Report Review</w:t>
      </w:r>
    </w:p>
    <w:p w:rsidR="00000000" w:rsidDel="00000000" w:rsidP="00000000" w:rsidRDefault="00000000" w:rsidRPr="00000000" w14:paraId="0000003D">
      <w:pPr>
        <w:numPr>
          <w:ilvl w:val="0"/>
          <w:numId w:val="4"/>
        </w:numPr>
        <w:ind w:left="720" w:hanging="360"/>
      </w:pPr>
      <w:r w:rsidDel="00000000" w:rsidR="00000000" w:rsidRPr="00000000">
        <w:rPr>
          <w:rtl w:val="0"/>
        </w:rPr>
        <w:t xml:space="preserve">I-REN does see a direct link between their workforce partners and EE offerings. They shared various ways workforce partners support EE offerings.</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I-REN clarified that they are currently on a 6 year portfolio and soon will sync up to the 4 year portfolios with the rest of the PAs in </w:t>
      </w:r>
      <w:r w:rsidDel="00000000" w:rsidR="00000000" w:rsidRPr="00000000">
        <w:rPr>
          <w:rtl w:val="0"/>
        </w:rPr>
        <w:t xml:space="preserve">2028</w:t>
      </w:r>
      <w:r w:rsidDel="00000000" w:rsidR="00000000" w:rsidRPr="00000000">
        <w:rPr>
          <w:rtl w:val="0"/>
        </w:rPr>
        <w:t xml:space="preserve">. They clarified that I-REN's original savings forecast from its 2021 Business Plan was developed prior to having implementers on board and that this forecast was updated for the </w:t>
      </w:r>
      <w:hyperlink r:id="rId12">
        <w:r w:rsidDel="00000000" w:rsidR="00000000" w:rsidRPr="00000000">
          <w:rPr>
            <w:color w:val="1155cc"/>
            <w:u w:val="single"/>
            <w:rtl w:val="0"/>
          </w:rPr>
          <w:t xml:space="preserve">2023 True-up Advice Letter</w:t>
        </w:r>
      </w:hyperlink>
      <w:r w:rsidDel="00000000" w:rsidR="00000000" w:rsidRPr="00000000">
        <w:rPr>
          <w:rtl w:val="0"/>
        </w:rPr>
        <w:t xml:space="preserve"> using the implementer’s forecasting approach.</w:t>
      </w:r>
    </w:p>
    <w:p w:rsidR="00000000" w:rsidDel="00000000" w:rsidP="00000000" w:rsidRDefault="00000000" w:rsidRPr="00000000" w14:paraId="0000003F">
      <w:pPr>
        <w:spacing w:after="120" w:before="200" w:line="240" w:lineRule="auto"/>
        <w:rPr/>
      </w:pPr>
      <w:r w:rsidDel="00000000" w:rsidR="00000000" w:rsidRPr="00000000">
        <w:rPr>
          <w:i w:val="1"/>
          <w:color w:val="2a2a2a"/>
          <w:rtl w:val="0"/>
        </w:rPr>
        <w:t xml:space="preserve">Questions, Responses, and Input are available in </w:t>
      </w:r>
      <w:hyperlink w:anchor="_8cotogy9fdgj">
        <w:r w:rsidDel="00000000" w:rsidR="00000000" w:rsidRPr="00000000">
          <w:rPr>
            <w:i w:val="1"/>
            <w:color w:val="1155cc"/>
            <w:u w:val="single"/>
            <w:rtl w:val="0"/>
          </w:rPr>
          <w:t xml:space="preserve">Appendix B: I-REN Q&amp;A and Input</w:t>
        </w:r>
      </w:hyperlink>
      <w:r w:rsidDel="00000000" w:rsidR="00000000" w:rsidRPr="00000000">
        <w:rPr>
          <w:rtl w:val="0"/>
        </w:rPr>
      </w:r>
    </w:p>
    <w:p w:rsidR="00000000" w:rsidDel="00000000" w:rsidP="00000000" w:rsidRDefault="00000000" w:rsidRPr="00000000" w14:paraId="00000040">
      <w:pPr>
        <w:pStyle w:val="Heading2"/>
        <w:keepNext w:val="0"/>
        <w:keepLines w:val="0"/>
        <w:rPr/>
      </w:pPr>
      <w:bookmarkStart w:colFirst="0" w:colLast="0" w:name="_2kfa6i4z2b5i" w:id="12"/>
      <w:bookmarkEnd w:id="12"/>
      <w:r w:rsidDel="00000000" w:rsidR="00000000" w:rsidRPr="00000000">
        <w:rPr>
          <w:rtl w:val="0"/>
        </w:rPr>
        <w:t xml:space="preserve">Summary of Discussion on SoCalREN’s 2024 Annual Portfolio Performance Report Review</w:t>
      </w:r>
    </w:p>
    <w:p w:rsidR="00000000" w:rsidDel="00000000" w:rsidP="00000000" w:rsidRDefault="00000000" w:rsidRPr="00000000" w14:paraId="00000041">
      <w:pPr>
        <w:numPr>
          <w:ilvl w:val="0"/>
          <w:numId w:val="27"/>
        </w:numPr>
        <w:ind w:left="720" w:hanging="360"/>
      </w:pPr>
      <w:r w:rsidDel="00000000" w:rsidR="00000000" w:rsidRPr="00000000">
        <w:rPr>
          <w:rtl w:val="0"/>
        </w:rPr>
        <w:t xml:space="preserve">SoCalREN clarified that their programs didn’t close, but that they are not seeking to do a Codes and Standards (C&amp;S) program because it would be redundant to SCE’s program.</w:t>
      </w:r>
    </w:p>
    <w:p w:rsidR="00000000" w:rsidDel="00000000" w:rsidP="00000000" w:rsidRDefault="00000000" w:rsidRPr="00000000" w14:paraId="00000042">
      <w:pPr>
        <w:numPr>
          <w:ilvl w:val="0"/>
          <w:numId w:val="27"/>
        </w:numPr>
        <w:ind w:left="720" w:hanging="360"/>
      </w:pPr>
      <w:r w:rsidDel="00000000" w:rsidR="00000000" w:rsidRPr="00000000">
        <w:rPr>
          <w:rtl w:val="0"/>
        </w:rPr>
        <w:t xml:space="preserve">SoCalREN residential TSB decreased between 2023-2024 because the Avoided Cost Calculator (ACC) and TSB </w:t>
      </w:r>
      <w:r w:rsidDel="00000000" w:rsidR="00000000" w:rsidRPr="00000000">
        <w:rPr>
          <w:rtl w:val="0"/>
        </w:rPr>
        <w:t xml:space="preserve">favors</w:t>
      </w:r>
      <w:r w:rsidDel="00000000" w:rsidR="00000000" w:rsidRPr="00000000">
        <w:rPr>
          <w:rtl w:val="0"/>
        </w:rPr>
        <w:t xml:space="preserve"> gas to gas over electrification. However, with recent ACC updates, in 2025, they forecast TSB to double.</w:t>
      </w:r>
    </w:p>
    <w:p w:rsidR="00000000" w:rsidDel="00000000" w:rsidP="00000000" w:rsidRDefault="00000000" w:rsidRPr="00000000" w14:paraId="00000043">
      <w:pPr>
        <w:numPr>
          <w:ilvl w:val="0"/>
          <w:numId w:val="27"/>
        </w:numPr>
        <w:ind w:left="720" w:hanging="360"/>
        <w:rPr>
          <w:u w:val="none"/>
        </w:rPr>
      </w:pPr>
      <w:r w:rsidDel="00000000" w:rsidR="00000000" w:rsidRPr="00000000">
        <w:rPr>
          <w:rtl w:val="0"/>
        </w:rPr>
        <w:t xml:space="preserve">SoCalREN’s public sector solicitation will be available in Q3.</w:t>
      </w:r>
    </w:p>
    <w:p w:rsidR="00000000" w:rsidDel="00000000" w:rsidP="00000000" w:rsidRDefault="00000000" w:rsidRPr="00000000" w14:paraId="00000044">
      <w:pPr>
        <w:spacing w:after="120" w:before="200" w:line="240" w:lineRule="auto"/>
        <w:rPr/>
      </w:pPr>
      <w:r w:rsidDel="00000000" w:rsidR="00000000" w:rsidRPr="00000000">
        <w:rPr>
          <w:i w:val="1"/>
          <w:color w:val="2a2a2a"/>
          <w:rtl w:val="0"/>
        </w:rPr>
        <w:t xml:space="preserve">Questions, Responses, and Input are available in </w:t>
      </w:r>
      <w:hyperlink w:anchor="_vot27cvirfez">
        <w:r w:rsidDel="00000000" w:rsidR="00000000" w:rsidRPr="00000000">
          <w:rPr>
            <w:i w:val="1"/>
            <w:color w:val="1155cc"/>
            <w:u w:val="single"/>
            <w:rtl w:val="0"/>
          </w:rPr>
          <w:t xml:space="preserve">Appendix B: SoCalREN Q&amp;A and Input</w:t>
        </w:r>
      </w:hyperlink>
      <w:r w:rsidDel="00000000" w:rsidR="00000000" w:rsidRPr="00000000">
        <w:rPr>
          <w:rtl w:val="0"/>
        </w:rPr>
      </w:r>
    </w:p>
    <w:p w:rsidR="00000000" w:rsidDel="00000000" w:rsidP="00000000" w:rsidRDefault="00000000" w:rsidRPr="00000000" w14:paraId="00000045">
      <w:pPr>
        <w:pStyle w:val="Heading2"/>
        <w:keepNext w:val="0"/>
        <w:keepLines w:val="0"/>
        <w:rPr/>
      </w:pPr>
      <w:bookmarkStart w:colFirst="0" w:colLast="0" w:name="_db3ijfbdfht4" w:id="13"/>
      <w:bookmarkEnd w:id="13"/>
      <w:r w:rsidDel="00000000" w:rsidR="00000000" w:rsidRPr="00000000">
        <w:rPr>
          <w:rtl w:val="0"/>
        </w:rPr>
        <w:t xml:space="preserve">Southern CA Regional Q&amp;A</w:t>
      </w:r>
      <w:r w:rsidDel="00000000" w:rsidR="00000000" w:rsidRPr="00000000">
        <w:rPr>
          <w:rtl w:val="0"/>
        </w:rPr>
      </w:r>
    </w:p>
    <w:p w:rsidR="00000000" w:rsidDel="00000000" w:rsidP="00000000" w:rsidRDefault="00000000" w:rsidRPr="00000000" w14:paraId="00000046">
      <w:pPr>
        <w:numPr>
          <w:ilvl w:val="0"/>
          <w:numId w:val="25"/>
        </w:numPr>
        <w:ind w:left="720" w:hanging="360"/>
      </w:pPr>
      <w:r w:rsidDel="00000000" w:rsidR="00000000" w:rsidRPr="00000000">
        <w:rPr>
          <w:rtl w:val="0"/>
        </w:rPr>
        <w:t xml:space="preserve">I-REN engages with SCE for Workforce, Education, and Training (WE&amp;T) and C&amp;S programs to coordinate a cross collaboration. Currently they are focusing on </w:t>
      </w:r>
      <w:r w:rsidDel="00000000" w:rsidR="00000000" w:rsidRPr="00000000">
        <w:rPr>
          <w:rtl w:val="0"/>
        </w:rPr>
        <w:t xml:space="preserve">rolling</w:t>
      </w:r>
      <w:r w:rsidDel="00000000" w:rsidR="00000000" w:rsidRPr="00000000">
        <w:rPr>
          <w:rtl w:val="0"/>
        </w:rPr>
        <w:t xml:space="preserve"> out </w:t>
      </w:r>
      <w:r w:rsidDel="00000000" w:rsidR="00000000" w:rsidRPr="00000000">
        <w:rPr>
          <w:rtl w:val="0"/>
        </w:rPr>
        <w:t xml:space="preserve">third party programs, but will make a note of the training timing and WE&amp;T program timing. SoCalREN does support small medium business enterprises (SMBE) to become program contractors through a training program but has not launched this connection yet for the Energy Savings Assistance (ESA) Program.</w:t>
      </w:r>
    </w:p>
    <w:p w:rsidR="00000000" w:rsidDel="00000000" w:rsidP="00000000" w:rsidRDefault="00000000" w:rsidRPr="00000000" w14:paraId="00000047">
      <w:pPr>
        <w:spacing w:before="200" w:lineRule="auto"/>
        <w:ind w:left="0" w:firstLine="0"/>
        <w:rPr/>
      </w:pPr>
      <w:r w:rsidDel="00000000" w:rsidR="00000000" w:rsidRPr="00000000">
        <w:rPr>
          <w:i w:val="1"/>
          <w:color w:val="2a2a2a"/>
          <w:rtl w:val="0"/>
        </w:rPr>
        <w:t xml:space="preserve">Questions, Responses, and Input are available in </w:t>
      </w:r>
      <w:hyperlink w:anchor="_yxaz49v1nco4">
        <w:r w:rsidDel="00000000" w:rsidR="00000000" w:rsidRPr="00000000">
          <w:rPr>
            <w:i w:val="1"/>
            <w:color w:val="1155cc"/>
            <w:u w:val="single"/>
            <w:rtl w:val="0"/>
          </w:rPr>
          <w:t xml:space="preserve">Appendix B: Southern CA Regional Q&amp;A and Input</w:t>
        </w:r>
      </w:hyperlink>
      <w:r w:rsidDel="00000000" w:rsidR="00000000" w:rsidRPr="00000000">
        <w:rPr>
          <w:rtl w:val="0"/>
        </w:rPr>
      </w:r>
    </w:p>
    <w:p w:rsidR="00000000" w:rsidDel="00000000" w:rsidP="00000000" w:rsidRDefault="00000000" w:rsidRPr="00000000" w14:paraId="00000048">
      <w:pPr>
        <w:pStyle w:val="Heading1"/>
        <w:rPr/>
      </w:pPr>
      <w:bookmarkStart w:colFirst="0" w:colLast="0" w:name="_h7nznthf3k2x" w:id="14"/>
      <w:bookmarkEnd w:id="14"/>
      <w:r w:rsidDel="00000000" w:rsidR="00000000" w:rsidRPr="00000000">
        <w:rPr>
          <w:rtl w:val="0"/>
        </w:rPr>
        <w:t xml:space="preserve">Northern CA Performance Review</w:t>
      </w:r>
    </w:p>
    <w:p w:rsidR="00000000" w:rsidDel="00000000" w:rsidP="00000000" w:rsidRDefault="00000000" w:rsidRPr="00000000" w14:paraId="00000049">
      <w:pPr>
        <w:rPr>
          <w:i w:val="1"/>
          <w:sz w:val="20"/>
          <w:szCs w:val="20"/>
        </w:rPr>
      </w:pPr>
      <w:r w:rsidDel="00000000" w:rsidR="00000000" w:rsidRPr="00000000">
        <w:rPr>
          <w:i w:val="1"/>
          <w:sz w:val="20"/>
          <w:szCs w:val="20"/>
          <w:rtl w:val="0"/>
        </w:rPr>
        <w:t xml:space="preserve">Slides: 125 - 159</w:t>
      </w:r>
    </w:p>
    <w:p w:rsidR="00000000" w:rsidDel="00000000" w:rsidP="00000000" w:rsidRDefault="00000000" w:rsidRPr="00000000" w14:paraId="0000004A">
      <w:pPr>
        <w:spacing w:before="200" w:lineRule="auto"/>
        <w:rPr/>
      </w:pPr>
      <w:r w:rsidDel="00000000" w:rsidR="00000000" w:rsidRPr="00000000">
        <w:rPr>
          <w:rtl w:val="0"/>
        </w:rPr>
        <w:t xml:space="preserve">PG&amp;E, MCE, and BayREN presented their respective 2024 Annual Portfolio Performance Report Review. Each presentation was followed by Questions &amp; Input from CAEECC Members and then by Members of the Public via Slido. The session concluded with a Regional Q&amp;A, providing attendees the opportunity to direct questions to any specific PA in the region or present high-level themes for multiple PAs to address.</w:t>
      </w:r>
    </w:p>
    <w:p w:rsidR="00000000" w:rsidDel="00000000" w:rsidP="00000000" w:rsidRDefault="00000000" w:rsidRPr="00000000" w14:paraId="0000004B">
      <w:pPr>
        <w:pStyle w:val="Heading2"/>
        <w:keepNext w:val="0"/>
        <w:keepLines w:val="0"/>
        <w:rPr/>
      </w:pPr>
      <w:bookmarkStart w:colFirst="0" w:colLast="0" w:name="_85tsa278qiu5" w:id="15"/>
      <w:bookmarkEnd w:id="15"/>
      <w:r w:rsidDel="00000000" w:rsidR="00000000" w:rsidRPr="00000000">
        <w:rPr>
          <w:rtl w:val="0"/>
        </w:rPr>
        <w:t xml:space="preserve">Summary of Discussion on PG&amp;E’s 2024 Annual Portfolio Performance Report Review</w:t>
      </w:r>
    </w:p>
    <w:p w:rsidR="00000000" w:rsidDel="00000000" w:rsidP="00000000" w:rsidRDefault="00000000" w:rsidRPr="00000000" w14:paraId="0000004C">
      <w:pPr>
        <w:numPr>
          <w:ilvl w:val="0"/>
          <w:numId w:val="15"/>
        </w:numPr>
        <w:ind w:left="720" w:hanging="360"/>
      </w:pPr>
      <w:r w:rsidDel="00000000" w:rsidR="00000000" w:rsidRPr="00000000">
        <w:rPr>
          <w:rtl w:val="0"/>
        </w:rPr>
        <w:t xml:space="preserve">PG&amp;E had one large </w:t>
      </w:r>
      <w:r w:rsidDel="00000000" w:rsidR="00000000" w:rsidRPr="00000000">
        <w:rPr>
          <w:rtl w:val="0"/>
        </w:rPr>
        <w:t xml:space="preserve">Strategic Energy Management (SEM)</w:t>
      </w:r>
      <w:r w:rsidDel="00000000" w:rsidR="00000000" w:rsidRPr="00000000">
        <w:rPr>
          <w:rtl w:val="0"/>
        </w:rPr>
        <w:t xml:space="preserve"> project in 2024 and is not expecting large ones for 2025. </w:t>
      </w:r>
      <w:r w:rsidDel="00000000" w:rsidR="00000000" w:rsidRPr="00000000">
        <w:rPr>
          <w:rtl w:val="0"/>
        </w:rPr>
      </w:r>
    </w:p>
    <w:p w:rsidR="00000000" w:rsidDel="00000000" w:rsidP="00000000" w:rsidRDefault="00000000" w:rsidRPr="00000000" w14:paraId="0000004D">
      <w:pPr>
        <w:numPr>
          <w:ilvl w:val="0"/>
          <w:numId w:val="15"/>
        </w:numPr>
        <w:ind w:left="720" w:hanging="360"/>
        <w:rPr>
          <w:u w:val="none"/>
        </w:rPr>
      </w:pPr>
      <w:r w:rsidDel="00000000" w:rsidR="00000000" w:rsidRPr="00000000">
        <w:rPr>
          <w:rtl w:val="0"/>
        </w:rPr>
        <w:t xml:space="preserve">PG&amp;E provided details on the building envelope TSB measures for agriculture (</w:t>
      </w:r>
      <w:hyperlink w:anchor="961pvfcbhxnm">
        <w:r w:rsidDel="00000000" w:rsidR="00000000" w:rsidRPr="00000000">
          <w:rPr>
            <w:color w:val="1155cc"/>
            <w:u w:val="single"/>
            <w:rtl w:val="0"/>
          </w:rPr>
          <w:t xml:space="preserve">see data table</w:t>
        </w:r>
      </w:hyperlink>
      <w:r w:rsidDel="00000000" w:rsidR="00000000" w:rsidRPr="00000000">
        <w:rPr>
          <w:rtl w:val="0"/>
        </w:rPr>
        <w:t xml:space="preserve">).</w:t>
      </w:r>
    </w:p>
    <w:p w:rsidR="00000000" w:rsidDel="00000000" w:rsidP="00000000" w:rsidRDefault="00000000" w:rsidRPr="00000000" w14:paraId="0000004E">
      <w:pPr>
        <w:numPr>
          <w:ilvl w:val="0"/>
          <w:numId w:val="15"/>
        </w:numPr>
        <w:ind w:left="720" w:hanging="360"/>
        <w:rPr>
          <w:u w:val="none"/>
        </w:rPr>
      </w:pPr>
      <w:r w:rsidDel="00000000" w:rsidR="00000000" w:rsidRPr="00000000">
        <w:rPr>
          <w:rtl w:val="0"/>
        </w:rPr>
        <w:t xml:space="preserve">A core objective of the upcoming Statewide heating, ventilation, and air conditioning (HVAC) program is to drive adoption of all-electric HVAC solutions with installers as a critical unlock for broader market adoption, which may help raise awareness among customers who lean on their installers for appliance recommendations.</w:t>
      </w:r>
    </w:p>
    <w:p w:rsidR="00000000" w:rsidDel="00000000" w:rsidP="00000000" w:rsidRDefault="00000000" w:rsidRPr="00000000" w14:paraId="0000004F">
      <w:pPr>
        <w:spacing w:after="120" w:before="200" w:line="240" w:lineRule="auto"/>
        <w:rPr/>
      </w:pPr>
      <w:r w:rsidDel="00000000" w:rsidR="00000000" w:rsidRPr="00000000">
        <w:rPr>
          <w:i w:val="1"/>
          <w:color w:val="2a2a2a"/>
          <w:rtl w:val="0"/>
        </w:rPr>
        <w:t xml:space="preserve">Questions, Responses, and Input are available in </w:t>
      </w:r>
      <w:hyperlink w:anchor="_o6xhcoqalnm9">
        <w:r w:rsidDel="00000000" w:rsidR="00000000" w:rsidRPr="00000000">
          <w:rPr>
            <w:i w:val="1"/>
            <w:color w:val="1155cc"/>
            <w:u w:val="single"/>
            <w:rtl w:val="0"/>
          </w:rPr>
          <w:t xml:space="preserve">Appendix B: PG&amp;E Q&amp;A and Input</w:t>
        </w:r>
      </w:hyperlink>
      <w:r w:rsidDel="00000000" w:rsidR="00000000" w:rsidRPr="00000000">
        <w:rPr>
          <w:rtl w:val="0"/>
        </w:rPr>
      </w:r>
    </w:p>
    <w:p w:rsidR="00000000" w:rsidDel="00000000" w:rsidP="00000000" w:rsidRDefault="00000000" w:rsidRPr="00000000" w14:paraId="00000050">
      <w:pPr>
        <w:pStyle w:val="Heading2"/>
        <w:keepNext w:val="0"/>
        <w:keepLines w:val="0"/>
        <w:rPr/>
      </w:pPr>
      <w:bookmarkStart w:colFirst="0" w:colLast="0" w:name="_hq8ffd5zhk5g" w:id="16"/>
      <w:bookmarkEnd w:id="16"/>
      <w:r w:rsidDel="00000000" w:rsidR="00000000" w:rsidRPr="00000000">
        <w:rPr>
          <w:rtl w:val="0"/>
        </w:rPr>
        <w:t xml:space="preserve">Summary of Discussion on MCE’s 2024 Annual Portfolio Performance Report Review</w:t>
      </w:r>
      <w:r w:rsidDel="00000000" w:rsidR="00000000" w:rsidRPr="00000000">
        <w:rPr>
          <w:rtl w:val="0"/>
        </w:rPr>
      </w:r>
    </w:p>
    <w:p w:rsidR="00000000" w:rsidDel="00000000" w:rsidP="00000000" w:rsidRDefault="00000000" w:rsidRPr="00000000" w14:paraId="00000051">
      <w:pPr>
        <w:numPr>
          <w:ilvl w:val="0"/>
          <w:numId w:val="28"/>
        </w:numPr>
        <w:ind w:left="720" w:hanging="360"/>
      </w:pPr>
      <w:r w:rsidDel="00000000" w:rsidR="00000000" w:rsidRPr="00000000">
        <w:rPr>
          <w:rtl w:val="0"/>
        </w:rPr>
        <w:t xml:space="preserve">MCE has a small number of agricultural customers (many are categorized as commercial instead), causing year to year fluctuations.</w:t>
      </w:r>
    </w:p>
    <w:p w:rsidR="00000000" w:rsidDel="00000000" w:rsidP="00000000" w:rsidRDefault="00000000" w:rsidRPr="00000000" w14:paraId="00000052">
      <w:pPr>
        <w:numPr>
          <w:ilvl w:val="0"/>
          <w:numId w:val="28"/>
        </w:numPr>
        <w:ind w:left="720" w:hanging="360"/>
        <w:rPr>
          <w:u w:val="none"/>
        </w:rPr>
      </w:pPr>
      <w:r w:rsidDel="00000000" w:rsidR="00000000" w:rsidRPr="00000000">
        <w:rPr>
          <w:rtl w:val="0"/>
        </w:rPr>
        <w:t xml:space="preserve">MCE’s Market Access Program is mostly paid-for-performance but also includes fixed costs (like implementer ramp up and down among other factors).</w:t>
      </w:r>
    </w:p>
    <w:p w:rsidR="00000000" w:rsidDel="00000000" w:rsidP="00000000" w:rsidRDefault="00000000" w:rsidRPr="00000000" w14:paraId="00000053">
      <w:pPr>
        <w:numPr>
          <w:ilvl w:val="0"/>
          <w:numId w:val="28"/>
        </w:numPr>
        <w:ind w:left="720" w:hanging="360"/>
        <w:rPr>
          <w:u w:val="none"/>
        </w:rPr>
      </w:pPr>
      <w:r w:rsidDel="00000000" w:rsidR="00000000" w:rsidRPr="00000000">
        <w:rPr>
          <w:rtl w:val="0"/>
        </w:rPr>
        <w:t xml:space="preserve">MCE has 3 Flex Market programs. MCE faced challenges in the Flex Market programs around implementer engagement, recruitment, and retention.</w:t>
      </w:r>
    </w:p>
    <w:p w:rsidR="00000000" w:rsidDel="00000000" w:rsidP="00000000" w:rsidRDefault="00000000" w:rsidRPr="00000000" w14:paraId="00000054">
      <w:pPr>
        <w:spacing w:after="120" w:before="200" w:line="240" w:lineRule="auto"/>
        <w:rPr/>
      </w:pPr>
      <w:r w:rsidDel="00000000" w:rsidR="00000000" w:rsidRPr="00000000">
        <w:rPr>
          <w:i w:val="1"/>
          <w:color w:val="2a2a2a"/>
          <w:rtl w:val="0"/>
        </w:rPr>
        <w:t xml:space="preserve">Questions, Responses, and Input are available in </w:t>
      </w:r>
      <w:hyperlink w:anchor="_oi7lh3jtjay">
        <w:r w:rsidDel="00000000" w:rsidR="00000000" w:rsidRPr="00000000">
          <w:rPr>
            <w:i w:val="1"/>
            <w:color w:val="1155cc"/>
            <w:u w:val="single"/>
            <w:rtl w:val="0"/>
          </w:rPr>
          <w:t xml:space="preserve">Appendix B: MCE Q&amp;A and Input</w:t>
        </w:r>
      </w:hyperlink>
      <w:r w:rsidDel="00000000" w:rsidR="00000000" w:rsidRPr="00000000">
        <w:rPr>
          <w:rtl w:val="0"/>
        </w:rPr>
      </w:r>
    </w:p>
    <w:p w:rsidR="00000000" w:rsidDel="00000000" w:rsidP="00000000" w:rsidRDefault="00000000" w:rsidRPr="00000000" w14:paraId="00000055">
      <w:pPr>
        <w:pStyle w:val="Heading2"/>
        <w:keepNext w:val="0"/>
        <w:keepLines w:val="0"/>
        <w:rPr/>
      </w:pPr>
      <w:bookmarkStart w:colFirst="0" w:colLast="0" w:name="_2qqc6z1v013x" w:id="17"/>
      <w:bookmarkEnd w:id="17"/>
      <w:r w:rsidDel="00000000" w:rsidR="00000000" w:rsidRPr="00000000">
        <w:rPr>
          <w:rtl w:val="0"/>
        </w:rPr>
        <w:t xml:space="preserve">Summary of Discussion on BayREN’s 2024 Annual Portfolio Performance Report Review</w:t>
      </w:r>
    </w:p>
    <w:p w:rsidR="00000000" w:rsidDel="00000000" w:rsidP="00000000" w:rsidRDefault="00000000" w:rsidRPr="00000000" w14:paraId="00000056">
      <w:pPr>
        <w:numPr>
          <w:ilvl w:val="0"/>
          <w:numId w:val="11"/>
        </w:numPr>
        <w:ind w:left="720" w:hanging="360"/>
      </w:pPr>
      <w:r w:rsidDel="00000000" w:rsidR="00000000" w:rsidRPr="00000000">
        <w:rPr>
          <w:rtl w:val="0"/>
        </w:rPr>
        <w:t xml:space="preserve">BayREN highlighted their resource acquisition (RA) program (BayREN Business) and how challenging it is to reach the TRC threshold given the sole focus on working with small HTR businesses.</w:t>
      </w:r>
    </w:p>
    <w:p w:rsidR="00000000" w:rsidDel="00000000" w:rsidP="00000000" w:rsidRDefault="00000000" w:rsidRPr="00000000" w14:paraId="00000057">
      <w:pPr>
        <w:numPr>
          <w:ilvl w:val="0"/>
          <w:numId w:val="11"/>
        </w:numPr>
        <w:ind w:left="720" w:hanging="360"/>
        <w:rPr>
          <w:u w:val="none"/>
        </w:rPr>
      </w:pPr>
      <w:r w:rsidDel="00000000" w:rsidR="00000000" w:rsidRPr="00000000">
        <w:rPr>
          <w:rtl w:val="0"/>
        </w:rPr>
        <w:t xml:space="preserve">BayREN’s Climate Careers program (Green House Calls) employs youth from the communities they serve and while there is overlap, there is no ESA duplication. </w:t>
      </w:r>
    </w:p>
    <w:p w:rsidR="00000000" w:rsidDel="00000000" w:rsidP="00000000" w:rsidRDefault="00000000" w:rsidRPr="00000000" w14:paraId="00000058">
      <w:pPr>
        <w:numPr>
          <w:ilvl w:val="0"/>
          <w:numId w:val="11"/>
        </w:numPr>
        <w:ind w:left="720" w:hanging="360"/>
        <w:rPr>
          <w:u w:val="none"/>
        </w:rPr>
      </w:pPr>
      <w:r w:rsidDel="00000000" w:rsidR="00000000" w:rsidRPr="00000000">
        <w:rPr>
          <w:rtl w:val="0"/>
        </w:rPr>
        <w:t xml:space="preserve">Currently, BayREN is not concerned with the continuity of the Home Energy Score tool, however, have been discussing a plan B with DOE contacts should the tool be disrupted.</w:t>
      </w:r>
    </w:p>
    <w:p w:rsidR="00000000" w:rsidDel="00000000" w:rsidP="00000000" w:rsidRDefault="00000000" w:rsidRPr="00000000" w14:paraId="00000059">
      <w:pPr>
        <w:numPr>
          <w:ilvl w:val="0"/>
          <w:numId w:val="11"/>
        </w:numPr>
        <w:ind w:left="720" w:hanging="360"/>
        <w:rPr>
          <w:u w:val="none"/>
        </w:rPr>
      </w:pPr>
      <w:r w:rsidDel="00000000" w:rsidR="00000000" w:rsidRPr="00000000">
        <w:rPr>
          <w:rtl w:val="0"/>
        </w:rPr>
        <w:t xml:space="preserve">BayREN’s multifamily program didn’t experience delays, but comprehensive retrofits with incentive stacking takes time so some projects ran into 2025. BayREN is working with the implementer to be more proactive with property owners to have the results within the same calendar year. </w:t>
      </w:r>
    </w:p>
    <w:p w:rsidR="00000000" w:rsidDel="00000000" w:rsidP="00000000" w:rsidRDefault="00000000" w:rsidRPr="00000000" w14:paraId="0000005A">
      <w:pPr>
        <w:spacing w:after="120" w:before="200" w:line="240" w:lineRule="auto"/>
        <w:rPr/>
      </w:pPr>
      <w:r w:rsidDel="00000000" w:rsidR="00000000" w:rsidRPr="00000000">
        <w:rPr>
          <w:i w:val="1"/>
          <w:color w:val="2a2a2a"/>
          <w:rtl w:val="0"/>
        </w:rPr>
        <w:t xml:space="preserve">Questions, Responses, and Input are available in </w:t>
      </w:r>
      <w:hyperlink w:anchor="_9pqovk4hvw3g">
        <w:r w:rsidDel="00000000" w:rsidR="00000000" w:rsidRPr="00000000">
          <w:rPr>
            <w:i w:val="1"/>
            <w:color w:val="1155cc"/>
            <w:u w:val="single"/>
            <w:rtl w:val="0"/>
          </w:rPr>
          <w:t xml:space="preserve">Appendix B: BayREN Q&amp;A and Input</w:t>
        </w:r>
      </w:hyperlink>
      <w:r w:rsidDel="00000000" w:rsidR="00000000" w:rsidRPr="00000000">
        <w:rPr>
          <w:rtl w:val="0"/>
        </w:rPr>
      </w:r>
    </w:p>
    <w:p w:rsidR="00000000" w:rsidDel="00000000" w:rsidP="00000000" w:rsidRDefault="00000000" w:rsidRPr="00000000" w14:paraId="0000005B">
      <w:pPr>
        <w:pStyle w:val="Heading2"/>
        <w:keepNext w:val="0"/>
        <w:keepLines w:val="0"/>
        <w:rPr/>
      </w:pPr>
      <w:bookmarkStart w:colFirst="0" w:colLast="0" w:name="_cjznwctrc1l9" w:id="18"/>
      <w:bookmarkEnd w:id="18"/>
      <w:r w:rsidDel="00000000" w:rsidR="00000000" w:rsidRPr="00000000">
        <w:rPr>
          <w:rtl w:val="0"/>
        </w:rPr>
        <w:t xml:space="preserve">Northern CA Regional Q&amp;A</w:t>
      </w:r>
    </w:p>
    <w:p w:rsidR="00000000" w:rsidDel="00000000" w:rsidP="00000000" w:rsidRDefault="00000000" w:rsidRPr="00000000" w14:paraId="0000005C">
      <w:pPr>
        <w:ind w:left="0" w:firstLine="0"/>
        <w:rPr>
          <w:i w:val="1"/>
        </w:rPr>
      </w:pPr>
      <w:r w:rsidDel="00000000" w:rsidR="00000000" w:rsidRPr="00000000">
        <w:rPr>
          <w:i w:val="1"/>
          <w:rtl w:val="0"/>
        </w:rPr>
        <w:t xml:space="preserve">There were no regional questions posed. Questions to the respective PA are included in their Q&amp;A and Input sections.</w:t>
      </w:r>
    </w:p>
    <w:p w:rsidR="00000000" w:rsidDel="00000000" w:rsidP="00000000" w:rsidRDefault="00000000" w:rsidRPr="00000000" w14:paraId="0000005D">
      <w:pPr>
        <w:pStyle w:val="Heading1"/>
        <w:rPr/>
      </w:pPr>
      <w:bookmarkStart w:colFirst="0" w:colLast="0" w:name="_xw3a6zm4lc1k" w:id="19"/>
      <w:bookmarkEnd w:id="19"/>
      <w:r w:rsidDel="00000000" w:rsidR="00000000" w:rsidRPr="00000000">
        <w:rPr>
          <w:rtl w:val="0"/>
        </w:rPr>
        <w:t xml:space="preserve">General Q&amp;A</w:t>
      </w:r>
    </w:p>
    <w:p w:rsidR="00000000" w:rsidDel="00000000" w:rsidP="00000000" w:rsidRDefault="00000000" w:rsidRPr="00000000" w14:paraId="0000005E">
      <w:pPr>
        <w:rPr/>
      </w:pPr>
      <w:r w:rsidDel="00000000" w:rsidR="00000000" w:rsidRPr="00000000">
        <w:rPr>
          <w:rtl w:val="0"/>
        </w:rPr>
        <w:t xml:space="preserve">During discussion, statewide or general questions were elevated and are summarized below:</w:t>
      </w:r>
      <w:r w:rsidDel="00000000" w:rsidR="00000000" w:rsidRPr="00000000">
        <w:rPr>
          <w:rtl w:val="0"/>
        </w:rPr>
      </w:r>
    </w:p>
    <w:p w:rsidR="00000000" w:rsidDel="00000000" w:rsidP="00000000" w:rsidRDefault="00000000" w:rsidRPr="00000000" w14:paraId="0000005F">
      <w:pPr>
        <w:numPr>
          <w:ilvl w:val="0"/>
          <w:numId w:val="13"/>
        </w:numPr>
        <w:ind w:left="720" w:hanging="360"/>
        <w:rPr/>
      </w:pPr>
      <w:r w:rsidDel="00000000" w:rsidR="00000000" w:rsidRPr="00000000">
        <w:rPr>
          <w:rtl w:val="0"/>
        </w:rPr>
        <w:t xml:space="preserve">The new rulemaking proceeding (</w:t>
      </w:r>
      <w:hyperlink r:id="rId13">
        <w:r w:rsidDel="00000000" w:rsidR="00000000" w:rsidRPr="00000000">
          <w:rPr>
            <w:color w:val="1155cc"/>
            <w:u w:val="single"/>
            <w:rtl w:val="0"/>
          </w:rPr>
          <w:t xml:space="preserve">R.25-04-010</w:t>
        </w:r>
      </w:hyperlink>
      <w:r w:rsidDel="00000000" w:rsidR="00000000" w:rsidRPr="00000000">
        <w:rPr>
          <w:rtl w:val="0"/>
        </w:rPr>
        <w:t xml:space="preserve">) </w:t>
      </w:r>
      <w:hyperlink r:id="rId14">
        <w:r w:rsidDel="00000000" w:rsidR="00000000" w:rsidRPr="00000000">
          <w:rPr>
            <w:color w:val="1155cc"/>
            <w:u w:val="single"/>
            <w:rtl w:val="0"/>
          </w:rPr>
          <w:t xml:space="preserve">Scoping Ruling Memo</w:t>
        </w:r>
      </w:hyperlink>
      <w:r w:rsidDel="00000000" w:rsidR="00000000" w:rsidRPr="00000000">
        <w:rPr>
          <w:rtl w:val="0"/>
        </w:rPr>
        <w:t xml:space="preserve"> outlines CE tests as an issue area the proceeding may explore. Furthermore, Energy Division wants to study interventions, capital projects, fuel substitution, and decarbonization opportunities and their impacts on affordability.</w:t>
      </w:r>
    </w:p>
    <w:p w:rsidR="00000000" w:rsidDel="00000000" w:rsidP="00000000" w:rsidRDefault="00000000" w:rsidRPr="00000000" w14:paraId="00000060">
      <w:pPr>
        <w:numPr>
          <w:ilvl w:val="0"/>
          <w:numId w:val="13"/>
        </w:numPr>
        <w:ind w:left="720" w:hanging="360"/>
        <w:rPr>
          <w:u w:val="none"/>
        </w:rPr>
      </w:pPr>
      <w:r w:rsidDel="00000000" w:rsidR="00000000" w:rsidRPr="00000000">
        <w:rPr>
          <w:rtl w:val="0"/>
        </w:rPr>
        <w:t xml:space="preserve">First year savings goals (which were replaced with TSB) don’t fully capture customer bill impacts. </w:t>
      </w:r>
    </w:p>
    <w:p w:rsidR="00000000" w:rsidDel="00000000" w:rsidP="00000000" w:rsidRDefault="00000000" w:rsidRPr="00000000" w14:paraId="00000061">
      <w:pPr>
        <w:numPr>
          <w:ilvl w:val="0"/>
          <w:numId w:val="13"/>
        </w:numPr>
        <w:ind w:left="720" w:hanging="360"/>
        <w:rPr/>
      </w:pPr>
      <w:r w:rsidDel="00000000" w:rsidR="00000000" w:rsidRPr="00000000">
        <w:rPr>
          <w:rtl w:val="0"/>
        </w:rPr>
        <w:t xml:space="preserve">Water heater measures in SCE’s programs were mostly served through the Comprehensive Commercial Program. Information on water heater measures in the Statewide Midstream Program was not provided.</w:t>
      </w:r>
    </w:p>
    <w:p w:rsidR="00000000" w:rsidDel="00000000" w:rsidP="00000000" w:rsidRDefault="00000000" w:rsidRPr="00000000" w14:paraId="00000062">
      <w:pPr>
        <w:numPr>
          <w:ilvl w:val="0"/>
          <w:numId w:val="13"/>
        </w:numPr>
        <w:ind w:left="720" w:hanging="360"/>
        <w:rPr/>
      </w:pPr>
      <w:r w:rsidDel="00000000" w:rsidR="00000000" w:rsidRPr="00000000">
        <w:rPr>
          <w:rtl w:val="0"/>
        </w:rPr>
        <w:t xml:space="preserve">RENs outlined </w:t>
      </w:r>
      <w:r w:rsidDel="00000000" w:rsidR="00000000" w:rsidRPr="00000000">
        <w:rPr>
          <w:rtl w:val="0"/>
        </w:rPr>
        <w:t xml:space="preserve">language</w:t>
      </w:r>
      <w:r w:rsidDel="00000000" w:rsidR="00000000" w:rsidRPr="00000000">
        <w:rPr>
          <w:rtl w:val="0"/>
        </w:rPr>
        <w:t xml:space="preserve"> observations and translation needs observed in their portfolio.</w:t>
      </w:r>
      <w:r w:rsidDel="00000000" w:rsidR="00000000" w:rsidRPr="00000000">
        <w:rPr>
          <w:rtl w:val="0"/>
        </w:rPr>
      </w:r>
    </w:p>
    <w:p w:rsidR="00000000" w:rsidDel="00000000" w:rsidP="00000000" w:rsidRDefault="00000000" w:rsidRPr="00000000" w14:paraId="00000063">
      <w:pPr>
        <w:spacing w:before="200" w:lineRule="auto"/>
        <w:rPr/>
      </w:pPr>
      <w:r w:rsidDel="00000000" w:rsidR="00000000" w:rsidRPr="00000000">
        <w:rPr>
          <w:i w:val="1"/>
          <w:color w:val="2a2a2a"/>
          <w:rtl w:val="0"/>
        </w:rPr>
        <w:t xml:space="preserve">Questions, Responses, and Input are available in </w:t>
      </w:r>
      <w:hyperlink w:anchor="_n32yai1uwcos">
        <w:r w:rsidDel="00000000" w:rsidR="00000000" w:rsidRPr="00000000">
          <w:rPr>
            <w:i w:val="1"/>
            <w:color w:val="1155cc"/>
            <w:u w:val="single"/>
            <w:rtl w:val="0"/>
          </w:rPr>
          <w:t xml:space="preserve">Appendix B: General Q&amp;A and Input</w:t>
        </w:r>
      </w:hyperlink>
      <w:r w:rsidDel="00000000" w:rsidR="00000000" w:rsidRPr="00000000">
        <w:rPr>
          <w:rtl w:val="0"/>
        </w:rPr>
      </w:r>
    </w:p>
    <w:p w:rsidR="00000000" w:rsidDel="00000000" w:rsidP="00000000" w:rsidRDefault="00000000" w:rsidRPr="00000000" w14:paraId="00000064">
      <w:pPr>
        <w:pStyle w:val="Heading1"/>
        <w:rPr/>
      </w:pPr>
      <w:bookmarkStart w:colFirst="0" w:colLast="0" w:name="_ylbck0hkqi0m" w:id="20"/>
      <w:bookmarkEnd w:id="20"/>
      <w:r w:rsidDel="00000000" w:rsidR="00000000" w:rsidRPr="00000000">
        <w:rPr>
          <w:rtl w:val="0"/>
        </w:rPr>
        <w:t xml:space="preserve">Key Themes</w:t>
      </w:r>
    </w:p>
    <w:p w:rsidR="00000000" w:rsidDel="00000000" w:rsidP="00000000" w:rsidRDefault="00000000" w:rsidRPr="00000000" w14:paraId="00000065">
      <w:pPr>
        <w:spacing w:after="200" w:lineRule="auto"/>
        <w:rPr>
          <w:i w:val="1"/>
          <w:sz w:val="20"/>
          <w:szCs w:val="20"/>
        </w:rPr>
      </w:pPr>
      <w:r w:rsidDel="00000000" w:rsidR="00000000" w:rsidRPr="00000000">
        <w:rPr>
          <w:i w:val="1"/>
          <w:sz w:val="20"/>
          <w:szCs w:val="20"/>
          <w:rtl w:val="0"/>
        </w:rPr>
        <w:t xml:space="preserve">Slides: 162 - 166</w:t>
      </w:r>
    </w:p>
    <w:p w:rsidR="00000000" w:rsidDel="00000000" w:rsidP="00000000" w:rsidRDefault="00000000" w:rsidRPr="00000000" w14:paraId="00000066">
      <w:pPr>
        <w:spacing w:after="200" w:lineRule="auto"/>
        <w:ind w:left="0" w:firstLine="0"/>
        <w:rPr/>
      </w:pPr>
      <w:r w:rsidDel="00000000" w:rsidR="00000000" w:rsidRPr="00000000">
        <w:rPr>
          <w:rtl w:val="0"/>
        </w:rPr>
        <w:t xml:space="preserve">Ralston facilitated a discussion on key themes, first presenting a summary of what the Facilitation Team heard:</w:t>
      </w:r>
    </w:p>
    <w:p w:rsidR="00000000" w:rsidDel="00000000" w:rsidP="00000000" w:rsidRDefault="00000000" w:rsidRPr="00000000" w14:paraId="00000067">
      <w:pPr>
        <w:numPr>
          <w:ilvl w:val="0"/>
          <w:numId w:val="10"/>
        </w:numPr>
        <w:spacing w:after="0" w:afterAutospacing="0" w:lineRule="auto"/>
        <w:ind w:left="720" w:hanging="360"/>
        <w:rPr>
          <w:u w:val="none"/>
        </w:rPr>
      </w:pPr>
      <w:r w:rsidDel="00000000" w:rsidR="00000000" w:rsidRPr="00000000">
        <w:rPr>
          <w:b w:val="1"/>
          <w:rtl w:val="0"/>
        </w:rPr>
        <w:t xml:space="preserve">Performance Metrics:</w:t>
      </w:r>
      <w:r w:rsidDel="00000000" w:rsidR="00000000" w:rsidRPr="00000000">
        <w:rPr>
          <w:rtl w:val="0"/>
        </w:rPr>
        <w:t xml:space="preserve"> PAs are required to achieve TSB goals and non-RENs must also meet TRC (</w:t>
      </w:r>
      <w:r w:rsidDel="00000000" w:rsidR="00000000" w:rsidRPr="00000000">
        <w:rPr>
          <w:rtl w:val="0"/>
        </w:rPr>
        <w:t xml:space="preserve">cost-effectiveness</w:t>
      </w:r>
      <w:r w:rsidDel="00000000" w:rsidR="00000000" w:rsidRPr="00000000">
        <w:rPr>
          <w:rtl w:val="0"/>
        </w:rPr>
        <w:t xml:space="preserve">) requirements. Portfolio programs tend to meet one more than the other, so a diversity of programs must be balanced to meet both metrics. Fuel substitution and gas-for-gas measures have an increasing impact on these metrics. </w:t>
      </w:r>
    </w:p>
    <w:p w:rsidR="00000000" w:rsidDel="00000000" w:rsidP="00000000" w:rsidRDefault="00000000" w:rsidRPr="00000000" w14:paraId="00000068">
      <w:pPr>
        <w:numPr>
          <w:ilvl w:val="1"/>
          <w:numId w:val="10"/>
        </w:numPr>
        <w:spacing w:after="0" w:afterAutospacing="0" w:lineRule="auto"/>
        <w:ind w:left="1440" w:hanging="360"/>
        <w:rPr>
          <w:u w:val="none"/>
        </w:rPr>
      </w:pPr>
      <w:r w:rsidDel="00000000" w:rsidR="00000000" w:rsidRPr="00000000">
        <w:rPr>
          <w:rtl w:val="0"/>
        </w:rPr>
        <w:t xml:space="preserve">TRC requirements were difficult to meet in 2023 due to use of the vintage ACC. 2024 TRCs are faring better with the updated ACC values.</w:t>
      </w:r>
    </w:p>
    <w:p w:rsidR="00000000" w:rsidDel="00000000" w:rsidP="00000000" w:rsidRDefault="00000000" w:rsidRPr="00000000" w14:paraId="00000069">
      <w:pPr>
        <w:numPr>
          <w:ilvl w:val="1"/>
          <w:numId w:val="10"/>
        </w:numPr>
        <w:spacing w:after="0" w:afterAutospacing="0" w:lineRule="auto"/>
        <w:ind w:left="1440" w:hanging="360"/>
        <w:rPr>
          <w:u w:val="none"/>
        </w:rPr>
      </w:pPr>
      <w:r w:rsidDel="00000000" w:rsidR="00000000" w:rsidRPr="00000000">
        <w:rPr>
          <w:rtl w:val="0"/>
        </w:rPr>
        <w:t xml:space="preserve">Equity and Market Support Indicators, along with the Common Metrics, will be shared in future rounds and help describe how those programs are doing.</w:t>
      </w:r>
    </w:p>
    <w:p w:rsidR="00000000" w:rsidDel="00000000" w:rsidP="00000000" w:rsidRDefault="00000000" w:rsidRPr="00000000" w14:paraId="0000006A">
      <w:pPr>
        <w:numPr>
          <w:ilvl w:val="0"/>
          <w:numId w:val="10"/>
        </w:numPr>
        <w:spacing w:after="0" w:afterAutospacing="0" w:lineRule="auto"/>
        <w:ind w:left="720" w:hanging="360"/>
        <w:rPr>
          <w:b w:val="1"/>
        </w:rPr>
      </w:pPr>
      <w:r w:rsidDel="00000000" w:rsidR="00000000" w:rsidRPr="00000000">
        <w:rPr>
          <w:b w:val="1"/>
          <w:rtl w:val="0"/>
        </w:rPr>
        <w:t xml:space="preserve">Diversity of Programs:</w:t>
      </w:r>
      <w:r w:rsidDel="00000000" w:rsidR="00000000" w:rsidRPr="00000000">
        <w:rPr>
          <w:rtl w:val="0"/>
        </w:rPr>
        <w:t xml:space="preserve"> There is a diversity of programs among PAs, with a continued strong focus on commercial and residential programs. SEM and industrial programs drove energy savings, TRC, and TSB success. NMEC is also showing up more significantly in portfolios. </w:t>
      </w:r>
    </w:p>
    <w:p w:rsidR="00000000" w:rsidDel="00000000" w:rsidP="00000000" w:rsidRDefault="00000000" w:rsidRPr="00000000" w14:paraId="0000006B">
      <w:pPr>
        <w:numPr>
          <w:ilvl w:val="0"/>
          <w:numId w:val="10"/>
        </w:numPr>
        <w:spacing w:after="0" w:afterAutospacing="0" w:lineRule="auto"/>
        <w:ind w:left="720" w:hanging="360"/>
        <w:rPr>
          <w:b w:val="1"/>
        </w:rPr>
      </w:pPr>
      <w:r w:rsidDel="00000000" w:rsidR="00000000" w:rsidRPr="00000000">
        <w:rPr>
          <w:b w:val="1"/>
          <w:rtl w:val="0"/>
        </w:rPr>
        <w:t xml:space="preserve">Workforce:</w:t>
      </w:r>
      <w:r w:rsidDel="00000000" w:rsidR="00000000" w:rsidRPr="00000000">
        <w:rPr>
          <w:rtl w:val="0"/>
        </w:rPr>
        <w:t xml:space="preserve"> Stakeholders seek more intention to make connections between  workforce development programs and EE programs.</w:t>
      </w:r>
    </w:p>
    <w:p w:rsidR="00000000" w:rsidDel="00000000" w:rsidP="00000000" w:rsidRDefault="00000000" w:rsidRPr="00000000" w14:paraId="0000006C">
      <w:pPr>
        <w:numPr>
          <w:ilvl w:val="0"/>
          <w:numId w:val="10"/>
        </w:numPr>
        <w:spacing w:after="0" w:afterAutospacing="0" w:lineRule="auto"/>
        <w:ind w:left="720" w:hanging="360"/>
        <w:rPr>
          <w:b w:val="1"/>
        </w:rPr>
      </w:pPr>
      <w:r w:rsidDel="00000000" w:rsidR="00000000" w:rsidRPr="00000000">
        <w:rPr>
          <w:b w:val="1"/>
          <w:rtl w:val="0"/>
        </w:rPr>
        <w:t xml:space="preserve">Market Challenges:</w:t>
      </w:r>
      <w:r w:rsidDel="00000000" w:rsidR="00000000" w:rsidRPr="00000000">
        <w:rPr>
          <w:rtl w:val="0"/>
        </w:rPr>
        <w:t xml:space="preserve"> PAs are showing ongoing innovation to better serve HTR customers. Issues are arising especially when asking for sensitive data. Changing measure packages (without sufficient notice) and challenges in NMEC modeling create project uncertainty or holdups. PAs realized a workforce transition is needed for a significant increase in heat pump (HP) installations. Lastly, program and implementer transitions take time and may be part of certain programs’ increased costs.</w:t>
      </w:r>
    </w:p>
    <w:p w:rsidR="00000000" w:rsidDel="00000000" w:rsidP="00000000" w:rsidRDefault="00000000" w:rsidRPr="00000000" w14:paraId="0000006D">
      <w:pPr>
        <w:numPr>
          <w:ilvl w:val="0"/>
          <w:numId w:val="10"/>
        </w:numPr>
        <w:spacing w:after="200" w:lineRule="auto"/>
        <w:ind w:left="720" w:hanging="360"/>
        <w:rPr>
          <w:b w:val="1"/>
        </w:rPr>
      </w:pPr>
      <w:r w:rsidDel="00000000" w:rsidR="00000000" w:rsidRPr="00000000">
        <w:rPr>
          <w:b w:val="1"/>
          <w:rtl w:val="0"/>
        </w:rPr>
        <w:t xml:space="preserve">Affordability and Political Considerations:</w:t>
      </w:r>
      <w:r w:rsidDel="00000000" w:rsidR="00000000" w:rsidRPr="00000000">
        <w:rPr>
          <w:rtl w:val="0"/>
        </w:rPr>
        <w:t xml:space="preserve"> While cost effectiveness is often the metric used to consider affordability, TSB also contributes to affordability but less </w:t>
      </w:r>
      <w:r w:rsidDel="00000000" w:rsidR="00000000" w:rsidRPr="00000000">
        <w:rPr>
          <w:rtl w:val="0"/>
        </w:rPr>
        <w:t xml:space="preserve">transparently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E">
      <w:pPr>
        <w:spacing w:after="200" w:lineRule="auto"/>
        <w:ind w:left="0" w:firstLine="0"/>
        <w:rPr/>
      </w:pPr>
      <w:r w:rsidDel="00000000" w:rsidR="00000000" w:rsidRPr="00000000">
        <w:rPr>
          <w:rtl w:val="0"/>
        </w:rPr>
        <w:t xml:space="preserve">Ralston then invited CAEECC Members to discuss additions, modifications, or highlights from the presentations. A summary of the discussion is below:</w:t>
      </w:r>
    </w:p>
    <w:p w:rsidR="00000000" w:rsidDel="00000000" w:rsidP="00000000" w:rsidRDefault="00000000" w:rsidRPr="00000000" w14:paraId="0000006F">
      <w:pPr>
        <w:numPr>
          <w:ilvl w:val="0"/>
          <w:numId w:val="19"/>
        </w:numPr>
        <w:ind w:left="720" w:hanging="360"/>
        <w:rPr>
          <w:u w:val="none"/>
        </w:rPr>
      </w:pPr>
      <w:r w:rsidDel="00000000" w:rsidR="00000000" w:rsidRPr="00000000">
        <w:rPr>
          <w:rtl w:val="0"/>
        </w:rPr>
        <w:t xml:space="preserve">Members discussed the benefits of doing PPRR presentations including transparent reporting, lessons learned, and best practice sharing highlights. One Member noted that each PA’s top five measures were all different, thus showcasing the value of PPRRs generally. </w:t>
      </w:r>
      <w:r w:rsidDel="00000000" w:rsidR="00000000" w:rsidRPr="00000000">
        <w:rPr>
          <w:rtl w:val="0"/>
        </w:rPr>
        <w:t xml:space="preserve">A Member hoped that future PPRRs would be more timely to their respective reporting deadlines. </w:t>
      </w:r>
      <w:r w:rsidDel="00000000" w:rsidR="00000000" w:rsidRPr="00000000">
        <w:rPr>
          <w:rtl w:val="0"/>
        </w:rPr>
      </w:r>
    </w:p>
    <w:p w:rsidR="00000000" w:rsidDel="00000000" w:rsidP="00000000" w:rsidRDefault="00000000" w:rsidRPr="00000000" w14:paraId="00000070">
      <w:pPr>
        <w:numPr>
          <w:ilvl w:val="0"/>
          <w:numId w:val="19"/>
        </w:numPr>
        <w:ind w:left="720" w:hanging="360"/>
        <w:rPr>
          <w:u w:val="none"/>
        </w:rPr>
      </w:pPr>
      <w:r w:rsidDel="00000000" w:rsidR="00000000" w:rsidRPr="00000000">
        <w:rPr>
          <w:rtl w:val="0"/>
        </w:rPr>
        <w:t xml:space="preserve">Members clarified the difference between fuel substitution (transitioning from a regulated fuel to another regulated fuel) and fuel switching (transitioning from non-regulated fuel to a regulated fuel). Members noted that fuel switching (especially an opportunity in rural areas) is an issue </w:t>
      </w:r>
      <w:r w:rsidDel="00000000" w:rsidR="00000000" w:rsidRPr="00000000">
        <w:rPr>
          <w:rtl w:val="0"/>
        </w:rPr>
        <w:t xml:space="preserve">because</w:t>
      </w:r>
      <w:r w:rsidDel="00000000" w:rsidR="00000000" w:rsidRPr="00000000">
        <w:rPr>
          <w:rtl w:val="0"/>
        </w:rPr>
        <w:t xml:space="preserve"> there is </w:t>
      </w:r>
      <w:r w:rsidDel="00000000" w:rsidR="00000000" w:rsidRPr="00000000">
        <w:rPr>
          <w:rtl w:val="0"/>
        </w:rPr>
        <w:t xml:space="preserve">no</w:t>
      </w:r>
      <w:r w:rsidDel="00000000" w:rsidR="00000000" w:rsidRPr="00000000">
        <w:rPr>
          <w:rtl w:val="0"/>
        </w:rPr>
        <w:t xml:space="preserve"> policy to support it. This issue may be covered in the new rulemaking (</w:t>
      </w:r>
      <w:hyperlink r:id="rId15">
        <w:r w:rsidDel="00000000" w:rsidR="00000000" w:rsidRPr="00000000">
          <w:rPr>
            <w:color w:val="1155cc"/>
            <w:u w:val="single"/>
            <w:rtl w:val="0"/>
          </w:rPr>
          <w:t xml:space="preserve">R.25-04-010</w:t>
        </w:r>
      </w:hyperlink>
      <w:r w:rsidDel="00000000" w:rsidR="00000000" w:rsidRPr="00000000">
        <w:rPr>
          <w:rtl w:val="0"/>
        </w:rPr>
        <w:t xml:space="preserve">).</w:t>
      </w:r>
    </w:p>
    <w:p w:rsidR="00000000" w:rsidDel="00000000" w:rsidP="00000000" w:rsidRDefault="00000000" w:rsidRPr="00000000" w14:paraId="00000071">
      <w:pPr>
        <w:numPr>
          <w:ilvl w:val="0"/>
          <w:numId w:val="19"/>
        </w:numPr>
        <w:ind w:left="720" w:hanging="360"/>
        <w:rPr>
          <w:u w:val="none"/>
        </w:rPr>
      </w:pPr>
      <w:r w:rsidDel="00000000" w:rsidR="00000000" w:rsidRPr="00000000">
        <w:rPr>
          <w:rtl w:val="0"/>
        </w:rPr>
        <w:t xml:space="preserve">Members discussed the CEDARS improvements and how they showcase EE benefits through TSB data.</w:t>
      </w:r>
    </w:p>
    <w:p w:rsidR="00000000" w:rsidDel="00000000" w:rsidP="00000000" w:rsidRDefault="00000000" w:rsidRPr="00000000" w14:paraId="00000072">
      <w:pPr>
        <w:numPr>
          <w:ilvl w:val="0"/>
          <w:numId w:val="19"/>
        </w:numPr>
        <w:ind w:left="720" w:hanging="360"/>
        <w:rPr>
          <w:u w:val="none"/>
        </w:rPr>
      </w:pPr>
      <w:r w:rsidDel="00000000" w:rsidR="00000000" w:rsidRPr="00000000">
        <w:rPr>
          <w:rtl w:val="0"/>
        </w:rPr>
        <w:t xml:space="preserve">A Member asked about the throughline of PA program development and the ESJ Action Plan, which the Facilitation Team noted could be part of the equity topics to be discussed at the next Full CAEECC Quarterly Meeting.</w:t>
      </w:r>
      <w:r w:rsidDel="00000000" w:rsidR="00000000" w:rsidRPr="00000000">
        <w:rPr>
          <w:rtl w:val="0"/>
        </w:rPr>
      </w:r>
    </w:p>
    <w:p w:rsidR="00000000" w:rsidDel="00000000" w:rsidP="00000000" w:rsidRDefault="00000000" w:rsidRPr="00000000" w14:paraId="00000073">
      <w:pPr>
        <w:spacing w:before="200" w:lineRule="auto"/>
        <w:rPr/>
      </w:pPr>
      <w:r w:rsidDel="00000000" w:rsidR="00000000" w:rsidRPr="00000000">
        <w:rPr>
          <w:rtl w:val="0"/>
        </w:rPr>
        <w:t xml:space="preserve">Ralston launched a poll, “what topic, challenge, or question raised today should CAEECC consider to explore or address?”. Ralston instructed that CAEECC could later vote on what issues CAEECC may want to further discuss. </w:t>
      </w:r>
    </w:p>
    <w:p w:rsidR="00000000" w:rsidDel="00000000" w:rsidP="00000000" w:rsidRDefault="00000000" w:rsidRPr="00000000" w14:paraId="00000074">
      <w:pPr>
        <w:numPr>
          <w:ilvl w:val="0"/>
          <w:numId w:val="5"/>
        </w:numPr>
        <w:spacing w:after="0" w:afterAutospacing="0" w:before="200" w:lineRule="auto"/>
        <w:ind w:left="720" w:hanging="360"/>
        <w:rPr>
          <w:u w:val="none"/>
        </w:rPr>
      </w:pPr>
      <w:r w:rsidDel="00000000" w:rsidR="00000000" w:rsidRPr="00000000">
        <w:rPr>
          <w:rtl w:val="0"/>
        </w:rPr>
        <w:t xml:space="preserve">Cost Effectiveness tests, ratios, and measure influence</w:t>
      </w:r>
    </w:p>
    <w:p w:rsidR="00000000" w:rsidDel="00000000" w:rsidP="00000000" w:rsidRDefault="00000000" w:rsidRPr="00000000" w14:paraId="00000075">
      <w:pPr>
        <w:numPr>
          <w:ilvl w:val="0"/>
          <w:numId w:val="5"/>
        </w:numPr>
        <w:spacing w:after="0" w:afterAutospacing="0" w:before="0" w:beforeAutospacing="0" w:lineRule="auto"/>
        <w:ind w:left="720" w:hanging="360"/>
        <w:rPr>
          <w:u w:val="none"/>
        </w:rPr>
      </w:pPr>
      <w:r w:rsidDel="00000000" w:rsidR="00000000" w:rsidRPr="00000000">
        <w:rPr>
          <w:rtl w:val="0"/>
        </w:rPr>
        <w:t xml:space="preserve">Affordability and bill impacts</w:t>
      </w:r>
    </w:p>
    <w:p w:rsidR="00000000" w:rsidDel="00000000" w:rsidP="00000000" w:rsidRDefault="00000000" w:rsidRPr="00000000" w14:paraId="00000076">
      <w:pPr>
        <w:numPr>
          <w:ilvl w:val="0"/>
          <w:numId w:val="5"/>
        </w:numPr>
        <w:spacing w:after="0" w:afterAutospacing="0" w:before="0" w:beforeAutospacing="0" w:lineRule="auto"/>
        <w:ind w:left="720" w:hanging="360"/>
        <w:rPr>
          <w:u w:val="none"/>
        </w:rPr>
      </w:pPr>
      <w:r w:rsidDel="00000000" w:rsidR="00000000" w:rsidRPr="00000000">
        <w:rPr>
          <w:rtl w:val="0"/>
        </w:rPr>
        <w:t xml:space="preserve">Fuel switching and fuel substitution impacts</w:t>
      </w:r>
    </w:p>
    <w:p w:rsidR="00000000" w:rsidDel="00000000" w:rsidP="00000000" w:rsidRDefault="00000000" w:rsidRPr="00000000" w14:paraId="00000077">
      <w:pPr>
        <w:numPr>
          <w:ilvl w:val="0"/>
          <w:numId w:val="5"/>
        </w:numPr>
        <w:spacing w:after="0" w:afterAutospacing="0" w:before="0" w:beforeAutospacing="0" w:lineRule="auto"/>
        <w:ind w:left="720" w:hanging="360"/>
        <w:rPr>
          <w:u w:val="none"/>
        </w:rPr>
      </w:pPr>
      <w:r w:rsidDel="00000000" w:rsidR="00000000" w:rsidRPr="00000000">
        <w:rPr>
          <w:rtl w:val="0"/>
        </w:rPr>
        <w:t xml:space="preserve">NMEC program challenges and measure success</w:t>
      </w:r>
    </w:p>
    <w:p w:rsidR="00000000" w:rsidDel="00000000" w:rsidP="00000000" w:rsidRDefault="00000000" w:rsidRPr="00000000" w14:paraId="00000078">
      <w:pPr>
        <w:numPr>
          <w:ilvl w:val="0"/>
          <w:numId w:val="5"/>
        </w:numPr>
        <w:spacing w:before="0" w:beforeAutospacing="0" w:lineRule="auto"/>
        <w:ind w:left="720" w:hanging="360"/>
        <w:rPr>
          <w:u w:val="none"/>
        </w:rPr>
      </w:pPr>
      <w:r w:rsidDel="00000000" w:rsidR="00000000" w:rsidRPr="00000000">
        <w:rPr>
          <w:rtl w:val="0"/>
        </w:rPr>
        <w:t xml:space="preserve">Streamlining EE measure packages</w:t>
      </w:r>
    </w:p>
    <w:p w:rsidR="00000000" w:rsidDel="00000000" w:rsidP="00000000" w:rsidRDefault="00000000" w:rsidRPr="00000000" w14:paraId="00000079">
      <w:pPr>
        <w:spacing w:before="200" w:lineRule="auto"/>
        <w:rPr/>
      </w:pPr>
      <w:r w:rsidDel="00000000" w:rsidR="00000000" w:rsidRPr="00000000">
        <w:rPr>
          <w:i w:val="1"/>
          <w:color w:val="2a2a2a"/>
          <w:rtl w:val="0"/>
        </w:rPr>
        <w:t xml:space="preserve">Poll responses are available in </w:t>
      </w:r>
      <w:hyperlink w:anchor="_1iufhqlqld71">
        <w:r w:rsidDel="00000000" w:rsidR="00000000" w:rsidRPr="00000000">
          <w:rPr>
            <w:i w:val="1"/>
            <w:color w:val="1155cc"/>
            <w:u w:val="single"/>
            <w:rtl w:val="0"/>
          </w:rPr>
          <w:t xml:space="preserve">Appendix B: Key Themes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A">
      <w:pPr>
        <w:pStyle w:val="Heading1"/>
        <w:rPr/>
      </w:pPr>
      <w:bookmarkStart w:colFirst="0" w:colLast="0" w:name="_52a008i2162k" w:id="21"/>
      <w:bookmarkEnd w:id="21"/>
      <w:r w:rsidDel="00000000" w:rsidR="00000000" w:rsidRPr="00000000">
        <w:rPr>
          <w:rtl w:val="0"/>
        </w:rPr>
        <w:t xml:space="preserve">Wrap Up</w:t>
      </w:r>
    </w:p>
    <w:p w:rsidR="00000000" w:rsidDel="00000000" w:rsidP="00000000" w:rsidRDefault="00000000" w:rsidRPr="00000000" w14:paraId="0000007B">
      <w:pPr>
        <w:rPr/>
      </w:pPr>
      <w:r w:rsidDel="00000000" w:rsidR="00000000" w:rsidRPr="00000000">
        <w:rPr>
          <w:i w:val="1"/>
          <w:sz w:val="20"/>
          <w:szCs w:val="20"/>
          <w:rtl w:val="0"/>
        </w:rPr>
        <w:t xml:space="preserve">Slides: 167 - 169</w:t>
      </w:r>
      <w:r w:rsidDel="00000000" w:rsidR="00000000" w:rsidRPr="00000000">
        <w:rPr>
          <w:rtl w:val="0"/>
        </w:rPr>
      </w:r>
    </w:p>
    <w:p w:rsidR="00000000" w:rsidDel="00000000" w:rsidP="00000000" w:rsidRDefault="00000000" w:rsidRPr="00000000" w14:paraId="0000007C">
      <w:pPr>
        <w:spacing w:before="200" w:lineRule="auto"/>
        <w:rPr>
          <w:color w:val="134f5c"/>
        </w:rPr>
      </w:pPr>
      <w:r w:rsidDel="00000000" w:rsidR="00000000" w:rsidRPr="00000000">
        <w:rPr>
          <w:rtl w:val="0"/>
        </w:rPr>
        <w:t xml:space="preserve">Abrams adjourned the meeting with reminders to PA presenters about the summary and an invitation to the Q3 Full Quarterly CAEECC Meeting #47 on August 13, 2025. </w:t>
      </w: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spacing w:after="200" w:before="360" w:line="240" w:lineRule="auto"/>
        <w:rPr>
          <w:b w:val="1"/>
          <w:color w:val="134f5c"/>
          <w:sz w:val="32"/>
          <w:szCs w:val="32"/>
        </w:rPr>
      </w:pPr>
      <w:bookmarkStart w:colFirst="0" w:colLast="0" w:name="_1ci93xb" w:id="22"/>
      <w:bookmarkEnd w:id="22"/>
      <w:r w:rsidDel="00000000" w:rsidR="00000000" w:rsidRPr="00000000">
        <w:rPr>
          <w:b w:val="1"/>
          <w:color w:val="134f5c"/>
          <w:sz w:val="32"/>
          <w:szCs w:val="32"/>
          <w:rtl w:val="0"/>
        </w:rPr>
        <w:t xml:space="preserve">Appendix A: Attendees</w:t>
      </w:r>
      <w:r w:rsidDel="00000000" w:rsidR="00000000" w:rsidRPr="00000000">
        <w:rPr>
          <w:rtl w:val="0"/>
        </w:rPr>
      </w:r>
    </w:p>
    <w:tbl>
      <w:tblPr>
        <w:tblStyle w:val="Table1"/>
        <w:tblW w:w="7530.0" w:type="dxa"/>
        <w:jc w:val="center"/>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00"/>
      </w:tblPr>
      <w:tblGrid>
        <w:gridCol w:w="4020"/>
        <w:gridCol w:w="3510"/>
        <w:tblGridChange w:id="0">
          <w:tblGrid>
            <w:gridCol w:w="4020"/>
            <w:gridCol w:w="3510"/>
          </w:tblGrid>
        </w:tblGridChange>
      </w:tblGrid>
      <w:tr>
        <w:trPr>
          <w:cantSplit w:val="0"/>
          <w:trHeight w:val="320" w:hRule="atLeast"/>
          <w:tblHeader w:val="1"/>
        </w:trPr>
        <w:tc>
          <w:tcPr>
            <w:tcBorders>
              <w:top w:color="a2c4c9" w:space="0" w:sz="4" w:val="single"/>
              <w:left w:color="a2c4c9" w:space="0" w:sz="4" w:val="single"/>
              <w:bottom w:color="a2c4c9" w:space="0" w:sz="4" w:val="single"/>
              <w:right w:color="a2c4c9" w:space="0" w:sz="4" w:val="single"/>
            </w:tcBorders>
            <w:shd w:fill="d0e0e3" w:val="clear"/>
            <w:tcMar>
              <w:top w:w="43.0" w:type="dxa"/>
              <w:left w:w="43.0" w:type="dxa"/>
              <w:bottom w:w="43.0" w:type="dxa"/>
              <w:right w:w="43.0" w:type="dxa"/>
            </w:tcMar>
            <w:vAlign w:val="center"/>
          </w:tcPr>
          <w:p w:rsidR="00000000" w:rsidDel="00000000" w:rsidP="00000000" w:rsidRDefault="00000000" w:rsidRPr="00000000" w14:paraId="0000007E">
            <w:pPr>
              <w:spacing w:line="240" w:lineRule="auto"/>
              <w:ind w:left="90" w:firstLine="0"/>
              <w:rPr>
                <w:b w:val="1"/>
                <w:color w:val="223053"/>
              </w:rPr>
            </w:pPr>
            <w:r w:rsidDel="00000000" w:rsidR="00000000" w:rsidRPr="00000000">
              <w:rPr>
                <w:b w:val="1"/>
                <w:color w:val="223053"/>
                <w:rtl w:val="0"/>
              </w:rPr>
              <w:t xml:space="preserve">Organization</w:t>
            </w:r>
          </w:p>
        </w:tc>
        <w:tc>
          <w:tcPr>
            <w:tcBorders>
              <w:top w:color="a2c4c9" w:space="0" w:sz="4" w:val="single"/>
              <w:left w:color="a2c4c9" w:space="0" w:sz="4" w:val="single"/>
              <w:bottom w:color="a2c4c9" w:space="0" w:sz="4" w:val="single"/>
              <w:right w:color="a2c4c9" w:space="0" w:sz="4" w:val="single"/>
            </w:tcBorders>
            <w:shd w:fill="d0e0e3" w:val="clear"/>
            <w:tcMar>
              <w:top w:w="43.0" w:type="dxa"/>
              <w:left w:w="43.0" w:type="dxa"/>
              <w:bottom w:w="43.0" w:type="dxa"/>
              <w:right w:w="43.0" w:type="dxa"/>
            </w:tcMar>
            <w:vAlign w:val="center"/>
          </w:tcPr>
          <w:p w:rsidR="00000000" w:rsidDel="00000000" w:rsidP="00000000" w:rsidRDefault="00000000" w:rsidRPr="00000000" w14:paraId="0000007F">
            <w:pPr>
              <w:spacing w:line="240" w:lineRule="auto"/>
              <w:ind w:left="90" w:firstLine="0"/>
              <w:rPr>
                <w:b w:val="1"/>
                <w:color w:val="223053"/>
              </w:rPr>
            </w:pPr>
            <w:r w:rsidDel="00000000" w:rsidR="00000000" w:rsidRPr="00000000">
              <w:rPr>
                <w:b w:val="1"/>
                <w:color w:val="223053"/>
                <w:rtl w:val="0"/>
              </w:rPr>
              <w:t xml:space="preserve">Name</w:t>
            </w:r>
          </w:p>
        </w:tc>
      </w:tr>
      <w:tr>
        <w:trPr>
          <w:cantSplit w:val="0"/>
          <w:trHeight w:val="320" w:hRule="atLeast"/>
          <w:tblHeader w:val="1"/>
        </w:trPr>
        <w:tc>
          <w:tcPr>
            <w:shd w:fill="b4c6e7" w:val="clear"/>
            <w:vAlign w:val="bottom"/>
          </w:tcPr>
          <w:p w:rsidR="00000000" w:rsidDel="00000000" w:rsidP="00000000" w:rsidRDefault="00000000" w:rsidRPr="00000000" w14:paraId="00000080">
            <w:pPr>
              <w:spacing w:line="240" w:lineRule="auto"/>
              <w:rPr>
                <w:b w:val="1"/>
                <w:color w:val="002060"/>
              </w:rPr>
            </w:pPr>
            <w:r w:rsidDel="00000000" w:rsidR="00000000" w:rsidRPr="00000000">
              <w:rPr>
                <w:b w:val="1"/>
                <w:color w:val="002060"/>
                <w:rtl w:val="0"/>
              </w:rPr>
              <w:t xml:space="preserve">CAEECC Members  </w:t>
            </w:r>
          </w:p>
        </w:tc>
        <w:tc>
          <w:tcPr>
            <w:shd w:fill="b4c6e7" w:val="clear"/>
            <w:vAlign w:val="bottom"/>
          </w:tcPr>
          <w:p w:rsidR="00000000" w:rsidDel="00000000" w:rsidP="00000000" w:rsidRDefault="00000000" w:rsidRPr="00000000" w14:paraId="00000081">
            <w:pPr>
              <w:spacing w:line="240" w:lineRule="auto"/>
              <w:rPr>
                <w:color w:val="002060"/>
                <w:highlight w:val="yellow"/>
              </w:rPr>
            </w:pPr>
            <w:r w:rsidDel="00000000" w:rsidR="00000000" w:rsidRPr="00000000">
              <w:rPr>
                <w:rtl w:val="0"/>
              </w:rPr>
            </w:r>
          </w:p>
        </w:tc>
      </w:tr>
      <w:tr>
        <w:trPr>
          <w:cantSplit w:val="0"/>
          <w:trHeight w:val="320" w:hRule="atLeast"/>
          <w:tblHeader w:val="1"/>
        </w:trPr>
        <w:tc>
          <w:tcPr>
            <w:shd w:fill="auto" w:val="clear"/>
            <w:vAlign w:val="bottom"/>
          </w:tcPr>
          <w:p w:rsidR="00000000" w:rsidDel="00000000" w:rsidP="00000000" w:rsidRDefault="00000000" w:rsidRPr="00000000" w14:paraId="00000082">
            <w:pPr>
              <w:spacing w:line="240" w:lineRule="auto"/>
              <w:rPr>
                <w:color w:val="002060"/>
              </w:rPr>
            </w:pPr>
            <w:r w:rsidDel="00000000" w:rsidR="00000000" w:rsidRPr="00000000">
              <w:rPr>
                <w:color w:val="002060"/>
                <w:rtl w:val="0"/>
              </w:rPr>
              <w:t xml:space="preserve">3C-REN</w:t>
            </w:r>
          </w:p>
        </w:tc>
        <w:tc>
          <w:tcPr>
            <w:shd w:fill="auto" w:val="clear"/>
            <w:vAlign w:val="bottom"/>
          </w:tcPr>
          <w:p w:rsidR="00000000" w:rsidDel="00000000" w:rsidP="00000000" w:rsidRDefault="00000000" w:rsidRPr="00000000" w14:paraId="00000083">
            <w:pPr>
              <w:spacing w:line="240" w:lineRule="auto"/>
              <w:rPr>
                <w:color w:val="002060"/>
              </w:rPr>
            </w:pPr>
            <w:r w:rsidDel="00000000" w:rsidR="00000000" w:rsidRPr="00000000">
              <w:rPr>
                <w:color w:val="002060"/>
                <w:rtl w:val="0"/>
              </w:rPr>
              <w:t xml:space="preserve">Erica Helson</w:t>
            </w:r>
          </w:p>
        </w:tc>
      </w:tr>
      <w:tr>
        <w:trPr>
          <w:cantSplit w:val="0"/>
          <w:trHeight w:val="320" w:hRule="atLeast"/>
          <w:tblHeader w:val="1"/>
        </w:trPr>
        <w:tc>
          <w:tcPr>
            <w:shd w:fill="auto" w:val="clear"/>
            <w:vAlign w:val="bottom"/>
          </w:tcPr>
          <w:p w:rsidR="00000000" w:rsidDel="00000000" w:rsidP="00000000" w:rsidRDefault="00000000" w:rsidRPr="00000000" w14:paraId="00000084">
            <w:pPr>
              <w:spacing w:line="240" w:lineRule="auto"/>
              <w:rPr>
                <w:color w:val="002060"/>
              </w:rPr>
            </w:pPr>
            <w:r w:rsidDel="00000000" w:rsidR="00000000" w:rsidRPr="00000000">
              <w:rPr>
                <w:color w:val="002060"/>
                <w:rtl w:val="0"/>
              </w:rPr>
              <w:t xml:space="preserve">BayREN</w:t>
            </w:r>
          </w:p>
        </w:tc>
        <w:tc>
          <w:tcPr>
            <w:shd w:fill="auto" w:val="clear"/>
            <w:vAlign w:val="bottom"/>
          </w:tcPr>
          <w:p w:rsidR="00000000" w:rsidDel="00000000" w:rsidP="00000000" w:rsidRDefault="00000000" w:rsidRPr="00000000" w14:paraId="00000085">
            <w:pPr>
              <w:spacing w:line="240" w:lineRule="auto"/>
              <w:rPr>
                <w:color w:val="002060"/>
              </w:rPr>
            </w:pPr>
            <w:r w:rsidDel="00000000" w:rsidR="00000000" w:rsidRPr="00000000">
              <w:rPr>
                <w:color w:val="002060"/>
                <w:rtl w:val="0"/>
              </w:rPr>
              <w:t xml:space="preserve">Jane Elias</w:t>
            </w:r>
          </w:p>
        </w:tc>
      </w:tr>
      <w:tr>
        <w:trPr>
          <w:cantSplit w:val="0"/>
          <w:trHeight w:val="320" w:hRule="atLeast"/>
          <w:tblHeader w:val="1"/>
        </w:trPr>
        <w:tc>
          <w:tcPr>
            <w:shd w:fill="auto" w:val="clear"/>
            <w:vAlign w:val="bottom"/>
          </w:tcPr>
          <w:p w:rsidR="00000000" w:rsidDel="00000000" w:rsidP="00000000" w:rsidRDefault="00000000" w:rsidRPr="00000000" w14:paraId="00000086">
            <w:pPr>
              <w:spacing w:line="240" w:lineRule="auto"/>
              <w:rPr>
                <w:color w:val="002060"/>
                <w:highlight w:val="white"/>
              </w:rPr>
            </w:pPr>
            <w:r w:rsidDel="00000000" w:rsidR="00000000" w:rsidRPr="00000000">
              <w:rPr>
                <w:color w:val="002060"/>
                <w:highlight w:val="white"/>
                <w:rtl w:val="0"/>
              </w:rPr>
              <w:t xml:space="preserve">CCR REN</w:t>
            </w:r>
          </w:p>
        </w:tc>
        <w:tc>
          <w:tcPr>
            <w:shd w:fill="auto" w:val="clear"/>
            <w:vAlign w:val="bottom"/>
          </w:tcPr>
          <w:p w:rsidR="00000000" w:rsidDel="00000000" w:rsidP="00000000" w:rsidRDefault="00000000" w:rsidRPr="00000000" w14:paraId="00000087">
            <w:pPr>
              <w:spacing w:line="240" w:lineRule="auto"/>
              <w:rPr>
                <w:color w:val="002060"/>
                <w:highlight w:val="white"/>
              </w:rPr>
            </w:pPr>
            <w:r w:rsidDel="00000000" w:rsidR="00000000" w:rsidRPr="00000000">
              <w:rPr>
                <w:color w:val="002060"/>
                <w:highlight w:val="white"/>
                <w:rtl w:val="0"/>
              </w:rPr>
              <w:t xml:space="preserve">Jordan Garbayo</w:t>
            </w:r>
          </w:p>
        </w:tc>
      </w:tr>
      <w:tr>
        <w:trPr>
          <w:cantSplit w:val="0"/>
          <w:trHeight w:val="320" w:hRule="atLeast"/>
          <w:tblHeader w:val="1"/>
        </w:trPr>
        <w:tc>
          <w:tcPr>
            <w:shd w:fill="auto" w:val="clear"/>
            <w:vAlign w:val="bottom"/>
          </w:tcPr>
          <w:p w:rsidR="00000000" w:rsidDel="00000000" w:rsidP="00000000" w:rsidRDefault="00000000" w:rsidRPr="00000000" w14:paraId="00000088">
            <w:pPr>
              <w:spacing w:line="240" w:lineRule="auto"/>
              <w:rPr>
                <w:color w:val="002060"/>
              </w:rPr>
            </w:pPr>
            <w:r w:rsidDel="00000000" w:rsidR="00000000" w:rsidRPr="00000000">
              <w:rPr>
                <w:color w:val="002060"/>
                <w:rtl w:val="0"/>
              </w:rPr>
              <w:t xml:space="preserve">Frontier Energy</w:t>
            </w:r>
          </w:p>
        </w:tc>
        <w:tc>
          <w:tcPr>
            <w:shd w:fill="auto" w:val="clear"/>
            <w:vAlign w:val="bottom"/>
          </w:tcPr>
          <w:p w:rsidR="00000000" w:rsidDel="00000000" w:rsidP="00000000" w:rsidRDefault="00000000" w:rsidRPr="00000000" w14:paraId="00000089">
            <w:pPr>
              <w:spacing w:line="240" w:lineRule="auto"/>
              <w:rPr>
                <w:color w:val="002060"/>
              </w:rPr>
            </w:pPr>
            <w:r w:rsidDel="00000000" w:rsidR="00000000" w:rsidRPr="00000000">
              <w:rPr>
                <w:color w:val="002060"/>
                <w:rtl w:val="0"/>
              </w:rPr>
              <w:t xml:space="preserve">Nancy Barba</w:t>
            </w:r>
          </w:p>
        </w:tc>
      </w:tr>
      <w:tr>
        <w:trPr>
          <w:cantSplit w:val="0"/>
          <w:trHeight w:val="320" w:hRule="atLeast"/>
          <w:tblHeader w:val="1"/>
        </w:trPr>
        <w:tc>
          <w:tcPr>
            <w:shd w:fill="auto" w:val="clear"/>
            <w:vAlign w:val="bottom"/>
          </w:tcPr>
          <w:p w:rsidR="00000000" w:rsidDel="00000000" w:rsidP="00000000" w:rsidRDefault="00000000" w:rsidRPr="00000000" w14:paraId="0000008A">
            <w:pPr>
              <w:spacing w:line="240" w:lineRule="auto"/>
              <w:rPr>
                <w:color w:val="002060"/>
              </w:rPr>
            </w:pPr>
            <w:r w:rsidDel="00000000" w:rsidR="00000000" w:rsidRPr="00000000">
              <w:rPr>
                <w:color w:val="002060"/>
                <w:rtl w:val="0"/>
              </w:rPr>
              <w:t xml:space="preserve">I-REN</w:t>
            </w:r>
          </w:p>
        </w:tc>
        <w:tc>
          <w:tcPr>
            <w:shd w:fill="auto" w:val="clear"/>
            <w:vAlign w:val="bottom"/>
          </w:tcPr>
          <w:p w:rsidR="00000000" w:rsidDel="00000000" w:rsidP="00000000" w:rsidRDefault="00000000" w:rsidRPr="00000000" w14:paraId="0000008B">
            <w:pPr>
              <w:spacing w:line="240" w:lineRule="auto"/>
              <w:rPr>
                <w:color w:val="002060"/>
              </w:rPr>
            </w:pPr>
            <w:r w:rsidDel="00000000" w:rsidR="00000000" w:rsidRPr="00000000">
              <w:rPr>
                <w:color w:val="002060"/>
                <w:rtl w:val="0"/>
              </w:rPr>
              <w:t xml:space="preserve">Benjamin Druyon</w:t>
            </w:r>
          </w:p>
        </w:tc>
      </w:tr>
      <w:tr>
        <w:trPr>
          <w:cantSplit w:val="0"/>
          <w:trHeight w:val="320" w:hRule="atLeast"/>
          <w:tblHeader w:val="1"/>
        </w:trPr>
        <w:tc>
          <w:tcPr>
            <w:shd w:fill="auto" w:val="clear"/>
            <w:vAlign w:val="bottom"/>
          </w:tcPr>
          <w:p w:rsidR="00000000" w:rsidDel="00000000" w:rsidP="00000000" w:rsidRDefault="00000000" w:rsidRPr="00000000" w14:paraId="0000008C">
            <w:pPr>
              <w:spacing w:line="240" w:lineRule="auto"/>
              <w:rPr>
                <w:color w:val="002060"/>
              </w:rPr>
            </w:pPr>
            <w:r w:rsidDel="00000000" w:rsidR="00000000" w:rsidRPr="00000000">
              <w:rPr>
                <w:color w:val="002060"/>
                <w:rtl w:val="0"/>
              </w:rPr>
              <w:t xml:space="preserve">LGSEC</w:t>
            </w:r>
          </w:p>
        </w:tc>
        <w:tc>
          <w:tcPr>
            <w:shd w:fill="auto" w:val="clear"/>
            <w:vAlign w:val="bottom"/>
          </w:tcPr>
          <w:p w:rsidR="00000000" w:rsidDel="00000000" w:rsidP="00000000" w:rsidRDefault="00000000" w:rsidRPr="00000000" w14:paraId="0000008D">
            <w:pPr>
              <w:spacing w:line="240" w:lineRule="auto"/>
              <w:rPr>
                <w:color w:val="002060"/>
              </w:rPr>
            </w:pPr>
            <w:r w:rsidDel="00000000" w:rsidR="00000000" w:rsidRPr="00000000">
              <w:rPr>
                <w:color w:val="002060"/>
                <w:highlight w:val="white"/>
                <w:rtl w:val="0"/>
              </w:rPr>
              <w:t xml:space="preserve">Amaury Berteaud</w:t>
            </w:r>
            <w:r w:rsidDel="00000000" w:rsidR="00000000" w:rsidRPr="00000000">
              <w:rPr>
                <w:rtl w:val="0"/>
              </w:rPr>
            </w:r>
          </w:p>
        </w:tc>
      </w:tr>
      <w:tr>
        <w:trPr>
          <w:cantSplit w:val="0"/>
          <w:trHeight w:val="320" w:hRule="atLeast"/>
          <w:tblHeader w:val="1"/>
        </w:trPr>
        <w:tc>
          <w:tcPr>
            <w:shd w:fill="auto" w:val="clear"/>
            <w:vAlign w:val="bottom"/>
          </w:tcPr>
          <w:p w:rsidR="00000000" w:rsidDel="00000000" w:rsidP="00000000" w:rsidRDefault="00000000" w:rsidRPr="00000000" w14:paraId="0000008E">
            <w:pPr>
              <w:spacing w:line="240" w:lineRule="auto"/>
              <w:rPr>
                <w:color w:val="002060"/>
              </w:rPr>
            </w:pPr>
            <w:r w:rsidDel="00000000" w:rsidR="00000000" w:rsidRPr="00000000">
              <w:rPr>
                <w:color w:val="002060"/>
                <w:rtl w:val="0"/>
              </w:rPr>
              <w:t xml:space="preserve">MCE</w:t>
            </w:r>
          </w:p>
        </w:tc>
        <w:tc>
          <w:tcPr>
            <w:shd w:fill="auto" w:val="clear"/>
            <w:vAlign w:val="bottom"/>
          </w:tcPr>
          <w:p w:rsidR="00000000" w:rsidDel="00000000" w:rsidP="00000000" w:rsidRDefault="00000000" w:rsidRPr="00000000" w14:paraId="0000008F">
            <w:pPr>
              <w:spacing w:line="240" w:lineRule="auto"/>
              <w:rPr>
                <w:color w:val="002060"/>
              </w:rPr>
            </w:pPr>
            <w:r w:rsidDel="00000000" w:rsidR="00000000" w:rsidRPr="00000000">
              <w:rPr>
                <w:color w:val="002060"/>
                <w:rtl w:val="0"/>
              </w:rPr>
              <w:t xml:space="preserve">Alice Havenar-Daughton</w:t>
            </w:r>
          </w:p>
        </w:tc>
      </w:tr>
      <w:tr>
        <w:trPr>
          <w:cantSplit w:val="0"/>
          <w:trHeight w:val="320" w:hRule="atLeast"/>
          <w:tblHeader w:val="1"/>
        </w:trPr>
        <w:tc>
          <w:tcPr>
            <w:tcBorders>
              <w:top w:color="76a5af" w:space="0" w:sz="5" w:val="single"/>
              <w:left w:color="76a5af" w:space="0" w:sz="5" w:val="single"/>
              <w:bottom w:color="76a5af" w:space="0" w:sz="5" w:val="single"/>
              <w:right w:color="76a5af"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w:t>
            </w:r>
            <w:r w:rsidDel="00000000" w:rsidR="00000000" w:rsidRPr="00000000">
              <w:rPr>
                <w:color w:val="002060"/>
                <w:rtl w:val="0"/>
              </w:rPr>
              <w:t xml:space="preserve">PG&amp;E</w:t>
            </w:r>
            <w:r w:rsidDel="00000000" w:rsidR="00000000" w:rsidRPr="00000000">
              <w:rPr>
                <w:rtl w:val="0"/>
              </w:rPr>
            </w:r>
          </w:p>
        </w:tc>
        <w:tc>
          <w:tcPr>
            <w:shd w:fill="auto" w:val="clear"/>
            <w:vAlign w:val="bottom"/>
          </w:tcPr>
          <w:p w:rsidR="00000000" w:rsidDel="00000000" w:rsidP="00000000" w:rsidRDefault="00000000" w:rsidRPr="00000000" w14:paraId="00000091">
            <w:pPr>
              <w:spacing w:line="240" w:lineRule="auto"/>
              <w:rPr>
                <w:color w:val="002060"/>
              </w:rPr>
            </w:pPr>
            <w:r w:rsidDel="00000000" w:rsidR="00000000" w:rsidRPr="00000000">
              <w:rPr>
                <w:color w:val="002060"/>
                <w:rtl w:val="0"/>
              </w:rPr>
              <w:t xml:space="preserve">Lisa Hunter</w:t>
            </w:r>
          </w:p>
        </w:tc>
      </w:tr>
      <w:tr>
        <w:trPr>
          <w:cantSplit w:val="0"/>
          <w:trHeight w:val="320" w:hRule="atLeast"/>
          <w:tblHeader w:val="1"/>
        </w:trPr>
        <w:tc>
          <w:tcPr>
            <w:tcBorders>
              <w:top w:color="cccccc" w:space="0" w:sz="5" w:val="single"/>
              <w:left w:color="76a5af" w:space="0" w:sz="5" w:val="single"/>
              <w:bottom w:color="76a5af" w:space="0" w:sz="5" w:val="single"/>
              <w:right w:color="76a5af" w:space="0" w:sz="5" w:val="single"/>
            </w:tcBorders>
            <w:tcMar>
              <w:top w:w="0.0" w:type="dxa"/>
              <w:left w:w="40.0" w:type="dxa"/>
              <w:bottom w:w="0.0" w:type="dxa"/>
              <w:right w:w="40.0" w:type="dxa"/>
            </w:tcMar>
            <w:vAlign w:val="bottom"/>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NREN</w:t>
            </w:r>
            <w:r w:rsidDel="00000000" w:rsidR="00000000" w:rsidRPr="00000000">
              <w:rPr>
                <w:rtl w:val="0"/>
              </w:rPr>
            </w:r>
          </w:p>
        </w:tc>
        <w:tc>
          <w:tcPr>
            <w:shd w:fill="auto" w:val="clear"/>
            <w:vAlign w:val="bottom"/>
          </w:tcPr>
          <w:p w:rsidR="00000000" w:rsidDel="00000000" w:rsidP="00000000" w:rsidRDefault="00000000" w:rsidRPr="00000000" w14:paraId="00000093">
            <w:pPr>
              <w:spacing w:line="240" w:lineRule="auto"/>
              <w:rPr>
                <w:color w:val="002060"/>
              </w:rPr>
            </w:pPr>
            <w:r w:rsidDel="00000000" w:rsidR="00000000" w:rsidRPr="00000000">
              <w:rPr>
                <w:color w:val="002060"/>
                <w:rtl w:val="0"/>
              </w:rPr>
              <w:t xml:space="preserve">Stephen Kullmann</w:t>
            </w:r>
          </w:p>
        </w:tc>
      </w:tr>
      <w:tr>
        <w:trPr>
          <w:cantSplit w:val="0"/>
          <w:trHeight w:val="320" w:hRule="atLeast"/>
          <w:tblHeader w:val="1"/>
        </w:trPr>
        <w:tc>
          <w:tcPr>
            <w:tcBorders>
              <w:top w:color="cccccc" w:space="0" w:sz="5" w:val="single"/>
              <w:left w:color="76a5af" w:space="0" w:sz="5" w:val="single"/>
              <w:bottom w:color="76a5af" w:space="0" w:sz="5" w:val="single"/>
              <w:right w:color="76a5af"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w:t>
            </w:r>
            <w:r w:rsidDel="00000000" w:rsidR="00000000" w:rsidRPr="00000000">
              <w:rPr>
                <w:color w:val="002060"/>
                <w:rtl w:val="0"/>
              </w:rPr>
              <w:t xml:space="preserve">SBUA</w:t>
            </w:r>
          </w:p>
        </w:tc>
        <w:tc>
          <w:tcPr>
            <w:shd w:fill="auto" w:val="clear"/>
            <w:vAlign w:val="bottom"/>
          </w:tcPr>
          <w:p w:rsidR="00000000" w:rsidDel="00000000" w:rsidP="00000000" w:rsidRDefault="00000000" w:rsidRPr="00000000" w14:paraId="00000095">
            <w:pPr>
              <w:spacing w:line="240" w:lineRule="auto"/>
              <w:rPr>
                <w:color w:val="002060"/>
              </w:rPr>
            </w:pPr>
            <w:r w:rsidDel="00000000" w:rsidR="00000000" w:rsidRPr="00000000">
              <w:rPr>
                <w:color w:val="002060"/>
                <w:rtl w:val="0"/>
              </w:rPr>
              <w:t xml:space="preserve">Ted Howard</w:t>
            </w:r>
          </w:p>
        </w:tc>
      </w:tr>
      <w:tr>
        <w:trPr>
          <w:cantSplit w:val="0"/>
          <w:trHeight w:val="320" w:hRule="atLeast"/>
          <w:tblHeader w:val="1"/>
        </w:trPr>
        <w:tc>
          <w:tcPr>
            <w:tcBorders>
              <w:top w:color="cccccc" w:space="0" w:sz="5" w:val="single"/>
              <w:left w:color="76a5af" w:space="0" w:sz="5" w:val="single"/>
              <w:bottom w:color="76a5af" w:space="0" w:sz="5" w:val="single"/>
              <w:right w:color="76a5af" w:space="0" w:sz="5" w:val="single"/>
            </w:tcBorders>
            <w:tcMar>
              <w:top w:w="0.0" w:type="dxa"/>
              <w:left w:w="40.0" w:type="dxa"/>
              <w:bottom w:w="0.0" w:type="dxa"/>
              <w:right w:w="40.0" w:type="dxa"/>
            </w:tcMar>
            <w:vAlign w:val="bottom"/>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w:t>
            </w: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097">
            <w:pPr>
              <w:spacing w:line="240" w:lineRule="auto"/>
              <w:rPr>
                <w:color w:val="002060"/>
              </w:rPr>
            </w:pPr>
            <w:r w:rsidDel="00000000" w:rsidR="00000000" w:rsidRPr="00000000">
              <w:rPr>
                <w:color w:val="002060"/>
                <w:rtl w:val="0"/>
              </w:rPr>
              <w:t xml:space="preserve">Jessica Lau</w:t>
            </w:r>
          </w:p>
        </w:tc>
      </w:tr>
      <w:tr>
        <w:trPr>
          <w:cantSplit w:val="0"/>
          <w:trHeight w:val="320" w:hRule="atLeast"/>
          <w:tblHeader w:val="1"/>
        </w:trPr>
        <w:tc>
          <w:tcPr>
            <w:tcBorders>
              <w:top w:color="cccccc" w:space="0" w:sz="5" w:val="single"/>
              <w:left w:color="76a5af" w:space="0" w:sz="5" w:val="single"/>
              <w:bottom w:color="76a5af" w:space="0" w:sz="5" w:val="single"/>
              <w:right w:color="76a5af" w:space="0" w:sz="5" w:val="single"/>
            </w:tcBorders>
            <w:tcMar>
              <w:top w:w="0.0" w:type="dxa"/>
              <w:left w:w="40.0" w:type="dxa"/>
              <w:bottom w:w="0.0" w:type="dxa"/>
              <w:right w:w="40.0" w:type="dxa"/>
            </w:tcMar>
            <w:vAlign w:val="bottom"/>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w:t>
            </w:r>
            <w:r w:rsidDel="00000000" w:rsidR="00000000" w:rsidRPr="00000000">
              <w:rPr>
                <w:color w:val="002060"/>
                <w:rtl w:val="0"/>
              </w:rPr>
              <w:t xml:space="preserve">SDREN</w:t>
            </w:r>
          </w:p>
        </w:tc>
        <w:tc>
          <w:tcPr>
            <w:shd w:fill="auto" w:val="clear"/>
            <w:vAlign w:val="bottom"/>
          </w:tcPr>
          <w:p w:rsidR="00000000" w:rsidDel="00000000" w:rsidP="00000000" w:rsidRDefault="00000000" w:rsidRPr="00000000" w14:paraId="00000099">
            <w:pPr>
              <w:spacing w:line="240" w:lineRule="auto"/>
              <w:rPr>
                <w:color w:val="002060"/>
              </w:rPr>
            </w:pPr>
            <w:r w:rsidDel="00000000" w:rsidR="00000000" w:rsidRPr="00000000">
              <w:rPr>
                <w:color w:val="002060"/>
                <w:rtl w:val="0"/>
              </w:rPr>
              <w:t xml:space="preserve">Sheena Tran</w:t>
            </w:r>
          </w:p>
        </w:tc>
      </w:tr>
      <w:tr>
        <w:trPr>
          <w:cantSplit w:val="0"/>
          <w:trHeight w:val="320" w:hRule="atLeast"/>
          <w:tblHeader w:val="1"/>
        </w:trPr>
        <w:tc>
          <w:tcPr>
            <w:tcBorders>
              <w:top w:color="cccccc" w:space="0" w:sz="5" w:val="single"/>
              <w:left w:color="76a5af" w:space="0" w:sz="5" w:val="single"/>
              <w:bottom w:color="76a5af" w:space="0" w:sz="5" w:val="single"/>
              <w:right w:color="76a5af" w:space="0" w:sz="5" w:val="single"/>
            </w:tcBorders>
            <w:tcMar>
              <w:top w:w="0.0" w:type="dxa"/>
              <w:left w:w="40.0" w:type="dxa"/>
              <w:bottom w:w="0.0" w:type="dxa"/>
              <w:right w:w="40.0" w:type="dxa"/>
            </w:tcMar>
            <w:vAlign w:val="bottom"/>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w:t>
            </w:r>
            <w:r w:rsidDel="00000000" w:rsidR="00000000" w:rsidRPr="00000000">
              <w:rPr>
                <w:color w:val="002060"/>
                <w:rtl w:val="0"/>
              </w:rPr>
              <w:t xml:space="preserve">SDG&amp;E</w:t>
            </w:r>
            <w:r w:rsidDel="00000000" w:rsidR="00000000" w:rsidRPr="00000000">
              <w:rPr>
                <w:rtl w:val="0"/>
              </w:rPr>
            </w:r>
          </w:p>
        </w:tc>
        <w:tc>
          <w:tcPr>
            <w:shd w:fill="auto" w:val="clear"/>
            <w:vAlign w:val="bottom"/>
          </w:tcPr>
          <w:p w:rsidR="00000000" w:rsidDel="00000000" w:rsidP="00000000" w:rsidRDefault="00000000" w:rsidRPr="00000000" w14:paraId="0000009B">
            <w:pPr>
              <w:spacing w:line="240" w:lineRule="auto"/>
              <w:rPr>
                <w:color w:val="002060"/>
              </w:rPr>
            </w:pPr>
            <w:r w:rsidDel="00000000" w:rsidR="00000000" w:rsidRPr="00000000">
              <w:rPr>
                <w:color w:val="002060"/>
                <w:rtl w:val="0"/>
              </w:rPr>
              <w:t xml:space="preserve">Stacie Risley</w:t>
            </w:r>
          </w:p>
        </w:tc>
      </w:tr>
      <w:tr>
        <w:trPr>
          <w:cantSplit w:val="0"/>
          <w:trHeight w:val="320" w:hRule="atLeast"/>
          <w:tblHeader w:val="1"/>
        </w:trPr>
        <w:tc>
          <w:tcPr>
            <w:tcBorders>
              <w:top w:color="cccccc" w:space="0" w:sz="5" w:val="single"/>
              <w:left w:color="76a5af" w:space="0" w:sz="5" w:val="single"/>
              <w:bottom w:color="76a5af" w:space="0" w:sz="5" w:val="single"/>
              <w:right w:color="76a5af"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w:t>
            </w:r>
            <w:r w:rsidDel="00000000" w:rsidR="00000000" w:rsidRPr="00000000">
              <w:rPr>
                <w:color w:val="002060"/>
                <w:rtl w:val="0"/>
              </w:rPr>
              <w:t xml:space="preserve">SF Department of the Environment</w:t>
            </w:r>
          </w:p>
        </w:tc>
        <w:tc>
          <w:tcPr>
            <w:shd w:fill="auto" w:val="clear"/>
            <w:vAlign w:val="bottom"/>
          </w:tcPr>
          <w:p w:rsidR="00000000" w:rsidDel="00000000" w:rsidP="00000000" w:rsidRDefault="00000000" w:rsidRPr="00000000" w14:paraId="0000009D">
            <w:pPr>
              <w:spacing w:line="240" w:lineRule="auto"/>
              <w:rPr>
                <w:color w:val="002060"/>
              </w:rPr>
            </w:pPr>
            <w:r w:rsidDel="00000000" w:rsidR="00000000" w:rsidRPr="00000000">
              <w:rPr>
                <w:color w:val="002060"/>
                <w:rtl w:val="0"/>
              </w:rPr>
              <w:t xml:space="preserve">Lowell Chu</w:t>
            </w:r>
          </w:p>
        </w:tc>
      </w:tr>
      <w:tr>
        <w:trPr>
          <w:cantSplit w:val="0"/>
          <w:trHeight w:val="320" w:hRule="atLeast"/>
          <w:tblHeader w:val="1"/>
        </w:trPr>
        <w:tc>
          <w:tcPr>
            <w:tcBorders>
              <w:top w:color="cccccc" w:space="0" w:sz="5" w:val="single"/>
              <w:left w:color="76a5af" w:space="0" w:sz="5" w:val="single"/>
              <w:bottom w:color="76a5af" w:space="0" w:sz="5" w:val="single"/>
              <w:right w:color="76a5af" w:space="0" w:sz="5" w:val="single"/>
            </w:tcBorders>
            <w:shd w:fill="ffffff" w:val="clear"/>
            <w:tcMar>
              <w:top w:w="0.0" w:type="dxa"/>
              <w:left w:w="40.0" w:type="dxa"/>
              <w:bottom w:w="0.0" w:type="dxa"/>
              <w:right w:w="40.0" w:type="dxa"/>
            </w:tcMar>
            <w:vAlign w:val="bottom"/>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2060"/>
              </w:rPr>
            </w:pPr>
            <w:r w:rsidDel="00000000" w:rsidR="00000000" w:rsidRPr="00000000">
              <w:rPr>
                <w:color w:val="002060"/>
                <w:rtl w:val="0"/>
              </w:rPr>
              <w:t xml:space="preserve"> </w:t>
            </w:r>
            <w:r w:rsidDel="00000000" w:rsidR="00000000" w:rsidRPr="00000000">
              <w:rPr>
                <w:color w:val="002060"/>
                <w:rtl w:val="0"/>
              </w:rPr>
              <w:t xml:space="preserve">SJVCEO</w:t>
            </w:r>
          </w:p>
        </w:tc>
        <w:tc>
          <w:tcPr>
            <w:shd w:fill="auto" w:val="clear"/>
            <w:vAlign w:val="bottom"/>
          </w:tcPr>
          <w:p w:rsidR="00000000" w:rsidDel="00000000" w:rsidP="00000000" w:rsidRDefault="00000000" w:rsidRPr="00000000" w14:paraId="0000009F">
            <w:pPr>
              <w:spacing w:line="240" w:lineRule="auto"/>
              <w:rPr>
                <w:color w:val="002060"/>
              </w:rPr>
            </w:pPr>
            <w:r w:rsidDel="00000000" w:rsidR="00000000" w:rsidRPr="00000000">
              <w:rPr>
                <w:color w:val="002060"/>
                <w:rtl w:val="0"/>
              </w:rPr>
              <w:t xml:space="preserve">Courtney Blore</w:t>
            </w:r>
          </w:p>
        </w:tc>
      </w:tr>
      <w:tr>
        <w:trPr>
          <w:cantSplit w:val="0"/>
          <w:trHeight w:val="320" w:hRule="atLeast"/>
          <w:tblHeader w:val="1"/>
        </w:trPr>
        <w:tc>
          <w:tcPr>
            <w:shd w:fill="auto" w:val="clear"/>
            <w:vAlign w:val="bottom"/>
          </w:tcPr>
          <w:p w:rsidR="00000000" w:rsidDel="00000000" w:rsidP="00000000" w:rsidRDefault="00000000" w:rsidRPr="00000000" w14:paraId="000000A0">
            <w:pPr>
              <w:spacing w:line="240" w:lineRule="auto"/>
              <w:rPr>
                <w:color w:val="002060"/>
              </w:rPr>
            </w:pPr>
            <w:r w:rsidDel="00000000" w:rsidR="00000000" w:rsidRPr="00000000">
              <w:rPr>
                <w:color w:val="002060"/>
                <w:rtl w:val="0"/>
              </w:rPr>
              <w:t xml:space="preserve">SoCalGas</w:t>
            </w:r>
          </w:p>
        </w:tc>
        <w:tc>
          <w:tcPr>
            <w:shd w:fill="auto" w:val="clear"/>
            <w:vAlign w:val="bottom"/>
          </w:tcPr>
          <w:p w:rsidR="00000000" w:rsidDel="00000000" w:rsidP="00000000" w:rsidRDefault="00000000" w:rsidRPr="00000000" w14:paraId="000000A1">
            <w:pPr>
              <w:spacing w:line="240" w:lineRule="auto"/>
              <w:rPr>
                <w:color w:val="002060"/>
              </w:rPr>
            </w:pPr>
            <w:r w:rsidDel="00000000" w:rsidR="00000000" w:rsidRPr="00000000">
              <w:rPr>
                <w:color w:val="002060"/>
                <w:rtl w:val="0"/>
              </w:rPr>
              <w:t xml:space="preserve">Roy Christian</w:t>
            </w:r>
          </w:p>
        </w:tc>
      </w:tr>
      <w:tr>
        <w:trPr>
          <w:cantSplit w:val="0"/>
          <w:trHeight w:val="320" w:hRule="atLeast"/>
          <w:tblHeader w:val="1"/>
        </w:trPr>
        <w:tc>
          <w:tcPr>
            <w:shd w:fill="auto" w:val="clear"/>
            <w:vAlign w:val="bottom"/>
          </w:tcPr>
          <w:p w:rsidR="00000000" w:rsidDel="00000000" w:rsidP="00000000" w:rsidRDefault="00000000" w:rsidRPr="00000000" w14:paraId="000000A2">
            <w:pPr>
              <w:spacing w:line="240" w:lineRule="auto"/>
              <w:rPr>
                <w:color w:val="002060"/>
              </w:rPr>
            </w:pPr>
            <w:r w:rsidDel="00000000" w:rsidR="00000000" w:rsidRPr="00000000">
              <w:rPr>
                <w:color w:val="002060"/>
                <w:rtl w:val="0"/>
              </w:rPr>
              <w:t xml:space="preserve">SoCalREN </w:t>
            </w:r>
          </w:p>
        </w:tc>
        <w:tc>
          <w:tcPr>
            <w:shd w:fill="auto" w:val="clear"/>
            <w:vAlign w:val="bottom"/>
          </w:tcPr>
          <w:p w:rsidR="00000000" w:rsidDel="00000000" w:rsidP="00000000" w:rsidRDefault="00000000" w:rsidRPr="00000000" w14:paraId="000000A3">
            <w:pPr>
              <w:spacing w:line="240" w:lineRule="auto"/>
              <w:rPr>
                <w:color w:val="002060"/>
              </w:rPr>
            </w:pPr>
            <w:r w:rsidDel="00000000" w:rsidR="00000000" w:rsidRPr="00000000">
              <w:rPr>
                <w:color w:val="002060"/>
                <w:rtl w:val="0"/>
              </w:rPr>
              <w:t xml:space="preserve">Lujuana Medina</w:t>
            </w:r>
          </w:p>
        </w:tc>
      </w:tr>
      <w:tr>
        <w:trPr>
          <w:cantSplit w:val="0"/>
          <w:trHeight w:val="320" w:hRule="atLeast"/>
          <w:tblHeader w:val="1"/>
        </w:trPr>
        <w:tc>
          <w:tcPr>
            <w:shd w:fill="auto" w:val="clear"/>
            <w:vAlign w:val="bottom"/>
          </w:tcPr>
          <w:p w:rsidR="00000000" w:rsidDel="00000000" w:rsidP="00000000" w:rsidRDefault="00000000" w:rsidRPr="00000000" w14:paraId="000000A4">
            <w:pPr>
              <w:spacing w:line="240" w:lineRule="auto"/>
              <w:rPr>
                <w:color w:val="002060"/>
              </w:rPr>
            </w:pPr>
            <w:r w:rsidDel="00000000" w:rsidR="00000000" w:rsidRPr="00000000">
              <w:rPr>
                <w:color w:val="002060"/>
                <w:rtl w:val="0"/>
              </w:rPr>
              <w:t xml:space="preserve">The Energy Coalition</w:t>
            </w:r>
          </w:p>
        </w:tc>
        <w:tc>
          <w:tcPr>
            <w:shd w:fill="auto" w:val="clear"/>
            <w:vAlign w:val="bottom"/>
          </w:tcPr>
          <w:p w:rsidR="00000000" w:rsidDel="00000000" w:rsidP="00000000" w:rsidRDefault="00000000" w:rsidRPr="00000000" w14:paraId="000000A5">
            <w:pPr>
              <w:spacing w:line="240" w:lineRule="auto"/>
              <w:rPr>
                <w:color w:val="002060"/>
              </w:rPr>
            </w:pPr>
            <w:r w:rsidDel="00000000" w:rsidR="00000000" w:rsidRPr="00000000">
              <w:rPr>
                <w:color w:val="002060"/>
                <w:rtl w:val="0"/>
              </w:rPr>
              <w:t xml:space="preserve">Laurel Rothschild</w:t>
            </w:r>
          </w:p>
        </w:tc>
      </w:tr>
      <w:tr>
        <w:trPr>
          <w:cantSplit w:val="0"/>
          <w:trHeight w:val="320" w:hRule="atLeast"/>
          <w:tblHeader w:val="1"/>
        </w:trPr>
        <w:tc>
          <w:tcPr>
            <w:shd w:fill="b4c6e7" w:val="clear"/>
            <w:vAlign w:val="bottom"/>
          </w:tcPr>
          <w:p w:rsidR="00000000" w:rsidDel="00000000" w:rsidP="00000000" w:rsidRDefault="00000000" w:rsidRPr="00000000" w14:paraId="000000A6">
            <w:pPr>
              <w:spacing w:line="240" w:lineRule="auto"/>
              <w:rPr>
                <w:b w:val="1"/>
                <w:color w:val="002060"/>
              </w:rPr>
            </w:pPr>
            <w:r w:rsidDel="00000000" w:rsidR="00000000" w:rsidRPr="00000000">
              <w:rPr>
                <w:b w:val="1"/>
                <w:color w:val="002060"/>
                <w:rtl w:val="0"/>
              </w:rPr>
              <w:t xml:space="preserve">Ex-Officio </w:t>
            </w:r>
          </w:p>
        </w:tc>
        <w:tc>
          <w:tcPr>
            <w:shd w:fill="b4c6e7" w:val="clear"/>
            <w:vAlign w:val="bottom"/>
          </w:tcPr>
          <w:p w:rsidR="00000000" w:rsidDel="00000000" w:rsidP="00000000" w:rsidRDefault="00000000" w:rsidRPr="00000000" w14:paraId="000000A7">
            <w:pPr>
              <w:spacing w:line="240" w:lineRule="auto"/>
              <w:rPr>
                <w:color w:val="002060"/>
                <w:highlight w:val="yellow"/>
              </w:rPr>
            </w:pPr>
            <w:r w:rsidDel="00000000" w:rsidR="00000000" w:rsidRPr="00000000">
              <w:rPr>
                <w:rtl w:val="0"/>
              </w:rPr>
            </w:r>
          </w:p>
        </w:tc>
      </w:tr>
      <w:tr>
        <w:trPr>
          <w:cantSplit w:val="0"/>
          <w:trHeight w:val="320" w:hRule="atLeast"/>
          <w:tblHeader w:val="1"/>
        </w:trPr>
        <w:tc>
          <w:tcPr>
            <w:shd w:fill="auto" w:val="clear"/>
            <w:vAlign w:val="bottom"/>
          </w:tcPr>
          <w:p w:rsidR="00000000" w:rsidDel="00000000" w:rsidP="00000000" w:rsidRDefault="00000000" w:rsidRPr="00000000" w14:paraId="000000A8">
            <w:pPr>
              <w:spacing w:line="240" w:lineRule="auto"/>
              <w:rPr>
                <w:color w:val="002060"/>
              </w:rPr>
            </w:pPr>
            <w:r w:rsidDel="00000000" w:rsidR="00000000" w:rsidRPr="00000000">
              <w:rPr>
                <w:color w:val="002060"/>
                <w:rtl w:val="0"/>
              </w:rPr>
              <w:t xml:space="preserve">CPUC Energy Division</w:t>
            </w:r>
          </w:p>
        </w:tc>
        <w:tc>
          <w:tcPr>
            <w:shd w:fill="auto" w:val="clear"/>
            <w:vAlign w:val="bottom"/>
          </w:tcPr>
          <w:p w:rsidR="00000000" w:rsidDel="00000000" w:rsidP="00000000" w:rsidRDefault="00000000" w:rsidRPr="00000000" w14:paraId="000000A9">
            <w:pPr>
              <w:spacing w:line="240" w:lineRule="auto"/>
              <w:rPr>
                <w:color w:val="002060"/>
              </w:rPr>
            </w:pPr>
            <w:r w:rsidDel="00000000" w:rsidR="00000000" w:rsidRPr="00000000">
              <w:rPr>
                <w:color w:val="002060"/>
                <w:rtl w:val="0"/>
              </w:rPr>
              <w:t xml:space="preserve">Ely Jacobsohn</w:t>
            </w:r>
          </w:p>
        </w:tc>
      </w:tr>
      <w:tr>
        <w:trPr>
          <w:cantSplit w:val="0"/>
          <w:trHeight w:val="320" w:hRule="atLeast"/>
          <w:tblHeader w:val="1"/>
        </w:trPr>
        <w:tc>
          <w:tcPr>
            <w:shd w:fill="auto" w:val="clear"/>
            <w:vAlign w:val="bottom"/>
          </w:tcPr>
          <w:p w:rsidR="00000000" w:rsidDel="00000000" w:rsidP="00000000" w:rsidRDefault="00000000" w:rsidRPr="00000000" w14:paraId="000000AA">
            <w:pPr>
              <w:spacing w:line="240" w:lineRule="auto"/>
              <w:rPr>
                <w:color w:val="002060"/>
              </w:rPr>
            </w:pPr>
            <w:r w:rsidDel="00000000" w:rsidR="00000000" w:rsidRPr="00000000">
              <w:rPr>
                <w:color w:val="002060"/>
                <w:rtl w:val="0"/>
              </w:rPr>
              <w:t xml:space="preserve">CPUC Energy Division</w:t>
            </w:r>
          </w:p>
        </w:tc>
        <w:tc>
          <w:tcPr>
            <w:shd w:fill="auto" w:val="clear"/>
            <w:vAlign w:val="bottom"/>
          </w:tcPr>
          <w:p w:rsidR="00000000" w:rsidDel="00000000" w:rsidP="00000000" w:rsidRDefault="00000000" w:rsidRPr="00000000" w14:paraId="000000AB">
            <w:pPr>
              <w:spacing w:line="240" w:lineRule="auto"/>
              <w:rPr>
                <w:color w:val="002060"/>
              </w:rPr>
            </w:pPr>
            <w:r w:rsidDel="00000000" w:rsidR="00000000" w:rsidRPr="00000000">
              <w:rPr>
                <w:color w:val="002060"/>
                <w:rtl w:val="0"/>
              </w:rPr>
              <w:t xml:space="preserve">Pam Rittelmeyer</w:t>
            </w:r>
          </w:p>
        </w:tc>
      </w:tr>
      <w:tr>
        <w:trPr>
          <w:cantSplit w:val="0"/>
          <w:trHeight w:val="320" w:hRule="atLeast"/>
          <w:tblHeader w:val="1"/>
        </w:trPr>
        <w:tc>
          <w:tcPr>
            <w:shd w:fill="auto" w:val="clear"/>
            <w:vAlign w:val="bottom"/>
          </w:tcPr>
          <w:p w:rsidR="00000000" w:rsidDel="00000000" w:rsidP="00000000" w:rsidRDefault="00000000" w:rsidRPr="00000000" w14:paraId="000000AC">
            <w:pPr>
              <w:spacing w:line="240" w:lineRule="auto"/>
              <w:rPr>
                <w:color w:val="002060"/>
              </w:rPr>
            </w:pPr>
            <w:r w:rsidDel="00000000" w:rsidR="00000000" w:rsidRPr="00000000">
              <w:rPr>
                <w:color w:val="002060"/>
                <w:rtl w:val="0"/>
              </w:rPr>
              <w:t xml:space="preserve">CPUC Energy Division</w:t>
            </w:r>
          </w:p>
        </w:tc>
        <w:tc>
          <w:tcPr>
            <w:shd w:fill="auto" w:val="clear"/>
            <w:vAlign w:val="bottom"/>
          </w:tcPr>
          <w:p w:rsidR="00000000" w:rsidDel="00000000" w:rsidP="00000000" w:rsidRDefault="00000000" w:rsidRPr="00000000" w14:paraId="000000AD">
            <w:pPr>
              <w:spacing w:line="240" w:lineRule="auto"/>
              <w:rPr>
                <w:color w:val="002060"/>
              </w:rPr>
            </w:pPr>
            <w:r w:rsidDel="00000000" w:rsidR="00000000" w:rsidRPr="00000000">
              <w:rPr>
                <w:color w:val="002060"/>
                <w:rtl w:val="0"/>
              </w:rPr>
              <w:t xml:space="preserve">Coby Rudolph</w:t>
            </w:r>
          </w:p>
        </w:tc>
      </w:tr>
      <w:tr>
        <w:trPr>
          <w:cantSplit w:val="0"/>
          <w:trHeight w:val="320" w:hRule="atLeast"/>
          <w:tblHeader w:val="1"/>
        </w:trPr>
        <w:tc>
          <w:tcPr>
            <w:shd w:fill="auto" w:val="clear"/>
            <w:vAlign w:val="bottom"/>
          </w:tcPr>
          <w:p w:rsidR="00000000" w:rsidDel="00000000" w:rsidP="00000000" w:rsidRDefault="00000000" w:rsidRPr="00000000" w14:paraId="000000AE">
            <w:pPr>
              <w:spacing w:line="240" w:lineRule="auto"/>
              <w:rPr>
                <w:color w:val="002060"/>
              </w:rPr>
            </w:pPr>
            <w:r w:rsidDel="00000000" w:rsidR="00000000" w:rsidRPr="00000000">
              <w:rPr>
                <w:color w:val="002060"/>
                <w:rtl w:val="0"/>
              </w:rPr>
              <w:t xml:space="preserve">California Energy Commission</w:t>
            </w:r>
          </w:p>
        </w:tc>
        <w:tc>
          <w:tcPr>
            <w:shd w:fill="auto" w:val="clear"/>
            <w:vAlign w:val="bottom"/>
          </w:tcPr>
          <w:p w:rsidR="00000000" w:rsidDel="00000000" w:rsidP="00000000" w:rsidRDefault="00000000" w:rsidRPr="00000000" w14:paraId="000000AF">
            <w:pPr>
              <w:spacing w:line="240" w:lineRule="auto"/>
              <w:rPr>
                <w:color w:val="002060"/>
              </w:rPr>
            </w:pPr>
            <w:r w:rsidDel="00000000" w:rsidR="00000000" w:rsidRPr="00000000">
              <w:rPr>
                <w:color w:val="002060"/>
                <w:rtl w:val="0"/>
              </w:rPr>
              <w:t xml:space="preserve">Owen Howlett</w:t>
            </w:r>
          </w:p>
        </w:tc>
      </w:tr>
      <w:tr>
        <w:trPr>
          <w:cantSplit w:val="0"/>
          <w:trHeight w:val="320" w:hRule="atLeast"/>
          <w:tblHeader w:val="1"/>
        </w:trPr>
        <w:tc>
          <w:tcPr>
            <w:gridSpan w:val="2"/>
            <w:shd w:fill="b4c6e7" w:val="clear"/>
            <w:vAlign w:val="bottom"/>
          </w:tcPr>
          <w:p w:rsidR="00000000" w:rsidDel="00000000" w:rsidP="00000000" w:rsidRDefault="00000000" w:rsidRPr="00000000" w14:paraId="000000B0">
            <w:pPr>
              <w:spacing w:line="240" w:lineRule="auto"/>
              <w:rPr>
                <w:b w:val="1"/>
                <w:color w:val="002060"/>
              </w:rPr>
            </w:pPr>
            <w:r w:rsidDel="00000000" w:rsidR="00000000" w:rsidRPr="00000000">
              <w:rPr>
                <w:b w:val="1"/>
                <w:color w:val="002060"/>
                <w:rtl w:val="0"/>
              </w:rPr>
              <w:t xml:space="preserve">Other Interested Stakeholders</w:t>
            </w:r>
          </w:p>
        </w:tc>
      </w:tr>
      <w:tr>
        <w:trPr>
          <w:cantSplit w:val="0"/>
          <w:trHeight w:val="306.09375" w:hRule="atLeast"/>
          <w:tblHeader w:val="1"/>
        </w:trPr>
        <w:tc>
          <w:tcPr>
            <w:shd w:fill="auto" w:val="clear"/>
            <w:vAlign w:val="bottom"/>
          </w:tcPr>
          <w:p w:rsidR="00000000" w:rsidDel="00000000" w:rsidP="00000000" w:rsidRDefault="00000000" w:rsidRPr="00000000" w14:paraId="000000B2">
            <w:pPr>
              <w:spacing w:line="240" w:lineRule="auto"/>
              <w:rPr>
                <w:color w:val="002060"/>
              </w:rPr>
            </w:pPr>
            <w:r w:rsidDel="00000000" w:rsidR="00000000" w:rsidRPr="00000000">
              <w:rPr>
                <w:color w:val="002060"/>
                <w:rtl w:val="0"/>
              </w:rPr>
              <w:t xml:space="preserve">California Farm Bureau</w:t>
              <w:tab/>
            </w:r>
          </w:p>
        </w:tc>
        <w:tc>
          <w:tcPr>
            <w:shd w:fill="auto" w:val="clear"/>
            <w:vAlign w:val="bottom"/>
          </w:tcPr>
          <w:p w:rsidR="00000000" w:rsidDel="00000000" w:rsidP="00000000" w:rsidRDefault="00000000" w:rsidRPr="00000000" w14:paraId="000000B3">
            <w:pPr>
              <w:spacing w:line="240" w:lineRule="auto"/>
              <w:rPr>
                <w:color w:val="002060"/>
              </w:rPr>
            </w:pPr>
            <w:r w:rsidDel="00000000" w:rsidR="00000000" w:rsidRPr="00000000">
              <w:rPr>
                <w:color w:val="002060"/>
                <w:rtl w:val="0"/>
              </w:rPr>
              <w:t xml:space="preserve">Karen Norene Mills</w:t>
            </w:r>
          </w:p>
        </w:tc>
      </w:tr>
      <w:tr>
        <w:trPr>
          <w:cantSplit w:val="0"/>
          <w:trHeight w:val="320" w:hRule="atLeast"/>
          <w:tblHeader w:val="1"/>
        </w:trPr>
        <w:tc>
          <w:tcPr>
            <w:shd w:fill="auto" w:val="clear"/>
            <w:vAlign w:val="bottom"/>
          </w:tcPr>
          <w:p w:rsidR="00000000" w:rsidDel="00000000" w:rsidP="00000000" w:rsidRDefault="00000000" w:rsidRPr="00000000" w14:paraId="000000B4">
            <w:pPr>
              <w:spacing w:line="240" w:lineRule="auto"/>
              <w:rPr>
                <w:color w:val="002060"/>
              </w:rPr>
            </w:pPr>
            <w:r w:rsidDel="00000000" w:rsidR="00000000" w:rsidRPr="00000000">
              <w:rPr>
                <w:color w:val="002060"/>
                <w:rtl w:val="0"/>
              </w:rPr>
              <w:t xml:space="preserve">CalMTA</w:t>
            </w:r>
          </w:p>
        </w:tc>
        <w:tc>
          <w:tcPr>
            <w:shd w:fill="auto" w:val="clear"/>
            <w:vAlign w:val="bottom"/>
          </w:tcPr>
          <w:p w:rsidR="00000000" w:rsidDel="00000000" w:rsidP="00000000" w:rsidRDefault="00000000" w:rsidRPr="00000000" w14:paraId="000000B5">
            <w:pPr>
              <w:spacing w:line="240" w:lineRule="auto"/>
              <w:rPr>
                <w:color w:val="002060"/>
              </w:rPr>
            </w:pPr>
            <w:r w:rsidDel="00000000" w:rsidR="00000000" w:rsidRPr="00000000">
              <w:rPr>
                <w:color w:val="002060"/>
                <w:rtl w:val="0"/>
              </w:rPr>
              <w:t xml:space="preserve">Stacey Hobart</w:t>
            </w:r>
          </w:p>
        </w:tc>
      </w:tr>
      <w:tr>
        <w:trPr>
          <w:cantSplit w:val="0"/>
          <w:trHeight w:val="320" w:hRule="atLeast"/>
          <w:tblHeader w:val="1"/>
        </w:trPr>
        <w:tc>
          <w:tcPr>
            <w:shd w:fill="auto" w:val="clear"/>
            <w:vAlign w:val="bottom"/>
          </w:tcPr>
          <w:p w:rsidR="00000000" w:rsidDel="00000000" w:rsidP="00000000" w:rsidRDefault="00000000" w:rsidRPr="00000000" w14:paraId="000000B6">
            <w:pPr>
              <w:spacing w:line="240" w:lineRule="auto"/>
              <w:rPr>
                <w:color w:val="002060"/>
              </w:rPr>
            </w:pPr>
            <w:r w:rsidDel="00000000" w:rsidR="00000000" w:rsidRPr="00000000">
              <w:rPr>
                <w:color w:val="002060"/>
                <w:rtl w:val="0"/>
              </w:rPr>
              <w:t xml:space="preserve">CalMTA</w:t>
            </w:r>
          </w:p>
        </w:tc>
        <w:tc>
          <w:tcPr>
            <w:shd w:fill="auto" w:val="clear"/>
            <w:vAlign w:val="bottom"/>
          </w:tcPr>
          <w:p w:rsidR="00000000" w:rsidDel="00000000" w:rsidP="00000000" w:rsidRDefault="00000000" w:rsidRPr="00000000" w14:paraId="000000B7">
            <w:pPr>
              <w:spacing w:line="240" w:lineRule="auto"/>
              <w:rPr>
                <w:color w:val="002060"/>
              </w:rPr>
            </w:pPr>
            <w:r w:rsidDel="00000000" w:rsidR="00000000" w:rsidRPr="00000000">
              <w:rPr>
                <w:color w:val="002060"/>
                <w:rtl w:val="0"/>
              </w:rPr>
              <w:t xml:space="preserve">Smita Gupta</w:t>
            </w:r>
          </w:p>
        </w:tc>
      </w:tr>
      <w:tr>
        <w:trPr>
          <w:cantSplit w:val="0"/>
          <w:trHeight w:val="320" w:hRule="atLeast"/>
          <w:tblHeader w:val="1"/>
        </w:trPr>
        <w:tc>
          <w:tcPr>
            <w:shd w:fill="auto" w:val="clear"/>
            <w:vAlign w:val="bottom"/>
          </w:tcPr>
          <w:p w:rsidR="00000000" w:rsidDel="00000000" w:rsidP="00000000" w:rsidRDefault="00000000" w:rsidRPr="00000000" w14:paraId="000000B8">
            <w:pPr>
              <w:spacing w:line="240" w:lineRule="auto"/>
              <w:rPr>
                <w:color w:val="002060"/>
              </w:rPr>
            </w:pPr>
            <w:r w:rsidDel="00000000" w:rsidR="00000000" w:rsidRPr="00000000">
              <w:rPr>
                <w:color w:val="002060"/>
                <w:rtl w:val="0"/>
              </w:rPr>
              <w:t xml:space="preserve">Cascade Energy</w:t>
            </w:r>
          </w:p>
        </w:tc>
        <w:tc>
          <w:tcPr>
            <w:shd w:fill="auto" w:val="clear"/>
            <w:vAlign w:val="bottom"/>
          </w:tcPr>
          <w:p w:rsidR="00000000" w:rsidDel="00000000" w:rsidP="00000000" w:rsidRDefault="00000000" w:rsidRPr="00000000" w14:paraId="000000B9">
            <w:pPr>
              <w:spacing w:line="240" w:lineRule="auto"/>
              <w:rPr>
                <w:color w:val="002060"/>
              </w:rPr>
            </w:pPr>
            <w:r w:rsidDel="00000000" w:rsidR="00000000" w:rsidRPr="00000000">
              <w:rPr>
                <w:color w:val="002060"/>
                <w:rtl w:val="0"/>
              </w:rPr>
              <w:t xml:space="preserve">Emily Lange</w:t>
            </w:r>
          </w:p>
        </w:tc>
      </w:tr>
      <w:tr>
        <w:trPr>
          <w:cantSplit w:val="0"/>
          <w:trHeight w:val="320" w:hRule="atLeast"/>
          <w:tblHeader w:val="1"/>
        </w:trPr>
        <w:tc>
          <w:tcPr>
            <w:shd w:fill="auto" w:val="clear"/>
            <w:vAlign w:val="bottom"/>
          </w:tcPr>
          <w:p w:rsidR="00000000" w:rsidDel="00000000" w:rsidP="00000000" w:rsidRDefault="00000000" w:rsidRPr="00000000" w14:paraId="000000BA">
            <w:pPr>
              <w:spacing w:line="240" w:lineRule="auto"/>
              <w:rPr>
                <w:color w:val="002060"/>
              </w:rPr>
            </w:pPr>
            <w:r w:rsidDel="00000000" w:rsidR="00000000" w:rsidRPr="00000000">
              <w:rPr>
                <w:color w:val="002060"/>
                <w:rtl w:val="0"/>
              </w:rPr>
              <w:t xml:space="preserve">Cascade Energy</w:t>
            </w:r>
          </w:p>
        </w:tc>
        <w:tc>
          <w:tcPr>
            <w:shd w:fill="auto" w:val="clear"/>
            <w:vAlign w:val="bottom"/>
          </w:tcPr>
          <w:p w:rsidR="00000000" w:rsidDel="00000000" w:rsidP="00000000" w:rsidRDefault="00000000" w:rsidRPr="00000000" w14:paraId="000000BB">
            <w:pPr>
              <w:spacing w:line="240" w:lineRule="auto"/>
              <w:rPr>
                <w:color w:val="002060"/>
              </w:rPr>
            </w:pPr>
            <w:r w:rsidDel="00000000" w:rsidR="00000000" w:rsidRPr="00000000">
              <w:rPr>
                <w:color w:val="002060"/>
                <w:rtl w:val="0"/>
              </w:rPr>
              <w:t xml:space="preserve">Sam Skidmore</w:t>
            </w:r>
          </w:p>
        </w:tc>
      </w:tr>
      <w:tr>
        <w:trPr>
          <w:cantSplit w:val="0"/>
          <w:trHeight w:val="320" w:hRule="atLeast"/>
          <w:tblHeader w:val="1"/>
        </w:trPr>
        <w:tc>
          <w:tcPr>
            <w:shd w:fill="auto" w:val="clear"/>
            <w:vAlign w:val="bottom"/>
          </w:tcPr>
          <w:p w:rsidR="00000000" w:rsidDel="00000000" w:rsidP="00000000" w:rsidRDefault="00000000" w:rsidRPr="00000000" w14:paraId="000000BC">
            <w:pPr>
              <w:spacing w:line="240" w:lineRule="auto"/>
              <w:rPr>
                <w:color w:val="002060"/>
              </w:rPr>
            </w:pPr>
            <w:r w:rsidDel="00000000" w:rsidR="00000000" w:rsidRPr="00000000">
              <w:rPr>
                <w:color w:val="002060"/>
                <w:rtl w:val="0"/>
              </w:rPr>
              <w:t xml:space="preserve">CCR REN</w:t>
            </w:r>
          </w:p>
        </w:tc>
        <w:tc>
          <w:tcPr>
            <w:shd w:fill="auto" w:val="clear"/>
            <w:vAlign w:val="bottom"/>
          </w:tcPr>
          <w:p w:rsidR="00000000" w:rsidDel="00000000" w:rsidP="00000000" w:rsidRDefault="00000000" w:rsidRPr="00000000" w14:paraId="000000BD">
            <w:pPr>
              <w:spacing w:line="240" w:lineRule="auto"/>
              <w:rPr>
                <w:color w:val="002060"/>
              </w:rPr>
            </w:pPr>
            <w:r w:rsidDel="00000000" w:rsidR="00000000" w:rsidRPr="00000000">
              <w:rPr>
                <w:color w:val="002060"/>
                <w:rtl w:val="0"/>
              </w:rPr>
              <w:t xml:space="preserve">Leah Armstrong</w:t>
            </w:r>
          </w:p>
        </w:tc>
      </w:tr>
      <w:tr>
        <w:trPr>
          <w:cantSplit w:val="0"/>
          <w:trHeight w:val="320" w:hRule="atLeast"/>
          <w:tblHeader w:val="1"/>
        </w:trPr>
        <w:tc>
          <w:tcPr>
            <w:shd w:fill="auto" w:val="clear"/>
            <w:vAlign w:val="bottom"/>
          </w:tcPr>
          <w:p w:rsidR="00000000" w:rsidDel="00000000" w:rsidP="00000000" w:rsidRDefault="00000000" w:rsidRPr="00000000" w14:paraId="000000BE">
            <w:pPr>
              <w:spacing w:line="240" w:lineRule="auto"/>
              <w:rPr>
                <w:color w:val="002060"/>
              </w:rPr>
            </w:pPr>
            <w:r w:rsidDel="00000000" w:rsidR="00000000" w:rsidRPr="00000000">
              <w:rPr>
                <w:color w:val="002060"/>
                <w:rtl w:val="0"/>
              </w:rPr>
              <w:t xml:space="preserve">Center for Accessible Technology</w:t>
            </w:r>
          </w:p>
        </w:tc>
        <w:tc>
          <w:tcPr>
            <w:shd w:fill="auto" w:val="clear"/>
            <w:vAlign w:val="bottom"/>
          </w:tcPr>
          <w:p w:rsidR="00000000" w:rsidDel="00000000" w:rsidP="00000000" w:rsidRDefault="00000000" w:rsidRPr="00000000" w14:paraId="000000BF">
            <w:pPr>
              <w:spacing w:line="240" w:lineRule="auto"/>
              <w:rPr>
                <w:color w:val="002060"/>
              </w:rPr>
            </w:pPr>
            <w:r w:rsidDel="00000000" w:rsidR="00000000" w:rsidRPr="00000000">
              <w:rPr>
                <w:color w:val="002060"/>
                <w:rtl w:val="0"/>
              </w:rPr>
              <w:t xml:space="preserve">Kate Woodford</w:t>
            </w:r>
          </w:p>
        </w:tc>
      </w:tr>
      <w:tr>
        <w:trPr>
          <w:cantSplit w:val="0"/>
          <w:trHeight w:val="320" w:hRule="atLeast"/>
          <w:tblHeader w:val="1"/>
        </w:trPr>
        <w:tc>
          <w:tcPr>
            <w:shd w:fill="auto" w:val="clear"/>
            <w:vAlign w:val="bottom"/>
          </w:tcPr>
          <w:p w:rsidR="00000000" w:rsidDel="00000000" w:rsidP="00000000" w:rsidRDefault="00000000" w:rsidRPr="00000000" w14:paraId="000000C0">
            <w:pPr>
              <w:spacing w:line="240" w:lineRule="auto"/>
              <w:rPr>
                <w:color w:val="002060"/>
              </w:rPr>
            </w:pPr>
            <w:r w:rsidDel="00000000" w:rsidR="00000000" w:rsidRPr="00000000">
              <w:rPr>
                <w:color w:val="002060"/>
                <w:rtl w:val="0"/>
              </w:rPr>
              <w:t xml:space="preserve">ClimaBridge</w:t>
            </w:r>
          </w:p>
        </w:tc>
        <w:tc>
          <w:tcPr>
            <w:shd w:fill="auto" w:val="clear"/>
            <w:vAlign w:val="bottom"/>
          </w:tcPr>
          <w:p w:rsidR="00000000" w:rsidDel="00000000" w:rsidP="00000000" w:rsidRDefault="00000000" w:rsidRPr="00000000" w14:paraId="000000C1">
            <w:pPr>
              <w:spacing w:line="240" w:lineRule="auto"/>
              <w:rPr>
                <w:color w:val="002060"/>
              </w:rPr>
            </w:pPr>
            <w:r w:rsidDel="00000000" w:rsidR="00000000" w:rsidRPr="00000000">
              <w:rPr>
                <w:color w:val="002060"/>
                <w:rtl w:val="0"/>
              </w:rPr>
              <w:t xml:space="preserve">Melanie Colburn</w:t>
            </w:r>
          </w:p>
        </w:tc>
      </w:tr>
      <w:tr>
        <w:trPr>
          <w:cantSplit w:val="0"/>
          <w:trHeight w:val="320" w:hRule="atLeast"/>
          <w:tblHeader w:val="1"/>
        </w:trPr>
        <w:tc>
          <w:tcPr>
            <w:shd w:fill="auto" w:val="clear"/>
            <w:vAlign w:val="bottom"/>
          </w:tcPr>
          <w:p w:rsidR="00000000" w:rsidDel="00000000" w:rsidP="00000000" w:rsidRDefault="00000000" w:rsidRPr="00000000" w14:paraId="000000C2">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C3">
            <w:pPr>
              <w:spacing w:line="240" w:lineRule="auto"/>
              <w:rPr>
                <w:color w:val="002060"/>
              </w:rPr>
            </w:pPr>
            <w:r w:rsidDel="00000000" w:rsidR="00000000" w:rsidRPr="00000000">
              <w:rPr>
                <w:color w:val="002060"/>
                <w:rtl w:val="0"/>
              </w:rPr>
              <w:t xml:space="preserve">Ali Choukeir</w:t>
            </w:r>
          </w:p>
        </w:tc>
      </w:tr>
      <w:tr>
        <w:trPr>
          <w:cantSplit w:val="0"/>
          <w:trHeight w:val="320" w:hRule="atLeast"/>
          <w:tblHeader w:val="1"/>
        </w:trPr>
        <w:tc>
          <w:tcPr>
            <w:shd w:fill="auto" w:val="clear"/>
            <w:vAlign w:val="bottom"/>
          </w:tcPr>
          <w:p w:rsidR="00000000" w:rsidDel="00000000" w:rsidP="00000000" w:rsidRDefault="00000000" w:rsidRPr="00000000" w14:paraId="000000C4">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C5">
            <w:pPr>
              <w:spacing w:line="240" w:lineRule="auto"/>
              <w:rPr>
                <w:color w:val="002060"/>
              </w:rPr>
            </w:pPr>
            <w:r w:rsidDel="00000000" w:rsidR="00000000" w:rsidRPr="00000000">
              <w:rPr>
                <w:color w:val="002060"/>
                <w:rtl w:val="0"/>
              </w:rPr>
              <w:t xml:space="preserve">Hope Christman</w:t>
            </w:r>
          </w:p>
        </w:tc>
      </w:tr>
      <w:tr>
        <w:trPr>
          <w:cantSplit w:val="0"/>
          <w:trHeight w:val="320" w:hRule="atLeast"/>
          <w:tblHeader w:val="1"/>
        </w:trPr>
        <w:tc>
          <w:tcPr>
            <w:shd w:fill="auto" w:val="clear"/>
            <w:vAlign w:val="bottom"/>
          </w:tcPr>
          <w:p w:rsidR="00000000" w:rsidDel="00000000" w:rsidP="00000000" w:rsidRDefault="00000000" w:rsidRPr="00000000" w14:paraId="000000C6">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C7">
            <w:pPr>
              <w:spacing w:line="240" w:lineRule="auto"/>
              <w:rPr>
                <w:color w:val="002060"/>
              </w:rPr>
            </w:pPr>
            <w:r w:rsidDel="00000000" w:rsidR="00000000" w:rsidRPr="00000000">
              <w:rPr>
                <w:color w:val="002060"/>
                <w:rtl w:val="0"/>
              </w:rPr>
              <w:t xml:space="preserve">Peng Gong</w:t>
            </w:r>
          </w:p>
        </w:tc>
      </w:tr>
      <w:tr>
        <w:trPr>
          <w:cantSplit w:val="0"/>
          <w:trHeight w:val="320" w:hRule="atLeast"/>
          <w:tblHeader w:val="1"/>
        </w:trPr>
        <w:tc>
          <w:tcPr>
            <w:shd w:fill="auto" w:val="clear"/>
            <w:vAlign w:val="bottom"/>
          </w:tcPr>
          <w:p w:rsidR="00000000" w:rsidDel="00000000" w:rsidP="00000000" w:rsidRDefault="00000000" w:rsidRPr="00000000" w14:paraId="000000C8">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C9">
            <w:pPr>
              <w:spacing w:line="240" w:lineRule="auto"/>
              <w:rPr>
                <w:color w:val="002060"/>
              </w:rPr>
            </w:pPr>
            <w:r w:rsidDel="00000000" w:rsidR="00000000" w:rsidRPr="00000000">
              <w:rPr>
                <w:color w:val="002060"/>
                <w:rtl w:val="0"/>
              </w:rPr>
              <w:t xml:space="preserve">Will Graswich</w:t>
            </w:r>
          </w:p>
        </w:tc>
      </w:tr>
      <w:tr>
        <w:trPr>
          <w:cantSplit w:val="0"/>
          <w:trHeight w:val="320" w:hRule="atLeast"/>
          <w:tblHeader w:val="1"/>
        </w:trPr>
        <w:tc>
          <w:tcPr>
            <w:shd w:fill="auto" w:val="clear"/>
            <w:vAlign w:val="bottom"/>
          </w:tcPr>
          <w:p w:rsidR="00000000" w:rsidDel="00000000" w:rsidP="00000000" w:rsidRDefault="00000000" w:rsidRPr="00000000" w14:paraId="000000CA">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CB">
            <w:pPr>
              <w:spacing w:line="240" w:lineRule="auto"/>
              <w:rPr>
                <w:color w:val="002060"/>
              </w:rPr>
            </w:pPr>
            <w:r w:rsidDel="00000000" w:rsidR="00000000" w:rsidRPr="00000000">
              <w:rPr>
                <w:color w:val="002060"/>
                <w:rtl w:val="0"/>
              </w:rPr>
              <w:t xml:space="preserve">Patrick Huber</w:t>
            </w:r>
          </w:p>
        </w:tc>
      </w:tr>
      <w:tr>
        <w:trPr>
          <w:cantSplit w:val="0"/>
          <w:trHeight w:val="300" w:hRule="atLeast"/>
          <w:tblHeader w:val="1"/>
        </w:trPr>
        <w:tc>
          <w:tcPr>
            <w:shd w:fill="auto" w:val="clear"/>
            <w:vAlign w:val="bottom"/>
          </w:tcPr>
          <w:p w:rsidR="00000000" w:rsidDel="00000000" w:rsidP="00000000" w:rsidRDefault="00000000" w:rsidRPr="00000000" w14:paraId="000000CC">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CD">
            <w:pPr>
              <w:spacing w:line="240" w:lineRule="auto"/>
              <w:rPr>
                <w:color w:val="002060"/>
              </w:rPr>
            </w:pPr>
            <w:r w:rsidDel="00000000" w:rsidR="00000000" w:rsidRPr="00000000">
              <w:rPr>
                <w:color w:val="002060"/>
                <w:rtl w:val="0"/>
              </w:rPr>
              <w:t xml:space="preserve">Kapil Kulkarni</w:t>
            </w:r>
          </w:p>
        </w:tc>
      </w:tr>
      <w:tr>
        <w:trPr>
          <w:cantSplit w:val="0"/>
          <w:trHeight w:val="320" w:hRule="atLeast"/>
          <w:tblHeader w:val="1"/>
        </w:trPr>
        <w:tc>
          <w:tcPr>
            <w:shd w:fill="auto" w:val="clear"/>
            <w:vAlign w:val="bottom"/>
          </w:tcPr>
          <w:p w:rsidR="00000000" w:rsidDel="00000000" w:rsidP="00000000" w:rsidRDefault="00000000" w:rsidRPr="00000000" w14:paraId="000000CE">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CF">
            <w:pPr>
              <w:spacing w:line="240" w:lineRule="auto"/>
              <w:rPr>
                <w:color w:val="002060"/>
              </w:rPr>
            </w:pPr>
            <w:r w:rsidDel="00000000" w:rsidR="00000000" w:rsidRPr="00000000">
              <w:rPr>
                <w:color w:val="002060"/>
                <w:rtl w:val="0"/>
              </w:rPr>
              <w:t xml:space="preserve">Jessie Levine</w:t>
            </w:r>
          </w:p>
        </w:tc>
      </w:tr>
      <w:tr>
        <w:trPr>
          <w:cantSplit w:val="0"/>
          <w:trHeight w:val="320" w:hRule="atLeast"/>
          <w:tblHeader w:val="1"/>
        </w:trPr>
        <w:tc>
          <w:tcPr>
            <w:shd w:fill="auto" w:val="clear"/>
            <w:vAlign w:val="bottom"/>
          </w:tcPr>
          <w:p w:rsidR="00000000" w:rsidDel="00000000" w:rsidP="00000000" w:rsidRDefault="00000000" w:rsidRPr="00000000" w14:paraId="000000D0">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D1">
            <w:pPr>
              <w:spacing w:line="240" w:lineRule="auto"/>
              <w:rPr>
                <w:color w:val="002060"/>
              </w:rPr>
            </w:pPr>
            <w:r w:rsidDel="00000000" w:rsidR="00000000" w:rsidRPr="00000000">
              <w:rPr>
                <w:color w:val="002060"/>
                <w:rtl w:val="0"/>
              </w:rPr>
              <w:t xml:space="preserve">Ilona Mantachian</w:t>
            </w:r>
          </w:p>
        </w:tc>
      </w:tr>
      <w:tr>
        <w:trPr>
          <w:cantSplit w:val="0"/>
          <w:trHeight w:val="320" w:hRule="atLeast"/>
          <w:tblHeader w:val="1"/>
        </w:trPr>
        <w:tc>
          <w:tcPr>
            <w:shd w:fill="auto" w:val="clear"/>
            <w:vAlign w:val="bottom"/>
          </w:tcPr>
          <w:p w:rsidR="00000000" w:rsidDel="00000000" w:rsidP="00000000" w:rsidRDefault="00000000" w:rsidRPr="00000000" w14:paraId="000000D2">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D3">
            <w:pPr>
              <w:spacing w:line="240" w:lineRule="auto"/>
              <w:rPr>
                <w:color w:val="002060"/>
              </w:rPr>
            </w:pPr>
            <w:r w:rsidDel="00000000" w:rsidR="00000000" w:rsidRPr="00000000">
              <w:rPr>
                <w:color w:val="002060"/>
                <w:rtl w:val="0"/>
              </w:rPr>
              <w:t xml:space="preserve">Savannah McLaughlin</w:t>
            </w:r>
          </w:p>
        </w:tc>
      </w:tr>
      <w:tr>
        <w:trPr>
          <w:cantSplit w:val="0"/>
          <w:trHeight w:val="320" w:hRule="atLeast"/>
          <w:tblHeader w:val="1"/>
        </w:trPr>
        <w:tc>
          <w:tcPr>
            <w:shd w:fill="auto" w:val="clear"/>
            <w:vAlign w:val="bottom"/>
          </w:tcPr>
          <w:p w:rsidR="00000000" w:rsidDel="00000000" w:rsidP="00000000" w:rsidRDefault="00000000" w:rsidRPr="00000000" w14:paraId="000000D4">
            <w:pPr>
              <w:spacing w:line="240" w:lineRule="auto"/>
              <w:rPr>
                <w:b w:val="1"/>
                <w:color w:val="002060"/>
              </w:rPr>
            </w:pPr>
            <w:r w:rsidDel="00000000" w:rsidR="00000000" w:rsidRPr="00000000">
              <w:rPr>
                <w:color w:val="002060"/>
                <w:rtl w:val="0"/>
              </w:rPr>
              <w:t xml:space="preserve">CPUC</w:t>
            </w:r>
            <w:r w:rsidDel="00000000" w:rsidR="00000000" w:rsidRPr="00000000">
              <w:rPr>
                <w:rtl w:val="0"/>
              </w:rPr>
            </w:r>
          </w:p>
        </w:tc>
        <w:tc>
          <w:tcPr>
            <w:shd w:fill="auto" w:val="clear"/>
            <w:vAlign w:val="bottom"/>
          </w:tcPr>
          <w:p w:rsidR="00000000" w:rsidDel="00000000" w:rsidP="00000000" w:rsidRDefault="00000000" w:rsidRPr="00000000" w14:paraId="000000D5">
            <w:pPr>
              <w:spacing w:line="240" w:lineRule="auto"/>
              <w:rPr>
                <w:color w:val="002060"/>
              </w:rPr>
            </w:pPr>
            <w:r w:rsidDel="00000000" w:rsidR="00000000" w:rsidRPr="00000000">
              <w:rPr>
                <w:color w:val="002060"/>
                <w:rtl w:val="0"/>
              </w:rPr>
              <w:t xml:space="preserve">Emily Pelstring</w:t>
            </w:r>
          </w:p>
        </w:tc>
      </w:tr>
      <w:tr>
        <w:trPr>
          <w:cantSplit w:val="0"/>
          <w:trHeight w:val="320" w:hRule="atLeast"/>
          <w:tblHeader w:val="1"/>
        </w:trPr>
        <w:tc>
          <w:tcPr>
            <w:shd w:fill="auto" w:val="clear"/>
            <w:vAlign w:val="bottom"/>
          </w:tcPr>
          <w:p w:rsidR="00000000" w:rsidDel="00000000" w:rsidP="00000000" w:rsidRDefault="00000000" w:rsidRPr="00000000" w14:paraId="000000D6">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D7">
            <w:pPr>
              <w:spacing w:line="240" w:lineRule="auto"/>
              <w:rPr>
                <w:color w:val="002060"/>
              </w:rPr>
            </w:pPr>
            <w:r w:rsidDel="00000000" w:rsidR="00000000" w:rsidRPr="00000000">
              <w:rPr>
                <w:color w:val="002060"/>
                <w:rtl w:val="0"/>
              </w:rPr>
              <w:t xml:space="preserve">Amy Reardon</w:t>
            </w:r>
          </w:p>
        </w:tc>
      </w:tr>
      <w:tr>
        <w:trPr>
          <w:cantSplit w:val="0"/>
          <w:trHeight w:val="320" w:hRule="atLeast"/>
          <w:tblHeader w:val="1"/>
        </w:trPr>
        <w:tc>
          <w:tcPr>
            <w:shd w:fill="auto" w:val="clear"/>
            <w:vAlign w:val="bottom"/>
          </w:tcPr>
          <w:p w:rsidR="00000000" w:rsidDel="00000000" w:rsidP="00000000" w:rsidRDefault="00000000" w:rsidRPr="00000000" w14:paraId="000000D8">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D9">
            <w:pPr>
              <w:spacing w:line="240" w:lineRule="auto"/>
              <w:rPr>
                <w:color w:val="002060"/>
              </w:rPr>
            </w:pPr>
            <w:r w:rsidDel="00000000" w:rsidR="00000000" w:rsidRPr="00000000">
              <w:rPr>
                <w:color w:val="002060"/>
                <w:rtl w:val="0"/>
              </w:rPr>
              <w:t xml:space="preserve">George Tagnipes</w:t>
            </w:r>
          </w:p>
        </w:tc>
      </w:tr>
      <w:tr>
        <w:trPr>
          <w:cantSplit w:val="0"/>
          <w:trHeight w:val="320" w:hRule="atLeast"/>
          <w:tblHeader w:val="1"/>
        </w:trPr>
        <w:tc>
          <w:tcPr>
            <w:shd w:fill="auto" w:val="clear"/>
            <w:vAlign w:val="bottom"/>
          </w:tcPr>
          <w:p w:rsidR="00000000" w:rsidDel="00000000" w:rsidP="00000000" w:rsidRDefault="00000000" w:rsidRPr="00000000" w14:paraId="000000DA">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DB">
            <w:pPr>
              <w:spacing w:line="240" w:lineRule="auto"/>
              <w:rPr>
                <w:color w:val="002060"/>
              </w:rPr>
            </w:pPr>
            <w:r w:rsidDel="00000000" w:rsidR="00000000" w:rsidRPr="00000000">
              <w:rPr>
                <w:color w:val="002060"/>
                <w:rtl w:val="0"/>
              </w:rPr>
              <w:t xml:space="preserve">Gillian Weaver</w:t>
            </w:r>
          </w:p>
        </w:tc>
      </w:tr>
      <w:tr>
        <w:trPr>
          <w:cantSplit w:val="0"/>
          <w:trHeight w:val="320" w:hRule="atLeast"/>
          <w:tblHeader w:val="1"/>
        </w:trPr>
        <w:tc>
          <w:tcPr>
            <w:shd w:fill="auto" w:val="clear"/>
            <w:vAlign w:val="bottom"/>
          </w:tcPr>
          <w:p w:rsidR="00000000" w:rsidDel="00000000" w:rsidP="00000000" w:rsidRDefault="00000000" w:rsidRPr="00000000" w14:paraId="000000DC">
            <w:pPr>
              <w:spacing w:line="240" w:lineRule="auto"/>
              <w:rPr>
                <w:color w:val="002060"/>
              </w:rPr>
            </w:pPr>
            <w:r w:rsidDel="00000000" w:rsidR="00000000" w:rsidRPr="00000000">
              <w:rPr>
                <w:color w:val="002060"/>
                <w:rtl w:val="0"/>
              </w:rPr>
              <w:t xml:space="preserve">CPUC</w:t>
            </w:r>
          </w:p>
        </w:tc>
        <w:tc>
          <w:tcPr>
            <w:shd w:fill="auto" w:val="clear"/>
            <w:vAlign w:val="bottom"/>
          </w:tcPr>
          <w:p w:rsidR="00000000" w:rsidDel="00000000" w:rsidP="00000000" w:rsidRDefault="00000000" w:rsidRPr="00000000" w14:paraId="000000DD">
            <w:pPr>
              <w:spacing w:line="240" w:lineRule="auto"/>
              <w:rPr>
                <w:color w:val="002060"/>
              </w:rPr>
            </w:pPr>
            <w:r w:rsidDel="00000000" w:rsidR="00000000" w:rsidRPr="00000000">
              <w:rPr>
                <w:color w:val="002060"/>
                <w:rtl w:val="0"/>
              </w:rPr>
              <w:t xml:space="preserve">Ana Zapata</w:t>
            </w:r>
          </w:p>
        </w:tc>
      </w:tr>
      <w:tr>
        <w:trPr>
          <w:cantSplit w:val="0"/>
          <w:trHeight w:val="320" w:hRule="atLeast"/>
          <w:tblHeader w:val="1"/>
        </w:trPr>
        <w:tc>
          <w:tcPr>
            <w:shd w:fill="auto" w:val="clear"/>
            <w:vAlign w:val="bottom"/>
          </w:tcPr>
          <w:p w:rsidR="00000000" w:rsidDel="00000000" w:rsidP="00000000" w:rsidRDefault="00000000" w:rsidRPr="00000000" w14:paraId="000000DE">
            <w:pPr>
              <w:spacing w:line="240" w:lineRule="auto"/>
              <w:rPr>
                <w:color w:val="002060"/>
              </w:rPr>
            </w:pPr>
            <w:r w:rsidDel="00000000" w:rsidR="00000000" w:rsidRPr="00000000">
              <w:rPr>
                <w:color w:val="002060"/>
                <w:rtl w:val="0"/>
              </w:rPr>
              <w:t xml:space="preserve">Don Arambula Consulting</w:t>
            </w:r>
          </w:p>
        </w:tc>
        <w:tc>
          <w:tcPr>
            <w:shd w:fill="auto" w:val="clear"/>
            <w:vAlign w:val="bottom"/>
          </w:tcPr>
          <w:p w:rsidR="00000000" w:rsidDel="00000000" w:rsidP="00000000" w:rsidRDefault="00000000" w:rsidRPr="00000000" w14:paraId="000000DF">
            <w:pPr>
              <w:spacing w:line="240" w:lineRule="auto"/>
              <w:rPr>
                <w:color w:val="002060"/>
              </w:rPr>
            </w:pPr>
            <w:r w:rsidDel="00000000" w:rsidR="00000000" w:rsidRPr="00000000">
              <w:rPr>
                <w:color w:val="002060"/>
                <w:rtl w:val="0"/>
              </w:rPr>
              <w:t xml:space="preserve">Don Arambula</w:t>
            </w:r>
          </w:p>
        </w:tc>
      </w:tr>
      <w:tr>
        <w:trPr>
          <w:cantSplit w:val="0"/>
          <w:trHeight w:val="320" w:hRule="atLeast"/>
          <w:tblHeader w:val="1"/>
        </w:trPr>
        <w:tc>
          <w:tcPr>
            <w:shd w:fill="auto" w:val="clear"/>
            <w:vAlign w:val="bottom"/>
          </w:tcPr>
          <w:p w:rsidR="00000000" w:rsidDel="00000000" w:rsidP="00000000" w:rsidRDefault="00000000" w:rsidRPr="00000000" w14:paraId="000000E0">
            <w:pPr>
              <w:spacing w:line="240" w:lineRule="auto"/>
              <w:rPr>
                <w:color w:val="002060"/>
              </w:rPr>
            </w:pPr>
            <w:r w:rsidDel="00000000" w:rsidR="00000000" w:rsidRPr="00000000">
              <w:rPr>
                <w:color w:val="002060"/>
                <w:rtl w:val="0"/>
              </w:rPr>
              <w:t xml:space="preserve">DNV</w:t>
            </w:r>
          </w:p>
        </w:tc>
        <w:tc>
          <w:tcPr>
            <w:shd w:fill="auto" w:val="clear"/>
            <w:vAlign w:val="bottom"/>
          </w:tcPr>
          <w:p w:rsidR="00000000" w:rsidDel="00000000" w:rsidP="00000000" w:rsidRDefault="00000000" w:rsidRPr="00000000" w14:paraId="000000E1">
            <w:pPr>
              <w:spacing w:line="240" w:lineRule="auto"/>
              <w:rPr>
                <w:color w:val="002060"/>
              </w:rPr>
            </w:pPr>
            <w:r w:rsidDel="00000000" w:rsidR="00000000" w:rsidRPr="00000000">
              <w:rPr>
                <w:color w:val="002060"/>
                <w:rtl w:val="0"/>
              </w:rPr>
              <w:t xml:space="preserve">Nick Brod</w:t>
            </w:r>
          </w:p>
        </w:tc>
      </w:tr>
      <w:tr>
        <w:trPr>
          <w:cantSplit w:val="0"/>
          <w:trHeight w:val="320" w:hRule="atLeast"/>
          <w:tblHeader w:val="1"/>
        </w:trPr>
        <w:tc>
          <w:tcPr>
            <w:shd w:fill="auto" w:val="clear"/>
            <w:vAlign w:val="bottom"/>
          </w:tcPr>
          <w:p w:rsidR="00000000" w:rsidDel="00000000" w:rsidP="00000000" w:rsidRDefault="00000000" w:rsidRPr="00000000" w14:paraId="000000E2">
            <w:pPr>
              <w:spacing w:line="240" w:lineRule="auto"/>
              <w:rPr>
                <w:color w:val="002060"/>
              </w:rPr>
            </w:pPr>
            <w:r w:rsidDel="00000000" w:rsidR="00000000" w:rsidRPr="00000000">
              <w:rPr>
                <w:color w:val="002060"/>
                <w:rtl w:val="0"/>
              </w:rPr>
              <w:t xml:space="preserve">Ecology Action</w:t>
            </w:r>
          </w:p>
        </w:tc>
        <w:tc>
          <w:tcPr>
            <w:shd w:fill="auto" w:val="clear"/>
            <w:vAlign w:val="bottom"/>
          </w:tcPr>
          <w:p w:rsidR="00000000" w:rsidDel="00000000" w:rsidP="00000000" w:rsidRDefault="00000000" w:rsidRPr="00000000" w14:paraId="000000E3">
            <w:pPr>
              <w:spacing w:line="240" w:lineRule="auto"/>
              <w:rPr>
                <w:color w:val="002060"/>
              </w:rPr>
            </w:pPr>
            <w:r w:rsidDel="00000000" w:rsidR="00000000" w:rsidRPr="00000000">
              <w:rPr>
                <w:color w:val="002060"/>
                <w:rtl w:val="0"/>
              </w:rPr>
              <w:t xml:space="preserve">Lore James</w:t>
            </w:r>
          </w:p>
        </w:tc>
      </w:tr>
      <w:tr>
        <w:trPr>
          <w:cantSplit w:val="0"/>
          <w:trHeight w:val="320" w:hRule="atLeast"/>
          <w:tblHeader w:val="1"/>
        </w:trPr>
        <w:tc>
          <w:tcPr>
            <w:shd w:fill="auto" w:val="clear"/>
            <w:vAlign w:val="bottom"/>
          </w:tcPr>
          <w:p w:rsidR="00000000" w:rsidDel="00000000" w:rsidP="00000000" w:rsidRDefault="00000000" w:rsidRPr="00000000" w14:paraId="000000E4">
            <w:pPr>
              <w:spacing w:line="240" w:lineRule="auto"/>
              <w:rPr>
                <w:color w:val="002060"/>
              </w:rPr>
            </w:pPr>
            <w:r w:rsidDel="00000000" w:rsidR="00000000" w:rsidRPr="00000000">
              <w:rPr>
                <w:color w:val="002060"/>
                <w:rtl w:val="0"/>
              </w:rPr>
              <w:t xml:space="preserve">Ecology Action</w:t>
            </w:r>
          </w:p>
        </w:tc>
        <w:tc>
          <w:tcPr>
            <w:shd w:fill="auto" w:val="clear"/>
            <w:vAlign w:val="bottom"/>
          </w:tcPr>
          <w:p w:rsidR="00000000" w:rsidDel="00000000" w:rsidP="00000000" w:rsidRDefault="00000000" w:rsidRPr="00000000" w14:paraId="000000E5">
            <w:pPr>
              <w:spacing w:line="240" w:lineRule="auto"/>
              <w:rPr>
                <w:color w:val="002060"/>
              </w:rPr>
            </w:pPr>
            <w:r w:rsidDel="00000000" w:rsidR="00000000" w:rsidRPr="00000000">
              <w:rPr>
                <w:color w:val="002060"/>
                <w:rtl w:val="0"/>
              </w:rPr>
              <w:t xml:space="preserve">Michelle Morales</w:t>
            </w:r>
          </w:p>
        </w:tc>
      </w:tr>
      <w:tr>
        <w:trPr>
          <w:cantSplit w:val="0"/>
          <w:trHeight w:val="320" w:hRule="atLeast"/>
          <w:tblHeader w:val="1"/>
        </w:trPr>
        <w:tc>
          <w:tcPr>
            <w:shd w:fill="auto" w:val="clear"/>
            <w:vAlign w:val="bottom"/>
          </w:tcPr>
          <w:p w:rsidR="00000000" w:rsidDel="00000000" w:rsidP="00000000" w:rsidRDefault="00000000" w:rsidRPr="00000000" w14:paraId="000000E6">
            <w:pPr>
              <w:spacing w:line="240" w:lineRule="auto"/>
              <w:rPr>
                <w:color w:val="002060"/>
              </w:rPr>
            </w:pPr>
            <w:r w:rsidDel="00000000" w:rsidR="00000000" w:rsidRPr="00000000">
              <w:rPr>
                <w:color w:val="002060"/>
                <w:rtl w:val="0"/>
              </w:rPr>
              <w:t xml:space="preserve">Frontier Energy</w:t>
            </w:r>
          </w:p>
        </w:tc>
        <w:tc>
          <w:tcPr>
            <w:shd w:fill="auto" w:val="clear"/>
            <w:vAlign w:val="bottom"/>
          </w:tcPr>
          <w:p w:rsidR="00000000" w:rsidDel="00000000" w:rsidP="00000000" w:rsidRDefault="00000000" w:rsidRPr="00000000" w14:paraId="000000E7">
            <w:pPr>
              <w:spacing w:line="240" w:lineRule="auto"/>
              <w:rPr>
                <w:color w:val="002060"/>
              </w:rPr>
            </w:pPr>
            <w:r w:rsidDel="00000000" w:rsidR="00000000" w:rsidRPr="00000000">
              <w:rPr>
                <w:color w:val="002060"/>
                <w:rtl w:val="0"/>
              </w:rPr>
              <w:t xml:space="preserve">Aaron Jones</w:t>
            </w:r>
          </w:p>
        </w:tc>
      </w:tr>
      <w:tr>
        <w:trPr>
          <w:cantSplit w:val="0"/>
          <w:trHeight w:val="320" w:hRule="atLeast"/>
          <w:tblHeader w:val="1"/>
        </w:trPr>
        <w:tc>
          <w:tcPr>
            <w:shd w:fill="auto" w:val="clear"/>
            <w:vAlign w:val="bottom"/>
          </w:tcPr>
          <w:p w:rsidR="00000000" w:rsidDel="00000000" w:rsidP="00000000" w:rsidRDefault="00000000" w:rsidRPr="00000000" w14:paraId="000000E8">
            <w:pPr>
              <w:spacing w:line="240" w:lineRule="auto"/>
              <w:rPr>
                <w:color w:val="002060"/>
              </w:rPr>
            </w:pPr>
            <w:r w:rsidDel="00000000" w:rsidR="00000000" w:rsidRPr="00000000">
              <w:rPr>
                <w:color w:val="002060"/>
                <w:rtl w:val="0"/>
              </w:rPr>
              <w:t xml:space="preserve">Frontier Energy</w:t>
            </w:r>
          </w:p>
        </w:tc>
        <w:tc>
          <w:tcPr>
            <w:shd w:fill="auto" w:val="clear"/>
            <w:vAlign w:val="bottom"/>
          </w:tcPr>
          <w:p w:rsidR="00000000" w:rsidDel="00000000" w:rsidP="00000000" w:rsidRDefault="00000000" w:rsidRPr="00000000" w14:paraId="000000E9">
            <w:pPr>
              <w:spacing w:line="240" w:lineRule="auto"/>
              <w:rPr>
                <w:color w:val="002060"/>
              </w:rPr>
            </w:pPr>
            <w:r w:rsidDel="00000000" w:rsidR="00000000" w:rsidRPr="00000000">
              <w:rPr>
                <w:color w:val="002060"/>
                <w:rtl w:val="0"/>
              </w:rPr>
              <w:t xml:space="preserve">Jesse Farber-Eger</w:t>
            </w:r>
          </w:p>
        </w:tc>
      </w:tr>
      <w:tr>
        <w:trPr>
          <w:cantSplit w:val="0"/>
          <w:trHeight w:val="300" w:hRule="atLeast"/>
          <w:tblHeader w:val="1"/>
        </w:trPr>
        <w:tc>
          <w:tcPr>
            <w:shd w:fill="auto" w:val="clear"/>
            <w:vAlign w:val="bottom"/>
          </w:tcPr>
          <w:p w:rsidR="00000000" w:rsidDel="00000000" w:rsidP="00000000" w:rsidRDefault="00000000" w:rsidRPr="00000000" w14:paraId="000000EA">
            <w:pPr>
              <w:spacing w:line="240" w:lineRule="auto"/>
              <w:rPr>
                <w:color w:val="002060"/>
              </w:rPr>
            </w:pPr>
            <w:r w:rsidDel="00000000" w:rsidR="00000000" w:rsidRPr="00000000">
              <w:rPr>
                <w:color w:val="002060"/>
                <w:rtl w:val="0"/>
              </w:rPr>
              <w:t xml:space="preserve">Frontier Energy</w:t>
            </w:r>
          </w:p>
        </w:tc>
        <w:tc>
          <w:tcPr>
            <w:shd w:fill="auto" w:val="clear"/>
            <w:vAlign w:val="bottom"/>
          </w:tcPr>
          <w:p w:rsidR="00000000" w:rsidDel="00000000" w:rsidP="00000000" w:rsidRDefault="00000000" w:rsidRPr="00000000" w14:paraId="000000EB">
            <w:pPr>
              <w:spacing w:line="240" w:lineRule="auto"/>
              <w:rPr>
                <w:color w:val="002060"/>
              </w:rPr>
            </w:pPr>
            <w:r w:rsidDel="00000000" w:rsidR="00000000" w:rsidRPr="00000000">
              <w:rPr>
                <w:color w:val="002060"/>
                <w:rtl w:val="0"/>
              </w:rPr>
              <w:t xml:space="preserve">Margaret Marchant</w:t>
            </w:r>
          </w:p>
        </w:tc>
      </w:tr>
      <w:tr>
        <w:trPr>
          <w:cantSplit w:val="0"/>
          <w:trHeight w:val="320" w:hRule="atLeast"/>
          <w:tblHeader w:val="1"/>
        </w:trPr>
        <w:tc>
          <w:tcPr>
            <w:shd w:fill="auto" w:val="clear"/>
            <w:vAlign w:val="bottom"/>
          </w:tcPr>
          <w:p w:rsidR="00000000" w:rsidDel="00000000" w:rsidP="00000000" w:rsidRDefault="00000000" w:rsidRPr="00000000" w14:paraId="000000EC">
            <w:pPr>
              <w:spacing w:line="240" w:lineRule="auto"/>
              <w:rPr>
                <w:color w:val="002060"/>
              </w:rPr>
            </w:pPr>
            <w:r w:rsidDel="00000000" w:rsidR="00000000" w:rsidRPr="00000000">
              <w:rPr>
                <w:color w:val="002060"/>
                <w:rtl w:val="0"/>
              </w:rPr>
              <w:t xml:space="preserve">Grounded Research</w:t>
            </w:r>
          </w:p>
        </w:tc>
        <w:tc>
          <w:tcPr>
            <w:shd w:fill="auto" w:val="clear"/>
            <w:vAlign w:val="bottom"/>
          </w:tcPr>
          <w:p w:rsidR="00000000" w:rsidDel="00000000" w:rsidP="00000000" w:rsidRDefault="00000000" w:rsidRPr="00000000" w14:paraId="000000ED">
            <w:pPr>
              <w:spacing w:line="240" w:lineRule="auto"/>
              <w:rPr>
                <w:color w:val="002060"/>
              </w:rPr>
            </w:pPr>
            <w:r w:rsidDel="00000000" w:rsidR="00000000" w:rsidRPr="00000000">
              <w:rPr>
                <w:color w:val="002060"/>
                <w:rtl w:val="0"/>
              </w:rPr>
              <w:t xml:space="preserve">Jenn Mitchell-Jackson</w:t>
            </w:r>
          </w:p>
        </w:tc>
      </w:tr>
      <w:tr>
        <w:trPr>
          <w:cantSplit w:val="0"/>
          <w:trHeight w:val="320" w:hRule="atLeast"/>
          <w:tblHeader w:val="1"/>
        </w:trPr>
        <w:tc>
          <w:tcPr>
            <w:shd w:fill="auto" w:val="clear"/>
            <w:vAlign w:val="bottom"/>
          </w:tcPr>
          <w:p w:rsidR="00000000" w:rsidDel="00000000" w:rsidP="00000000" w:rsidRDefault="00000000" w:rsidRPr="00000000" w14:paraId="000000EE">
            <w:pPr>
              <w:spacing w:line="240" w:lineRule="auto"/>
              <w:rPr>
                <w:color w:val="002060"/>
              </w:rPr>
            </w:pPr>
            <w:r w:rsidDel="00000000" w:rsidR="00000000" w:rsidRPr="00000000">
              <w:rPr>
                <w:color w:val="002060"/>
                <w:rtl w:val="0"/>
              </w:rPr>
              <w:t xml:space="preserve">Guidehouse</w:t>
            </w:r>
          </w:p>
        </w:tc>
        <w:tc>
          <w:tcPr>
            <w:shd w:fill="auto" w:val="clear"/>
            <w:vAlign w:val="bottom"/>
          </w:tcPr>
          <w:p w:rsidR="00000000" w:rsidDel="00000000" w:rsidP="00000000" w:rsidRDefault="00000000" w:rsidRPr="00000000" w14:paraId="000000EF">
            <w:pPr>
              <w:spacing w:line="240" w:lineRule="auto"/>
              <w:rPr>
                <w:color w:val="002060"/>
              </w:rPr>
            </w:pPr>
            <w:r w:rsidDel="00000000" w:rsidR="00000000" w:rsidRPr="00000000">
              <w:rPr>
                <w:color w:val="002060"/>
                <w:rtl w:val="0"/>
              </w:rPr>
              <w:t xml:space="preserve">Yamini Arab </w:t>
            </w:r>
          </w:p>
        </w:tc>
      </w:tr>
      <w:tr>
        <w:trPr>
          <w:cantSplit w:val="0"/>
          <w:trHeight w:val="320" w:hRule="atLeast"/>
          <w:tblHeader w:val="1"/>
        </w:trPr>
        <w:tc>
          <w:tcPr>
            <w:shd w:fill="auto" w:val="clear"/>
            <w:vAlign w:val="bottom"/>
          </w:tcPr>
          <w:p w:rsidR="00000000" w:rsidDel="00000000" w:rsidP="00000000" w:rsidRDefault="00000000" w:rsidRPr="00000000" w14:paraId="000000F0">
            <w:pPr>
              <w:spacing w:line="240" w:lineRule="auto"/>
              <w:rPr>
                <w:color w:val="002060"/>
              </w:rPr>
            </w:pPr>
            <w:r w:rsidDel="00000000" w:rsidR="00000000" w:rsidRPr="00000000">
              <w:rPr>
                <w:color w:val="002060"/>
                <w:rtl w:val="0"/>
              </w:rPr>
              <w:t xml:space="preserve">Guidehouse</w:t>
            </w:r>
          </w:p>
        </w:tc>
        <w:tc>
          <w:tcPr>
            <w:shd w:fill="auto" w:val="clear"/>
            <w:vAlign w:val="bottom"/>
          </w:tcPr>
          <w:p w:rsidR="00000000" w:rsidDel="00000000" w:rsidP="00000000" w:rsidRDefault="00000000" w:rsidRPr="00000000" w14:paraId="000000F1">
            <w:pPr>
              <w:spacing w:line="240" w:lineRule="auto"/>
              <w:rPr>
                <w:color w:val="002060"/>
              </w:rPr>
            </w:pPr>
            <w:r w:rsidDel="00000000" w:rsidR="00000000" w:rsidRPr="00000000">
              <w:rPr>
                <w:color w:val="002060"/>
                <w:rtl w:val="0"/>
              </w:rPr>
              <w:t xml:space="preserve">Ryan Tanner</w:t>
            </w:r>
          </w:p>
        </w:tc>
      </w:tr>
      <w:tr>
        <w:trPr>
          <w:cantSplit w:val="0"/>
          <w:trHeight w:val="320" w:hRule="atLeast"/>
          <w:tblHeader w:val="1"/>
        </w:trPr>
        <w:tc>
          <w:tcPr>
            <w:shd w:fill="auto" w:val="clear"/>
            <w:vAlign w:val="bottom"/>
          </w:tcPr>
          <w:p w:rsidR="00000000" w:rsidDel="00000000" w:rsidP="00000000" w:rsidRDefault="00000000" w:rsidRPr="00000000" w14:paraId="000000F2">
            <w:pPr>
              <w:spacing w:line="240" w:lineRule="auto"/>
              <w:rPr>
                <w:color w:val="002060"/>
              </w:rPr>
            </w:pPr>
            <w:r w:rsidDel="00000000" w:rsidR="00000000" w:rsidRPr="00000000">
              <w:rPr>
                <w:color w:val="002060"/>
                <w:rtl w:val="0"/>
              </w:rPr>
              <w:t xml:space="preserve">Lincus</w:t>
            </w:r>
          </w:p>
        </w:tc>
        <w:tc>
          <w:tcPr>
            <w:shd w:fill="auto" w:val="clear"/>
            <w:vAlign w:val="bottom"/>
          </w:tcPr>
          <w:p w:rsidR="00000000" w:rsidDel="00000000" w:rsidP="00000000" w:rsidRDefault="00000000" w:rsidRPr="00000000" w14:paraId="000000F3">
            <w:pPr>
              <w:spacing w:line="240" w:lineRule="auto"/>
              <w:rPr>
                <w:color w:val="002060"/>
              </w:rPr>
            </w:pPr>
            <w:r w:rsidDel="00000000" w:rsidR="00000000" w:rsidRPr="00000000">
              <w:rPr>
                <w:color w:val="002060"/>
                <w:rtl w:val="0"/>
              </w:rPr>
              <w:t xml:space="preserve">Patrick Ngo</w:t>
            </w:r>
          </w:p>
        </w:tc>
      </w:tr>
      <w:tr>
        <w:trPr>
          <w:cantSplit w:val="0"/>
          <w:trHeight w:val="320" w:hRule="atLeast"/>
          <w:tblHeader w:val="1"/>
        </w:trPr>
        <w:tc>
          <w:tcPr>
            <w:shd w:fill="auto" w:val="clear"/>
            <w:vAlign w:val="bottom"/>
          </w:tcPr>
          <w:p w:rsidR="00000000" w:rsidDel="00000000" w:rsidP="00000000" w:rsidRDefault="00000000" w:rsidRPr="00000000" w14:paraId="000000F4">
            <w:pPr>
              <w:spacing w:line="240" w:lineRule="auto"/>
              <w:rPr>
                <w:color w:val="002060"/>
              </w:rPr>
            </w:pPr>
            <w:r w:rsidDel="00000000" w:rsidR="00000000" w:rsidRPr="00000000">
              <w:rPr>
                <w:color w:val="002060"/>
                <w:rtl w:val="0"/>
              </w:rPr>
              <w:t xml:space="preserve">MCE</w:t>
            </w:r>
          </w:p>
        </w:tc>
        <w:tc>
          <w:tcPr>
            <w:shd w:fill="auto" w:val="clear"/>
            <w:vAlign w:val="bottom"/>
          </w:tcPr>
          <w:p w:rsidR="00000000" w:rsidDel="00000000" w:rsidP="00000000" w:rsidRDefault="00000000" w:rsidRPr="00000000" w14:paraId="000000F5">
            <w:pPr>
              <w:spacing w:line="240" w:lineRule="auto"/>
              <w:rPr>
                <w:color w:val="002060"/>
              </w:rPr>
            </w:pPr>
            <w:r w:rsidDel="00000000" w:rsidR="00000000" w:rsidRPr="00000000">
              <w:rPr>
                <w:color w:val="002060"/>
                <w:rtl w:val="0"/>
              </w:rPr>
              <w:t xml:space="preserve">Jenn Green</w:t>
            </w:r>
          </w:p>
        </w:tc>
      </w:tr>
      <w:tr>
        <w:trPr>
          <w:cantSplit w:val="0"/>
          <w:trHeight w:val="320" w:hRule="atLeast"/>
          <w:tblHeader w:val="1"/>
        </w:trPr>
        <w:tc>
          <w:tcPr>
            <w:shd w:fill="auto" w:val="clear"/>
            <w:vAlign w:val="bottom"/>
          </w:tcPr>
          <w:p w:rsidR="00000000" w:rsidDel="00000000" w:rsidP="00000000" w:rsidRDefault="00000000" w:rsidRPr="00000000" w14:paraId="000000F6">
            <w:pPr>
              <w:spacing w:line="240" w:lineRule="auto"/>
              <w:rPr>
                <w:color w:val="002060"/>
              </w:rPr>
            </w:pPr>
            <w:r w:rsidDel="00000000" w:rsidR="00000000" w:rsidRPr="00000000">
              <w:rPr>
                <w:color w:val="002060"/>
                <w:rtl w:val="0"/>
              </w:rPr>
              <w:t xml:space="preserve">MCE</w:t>
            </w:r>
          </w:p>
        </w:tc>
        <w:tc>
          <w:tcPr>
            <w:shd w:fill="auto" w:val="clear"/>
            <w:vAlign w:val="bottom"/>
          </w:tcPr>
          <w:p w:rsidR="00000000" w:rsidDel="00000000" w:rsidP="00000000" w:rsidRDefault="00000000" w:rsidRPr="00000000" w14:paraId="000000F7">
            <w:pPr>
              <w:spacing w:line="240" w:lineRule="auto"/>
              <w:rPr>
                <w:color w:val="002060"/>
              </w:rPr>
            </w:pPr>
            <w:r w:rsidDel="00000000" w:rsidR="00000000" w:rsidRPr="00000000">
              <w:rPr>
                <w:color w:val="002060"/>
                <w:rtl w:val="0"/>
              </w:rPr>
              <w:t xml:space="preserve">Alex Valenti</w:t>
            </w:r>
          </w:p>
        </w:tc>
      </w:tr>
      <w:tr>
        <w:trPr>
          <w:cantSplit w:val="0"/>
          <w:trHeight w:val="320" w:hRule="atLeast"/>
          <w:tblHeader w:val="1"/>
        </w:trPr>
        <w:tc>
          <w:tcPr>
            <w:shd w:fill="auto" w:val="clear"/>
            <w:vAlign w:val="bottom"/>
          </w:tcPr>
          <w:p w:rsidR="00000000" w:rsidDel="00000000" w:rsidP="00000000" w:rsidRDefault="00000000" w:rsidRPr="00000000" w14:paraId="000000F8">
            <w:pPr>
              <w:spacing w:line="240" w:lineRule="auto"/>
              <w:rPr>
                <w:color w:val="002060"/>
              </w:rPr>
            </w:pPr>
            <w:r w:rsidDel="00000000" w:rsidR="00000000" w:rsidRPr="00000000">
              <w:rPr>
                <w:color w:val="002060"/>
                <w:rtl w:val="0"/>
              </w:rPr>
              <w:t xml:space="preserve">MCE</w:t>
            </w:r>
          </w:p>
        </w:tc>
        <w:tc>
          <w:tcPr>
            <w:shd w:fill="auto" w:val="clear"/>
            <w:vAlign w:val="bottom"/>
          </w:tcPr>
          <w:p w:rsidR="00000000" w:rsidDel="00000000" w:rsidP="00000000" w:rsidRDefault="00000000" w:rsidRPr="00000000" w14:paraId="000000F9">
            <w:pPr>
              <w:spacing w:line="240" w:lineRule="auto"/>
              <w:rPr>
                <w:color w:val="002060"/>
              </w:rPr>
            </w:pPr>
            <w:r w:rsidDel="00000000" w:rsidR="00000000" w:rsidRPr="00000000">
              <w:rPr>
                <w:color w:val="002060"/>
                <w:rtl w:val="0"/>
              </w:rPr>
              <w:t xml:space="preserve">Qua Vallery</w:t>
            </w:r>
          </w:p>
        </w:tc>
      </w:tr>
      <w:tr>
        <w:trPr>
          <w:cantSplit w:val="0"/>
          <w:trHeight w:val="320" w:hRule="atLeast"/>
          <w:tblHeader w:val="1"/>
        </w:trPr>
        <w:tc>
          <w:tcPr>
            <w:shd w:fill="auto" w:val="clear"/>
            <w:vAlign w:val="bottom"/>
          </w:tcPr>
          <w:p w:rsidR="00000000" w:rsidDel="00000000" w:rsidP="00000000" w:rsidRDefault="00000000" w:rsidRPr="00000000" w14:paraId="000000FA">
            <w:pPr>
              <w:spacing w:line="240" w:lineRule="auto"/>
              <w:rPr>
                <w:color w:val="002060"/>
              </w:rPr>
            </w:pPr>
            <w:r w:rsidDel="00000000" w:rsidR="00000000" w:rsidRPr="00000000">
              <w:rPr>
                <w:color w:val="002060"/>
                <w:rtl w:val="0"/>
              </w:rPr>
              <w:t xml:space="preserve">MW Consulting</w:t>
            </w:r>
          </w:p>
        </w:tc>
        <w:tc>
          <w:tcPr>
            <w:shd w:fill="auto" w:val="clear"/>
            <w:vAlign w:val="bottom"/>
          </w:tcPr>
          <w:p w:rsidR="00000000" w:rsidDel="00000000" w:rsidP="00000000" w:rsidRDefault="00000000" w:rsidRPr="00000000" w14:paraId="000000FB">
            <w:pPr>
              <w:spacing w:line="240" w:lineRule="auto"/>
              <w:rPr>
                <w:color w:val="002060"/>
              </w:rPr>
            </w:pPr>
            <w:r w:rsidDel="00000000" w:rsidR="00000000" w:rsidRPr="00000000">
              <w:rPr>
                <w:color w:val="002060"/>
                <w:rtl w:val="0"/>
              </w:rPr>
              <w:t xml:space="preserve">Mark Wallenrod</w:t>
            </w:r>
          </w:p>
        </w:tc>
      </w:tr>
      <w:tr>
        <w:trPr>
          <w:cantSplit w:val="0"/>
          <w:trHeight w:val="320" w:hRule="atLeast"/>
          <w:tblHeader w:val="1"/>
        </w:trPr>
        <w:tc>
          <w:tcPr>
            <w:shd w:fill="auto" w:val="clear"/>
            <w:vAlign w:val="bottom"/>
          </w:tcPr>
          <w:p w:rsidR="00000000" w:rsidDel="00000000" w:rsidP="00000000" w:rsidRDefault="00000000" w:rsidRPr="00000000" w14:paraId="000000FC">
            <w:pPr>
              <w:spacing w:line="240" w:lineRule="auto"/>
              <w:rPr>
                <w:color w:val="002060"/>
              </w:rPr>
            </w:pPr>
            <w:r w:rsidDel="00000000" w:rsidR="00000000" w:rsidRPr="00000000">
              <w:rPr>
                <w:color w:val="002060"/>
                <w:rtl w:val="0"/>
              </w:rPr>
              <w:t xml:space="preserve">Opinion Dynamics</w:t>
            </w:r>
          </w:p>
        </w:tc>
        <w:tc>
          <w:tcPr>
            <w:shd w:fill="auto" w:val="clear"/>
            <w:vAlign w:val="bottom"/>
          </w:tcPr>
          <w:p w:rsidR="00000000" w:rsidDel="00000000" w:rsidP="00000000" w:rsidRDefault="00000000" w:rsidRPr="00000000" w14:paraId="000000FD">
            <w:pPr>
              <w:spacing w:line="240" w:lineRule="auto"/>
              <w:rPr>
                <w:color w:val="002060"/>
              </w:rPr>
            </w:pPr>
            <w:r w:rsidDel="00000000" w:rsidR="00000000" w:rsidRPr="00000000">
              <w:rPr>
                <w:color w:val="002060"/>
                <w:rtl w:val="0"/>
              </w:rPr>
              <w:t xml:space="preserve">Jeana Swedenburg</w:t>
            </w:r>
          </w:p>
        </w:tc>
      </w:tr>
      <w:tr>
        <w:trPr>
          <w:cantSplit w:val="0"/>
          <w:trHeight w:val="320" w:hRule="atLeast"/>
          <w:tblHeader w:val="1"/>
        </w:trPr>
        <w:tc>
          <w:tcPr>
            <w:shd w:fill="auto" w:val="clear"/>
            <w:vAlign w:val="bottom"/>
          </w:tcPr>
          <w:p w:rsidR="00000000" w:rsidDel="00000000" w:rsidP="00000000" w:rsidRDefault="00000000" w:rsidRPr="00000000" w14:paraId="000000FE">
            <w:pPr>
              <w:spacing w:line="240" w:lineRule="auto"/>
              <w:rPr>
                <w:color w:val="002060"/>
              </w:rPr>
            </w:pPr>
            <w:r w:rsidDel="00000000" w:rsidR="00000000" w:rsidRPr="00000000">
              <w:rPr>
                <w:color w:val="002060"/>
                <w:rtl w:val="0"/>
              </w:rPr>
              <w:t xml:space="preserve">Oracle</w:t>
            </w:r>
          </w:p>
        </w:tc>
        <w:tc>
          <w:tcPr>
            <w:shd w:fill="auto" w:val="clear"/>
            <w:vAlign w:val="bottom"/>
          </w:tcPr>
          <w:p w:rsidR="00000000" w:rsidDel="00000000" w:rsidP="00000000" w:rsidRDefault="00000000" w:rsidRPr="00000000" w14:paraId="000000FF">
            <w:pPr>
              <w:spacing w:line="240" w:lineRule="auto"/>
              <w:rPr>
                <w:color w:val="002060"/>
              </w:rPr>
            </w:pPr>
            <w:r w:rsidDel="00000000" w:rsidR="00000000" w:rsidRPr="00000000">
              <w:rPr>
                <w:color w:val="002060"/>
                <w:rtl w:val="0"/>
              </w:rPr>
              <w:t xml:space="preserve">Serj Berelson</w:t>
            </w:r>
          </w:p>
        </w:tc>
      </w:tr>
      <w:tr>
        <w:trPr>
          <w:cantSplit w:val="0"/>
          <w:trHeight w:val="320" w:hRule="atLeast"/>
          <w:tblHeader w:val="1"/>
        </w:trPr>
        <w:tc>
          <w:tcPr>
            <w:shd w:fill="auto" w:val="clear"/>
            <w:vAlign w:val="bottom"/>
          </w:tcPr>
          <w:p w:rsidR="00000000" w:rsidDel="00000000" w:rsidP="00000000" w:rsidRDefault="00000000" w:rsidRPr="00000000" w14:paraId="00000100">
            <w:pPr>
              <w:spacing w:line="240" w:lineRule="auto"/>
              <w:rPr>
                <w:color w:val="002060"/>
              </w:rPr>
            </w:pPr>
            <w:r w:rsidDel="00000000" w:rsidR="00000000" w:rsidRPr="00000000">
              <w:rPr>
                <w:color w:val="002060"/>
                <w:rtl w:val="0"/>
              </w:rPr>
              <w:t xml:space="preserve">Peninsula Clean Energy</w:t>
            </w:r>
          </w:p>
        </w:tc>
        <w:tc>
          <w:tcPr>
            <w:shd w:fill="auto" w:val="clear"/>
            <w:vAlign w:val="bottom"/>
          </w:tcPr>
          <w:p w:rsidR="00000000" w:rsidDel="00000000" w:rsidP="00000000" w:rsidRDefault="00000000" w:rsidRPr="00000000" w14:paraId="00000101">
            <w:pPr>
              <w:spacing w:line="240" w:lineRule="auto"/>
              <w:rPr>
                <w:color w:val="002060"/>
              </w:rPr>
            </w:pPr>
            <w:r w:rsidDel="00000000" w:rsidR="00000000" w:rsidRPr="00000000">
              <w:rPr>
                <w:color w:val="002060"/>
                <w:rtl w:val="0"/>
              </w:rPr>
              <w:t xml:space="preserve">Matthew Rutherford </w:t>
            </w:r>
          </w:p>
        </w:tc>
      </w:tr>
      <w:tr>
        <w:trPr>
          <w:cantSplit w:val="0"/>
          <w:trHeight w:val="320" w:hRule="atLeast"/>
          <w:tblHeader w:val="1"/>
        </w:trPr>
        <w:tc>
          <w:tcPr>
            <w:shd w:fill="auto" w:val="clear"/>
            <w:vAlign w:val="bottom"/>
          </w:tcPr>
          <w:p w:rsidR="00000000" w:rsidDel="00000000" w:rsidP="00000000" w:rsidRDefault="00000000" w:rsidRPr="00000000" w14:paraId="00000102">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03">
            <w:pPr>
              <w:spacing w:line="240" w:lineRule="auto"/>
              <w:rPr>
                <w:color w:val="002060"/>
              </w:rPr>
            </w:pPr>
            <w:r w:rsidDel="00000000" w:rsidR="00000000" w:rsidRPr="00000000">
              <w:rPr>
                <w:color w:val="002060"/>
                <w:rtl w:val="0"/>
              </w:rPr>
              <w:t xml:space="preserve">Claire Braico</w:t>
            </w:r>
          </w:p>
        </w:tc>
      </w:tr>
      <w:tr>
        <w:trPr>
          <w:cantSplit w:val="0"/>
          <w:trHeight w:val="320" w:hRule="atLeast"/>
          <w:tblHeader w:val="1"/>
        </w:trPr>
        <w:tc>
          <w:tcPr>
            <w:shd w:fill="auto" w:val="clear"/>
            <w:vAlign w:val="bottom"/>
          </w:tcPr>
          <w:p w:rsidR="00000000" w:rsidDel="00000000" w:rsidP="00000000" w:rsidRDefault="00000000" w:rsidRPr="00000000" w14:paraId="00000104">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05">
            <w:pPr>
              <w:spacing w:line="240" w:lineRule="auto"/>
              <w:rPr>
                <w:color w:val="002060"/>
              </w:rPr>
            </w:pPr>
            <w:r w:rsidDel="00000000" w:rsidR="00000000" w:rsidRPr="00000000">
              <w:rPr>
                <w:color w:val="002060"/>
                <w:rtl w:val="0"/>
              </w:rPr>
              <w:t xml:space="preserve">Josaphine Buennagel</w:t>
            </w:r>
          </w:p>
        </w:tc>
      </w:tr>
      <w:tr>
        <w:trPr>
          <w:cantSplit w:val="0"/>
          <w:trHeight w:val="320" w:hRule="atLeast"/>
          <w:tblHeader w:val="1"/>
        </w:trPr>
        <w:tc>
          <w:tcPr>
            <w:shd w:fill="auto" w:val="clear"/>
            <w:vAlign w:val="bottom"/>
          </w:tcPr>
          <w:p w:rsidR="00000000" w:rsidDel="00000000" w:rsidP="00000000" w:rsidRDefault="00000000" w:rsidRPr="00000000" w14:paraId="00000106">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07">
            <w:pPr>
              <w:spacing w:line="240" w:lineRule="auto"/>
              <w:rPr>
                <w:color w:val="002060"/>
              </w:rPr>
            </w:pPr>
            <w:r w:rsidDel="00000000" w:rsidR="00000000" w:rsidRPr="00000000">
              <w:rPr>
                <w:color w:val="002060"/>
                <w:rtl w:val="0"/>
              </w:rPr>
              <w:t xml:space="preserve">Michael Burger</w:t>
            </w:r>
          </w:p>
        </w:tc>
      </w:tr>
      <w:tr>
        <w:trPr>
          <w:cantSplit w:val="0"/>
          <w:trHeight w:val="320" w:hRule="atLeast"/>
          <w:tblHeader w:val="1"/>
        </w:trPr>
        <w:tc>
          <w:tcPr>
            <w:shd w:fill="auto" w:val="clear"/>
            <w:vAlign w:val="bottom"/>
          </w:tcPr>
          <w:p w:rsidR="00000000" w:rsidDel="00000000" w:rsidP="00000000" w:rsidRDefault="00000000" w:rsidRPr="00000000" w14:paraId="00000108">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09">
            <w:pPr>
              <w:spacing w:line="240" w:lineRule="auto"/>
              <w:rPr>
                <w:color w:val="002060"/>
              </w:rPr>
            </w:pPr>
            <w:r w:rsidDel="00000000" w:rsidR="00000000" w:rsidRPr="00000000">
              <w:rPr>
                <w:color w:val="002060"/>
                <w:rtl w:val="0"/>
              </w:rPr>
              <w:t xml:space="preserve">Sebastien Csapo</w:t>
            </w:r>
          </w:p>
        </w:tc>
      </w:tr>
      <w:tr>
        <w:trPr>
          <w:cantSplit w:val="0"/>
          <w:trHeight w:val="320" w:hRule="atLeast"/>
          <w:tblHeader w:val="1"/>
        </w:trPr>
        <w:tc>
          <w:tcPr>
            <w:shd w:fill="auto" w:val="clear"/>
            <w:vAlign w:val="bottom"/>
          </w:tcPr>
          <w:p w:rsidR="00000000" w:rsidDel="00000000" w:rsidP="00000000" w:rsidRDefault="00000000" w:rsidRPr="00000000" w14:paraId="0000010A">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0B">
            <w:pPr>
              <w:spacing w:line="240" w:lineRule="auto"/>
              <w:rPr>
                <w:color w:val="002060"/>
              </w:rPr>
            </w:pPr>
            <w:r w:rsidDel="00000000" w:rsidR="00000000" w:rsidRPr="00000000">
              <w:rPr>
                <w:color w:val="002060"/>
                <w:rtl w:val="0"/>
              </w:rPr>
              <w:t xml:space="preserve">Angela McDonald</w:t>
            </w:r>
          </w:p>
        </w:tc>
      </w:tr>
      <w:tr>
        <w:trPr>
          <w:cantSplit w:val="0"/>
          <w:trHeight w:val="320" w:hRule="atLeast"/>
          <w:tblHeader w:val="1"/>
        </w:trPr>
        <w:tc>
          <w:tcPr>
            <w:shd w:fill="auto" w:val="clear"/>
            <w:vAlign w:val="bottom"/>
          </w:tcPr>
          <w:p w:rsidR="00000000" w:rsidDel="00000000" w:rsidP="00000000" w:rsidRDefault="00000000" w:rsidRPr="00000000" w14:paraId="0000010C">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0D">
            <w:pPr>
              <w:spacing w:line="240" w:lineRule="auto"/>
              <w:rPr>
                <w:color w:val="002060"/>
              </w:rPr>
            </w:pPr>
            <w:r w:rsidDel="00000000" w:rsidR="00000000" w:rsidRPr="00000000">
              <w:rPr>
                <w:color w:val="002060"/>
                <w:rtl w:val="0"/>
              </w:rPr>
              <w:t xml:space="preserve">Samantha McNabola</w:t>
            </w:r>
          </w:p>
        </w:tc>
      </w:tr>
      <w:tr>
        <w:trPr>
          <w:cantSplit w:val="0"/>
          <w:trHeight w:val="320" w:hRule="atLeast"/>
          <w:tblHeader w:val="1"/>
        </w:trPr>
        <w:tc>
          <w:tcPr>
            <w:shd w:fill="auto" w:val="clear"/>
            <w:vAlign w:val="bottom"/>
          </w:tcPr>
          <w:p w:rsidR="00000000" w:rsidDel="00000000" w:rsidP="00000000" w:rsidRDefault="00000000" w:rsidRPr="00000000" w14:paraId="0000010E">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0F">
            <w:pPr>
              <w:spacing w:line="240" w:lineRule="auto"/>
              <w:rPr>
                <w:color w:val="002060"/>
              </w:rPr>
            </w:pPr>
            <w:r w:rsidDel="00000000" w:rsidR="00000000" w:rsidRPr="00000000">
              <w:rPr>
                <w:color w:val="002060"/>
                <w:rtl w:val="0"/>
              </w:rPr>
              <w:t xml:space="preserve">Alero Moju</w:t>
            </w:r>
          </w:p>
        </w:tc>
      </w:tr>
      <w:tr>
        <w:trPr>
          <w:cantSplit w:val="0"/>
          <w:trHeight w:val="320" w:hRule="atLeast"/>
          <w:tblHeader w:val="1"/>
        </w:trPr>
        <w:tc>
          <w:tcPr>
            <w:shd w:fill="auto" w:val="clear"/>
            <w:vAlign w:val="bottom"/>
          </w:tcPr>
          <w:p w:rsidR="00000000" w:rsidDel="00000000" w:rsidP="00000000" w:rsidRDefault="00000000" w:rsidRPr="00000000" w14:paraId="00000110">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11">
            <w:pPr>
              <w:spacing w:line="240" w:lineRule="auto"/>
              <w:rPr>
                <w:color w:val="002060"/>
              </w:rPr>
            </w:pPr>
            <w:r w:rsidDel="00000000" w:rsidR="00000000" w:rsidRPr="00000000">
              <w:rPr>
                <w:color w:val="002060"/>
                <w:rtl w:val="0"/>
              </w:rPr>
              <w:t xml:space="preserve">Roopa Reddy</w:t>
            </w:r>
          </w:p>
        </w:tc>
      </w:tr>
      <w:tr>
        <w:trPr>
          <w:cantSplit w:val="0"/>
          <w:trHeight w:val="320" w:hRule="atLeast"/>
          <w:tblHeader w:val="1"/>
        </w:trPr>
        <w:tc>
          <w:tcPr>
            <w:shd w:fill="auto" w:val="clear"/>
            <w:vAlign w:val="bottom"/>
          </w:tcPr>
          <w:p w:rsidR="00000000" w:rsidDel="00000000" w:rsidP="00000000" w:rsidRDefault="00000000" w:rsidRPr="00000000" w14:paraId="00000112">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13">
            <w:pPr>
              <w:spacing w:line="240" w:lineRule="auto"/>
              <w:rPr>
                <w:color w:val="002060"/>
              </w:rPr>
            </w:pPr>
            <w:r w:rsidDel="00000000" w:rsidR="00000000" w:rsidRPr="00000000">
              <w:rPr>
                <w:color w:val="002060"/>
                <w:rtl w:val="0"/>
              </w:rPr>
              <w:t xml:space="preserve">Jake Richardson</w:t>
            </w:r>
          </w:p>
        </w:tc>
      </w:tr>
      <w:tr>
        <w:trPr>
          <w:cantSplit w:val="0"/>
          <w:trHeight w:val="320" w:hRule="atLeast"/>
          <w:tblHeader w:val="1"/>
        </w:trPr>
        <w:tc>
          <w:tcPr>
            <w:shd w:fill="auto" w:val="clear"/>
            <w:vAlign w:val="bottom"/>
          </w:tcPr>
          <w:p w:rsidR="00000000" w:rsidDel="00000000" w:rsidP="00000000" w:rsidRDefault="00000000" w:rsidRPr="00000000" w14:paraId="00000114">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15">
            <w:pPr>
              <w:spacing w:line="240" w:lineRule="auto"/>
              <w:rPr>
                <w:color w:val="002060"/>
              </w:rPr>
            </w:pPr>
            <w:r w:rsidDel="00000000" w:rsidR="00000000" w:rsidRPr="00000000">
              <w:rPr>
                <w:color w:val="002060"/>
                <w:rtl w:val="0"/>
              </w:rPr>
              <w:t xml:space="preserve">Ginella Rivkin</w:t>
            </w:r>
          </w:p>
        </w:tc>
      </w:tr>
      <w:tr>
        <w:trPr>
          <w:cantSplit w:val="0"/>
          <w:trHeight w:val="320" w:hRule="atLeast"/>
          <w:tblHeader w:val="1"/>
        </w:trPr>
        <w:tc>
          <w:tcPr>
            <w:shd w:fill="auto" w:val="clear"/>
            <w:vAlign w:val="bottom"/>
          </w:tcPr>
          <w:p w:rsidR="00000000" w:rsidDel="00000000" w:rsidP="00000000" w:rsidRDefault="00000000" w:rsidRPr="00000000" w14:paraId="00000116">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17">
            <w:pPr>
              <w:spacing w:line="240" w:lineRule="auto"/>
              <w:rPr>
                <w:color w:val="002060"/>
              </w:rPr>
            </w:pPr>
            <w:r w:rsidDel="00000000" w:rsidR="00000000" w:rsidRPr="00000000">
              <w:rPr>
                <w:color w:val="002060"/>
                <w:rtl w:val="0"/>
              </w:rPr>
              <w:t xml:space="preserve">Billy Roderick</w:t>
            </w:r>
          </w:p>
        </w:tc>
      </w:tr>
      <w:tr>
        <w:trPr>
          <w:cantSplit w:val="0"/>
          <w:trHeight w:val="320" w:hRule="atLeast"/>
          <w:tblHeader w:val="1"/>
        </w:trPr>
        <w:tc>
          <w:tcPr>
            <w:shd w:fill="auto" w:val="clear"/>
            <w:vAlign w:val="bottom"/>
          </w:tcPr>
          <w:p w:rsidR="00000000" w:rsidDel="00000000" w:rsidP="00000000" w:rsidRDefault="00000000" w:rsidRPr="00000000" w14:paraId="00000118">
            <w:pPr>
              <w:spacing w:line="240" w:lineRule="auto"/>
              <w:rPr>
                <w:color w:val="002060"/>
              </w:rPr>
            </w:pPr>
            <w:r w:rsidDel="00000000" w:rsidR="00000000" w:rsidRPr="00000000">
              <w:rPr>
                <w:color w:val="002060"/>
                <w:rtl w:val="0"/>
              </w:rPr>
              <w:t xml:space="preserve">PG&amp;E</w:t>
            </w:r>
          </w:p>
        </w:tc>
        <w:tc>
          <w:tcPr>
            <w:shd w:fill="auto" w:val="clear"/>
            <w:vAlign w:val="bottom"/>
          </w:tcPr>
          <w:p w:rsidR="00000000" w:rsidDel="00000000" w:rsidP="00000000" w:rsidRDefault="00000000" w:rsidRPr="00000000" w14:paraId="00000119">
            <w:pPr>
              <w:spacing w:line="240" w:lineRule="auto"/>
              <w:rPr>
                <w:color w:val="002060"/>
              </w:rPr>
            </w:pPr>
            <w:r w:rsidDel="00000000" w:rsidR="00000000" w:rsidRPr="00000000">
              <w:rPr>
                <w:color w:val="002060"/>
                <w:rtl w:val="0"/>
              </w:rPr>
              <w:t xml:space="preserve">Lindsey Tillisch</w:t>
            </w:r>
          </w:p>
        </w:tc>
      </w:tr>
      <w:tr>
        <w:trPr>
          <w:cantSplit w:val="0"/>
          <w:trHeight w:val="320" w:hRule="atLeast"/>
          <w:tblHeader w:val="1"/>
        </w:trPr>
        <w:tc>
          <w:tcPr>
            <w:shd w:fill="auto" w:val="clear"/>
            <w:vAlign w:val="bottom"/>
          </w:tcPr>
          <w:p w:rsidR="00000000" w:rsidDel="00000000" w:rsidP="00000000" w:rsidRDefault="00000000" w:rsidRPr="00000000" w14:paraId="0000011A">
            <w:pPr>
              <w:spacing w:line="240" w:lineRule="auto"/>
              <w:rPr>
                <w:color w:val="002060"/>
              </w:rPr>
            </w:pPr>
            <w:r w:rsidDel="00000000" w:rsidR="00000000" w:rsidRPr="00000000">
              <w:rPr>
                <w:color w:val="002060"/>
                <w:rtl w:val="0"/>
              </w:rPr>
              <w:t xml:space="preserve">Quantum Energy Analytics</w:t>
            </w:r>
          </w:p>
        </w:tc>
        <w:tc>
          <w:tcPr>
            <w:shd w:fill="auto" w:val="clear"/>
            <w:vAlign w:val="bottom"/>
          </w:tcPr>
          <w:p w:rsidR="00000000" w:rsidDel="00000000" w:rsidP="00000000" w:rsidRDefault="00000000" w:rsidRPr="00000000" w14:paraId="0000011B">
            <w:pPr>
              <w:spacing w:line="240" w:lineRule="auto"/>
              <w:rPr>
                <w:color w:val="002060"/>
              </w:rPr>
            </w:pPr>
            <w:r w:rsidDel="00000000" w:rsidR="00000000" w:rsidRPr="00000000">
              <w:rPr>
                <w:color w:val="002060"/>
                <w:rtl w:val="0"/>
              </w:rPr>
              <w:t xml:space="preserve">Rachel Harcharik</w:t>
            </w:r>
          </w:p>
        </w:tc>
      </w:tr>
      <w:tr>
        <w:trPr>
          <w:cantSplit w:val="0"/>
          <w:trHeight w:val="320" w:hRule="atLeast"/>
          <w:tblHeader w:val="1"/>
        </w:trPr>
        <w:tc>
          <w:tcPr>
            <w:shd w:fill="auto" w:val="clear"/>
            <w:vAlign w:val="bottom"/>
          </w:tcPr>
          <w:p w:rsidR="00000000" w:rsidDel="00000000" w:rsidP="00000000" w:rsidRDefault="00000000" w:rsidRPr="00000000" w14:paraId="0000011C">
            <w:pPr>
              <w:spacing w:line="240" w:lineRule="auto"/>
              <w:rPr>
                <w:color w:val="002060"/>
              </w:rPr>
            </w:pPr>
            <w:r w:rsidDel="00000000" w:rsidR="00000000" w:rsidRPr="00000000">
              <w:rPr>
                <w:color w:val="002060"/>
                <w:rtl w:val="0"/>
              </w:rPr>
              <w:t xml:space="preserve">Recurve</w:t>
            </w:r>
          </w:p>
        </w:tc>
        <w:tc>
          <w:tcPr>
            <w:shd w:fill="auto" w:val="clear"/>
            <w:vAlign w:val="bottom"/>
          </w:tcPr>
          <w:p w:rsidR="00000000" w:rsidDel="00000000" w:rsidP="00000000" w:rsidRDefault="00000000" w:rsidRPr="00000000" w14:paraId="0000011D">
            <w:pPr>
              <w:spacing w:line="240" w:lineRule="auto"/>
              <w:rPr>
                <w:color w:val="002060"/>
              </w:rPr>
            </w:pPr>
            <w:r w:rsidDel="00000000" w:rsidR="00000000" w:rsidRPr="00000000">
              <w:rPr>
                <w:color w:val="002060"/>
                <w:rtl w:val="0"/>
              </w:rPr>
              <w:t xml:space="preserve">Carmen Best</w:t>
            </w:r>
          </w:p>
        </w:tc>
      </w:tr>
      <w:tr>
        <w:trPr>
          <w:cantSplit w:val="0"/>
          <w:trHeight w:val="320" w:hRule="atLeast"/>
          <w:tblHeader w:val="1"/>
        </w:trPr>
        <w:tc>
          <w:tcPr>
            <w:shd w:fill="auto" w:val="clear"/>
            <w:vAlign w:val="bottom"/>
          </w:tcPr>
          <w:p w:rsidR="00000000" w:rsidDel="00000000" w:rsidP="00000000" w:rsidRDefault="00000000" w:rsidRPr="00000000" w14:paraId="0000011E">
            <w:pPr>
              <w:spacing w:line="240" w:lineRule="auto"/>
              <w:rPr>
                <w:color w:val="002060"/>
              </w:rPr>
            </w:pPr>
            <w:r w:rsidDel="00000000" w:rsidR="00000000" w:rsidRPr="00000000">
              <w:rPr>
                <w:color w:val="002060"/>
                <w:rtl w:val="0"/>
              </w:rPr>
              <w:t xml:space="preserve">Resource Innovations</w:t>
            </w:r>
          </w:p>
        </w:tc>
        <w:tc>
          <w:tcPr>
            <w:shd w:fill="auto" w:val="clear"/>
            <w:vAlign w:val="bottom"/>
          </w:tcPr>
          <w:p w:rsidR="00000000" w:rsidDel="00000000" w:rsidP="00000000" w:rsidRDefault="00000000" w:rsidRPr="00000000" w14:paraId="0000011F">
            <w:pPr>
              <w:spacing w:line="240" w:lineRule="auto"/>
              <w:rPr>
                <w:color w:val="002060"/>
              </w:rPr>
            </w:pPr>
            <w:r w:rsidDel="00000000" w:rsidR="00000000" w:rsidRPr="00000000">
              <w:rPr>
                <w:color w:val="002060"/>
                <w:rtl w:val="0"/>
              </w:rPr>
              <w:t xml:space="preserve">Vivek Joshi</w:t>
            </w:r>
          </w:p>
        </w:tc>
      </w:tr>
      <w:tr>
        <w:trPr>
          <w:cantSplit w:val="0"/>
          <w:trHeight w:val="320" w:hRule="atLeast"/>
          <w:tblHeader w:val="1"/>
        </w:trPr>
        <w:tc>
          <w:tcPr>
            <w:shd w:fill="auto" w:val="clear"/>
            <w:vAlign w:val="bottom"/>
          </w:tcPr>
          <w:p w:rsidR="00000000" w:rsidDel="00000000" w:rsidP="00000000" w:rsidRDefault="00000000" w:rsidRPr="00000000" w14:paraId="00000120">
            <w:pPr>
              <w:spacing w:line="240" w:lineRule="auto"/>
              <w:rPr>
                <w:color w:val="002060"/>
              </w:rPr>
            </w:pPr>
            <w:r w:rsidDel="00000000" w:rsidR="00000000" w:rsidRPr="00000000">
              <w:rPr>
                <w:color w:val="002060"/>
                <w:rtl w:val="0"/>
              </w:rPr>
              <w:t xml:space="preserve">San Jose State University</w:t>
            </w:r>
          </w:p>
        </w:tc>
        <w:tc>
          <w:tcPr>
            <w:shd w:fill="auto" w:val="clear"/>
            <w:vAlign w:val="bottom"/>
          </w:tcPr>
          <w:p w:rsidR="00000000" w:rsidDel="00000000" w:rsidP="00000000" w:rsidRDefault="00000000" w:rsidRPr="00000000" w14:paraId="00000121">
            <w:pPr>
              <w:spacing w:line="240" w:lineRule="auto"/>
              <w:rPr>
                <w:color w:val="002060"/>
              </w:rPr>
            </w:pPr>
            <w:r w:rsidDel="00000000" w:rsidR="00000000" w:rsidRPr="00000000">
              <w:rPr>
                <w:color w:val="002060"/>
                <w:rtl w:val="0"/>
              </w:rPr>
              <w:t xml:space="preserve">Farzan Kazemifar</w:t>
            </w:r>
          </w:p>
        </w:tc>
      </w:tr>
      <w:tr>
        <w:trPr>
          <w:cantSplit w:val="0"/>
          <w:trHeight w:val="320" w:hRule="atLeast"/>
          <w:tblHeader w:val="1"/>
        </w:trPr>
        <w:tc>
          <w:tcPr>
            <w:shd w:fill="auto" w:val="clear"/>
            <w:vAlign w:val="bottom"/>
          </w:tcPr>
          <w:p w:rsidR="00000000" w:rsidDel="00000000" w:rsidP="00000000" w:rsidRDefault="00000000" w:rsidRPr="00000000" w14:paraId="00000122">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23">
            <w:pPr>
              <w:spacing w:line="240" w:lineRule="auto"/>
              <w:rPr>
                <w:color w:val="002060"/>
              </w:rPr>
            </w:pPr>
            <w:r w:rsidDel="00000000" w:rsidR="00000000" w:rsidRPr="00000000">
              <w:rPr>
                <w:color w:val="002060"/>
                <w:rtl w:val="0"/>
              </w:rPr>
              <w:t xml:space="preserve">Justine Chao</w:t>
            </w:r>
          </w:p>
        </w:tc>
      </w:tr>
      <w:tr>
        <w:trPr>
          <w:cantSplit w:val="0"/>
          <w:trHeight w:val="320" w:hRule="atLeast"/>
          <w:tblHeader w:val="1"/>
        </w:trPr>
        <w:tc>
          <w:tcPr>
            <w:shd w:fill="auto" w:val="clear"/>
            <w:vAlign w:val="bottom"/>
          </w:tcPr>
          <w:p w:rsidR="00000000" w:rsidDel="00000000" w:rsidP="00000000" w:rsidRDefault="00000000" w:rsidRPr="00000000" w14:paraId="00000124">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25">
            <w:pPr>
              <w:spacing w:line="240" w:lineRule="auto"/>
              <w:rPr>
                <w:color w:val="002060"/>
              </w:rPr>
            </w:pPr>
            <w:r w:rsidDel="00000000" w:rsidR="00000000" w:rsidRPr="00000000">
              <w:rPr>
                <w:color w:val="002060"/>
                <w:rtl w:val="0"/>
              </w:rPr>
              <w:t xml:space="preserve">Gary Golden</w:t>
            </w:r>
          </w:p>
        </w:tc>
      </w:tr>
      <w:tr>
        <w:trPr>
          <w:cantSplit w:val="0"/>
          <w:trHeight w:val="320" w:hRule="atLeast"/>
          <w:tblHeader w:val="1"/>
        </w:trPr>
        <w:tc>
          <w:tcPr>
            <w:shd w:fill="auto" w:val="clear"/>
            <w:vAlign w:val="bottom"/>
          </w:tcPr>
          <w:p w:rsidR="00000000" w:rsidDel="00000000" w:rsidP="00000000" w:rsidRDefault="00000000" w:rsidRPr="00000000" w14:paraId="00000126">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27">
            <w:pPr>
              <w:spacing w:line="240" w:lineRule="auto"/>
              <w:rPr>
                <w:color w:val="002060"/>
              </w:rPr>
            </w:pPr>
            <w:r w:rsidDel="00000000" w:rsidR="00000000" w:rsidRPr="00000000">
              <w:rPr>
                <w:color w:val="002060"/>
                <w:rtl w:val="0"/>
              </w:rPr>
              <w:t xml:space="preserve">Arturo Gonzalez</w:t>
            </w:r>
          </w:p>
        </w:tc>
      </w:tr>
      <w:tr>
        <w:trPr>
          <w:cantSplit w:val="0"/>
          <w:trHeight w:val="320" w:hRule="atLeast"/>
          <w:tblHeader w:val="1"/>
        </w:trPr>
        <w:tc>
          <w:tcPr>
            <w:shd w:fill="auto" w:val="clear"/>
            <w:vAlign w:val="bottom"/>
          </w:tcPr>
          <w:p w:rsidR="00000000" w:rsidDel="00000000" w:rsidP="00000000" w:rsidRDefault="00000000" w:rsidRPr="00000000" w14:paraId="00000128">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29">
            <w:pPr>
              <w:spacing w:line="240" w:lineRule="auto"/>
              <w:rPr>
                <w:color w:val="002060"/>
              </w:rPr>
            </w:pPr>
            <w:r w:rsidDel="00000000" w:rsidR="00000000" w:rsidRPr="00000000">
              <w:rPr>
                <w:color w:val="002060"/>
                <w:rtl w:val="0"/>
              </w:rPr>
              <w:t xml:space="preserve">Ashley Hall</w:t>
            </w:r>
          </w:p>
        </w:tc>
      </w:tr>
      <w:tr>
        <w:trPr>
          <w:cantSplit w:val="0"/>
          <w:trHeight w:val="320" w:hRule="atLeast"/>
          <w:tblHeader w:val="1"/>
        </w:trPr>
        <w:tc>
          <w:tcPr>
            <w:shd w:fill="auto" w:val="clear"/>
            <w:vAlign w:val="bottom"/>
          </w:tcPr>
          <w:p w:rsidR="00000000" w:rsidDel="00000000" w:rsidP="00000000" w:rsidRDefault="00000000" w:rsidRPr="00000000" w14:paraId="0000012A">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2B">
            <w:pPr>
              <w:spacing w:line="240" w:lineRule="auto"/>
              <w:rPr>
                <w:color w:val="002060"/>
              </w:rPr>
            </w:pPr>
            <w:r w:rsidDel="00000000" w:rsidR="00000000" w:rsidRPr="00000000">
              <w:rPr>
                <w:color w:val="002060"/>
                <w:rtl w:val="0"/>
              </w:rPr>
              <w:t xml:space="preserve">Chris Malotte</w:t>
            </w:r>
          </w:p>
        </w:tc>
      </w:tr>
      <w:tr>
        <w:trPr>
          <w:cantSplit w:val="0"/>
          <w:trHeight w:val="320" w:hRule="atLeast"/>
          <w:tblHeader w:val="1"/>
        </w:trPr>
        <w:tc>
          <w:tcPr>
            <w:shd w:fill="auto" w:val="clear"/>
            <w:vAlign w:val="bottom"/>
          </w:tcPr>
          <w:p w:rsidR="00000000" w:rsidDel="00000000" w:rsidP="00000000" w:rsidRDefault="00000000" w:rsidRPr="00000000" w14:paraId="0000012C">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2D">
            <w:pPr>
              <w:spacing w:line="240" w:lineRule="auto"/>
              <w:rPr>
                <w:color w:val="002060"/>
              </w:rPr>
            </w:pPr>
            <w:r w:rsidDel="00000000" w:rsidR="00000000" w:rsidRPr="00000000">
              <w:rPr>
                <w:color w:val="002060"/>
                <w:rtl w:val="0"/>
              </w:rPr>
              <w:t xml:space="preserve">John McCarson</w:t>
            </w:r>
          </w:p>
        </w:tc>
      </w:tr>
      <w:tr>
        <w:trPr>
          <w:cantSplit w:val="0"/>
          <w:trHeight w:val="320" w:hRule="atLeast"/>
          <w:tblHeader w:val="1"/>
        </w:trPr>
        <w:tc>
          <w:tcPr>
            <w:shd w:fill="auto" w:val="clear"/>
            <w:vAlign w:val="bottom"/>
          </w:tcPr>
          <w:p w:rsidR="00000000" w:rsidDel="00000000" w:rsidP="00000000" w:rsidRDefault="00000000" w:rsidRPr="00000000" w14:paraId="0000012E">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2F">
            <w:pPr>
              <w:spacing w:line="240" w:lineRule="auto"/>
              <w:rPr>
                <w:color w:val="002060"/>
              </w:rPr>
            </w:pPr>
            <w:r w:rsidDel="00000000" w:rsidR="00000000" w:rsidRPr="00000000">
              <w:rPr>
                <w:color w:val="002060"/>
                <w:rtl w:val="0"/>
              </w:rPr>
              <w:t xml:space="preserve">Mara Portlock</w:t>
            </w:r>
          </w:p>
        </w:tc>
      </w:tr>
      <w:tr>
        <w:trPr>
          <w:cantSplit w:val="0"/>
          <w:trHeight w:val="320" w:hRule="atLeast"/>
          <w:tblHeader w:val="1"/>
        </w:trPr>
        <w:tc>
          <w:tcPr>
            <w:shd w:fill="auto" w:val="clear"/>
            <w:vAlign w:val="bottom"/>
          </w:tcPr>
          <w:p w:rsidR="00000000" w:rsidDel="00000000" w:rsidP="00000000" w:rsidRDefault="00000000" w:rsidRPr="00000000" w14:paraId="00000130">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31">
            <w:pPr>
              <w:spacing w:line="240" w:lineRule="auto"/>
              <w:rPr>
                <w:color w:val="002060"/>
              </w:rPr>
            </w:pPr>
            <w:r w:rsidDel="00000000" w:rsidR="00000000" w:rsidRPr="00000000">
              <w:rPr>
                <w:color w:val="002060"/>
                <w:rtl w:val="0"/>
              </w:rPr>
              <w:t xml:space="preserve">Larry Tabizon</w:t>
            </w:r>
          </w:p>
        </w:tc>
      </w:tr>
      <w:tr>
        <w:trPr>
          <w:cantSplit w:val="0"/>
          <w:trHeight w:val="320" w:hRule="atLeast"/>
          <w:tblHeader w:val="1"/>
        </w:trPr>
        <w:tc>
          <w:tcPr>
            <w:shd w:fill="auto" w:val="clear"/>
            <w:vAlign w:val="bottom"/>
          </w:tcPr>
          <w:p w:rsidR="00000000" w:rsidDel="00000000" w:rsidP="00000000" w:rsidRDefault="00000000" w:rsidRPr="00000000" w14:paraId="00000132">
            <w:pPr>
              <w:spacing w:line="240" w:lineRule="auto"/>
              <w:rPr>
                <w:color w:val="002060"/>
              </w:rPr>
            </w:pPr>
            <w:r w:rsidDel="00000000" w:rsidR="00000000" w:rsidRPr="00000000">
              <w:rPr>
                <w:color w:val="002060"/>
                <w:rtl w:val="0"/>
              </w:rPr>
              <w:t xml:space="preserve">SCE</w:t>
            </w:r>
          </w:p>
        </w:tc>
        <w:tc>
          <w:tcPr>
            <w:shd w:fill="auto" w:val="clear"/>
            <w:vAlign w:val="bottom"/>
          </w:tcPr>
          <w:p w:rsidR="00000000" w:rsidDel="00000000" w:rsidP="00000000" w:rsidRDefault="00000000" w:rsidRPr="00000000" w14:paraId="00000133">
            <w:pPr>
              <w:spacing w:line="240" w:lineRule="auto"/>
              <w:rPr>
                <w:color w:val="002060"/>
              </w:rPr>
            </w:pPr>
            <w:r w:rsidDel="00000000" w:rsidR="00000000" w:rsidRPr="00000000">
              <w:rPr>
                <w:color w:val="002060"/>
                <w:rtl w:val="0"/>
              </w:rPr>
              <w:t xml:space="preserve">Desiree Villalobos </w:t>
            </w:r>
          </w:p>
        </w:tc>
      </w:tr>
      <w:tr>
        <w:trPr>
          <w:cantSplit w:val="0"/>
          <w:trHeight w:val="320" w:hRule="atLeast"/>
          <w:tblHeader w:val="1"/>
        </w:trPr>
        <w:tc>
          <w:tcPr>
            <w:shd w:fill="auto" w:val="clear"/>
            <w:vAlign w:val="bottom"/>
          </w:tcPr>
          <w:p w:rsidR="00000000" w:rsidDel="00000000" w:rsidP="00000000" w:rsidRDefault="00000000" w:rsidRPr="00000000" w14:paraId="00000134">
            <w:pPr>
              <w:spacing w:line="240" w:lineRule="auto"/>
              <w:rPr>
                <w:color w:val="002060"/>
              </w:rPr>
            </w:pPr>
            <w:r w:rsidDel="00000000" w:rsidR="00000000" w:rsidRPr="00000000">
              <w:rPr>
                <w:color w:val="002060"/>
                <w:rtl w:val="0"/>
              </w:rPr>
              <w:t xml:space="preserve">SD REN</w:t>
            </w:r>
          </w:p>
        </w:tc>
        <w:tc>
          <w:tcPr>
            <w:shd w:fill="auto" w:val="clear"/>
            <w:vAlign w:val="bottom"/>
          </w:tcPr>
          <w:p w:rsidR="00000000" w:rsidDel="00000000" w:rsidP="00000000" w:rsidRDefault="00000000" w:rsidRPr="00000000" w14:paraId="00000135">
            <w:pPr>
              <w:spacing w:line="240" w:lineRule="auto"/>
              <w:rPr>
                <w:color w:val="002060"/>
              </w:rPr>
            </w:pPr>
            <w:r w:rsidDel="00000000" w:rsidR="00000000" w:rsidRPr="00000000">
              <w:rPr>
                <w:color w:val="002060"/>
                <w:rtl w:val="0"/>
              </w:rPr>
              <w:t xml:space="preserve">Aisha Cissna</w:t>
            </w:r>
          </w:p>
        </w:tc>
      </w:tr>
      <w:tr>
        <w:trPr>
          <w:cantSplit w:val="0"/>
          <w:trHeight w:val="320" w:hRule="atLeast"/>
          <w:tblHeader w:val="1"/>
        </w:trPr>
        <w:tc>
          <w:tcPr>
            <w:shd w:fill="auto" w:val="clear"/>
            <w:vAlign w:val="bottom"/>
          </w:tcPr>
          <w:p w:rsidR="00000000" w:rsidDel="00000000" w:rsidP="00000000" w:rsidRDefault="00000000" w:rsidRPr="00000000" w14:paraId="00000136">
            <w:pPr>
              <w:spacing w:line="240" w:lineRule="auto"/>
              <w:rPr>
                <w:color w:val="002060"/>
              </w:rPr>
            </w:pPr>
            <w:r w:rsidDel="00000000" w:rsidR="00000000" w:rsidRPr="00000000">
              <w:rPr>
                <w:color w:val="002060"/>
                <w:rtl w:val="0"/>
              </w:rPr>
              <w:t xml:space="preserve">SD REN</w:t>
            </w:r>
          </w:p>
        </w:tc>
        <w:tc>
          <w:tcPr>
            <w:shd w:fill="auto" w:val="clear"/>
            <w:vAlign w:val="bottom"/>
          </w:tcPr>
          <w:p w:rsidR="00000000" w:rsidDel="00000000" w:rsidP="00000000" w:rsidRDefault="00000000" w:rsidRPr="00000000" w14:paraId="00000137">
            <w:pPr>
              <w:spacing w:line="240" w:lineRule="auto"/>
              <w:rPr>
                <w:color w:val="002060"/>
              </w:rPr>
            </w:pPr>
            <w:r w:rsidDel="00000000" w:rsidR="00000000" w:rsidRPr="00000000">
              <w:rPr>
                <w:color w:val="002060"/>
                <w:rtl w:val="0"/>
              </w:rPr>
              <w:t xml:space="preserve">Alyson Scurlock</w:t>
            </w:r>
          </w:p>
        </w:tc>
      </w:tr>
      <w:tr>
        <w:trPr>
          <w:cantSplit w:val="0"/>
          <w:trHeight w:val="320" w:hRule="atLeast"/>
          <w:tblHeader w:val="1"/>
        </w:trPr>
        <w:tc>
          <w:tcPr>
            <w:shd w:fill="auto" w:val="clear"/>
            <w:vAlign w:val="bottom"/>
          </w:tcPr>
          <w:p w:rsidR="00000000" w:rsidDel="00000000" w:rsidP="00000000" w:rsidRDefault="00000000" w:rsidRPr="00000000" w14:paraId="00000138">
            <w:pPr>
              <w:spacing w:line="240" w:lineRule="auto"/>
              <w:rPr>
                <w:color w:val="002060"/>
              </w:rPr>
            </w:pPr>
            <w:r w:rsidDel="00000000" w:rsidR="00000000" w:rsidRPr="00000000">
              <w:rPr>
                <w:color w:val="002060"/>
                <w:rtl w:val="0"/>
              </w:rPr>
              <w:t xml:space="preserve">SD REN</w:t>
            </w:r>
          </w:p>
        </w:tc>
        <w:tc>
          <w:tcPr>
            <w:shd w:fill="auto" w:val="clear"/>
            <w:vAlign w:val="bottom"/>
          </w:tcPr>
          <w:p w:rsidR="00000000" w:rsidDel="00000000" w:rsidP="00000000" w:rsidRDefault="00000000" w:rsidRPr="00000000" w14:paraId="00000139">
            <w:pPr>
              <w:spacing w:line="240" w:lineRule="auto"/>
              <w:rPr>
                <w:color w:val="002060"/>
              </w:rPr>
            </w:pPr>
            <w:r w:rsidDel="00000000" w:rsidR="00000000" w:rsidRPr="00000000">
              <w:rPr>
                <w:color w:val="002060"/>
                <w:rtl w:val="0"/>
              </w:rPr>
              <w:t xml:space="preserve">Marissa Van Sant</w:t>
            </w:r>
          </w:p>
        </w:tc>
      </w:tr>
      <w:tr>
        <w:trPr>
          <w:cantSplit w:val="0"/>
          <w:trHeight w:val="320" w:hRule="atLeast"/>
          <w:tblHeader w:val="1"/>
        </w:trPr>
        <w:tc>
          <w:tcPr>
            <w:shd w:fill="auto" w:val="clear"/>
            <w:vAlign w:val="bottom"/>
          </w:tcPr>
          <w:p w:rsidR="00000000" w:rsidDel="00000000" w:rsidP="00000000" w:rsidRDefault="00000000" w:rsidRPr="00000000" w14:paraId="0000013A">
            <w:pPr>
              <w:spacing w:line="240" w:lineRule="auto"/>
              <w:rPr>
                <w:color w:val="002060"/>
              </w:rPr>
            </w:pPr>
            <w:r w:rsidDel="00000000" w:rsidR="00000000" w:rsidRPr="00000000">
              <w:rPr>
                <w:color w:val="002060"/>
                <w:rtl w:val="0"/>
              </w:rPr>
              <w:t xml:space="preserve">SD REN</w:t>
            </w:r>
          </w:p>
        </w:tc>
        <w:tc>
          <w:tcPr>
            <w:shd w:fill="auto" w:val="clear"/>
            <w:vAlign w:val="bottom"/>
          </w:tcPr>
          <w:p w:rsidR="00000000" w:rsidDel="00000000" w:rsidP="00000000" w:rsidRDefault="00000000" w:rsidRPr="00000000" w14:paraId="0000013B">
            <w:pPr>
              <w:spacing w:line="240" w:lineRule="auto"/>
              <w:rPr>
                <w:color w:val="002060"/>
              </w:rPr>
            </w:pPr>
            <w:r w:rsidDel="00000000" w:rsidR="00000000" w:rsidRPr="00000000">
              <w:rPr>
                <w:color w:val="002060"/>
                <w:rtl w:val="0"/>
              </w:rPr>
              <w:t xml:space="preserve">Amy Whitehouse</w:t>
            </w:r>
          </w:p>
        </w:tc>
      </w:tr>
      <w:tr>
        <w:trPr>
          <w:cantSplit w:val="0"/>
          <w:trHeight w:val="320" w:hRule="atLeast"/>
          <w:tblHeader w:val="1"/>
        </w:trPr>
        <w:tc>
          <w:tcPr>
            <w:shd w:fill="auto" w:val="clear"/>
            <w:vAlign w:val="bottom"/>
          </w:tcPr>
          <w:p w:rsidR="00000000" w:rsidDel="00000000" w:rsidP="00000000" w:rsidRDefault="00000000" w:rsidRPr="00000000" w14:paraId="0000013C">
            <w:pPr>
              <w:spacing w:line="240" w:lineRule="auto"/>
              <w:rPr>
                <w:color w:val="002060"/>
              </w:rPr>
            </w:pPr>
            <w:r w:rsidDel="00000000" w:rsidR="00000000" w:rsidRPr="00000000">
              <w:rPr>
                <w:color w:val="002060"/>
                <w:rtl w:val="0"/>
              </w:rPr>
              <w:t xml:space="preserve">SDGE</w:t>
            </w:r>
          </w:p>
        </w:tc>
        <w:tc>
          <w:tcPr>
            <w:shd w:fill="auto" w:val="clear"/>
            <w:vAlign w:val="bottom"/>
          </w:tcPr>
          <w:p w:rsidR="00000000" w:rsidDel="00000000" w:rsidP="00000000" w:rsidRDefault="00000000" w:rsidRPr="00000000" w14:paraId="0000013D">
            <w:pPr>
              <w:spacing w:line="240" w:lineRule="auto"/>
              <w:rPr>
                <w:color w:val="002060"/>
              </w:rPr>
            </w:pPr>
            <w:r w:rsidDel="00000000" w:rsidR="00000000" w:rsidRPr="00000000">
              <w:rPr>
                <w:color w:val="002060"/>
                <w:rtl w:val="0"/>
              </w:rPr>
              <w:t xml:space="preserve">Vanessa Garcia</w:t>
            </w:r>
          </w:p>
        </w:tc>
      </w:tr>
      <w:tr>
        <w:trPr>
          <w:cantSplit w:val="0"/>
          <w:trHeight w:val="320" w:hRule="atLeast"/>
          <w:tblHeader w:val="1"/>
        </w:trPr>
        <w:tc>
          <w:tcPr>
            <w:shd w:fill="auto" w:val="clear"/>
            <w:vAlign w:val="bottom"/>
          </w:tcPr>
          <w:p w:rsidR="00000000" w:rsidDel="00000000" w:rsidP="00000000" w:rsidRDefault="00000000" w:rsidRPr="00000000" w14:paraId="0000013E">
            <w:pPr>
              <w:spacing w:line="240" w:lineRule="auto"/>
              <w:rPr>
                <w:color w:val="002060"/>
              </w:rPr>
            </w:pPr>
            <w:r w:rsidDel="00000000" w:rsidR="00000000" w:rsidRPr="00000000">
              <w:rPr>
                <w:color w:val="002060"/>
                <w:rtl w:val="0"/>
              </w:rPr>
              <w:t xml:space="preserve">SDGE</w:t>
            </w:r>
          </w:p>
        </w:tc>
        <w:tc>
          <w:tcPr>
            <w:shd w:fill="auto" w:val="clear"/>
            <w:vAlign w:val="bottom"/>
          </w:tcPr>
          <w:p w:rsidR="00000000" w:rsidDel="00000000" w:rsidP="00000000" w:rsidRDefault="00000000" w:rsidRPr="00000000" w14:paraId="0000013F">
            <w:pPr>
              <w:spacing w:line="240" w:lineRule="auto"/>
              <w:rPr>
                <w:color w:val="002060"/>
              </w:rPr>
            </w:pPr>
            <w:r w:rsidDel="00000000" w:rsidR="00000000" w:rsidRPr="00000000">
              <w:rPr>
                <w:color w:val="002060"/>
                <w:rtl w:val="0"/>
              </w:rPr>
              <w:t xml:space="preserve">Melissa Jones</w:t>
            </w:r>
          </w:p>
        </w:tc>
      </w:tr>
      <w:tr>
        <w:trPr>
          <w:cantSplit w:val="0"/>
          <w:trHeight w:val="320" w:hRule="atLeast"/>
          <w:tblHeader w:val="1"/>
        </w:trPr>
        <w:tc>
          <w:tcPr>
            <w:shd w:fill="auto" w:val="clear"/>
            <w:vAlign w:val="bottom"/>
          </w:tcPr>
          <w:p w:rsidR="00000000" w:rsidDel="00000000" w:rsidP="00000000" w:rsidRDefault="00000000" w:rsidRPr="00000000" w14:paraId="00000140">
            <w:pPr>
              <w:spacing w:line="240" w:lineRule="auto"/>
              <w:rPr>
                <w:color w:val="002060"/>
              </w:rPr>
            </w:pPr>
            <w:r w:rsidDel="00000000" w:rsidR="00000000" w:rsidRPr="00000000">
              <w:rPr>
                <w:color w:val="002060"/>
                <w:rtl w:val="0"/>
              </w:rPr>
              <w:t xml:space="preserve">SDGE</w:t>
            </w:r>
          </w:p>
        </w:tc>
        <w:tc>
          <w:tcPr>
            <w:shd w:fill="auto" w:val="clear"/>
            <w:vAlign w:val="bottom"/>
          </w:tcPr>
          <w:p w:rsidR="00000000" w:rsidDel="00000000" w:rsidP="00000000" w:rsidRDefault="00000000" w:rsidRPr="00000000" w14:paraId="00000141">
            <w:pPr>
              <w:spacing w:line="240" w:lineRule="auto"/>
              <w:rPr>
                <w:color w:val="002060"/>
              </w:rPr>
            </w:pPr>
            <w:r w:rsidDel="00000000" w:rsidR="00000000" w:rsidRPr="00000000">
              <w:rPr>
                <w:color w:val="002060"/>
                <w:rtl w:val="0"/>
              </w:rPr>
              <w:t xml:space="preserve">Kelvin Valenzuela</w:t>
            </w:r>
          </w:p>
        </w:tc>
      </w:tr>
      <w:tr>
        <w:trPr>
          <w:cantSplit w:val="0"/>
          <w:trHeight w:val="320" w:hRule="atLeast"/>
          <w:tblHeader w:val="1"/>
        </w:trPr>
        <w:tc>
          <w:tcPr>
            <w:shd w:fill="auto" w:val="clear"/>
            <w:vAlign w:val="bottom"/>
          </w:tcPr>
          <w:p w:rsidR="00000000" w:rsidDel="00000000" w:rsidP="00000000" w:rsidRDefault="00000000" w:rsidRPr="00000000" w14:paraId="00000142">
            <w:pPr>
              <w:spacing w:line="240" w:lineRule="auto"/>
              <w:rPr>
                <w:color w:val="002060"/>
              </w:rPr>
            </w:pPr>
            <w:r w:rsidDel="00000000" w:rsidR="00000000" w:rsidRPr="00000000">
              <w:rPr>
                <w:color w:val="002060"/>
                <w:rtl w:val="0"/>
              </w:rPr>
              <w:t xml:space="preserve">SDGE</w:t>
            </w:r>
          </w:p>
        </w:tc>
        <w:tc>
          <w:tcPr>
            <w:shd w:fill="auto" w:val="clear"/>
            <w:vAlign w:val="bottom"/>
          </w:tcPr>
          <w:p w:rsidR="00000000" w:rsidDel="00000000" w:rsidP="00000000" w:rsidRDefault="00000000" w:rsidRPr="00000000" w14:paraId="00000143">
            <w:pPr>
              <w:spacing w:line="240" w:lineRule="auto"/>
              <w:rPr>
                <w:color w:val="002060"/>
              </w:rPr>
            </w:pPr>
            <w:r w:rsidDel="00000000" w:rsidR="00000000" w:rsidRPr="00000000">
              <w:rPr>
                <w:color w:val="002060"/>
                <w:rtl w:val="0"/>
              </w:rPr>
              <w:t xml:space="preserve">John Zwick</w:t>
            </w:r>
          </w:p>
        </w:tc>
      </w:tr>
      <w:tr>
        <w:trPr>
          <w:cantSplit w:val="0"/>
          <w:trHeight w:val="320" w:hRule="atLeast"/>
          <w:tblHeader w:val="1"/>
        </w:trPr>
        <w:tc>
          <w:tcPr>
            <w:shd w:fill="auto" w:val="clear"/>
            <w:vAlign w:val="bottom"/>
          </w:tcPr>
          <w:p w:rsidR="00000000" w:rsidDel="00000000" w:rsidP="00000000" w:rsidRDefault="00000000" w:rsidRPr="00000000" w14:paraId="00000144">
            <w:pPr>
              <w:spacing w:line="240" w:lineRule="auto"/>
              <w:rPr>
                <w:color w:val="002060"/>
              </w:rPr>
            </w:pPr>
            <w:r w:rsidDel="00000000" w:rsidR="00000000" w:rsidRPr="00000000">
              <w:rPr>
                <w:color w:val="002060"/>
                <w:rtl w:val="0"/>
              </w:rPr>
              <w:t xml:space="preserve">SoCalGas</w:t>
            </w:r>
          </w:p>
        </w:tc>
        <w:tc>
          <w:tcPr>
            <w:shd w:fill="auto" w:val="clear"/>
            <w:vAlign w:val="bottom"/>
          </w:tcPr>
          <w:p w:rsidR="00000000" w:rsidDel="00000000" w:rsidP="00000000" w:rsidRDefault="00000000" w:rsidRPr="00000000" w14:paraId="00000145">
            <w:pPr>
              <w:spacing w:line="240" w:lineRule="auto"/>
              <w:rPr>
                <w:color w:val="002060"/>
              </w:rPr>
            </w:pPr>
            <w:r w:rsidDel="00000000" w:rsidR="00000000" w:rsidRPr="00000000">
              <w:rPr>
                <w:color w:val="002060"/>
                <w:rtl w:val="0"/>
              </w:rPr>
              <w:t xml:space="preserve">Gary Arcega</w:t>
            </w:r>
          </w:p>
        </w:tc>
      </w:tr>
      <w:tr>
        <w:trPr>
          <w:cantSplit w:val="0"/>
          <w:trHeight w:val="320" w:hRule="atLeast"/>
          <w:tblHeader w:val="1"/>
        </w:trPr>
        <w:tc>
          <w:tcPr>
            <w:shd w:fill="auto" w:val="clear"/>
            <w:vAlign w:val="bottom"/>
          </w:tcPr>
          <w:p w:rsidR="00000000" w:rsidDel="00000000" w:rsidP="00000000" w:rsidRDefault="00000000" w:rsidRPr="00000000" w14:paraId="00000146">
            <w:pPr>
              <w:spacing w:line="240" w:lineRule="auto"/>
              <w:rPr>
                <w:color w:val="002060"/>
              </w:rPr>
            </w:pPr>
            <w:r w:rsidDel="00000000" w:rsidR="00000000" w:rsidRPr="00000000">
              <w:rPr>
                <w:color w:val="002060"/>
                <w:rtl w:val="0"/>
              </w:rPr>
              <w:t xml:space="preserve">SoCalGas</w:t>
            </w:r>
          </w:p>
        </w:tc>
        <w:tc>
          <w:tcPr>
            <w:shd w:fill="auto" w:val="clear"/>
            <w:vAlign w:val="bottom"/>
          </w:tcPr>
          <w:p w:rsidR="00000000" w:rsidDel="00000000" w:rsidP="00000000" w:rsidRDefault="00000000" w:rsidRPr="00000000" w14:paraId="00000147">
            <w:pPr>
              <w:spacing w:line="240" w:lineRule="auto"/>
              <w:rPr>
                <w:color w:val="002060"/>
              </w:rPr>
            </w:pPr>
            <w:r w:rsidDel="00000000" w:rsidR="00000000" w:rsidRPr="00000000">
              <w:rPr>
                <w:color w:val="002060"/>
                <w:rtl w:val="0"/>
              </w:rPr>
              <w:t xml:space="preserve">Anders Danryd</w:t>
            </w:r>
          </w:p>
        </w:tc>
      </w:tr>
      <w:tr>
        <w:trPr>
          <w:cantSplit w:val="0"/>
          <w:trHeight w:val="320" w:hRule="atLeast"/>
          <w:tblHeader w:val="1"/>
        </w:trPr>
        <w:tc>
          <w:tcPr>
            <w:shd w:fill="auto" w:val="clear"/>
            <w:vAlign w:val="bottom"/>
          </w:tcPr>
          <w:p w:rsidR="00000000" w:rsidDel="00000000" w:rsidP="00000000" w:rsidRDefault="00000000" w:rsidRPr="00000000" w14:paraId="00000148">
            <w:pPr>
              <w:spacing w:line="240" w:lineRule="auto"/>
              <w:rPr>
                <w:color w:val="002060"/>
              </w:rPr>
            </w:pPr>
            <w:r w:rsidDel="00000000" w:rsidR="00000000" w:rsidRPr="00000000">
              <w:rPr>
                <w:color w:val="002060"/>
                <w:rtl w:val="0"/>
              </w:rPr>
              <w:t xml:space="preserve">SoCalGas</w:t>
            </w:r>
          </w:p>
        </w:tc>
        <w:tc>
          <w:tcPr>
            <w:shd w:fill="auto" w:val="clear"/>
            <w:vAlign w:val="bottom"/>
          </w:tcPr>
          <w:p w:rsidR="00000000" w:rsidDel="00000000" w:rsidP="00000000" w:rsidRDefault="00000000" w:rsidRPr="00000000" w14:paraId="00000149">
            <w:pPr>
              <w:spacing w:line="240" w:lineRule="auto"/>
              <w:rPr>
                <w:color w:val="002060"/>
              </w:rPr>
            </w:pPr>
            <w:r w:rsidDel="00000000" w:rsidR="00000000" w:rsidRPr="00000000">
              <w:rPr>
                <w:color w:val="002060"/>
                <w:rtl w:val="0"/>
              </w:rPr>
              <w:t xml:space="preserve">Mori Farid</w:t>
            </w:r>
          </w:p>
        </w:tc>
      </w:tr>
      <w:tr>
        <w:trPr>
          <w:cantSplit w:val="0"/>
          <w:trHeight w:val="320" w:hRule="atLeast"/>
          <w:tblHeader w:val="1"/>
        </w:trPr>
        <w:tc>
          <w:tcPr>
            <w:shd w:fill="auto" w:val="clear"/>
            <w:vAlign w:val="bottom"/>
          </w:tcPr>
          <w:p w:rsidR="00000000" w:rsidDel="00000000" w:rsidP="00000000" w:rsidRDefault="00000000" w:rsidRPr="00000000" w14:paraId="0000014A">
            <w:pPr>
              <w:spacing w:line="240" w:lineRule="auto"/>
              <w:rPr>
                <w:color w:val="002060"/>
              </w:rPr>
            </w:pPr>
            <w:r w:rsidDel="00000000" w:rsidR="00000000" w:rsidRPr="00000000">
              <w:rPr>
                <w:color w:val="002060"/>
                <w:rtl w:val="0"/>
              </w:rPr>
              <w:t xml:space="preserve">SoCalREN</w:t>
            </w:r>
          </w:p>
        </w:tc>
        <w:tc>
          <w:tcPr>
            <w:shd w:fill="auto" w:val="clear"/>
            <w:vAlign w:val="bottom"/>
          </w:tcPr>
          <w:p w:rsidR="00000000" w:rsidDel="00000000" w:rsidP="00000000" w:rsidRDefault="00000000" w:rsidRPr="00000000" w14:paraId="0000014B">
            <w:pPr>
              <w:spacing w:line="240" w:lineRule="auto"/>
              <w:rPr>
                <w:color w:val="002060"/>
              </w:rPr>
            </w:pPr>
            <w:r w:rsidDel="00000000" w:rsidR="00000000" w:rsidRPr="00000000">
              <w:rPr>
                <w:color w:val="002060"/>
                <w:rtl w:val="0"/>
              </w:rPr>
              <w:t xml:space="preserve">Audrey Bragg</w:t>
            </w:r>
          </w:p>
        </w:tc>
      </w:tr>
      <w:tr>
        <w:trPr>
          <w:cantSplit w:val="0"/>
          <w:trHeight w:val="320" w:hRule="atLeast"/>
          <w:tblHeader w:val="1"/>
        </w:trPr>
        <w:tc>
          <w:tcPr>
            <w:shd w:fill="auto" w:val="clear"/>
            <w:vAlign w:val="bottom"/>
          </w:tcPr>
          <w:p w:rsidR="00000000" w:rsidDel="00000000" w:rsidP="00000000" w:rsidRDefault="00000000" w:rsidRPr="00000000" w14:paraId="0000014C">
            <w:pPr>
              <w:spacing w:line="240" w:lineRule="auto"/>
              <w:rPr>
                <w:color w:val="002060"/>
              </w:rPr>
            </w:pPr>
            <w:r w:rsidDel="00000000" w:rsidR="00000000" w:rsidRPr="00000000">
              <w:rPr>
                <w:color w:val="002060"/>
                <w:rtl w:val="0"/>
              </w:rPr>
              <w:t xml:space="preserve">SoCalREN</w:t>
            </w:r>
          </w:p>
        </w:tc>
        <w:tc>
          <w:tcPr>
            <w:shd w:fill="auto" w:val="clear"/>
            <w:vAlign w:val="bottom"/>
          </w:tcPr>
          <w:p w:rsidR="00000000" w:rsidDel="00000000" w:rsidP="00000000" w:rsidRDefault="00000000" w:rsidRPr="00000000" w14:paraId="0000014D">
            <w:pPr>
              <w:spacing w:line="240" w:lineRule="auto"/>
              <w:rPr>
                <w:color w:val="002060"/>
              </w:rPr>
            </w:pPr>
            <w:r w:rsidDel="00000000" w:rsidR="00000000" w:rsidRPr="00000000">
              <w:rPr>
                <w:color w:val="002060"/>
                <w:rtl w:val="0"/>
              </w:rPr>
              <w:t xml:space="preserve">Tory Coffin</w:t>
            </w:r>
          </w:p>
        </w:tc>
      </w:tr>
      <w:tr>
        <w:trPr>
          <w:cantSplit w:val="0"/>
          <w:trHeight w:val="320" w:hRule="atLeast"/>
          <w:tblHeader w:val="1"/>
        </w:trPr>
        <w:tc>
          <w:tcPr>
            <w:shd w:fill="auto" w:val="clear"/>
            <w:vAlign w:val="bottom"/>
          </w:tcPr>
          <w:p w:rsidR="00000000" w:rsidDel="00000000" w:rsidP="00000000" w:rsidRDefault="00000000" w:rsidRPr="00000000" w14:paraId="0000014E">
            <w:pPr>
              <w:spacing w:line="240" w:lineRule="auto"/>
              <w:rPr>
                <w:color w:val="002060"/>
              </w:rPr>
            </w:pPr>
            <w:r w:rsidDel="00000000" w:rsidR="00000000" w:rsidRPr="00000000">
              <w:rPr>
                <w:color w:val="002060"/>
                <w:rtl w:val="0"/>
              </w:rPr>
              <w:t xml:space="preserve">SoCalREN</w:t>
            </w:r>
          </w:p>
        </w:tc>
        <w:tc>
          <w:tcPr>
            <w:shd w:fill="auto" w:val="clear"/>
            <w:vAlign w:val="bottom"/>
          </w:tcPr>
          <w:p w:rsidR="00000000" w:rsidDel="00000000" w:rsidP="00000000" w:rsidRDefault="00000000" w:rsidRPr="00000000" w14:paraId="0000014F">
            <w:pPr>
              <w:spacing w:line="240" w:lineRule="auto"/>
              <w:rPr>
                <w:color w:val="002060"/>
              </w:rPr>
            </w:pPr>
            <w:r w:rsidDel="00000000" w:rsidR="00000000" w:rsidRPr="00000000">
              <w:rPr>
                <w:color w:val="002060"/>
                <w:rtl w:val="0"/>
              </w:rPr>
              <w:t xml:space="preserve">Fernanda Craig</w:t>
            </w:r>
          </w:p>
        </w:tc>
      </w:tr>
      <w:tr>
        <w:trPr>
          <w:cantSplit w:val="0"/>
          <w:trHeight w:val="320" w:hRule="atLeast"/>
          <w:tblHeader w:val="1"/>
        </w:trPr>
        <w:tc>
          <w:tcPr>
            <w:shd w:fill="auto" w:val="clear"/>
            <w:vAlign w:val="bottom"/>
          </w:tcPr>
          <w:p w:rsidR="00000000" w:rsidDel="00000000" w:rsidP="00000000" w:rsidRDefault="00000000" w:rsidRPr="00000000" w14:paraId="00000150">
            <w:pPr>
              <w:spacing w:line="240" w:lineRule="auto"/>
              <w:rPr>
                <w:color w:val="002060"/>
              </w:rPr>
            </w:pPr>
            <w:r w:rsidDel="00000000" w:rsidR="00000000" w:rsidRPr="00000000">
              <w:rPr>
                <w:color w:val="002060"/>
                <w:rtl w:val="0"/>
              </w:rPr>
              <w:t xml:space="preserve">SoCalREN</w:t>
            </w:r>
          </w:p>
        </w:tc>
        <w:tc>
          <w:tcPr>
            <w:shd w:fill="auto" w:val="clear"/>
            <w:vAlign w:val="bottom"/>
          </w:tcPr>
          <w:p w:rsidR="00000000" w:rsidDel="00000000" w:rsidP="00000000" w:rsidRDefault="00000000" w:rsidRPr="00000000" w14:paraId="00000151">
            <w:pPr>
              <w:spacing w:line="240" w:lineRule="auto"/>
              <w:rPr>
                <w:color w:val="002060"/>
              </w:rPr>
            </w:pPr>
            <w:r w:rsidDel="00000000" w:rsidR="00000000" w:rsidRPr="00000000">
              <w:rPr>
                <w:color w:val="002060"/>
                <w:rtl w:val="0"/>
              </w:rPr>
              <w:t xml:space="preserve">Sulma Hernandez</w:t>
            </w:r>
          </w:p>
        </w:tc>
      </w:tr>
      <w:tr>
        <w:trPr>
          <w:cantSplit w:val="0"/>
          <w:trHeight w:val="320" w:hRule="atLeast"/>
          <w:tblHeader w:val="1"/>
        </w:trPr>
        <w:tc>
          <w:tcPr>
            <w:shd w:fill="auto" w:val="clear"/>
            <w:vAlign w:val="bottom"/>
          </w:tcPr>
          <w:p w:rsidR="00000000" w:rsidDel="00000000" w:rsidP="00000000" w:rsidRDefault="00000000" w:rsidRPr="00000000" w14:paraId="00000152">
            <w:pPr>
              <w:spacing w:line="240" w:lineRule="auto"/>
              <w:rPr>
                <w:color w:val="002060"/>
              </w:rPr>
            </w:pPr>
            <w:r w:rsidDel="00000000" w:rsidR="00000000" w:rsidRPr="00000000">
              <w:rPr>
                <w:color w:val="002060"/>
                <w:rtl w:val="0"/>
              </w:rPr>
              <w:t xml:space="preserve">SoCalREN</w:t>
            </w:r>
          </w:p>
        </w:tc>
        <w:tc>
          <w:tcPr>
            <w:shd w:fill="auto" w:val="clear"/>
            <w:vAlign w:val="bottom"/>
          </w:tcPr>
          <w:p w:rsidR="00000000" w:rsidDel="00000000" w:rsidP="00000000" w:rsidRDefault="00000000" w:rsidRPr="00000000" w14:paraId="00000153">
            <w:pPr>
              <w:spacing w:line="240" w:lineRule="auto"/>
              <w:rPr>
                <w:color w:val="002060"/>
              </w:rPr>
            </w:pPr>
            <w:r w:rsidDel="00000000" w:rsidR="00000000" w:rsidRPr="00000000">
              <w:rPr>
                <w:color w:val="002060"/>
                <w:rtl w:val="0"/>
              </w:rPr>
              <w:t xml:space="preserve">Shelley Osborn</w:t>
            </w:r>
          </w:p>
        </w:tc>
      </w:tr>
      <w:tr>
        <w:trPr>
          <w:cantSplit w:val="0"/>
          <w:trHeight w:val="320" w:hRule="atLeast"/>
          <w:tblHeader w:val="1"/>
        </w:trPr>
        <w:tc>
          <w:tcPr>
            <w:shd w:fill="auto" w:val="clear"/>
            <w:vAlign w:val="bottom"/>
          </w:tcPr>
          <w:p w:rsidR="00000000" w:rsidDel="00000000" w:rsidP="00000000" w:rsidRDefault="00000000" w:rsidRPr="00000000" w14:paraId="00000154">
            <w:pPr>
              <w:spacing w:line="240" w:lineRule="auto"/>
              <w:rPr>
                <w:color w:val="002060"/>
              </w:rPr>
            </w:pPr>
            <w:r w:rsidDel="00000000" w:rsidR="00000000" w:rsidRPr="00000000">
              <w:rPr>
                <w:color w:val="002060"/>
                <w:rtl w:val="0"/>
              </w:rPr>
              <w:t xml:space="preserve">The Clean Energy Alliance</w:t>
            </w:r>
          </w:p>
        </w:tc>
        <w:tc>
          <w:tcPr>
            <w:shd w:fill="auto" w:val="clear"/>
            <w:vAlign w:val="bottom"/>
          </w:tcPr>
          <w:p w:rsidR="00000000" w:rsidDel="00000000" w:rsidP="00000000" w:rsidRDefault="00000000" w:rsidRPr="00000000" w14:paraId="00000155">
            <w:pPr>
              <w:spacing w:line="240" w:lineRule="auto"/>
              <w:rPr>
                <w:color w:val="002060"/>
              </w:rPr>
            </w:pPr>
            <w:r w:rsidDel="00000000" w:rsidR="00000000" w:rsidRPr="00000000">
              <w:rPr>
                <w:color w:val="002060"/>
                <w:rtl w:val="0"/>
              </w:rPr>
              <w:t xml:space="preserve">Kaitlin McGee</w:t>
            </w:r>
          </w:p>
        </w:tc>
      </w:tr>
      <w:tr>
        <w:trPr>
          <w:cantSplit w:val="0"/>
          <w:trHeight w:val="320" w:hRule="atLeast"/>
          <w:tblHeader w:val="1"/>
        </w:trPr>
        <w:tc>
          <w:tcPr>
            <w:shd w:fill="auto" w:val="clear"/>
            <w:vAlign w:val="bottom"/>
          </w:tcPr>
          <w:p w:rsidR="00000000" w:rsidDel="00000000" w:rsidP="00000000" w:rsidRDefault="00000000" w:rsidRPr="00000000" w14:paraId="00000156">
            <w:pPr>
              <w:spacing w:line="240" w:lineRule="auto"/>
              <w:rPr>
                <w:color w:val="002060"/>
              </w:rPr>
            </w:pPr>
            <w:r w:rsidDel="00000000" w:rsidR="00000000" w:rsidRPr="00000000">
              <w:rPr>
                <w:color w:val="002060"/>
                <w:rtl w:val="0"/>
              </w:rPr>
              <w:t xml:space="preserve">The Energy Coalition</w:t>
            </w:r>
          </w:p>
        </w:tc>
        <w:tc>
          <w:tcPr>
            <w:shd w:fill="auto" w:val="clear"/>
            <w:vAlign w:val="bottom"/>
          </w:tcPr>
          <w:p w:rsidR="00000000" w:rsidDel="00000000" w:rsidP="00000000" w:rsidRDefault="00000000" w:rsidRPr="00000000" w14:paraId="00000157">
            <w:pPr>
              <w:spacing w:line="240" w:lineRule="auto"/>
              <w:rPr>
                <w:color w:val="002060"/>
              </w:rPr>
            </w:pPr>
            <w:r w:rsidDel="00000000" w:rsidR="00000000" w:rsidRPr="00000000">
              <w:rPr>
                <w:color w:val="002060"/>
                <w:rtl w:val="0"/>
              </w:rPr>
              <w:t xml:space="preserve">Natalie Espinoza</w:t>
            </w:r>
          </w:p>
        </w:tc>
      </w:tr>
      <w:tr>
        <w:trPr>
          <w:cantSplit w:val="0"/>
          <w:trHeight w:val="320" w:hRule="atLeast"/>
          <w:tblHeader w:val="1"/>
        </w:trPr>
        <w:tc>
          <w:tcPr>
            <w:shd w:fill="auto" w:val="clear"/>
            <w:vAlign w:val="bottom"/>
          </w:tcPr>
          <w:p w:rsidR="00000000" w:rsidDel="00000000" w:rsidP="00000000" w:rsidRDefault="00000000" w:rsidRPr="00000000" w14:paraId="00000158">
            <w:pPr>
              <w:spacing w:line="240" w:lineRule="auto"/>
              <w:rPr>
                <w:color w:val="002060"/>
              </w:rPr>
            </w:pPr>
            <w:r w:rsidDel="00000000" w:rsidR="00000000" w:rsidRPr="00000000">
              <w:rPr>
                <w:color w:val="002060"/>
                <w:rtl w:val="0"/>
              </w:rPr>
              <w:t xml:space="preserve">The Energy Coalition</w:t>
            </w:r>
          </w:p>
        </w:tc>
        <w:tc>
          <w:tcPr>
            <w:shd w:fill="auto" w:val="clear"/>
            <w:vAlign w:val="bottom"/>
          </w:tcPr>
          <w:p w:rsidR="00000000" w:rsidDel="00000000" w:rsidP="00000000" w:rsidRDefault="00000000" w:rsidRPr="00000000" w14:paraId="00000159">
            <w:pPr>
              <w:spacing w:line="240" w:lineRule="auto"/>
              <w:rPr>
                <w:color w:val="002060"/>
              </w:rPr>
            </w:pPr>
            <w:r w:rsidDel="00000000" w:rsidR="00000000" w:rsidRPr="00000000">
              <w:rPr>
                <w:color w:val="002060"/>
                <w:rtl w:val="0"/>
              </w:rPr>
              <w:t xml:space="preserve">Tim Olsen</w:t>
            </w:r>
          </w:p>
        </w:tc>
      </w:tr>
      <w:tr>
        <w:trPr>
          <w:cantSplit w:val="0"/>
          <w:trHeight w:val="320" w:hRule="atLeast"/>
          <w:tblHeader w:val="1"/>
        </w:trPr>
        <w:tc>
          <w:tcPr>
            <w:shd w:fill="auto" w:val="clear"/>
            <w:vAlign w:val="bottom"/>
          </w:tcPr>
          <w:p w:rsidR="00000000" w:rsidDel="00000000" w:rsidP="00000000" w:rsidRDefault="00000000" w:rsidRPr="00000000" w14:paraId="0000015A">
            <w:pPr>
              <w:spacing w:line="240" w:lineRule="auto"/>
              <w:rPr>
                <w:color w:val="002060"/>
              </w:rPr>
            </w:pPr>
            <w:r w:rsidDel="00000000" w:rsidR="00000000" w:rsidRPr="00000000">
              <w:rPr>
                <w:color w:val="002060"/>
                <w:rtl w:val="0"/>
              </w:rPr>
              <w:t xml:space="preserve">The Energy Coalition</w:t>
            </w:r>
          </w:p>
        </w:tc>
        <w:tc>
          <w:tcPr>
            <w:shd w:fill="auto" w:val="clear"/>
            <w:vAlign w:val="bottom"/>
          </w:tcPr>
          <w:p w:rsidR="00000000" w:rsidDel="00000000" w:rsidP="00000000" w:rsidRDefault="00000000" w:rsidRPr="00000000" w14:paraId="0000015B">
            <w:pPr>
              <w:spacing w:line="240" w:lineRule="auto"/>
              <w:rPr>
                <w:color w:val="002060"/>
              </w:rPr>
            </w:pPr>
            <w:r w:rsidDel="00000000" w:rsidR="00000000" w:rsidRPr="00000000">
              <w:rPr>
                <w:color w:val="002060"/>
                <w:rtl w:val="0"/>
              </w:rPr>
              <w:t xml:space="preserve">Rachel Pennington</w:t>
            </w:r>
          </w:p>
        </w:tc>
      </w:tr>
      <w:tr>
        <w:trPr>
          <w:cantSplit w:val="0"/>
          <w:trHeight w:val="320" w:hRule="atLeast"/>
          <w:tblHeader w:val="1"/>
        </w:trPr>
        <w:tc>
          <w:tcPr>
            <w:shd w:fill="auto" w:val="clear"/>
            <w:vAlign w:val="bottom"/>
          </w:tcPr>
          <w:p w:rsidR="00000000" w:rsidDel="00000000" w:rsidP="00000000" w:rsidRDefault="00000000" w:rsidRPr="00000000" w14:paraId="0000015C">
            <w:pPr>
              <w:spacing w:line="240" w:lineRule="auto"/>
              <w:rPr>
                <w:color w:val="002060"/>
              </w:rPr>
            </w:pPr>
            <w:r w:rsidDel="00000000" w:rsidR="00000000" w:rsidRPr="00000000">
              <w:rPr>
                <w:color w:val="002060"/>
                <w:rtl w:val="0"/>
              </w:rPr>
              <w:t xml:space="preserve">The Utility Reform Network</w:t>
            </w:r>
          </w:p>
        </w:tc>
        <w:tc>
          <w:tcPr>
            <w:shd w:fill="auto" w:val="clear"/>
            <w:vAlign w:val="bottom"/>
          </w:tcPr>
          <w:p w:rsidR="00000000" w:rsidDel="00000000" w:rsidP="00000000" w:rsidRDefault="00000000" w:rsidRPr="00000000" w14:paraId="0000015D">
            <w:pPr>
              <w:spacing w:line="240" w:lineRule="auto"/>
              <w:rPr>
                <w:color w:val="002060"/>
              </w:rPr>
            </w:pPr>
            <w:r w:rsidDel="00000000" w:rsidR="00000000" w:rsidRPr="00000000">
              <w:rPr>
                <w:color w:val="002060"/>
                <w:rtl w:val="0"/>
              </w:rPr>
              <w:t xml:space="preserve">Ruthie Lazenby</w:t>
            </w:r>
          </w:p>
        </w:tc>
      </w:tr>
      <w:tr>
        <w:trPr>
          <w:cantSplit w:val="0"/>
          <w:trHeight w:val="320" w:hRule="atLeast"/>
          <w:tblHeader w:val="1"/>
        </w:trPr>
        <w:tc>
          <w:tcPr>
            <w:shd w:fill="auto" w:val="clear"/>
            <w:vAlign w:val="bottom"/>
          </w:tcPr>
          <w:p w:rsidR="00000000" w:rsidDel="00000000" w:rsidP="00000000" w:rsidRDefault="00000000" w:rsidRPr="00000000" w14:paraId="0000015E">
            <w:pPr>
              <w:spacing w:line="240" w:lineRule="auto"/>
              <w:rPr>
                <w:color w:val="002060"/>
              </w:rPr>
            </w:pPr>
            <w:r w:rsidDel="00000000" w:rsidR="00000000" w:rsidRPr="00000000">
              <w:rPr>
                <w:color w:val="002060"/>
                <w:rtl w:val="0"/>
              </w:rPr>
              <w:t xml:space="preserve">Tierra Resource Consultants</w:t>
            </w:r>
          </w:p>
        </w:tc>
        <w:tc>
          <w:tcPr>
            <w:shd w:fill="auto" w:val="clear"/>
            <w:vAlign w:val="bottom"/>
          </w:tcPr>
          <w:p w:rsidR="00000000" w:rsidDel="00000000" w:rsidP="00000000" w:rsidRDefault="00000000" w:rsidRPr="00000000" w14:paraId="0000015F">
            <w:pPr>
              <w:spacing w:line="240" w:lineRule="auto"/>
              <w:rPr>
                <w:color w:val="002060"/>
              </w:rPr>
            </w:pPr>
            <w:r w:rsidDel="00000000" w:rsidR="00000000" w:rsidRPr="00000000">
              <w:rPr>
                <w:color w:val="002060"/>
                <w:rtl w:val="0"/>
              </w:rPr>
              <w:t xml:space="preserve">Julie Gidley</w:t>
            </w:r>
          </w:p>
        </w:tc>
      </w:tr>
      <w:tr>
        <w:trPr>
          <w:cantSplit w:val="0"/>
          <w:trHeight w:val="320" w:hRule="atLeast"/>
          <w:tblHeader w:val="1"/>
        </w:trPr>
        <w:tc>
          <w:tcPr>
            <w:shd w:fill="auto" w:val="clear"/>
            <w:vAlign w:val="bottom"/>
          </w:tcPr>
          <w:p w:rsidR="00000000" w:rsidDel="00000000" w:rsidP="00000000" w:rsidRDefault="00000000" w:rsidRPr="00000000" w14:paraId="00000160">
            <w:pPr>
              <w:spacing w:line="240" w:lineRule="auto"/>
              <w:rPr>
                <w:color w:val="002060"/>
              </w:rPr>
            </w:pPr>
            <w:r w:rsidDel="00000000" w:rsidR="00000000" w:rsidRPr="00000000">
              <w:rPr>
                <w:color w:val="002060"/>
                <w:rtl w:val="0"/>
              </w:rPr>
              <w:t xml:space="preserve">Tierra Resource Consultants</w:t>
            </w:r>
          </w:p>
        </w:tc>
        <w:tc>
          <w:tcPr>
            <w:shd w:fill="auto" w:val="clear"/>
            <w:vAlign w:val="bottom"/>
          </w:tcPr>
          <w:p w:rsidR="00000000" w:rsidDel="00000000" w:rsidP="00000000" w:rsidRDefault="00000000" w:rsidRPr="00000000" w14:paraId="00000161">
            <w:pPr>
              <w:spacing w:line="240" w:lineRule="auto"/>
              <w:rPr>
                <w:color w:val="002060"/>
              </w:rPr>
            </w:pPr>
            <w:r w:rsidDel="00000000" w:rsidR="00000000" w:rsidRPr="00000000">
              <w:rPr>
                <w:color w:val="002060"/>
                <w:rtl w:val="0"/>
              </w:rPr>
              <w:t xml:space="preserve">Graham Yotsuya</w:t>
            </w:r>
          </w:p>
        </w:tc>
      </w:tr>
      <w:tr>
        <w:trPr>
          <w:cantSplit w:val="0"/>
          <w:trHeight w:val="320" w:hRule="atLeast"/>
          <w:tblHeader w:val="1"/>
        </w:trPr>
        <w:tc>
          <w:tcPr>
            <w:shd w:fill="auto" w:val="clear"/>
            <w:vAlign w:val="bottom"/>
          </w:tcPr>
          <w:p w:rsidR="00000000" w:rsidDel="00000000" w:rsidP="00000000" w:rsidRDefault="00000000" w:rsidRPr="00000000" w14:paraId="00000162">
            <w:pPr>
              <w:spacing w:line="240" w:lineRule="auto"/>
              <w:rPr>
                <w:color w:val="002060"/>
              </w:rPr>
            </w:pPr>
            <w:r w:rsidDel="00000000" w:rsidR="00000000" w:rsidRPr="00000000">
              <w:rPr>
                <w:color w:val="002060"/>
                <w:rtl w:val="0"/>
              </w:rPr>
              <w:t xml:space="preserve">TRC Companies</w:t>
            </w:r>
          </w:p>
        </w:tc>
        <w:tc>
          <w:tcPr>
            <w:shd w:fill="auto" w:val="clear"/>
            <w:vAlign w:val="bottom"/>
          </w:tcPr>
          <w:p w:rsidR="00000000" w:rsidDel="00000000" w:rsidP="00000000" w:rsidRDefault="00000000" w:rsidRPr="00000000" w14:paraId="00000163">
            <w:pPr>
              <w:spacing w:line="240" w:lineRule="auto"/>
              <w:rPr>
                <w:color w:val="002060"/>
              </w:rPr>
            </w:pPr>
            <w:r w:rsidDel="00000000" w:rsidR="00000000" w:rsidRPr="00000000">
              <w:rPr>
                <w:color w:val="002060"/>
                <w:rtl w:val="0"/>
              </w:rPr>
              <w:t xml:space="preserve">David Paton</w:t>
            </w:r>
          </w:p>
        </w:tc>
      </w:tr>
      <w:tr>
        <w:trPr>
          <w:cantSplit w:val="0"/>
          <w:trHeight w:val="320" w:hRule="atLeast"/>
          <w:tblHeader w:val="1"/>
        </w:trPr>
        <w:tc>
          <w:tcPr>
            <w:shd w:fill="auto" w:val="clear"/>
            <w:vAlign w:val="bottom"/>
          </w:tcPr>
          <w:p w:rsidR="00000000" w:rsidDel="00000000" w:rsidP="00000000" w:rsidRDefault="00000000" w:rsidRPr="00000000" w14:paraId="00000164">
            <w:pPr>
              <w:spacing w:line="240" w:lineRule="auto"/>
              <w:rPr>
                <w:color w:val="002060"/>
              </w:rPr>
            </w:pPr>
            <w:r w:rsidDel="00000000" w:rsidR="00000000" w:rsidRPr="00000000">
              <w:rPr>
                <w:color w:val="002060"/>
                <w:rtl w:val="0"/>
              </w:rPr>
              <w:t xml:space="preserve">US Credit Union</w:t>
            </w:r>
          </w:p>
        </w:tc>
        <w:tc>
          <w:tcPr>
            <w:shd w:fill="auto" w:val="clear"/>
            <w:vAlign w:val="bottom"/>
          </w:tcPr>
          <w:p w:rsidR="00000000" w:rsidDel="00000000" w:rsidP="00000000" w:rsidRDefault="00000000" w:rsidRPr="00000000" w14:paraId="00000165">
            <w:pPr>
              <w:spacing w:line="240" w:lineRule="auto"/>
              <w:rPr>
                <w:color w:val="002060"/>
              </w:rPr>
            </w:pPr>
            <w:r w:rsidDel="00000000" w:rsidR="00000000" w:rsidRPr="00000000">
              <w:rPr>
                <w:color w:val="002060"/>
                <w:rtl w:val="0"/>
              </w:rPr>
              <w:t xml:space="preserve">Jose Orozco Pelico</w:t>
            </w:r>
          </w:p>
        </w:tc>
      </w:tr>
      <w:tr>
        <w:trPr>
          <w:cantSplit w:val="0"/>
          <w:trHeight w:val="320" w:hRule="atLeast"/>
          <w:tblHeader w:val="1"/>
        </w:trPr>
        <w:tc>
          <w:tcPr>
            <w:shd w:fill="b4c6e7" w:val="clear"/>
            <w:vAlign w:val="bottom"/>
          </w:tcPr>
          <w:p w:rsidR="00000000" w:rsidDel="00000000" w:rsidP="00000000" w:rsidRDefault="00000000" w:rsidRPr="00000000" w14:paraId="00000166">
            <w:pPr>
              <w:spacing w:line="240" w:lineRule="auto"/>
              <w:rPr>
                <w:b w:val="1"/>
                <w:color w:val="002060"/>
              </w:rPr>
            </w:pPr>
            <w:r w:rsidDel="00000000" w:rsidR="00000000" w:rsidRPr="00000000">
              <w:rPr>
                <w:b w:val="1"/>
                <w:color w:val="002060"/>
                <w:rtl w:val="0"/>
              </w:rPr>
              <w:t xml:space="preserve">Facilitators</w:t>
            </w:r>
          </w:p>
        </w:tc>
        <w:tc>
          <w:tcPr>
            <w:shd w:fill="b4c6e7" w:val="clear"/>
            <w:vAlign w:val="bottom"/>
          </w:tcPr>
          <w:p w:rsidR="00000000" w:rsidDel="00000000" w:rsidP="00000000" w:rsidRDefault="00000000" w:rsidRPr="00000000" w14:paraId="00000167">
            <w:pPr>
              <w:spacing w:line="240" w:lineRule="auto"/>
              <w:rPr>
                <w:color w:val="002060"/>
              </w:rPr>
            </w:pPr>
            <w:r w:rsidDel="00000000" w:rsidR="00000000" w:rsidRPr="00000000">
              <w:rPr>
                <w:rtl w:val="0"/>
              </w:rPr>
            </w:r>
          </w:p>
        </w:tc>
      </w:tr>
      <w:tr>
        <w:trPr>
          <w:cantSplit w:val="0"/>
          <w:trHeight w:val="320" w:hRule="atLeast"/>
          <w:tblHeader w:val="1"/>
        </w:trPr>
        <w:tc>
          <w:tcPr>
            <w:shd w:fill="auto" w:val="clear"/>
            <w:vAlign w:val="bottom"/>
          </w:tcPr>
          <w:p w:rsidR="00000000" w:rsidDel="00000000" w:rsidP="00000000" w:rsidRDefault="00000000" w:rsidRPr="00000000" w14:paraId="00000168">
            <w:pPr>
              <w:spacing w:line="240" w:lineRule="auto"/>
              <w:rPr>
                <w:color w:val="002060"/>
              </w:rPr>
            </w:pPr>
            <w:r w:rsidDel="00000000" w:rsidR="00000000" w:rsidRPr="00000000">
              <w:rPr>
                <w:color w:val="002060"/>
                <w:rtl w:val="0"/>
              </w:rPr>
              <w:t xml:space="preserve">Birch Road Consulting</w:t>
            </w:r>
          </w:p>
        </w:tc>
        <w:tc>
          <w:tcPr>
            <w:shd w:fill="auto" w:val="clear"/>
            <w:vAlign w:val="bottom"/>
          </w:tcPr>
          <w:p w:rsidR="00000000" w:rsidDel="00000000" w:rsidP="00000000" w:rsidRDefault="00000000" w:rsidRPr="00000000" w14:paraId="00000169">
            <w:pPr>
              <w:spacing w:line="240" w:lineRule="auto"/>
              <w:rPr>
                <w:color w:val="002060"/>
              </w:rPr>
            </w:pPr>
            <w:r w:rsidDel="00000000" w:rsidR="00000000" w:rsidRPr="00000000">
              <w:rPr>
                <w:color w:val="002060"/>
                <w:rtl w:val="0"/>
              </w:rPr>
              <w:t xml:space="preserve">Katie Abrams</w:t>
            </w:r>
          </w:p>
        </w:tc>
      </w:tr>
      <w:tr>
        <w:trPr>
          <w:cantSplit w:val="0"/>
          <w:trHeight w:val="320" w:hRule="atLeast"/>
          <w:tblHeader w:val="1"/>
        </w:trPr>
        <w:tc>
          <w:tcPr>
            <w:shd w:fill="auto" w:val="clear"/>
            <w:vAlign w:val="bottom"/>
          </w:tcPr>
          <w:p w:rsidR="00000000" w:rsidDel="00000000" w:rsidP="00000000" w:rsidRDefault="00000000" w:rsidRPr="00000000" w14:paraId="0000016A">
            <w:pPr>
              <w:spacing w:line="240" w:lineRule="auto"/>
              <w:rPr>
                <w:color w:val="002060"/>
              </w:rPr>
            </w:pPr>
            <w:r w:rsidDel="00000000" w:rsidR="00000000" w:rsidRPr="00000000">
              <w:rPr>
                <w:color w:val="002060"/>
                <w:rtl w:val="0"/>
              </w:rPr>
              <w:t xml:space="preserve">Common Spark Consulting</w:t>
            </w:r>
          </w:p>
        </w:tc>
        <w:tc>
          <w:tcPr>
            <w:shd w:fill="auto" w:val="clear"/>
            <w:vAlign w:val="bottom"/>
          </w:tcPr>
          <w:p w:rsidR="00000000" w:rsidDel="00000000" w:rsidP="00000000" w:rsidRDefault="00000000" w:rsidRPr="00000000" w14:paraId="0000016B">
            <w:pPr>
              <w:spacing w:line="240" w:lineRule="auto"/>
              <w:rPr>
                <w:color w:val="002060"/>
              </w:rPr>
            </w:pPr>
            <w:r w:rsidDel="00000000" w:rsidR="00000000" w:rsidRPr="00000000">
              <w:rPr>
                <w:color w:val="002060"/>
                <w:rtl w:val="0"/>
              </w:rPr>
              <w:t xml:space="preserve">Michelle Vigen Ralston</w:t>
            </w:r>
          </w:p>
        </w:tc>
      </w:tr>
      <w:tr>
        <w:trPr>
          <w:cantSplit w:val="0"/>
          <w:trHeight w:val="320" w:hRule="atLeast"/>
          <w:tblHeader w:val="1"/>
        </w:trPr>
        <w:tc>
          <w:tcPr>
            <w:shd w:fill="auto" w:val="clear"/>
            <w:vAlign w:val="bottom"/>
          </w:tcPr>
          <w:p w:rsidR="00000000" w:rsidDel="00000000" w:rsidP="00000000" w:rsidRDefault="00000000" w:rsidRPr="00000000" w14:paraId="0000016C">
            <w:pPr>
              <w:spacing w:line="240" w:lineRule="auto"/>
              <w:rPr>
                <w:color w:val="002060"/>
              </w:rPr>
            </w:pPr>
            <w:r w:rsidDel="00000000" w:rsidR="00000000" w:rsidRPr="00000000">
              <w:rPr>
                <w:color w:val="002060"/>
                <w:rtl w:val="0"/>
              </w:rPr>
              <w:t xml:space="preserve">Common Spark Consulting</w:t>
            </w:r>
          </w:p>
        </w:tc>
        <w:tc>
          <w:tcPr>
            <w:shd w:fill="auto" w:val="clear"/>
            <w:vAlign w:val="bottom"/>
          </w:tcPr>
          <w:p w:rsidR="00000000" w:rsidDel="00000000" w:rsidP="00000000" w:rsidRDefault="00000000" w:rsidRPr="00000000" w14:paraId="0000016D">
            <w:pPr>
              <w:spacing w:line="240" w:lineRule="auto"/>
              <w:rPr>
                <w:color w:val="002060"/>
              </w:rPr>
            </w:pPr>
            <w:r w:rsidDel="00000000" w:rsidR="00000000" w:rsidRPr="00000000">
              <w:rPr>
                <w:color w:val="002060"/>
                <w:rtl w:val="0"/>
              </w:rPr>
              <w:t xml:space="preserve">Suhaila Sikand</w:t>
            </w:r>
          </w:p>
        </w:tc>
      </w:tr>
      <w:tr>
        <w:trPr>
          <w:cantSplit w:val="0"/>
          <w:trHeight w:val="320" w:hRule="atLeast"/>
          <w:tblHeader w:val="1"/>
        </w:trPr>
        <w:tc>
          <w:tcPr>
            <w:shd w:fill="auto" w:val="clear"/>
            <w:vAlign w:val="bottom"/>
          </w:tcPr>
          <w:p w:rsidR="00000000" w:rsidDel="00000000" w:rsidP="00000000" w:rsidRDefault="00000000" w:rsidRPr="00000000" w14:paraId="0000016E">
            <w:pPr>
              <w:spacing w:line="240" w:lineRule="auto"/>
              <w:rPr>
                <w:color w:val="002060"/>
              </w:rPr>
            </w:pPr>
            <w:r w:rsidDel="00000000" w:rsidR="00000000" w:rsidRPr="00000000">
              <w:rPr>
                <w:color w:val="002060"/>
                <w:rtl w:val="0"/>
              </w:rPr>
              <w:t xml:space="preserve">Raab Associates</w:t>
            </w:r>
          </w:p>
        </w:tc>
        <w:tc>
          <w:tcPr>
            <w:shd w:fill="auto" w:val="clear"/>
            <w:vAlign w:val="bottom"/>
          </w:tcPr>
          <w:p w:rsidR="00000000" w:rsidDel="00000000" w:rsidP="00000000" w:rsidRDefault="00000000" w:rsidRPr="00000000" w14:paraId="0000016F">
            <w:pPr>
              <w:spacing w:line="240" w:lineRule="auto"/>
              <w:rPr>
                <w:color w:val="002060"/>
              </w:rPr>
            </w:pPr>
            <w:r w:rsidDel="00000000" w:rsidR="00000000" w:rsidRPr="00000000">
              <w:rPr>
                <w:color w:val="002060"/>
                <w:rtl w:val="0"/>
              </w:rPr>
              <w:t xml:space="preserve">Susan Rivo</w:t>
            </w:r>
          </w:p>
        </w:tc>
      </w:tr>
    </w:tbl>
    <w:p w:rsidR="00000000" w:rsidDel="00000000" w:rsidP="00000000" w:rsidRDefault="00000000" w:rsidRPr="00000000" w14:paraId="00000170">
      <w:pPr>
        <w:pStyle w:val="Heading1"/>
        <w:spacing w:after="0" w:before="360" w:line="240" w:lineRule="auto"/>
        <w:rPr>
          <w:color w:val="134f5c"/>
        </w:rPr>
      </w:pPr>
      <w:bookmarkStart w:colFirst="0" w:colLast="0" w:name="_5tsb71sgn1pl" w:id="23"/>
      <w:bookmarkEnd w:id="23"/>
      <w:r w:rsidDel="00000000" w:rsidR="00000000" w:rsidRPr="00000000">
        <w:br w:type="page"/>
      </w:r>
      <w:r w:rsidDel="00000000" w:rsidR="00000000" w:rsidRPr="00000000">
        <w:rPr>
          <w:rtl w:val="0"/>
        </w:rPr>
      </w:r>
    </w:p>
    <w:p w:rsidR="00000000" w:rsidDel="00000000" w:rsidP="00000000" w:rsidRDefault="00000000" w:rsidRPr="00000000" w14:paraId="00000171">
      <w:pPr>
        <w:pStyle w:val="Heading1"/>
        <w:spacing w:after="0" w:before="360" w:line="240" w:lineRule="auto"/>
        <w:rPr>
          <w:b w:val="1"/>
          <w:color w:val="134f5c"/>
          <w:sz w:val="32"/>
          <w:szCs w:val="32"/>
        </w:rPr>
      </w:pPr>
      <w:bookmarkStart w:colFirst="0" w:colLast="0" w:name="_3whwml4" w:id="24"/>
      <w:bookmarkEnd w:id="24"/>
      <w:r w:rsidDel="00000000" w:rsidR="00000000" w:rsidRPr="00000000">
        <w:rPr>
          <w:b w:val="1"/>
          <w:color w:val="134f5c"/>
          <w:sz w:val="32"/>
          <w:szCs w:val="32"/>
          <w:rtl w:val="0"/>
        </w:rPr>
        <w:t xml:space="preserve">Appendix B</w:t>
      </w:r>
    </w:p>
    <w:p w:rsidR="00000000" w:rsidDel="00000000" w:rsidP="00000000" w:rsidRDefault="00000000" w:rsidRPr="00000000" w14:paraId="00000172">
      <w:pPr>
        <w:pStyle w:val="Heading2"/>
        <w:rPr/>
      </w:pPr>
      <w:bookmarkStart w:colFirst="0" w:colLast="0" w:name="_spnwd1mc1cdl" w:id="25"/>
      <w:bookmarkEnd w:id="25"/>
      <w:r w:rsidDel="00000000" w:rsidR="00000000" w:rsidRPr="00000000">
        <w:rPr>
          <w:rtl w:val="0"/>
        </w:rPr>
        <w:t xml:space="preserve">Energy Division </w:t>
      </w:r>
      <w:r w:rsidDel="00000000" w:rsidR="00000000" w:rsidRPr="00000000">
        <w:rPr>
          <w:rtl w:val="0"/>
        </w:rPr>
        <w:t xml:space="preserve">Performance Overview Presentation</w:t>
      </w:r>
      <w:r w:rsidDel="00000000" w:rsidR="00000000" w:rsidRPr="00000000">
        <w:rPr>
          <w:rtl w:val="0"/>
        </w:rPr>
      </w:r>
    </w:p>
    <w:p w:rsidR="00000000" w:rsidDel="00000000" w:rsidP="00000000" w:rsidRDefault="00000000" w:rsidRPr="00000000" w14:paraId="00000173">
      <w:pPr>
        <w:numPr>
          <w:ilvl w:val="0"/>
          <w:numId w:val="3"/>
        </w:numPr>
        <w:ind w:left="720" w:hanging="360"/>
      </w:pPr>
      <w:r w:rsidDel="00000000" w:rsidR="00000000" w:rsidRPr="00000000">
        <w:rPr>
          <w:b w:val="1"/>
          <w:rtl w:val="0"/>
        </w:rPr>
        <w:t xml:space="preserve">Stacie Risley (SDG&amp;E)</w:t>
      </w:r>
      <w:r w:rsidDel="00000000" w:rsidR="00000000" w:rsidRPr="00000000">
        <w:rPr>
          <w:rtl w:val="0"/>
        </w:rPr>
        <w:t xml:space="preserve">: Is there a breakdown of segment spend across the state without regard for PA status?</w:t>
      </w:r>
    </w:p>
    <w:p w:rsidR="00000000" w:rsidDel="00000000" w:rsidP="00000000" w:rsidRDefault="00000000" w:rsidRPr="00000000" w14:paraId="00000174">
      <w:pPr>
        <w:numPr>
          <w:ilvl w:val="1"/>
          <w:numId w:val="3"/>
        </w:numPr>
        <w:ind w:left="1440" w:hanging="360"/>
      </w:pPr>
      <w:r w:rsidDel="00000000" w:rsidR="00000000" w:rsidRPr="00000000">
        <w:rPr>
          <w:b w:val="1"/>
          <w:rtl w:val="0"/>
        </w:rPr>
        <w:t xml:space="preserve">Energy Division Response:</w:t>
      </w:r>
      <w:r w:rsidDel="00000000" w:rsidR="00000000" w:rsidRPr="00000000">
        <w:rPr>
          <w:rtl w:val="0"/>
        </w:rPr>
        <w:t xml:space="preserve"> See this table in CEDARs (and make sure 2024 is selected). This shows spend by segment, as well as by PA. </w:t>
      </w:r>
      <w:hyperlink r:id="rId16">
        <w:r w:rsidDel="00000000" w:rsidR="00000000" w:rsidRPr="00000000">
          <w:rPr>
            <w:color w:val="1155cc"/>
            <w:u w:val="single"/>
            <w:rtl w:val="0"/>
          </w:rPr>
          <w:t xml:space="preserve">https://cedars.cpuc.ca.gov/claims/all-confirmed-dashboard/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5">
      <w:pPr>
        <w:pStyle w:val="Heading2"/>
        <w:keepNext w:val="0"/>
        <w:keepLines w:val="0"/>
        <w:spacing w:before="200" w:line="240" w:lineRule="auto"/>
        <w:rPr>
          <w:i w:val="1"/>
          <w:color w:val="2a2a2a"/>
          <w:sz w:val="28"/>
          <w:szCs w:val="28"/>
        </w:rPr>
      </w:pPr>
      <w:bookmarkStart w:colFirst="0" w:colLast="0" w:name="_85j6eu1kxb0l" w:id="26"/>
      <w:bookmarkEnd w:id="26"/>
      <w:r w:rsidDel="00000000" w:rsidR="00000000" w:rsidRPr="00000000">
        <w:rPr>
          <w:color w:val="2a2a2a"/>
          <w:sz w:val="28"/>
          <w:szCs w:val="28"/>
          <w:rtl w:val="0"/>
        </w:rPr>
        <w:t xml:space="preserve">3C-REN Q&amp;A and </w:t>
      </w:r>
      <w:r w:rsidDel="00000000" w:rsidR="00000000" w:rsidRPr="00000000">
        <w:rPr>
          <w:i w:val="1"/>
          <w:color w:val="2a2a2a"/>
          <w:sz w:val="28"/>
          <w:szCs w:val="28"/>
          <w:rtl w:val="0"/>
        </w:rPr>
        <w:t xml:space="preserve">Input</w:t>
      </w:r>
    </w:p>
    <w:p w:rsidR="00000000" w:rsidDel="00000000" w:rsidP="00000000" w:rsidRDefault="00000000" w:rsidRPr="00000000" w14:paraId="00000176">
      <w:pPr>
        <w:numPr>
          <w:ilvl w:val="0"/>
          <w:numId w:val="22"/>
        </w:numPr>
        <w:ind w:left="720" w:hanging="360"/>
        <w:rPr>
          <w:b w:val="0"/>
          <w:color w:val="000000"/>
          <w:sz w:val="24"/>
          <w:szCs w:val="24"/>
        </w:rPr>
      </w:pPr>
      <w:r w:rsidDel="00000000" w:rsidR="00000000" w:rsidRPr="00000000">
        <w:rPr>
          <w:b w:val="1"/>
          <w:rtl w:val="0"/>
        </w:rPr>
        <w:t xml:space="preserve">Coby Rudolph (CPUC)</w:t>
      </w:r>
      <w:r w:rsidDel="00000000" w:rsidR="00000000" w:rsidRPr="00000000">
        <w:rPr>
          <w:rtl w:val="0"/>
        </w:rPr>
        <w:t xml:space="preserve">: 3C-REN showed the TSB trajectory from 2023 to 2024 and the cost effectiveness numbers even though it’s not a compliance requirement for RENs. Where is the trajectory headed and what should we expect for 2025 numbers in those program costs compared to TSB achieved for the residential program?</w:t>
      </w:r>
      <w:r w:rsidDel="00000000" w:rsidR="00000000" w:rsidRPr="00000000">
        <w:rPr>
          <w:rtl w:val="0"/>
        </w:rPr>
      </w:r>
    </w:p>
    <w:p w:rsidR="00000000" w:rsidDel="00000000" w:rsidP="00000000" w:rsidRDefault="00000000" w:rsidRPr="00000000" w14:paraId="00000177">
      <w:pPr>
        <w:numPr>
          <w:ilvl w:val="1"/>
          <w:numId w:val="22"/>
        </w:numPr>
        <w:ind w:left="1440" w:hanging="360"/>
        <w:rPr>
          <w:b w:val="0"/>
          <w:color w:val="000000"/>
          <w:sz w:val="24"/>
          <w:szCs w:val="24"/>
        </w:rPr>
      </w:pPr>
      <w:r w:rsidDel="00000000" w:rsidR="00000000" w:rsidRPr="00000000">
        <w:rPr>
          <w:b w:val="1"/>
          <w:rtl w:val="0"/>
        </w:rPr>
        <w:t xml:space="preserve">3C-REN Response</w:t>
      </w:r>
      <w:r w:rsidDel="00000000" w:rsidR="00000000" w:rsidRPr="00000000">
        <w:rPr>
          <w:rtl w:val="0"/>
        </w:rPr>
        <w:t xml:space="preserve">: </w:t>
      </w:r>
      <w:r w:rsidDel="00000000" w:rsidR="00000000" w:rsidRPr="00000000">
        <w:rPr>
          <w:rtl w:val="0"/>
        </w:rPr>
        <w:t xml:space="preserve">When looking at total cost compared to TSB, the biggest change will be TSB gains from the commercial sector. In 2024 there were program start-up costs, but no projects completed. In 2025, the incentive budget is already fully reserved, and projects are beginning to be installed. We expect to see a better balance between total program costs and TSB in 2025. In 2025, we are also seeing a drastic increase in HTR projects for single family homes. These projects are more expensive, but thanks to a large number of heat pump water heaters, TSB remains strong.  </w:t>
      </w:r>
    </w:p>
    <w:p w:rsidR="00000000" w:rsidDel="00000000" w:rsidP="00000000" w:rsidRDefault="00000000" w:rsidRPr="00000000" w14:paraId="00000178">
      <w:pPr>
        <w:numPr>
          <w:ilvl w:val="0"/>
          <w:numId w:val="17"/>
        </w:numPr>
        <w:pBdr>
          <w:top w:color="auto" w:space="0" w:sz="0" w:val="none"/>
          <w:bottom w:color="auto" w:space="0" w:sz="0" w:val="none"/>
          <w:right w:color="auto" w:space="0" w:sz="0" w:val="none"/>
          <w:between w:color="auto" w:space="0" w:sz="0" w:val="none"/>
        </w:pBdr>
        <w:ind w:left="1800" w:hanging="360"/>
        <w:rPr>
          <w:rFonts w:ascii="Roboto" w:cs="Roboto" w:eastAsia="Roboto" w:hAnsi="Roboto"/>
        </w:rPr>
      </w:pPr>
      <w:r w:rsidDel="00000000" w:rsidR="00000000" w:rsidRPr="00000000">
        <w:rPr>
          <w:rtl w:val="0"/>
        </w:rPr>
        <w:t xml:space="preserve">The single- and multi-family programs are still relatively young, with both programs having their first full years of data in 2023. The trends we have seen are:  </w:t>
      </w:r>
    </w:p>
    <w:p w:rsidR="00000000" w:rsidDel="00000000" w:rsidP="00000000" w:rsidRDefault="00000000" w:rsidRPr="00000000" w14:paraId="00000179">
      <w:pPr>
        <w:numPr>
          <w:ilvl w:val="0"/>
          <w:numId w:val="6"/>
        </w:numPr>
        <w:pBdr>
          <w:top w:color="auto" w:space="0" w:sz="0" w:val="none"/>
          <w:bottom w:color="auto" w:space="0" w:sz="0" w:val="none"/>
          <w:right w:color="auto" w:space="0" w:sz="0" w:val="none"/>
          <w:between w:color="auto" w:space="0" w:sz="0" w:val="none"/>
        </w:pBdr>
        <w:ind w:left="2520" w:hanging="360"/>
        <w:rPr>
          <w:rFonts w:ascii="Roboto" w:cs="Roboto" w:eastAsia="Roboto" w:hAnsi="Roboto"/>
          <w:sz w:val="24"/>
          <w:szCs w:val="24"/>
        </w:rPr>
      </w:pPr>
      <w:r w:rsidDel="00000000" w:rsidR="00000000" w:rsidRPr="00000000">
        <w:rPr>
          <w:rtl w:val="0"/>
        </w:rPr>
        <w:t xml:space="preserve">Single-Family: TSB has grown each year: $319,165 (2023), $640,741 (2024) and $790,221.50 (2025, estimated). We saw a drastic increase in HTR projects in 2025 thanks to budget allocations. This resulted in a fewer number of projects than in 2024 since these projects are more expensive, but TSB did not suffer as 97% of 2025 projects are electrification, continuing the upward trend in the share of electrification projects from 2024. </w:t>
      </w:r>
    </w:p>
    <w:p w:rsidR="00000000" w:rsidDel="00000000" w:rsidP="00000000" w:rsidRDefault="00000000" w:rsidRPr="00000000" w14:paraId="0000017A">
      <w:pPr>
        <w:numPr>
          <w:ilvl w:val="0"/>
          <w:numId w:val="14"/>
        </w:numPr>
        <w:pBdr>
          <w:top w:color="auto" w:space="0" w:sz="0" w:val="none"/>
          <w:bottom w:color="auto" w:space="0" w:sz="0" w:val="none"/>
          <w:right w:color="auto" w:space="0" w:sz="0" w:val="none"/>
          <w:between w:color="auto" w:space="0" w:sz="0" w:val="none"/>
        </w:pBdr>
        <w:ind w:left="2520" w:hanging="360"/>
        <w:rPr>
          <w:rFonts w:ascii="Roboto" w:cs="Roboto" w:eastAsia="Roboto" w:hAnsi="Roboto"/>
          <w:sz w:val="24"/>
          <w:szCs w:val="24"/>
        </w:rPr>
      </w:pPr>
      <w:r w:rsidDel="00000000" w:rsidR="00000000" w:rsidRPr="00000000">
        <w:rPr>
          <w:rtl w:val="0"/>
        </w:rPr>
        <w:t xml:space="preserve">Multifamily: TSB grew from $267,958 in 2023 to $802,768 in 2024. For 2025, 3C-REN’s True-Up Advice Letter forecast for Multifamily TSB was $687,321. 3C-REN’s Q1 2025 Multifamily claims included $241,842 in TSB. The Multifamily program has a healthy pipeline for 2025 and is aiming to exceed the TUAL forecast; however, it’s important to keep in mind the long timeline for these projects which can span program years depending on a wide variety of factors affecting multifamily property owners. We’re also doing an extensive outreach campaign to drive participation in our most rural county (San Luis Obispo) and are seeing positive results in recent weeks to fill the pipeline with future projects.  </w:t>
      </w:r>
    </w:p>
    <w:p w:rsidR="00000000" w:rsidDel="00000000" w:rsidP="00000000" w:rsidRDefault="00000000" w:rsidRPr="00000000" w14:paraId="0000017B">
      <w:pPr>
        <w:numPr>
          <w:ilvl w:val="0"/>
          <w:numId w:val="22"/>
        </w:numPr>
        <w:ind w:left="720" w:hanging="360"/>
        <w:rPr>
          <w:b w:val="0"/>
          <w:color w:val="000000"/>
          <w:sz w:val="24"/>
          <w:szCs w:val="24"/>
        </w:rPr>
      </w:pPr>
      <w:r w:rsidDel="00000000" w:rsidR="00000000" w:rsidRPr="00000000">
        <w:rPr>
          <w:b w:val="1"/>
          <w:rtl w:val="0"/>
        </w:rPr>
        <w:t xml:space="preserve">Ted Howard (SBUA)</w:t>
      </w:r>
      <w:r w:rsidDel="00000000" w:rsidR="00000000" w:rsidRPr="00000000">
        <w:rPr>
          <w:rtl w:val="0"/>
        </w:rPr>
        <w:t xml:space="preserve">: What are your plans for reaching HTR commercial customers?</w:t>
      </w:r>
    </w:p>
    <w:p w:rsidR="00000000" w:rsidDel="00000000" w:rsidP="00000000" w:rsidRDefault="00000000" w:rsidRPr="00000000" w14:paraId="0000017C">
      <w:pPr>
        <w:numPr>
          <w:ilvl w:val="1"/>
          <w:numId w:val="22"/>
        </w:numPr>
        <w:ind w:left="1440" w:hanging="360"/>
        <w:rPr>
          <w:b w:val="0"/>
          <w:color w:val="000000"/>
          <w:sz w:val="24"/>
          <w:szCs w:val="24"/>
        </w:rPr>
      </w:pPr>
      <w:r w:rsidDel="00000000" w:rsidR="00000000" w:rsidRPr="00000000">
        <w:rPr>
          <w:b w:val="1"/>
          <w:rtl w:val="0"/>
        </w:rPr>
        <w:t xml:space="preserve">3C-REN Response:</w:t>
      </w:r>
      <w:r w:rsidDel="00000000" w:rsidR="00000000" w:rsidRPr="00000000">
        <w:rPr>
          <w:rtl w:val="0"/>
        </w:rPr>
        <w:t xml:space="preserve"> 2024 was more of a ramp up period. </w:t>
      </w:r>
      <w:r w:rsidDel="00000000" w:rsidR="00000000" w:rsidRPr="00000000">
        <w:rPr>
          <w:rtl w:val="0"/>
        </w:rPr>
        <w:t xml:space="preserve">One challenge is that it takes savvy contractors to participate in the NMEC program and even more savvy to serve HTR customers. There are some contractors that go door to door to expand reach, and these contractors are reaching the target audience in 2025. In addition, 3C-REN wants to support smaller local contractors to participate in NMEC programs.</w:t>
      </w:r>
    </w:p>
    <w:p w:rsidR="00000000" w:rsidDel="00000000" w:rsidP="00000000" w:rsidRDefault="00000000" w:rsidRPr="00000000" w14:paraId="0000017D">
      <w:pPr>
        <w:numPr>
          <w:ilvl w:val="0"/>
          <w:numId w:val="22"/>
        </w:numPr>
        <w:ind w:left="720" w:hanging="360"/>
        <w:rPr>
          <w:b w:val="0"/>
          <w:color w:val="000000"/>
          <w:sz w:val="24"/>
          <w:szCs w:val="24"/>
        </w:rPr>
      </w:pPr>
      <w:r w:rsidDel="00000000" w:rsidR="00000000" w:rsidRPr="00000000">
        <w:rPr>
          <w:b w:val="1"/>
          <w:rtl w:val="0"/>
        </w:rPr>
        <w:t xml:space="preserve">Anonymous</w:t>
      </w:r>
      <w:r w:rsidDel="00000000" w:rsidR="00000000" w:rsidRPr="00000000">
        <w:rPr>
          <w:rtl w:val="0"/>
        </w:rPr>
        <w:t xml:space="preserve">: What barriers are preventing small contractors from participating in the residential NMEC, and what solutions are you considering?</w:t>
      </w:r>
    </w:p>
    <w:p w:rsidR="00000000" w:rsidDel="00000000" w:rsidP="00000000" w:rsidRDefault="00000000" w:rsidRPr="00000000" w14:paraId="0000017E">
      <w:pPr>
        <w:numPr>
          <w:ilvl w:val="1"/>
          <w:numId w:val="22"/>
        </w:numPr>
        <w:ind w:left="1440" w:hanging="360"/>
        <w:rPr>
          <w:u w:val="none"/>
        </w:rPr>
      </w:pPr>
      <w:r w:rsidDel="00000000" w:rsidR="00000000" w:rsidRPr="00000000">
        <w:rPr>
          <w:b w:val="1"/>
          <w:rtl w:val="0"/>
        </w:rPr>
        <w:t xml:space="preserve">3C-REN Response</w:t>
      </w:r>
      <w:r w:rsidDel="00000000" w:rsidR="00000000" w:rsidRPr="00000000">
        <w:rPr>
          <w:rtl w:val="0"/>
        </w:rPr>
        <w:t xml:space="preserve">: The barriers preventing small contractors from participating in the residential NMEC program are primarily due to the energy savings forecasting required to participate in the NMEC program, </w:t>
      </w:r>
      <w:r w:rsidDel="00000000" w:rsidR="00000000" w:rsidRPr="00000000">
        <w:rPr>
          <w:rtl w:val="0"/>
        </w:rPr>
        <w:t xml:space="preserve">the administrative burden of paperwork, and the ability to float incentive costs until reimbursements occur</w:t>
      </w:r>
      <w:r w:rsidDel="00000000" w:rsidR="00000000" w:rsidRPr="00000000">
        <w:rPr>
          <w:rtl w:val="0"/>
        </w:rPr>
        <w:t xml:space="preserve">. </w:t>
      </w:r>
      <w:r w:rsidDel="00000000" w:rsidR="00000000" w:rsidRPr="00000000">
        <w:rPr>
          <w:rtl w:val="0"/>
        </w:rPr>
        <w:t xml:space="preserve">In our residential NMEC program, </w:t>
      </w:r>
      <w:r w:rsidDel="00000000" w:rsidR="00000000" w:rsidRPr="00000000">
        <w:rPr>
          <w:rtl w:val="0"/>
        </w:rPr>
        <w:t xml:space="preserve">most contractors work with a partner like Sealed (who </w:t>
      </w:r>
      <w:r w:rsidDel="00000000" w:rsidR="00000000" w:rsidRPr="00000000">
        <w:rPr>
          <w:rtl w:val="0"/>
        </w:rPr>
        <w:t xml:space="preserve">helps</w:t>
      </w:r>
      <w:r w:rsidDel="00000000" w:rsidR="00000000" w:rsidRPr="00000000">
        <w:rPr>
          <w:rtl w:val="0"/>
        </w:rPr>
        <w:t xml:space="preserve"> address these challenges), but some opt not to because they take a percentage of the incentive. </w:t>
      </w:r>
      <w:r w:rsidDel="00000000" w:rsidR="00000000" w:rsidRPr="00000000">
        <w:rPr>
          <w:rtl w:val="0"/>
        </w:rPr>
        <w:t xml:space="preserve">We have yet to find a partner like this for the commercial sector.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F">
      <w:pPr>
        <w:numPr>
          <w:ilvl w:val="0"/>
          <w:numId w:val="22"/>
        </w:numPr>
        <w:ind w:left="720" w:hanging="360"/>
      </w:pPr>
      <w:r w:rsidDel="00000000" w:rsidR="00000000" w:rsidRPr="00000000">
        <w:rPr>
          <w:b w:val="1"/>
          <w:rtl w:val="0"/>
        </w:rPr>
        <w:t xml:space="preserve">Anonymous</w:t>
      </w:r>
      <w:r w:rsidDel="00000000" w:rsidR="00000000" w:rsidRPr="00000000">
        <w:rPr>
          <w:rtl w:val="0"/>
        </w:rPr>
        <w:t xml:space="preserve">: What approach allowed you to achieve relatively high realization rates for electricity, natural gas, and TSB? What caused the difference between realization rates for electricity vs gas?</w:t>
      </w:r>
    </w:p>
    <w:p w:rsidR="00000000" w:rsidDel="00000000" w:rsidP="00000000" w:rsidRDefault="00000000" w:rsidRPr="00000000" w14:paraId="00000180">
      <w:pPr>
        <w:numPr>
          <w:ilvl w:val="1"/>
          <w:numId w:val="22"/>
        </w:numPr>
        <w:ind w:left="1440" w:hanging="360"/>
        <w:rPr>
          <w:b w:val="0"/>
          <w:color w:val="000000"/>
          <w:sz w:val="24"/>
          <w:szCs w:val="24"/>
        </w:rPr>
      </w:pPr>
      <w:r w:rsidDel="00000000" w:rsidR="00000000" w:rsidRPr="00000000">
        <w:rPr>
          <w:b w:val="1"/>
          <w:rtl w:val="0"/>
        </w:rPr>
        <w:t xml:space="preserve">3C-REN Response:</w:t>
      </w:r>
      <w:r w:rsidDel="00000000" w:rsidR="00000000" w:rsidRPr="00000000">
        <w:rPr>
          <w:rtl w:val="0"/>
        </w:rPr>
        <w:t xml:space="preserve"> </w:t>
      </w:r>
      <w:r w:rsidDel="00000000" w:rsidR="00000000" w:rsidRPr="00000000">
        <w:rPr>
          <w:highlight w:val="white"/>
          <w:rtl w:val="0"/>
        </w:rPr>
        <w:t xml:space="preserve">Working with contractors to ensure they were accurately forecasting energy savings. The difference between electric and gas realization rates is largely due to having greater than forecasted participants choosing to implement electrification measures. This fuel substitution and shift in measure mix can be seen through our top measure being HPWHs.  </w:t>
      </w:r>
      <w:r w:rsidDel="00000000" w:rsidR="00000000" w:rsidRPr="00000000">
        <w:rPr>
          <w:rtl w:val="0"/>
        </w:rPr>
      </w:r>
    </w:p>
    <w:p w:rsidR="00000000" w:rsidDel="00000000" w:rsidP="00000000" w:rsidRDefault="00000000" w:rsidRPr="00000000" w14:paraId="00000181">
      <w:pPr>
        <w:numPr>
          <w:ilvl w:val="0"/>
          <w:numId w:val="22"/>
        </w:numPr>
        <w:ind w:left="720" w:hanging="360"/>
        <w:rPr>
          <w:b w:val="0"/>
          <w:color w:val="000000"/>
          <w:sz w:val="24"/>
          <w:szCs w:val="24"/>
        </w:rPr>
      </w:pPr>
      <w:r w:rsidDel="00000000" w:rsidR="00000000" w:rsidRPr="00000000">
        <w:rPr>
          <w:b w:val="1"/>
          <w:rtl w:val="0"/>
        </w:rPr>
        <w:t xml:space="preserve">Anonymous</w:t>
      </w:r>
      <w:r w:rsidDel="00000000" w:rsidR="00000000" w:rsidRPr="00000000">
        <w:rPr>
          <w:rtl w:val="0"/>
        </w:rPr>
        <w:t xml:space="preserve">: Can you speak about the connection between the workforce trainings that you offer and the EE installations that your programs have provided? In other words, do you know if the trainings directly lead to installations?</w:t>
      </w:r>
    </w:p>
    <w:p w:rsidR="00000000" w:rsidDel="00000000" w:rsidP="00000000" w:rsidRDefault="00000000" w:rsidRPr="00000000" w14:paraId="00000182">
      <w:pPr>
        <w:numPr>
          <w:ilvl w:val="1"/>
          <w:numId w:val="22"/>
        </w:numPr>
        <w:ind w:left="1440" w:hanging="360"/>
        <w:rPr>
          <w:u w:val="none"/>
        </w:rPr>
      </w:pPr>
      <w:r w:rsidDel="00000000" w:rsidR="00000000" w:rsidRPr="00000000">
        <w:rPr>
          <w:b w:val="1"/>
          <w:rtl w:val="0"/>
        </w:rPr>
        <w:t xml:space="preserve">3C-REN Response: </w:t>
      </w:r>
      <w:r w:rsidDel="00000000" w:rsidR="00000000" w:rsidRPr="00000000">
        <w:rPr>
          <w:highlight w:val="white"/>
          <w:rtl w:val="0"/>
        </w:rPr>
        <w:t xml:space="preserve">3C-REN does not require training participants to report on installations after attending training. Installations are supported by training, especially for contractors who are enrolled in 3C-REN's incentive programs and who also attend WE&amp;T training. For HVAC contractors, we know heat pumps are becoming the norm, so the intention of our training with an HVAC focus is to improve the quality of installations. For HPWH, this market is still largely driven by incentives. Just a few years ago there were residents in our region looking to install HPWHs, but no contractors with experience. 3C-REN has helped address this gap through both its incentive programs, as well as training efforts. One such initiative is a partnership with SunWork, a non-profit contractor. Local tri-county contractors attend a hands-on, in-person HPWH installation with SunWork at a real home, getting trained in the process of the live install.</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183">
      <w:pPr>
        <w:pStyle w:val="Heading2"/>
        <w:keepNext w:val="0"/>
        <w:keepLines w:val="0"/>
        <w:spacing w:before="200" w:line="240" w:lineRule="auto"/>
        <w:rPr>
          <w:i w:val="1"/>
          <w:color w:val="2a2a2a"/>
          <w:sz w:val="28"/>
          <w:szCs w:val="28"/>
        </w:rPr>
      </w:pPr>
      <w:bookmarkStart w:colFirst="0" w:colLast="0" w:name="_i0lr3f7oy2ks" w:id="27"/>
      <w:bookmarkEnd w:id="27"/>
      <w:r w:rsidDel="00000000" w:rsidR="00000000" w:rsidRPr="00000000">
        <w:rPr>
          <w:color w:val="2a2a2a"/>
          <w:sz w:val="28"/>
          <w:szCs w:val="28"/>
          <w:rtl w:val="0"/>
        </w:rPr>
        <w:t xml:space="preserve">SCE Q&amp;A and </w:t>
      </w:r>
      <w:r w:rsidDel="00000000" w:rsidR="00000000" w:rsidRPr="00000000">
        <w:rPr>
          <w:i w:val="1"/>
          <w:color w:val="2a2a2a"/>
          <w:sz w:val="28"/>
          <w:szCs w:val="28"/>
          <w:rtl w:val="0"/>
        </w:rPr>
        <w:t xml:space="preserve">Input</w:t>
      </w:r>
    </w:p>
    <w:p w:rsidR="00000000" w:rsidDel="00000000" w:rsidP="00000000" w:rsidRDefault="00000000" w:rsidRPr="00000000" w14:paraId="00000184">
      <w:pPr>
        <w:numPr>
          <w:ilvl w:val="0"/>
          <w:numId w:val="7"/>
        </w:numPr>
        <w:ind w:left="720" w:hanging="360"/>
        <w:rPr>
          <w:b w:val="0"/>
          <w:color w:val="000000"/>
          <w:sz w:val="24"/>
          <w:szCs w:val="24"/>
        </w:rPr>
      </w:pPr>
      <w:r w:rsidDel="00000000" w:rsidR="00000000" w:rsidRPr="00000000">
        <w:rPr>
          <w:b w:val="1"/>
          <w:rtl w:val="0"/>
        </w:rPr>
        <w:t xml:space="preserve">Stacie Risley (SDG&amp;E)</w:t>
      </w:r>
      <w:r w:rsidDel="00000000" w:rsidR="00000000" w:rsidRPr="00000000">
        <w:rPr>
          <w:rtl w:val="0"/>
        </w:rPr>
        <w:t xml:space="preserve">: Can you give more detail on the cause of the program closures?</w:t>
      </w:r>
    </w:p>
    <w:p w:rsidR="00000000" w:rsidDel="00000000" w:rsidP="00000000" w:rsidRDefault="00000000" w:rsidRPr="00000000" w14:paraId="00000185">
      <w:pPr>
        <w:numPr>
          <w:ilvl w:val="1"/>
          <w:numId w:val="7"/>
        </w:numPr>
        <w:ind w:left="1440" w:hanging="360"/>
        <w:rPr>
          <w:b w:val="0"/>
          <w:color w:val="000000"/>
          <w:sz w:val="24"/>
          <w:szCs w:val="24"/>
        </w:rPr>
      </w:pPr>
      <w:r w:rsidDel="00000000" w:rsidR="00000000" w:rsidRPr="00000000">
        <w:rPr>
          <w:b w:val="1"/>
          <w:rtl w:val="0"/>
        </w:rPr>
        <w:t xml:space="preserve">SCE Response:</w:t>
      </w:r>
      <w:r w:rsidDel="00000000" w:rsidR="00000000" w:rsidRPr="00000000">
        <w:rPr>
          <w:rtl w:val="0"/>
        </w:rPr>
        <w:t xml:space="preserve"> </w:t>
      </w:r>
      <w:r w:rsidDel="00000000" w:rsidR="00000000" w:rsidRPr="00000000">
        <w:rPr>
          <w:rtl w:val="0"/>
        </w:rPr>
        <w:t xml:space="preserve">SCE and the implementer mutually agreed to close </w:t>
      </w:r>
      <w:r w:rsidDel="00000000" w:rsidR="00000000" w:rsidRPr="00000000">
        <w:rPr>
          <w:rtl w:val="0"/>
        </w:rPr>
        <w:t xml:space="preserve">both the </w:t>
      </w:r>
      <w:r w:rsidDel="00000000" w:rsidR="00000000" w:rsidRPr="00000000">
        <w:rPr>
          <w:rtl w:val="0"/>
        </w:rPr>
        <w:t xml:space="preserve">Comprehensive Industrial Program and the Comprehensive Multifamily Program) </w:t>
      </w:r>
      <w:r w:rsidDel="00000000" w:rsidR="00000000" w:rsidRPr="00000000">
        <w:rPr>
          <w:rtl w:val="0"/>
        </w:rPr>
        <w:t xml:space="preserve">due to cost effectiveness and external factors </w:t>
      </w:r>
      <w:r w:rsidDel="00000000" w:rsidR="00000000" w:rsidRPr="00000000">
        <w:rPr>
          <w:rtl w:val="0"/>
        </w:rPr>
        <w:t xml:space="preserve">such as </w:t>
      </w:r>
      <w:r w:rsidDel="00000000" w:rsidR="00000000" w:rsidRPr="00000000">
        <w:rPr>
          <w:rtl w:val="0"/>
        </w:rPr>
        <w:t xml:space="preserve">EE markets, lingering effects of COVID-19, inflationary pressure, changes in measure eligibility, and incentive competition that was difficult to overcome.</w:t>
      </w:r>
      <w:r w:rsidDel="00000000" w:rsidR="00000000" w:rsidRPr="00000000">
        <w:rPr>
          <w:rtl w:val="0"/>
        </w:rPr>
      </w:r>
    </w:p>
    <w:p w:rsidR="00000000" w:rsidDel="00000000" w:rsidP="00000000" w:rsidRDefault="00000000" w:rsidRPr="00000000" w14:paraId="00000186">
      <w:pPr>
        <w:numPr>
          <w:ilvl w:val="0"/>
          <w:numId w:val="7"/>
        </w:numPr>
        <w:ind w:left="720" w:hanging="360"/>
        <w:rPr>
          <w:b w:val="0"/>
          <w:color w:val="000000"/>
          <w:sz w:val="24"/>
          <w:szCs w:val="24"/>
        </w:rPr>
      </w:pPr>
      <w:r w:rsidDel="00000000" w:rsidR="00000000" w:rsidRPr="00000000">
        <w:rPr>
          <w:b w:val="1"/>
          <w:rtl w:val="0"/>
        </w:rPr>
        <w:t xml:space="preserve">Ely Jacobsohn (CPUC)</w:t>
      </w:r>
      <w:r w:rsidDel="00000000" w:rsidR="00000000" w:rsidRPr="00000000">
        <w:rPr>
          <w:rtl w:val="0"/>
        </w:rPr>
        <w:t xml:space="preserve">: What types of solutions is SCE offering to non-equity residential customers? What is the magnitude of the number of customers participating? To what extent are they achieving ratepayers meaningful savings on their utility bills?</w:t>
      </w:r>
    </w:p>
    <w:p w:rsidR="00000000" w:rsidDel="00000000" w:rsidP="00000000" w:rsidRDefault="00000000" w:rsidRPr="00000000" w14:paraId="00000187">
      <w:pPr>
        <w:numPr>
          <w:ilvl w:val="1"/>
          <w:numId w:val="7"/>
        </w:numPr>
        <w:ind w:left="1440" w:hanging="360"/>
        <w:rPr>
          <w:b w:val="0"/>
          <w:color w:val="000000"/>
          <w:sz w:val="24"/>
          <w:szCs w:val="24"/>
        </w:rPr>
      </w:pPr>
      <w:r w:rsidDel="00000000" w:rsidR="00000000" w:rsidRPr="00000000">
        <w:rPr>
          <w:b w:val="1"/>
          <w:rtl w:val="0"/>
        </w:rPr>
        <w:t xml:space="preserve">SCE Response</w:t>
      </w:r>
      <w:r w:rsidDel="00000000" w:rsidR="00000000" w:rsidRPr="00000000">
        <w:rPr>
          <w:rtl w:val="0"/>
        </w:rPr>
        <w:t xml:space="preserve">: </w:t>
      </w:r>
      <w:r w:rsidDel="00000000" w:rsidR="00000000" w:rsidRPr="00000000">
        <w:rPr>
          <w:rtl w:val="0"/>
        </w:rPr>
        <w:t xml:space="preserve">SCE has a number of solutions </w:t>
      </w:r>
      <w:r w:rsidDel="00000000" w:rsidR="00000000" w:rsidRPr="00000000">
        <w:rPr>
          <w:rtl w:val="0"/>
        </w:rPr>
        <w:t xml:space="preserve">that support </w:t>
      </w:r>
      <w:r w:rsidDel="00000000" w:rsidR="00000000" w:rsidRPr="00000000">
        <w:rPr>
          <w:rtl w:val="0"/>
        </w:rPr>
        <w:t xml:space="preserve">non-equity </w:t>
      </w:r>
      <w:r w:rsidDel="00000000" w:rsidR="00000000" w:rsidRPr="00000000">
        <w:rPr>
          <w:rtl w:val="0"/>
        </w:rPr>
        <w:t xml:space="preserve">residential </w:t>
      </w:r>
      <w:r w:rsidDel="00000000" w:rsidR="00000000" w:rsidRPr="00000000">
        <w:rPr>
          <w:rtl w:val="0"/>
        </w:rPr>
        <w:t xml:space="preserve">customers</w:t>
      </w:r>
      <w:r w:rsidDel="00000000" w:rsidR="00000000" w:rsidRPr="00000000">
        <w:rPr>
          <w:rtl w:val="0"/>
        </w:rPr>
        <w:t xml:space="preserve"> through the</w:t>
      </w:r>
      <w:r w:rsidDel="00000000" w:rsidR="00000000" w:rsidRPr="00000000">
        <w:rPr>
          <w:rtl w:val="0"/>
        </w:rPr>
        <w:t xml:space="preserve"> Multifamily residential and Single Family residential programs</w:t>
      </w:r>
      <w:r w:rsidDel="00000000" w:rsidR="00000000" w:rsidRPr="00000000">
        <w:rPr>
          <w:rtl w:val="0"/>
        </w:rPr>
        <w:t xml:space="preserve">,</w:t>
      </w:r>
      <w:r w:rsidDel="00000000" w:rsidR="00000000" w:rsidRPr="00000000">
        <w:rPr>
          <w:rtl w:val="0"/>
        </w:rPr>
        <w:t xml:space="preserve"> which offer HVAC</w:t>
      </w:r>
      <w:r w:rsidDel="00000000" w:rsidR="00000000" w:rsidRPr="00000000">
        <w:rPr>
          <w:rtl w:val="0"/>
        </w:rPr>
        <w:t xml:space="preserve"> </w:t>
      </w:r>
      <w:r w:rsidDel="00000000" w:rsidR="00000000" w:rsidRPr="00000000">
        <w:rPr>
          <w:rtl w:val="0"/>
        </w:rPr>
        <w:t xml:space="preserve">related measures including an opportunity to install HPWH; Home </w:t>
      </w:r>
      <w:r w:rsidDel="00000000" w:rsidR="00000000" w:rsidRPr="00000000">
        <w:rPr>
          <w:rtl w:val="0"/>
        </w:rPr>
        <w:t xml:space="preserve">Energy Reports </w:t>
      </w:r>
      <w:r w:rsidDel="00000000" w:rsidR="00000000" w:rsidRPr="00000000">
        <w:rPr>
          <w:rtl w:val="0"/>
        </w:rPr>
        <w:t xml:space="preserve">are </w:t>
      </w:r>
      <w:r w:rsidDel="00000000" w:rsidR="00000000" w:rsidRPr="00000000">
        <w:rPr>
          <w:rtl w:val="0"/>
        </w:rPr>
        <w:t xml:space="preserve">also </w:t>
      </w:r>
      <w:r w:rsidDel="00000000" w:rsidR="00000000" w:rsidRPr="00000000">
        <w:rPr>
          <w:rtl w:val="0"/>
        </w:rPr>
        <w:t xml:space="preserve">seeing positive result</w:t>
      </w:r>
      <w:r w:rsidDel="00000000" w:rsidR="00000000" w:rsidRPr="00000000">
        <w:rPr>
          <w:rtl w:val="0"/>
        </w:rPr>
        <w:t xml:space="preserve">s</w:t>
      </w:r>
      <w:r w:rsidDel="00000000" w:rsidR="00000000" w:rsidRPr="00000000">
        <w:rPr>
          <w:rtl w:val="0"/>
        </w:rPr>
        <w:t xml:space="preserve"> and</w:t>
      </w:r>
      <w:r w:rsidDel="00000000" w:rsidR="00000000" w:rsidRPr="00000000">
        <w:rPr>
          <w:rtl w:val="0"/>
        </w:rPr>
        <w:t xml:space="preserve"> will be replaced by</w:t>
      </w:r>
      <w:r w:rsidDel="00000000" w:rsidR="00000000" w:rsidRPr="00000000">
        <w:rPr>
          <w:rtl w:val="0"/>
        </w:rPr>
        <w:t xml:space="preserve"> the</w:t>
      </w:r>
      <w:r w:rsidDel="00000000" w:rsidR="00000000" w:rsidRPr="00000000">
        <w:rPr>
          <w:rtl w:val="0"/>
        </w:rPr>
        <w:t xml:space="preserve"> new</w:t>
      </w:r>
      <w:r w:rsidDel="00000000" w:rsidR="00000000" w:rsidRPr="00000000">
        <w:rPr>
          <w:rtl w:val="0"/>
        </w:rPr>
        <w:t xml:space="preserve"> </w:t>
      </w:r>
      <w:r w:rsidDel="00000000" w:rsidR="00000000" w:rsidRPr="00000000">
        <w:rPr>
          <w:rtl w:val="0"/>
        </w:rPr>
        <w:t xml:space="preserve">third-party </w:t>
      </w:r>
      <w:r w:rsidDel="00000000" w:rsidR="00000000" w:rsidRPr="00000000">
        <w:rPr>
          <w:rtl w:val="0"/>
        </w:rPr>
        <w:t xml:space="preserve">CHEERS program. SCE is seeing a high participation rate in the residential program offerings and likely looking at excess delivery for 2025, which could translate to a cost-effective TSB.</w:t>
      </w:r>
      <w:r w:rsidDel="00000000" w:rsidR="00000000" w:rsidRPr="00000000">
        <w:rPr>
          <w:rtl w:val="0"/>
        </w:rPr>
      </w:r>
    </w:p>
    <w:p w:rsidR="00000000" w:rsidDel="00000000" w:rsidP="00000000" w:rsidRDefault="00000000" w:rsidRPr="00000000" w14:paraId="00000188">
      <w:pPr>
        <w:pStyle w:val="Heading2"/>
        <w:keepNext w:val="0"/>
        <w:keepLines w:val="0"/>
        <w:spacing w:before="200" w:line="240" w:lineRule="auto"/>
        <w:rPr/>
      </w:pPr>
      <w:bookmarkStart w:colFirst="0" w:colLast="0" w:name="_867actin3o4b" w:id="28"/>
      <w:bookmarkEnd w:id="28"/>
      <w:r w:rsidDel="00000000" w:rsidR="00000000" w:rsidRPr="00000000">
        <w:rPr>
          <w:color w:val="2a2a2a"/>
          <w:sz w:val="28"/>
          <w:szCs w:val="28"/>
          <w:rtl w:val="0"/>
        </w:rPr>
        <w:t xml:space="preserve">SoCalGas Q&amp;A and </w:t>
      </w:r>
      <w:r w:rsidDel="00000000" w:rsidR="00000000" w:rsidRPr="00000000">
        <w:rPr>
          <w:i w:val="1"/>
          <w:color w:val="2a2a2a"/>
          <w:sz w:val="28"/>
          <w:szCs w:val="28"/>
          <w:rtl w:val="0"/>
        </w:rPr>
        <w:t xml:space="preserve">Input</w:t>
      </w:r>
      <w:r w:rsidDel="00000000" w:rsidR="00000000" w:rsidRPr="00000000">
        <w:rPr>
          <w:rtl w:val="0"/>
        </w:rPr>
      </w:r>
    </w:p>
    <w:p w:rsidR="00000000" w:rsidDel="00000000" w:rsidP="00000000" w:rsidRDefault="00000000" w:rsidRPr="00000000" w14:paraId="00000189">
      <w:pPr>
        <w:numPr>
          <w:ilvl w:val="0"/>
          <w:numId w:val="12"/>
        </w:numPr>
        <w:ind w:left="720" w:hanging="360"/>
        <w:rPr/>
      </w:pPr>
      <w:r w:rsidDel="00000000" w:rsidR="00000000" w:rsidRPr="00000000">
        <w:rPr>
          <w:b w:val="1"/>
          <w:rtl w:val="0"/>
        </w:rPr>
        <w:t xml:space="preserve">Ely Jacobsohn (CPUC)</w:t>
      </w:r>
      <w:r w:rsidDel="00000000" w:rsidR="00000000" w:rsidRPr="00000000">
        <w:rPr>
          <w:rtl w:val="0"/>
        </w:rPr>
        <w:t xml:space="preserve">: I asked last year about what happens to the kits that are sent to residential customers and was informed that those that do not use (all of) the kits can return them to SCG. How many kits were returned to SCG in 2024?</w:t>
      </w:r>
    </w:p>
    <w:p w:rsidR="00000000" w:rsidDel="00000000" w:rsidP="00000000" w:rsidRDefault="00000000" w:rsidRPr="00000000" w14:paraId="0000018A">
      <w:pPr>
        <w:numPr>
          <w:ilvl w:val="1"/>
          <w:numId w:val="12"/>
        </w:numPr>
        <w:ind w:left="1440" w:hanging="360"/>
        <w:rPr/>
      </w:pPr>
      <w:r w:rsidDel="00000000" w:rsidR="00000000" w:rsidRPr="00000000">
        <w:rPr>
          <w:b w:val="1"/>
          <w:rtl w:val="0"/>
        </w:rPr>
        <w:t xml:space="preserve">SoCalGas Response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 2024, SoCalGas distributed 66,062 Energy Efficiency kits, and received a total of 73 returns.</w:t>
      </w:r>
      <w:r w:rsidDel="00000000" w:rsidR="00000000" w:rsidRPr="00000000">
        <w:rPr>
          <w:rtl w:val="0"/>
        </w:rPr>
      </w:r>
    </w:p>
    <w:p w:rsidR="00000000" w:rsidDel="00000000" w:rsidP="00000000" w:rsidRDefault="00000000" w:rsidRPr="00000000" w14:paraId="0000018B">
      <w:pPr>
        <w:numPr>
          <w:ilvl w:val="0"/>
          <w:numId w:val="12"/>
        </w:numPr>
        <w:ind w:left="720" w:hanging="360"/>
        <w:rPr/>
      </w:pPr>
      <w:r w:rsidDel="00000000" w:rsidR="00000000" w:rsidRPr="00000000">
        <w:rPr>
          <w:b w:val="1"/>
          <w:rtl w:val="0"/>
        </w:rPr>
        <w:t xml:space="preserve">Jesse Levine (CPUC)</w:t>
      </w:r>
      <w:r w:rsidDel="00000000" w:rsidR="00000000" w:rsidRPr="00000000">
        <w:rPr>
          <w:rtl w:val="0"/>
        </w:rPr>
        <w:t xml:space="preserve">: What program(s) are greatest contributing to TSB achievement? What program(s) have the greatest expenditures? </w:t>
      </w:r>
    </w:p>
    <w:p w:rsidR="00000000" w:rsidDel="00000000" w:rsidP="00000000" w:rsidRDefault="00000000" w:rsidRPr="00000000" w14:paraId="0000018C">
      <w:pPr>
        <w:numPr>
          <w:ilvl w:val="1"/>
          <w:numId w:val="12"/>
        </w:numPr>
        <w:ind w:left="1440" w:hanging="360"/>
        <w:rPr/>
      </w:pPr>
      <w:r w:rsidDel="00000000" w:rsidR="00000000" w:rsidRPr="00000000">
        <w:rPr>
          <w:b w:val="1"/>
          <w:rtl w:val="0"/>
        </w:rPr>
        <w:t xml:space="preserve">SoCalGas Response</w:t>
      </w:r>
      <w:r w:rsidDel="00000000" w:rsidR="00000000" w:rsidRPr="00000000">
        <w:rPr>
          <w:rtl w:val="0"/>
        </w:rPr>
        <w:t xml:space="preserve">: </w:t>
      </w:r>
    </w:p>
    <w:p w:rsidR="00000000" w:rsidDel="00000000" w:rsidP="00000000" w:rsidRDefault="00000000" w:rsidRPr="00000000" w14:paraId="0000018D">
      <w:pPr>
        <w:numPr>
          <w:ilvl w:val="2"/>
          <w:numId w:val="12"/>
        </w:numPr>
        <w:ind w:left="2160" w:hanging="360"/>
        <w:rPr/>
      </w:pPr>
      <w:r w:rsidDel="00000000" w:rsidR="00000000" w:rsidRPr="00000000">
        <w:rPr>
          <w:rtl w:val="0"/>
        </w:rPr>
        <w:t xml:space="preserve">Top performing Programs for TSB: Statewide Midstream Commercial Water Heating, Residential Energy Efficiency Program, Small and Medium Commercial EE Program (Equity)</w:t>
      </w:r>
    </w:p>
    <w:p w:rsidR="00000000" w:rsidDel="00000000" w:rsidP="00000000" w:rsidRDefault="00000000" w:rsidRPr="00000000" w14:paraId="0000018E">
      <w:pPr>
        <w:numPr>
          <w:ilvl w:val="2"/>
          <w:numId w:val="12"/>
        </w:numPr>
        <w:ind w:left="2160" w:hanging="360"/>
        <w:rPr/>
      </w:pPr>
      <w:r w:rsidDel="00000000" w:rsidR="00000000" w:rsidRPr="00000000">
        <w:rPr>
          <w:rtl w:val="0"/>
        </w:rPr>
        <w:t xml:space="preserve">Top programs by Expenditure: Residential Energy Efficiency Program, Agriculture Energy Efficiency Program, Statewide Midstream Commercial Water Heating </w:t>
      </w:r>
      <w:r w:rsidDel="00000000" w:rsidR="00000000" w:rsidRPr="00000000">
        <w:rPr>
          <w:rtl w:val="0"/>
        </w:rPr>
      </w:r>
    </w:p>
    <w:p w:rsidR="00000000" w:rsidDel="00000000" w:rsidP="00000000" w:rsidRDefault="00000000" w:rsidRPr="00000000" w14:paraId="0000018F">
      <w:pPr>
        <w:pStyle w:val="Heading2"/>
        <w:keepNext w:val="0"/>
        <w:keepLines w:val="0"/>
        <w:spacing w:before="200" w:line="240" w:lineRule="auto"/>
        <w:rPr>
          <w:i w:val="1"/>
          <w:color w:val="2a2a2a"/>
          <w:sz w:val="28"/>
          <w:szCs w:val="28"/>
        </w:rPr>
      </w:pPr>
      <w:bookmarkStart w:colFirst="0" w:colLast="0" w:name="_qxfkwndpr4tt" w:id="29"/>
      <w:bookmarkEnd w:id="29"/>
      <w:r w:rsidDel="00000000" w:rsidR="00000000" w:rsidRPr="00000000">
        <w:rPr>
          <w:color w:val="2a2a2a"/>
          <w:sz w:val="28"/>
          <w:szCs w:val="28"/>
          <w:rtl w:val="0"/>
        </w:rPr>
        <w:t xml:space="preserve">SDG&amp;E Q&amp;A and </w:t>
      </w:r>
      <w:r w:rsidDel="00000000" w:rsidR="00000000" w:rsidRPr="00000000">
        <w:rPr>
          <w:i w:val="1"/>
          <w:color w:val="2a2a2a"/>
          <w:sz w:val="28"/>
          <w:szCs w:val="28"/>
          <w:rtl w:val="0"/>
        </w:rPr>
        <w:t xml:space="preserve">Input</w:t>
      </w:r>
    </w:p>
    <w:p w:rsidR="00000000" w:rsidDel="00000000" w:rsidP="00000000" w:rsidRDefault="00000000" w:rsidRPr="00000000" w14:paraId="00000190">
      <w:pPr>
        <w:numPr>
          <w:ilvl w:val="0"/>
          <w:numId w:val="1"/>
        </w:numPr>
        <w:ind w:left="720" w:hanging="360"/>
        <w:rPr>
          <w:b w:val="0"/>
          <w:color w:val="000000"/>
          <w:sz w:val="24"/>
          <w:szCs w:val="24"/>
        </w:rPr>
      </w:pPr>
      <w:r w:rsidDel="00000000" w:rsidR="00000000" w:rsidRPr="00000000">
        <w:rPr>
          <w:b w:val="1"/>
          <w:rtl w:val="0"/>
        </w:rPr>
        <w:t xml:space="preserve">Laurel Rothschild (TEC)</w:t>
      </w:r>
      <w:r w:rsidDel="00000000" w:rsidR="00000000" w:rsidRPr="00000000">
        <w:rPr>
          <w:rtl w:val="0"/>
        </w:rPr>
        <w:t xml:space="preserve">: The spreadsheet in the annual report tables has the ratio for resource acquisition different from what is in the presentation (.98 vs 1.00)</w:t>
      </w:r>
    </w:p>
    <w:p w:rsidR="00000000" w:rsidDel="00000000" w:rsidP="00000000" w:rsidRDefault="00000000" w:rsidRPr="00000000" w14:paraId="00000191">
      <w:pPr>
        <w:numPr>
          <w:ilvl w:val="1"/>
          <w:numId w:val="1"/>
        </w:numPr>
        <w:ind w:left="1440" w:hanging="360"/>
        <w:rPr>
          <w:b w:val="0"/>
          <w:color w:val="000000"/>
          <w:sz w:val="24"/>
          <w:szCs w:val="24"/>
        </w:rPr>
      </w:pPr>
      <w:r w:rsidDel="00000000" w:rsidR="00000000" w:rsidRPr="00000000">
        <w:rPr>
          <w:b w:val="1"/>
          <w:rtl w:val="0"/>
        </w:rPr>
        <w:t xml:space="preserve">SDG&amp;E Response: </w:t>
      </w:r>
      <w:r w:rsidDel="00000000" w:rsidR="00000000" w:rsidRPr="00000000">
        <w:rPr>
          <w:rtl w:val="0"/>
        </w:rPr>
        <w:t xml:space="preserve">SDG&amp;E noted that the annual report tables reflect on some of the limitations on CEDARS of what programs are in which segmentations. Because SDG&amp;E has a lot of legacy programs, it’s difficult to reclassify these programs in CEDARS. </w:t>
      </w:r>
      <w:r w:rsidDel="00000000" w:rsidR="00000000" w:rsidRPr="00000000">
        <w:rPr>
          <w:rtl w:val="0"/>
        </w:rPr>
        <w:t xml:space="preserve">The reporting in CEDARS is accurate.</w:t>
      </w:r>
      <w:r w:rsidDel="00000000" w:rsidR="00000000" w:rsidRPr="00000000">
        <w:rPr>
          <w:rtl w:val="0"/>
        </w:rPr>
      </w:r>
    </w:p>
    <w:p w:rsidR="00000000" w:rsidDel="00000000" w:rsidP="00000000" w:rsidRDefault="00000000" w:rsidRPr="00000000" w14:paraId="00000192">
      <w:pPr>
        <w:pStyle w:val="Heading2"/>
        <w:keepNext w:val="0"/>
        <w:keepLines w:val="0"/>
        <w:spacing w:before="200" w:line="240" w:lineRule="auto"/>
        <w:rPr>
          <w:i w:val="1"/>
          <w:color w:val="2a2a2a"/>
          <w:sz w:val="28"/>
          <w:szCs w:val="28"/>
        </w:rPr>
      </w:pPr>
      <w:bookmarkStart w:colFirst="0" w:colLast="0" w:name="_8cotogy9fdgj" w:id="30"/>
      <w:bookmarkEnd w:id="30"/>
      <w:r w:rsidDel="00000000" w:rsidR="00000000" w:rsidRPr="00000000">
        <w:rPr>
          <w:color w:val="2a2a2a"/>
          <w:sz w:val="28"/>
          <w:szCs w:val="28"/>
          <w:rtl w:val="0"/>
        </w:rPr>
        <w:t xml:space="preserve">I-REN Q&amp;A and </w:t>
      </w:r>
      <w:r w:rsidDel="00000000" w:rsidR="00000000" w:rsidRPr="00000000">
        <w:rPr>
          <w:i w:val="1"/>
          <w:color w:val="2a2a2a"/>
          <w:sz w:val="28"/>
          <w:szCs w:val="28"/>
          <w:rtl w:val="0"/>
        </w:rPr>
        <w:t xml:space="preserve">Input</w:t>
      </w:r>
    </w:p>
    <w:p w:rsidR="00000000" w:rsidDel="00000000" w:rsidP="00000000" w:rsidRDefault="00000000" w:rsidRPr="00000000" w14:paraId="00000193">
      <w:pPr>
        <w:numPr>
          <w:ilvl w:val="0"/>
          <w:numId w:val="4"/>
        </w:numPr>
        <w:ind w:left="720" w:hanging="360"/>
      </w:pPr>
      <w:r w:rsidDel="00000000" w:rsidR="00000000" w:rsidRPr="00000000">
        <w:rPr>
          <w:b w:val="1"/>
          <w:rtl w:val="0"/>
        </w:rPr>
        <w:t xml:space="preserve">Pamela Rittlemeyer (CPUC)</w:t>
      </w:r>
      <w:r w:rsidDel="00000000" w:rsidR="00000000" w:rsidRPr="00000000">
        <w:rPr>
          <w:rtl w:val="0"/>
        </w:rPr>
        <w:t xml:space="preserve">: For I-REN, are you seeing a direct link between the 100+ workforce partners and EE offerings?</w:t>
      </w:r>
    </w:p>
    <w:p w:rsidR="00000000" w:rsidDel="00000000" w:rsidP="00000000" w:rsidRDefault="00000000" w:rsidRPr="00000000" w14:paraId="00000194">
      <w:pPr>
        <w:numPr>
          <w:ilvl w:val="1"/>
          <w:numId w:val="4"/>
        </w:numPr>
        <w:ind w:left="1440" w:hanging="360"/>
        <w:rPr>
          <w:b w:val="1"/>
        </w:rPr>
      </w:pPr>
      <w:r w:rsidDel="00000000" w:rsidR="00000000" w:rsidRPr="00000000">
        <w:rPr>
          <w:b w:val="1"/>
          <w:rtl w:val="0"/>
        </w:rPr>
        <w:t xml:space="preserve">I-REN Response:</w:t>
      </w:r>
      <w:r w:rsidDel="00000000" w:rsidR="00000000" w:rsidRPr="00000000">
        <w:rPr>
          <w:rtl w:val="0"/>
        </w:rPr>
        <w:t xml:space="preserve"> Yes. </w:t>
      </w:r>
      <w:r w:rsidDel="00000000" w:rsidR="00000000" w:rsidRPr="00000000">
        <w:rPr>
          <w:rtl w:val="0"/>
        </w:rPr>
        <w:t xml:space="preserve">Here are the ways that workforce partners support EE offerings: </w:t>
      </w:r>
    </w:p>
    <w:p w:rsidR="00000000" w:rsidDel="00000000" w:rsidP="00000000" w:rsidRDefault="00000000" w:rsidRPr="00000000" w14:paraId="00000195">
      <w:pPr>
        <w:numPr>
          <w:ilvl w:val="0"/>
          <w:numId w:val="20"/>
        </w:numPr>
        <w:pBdr>
          <w:top w:color="auto" w:space="0" w:sz="0" w:val="none"/>
          <w:bottom w:color="auto" w:space="0" w:sz="0" w:val="none"/>
          <w:right w:color="auto" w:space="0" w:sz="0" w:val="none"/>
          <w:between w:color="auto" w:space="0" w:sz="0" w:val="none"/>
        </w:pBdr>
        <w:ind w:left="1800" w:hanging="360"/>
        <w:rPr>
          <w:rFonts w:ascii="Roboto" w:cs="Roboto" w:eastAsia="Roboto" w:hAnsi="Roboto"/>
        </w:rPr>
      </w:pPr>
      <w:r w:rsidDel="00000000" w:rsidR="00000000" w:rsidRPr="00000000">
        <w:rPr>
          <w:rtl w:val="0"/>
        </w:rPr>
        <w:t xml:space="preserve">Co-hosting events for job seekers and sharing information about I-REN fellowship opportunities, helping grow the pool of interested fellows and host cities </w:t>
      </w:r>
    </w:p>
    <w:p w:rsidR="00000000" w:rsidDel="00000000" w:rsidP="00000000" w:rsidRDefault="00000000" w:rsidRPr="00000000" w14:paraId="00000196">
      <w:pPr>
        <w:numPr>
          <w:ilvl w:val="0"/>
          <w:numId w:val="26"/>
        </w:numPr>
        <w:pBdr>
          <w:top w:color="auto" w:space="0" w:sz="0" w:val="none"/>
          <w:bottom w:color="auto" w:space="0" w:sz="0" w:val="none"/>
          <w:right w:color="auto" w:space="0" w:sz="0" w:val="none"/>
          <w:between w:color="auto" w:space="0" w:sz="0" w:val="none"/>
        </w:pBdr>
        <w:ind w:left="2520" w:hanging="360"/>
        <w:rPr>
          <w:rFonts w:ascii="Roboto" w:cs="Roboto" w:eastAsia="Roboto" w:hAnsi="Roboto"/>
          <w:sz w:val="24"/>
          <w:szCs w:val="24"/>
        </w:rPr>
      </w:pPr>
      <w:r w:rsidDel="00000000" w:rsidR="00000000" w:rsidRPr="00000000">
        <w:rPr>
          <w:rtl w:val="0"/>
        </w:rPr>
        <w:t xml:space="preserve">The fellows then have a direct link to I-REN's equity EE programs for the public sector- helping jurisdictions enroll in the programs so they can benefit from technical assistance and rebates. </w:t>
      </w:r>
    </w:p>
    <w:p w:rsidR="00000000" w:rsidDel="00000000" w:rsidP="00000000" w:rsidRDefault="00000000" w:rsidRPr="00000000" w14:paraId="00000197">
      <w:pPr>
        <w:numPr>
          <w:ilvl w:val="0"/>
          <w:numId w:val="21"/>
        </w:numPr>
        <w:pBdr>
          <w:top w:color="auto" w:space="0" w:sz="0" w:val="none"/>
          <w:bottom w:color="auto" w:space="0" w:sz="0" w:val="none"/>
          <w:right w:color="auto" w:space="0" w:sz="0" w:val="none"/>
          <w:between w:color="auto" w:space="0" w:sz="0" w:val="none"/>
        </w:pBdr>
        <w:ind w:left="2520" w:hanging="360"/>
        <w:rPr>
          <w:rFonts w:ascii="Roboto" w:cs="Roboto" w:eastAsia="Roboto" w:hAnsi="Roboto"/>
          <w:sz w:val="24"/>
          <w:szCs w:val="24"/>
        </w:rPr>
      </w:pPr>
      <w:r w:rsidDel="00000000" w:rsidR="00000000" w:rsidRPr="00000000">
        <w:rPr>
          <w:rtl w:val="0"/>
        </w:rPr>
        <w:t xml:space="preserve">WE&amp;T collaboration: Energy fellows are supporting Public Sector projects at 35 facilities by increasing staff capacity at local government agencies resulting in over $4.1M in lifetime savings to agencies within our region. </w:t>
      </w:r>
    </w:p>
    <w:p w:rsidR="00000000" w:rsidDel="00000000" w:rsidP="00000000" w:rsidRDefault="00000000" w:rsidRPr="00000000" w14:paraId="00000198">
      <w:pPr>
        <w:numPr>
          <w:ilvl w:val="0"/>
          <w:numId w:val="2"/>
        </w:numPr>
        <w:pBdr>
          <w:top w:color="auto" w:space="0" w:sz="0" w:val="none"/>
          <w:bottom w:color="auto" w:space="0" w:sz="0" w:val="none"/>
          <w:right w:color="auto" w:space="0" w:sz="0" w:val="none"/>
          <w:between w:color="auto" w:space="0" w:sz="0" w:val="none"/>
        </w:pBdr>
        <w:ind w:left="1800" w:hanging="360"/>
        <w:rPr>
          <w:rFonts w:ascii="Roboto" w:cs="Roboto" w:eastAsia="Roboto" w:hAnsi="Roboto"/>
        </w:rPr>
      </w:pPr>
      <w:r w:rsidDel="00000000" w:rsidR="00000000" w:rsidRPr="00000000">
        <w:rPr>
          <w:rtl w:val="0"/>
        </w:rPr>
        <w:t xml:space="preserve">Contributions to I-REN's workforce assessment which informs I-REN's development of additional workforce activities </w:t>
      </w:r>
    </w:p>
    <w:p w:rsidR="00000000" w:rsidDel="00000000" w:rsidP="00000000" w:rsidRDefault="00000000" w:rsidRPr="00000000" w14:paraId="00000199">
      <w:pPr>
        <w:numPr>
          <w:ilvl w:val="0"/>
          <w:numId w:val="23"/>
        </w:numPr>
        <w:pBdr>
          <w:top w:color="auto" w:space="0" w:sz="0" w:val="none"/>
          <w:bottom w:color="auto" w:space="0" w:sz="0" w:val="none"/>
          <w:right w:color="auto" w:space="0" w:sz="0" w:val="none"/>
          <w:between w:color="auto" w:space="0" w:sz="0" w:val="none"/>
        </w:pBdr>
        <w:ind w:left="1800" w:hanging="360"/>
        <w:rPr>
          <w:rFonts w:ascii="Roboto" w:cs="Roboto" w:eastAsia="Roboto" w:hAnsi="Roboto"/>
        </w:rPr>
      </w:pPr>
      <w:r w:rsidDel="00000000" w:rsidR="00000000" w:rsidRPr="00000000">
        <w:rPr>
          <w:rtl w:val="0"/>
        </w:rPr>
        <w:t xml:space="preserve">Sharing information about I-REN's other EE offerings, for example, C&amp;S trainings for contractors, the importance of EE and high-road green energy jobs in general, and the availability of other EE programs also offered in the region. </w:t>
      </w:r>
      <w:r w:rsidDel="00000000" w:rsidR="00000000" w:rsidRPr="00000000">
        <w:rPr>
          <w:rtl w:val="0"/>
        </w:rPr>
      </w:r>
    </w:p>
    <w:p w:rsidR="00000000" w:rsidDel="00000000" w:rsidP="00000000" w:rsidRDefault="00000000" w:rsidRPr="00000000" w14:paraId="0000019A">
      <w:pPr>
        <w:numPr>
          <w:ilvl w:val="0"/>
          <w:numId w:val="4"/>
        </w:numPr>
        <w:ind w:left="720" w:hanging="360"/>
      </w:pPr>
      <w:r w:rsidDel="00000000" w:rsidR="00000000" w:rsidRPr="00000000">
        <w:rPr>
          <w:b w:val="1"/>
          <w:rtl w:val="0"/>
        </w:rPr>
        <w:t xml:space="preserve">Emily Lange, Cascade Energy:</w:t>
      </w:r>
      <w:r w:rsidDel="00000000" w:rsidR="00000000" w:rsidRPr="00000000">
        <w:rPr>
          <w:rtl w:val="0"/>
        </w:rPr>
        <w:t xml:space="preserve"> What drove the higher forecast in the advice letter filing that needed to be adjusted after the programs began?</w:t>
      </w:r>
    </w:p>
    <w:p w:rsidR="00000000" w:rsidDel="00000000" w:rsidP="00000000" w:rsidRDefault="00000000" w:rsidRPr="00000000" w14:paraId="0000019B">
      <w:pPr>
        <w:numPr>
          <w:ilvl w:val="1"/>
          <w:numId w:val="4"/>
        </w:numPr>
        <w:ind w:left="1440" w:hanging="360"/>
      </w:pPr>
      <w:r w:rsidDel="00000000" w:rsidR="00000000" w:rsidRPr="00000000">
        <w:rPr>
          <w:b w:val="1"/>
          <w:rtl w:val="0"/>
        </w:rPr>
        <w:t xml:space="preserve">I-REN Response</w:t>
      </w:r>
      <w:r w:rsidDel="00000000" w:rsidR="00000000" w:rsidRPr="00000000">
        <w:rPr>
          <w:rtl w:val="0"/>
        </w:rPr>
        <w:t xml:space="preserve">: </w:t>
      </w:r>
      <w:r w:rsidDel="00000000" w:rsidR="00000000" w:rsidRPr="00000000">
        <w:rPr>
          <w:rtl w:val="0"/>
        </w:rPr>
        <w:t xml:space="preserve">Unlike the other PAs who have 4-year portfolio periods that begin in 2024, I-REN has a 6-year portfolio period from 2022 through 2027. I-REN submitted its original business</w:t>
      </w:r>
      <w:r w:rsidDel="00000000" w:rsidR="00000000" w:rsidRPr="00000000">
        <w:rPr>
          <w:vertAlign w:val="superscript"/>
        </w:rPr>
        <w:footnoteReference w:customMarkFollows="0" w:id="0"/>
      </w:r>
      <w:r w:rsidDel="00000000" w:rsidR="00000000" w:rsidRPr="00000000">
        <w:rPr>
          <w:rtl w:val="0"/>
        </w:rPr>
        <w:t xml:space="preserve"> plan a few months prior to Decision </w:t>
      </w:r>
      <w:hyperlink r:id="rId17">
        <w:r w:rsidDel="00000000" w:rsidR="00000000" w:rsidRPr="00000000">
          <w:rPr>
            <w:color w:val="1155cc"/>
            <w:u w:val="single"/>
            <w:rtl w:val="0"/>
          </w:rPr>
          <w:t xml:space="preserve">(D.) 21-05-031</w:t>
        </w:r>
      </w:hyperlink>
      <w:r w:rsidDel="00000000" w:rsidR="00000000" w:rsidRPr="00000000">
        <w:rPr>
          <w:rtl w:val="0"/>
        </w:rPr>
        <w:t xml:space="preserve">, which instituted the 4- and 8-year application periods, portfolio segmentation, biannual true-up and mid-cycle filings, and various other changes. I-REN's original savings forecast from its 2021 Business Plan was developed prior to having implementers on board. That forecast was then updated for the 2023 True-up Advice Letter using the implementer’s forecasting approach. (</w:t>
      </w:r>
      <w:hyperlink r:id="rId18">
        <w:r w:rsidDel="00000000" w:rsidR="00000000" w:rsidRPr="00000000">
          <w:rPr>
            <w:i w:val="1"/>
            <w:color w:val="1155cc"/>
            <w:u w:val="single"/>
            <w:rtl w:val="0"/>
          </w:rPr>
          <w:t xml:space="preserve">I-REN 2024-2027 Energy Efficiency Portfolio True-Up Advice Letter AL# 3-E/3-G 10/16/23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C">
      <w:pPr>
        <w:pStyle w:val="Heading2"/>
        <w:keepNext w:val="0"/>
        <w:keepLines w:val="0"/>
        <w:spacing w:before="200" w:line="240" w:lineRule="auto"/>
        <w:rPr>
          <w:i w:val="1"/>
          <w:color w:val="2a2a2a"/>
          <w:sz w:val="28"/>
          <w:szCs w:val="28"/>
        </w:rPr>
      </w:pPr>
      <w:bookmarkStart w:colFirst="0" w:colLast="0" w:name="_vot27cvirfez" w:id="31"/>
      <w:bookmarkEnd w:id="31"/>
      <w:r w:rsidDel="00000000" w:rsidR="00000000" w:rsidRPr="00000000">
        <w:rPr>
          <w:color w:val="2a2a2a"/>
          <w:sz w:val="28"/>
          <w:szCs w:val="28"/>
          <w:rtl w:val="0"/>
        </w:rPr>
        <w:t xml:space="preserve">SoCalREN Q&amp;A and </w:t>
      </w:r>
      <w:r w:rsidDel="00000000" w:rsidR="00000000" w:rsidRPr="00000000">
        <w:rPr>
          <w:i w:val="1"/>
          <w:color w:val="2a2a2a"/>
          <w:sz w:val="28"/>
          <w:szCs w:val="28"/>
          <w:rtl w:val="0"/>
        </w:rPr>
        <w:t xml:space="preserve">Input</w:t>
      </w:r>
    </w:p>
    <w:p w:rsidR="00000000" w:rsidDel="00000000" w:rsidP="00000000" w:rsidRDefault="00000000" w:rsidRPr="00000000" w14:paraId="0000019D">
      <w:pPr>
        <w:numPr>
          <w:ilvl w:val="0"/>
          <w:numId w:val="9"/>
        </w:numPr>
        <w:ind w:left="720" w:hanging="360"/>
      </w:pPr>
      <w:r w:rsidDel="00000000" w:rsidR="00000000" w:rsidRPr="00000000">
        <w:rPr>
          <w:b w:val="1"/>
          <w:rtl w:val="0"/>
        </w:rPr>
        <w:t xml:space="preserve">Anonymous:</w:t>
      </w:r>
      <w:r w:rsidDel="00000000" w:rsidR="00000000" w:rsidRPr="00000000">
        <w:rPr>
          <w:rtl w:val="0"/>
        </w:rPr>
        <w:t xml:space="preserve"> Any update for when the 2026-2029 SoCalREN public sector program solicitation will be released?</w:t>
      </w:r>
    </w:p>
    <w:p w:rsidR="00000000" w:rsidDel="00000000" w:rsidP="00000000" w:rsidRDefault="00000000" w:rsidRPr="00000000" w14:paraId="0000019E">
      <w:pPr>
        <w:numPr>
          <w:ilvl w:val="1"/>
          <w:numId w:val="9"/>
        </w:numPr>
        <w:ind w:left="1440" w:hanging="360"/>
        <w:rPr>
          <w:b w:val="1"/>
        </w:rPr>
      </w:pPr>
      <w:r w:rsidDel="00000000" w:rsidR="00000000" w:rsidRPr="00000000">
        <w:rPr>
          <w:b w:val="1"/>
          <w:rtl w:val="0"/>
        </w:rPr>
        <w:t xml:space="preserve">SoCalREN Response:</w:t>
      </w:r>
      <w:r w:rsidDel="00000000" w:rsidR="00000000" w:rsidRPr="00000000">
        <w:rPr>
          <w:rtl w:val="0"/>
        </w:rPr>
        <w:t xml:space="preserve"> SoCalREN’s public sector solicitation will be out in Q3 as the prior one has expired. </w:t>
      </w:r>
    </w:p>
    <w:p w:rsidR="00000000" w:rsidDel="00000000" w:rsidP="00000000" w:rsidRDefault="00000000" w:rsidRPr="00000000" w14:paraId="0000019F">
      <w:pPr>
        <w:numPr>
          <w:ilvl w:val="0"/>
          <w:numId w:val="9"/>
        </w:numPr>
        <w:ind w:left="720" w:hanging="360"/>
      </w:pPr>
      <w:r w:rsidDel="00000000" w:rsidR="00000000" w:rsidRPr="00000000">
        <w:rPr>
          <w:b w:val="1"/>
          <w:rtl w:val="0"/>
        </w:rPr>
        <w:t xml:space="preserve">Stacie Risley (SDGE):</w:t>
      </w:r>
      <w:r w:rsidDel="00000000" w:rsidR="00000000" w:rsidRPr="00000000">
        <w:rPr>
          <w:rtl w:val="0"/>
        </w:rPr>
        <w:t xml:space="preserve"> One thing I noticed about the SoCalREN portfolio is the number of programs. Did you experience any unexpected program closures in 2024?</w:t>
      </w:r>
    </w:p>
    <w:p w:rsidR="00000000" w:rsidDel="00000000" w:rsidP="00000000" w:rsidRDefault="00000000" w:rsidRPr="00000000" w14:paraId="000001A0">
      <w:pPr>
        <w:numPr>
          <w:ilvl w:val="1"/>
          <w:numId w:val="9"/>
        </w:numPr>
        <w:ind w:left="1440" w:hanging="360"/>
        <w:rPr>
          <w:b w:val="1"/>
        </w:rPr>
      </w:pPr>
      <w:r w:rsidDel="00000000" w:rsidR="00000000" w:rsidRPr="00000000">
        <w:rPr>
          <w:b w:val="1"/>
          <w:rtl w:val="0"/>
        </w:rPr>
        <w:t xml:space="preserve">SoCalREN Response: </w:t>
      </w:r>
      <w:r w:rsidDel="00000000" w:rsidR="00000000" w:rsidRPr="00000000">
        <w:rPr>
          <w:rtl w:val="0"/>
        </w:rPr>
        <w:t xml:space="preserve">SoCalREN is not seeking to do the codes and standards programs moving forward because it would be redundant to SCE’s program.</w:t>
      </w:r>
      <w:r w:rsidDel="00000000" w:rsidR="00000000" w:rsidRPr="00000000">
        <w:rPr>
          <w:rtl w:val="0"/>
        </w:rPr>
      </w:r>
    </w:p>
    <w:p w:rsidR="00000000" w:rsidDel="00000000" w:rsidP="00000000" w:rsidRDefault="00000000" w:rsidRPr="00000000" w14:paraId="000001A1">
      <w:pPr>
        <w:numPr>
          <w:ilvl w:val="0"/>
          <w:numId w:val="9"/>
        </w:numPr>
        <w:ind w:left="720" w:hanging="360"/>
        <w:rPr>
          <w:u w:val="none"/>
        </w:rPr>
      </w:pPr>
      <w:r w:rsidDel="00000000" w:rsidR="00000000" w:rsidRPr="00000000">
        <w:rPr>
          <w:b w:val="1"/>
          <w:rtl w:val="0"/>
        </w:rPr>
        <w:t xml:space="preserve">Ely Jacobsohn (CPUC):</w:t>
      </w:r>
      <w:r w:rsidDel="00000000" w:rsidR="00000000" w:rsidRPr="00000000">
        <w:rPr>
          <w:rtl w:val="0"/>
        </w:rPr>
        <w:t xml:space="preserve"> Can you elaborate on why residential TSB went down from 2023 to 2024?</w:t>
      </w:r>
    </w:p>
    <w:p w:rsidR="00000000" w:rsidDel="00000000" w:rsidP="00000000" w:rsidRDefault="00000000" w:rsidRPr="00000000" w14:paraId="000001A2">
      <w:pPr>
        <w:numPr>
          <w:ilvl w:val="1"/>
          <w:numId w:val="9"/>
        </w:numPr>
        <w:ind w:left="1440" w:hanging="360"/>
      </w:pPr>
      <w:r w:rsidDel="00000000" w:rsidR="00000000" w:rsidRPr="00000000">
        <w:rPr>
          <w:b w:val="1"/>
          <w:rtl w:val="0"/>
        </w:rPr>
        <w:t xml:space="preserve">SoCalREN Response:</w:t>
      </w:r>
      <w:r w:rsidDel="00000000" w:rsidR="00000000" w:rsidRPr="00000000">
        <w:rPr>
          <w:rtl w:val="0"/>
        </w:rPr>
        <w:t xml:space="preserve"> SoCalREN’s TSB for residential decreased between 2023 and 2024 because of the forecasted goals of more electrification measures and how the ACC and TSB gas to gas is favored over electrification. We forecast that in 2025, the TSB will likely double.</w:t>
      </w:r>
    </w:p>
    <w:p w:rsidR="00000000" w:rsidDel="00000000" w:rsidP="00000000" w:rsidRDefault="00000000" w:rsidRPr="00000000" w14:paraId="000001A3">
      <w:pPr>
        <w:pStyle w:val="Heading2"/>
        <w:keepNext w:val="0"/>
        <w:keepLines w:val="0"/>
        <w:spacing w:after="200" w:before="200" w:line="240" w:lineRule="auto"/>
        <w:rPr>
          <w:color w:val="2a2a2a"/>
          <w:sz w:val="28"/>
          <w:szCs w:val="28"/>
        </w:rPr>
      </w:pPr>
      <w:bookmarkStart w:colFirst="0" w:colLast="0" w:name="_yxaz49v1nco4" w:id="32"/>
      <w:bookmarkEnd w:id="32"/>
      <w:r w:rsidDel="00000000" w:rsidR="00000000" w:rsidRPr="00000000">
        <w:rPr>
          <w:color w:val="2a2a2a"/>
          <w:sz w:val="28"/>
          <w:szCs w:val="28"/>
          <w:rtl w:val="0"/>
        </w:rPr>
        <w:t xml:space="preserve">Southern CA Regional Q&amp;A and </w:t>
      </w:r>
      <w:r w:rsidDel="00000000" w:rsidR="00000000" w:rsidRPr="00000000">
        <w:rPr>
          <w:i w:val="1"/>
          <w:color w:val="2a2a2a"/>
          <w:sz w:val="28"/>
          <w:szCs w:val="28"/>
          <w:rtl w:val="0"/>
        </w:rPr>
        <w:t xml:space="preserve">Input</w:t>
      </w:r>
      <w:r w:rsidDel="00000000" w:rsidR="00000000" w:rsidRPr="00000000">
        <w:rPr>
          <w:rtl w:val="0"/>
        </w:rPr>
      </w:r>
    </w:p>
    <w:p w:rsidR="00000000" w:rsidDel="00000000" w:rsidP="00000000" w:rsidRDefault="00000000" w:rsidRPr="00000000" w14:paraId="000001A4">
      <w:pPr>
        <w:numPr>
          <w:ilvl w:val="0"/>
          <w:numId w:val="4"/>
        </w:numPr>
        <w:ind w:left="720" w:hanging="360"/>
      </w:pPr>
      <w:r w:rsidDel="00000000" w:rsidR="00000000" w:rsidRPr="00000000">
        <w:rPr>
          <w:b w:val="1"/>
          <w:rtl w:val="0"/>
        </w:rPr>
        <w:t xml:space="preserve">Coby Rudolph (CPUC)</w:t>
      </w:r>
      <w:r w:rsidDel="00000000" w:rsidR="00000000" w:rsidRPr="00000000">
        <w:rPr>
          <w:rtl w:val="0"/>
        </w:rPr>
        <w:t xml:space="preserve">: How do your workforce training programs engage with the IOU ESA programs and ESA contractors to provide an employment pipeline? ESA contractors are saying that logistics and operations around engagement with WE&amp;T programs across the state is hard to line up with the timing of training. We want to make the link as smooth as possible.</w:t>
      </w:r>
    </w:p>
    <w:p w:rsidR="00000000" w:rsidDel="00000000" w:rsidP="00000000" w:rsidRDefault="00000000" w:rsidRPr="00000000" w14:paraId="000001A5">
      <w:pPr>
        <w:numPr>
          <w:ilvl w:val="1"/>
          <w:numId w:val="4"/>
        </w:numPr>
        <w:ind w:left="1440" w:hanging="360"/>
        <w:rPr>
          <w:b w:val="1"/>
        </w:rPr>
      </w:pPr>
      <w:r w:rsidDel="00000000" w:rsidR="00000000" w:rsidRPr="00000000">
        <w:rPr>
          <w:b w:val="1"/>
          <w:rtl w:val="0"/>
        </w:rPr>
        <w:t xml:space="preserve">I-REN Response:</w:t>
      </w:r>
      <w:r w:rsidDel="00000000" w:rsidR="00000000" w:rsidRPr="00000000">
        <w:rPr>
          <w:rtl w:val="0"/>
        </w:rPr>
        <w:t xml:space="preserve"> I-REN does engage with SCE on WE&amp;T and C&amp;S to collaborate on how to cross collaborate promotion of various programs. We are focusing on rolling out third party programs to member agencies in 2025. I-REN will make a note of this issue to ESA and WE&amp;T leads.</w:t>
      </w:r>
    </w:p>
    <w:p w:rsidR="00000000" w:rsidDel="00000000" w:rsidP="00000000" w:rsidRDefault="00000000" w:rsidRPr="00000000" w14:paraId="000001A6">
      <w:pPr>
        <w:numPr>
          <w:ilvl w:val="1"/>
          <w:numId w:val="4"/>
        </w:numPr>
        <w:ind w:left="1440" w:hanging="360"/>
        <w:rPr>
          <w:u w:val="none"/>
        </w:rPr>
      </w:pPr>
      <w:r w:rsidDel="00000000" w:rsidR="00000000" w:rsidRPr="00000000">
        <w:rPr>
          <w:b w:val="1"/>
          <w:rtl w:val="0"/>
        </w:rPr>
        <w:t xml:space="preserve">SoCalREN Response</w:t>
      </w:r>
      <w:r w:rsidDel="00000000" w:rsidR="00000000" w:rsidRPr="00000000">
        <w:rPr>
          <w:rtl w:val="0"/>
        </w:rPr>
        <w:t xml:space="preserve">: Our E-Contractor Academy does support SMBE's to become participating contractors into SoCalREN, SCE and SoCalGas programs by providing training workshops. It does not currently support ESAP but it will once the CEC EBD programs are launched - the SoCalREN E-Contractor academy has a decarbonization pathway which will support both market rate and Low-income qualified programs to provide direct training and an opportunity pipeline (connection to projects).</w:t>
      </w:r>
    </w:p>
    <w:p w:rsidR="00000000" w:rsidDel="00000000" w:rsidP="00000000" w:rsidRDefault="00000000" w:rsidRPr="00000000" w14:paraId="000001A7">
      <w:pPr>
        <w:pStyle w:val="Heading2"/>
        <w:keepNext w:val="0"/>
        <w:keepLines w:val="0"/>
        <w:spacing w:before="200" w:line="240" w:lineRule="auto"/>
        <w:rPr>
          <w:i w:val="1"/>
          <w:color w:val="2a2a2a"/>
          <w:sz w:val="28"/>
          <w:szCs w:val="28"/>
        </w:rPr>
      </w:pPr>
      <w:bookmarkStart w:colFirst="0" w:colLast="0" w:name="_o6xhcoqalnm9" w:id="33"/>
      <w:bookmarkEnd w:id="33"/>
      <w:r w:rsidDel="00000000" w:rsidR="00000000" w:rsidRPr="00000000">
        <w:rPr>
          <w:color w:val="2a2a2a"/>
          <w:sz w:val="28"/>
          <w:szCs w:val="28"/>
          <w:rtl w:val="0"/>
        </w:rPr>
        <w:t xml:space="preserve">PG&amp;E Q&amp;A and </w:t>
      </w:r>
      <w:r w:rsidDel="00000000" w:rsidR="00000000" w:rsidRPr="00000000">
        <w:rPr>
          <w:i w:val="1"/>
          <w:color w:val="2a2a2a"/>
          <w:sz w:val="28"/>
          <w:szCs w:val="28"/>
          <w:rtl w:val="0"/>
        </w:rPr>
        <w:t xml:space="preserve">Input</w:t>
      </w:r>
    </w:p>
    <w:p w:rsidR="00000000" w:rsidDel="00000000" w:rsidP="00000000" w:rsidRDefault="00000000" w:rsidRPr="00000000" w14:paraId="000001A8">
      <w:pPr>
        <w:numPr>
          <w:ilvl w:val="0"/>
          <w:numId w:val="15"/>
        </w:numPr>
        <w:ind w:left="720" w:hanging="360"/>
      </w:pPr>
      <w:r w:rsidDel="00000000" w:rsidR="00000000" w:rsidRPr="00000000">
        <w:rPr>
          <w:b w:val="1"/>
          <w:rtl w:val="0"/>
        </w:rPr>
        <w:t xml:space="preserve">Ely Jacobsbohn (CPUC):</w:t>
      </w:r>
      <w:r w:rsidDel="00000000" w:rsidR="00000000" w:rsidRPr="00000000">
        <w:rPr>
          <w:rtl w:val="0"/>
        </w:rPr>
        <w:t xml:space="preserve"> Can PGE describe why the building envelope is such a high TSB measure for agriculture?</w:t>
      </w:r>
    </w:p>
    <w:p w:rsidR="00000000" w:rsidDel="00000000" w:rsidP="00000000" w:rsidRDefault="00000000" w:rsidRPr="00000000" w14:paraId="000001A9">
      <w:pPr>
        <w:numPr>
          <w:ilvl w:val="1"/>
          <w:numId w:val="15"/>
        </w:numPr>
        <w:ind w:left="1440" w:hanging="360"/>
      </w:pPr>
      <w:r w:rsidDel="00000000" w:rsidR="00000000" w:rsidRPr="00000000">
        <w:rPr>
          <w:b w:val="1"/>
          <w:rtl w:val="0"/>
        </w:rPr>
        <w:t xml:space="preserve">PG&amp;E Response: </w:t>
      </w:r>
      <w:r w:rsidDel="00000000" w:rsidR="00000000" w:rsidRPr="00000000">
        <w:rPr>
          <w:rtl w:val="0"/>
        </w:rPr>
      </w:r>
    </w:p>
    <w:tbl>
      <w:tblPr>
        <w:tblStyle w:val="Table2"/>
        <w:tblW w:w="79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2130"/>
        <w:tblGridChange w:id="0">
          <w:tblGrid>
            <w:gridCol w:w="5790"/>
            <w:gridCol w:w="2130"/>
          </w:tblGrid>
        </w:tblGridChange>
      </w:tblGrid>
      <w:tr>
        <w:trPr>
          <w:cantSplit w:val="0"/>
          <w:tblHeader w:val="0"/>
        </w:trPr>
        <w:tc>
          <w:tcPr>
            <w:shd w:fill="efefef" w:val="clear"/>
            <w:tcMar>
              <w:top w:w="100.0" w:type="dxa"/>
              <w:left w:w="100.0" w:type="dxa"/>
              <w:bottom w:w="100.0" w:type="dxa"/>
              <w:right w:w="100.0" w:type="dxa"/>
            </w:tcMar>
            <w:vAlign w:val="top"/>
          </w:tcPr>
          <w:bookmarkStart w:colFirst="0" w:colLast="0" w:name="961pvfcbhxnm" w:id="34"/>
          <w:bookmarkEnd w:id="34"/>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Building Envelope Measure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Sum of Total System Benefit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Heat curtain installed in single layer polycarbonate greenhouse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13,477,205.30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 film installed on double layer polyethylene greenhouse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1,759,046.55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Heat curtain installed in double layer polyethylene with IR greenhouse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1,360,562.15</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rPr>
            </w:pPr>
            <w:r w:rsidDel="00000000" w:rsidR="00000000" w:rsidRPr="00000000">
              <w:rPr>
                <w:i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16,596,813.99</w:t>
            </w:r>
          </w:p>
        </w:tc>
      </w:tr>
    </w:tbl>
    <w:p w:rsidR="00000000" w:rsidDel="00000000" w:rsidP="00000000" w:rsidRDefault="00000000" w:rsidRPr="00000000" w14:paraId="000001B4">
      <w:pPr>
        <w:numPr>
          <w:ilvl w:val="0"/>
          <w:numId w:val="15"/>
        </w:numPr>
        <w:ind w:left="720" w:hanging="360"/>
      </w:pPr>
      <w:r w:rsidDel="00000000" w:rsidR="00000000" w:rsidRPr="00000000">
        <w:rPr>
          <w:b w:val="1"/>
          <w:rtl w:val="0"/>
        </w:rPr>
        <w:t xml:space="preserve">Coby Rudolph (CPUC): </w:t>
      </w:r>
      <w:r w:rsidDel="00000000" w:rsidR="00000000" w:rsidRPr="00000000">
        <w:rPr>
          <w:rtl w:val="0"/>
        </w:rPr>
        <w:t xml:space="preserve">Wondering about SEM achievements and curious looking ahead for 2025, what do you expect and how much of this will be large projects?</w:t>
      </w:r>
    </w:p>
    <w:p w:rsidR="00000000" w:rsidDel="00000000" w:rsidP="00000000" w:rsidRDefault="00000000" w:rsidRPr="00000000" w14:paraId="000001B5">
      <w:pPr>
        <w:numPr>
          <w:ilvl w:val="1"/>
          <w:numId w:val="15"/>
        </w:numPr>
        <w:ind w:left="1440" w:hanging="360"/>
      </w:pPr>
      <w:r w:rsidDel="00000000" w:rsidR="00000000" w:rsidRPr="00000000">
        <w:rPr>
          <w:b w:val="1"/>
          <w:rtl w:val="0"/>
        </w:rPr>
        <w:t xml:space="preserve">PG&amp;E Response:</w:t>
      </w:r>
      <w:r w:rsidDel="00000000" w:rsidR="00000000" w:rsidRPr="00000000">
        <w:rPr>
          <w:rtl w:val="0"/>
        </w:rPr>
        <w:t xml:space="preserve"> PG&amp;E occasionally gets large projects and is not expecting large ones for 2025. There was one in 2024 that contributed 7M to TSB.</w:t>
      </w:r>
    </w:p>
    <w:p w:rsidR="00000000" w:rsidDel="00000000" w:rsidP="00000000" w:rsidRDefault="00000000" w:rsidRPr="00000000" w14:paraId="000001B6">
      <w:pPr>
        <w:numPr>
          <w:ilvl w:val="0"/>
          <w:numId w:val="15"/>
        </w:numPr>
        <w:spacing w:after="0" w:before="80" w:lineRule="auto"/>
        <w:ind w:left="720" w:hanging="360"/>
      </w:pPr>
      <w:r w:rsidDel="00000000" w:rsidR="00000000" w:rsidRPr="00000000">
        <w:rPr>
          <w:b w:val="1"/>
          <w:rtl w:val="0"/>
        </w:rPr>
        <w:t xml:space="preserve">Ted Howard (SBUA):</w:t>
      </w:r>
      <w:r w:rsidDel="00000000" w:rsidR="00000000" w:rsidRPr="00000000">
        <w:rPr>
          <w:rtl w:val="0"/>
        </w:rPr>
        <w:t xml:space="preserve"> The non-residential HVAC statewide program RFP notes a significant barrier to HP adoption due to a shortage of contractors promoting and integrating HP into business models. How do you plan to stimulate and encourage this? </w:t>
      </w:r>
    </w:p>
    <w:p w:rsidR="00000000" w:rsidDel="00000000" w:rsidP="00000000" w:rsidRDefault="00000000" w:rsidRPr="00000000" w14:paraId="000001B7">
      <w:pPr>
        <w:numPr>
          <w:ilvl w:val="1"/>
          <w:numId w:val="15"/>
        </w:numPr>
        <w:ind w:left="1440" w:hanging="360"/>
      </w:pPr>
      <w:r w:rsidDel="00000000" w:rsidR="00000000" w:rsidRPr="00000000">
        <w:rPr>
          <w:b w:val="1"/>
          <w:rtl w:val="0"/>
        </w:rPr>
        <w:t xml:space="preserve">PG&amp;E Response: </w:t>
      </w:r>
      <w:r w:rsidDel="00000000" w:rsidR="00000000" w:rsidRPr="00000000">
        <w:rPr>
          <w:rtl w:val="0"/>
        </w:rPr>
        <w:t xml:space="preserve">A core objective of the upcoming statewide HVAC is to drive adoption of all-electric HVAC solutions with installers as a critical unlock for broader market adoption. Installer demand directly influences distributor and retailer stocking decisions, and so engaging this segment is critical to driving supply chain alignment and ensuring availability of all-electric heat pump products across the market. At the same time, </w:t>
      </w:r>
      <w:r w:rsidDel="00000000" w:rsidR="00000000" w:rsidRPr="00000000">
        <w:rPr>
          <w:rtl w:val="0"/>
        </w:rPr>
        <w:t xml:space="preserve">end use customers</w:t>
      </w:r>
      <w:r w:rsidDel="00000000" w:rsidR="00000000" w:rsidRPr="00000000">
        <w:rPr>
          <w:rtl w:val="0"/>
        </w:rPr>
        <w:t xml:space="preserve"> often look to their installers as the trusted advisor on recommendations for appliance upgrades and expect that greater installer adoption will drive greater awareness, understanding and adoption with customers as well.</w:t>
      </w:r>
    </w:p>
    <w:p w:rsidR="00000000" w:rsidDel="00000000" w:rsidP="00000000" w:rsidRDefault="00000000" w:rsidRPr="00000000" w14:paraId="000001B8">
      <w:pPr>
        <w:pStyle w:val="Heading2"/>
        <w:keepNext w:val="0"/>
        <w:keepLines w:val="0"/>
        <w:spacing w:before="200" w:line="240" w:lineRule="auto"/>
        <w:rPr>
          <w:i w:val="1"/>
          <w:color w:val="2a2a2a"/>
          <w:sz w:val="28"/>
          <w:szCs w:val="28"/>
        </w:rPr>
      </w:pPr>
      <w:bookmarkStart w:colFirst="0" w:colLast="0" w:name="_oi7lh3jtjay" w:id="35"/>
      <w:bookmarkEnd w:id="35"/>
      <w:r w:rsidDel="00000000" w:rsidR="00000000" w:rsidRPr="00000000">
        <w:rPr>
          <w:color w:val="2a2a2a"/>
          <w:sz w:val="28"/>
          <w:szCs w:val="28"/>
          <w:rtl w:val="0"/>
        </w:rPr>
        <w:t xml:space="preserve">MCE Q&amp;A and </w:t>
      </w:r>
      <w:r w:rsidDel="00000000" w:rsidR="00000000" w:rsidRPr="00000000">
        <w:rPr>
          <w:i w:val="1"/>
          <w:color w:val="2a2a2a"/>
          <w:sz w:val="28"/>
          <w:szCs w:val="28"/>
          <w:rtl w:val="0"/>
        </w:rPr>
        <w:t xml:space="preserve">Input</w:t>
      </w:r>
    </w:p>
    <w:p w:rsidR="00000000" w:rsidDel="00000000" w:rsidP="00000000" w:rsidRDefault="00000000" w:rsidRPr="00000000" w14:paraId="000001B9">
      <w:pPr>
        <w:numPr>
          <w:ilvl w:val="0"/>
          <w:numId w:val="28"/>
        </w:numPr>
        <w:ind w:left="720" w:hanging="360"/>
      </w:pPr>
      <w:r w:rsidDel="00000000" w:rsidR="00000000" w:rsidRPr="00000000">
        <w:rPr>
          <w:b w:val="1"/>
          <w:rtl w:val="0"/>
        </w:rPr>
        <w:t xml:space="preserve">Stacie Risley (SDG&amp;E): </w:t>
      </w:r>
      <w:r w:rsidDel="00000000" w:rsidR="00000000" w:rsidRPr="00000000">
        <w:rPr>
          <w:rtl w:val="0"/>
        </w:rPr>
        <w:t xml:space="preserve">What occurred in the Agricultural sector where there was a presence in 2023 but not 2024?</w:t>
      </w:r>
    </w:p>
    <w:p w:rsidR="00000000" w:rsidDel="00000000" w:rsidP="00000000" w:rsidRDefault="00000000" w:rsidRPr="00000000" w14:paraId="000001BA">
      <w:pPr>
        <w:numPr>
          <w:ilvl w:val="1"/>
          <w:numId w:val="28"/>
        </w:numPr>
        <w:ind w:left="1440" w:hanging="360"/>
        <w:rPr>
          <w:u w:val="none"/>
        </w:rPr>
      </w:pPr>
      <w:r w:rsidDel="00000000" w:rsidR="00000000" w:rsidRPr="00000000">
        <w:rPr>
          <w:b w:val="1"/>
          <w:rtl w:val="0"/>
        </w:rPr>
        <w:t xml:space="preserve">MCE Response:</w:t>
      </w:r>
      <w:r w:rsidDel="00000000" w:rsidR="00000000" w:rsidRPr="00000000">
        <w:rPr>
          <w:rtl w:val="0"/>
        </w:rPr>
        <w:t xml:space="preserve"> MCE doesn’t have a </w:t>
      </w:r>
      <w:r w:rsidDel="00000000" w:rsidR="00000000" w:rsidRPr="00000000">
        <w:rPr>
          <w:rtl w:val="0"/>
        </w:rPr>
        <w:t xml:space="preserve">standalone</w:t>
      </w:r>
      <w:r w:rsidDel="00000000" w:rsidR="00000000" w:rsidRPr="00000000">
        <w:rPr>
          <w:rtl w:val="0"/>
        </w:rPr>
        <w:t xml:space="preserve"> agricultural program and has very few customers categorized as agricultural in the service area. For example, in Napa, a lot of agriculture is classified as commercial. Overall, there's significant participation fluctuation year to year.</w:t>
      </w:r>
    </w:p>
    <w:p w:rsidR="00000000" w:rsidDel="00000000" w:rsidP="00000000" w:rsidRDefault="00000000" w:rsidRPr="00000000" w14:paraId="000001BB">
      <w:pPr>
        <w:numPr>
          <w:ilvl w:val="0"/>
          <w:numId w:val="28"/>
        </w:numPr>
        <w:ind w:left="720" w:hanging="360"/>
      </w:pPr>
      <w:r w:rsidDel="00000000" w:rsidR="00000000" w:rsidRPr="00000000">
        <w:rPr>
          <w:b w:val="1"/>
          <w:rtl w:val="0"/>
        </w:rPr>
        <w:t xml:space="preserve">Coby Rudolph (CPUC):</w:t>
      </w:r>
      <w:r w:rsidDel="00000000" w:rsidR="00000000" w:rsidRPr="00000000">
        <w:rPr>
          <w:rtl w:val="0"/>
        </w:rPr>
        <w:t xml:space="preserve"> Since market access programs are mostly pay-for-performance, where is the higher expenditures proportional to TSB coming from?</w:t>
      </w:r>
    </w:p>
    <w:p w:rsidR="00000000" w:rsidDel="00000000" w:rsidP="00000000" w:rsidRDefault="00000000" w:rsidRPr="00000000" w14:paraId="000001BC">
      <w:pPr>
        <w:numPr>
          <w:ilvl w:val="1"/>
          <w:numId w:val="28"/>
        </w:numPr>
        <w:ind w:left="1440" w:hanging="360"/>
        <w:rPr>
          <w:b w:val="1"/>
        </w:rPr>
      </w:pPr>
      <w:r w:rsidDel="00000000" w:rsidR="00000000" w:rsidRPr="00000000">
        <w:rPr>
          <w:b w:val="1"/>
          <w:rtl w:val="0"/>
        </w:rPr>
        <w:t xml:space="preserve">MCE Response:</w:t>
      </w:r>
      <w:r w:rsidDel="00000000" w:rsidR="00000000" w:rsidRPr="00000000">
        <w:rPr>
          <w:rtl w:val="0"/>
        </w:rPr>
        <w:t xml:space="preserve"> MCE’s Market Access Program is mostly paid for performance but also includes fixed costs. Some of these fixed costs include a transition with an implementer between program launch and program closeout, which impacted the portfolio. In addition, some programs from prior years didn’t meet the same extent of forecasted savings. All other factors are just the lack of volume in projects. </w:t>
      </w:r>
    </w:p>
    <w:p w:rsidR="00000000" w:rsidDel="00000000" w:rsidP="00000000" w:rsidRDefault="00000000" w:rsidRPr="00000000" w14:paraId="000001BD">
      <w:pPr>
        <w:numPr>
          <w:ilvl w:val="0"/>
          <w:numId w:val="28"/>
        </w:numPr>
        <w:ind w:left="720" w:hanging="360"/>
      </w:pPr>
      <w:r w:rsidDel="00000000" w:rsidR="00000000" w:rsidRPr="00000000">
        <w:rPr>
          <w:b w:val="1"/>
          <w:rtl w:val="0"/>
        </w:rPr>
        <w:t xml:space="preserve">Anonymous:</w:t>
      </w:r>
      <w:r w:rsidDel="00000000" w:rsidR="00000000" w:rsidRPr="00000000">
        <w:rPr>
          <w:rtl w:val="0"/>
        </w:rPr>
        <w:t xml:space="preserve"> What obstacles did the previous Flex Market Program face, and how do you think they were addressed with the implementer refresh?</w:t>
      </w:r>
    </w:p>
    <w:p w:rsidR="00000000" w:rsidDel="00000000" w:rsidP="00000000" w:rsidRDefault="00000000" w:rsidRPr="00000000" w14:paraId="000001BE">
      <w:pPr>
        <w:numPr>
          <w:ilvl w:val="1"/>
          <w:numId w:val="28"/>
        </w:numPr>
        <w:ind w:left="1440" w:hanging="360"/>
      </w:pPr>
      <w:r w:rsidDel="00000000" w:rsidR="00000000" w:rsidRPr="00000000">
        <w:rPr>
          <w:b w:val="1"/>
          <w:rtl w:val="0"/>
        </w:rPr>
        <w:t xml:space="preserve">MCE Response: </w:t>
      </w:r>
      <w:r w:rsidDel="00000000" w:rsidR="00000000" w:rsidRPr="00000000">
        <w:rPr>
          <w:rtl w:val="0"/>
        </w:rPr>
        <w:t xml:space="preserve">MCE faced challenges around implementer engagement, recruitment, and retention. Another challenge this last year was </w:t>
      </w:r>
      <w:r w:rsidDel="00000000" w:rsidR="00000000" w:rsidRPr="00000000">
        <w:rPr>
          <w:rtl w:val="0"/>
        </w:rPr>
        <w:t xml:space="preserve">measure</w:t>
      </w:r>
      <w:r w:rsidDel="00000000" w:rsidR="00000000" w:rsidRPr="00000000">
        <w:rPr>
          <w:rtl w:val="0"/>
        </w:rPr>
        <w:t xml:space="preserve"> cost, which is an external factor.</w:t>
      </w:r>
      <w:r w:rsidDel="00000000" w:rsidR="00000000" w:rsidRPr="00000000">
        <w:rPr>
          <w:rtl w:val="0"/>
        </w:rPr>
      </w:r>
    </w:p>
    <w:p w:rsidR="00000000" w:rsidDel="00000000" w:rsidP="00000000" w:rsidRDefault="00000000" w:rsidRPr="00000000" w14:paraId="000001BF">
      <w:pPr>
        <w:numPr>
          <w:ilvl w:val="0"/>
          <w:numId w:val="28"/>
        </w:numPr>
        <w:ind w:left="720" w:hanging="360"/>
      </w:pPr>
      <w:r w:rsidDel="00000000" w:rsidR="00000000" w:rsidRPr="00000000">
        <w:rPr>
          <w:b w:val="1"/>
          <w:rtl w:val="0"/>
        </w:rPr>
        <w:t xml:space="preserve">Ted Howard (SBUA): </w:t>
      </w:r>
      <w:r w:rsidDel="00000000" w:rsidR="00000000" w:rsidRPr="00000000">
        <w:rPr>
          <w:rtl w:val="0"/>
        </w:rPr>
        <w:t xml:space="preserve">What strategies does MCE have for the transition from early adopters to general for the Peak Flex Market and MCE Sync programs.</w:t>
      </w:r>
    </w:p>
    <w:p w:rsidR="00000000" w:rsidDel="00000000" w:rsidP="00000000" w:rsidRDefault="00000000" w:rsidRPr="00000000" w14:paraId="000001C0">
      <w:pPr>
        <w:numPr>
          <w:ilvl w:val="1"/>
          <w:numId w:val="28"/>
        </w:numPr>
        <w:ind w:left="1440" w:hanging="360"/>
        <w:rPr>
          <w:u w:val="none"/>
        </w:rPr>
      </w:pPr>
      <w:r w:rsidDel="00000000" w:rsidR="00000000" w:rsidRPr="00000000">
        <w:rPr>
          <w:b w:val="1"/>
          <w:rtl w:val="0"/>
        </w:rPr>
        <w:t xml:space="preserve">MCE Response: </w:t>
      </w:r>
      <w:r w:rsidDel="00000000" w:rsidR="00000000" w:rsidRPr="00000000">
        <w:rPr>
          <w:rtl w:val="0"/>
        </w:rPr>
        <w:t xml:space="preserve">MCE has 3 Flex Market programs (2 fall within EE portfolio and one outside). In past years MCE Sync was in the demand response program and currently is funding out of MCE’s operational funds. Due to the scope of this meeting, this question will be followed up offline. </w:t>
      </w:r>
    </w:p>
    <w:p w:rsidR="00000000" w:rsidDel="00000000" w:rsidP="00000000" w:rsidRDefault="00000000" w:rsidRPr="00000000" w14:paraId="000001C1">
      <w:pPr>
        <w:pStyle w:val="Heading2"/>
        <w:keepNext w:val="0"/>
        <w:keepLines w:val="0"/>
        <w:spacing w:before="200" w:line="240" w:lineRule="auto"/>
        <w:rPr>
          <w:i w:val="1"/>
          <w:color w:val="2a2a2a"/>
          <w:sz w:val="28"/>
          <w:szCs w:val="28"/>
        </w:rPr>
      </w:pPr>
      <w:bookmarkStart w:colFirst="0" w:colLast="0" w:name="_9pqovk4hvw3g" w:id="36"/>
      <w:bookmarkEnd w:id="36"/>
      <w:r w:rsidDel="00000000" w:rsidR="00000000" w:rsidRPr="00000000">
        <w:rPr>
          <w:color w:val="2a2a2a"/>
          <w:sz w:val="28"/>
          <w:szCs w:val="28"/>
          <w:rtl w:val="0"/>
        </w:rPr>
        <w:t xml:space="preserve">BayREN Q&amp;A and </w:t>
      </w:r>
      <w:r w:rsidDel="00000000" w:rsidR="00000000" w:rsidRPr="00000000">
        <w:rPr>
          <w:i w:val="1"/>
          <w:color w:val="2a2a2a"/>
          <w:sz w:val="28"/>
          <w:szCs w:val="28"/>
          <w:rtl w:val="0"/>
        </w:rPr>
        <w:t xml:space="preserve">Input</w:t>
      </w:r>
    </w:p>
    <w:p w:rsidR="00000000" w:rsidDel="00000000" w:rsidP="00000000" w:rsidRDefault="00000000" w:rsidRPr="00000000" w14:paraId="000001C2">
      <w:pPr>
        <w:numPr>
          <w:ilvl w:val="0"/>
          <w:numId w:val="8"/>
        </w:numPr>
        <w:ind w:left="720" w:hanging="360"/>
        <w:rPr>
          <w:u w:val="none"/>
        </w:rPr>
      </w:pPr>
      <w:r w:rsidDel="00000000" w:rsidR="00000000" w:rsidRPr="00000000">
        <w:rPr>
          <w:b w:val="1"/>
          <w:rtl w:val="0"/>
        </w:rPr>
        <w:t xml:space="preserve">Coby Rudolph (CPUC):</w:t>
      </w:r>
      <w:r w:rsidDel="00000000" w:rsidR="00000000" w:rsidRPr="00000000">
        <w:rPr>
          <w:rtl w:val="0"/>
        </w:rPr>
        <w:t xml:space="preserve"> For the resource acquisition (RA) program, because there’s no TRC requirement for the segment, how do you think about CE (TSB, expenditures vs TSB, etc) and how do you hope these improve in future budget cycles? </w:t>
      </w:r>
    </w:p>
    <w:p w:rsidR="00000000" w:rsidDel="00000000" w:rsidP="00000000" w:rsidRDefault="00000000" w:rsidRPr="00000000" w14:paraId="000001C3">
      <w:pPr>
        <w:numPr>
          <w:ilvl w:val="1"/>
          <w:numId w:val="8"/>
        </w:numPr>
        <w:spacing w:after="0" w:afterAutospacing="0"/>
        <w:ind w:left="1440" w:hanging="360"/>
        <w:rPr>
          <w:u w:val="none"/>
        </w:rPr>
      </w:pPr>
      <w:r w:rsidDel="00000000" w:rsidR="00000000" w:rsidRPr="00000000">
        <w:rPr>
          <w:b w:val="1"/>
          <w:rtl w:val="0"/>
        </w:rPr>
        <w:t xml:space="preserve">BayREN Response</w:t>
      </w:r>
      <w:r w:rsidDel="00000000" w:rsidR="00000000" w:rsidRPr="00000000">
        <w:rPr>
          <w:rtl w:val="0"/>
        </w:rPr>
        <w:t xml:space="preserve">: </w:t>
      </w:r>
      <w:r w:rsidDel="00000000" w:rsidR="00000000" w:rsidRPr="00000000">
        <w:rPr>
          <w:rtl w:val="0"/>
        </w:rPr>
        <w:t xml:space="preserve">BayREN Business is the only Resource Acquisition program in BayREN’s portfolio. Although we are not held to achieving TRC, we strive to make the numbers, while also recognizing these projects require more incentives for the improvements given our focus of solely working with small HTR businesses.</w:t>
      </w:r>
    </w:p>
    <w:p w:rsidR="00000000" w:rsidDel="00000000" w:rsidP="00000000" w:rsidRDefault="00000000" w:rsidRPr="00000000" w14:paraId="000001C4">
      <w:pPr>
        <w:numPr>
          <w:ilvl w:val="2"/>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2160" w:hanging="360"/>
      </w:pPr>
      <w:r w:rsidDel="00000000" w:rsidR="00000000" w:rsidRPr="00000000">
        <w:rPr>
          <w:rtl w:val="0"/>
        </w:rPr>
        <w:t xml:space="preserve">BayREN Business sets its base incentives at a 3:4 ratio to the Total System Benefit (TSB) generated by each completed project. In other words, the standard incentive rate is $0.75 for every $1.00 of TSB. However, contractors are generally less motivated to pursue projects at small HTR businesses, as they typically generate lower energy savings that don’t justify the higher customer acquisition costs. Additionally, many HTR businesses are cash-constrained and unable to afford any out-of-pocket expenses for energy upgrades.</w:t>
      </w:r>
    </w:p>
    <w:p w:rsidR="00000000" w:rsidDel="00000000" w:rsidP="00000000" w:rsidRDefault="00000000" w:rsidRPr="00000000" w14:paraId="000001C5">
      <w:pPr>
        <w:numPr>
          <w:ilvl w:val="2"/>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2160" w:hanging="360"/>
      </w:pPr>
      <w:r w:rsidDel="00000000" w:rsidR="00000000" w:rsidRPr="00000000">
        <w:rPr>
          <w:rtl w:val="0"/>
        </w:rPr>
        <w:t xml:space="preserve">To overcome the financial barrier for the businesses and make this sector more attractive to contractors, BayREN Business applies an incentive multiplier to the base incentive rate specifically for HTR businesses. As a result, the incentive amounts are often high enough to cover most or all of the cost of the projects, making the upgrades little to no cost for the customers. In 2024, BayREN Business incentives made up approximately 66% of the program budget.</w:t>
      </w:r>
    </w:p>
    <w:p w:rsidR="00000000" w:rsidDel="00000000" w:rsidP="00000000" w:rsidRDefault="00000000" w:rsidRPr="00000000" w14:paraId="000001C6">
      <w:pPr>
        <w:numPr>
          <w:ilvl w:val="2"/>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2160" w:hanging="360"/>
      </w:pPr>
      <w:r w:rsidDel="00000000" w:rsidR="00000000" w:rsidRPr="00000000">
        <w:rPr>
          <w:rtl w:val="0"/>
        </w:rPr>
        <w:t xml:space="preserve">To improve cost-effectiveness, we are actively evaluating the following strategies: reducing the incentive multiplier without chilling the market; recruiting aggregators to expand the range of measures offered to include more high-TSB measures; and using new technologies to streamline processes to reduce implementation costs.</w:t>
      </w:r>
      <w:r w:rsidDel="00000000" w:rsidR="00000000" w:rsidRPr="00000000">
        <w:rPr>
          <w:rtl w:val="0"/>
        </w:rPr>
      </w:r>
    </w:p>
    <w:p w:rsidR="00000000" w:rsidDel="00000000" w:rsidP="00000000" w:rsidRDefault="00000000" w:rsidRPr="00000000" w14:paraId="000001C7">
      <w:pPr>
        <w:numPr>
          <w:ilvl w:val="0"/>
          <w:numId w:val="8"/>
        </w:numPr>
        <w:ind w:left="720" w:hanging="360"/>
      </w:pPr>
      <w:r w:rsidDel="00000000" w:rsidR="00000000" w:rsidRPr="00000000">
        <w:rPr>
          <w:b w:val="1"/>
          <w:rtl w:val="0"/>
        </w:rPr>
        <w:t xml:space="preserve">Pamela Rittlemeyer (CPUC)</w:t>
      </w:r>
      <w:r w:rsidDel="00000000" w:rsidR="00000000" w:rsidRPr="00000000">
        <w:rPr>
          <w:rtl w:val="0"/>
        </w:rPr>
        <w:t xml:space="preserve">: Can you provide any details on the Climate Careers program and any overlap with PG&amp;E ESA program?</w:t>
      </w:r>
    </w:p>
    <w:p w:rsidR="00000000" w:rsidDel="00000000" w:rsidP="00000000" w:rsidRDefault="00000000" w:rsidRPr="00000000" w14:paraId="000001C8">
      <w:pPr>
        <w:numPr>
          <w:ilvl w:val="1"/>
          <w:numId w:val="8"/>
        </w:numPr>
        <w:ind w:left="1440" w:hanging="360"/>
      </w:pPr>
      <w:r w:rsidDel="00000000" w:rsidR="00000000" w:rsidRPr="00000000">
        <w:rPr>
          <w:b w:val="1"/>
          <w:rtl w:val="0"/>
        </w:rPr>
        <w:t xml:space="preserve">BayREN Response: </w:t>
      </w:r>
      <w:r w:rsidDel="00000000" w:rsidR="00000000" w:rsidRPr="00000000">
        <w:rPr>
          <w:rtl w:val="0"/>
        </w:rPr>
        <w:t xml:space="preserve">The Green House Calls provide an introductory EE touchpoint for many customers. The youth employed work on building trust in the communities they serve. In relation to ESA, there is overlap, but not duplication. Youth are trained to identify measure installation criteria and they won’t install items that don’t meet that criteria or if the measures are already in place. The ESA program can work with the low income customers we serve to provide even more improvements and benefits to that customer.  We see an opportunity to better coordinate with ESA and provide them with a warm lead. The concern we have is getting reassurance from ESA that they have a contractor in that community and are ready to go. We don’t want the customer placed on a waitlist that could potentially be years out. We hope to formalize a way in which our programs can coordinate directly in the next JCM cycle. That may involve needing to request scheduling details from ESA.</w:t>
      </w:r>
    </w:p>
    <w:p w:rsidR="00000000" w:rsidDel="00000000" w:rsidP="00000000" w:rsidRDefault="00000000" w:rsidRPr="00000000" w14:paraId="000001C9">
      <w:pPr>
        <w:numPr>
          <w:ilvl w:val="0"/>
          <w:numId w:val="8"/>
        </w:numPr>
        <w:spacing w:after="0" w:afterAutospacing="0"/>
        <w:ind w:left="720" w:hanging="360"/>
      </w:pPr>
      <w:r w:rsidDel="00000000" w:rsidR="00000000" w:rsidRPr="00000000">
        <w:rPr>
          <w:b w:val="1"/>
          <w:rtl w:val="0"/>
        </w:rPr>
        <w:t xml:space="preserve">Ely Jacobsohn (CPUC)</w:t>
      </w:r>
      <w:r w:rsidDel="00000000" w:rsidR="00000000" w:rsidRPr="00000000">
        <w:rPr>
          <w:rtl w:val="0"/>
        </w:rPr>
        <w:t xml:space="preserve">: How will DOE's current approach to reducing energy efficiency and renewable resources for communities and labs impact BayREN's implementation of Home Energy Score? Do you have any concerns about continuity?</w:t>
      </w:r>
    </w:p>
    <w:p w:rsidR="00000000" w:rsidDel="00000000" w:rsidP="00000000" w:rsidRDefault="00000000" w:rsidRPr="00000000" w14:paraId="000001CA">
      <w:pPr>
        <w:numPr>
          <w:ilvl w:val="1"/>
          <w:numId w:val="8"/>
        </w:numPr>
        <w:spacing w:after="0" w:afterAutospacing="0" w:before="0" w:beforeAutospacing="0" w:lineRule="auto"/>
        <w:ind w:left="1440" w:hanging="360"/>
      </w:pPr>
      <w:r w:rsidDel="00000000" w:rsidR="00000000" w:rsidRPr="00000000">
        <w:rPr>
          <w:b w:val="1"/>
          <w:rtl w:val="0"/>
        </w:rPr>
        <w:t xml:space="preserve">BayREN Response: </w:t>
      </w:r>
      <w:r w:rsidDel="00000000" w:rsidR="00000000" w:rsidRPr="00000000">
        <w:rPr>
          <w:rtl w:val="0"/>
        </w:rPr>
        <w:t xml:space="preserve">BayREN doesn’t have concerns about continuity or implementing the DOE’s Home Energy Score tool currently. We have direct contacts at the DOE with people that work on this tool, and we have formal quarterly check-in meetings as well. We have discussed potential “plan B” options, should there be a disruption to the tool and maintaining continuity.</w:t>
      </w:r>
      <w:r w:rsidDel="00000000" w:rsidR="00000000" w:rsidRPr="00000000">
        <w:rPr>
          <w:rtl w:val="0"/>
        </w:rPr>
      </w:r>
    </w:p>
    <w:p w:rsidR="00000000" w:rsidDel="00000000" w:rsidP="00000000" w:rsidRDefault="00000000" w:rsidRPr="00000000" w14:paraId="000001CB">
      <w:pPr>
        <w:numPr>
          <w:ilvl w:val="0"/>
          <w:numId w:val="8"/>
        </w:numPr>
        <w:ind w:left="720" w:hanging="360"/>
      </w:pPr>
      <w:r w:rsidDel="00000000" w:rsidR="00000000" w:rsidRPr="00000000">
        <w:rPr>
          <w:b w:val="1"/>
          <w:rtl w:val="0"/>
        </w:rPr>
        <w:t xml:space="preserve">Anonymous</w:t>
      </w:r>
      <w:r w:rsidDel="00000000" w:rsidR="00000000" w:rsidRPr="00000000">
        <w:rPr>
          <w:rtl w:val="0"/>
        </w:rPr>
        <w:t xml:space="preserve">: Can you provide details as to why the MF experienced delays? Do you expect such delays to continue, and, if so, what steps are you taking to address these project delays? </w:t>
      </w:r>
    </w:p>
    <w:p w:rsidR="00000000" w:rsidDel="00000000" w:rsidP="00000000" w:rsidRDefault="00000000" w:rsidRPr="00000000" w14:paraId="000001CC">
      <w:pPr>
        <w:numPr>
          <w:ilvl w:val="1"/>
          <w:numId w:val="8"/>
        </w:numPr>
        <w:spacing w:after="0" w:afterAutospacing="0"/>
        <w:ind w:left="1440" w:hanging="360"/>
      </w:pPr>
      <w:r w:rsidDel="00000000" w:rsidR="00000000" w:rsidRPr="00000000">
        <w:rPr>
          <w:b w:val="1"/>
          <w:rtl w:val="0"/>
        </w:rPr>
        <w:t xml:space="preserve">BayREN Response</w:t>
      </w:r>
      <w:r w:rsidDel="00000000" w:rsidR="00000000" w:rsidRPr="00000000">
        <w:rPr>
          <w:rtl w:val="0"/>
        </w:rPr>
        <w:t xml:space="preserve">: </w:t>
      </w:r>
      <w:r w:rsidDel="00000000" w:rsidR="00000000" w:rsidRPr="00000000">
        <w:rPr>
          <w:rtl w:val="0"/>
        </w:rPr>
        <w:t xml:space="preserve">The 2024 MF program had a strong pipeline and some projects experienced delays or took longer to complete based on various factors (bullets below). The unspent incentive funds in 2024 were carried over into 2025 and BayREN anticipates no issues spending down these funds in 2025. BayREN encourages our project managers to be efficient with their timelines, but not currently explicitly pushing them to complete within a year. We are considering implementing required timelines for different stages of a project - e.g. 6 mo. deadlines from rebate reservation to install and rebate payment.</w:t>
      </w:r>
    </w:p>
    <w:p w:rsidR="00000000" w:rsidDel="00000000" w:rsidP="00000000" w:rsidRDefault="00000000" w:rsidRPr="00000000" w14:paraId="000001CD">
      <w:pPr>
        <w:numPr>
          <w:ilvl w:val="2"/>
          <w:numId w:val="8"/>
        </w:numPr>
        <w:spacing w:after="0" w:afterAutospacing="0" w:before="0" w:beforeAutospacing="0" w:lineRule="auto"/>
        <w:ind w:left="2160" w:hanging="360"/>
      </w:pPr>
      <w:r w:rsidDel="00000000" w:rsidR="00000000" w:rsidRPr="00000000">
        <w:rPr>
          <w:rtl w:val="0"/>
        </w:rPr>
        <w:t xml:space="preserve">Electrification projects generally take longer to complete, often over a year from scope development through install</w:t>
      </w:r>
    </w:p>
    <w:p w:rsidR="00000000" w:rsidDel="00000000" w:rsidP="00000000" w:rsidRDefault="00000000" w:rsidRPr="00000000" w14:paraId="000001CE">
      <w:pPr>
        <w:numPr>
          <w:ilvl w:val="2"/>
          <w:numId w:val="8"/>
        </w:numPr>
        <w:spacing w:after="0" w:afterAutospacing="0" w:before="0" w:beforeAutospacing="0" w:lineRule="auto"/>
        <w:ind w:left="2160" w:hanging="360"/>
      </w:pPr>
      <w:r w:rsidDel="00000000" w:rsidR="00000000" w:rsidRPr="00000000">
        <w:rPr>
          <w:rtl w:val="0"/>
        </w:rPr>
        <w:t xml:space="preserve">Projects often co-leverage multiple programs, requiring significantly more time to coordinate</w:t>
      </w:r>
    </w:p>
    <w:p w:rsidR="00000000" w:rsidDel="00000000" w:rsidP="00000000" w:rsidRDefault="00000000" w:rsidRPr="00000000" w14:paraId="000001CF">
      <w:pPr>
        <w:numPr>
          <w:ilvl w:val="2"/>
          <w:numId w:val="8"/>
        </w:numPr>
        <w:spacing w:after="0" w:afterAutospacing="0" w:before="0" w:beforeAutospacing="0" w:lineRule="auto"/>
        <w:ind w:left="2160" w:hanging="360"/>
      </w:pPr>
      <w:r w:rsidDel="00000000" w:rsidR="00000000" w:rsidRPr="00000000">
        <w:rPr>
          <w:rtl w:val="0"/>
        </w:rPr>
        <w:t xml:space="preserve">Needed electrical infrastructure upgrades (common area and/or in unit) and related PG&amp;E permitting can significantly delay projects</w:t>
      </w:r>
    </w:p>
    <w:p w:rsidR="00000000" w:rsidDel="00000000" w:rsidP="00000000" w:rsidRDefault="00000000" w:rsidRPr="00000000" w14:paraId="000001D0">
      <w:pPr>
        <w:numPr>
          <w:ilvl w:val="2"/>
          <w:numId w:val="8"/>
        </w:numPr>
        <w:spacing w:before="0" w:beforeAutospacing="0" w:lineRule="auto"/>
        <w:ind w:left="2160" w:hanging="360"/>
      </w:pPr>
      <w:r w:rsidDel="00000000" w:rsidR="00000000" w:rsidRPr="00000000">
        <w:rPr>
          <w:rtl w:val="0"/>
        </w:rPr>
        <w:t xml:space="preserve">Heat pump equipment procurement timelines can very widely</w:t>
      </w:r>
    </w:p>
    <w:p w:rsidR="00000000" w:rsidDel="00000000" w:rsidP="00000000" w:rsidRDefault="00000000" w:rsidRPr="00000000" w14:paraId="000001D1">
      <w:pPr>
        <w:pStyle w:val="Heading2"/>
        <w:rPr/>
      </w:pPr>
      <w:bookmarkStart w:colFirst="0" w:colLast="0" w:name="_n32yai1uwcos" w:id="37"/>
      <w:bookmarkEnd w:id="37"/>
      <w:r w:rsidDel="00000000" w:rsidR="00000000" w:rsidRPr="00000000">
        <w:rPr>
          <w:rtl w:val="0"/>
        </w:rPr>
        <w:t xml:space="preserve">General Q&amp;A and Input</w:t>
      </w:r>
    </w:p>
    <w:p w:rsidR="00000000" w:rsidDel="00000000" w:rsidP="00000000" w:rsidRDefault="00000000" w:rsidRPr="00000000" w14:paraId="000001D2">
      <w:pPr>
        <w:numPr>
          <w:ilvl w:val="0"/>
          <w:numId w:val="25"/>
        </w:numPr>
        <w:ind w:left="720" w:hanging="360"/>
      </w:pPr>
      <w:r w:rsidDel="00000000" w:rsidR="00000000" w:rsidRPr="00000000">
        <w:rPr>
          <w:b w:val="1"/>
          <w:rtl w:val="0"/>
        </w:rPr>
        <w:t xml:space="preserve">Ted Howard (SBUA)</w:t>
      </w:r>
      <w:r w:rsidDel="00000000" w:rsidR="00000000" w:rsidRPr="00000000">
        <w:rPr>
          <w:rtl w:val="0"/>
        </w:rPr>
        <w:t xml:space="preserve">: What are the updates on the alternatives to TRC (i.e. </w:t>
      </w:r>
      <w:r w:rsidDel="00000000" w:rsidR="00000000" w:rsidRPr="00000000">
        <w:rPr>
          <w:rtl w:val="0"/>
        </w:rPr>
        <w:t xml:space="preserve">Program</w:t>
      </w:r>
      <w:r w:rsidDel="00000000" w:rsidR="00000000" w:rsidRPr="00000000">
        <w:rPr>
          <w:rtl w:val="0"/>
        </w:rPr>
        <w:t xml:space="preserve"> Administrator Cost (PAC), societal cost test, etc) given the challenges in meeting a 1.0 TRC, concerns with affordability, and the results of the CPUC Auditor’s report?</w:t>
      </w:r>
    </w:p>
    <w:p w:rsidR="00000000" w:rsidDel="00000000" w:rsidP="00000000" w:rsidRDefault="00000000" w:rsidRPr="00000000" w14:paraId="000001D3">
      <w:pPr>
        <w:numPr>
          <w:ilvl w:val="1"/>
          <w:numId w:val="25"/>
        </w:numPr>
        <w:ind w:left="1440" w:hanging="360"/>
      </w:pPr>
      <w:r w:rsidDel="00000000" w:rsidR="00000000" w:rsidRPr="00000000">
        <w:rPr>
          <w:b w:val="1"/>
          <w:rtl w:val="0"/>
        </w:rPr>
        <w:t xml:space="preserve">Coby Rudolph (CPUC)</w:t>
      </w:r>
      <w:r w:rsidDel="00000000" w:rsidR="00000000" w:rsidRPr="00000000">
        <w:rPr>
          <w:rtl w:val="0"/>
        </w:rPr>
        <w:t xml:space="preserve">: The new rulemaking proceeding (</w:t>
      </w:r>
      <w:hyperlink r:id="rId19">
        <w:r w:rsidDel="00000000" w:rsidR="00000000" w:rsidRPr="00000000">
          <w:rPr>
            <w:color w:val="1155cc"/>
            <w:u w:val="single"/>
            <w:rtl w:val="0"/>
          </w:rPr>
          <w:t xml:space="preserve">R2504010</w:t>
        </w:r>
      </w:hyperlink>
      <w:r w:rsidDel="00000000" w:rsidR="00000000" w:rsidRPr="00000000">
        <w:rPr>
          <w:rtl w:val="0"/>
        </w:rPr>
        <w:t xml:space="preserve">) </w:t>
      </w:r>
      <w:hyperlink r:id="rId20">
        <w:r w:rsidDel="00000000" w:rsidR="00000000" w:rsidRPr="00000000">
          <w:rPr>
            <w:color w:val="1155cc"/>
            <w:u w:val="single"/>
            <w:rtl w:val="0"/>
          </w:rPr>
          <w:t xml:space="preserve">Scoping Ruling Memo</w:t>
        </w:r>
      </w:hyperlink>
      <w:r w:rsidDel="00000000" w:rsidR="00000000" w:rsidRPr="00000000">
        <w:rPr>
          <w:rtl w:val="0"/>
        </w:rPr>
        <w:t xml:space="preserve"> does mention CE tests, the state audit, and the executive order. In 2024, the claims from evaluated program data segment wide, IOUs are generally exceeding the 1.0 TRC threshold. Energy Division wants to study the kinds of interventions, capital projects, fuel substitution, and decarbonization opportunities as well as their impacts on affordability. More analysis and future discussion is needed. </w:t>
      </w:r>
    </w:p>
    <w:p w:rsidR="00000000" w:rsidDel="00000000" w:rsidP="00000000" w:rsidRDefault="00000000" w:rsidRPr="00000000" w14:paraId="000001D4">
      <w:pPr>
        <w:numPr>
          <w:ilvl w:val="0"/>
          <w:numId w:val="25"/>
        </w:numPr>
        <w:ind w:left="720" w:hanging="360"/>
      </w:pPr>
      <w:r w:rsidDel="00000000" w:rsidR="00000000" w:rsidRPr="00000000">
        <w:rPr>
          <w:b w:val="1"/>
          <w:rtl w:val="0"/>
        </w:rPr>
        <w:t xml:space="preserve">Anonymous</w:t>
      </w:r>
      <w:r w:rsidDel="00000000" w:rsidR="00000000" w:rsidRPr="00000000">
        <w:rPr>
          <w:rtl w:val="0"/>
        </w:rPr>
        <w:t xml:space="preserve">: How do the IOU PAs reconcile TSB being exceeded with significant budget underspend and missed energy savings goals? If energy savings goals are the primary driver of programs to help customers save money, does this imply most of the TSB of the portfolio accrue to the PA, not their customers?</w:t>
      </w:r>
    </w:p>
    <w:p w:rsidR="00000000" w:rsidDel="00000000" w:rsidP="00000000" w:rsidRDefault="00000000" w:rsidRPr="00000000" w14:paraId="000001D5">
      <w:pPr>
        <w:numPr>
          <w:ilvl w:val="1"/>
          <w:numId w:val="25"/>
        </w:numPr>
        <w:ind w:left="1440" w:hanging="360"/>
      </w:pPr>
      <w:r w:rsidDel="00000000" w:rsidR="00000000" w:rsidRPr="00000000">
        <w:rPr>
          <w:b w:val="1"/>
          <w:rtl w:val="0"/>
        </w:rPr>
        <w:t xml:space="preserve">Coby Rudolph (CPUC)</w:t>
      </w:r>
      <w:r w:rsidDel="00000000" w:rsidR="00000000" w:rsidRPr="00000000">
        <w:rPr>
          <w:rtl w:val="0"/>
        </w:rPr>
        <w:t xml:space="preserve">: The energy savings goals (which no longer exist) were first-year savings goals, not lifecycle savings goals. First-year savings goals don't fully capture customer bill impacts. </w:t>
      </w:r>
      <w:r w:rsidDel="00000000" w:rsidR="00000000" w:rsidRPr="00000000">
        <w:rPr>
          <w:rtl w:val="0"/>
        </w:rPr>
        <w:t xml:space="preserve">Instead, we now use the TSB goal and a cost-effectiveness requirement. </w:t>
      </w:r>
      <w:r w:rsidDel="00000000" w:rsidR="00000000" w:rsidRPr="00000000">
        <w:rPr>
          <w:rtl w:val="0"/>
        </w:rPr>
        <w:t xml:space="preserve">The following are included in TSB that aren’t fully represented in first year savings: Estimated useful life, fuel substitution, and peak savings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6">
      <w:pPr>
        <w:numPr>
          <w:ilvl w:val="0"/>
          <w:numId w:val="25"/>
        </w:numPr>
        <w:ind w:left="720" w:hanging="360"/>
      </w:pPr>
      <w:r w:rsidDel="00000000" w:rsidR="00000000" w:rsidRPr="00000000">
        <w:rPr>
          <w:b w:val="1"/>
          <w:rtl w:val="0"/>
        </w:rPr>
        <w:t xml:space="preserve">Anonymous</w:t>
      </w:r>
      <w:r w:rsidDel="00000000" w:rsidR="00000000" w:rsidRPr="00000000">
        <w:rPr>
          <w:rtl w:val="0"/>
        </w:rPr>
        <w:t xml:space="preserve">: Is the water heater measure being served by multiple programs downstream and the statewide midstream program?</w:t>
      </w:r>
    </w:p>
    <w:p w:rsidR="00000000" w:rsidDel="00000000" w:rsidP="00000000" w:rsidRDefault="00000000" w:rsidRPr="00000000" w14:paraId="000001D7">
      <w:pPr>
        <w:numPr>
          <w:ilvl w:val="1"/>
          <w:numId w:val="25"/>
        </w:numPr>
        <w:ind w:left="1440" w:hanging="360"/>
      </w:pPr>
      <w:r w:rsidDel="00000000" w:rsidR="00000000" w:rsidRPr="00000000">
        <w:rPr>
          <w:b w:val="1"/>
          <w:rtl w:val="0"/>
        </w:rPr>
        <w:t xml:space="preserve">SCE Response</w:t>
      </w:r>
      <w:r w:rsidDel="00000000" w:rsidR="00000000" w:rsidRPr="00000000">
        <w:rPr>
          <w:rtl w:val="0"/>
        </w:rPr>
        <w:t xml:space="preserve">: We will let the lead IOU PA share developments and offerings on the Statewide Midstream program. However, with respect to SCE’s programs, in 2024, this measure was offered predominantly to commercial customers through our Comprehensive Commercial Program.</w:t>
      </w:r>
    </w:p>
    <w:p w:rsidR="00000000" w:rsidDel="00000000" w:rsidP="00000000" w:rsidRDefault="00000000" w:rsidRPr="00000000" w14:paraId="000001D8">
      <w:pPr>
        <w:numPr>
          <w:ilvl w:val="1"/>
          <w:numId w:val="25"/>
        </w:numPr>
        <w:ind w:left="1440" w:hanging="360"/>
        <w:rPr/>
      </w:pPr>
      <w:r w:rsidDel="00000000" w:rsidR="00000000" w:rsidRPr="00000000">
        <w:rPr>
          <w:b w:val="1"/>
          <w:rtl w:val="0"/>
        </w:rPr>
        <w:t xml:space="preserve">Lead IOU</w:t>
      </w:r>
      <w:r w:rsidDel="00000000" w:rsidR="00000000" w:rsidRPr="00000000">
        <w:rPr>
          <w:b w:val="1"/>
          <w:rtl w:val="0"/>
        </w:rPr>
        <w:t xml:space="preserve"> Response</w:t>
      </w:r>
      <w:r w:rsidDel="00000000" w:rsidR="00000000" w:rsidRPr="00000000">
        <w:rPr>
          <w:rtl w:val="0"/>
        </w:rPr>
        <w:t xml:space="preserve">: </w:t>
      </w:r>
      <w:r w:rsidDel="00000000" w:rsidR="00000000" w:rsidRPr="00000000">
        <w:rPr>
          <w:i w:val="1"/>
          <w:rtl w:val="0"/>
        </w:rPr>
        <w:t xml:space="preserve">No response provided.</w:t>
      </w:r>
    </w:p>
    <w:p w:rsidR="00000000" w:rsidDel="00000000" w:rsidP="00000000" w:rsidRDefault="00000000" w:rsidRPr="00000000" w14:paraId="000001D9">
      <w:pPr>
        <w:numPr>
          <w:ilvl w:val="0"/>
          <w:numId w:val="25"/>
        </w:numPr>
        <w:ind w:left="720" w:hanging="360"/>
      </w:pPr>
      <w:r w:rsidDel="00000000" w:rsidR="00000000" w:rsidRPr="00000000">
        <w:rPr>
          <w:b w:val="1"/>
          <w:rtl w:val="0"/>
        </w:rPr>
        <w:t xml:space="preserve">Anonymous</w:t>
      </w:r>
      <w:r w:rsidDel="00000000" w:rsidR="00000000" w:rsidRPr="00000000">
        <w:rPr>
          <w:rtl w:val="0"/>
        </w:rPr>
        <w:t xml:space="preserve">: Has there been any other language [translation] needs seen in either customer or contractor segments across the REN's besides Spanish. If so, is this being addressed, or targeted for in future efforts?</w:t>
      </w:r>
      <w:r w:rsidDel="00000000" w:rsidR="00000000" w:rsidRPr="00000000">
        <w:rPr>
          <w:rtl w:val="0"/>
        </w:rPr>
      </w:r>
    </w:p>
    <w:p w:rsidR="00000000" w:rsidDel="00000000" w:rsidP="00000000" w:rsidRDefault="00000000" w:rsidRPr="00000000" w14:paraId="000001DA">
      <w:pPr>
        <w:numPr>
          <w:ilvl w:val="1"/>
          <w:numId w:val="25"/>
        </w:numPr>
        <w:ind w:left="1440" w:hanging="360"/>
      </w:pPr>
      <w:r w:rsidDel="00000000" w:rsidR="00000000" w:rsidRPr="00000000">
        <w:rPr>
          <w:b w:val="1"/>
          <w:rtl w:val="0"/>
        </w:rPr>
        <w:t xml:space="preserve">3C-REN Response</w:t>
      </w:r>
      <w:r w:rsidDel="00000000" w:rsidR="00000000" w:rsidRPr="00000000">
        <w:rPr>
          <w:rtl w:val="0"/>
        </w:rPr>
        <w:t xml:space="preserve">: </w:t>
      </w:r>
      <w:r w:rsidDel="00000000" w:rsidR="00000000" w:rsidRPr="00000000">
        <w:rPr>
          <w:highlight w:val="white"/>
          <w:rtl w:val="0"/>
        </w:rPr>
        <w:t xml:space="preserve">3C-REN's website is offered in Spanish as well as English and to-date, 97% of the non-English projects that have come through 3C-REN's residential single-family program are from Spanish-speaking customers. We have seen a small number of projects with customers who speak other languages such as Tagalog, Mandarin, and Farsi. 3C-REN is responsive to enrolled contractors if they have support needs related to serving customers in different languages.</w:t>
      </w:r>
      <w:r w:rsidDel="00000000" w:rsidR="00000000" w:rsidRPr="00000000">
        <w:rPr>
          <w:rtl w:val="0"/>
        </w:rPr>
      </w:r>
    </w:p>
    <w:p w:rsidR="00000000" w:rsidDel="00000000" w:rsidP="00000000" w:rsidRDefault="00000000" w:rsidRPr="00000000" w14:paraId="000001DB">
      <w:pPr>
        <w:numPr>
          <w:ilvl w:val="1"/>
          <w:numId w:val="25"/>
        </w:numPr>
        <w:ind w:left="1440" w:hanging="360"/>
        <w:rPr/>
      </w:pPr>
      <w:r w:rsidDel="00000000" w:rsidR="00000000" w:rsidRPr="00000000">
        <w:rPr>
          <w:b w:val="1"/>
          <w:rtl w:val="0"/>
        </w:rPr>
        <w:t xml:space="preserve">BayREN Response</w:t>
      </w:r>
      <w:r w:rsidDel="00000000" w:rsidR="00000000" w:rsidRPr="00000000">
        <w:rPr>
          <w:rtl w:val="0"/>
        </w:rPr>
        <w:t xml:space="preserve">: </w:t>
      </w:r>
      <w:r w:rsidDel="00000000" w:rsidR="00000000" w:rsidRPr="00000000">
        <w:rPr>
          <w:rtl w:val="0"/>
        </w:rPr>
        <w:t xml:space="preserve">BayREN’s website is available in English, Spanish, Simplified Chinese, Traditional Chinese, Vietnamese, Arabic, Tagalog, and Farsi. These languages were selected based on their prevalence in the Bay Area. For other materials, such as handouts, BayREN’s translation needs are often identified in collaboration with County partners. We commonly translate content into Spanish, Chinese, and Vietnamese. BayREN remains responsive to additional translation needs, including live translation services, and can utilize in-house support to ensure customers receive the information they require. </w:t>
      </w:r>
      <w:r w:rsidDel="00000000" w:rsidR="00000000" w:rsidRPr="00000000">
        <w:rPr>
          <w:rtl w:val="0"/>
        </w:rPr>
      </w:r>
    </w:p>
    <w:p w:rsidR="00000000" w:rsidDel="00000000" w:rsidP="00000000" w:rsidRDefault="00000000" w:rsidRPr="00000000" w14:paraId="000001DC">
      <w:pPr>
        <w:numPr>
          <w:ilvl w:val="1"/>
          <w:numId w:val="25"/>
        </w:numPr>
        <w:ind w:left="1440" w:hanging="360"/>
      </w:pPr>
      <w:r w:rsidDel="00000000" w:rsidR="00000000" w:rsidRPr="00000000">
        <w:rPr>
          <w:b w:val="1"/>
          <w:rtl w:val="0"/>
        </w:rPr>
        <w:t xml:space="preserve">CCR REN Response</w:t>
      </w:r>
      <w:r w:rsidDel="00000000" w:rsidR="00000000" w:rsidRPr="00000000">
        <w:rPr>
          <w:rtl w:val="0"/>
        </w:rPr>
        <w:t xml:space="preserve">: </w:t>
      </w:r>
      <w:r w:rsidDel="00000000" w:rsidR="00000000" w:rsidRPr="00000000">
        <w:rPr>
          <w:rtl w:val="0"/>
        </w:rPr>
        <w:t xml:space="preserve">CCR REN’s website and hotline will be available to customers in Spanish. We are exploring other languages that could be implemented as well. CCR REN’s Commercial, Residential, and WE&amp;T programs all offer services and printed materials in Spanish. Intake forms include “other languages spoken” selection to ensure the customer is receiving the level of service needed to participate in programs. Additionally, program providers and partner agencies strive to hire bilingual staff to support program implementation. </w:t>
      </w:r>
      <w:r w:rsidDel="00000000" w:rsidR="00000000" w:rsidRPr="00000000">
        <w:rPr>
          <w:rtl w:val="0"/>
        </w:rPr>
      </w:r>
    </w:p>
    <w:p w:rsidR="00000000" w:rsidDel="00000000" w:rsidP="00000000" w:rsidRDefault="00000000" w:rsidRPr="00000000" w14:paraId="000001DD">
      <w:pPr>
        <w:numPr>
          <w:ilvl w:val="1"/>
          <w:numId w:val="25"/>
        </w:numPr>
        <w:ind w:left="1440" w:hanging="360"/>
      </w:pPr>
      <w:r w:rsidDel="00000000" w:rsidR="00000000" w:rsidRPr="00000000">
        <w:rPr>
          <w:b w:val="1"/>
          <w:rtl w:val="0"/>
        </w:rPr>
        <w:t xml:space="preserve">I-REN Response</w:t>
      </w:r>
      <w:r w:rsidDel="00000000" w:rsidR="00000000" w:rsidRPr="00000000">
        <w:rPr>
          <w:rtl w:val="0"/>
        </w:rPr>
        <w:t xml:space="preserve">: </w:t>
      </w:r>
      <w:r w:rsidDel="00000000" w:rsidR="00000000" w:rsidRPr="00000000">
        <w:rPr>
          <w:rtl w:val="0"/>
        </w:rPr>
        <w:t xml:space="preserve">I-REN recognizes the opportunity to bridge translation gaps when delivering building codes resources, primarily for Spanish-speaking building professionals. According to the University of California, Riverside, 51% of the Inland Empire’s population is comprised by Latinos— an estimated 2.37 million people. Few local or statewide providers for multilingual codes or technical trainings currently exist, but are important to supporting codes enforcement and realized energy efficiency. I-REN is working on offering program collateral in Spanish. We recently launched live and on-demand options for Spanish speakers for every training held, and are working with Energy Code Ace to develop an English-to-Spanish technical energy term translation dictionary. As Energy Code Ace coordinates more broadly with the investor-owned utilities, I-REN aims to help develop a resource where professionals and translators can begin streamlining how terms are conveyed.</w:t>
      </w:r>
      <w:r w:rsidDel="00000000" w:rsidR="00000000" w:rsidRPr="00000000">
        <w:rPr>
          <w:rtl w:val="0"/>
        </w:rPr>
      </w:r>
    </w:p>
    <w:p w:rsidR="00000000" w:rsidDel="00000000" w:rsidP="00000000" w:rsidRDefault="00000000" w:rsidRPr="00000000" w14:paraId="000001DE">
      <w:pPr>
        <w:numPr>
          <w:ilvl w:val="1"/>
          <w:numId w:val="25"/>
        </w:numPr>
        <w:ind w:left="1440" w:hanging="360"/>
      </w:pPr>
      <w:r w:rsidDel="00000000" w:rsidR="00000000" w:rsidRPr="00000000">
        <w:rPr>
          <w:b w:val="1"/>
          <w:rtl w:val="0"/>
        </w:rPr>
        <w:t xml:space="preserve">NREN Response</w:t>
      </w:r>
      <w:r w:rsidDel="00000000" w:rsidR="00000000" w:rsidRPr="00000000">
        <w:rPr>
          <w:rtl w:val="0"/>
        </w:rPr>
        <w:t xml:space="preserve">: </w:t>
      </w:r>
      <w:r w:rsidDel="00000000" w:rsidR="00000000" w:rsidRPr="00000000">
        <w:rPr>
          <w:rtl w:val="0"/>
        </w:rPr>
        <w:t xml:space="preserve">Currently, NREN’s website is equipped with a google translate plug-in to be able to convert the website into a much larger choice of languages. We have only recently launched so we have not seen any customer or contractor inquiries come in languages other than Spanish. We are aware that our communities would certainly benefit from translation of our program documents into additional languages but currently don’t have the resources to achieve that at this time. We plan to explore it after more of our programs launch. </w:t>
      </w:r>
      <w:r w:rsidDel="00000000" w:rsidR="00000000" w:rsidRPr="00000000">
        <w:rPr>
          <w:rtl w:val="0"/>
        </w:rPr>
      </w:r>
    </w:p>
    <w:p w:rsidR="00000000" w:rsidDel="00000000" w:rsidP="00000000" w:rsidRDefault="00000000" w:rsidRPr="00000000" w14:paraId="000001DF">
      <w:pPr>
        <w:numPr>
          <w:ilvl w:val="1"/>
          <w:numId w:val="25"/>
        </w:numPr>
        <w:ind w:left="1440" w:hanging="360"/>
      </w:pPr>
      <w:r w:rsidDel="00000000" w:rsidR="00000000" w:rsidRPr="00000000">
        <w:rPr>
          <w:b w:val="1"/>
          <w:rtl w:val="0"/>
        </w:rPr>
        <w:t xml:space="preserve">SDREN Response</w:t>
      </w:r>
      <w:r w:rsidDel="00000000" w:rsidR="00000000" w:rsidRPr="00000000">
        <w:rPr>
          <w:rtl w:val="0"/>
        </w:rPr>
        <w:t xml:space="preserve">: SDREN has not launched programs yet and has not received inquiries from customers or contractors regarding translations. However, SDREN will prioritize offering in-language materials and will identify specific languages needed to reach our target audiences as we develop the outreach plans for each of our programs in Q4 2025 - Q1 2026.</w:t>
      </w:r>
    </w:p>
    <w:p w:rsidR="00000000" w:rsidDel="00000000" w:rsidP="00000000" w:rsidRDefault="00000000" w:rsidRPr="00000000" w14:paraId="000001E0">
      <w:pPr>
        <w:numPr>
          <w:ilvl w:val="1"/>
          <w:numId w:val="25"/>
        </w:numPr>
        <w:ind w:left="1440" w:hanging="360"/>
      </w:pPr>
      <w:r w:rsidDel="00000000" w:rsidR="00000000" w:rsidRPr="00000000">
        <w:rPr>
          <w:b w:val="1"/>
          <w:rtl w:val="0"/>
        </w:rPr>
        <w:t xml:space="preserve">SoCalREN Response</w:t>
      </w:r>
      <w:r w:rsidDel="00000000" w:rsidR="00000000" w:rsidRPr="00000000">
        <w:rPr>
          <w:rtl w:val="0"/>
        </w:rPr>
        <w:t xml:space="preserve">: </w:t>
      </w:r>
      <w:r w:rsidDel="00000000" w:rsidR="00000000" w:rsidRPr="00000000">
        <w:rPr>
          <w:i w:val="1"/>
          <w:rtl w:val="0"/>
        </w:rPr>
        <w:t xml:space="preserve">No response provided.</w:t>
      </w:r>
    </w:p>
    <w:p w:rsidR="00000000" w:rsidDel="00000000" w:rsidP="00000000" w:rsidRDefault="00000000" w:rsidRPr="00000000" w14:paraId="000001E1">
      <w:pPr>
        <w:pStyle w:val="Heading2"/>
        <w:rPr/>
      </w:pPr>
      <w:bookmarkStart w:colFirst="0" w:colLast="0" w:name="_1iufhqlqld71" w:id="38"/>
      <w:bookmarkEnd w:id="38"/>
      <w:r w:rsidDel="00000000" w:rsidR="00000000" w:rsidRPr="00000000">
        <w:rPr>
          <w:rtl w:val="0"/>
        </w:rPr>
        <w:t xml:space="preserve">Key Themes</w:t>
      </w:r>
    </w:p>
    <w:p w:rsidR="00000000" w:rsidDel="00000000" w:rsidP="00000000" w:rsidRDefault="00000000" w:rsidRPr="00000000" w14:paraId="000001E2">
      <w:pPr>
        <w:spacing w:before="200" w:lineRule="auto"/>
        <w:rPr/>
      </w:pPr>
      <w:r w:rsidDel="00000000" w:rsidR="00000000" w:rsidRPr="00000000">
        <w:rPr>
          <w:b w:val="1"/>
          <w:i w:val="1"/>
          <w:rtl w:val="0"/>
        </w:rPr>
        <w:t xml:space="preserve">Poll Question &amp; Responses</w:t>
      </w:r>
      <w:r w:rsidDel="00000000" w:rsidR="00000000" w:rsidRPr="00000000">
        <w:rPr>
          <w:i w:val="1"/>
          <w:rtl w:val="0"/>
        </w:rPr>
        <w:t xml:space="preserve"> (verbatim)</w:t>
      </w:r>
      <w:r w:rsidDel="00000000" w:rsidR="00000000" w:rsidRPr="00000000">
        <w:rPr>
          <w:b w:val="1"/>
          <w:i w:val="1"/>
          <w:rtl w:val="0"/>
        </w:rPr>
        <w:t xml:space="preserve">: </w:t>
      </w:r>
      <w:r w:rsidDel="00000000" w:rsidR="00000000" w:rsidRPr="00000000">
        <w:rPr>
          <w:rtl w:val="0"/>
        </w:rPr>
        <w:t xml:space="preserve">What topic, challenge, or question raised today should CAEECC consider to explore or address?</w:t>
      </w:r>
    </w:p>
    <w:p w:rsidR="00000000" w:rsidDel="00000000" w:rsidP="00000000" w:rsidRDefault="00000000" w:rsidRPr="00000000" w14:paraId="000001E3">
      <w:pPr>
        <w:numPr>
          <w:ilvl w:val="0"/>
          <w:numId w:val="16"/>
        </w:numPr>
        <w:ind w:left="720" w:hanging="360"/>
      </w:pPr>
      <w:r w:rsidDel="00000000" w:rsidR="00000000" w:rsidRPr="00000000">
        <w:rPr>
          <w:rtl w:val="0"/>
        </w:rPr>
        <w:t xml:space="preserve">Anonymous: Fuel substitution electrification measures and deep dive into TSB, TRC and PAC versus Gas to gas measures</w:t>
      </w:r>
    </w:p>
    <w:p w:rsidR="00000000" w:rsidDel="00000000" w:rsidP="00000000" w:rsidRDefault="00000000" w:rsidRPr="00000000" w14:paraId="000001E4">
      <w:pPr>
        <w:numPr>
          <w:ilvl w:val="0"/>
          <w:numId w:val="16"/>
        </w:numPr>
        <w:ind w:left="720" w:hanging="360"/>
      </w:pPr>
      <w:r w:rsidDel="00000000" w:rsidR="00000000" w:rsidRPr="00000000">
        <w:rPr>
          <w:rtl w:val="0"/>
        </w:rPr>
        <w:t xml:space="preserve">Anonymous: bring back CalTF / continue tracking their recommendations for streamlining EE measure packages/custom/reporting etc.</w:t>
      </w:r>
    </w:p>
    <w:p w:rsidR="00000000" w:rsidDel="00000000" w:rsidP="00000000" w:rsidRDefault="00000000" w:rsidRPr="00000000" w14:paraId="000001E5">
      <w:pPr>
        <w:numPr>
          <w:ilvl w:val="0"/>
          <w:numId w:val="16"/>
        </w:numPr>
        <w:ind w:left="720" w:hanging="360"/>
      </w:pPr>
      <w:r w:rsidDel="00000000" w:rsidR="00000000" w:rsidRPr="00000000">
        <w:rPr>
          <w:rtl w:val="0"/>
        </w:rPr>
        <w:t xml:space="preserve">Anonymous: Utility bill impacts following fuel substitution </w:t>
      </w:r>
    </w:p>
    <w:p w:rsidR="00000000" w:rsidDel="00000000" w:rsidP="00000000" w:rsidRDefault="00000000" w:rsidRPr="00000000" w14:paraId="000001E6">
      <w:pPr>
        <w:numPr>
          <w:ilvl w:val="0"/>
          <w:numId w:val="16"/>
        </w:numPr>
        <w:ind w:left="720" w:hanging="360"/>
      </w:pPr>
      <w:r w:rsidDel="00000000" w:rsidR="00000000" w:rsidRPr="00000000">
        <w:rPr>
          <w:rtl w:val="0"/>
        </w:rPr>
        <w:t xml:space="preserve">Anonymous: Deeper dive into which measures and program types are contributing the most to the overall portfolio. How they impact TRC and TSB.</w:t>
      </w:r>
    </w:p>
    <w:p w:rsidR="00000000" w:rsidDel="00000000" w:rsidP="00000000" w:rsidRDefault="00000000" w:rsidRPr="00000000" w14:paraId="000001E7">
      <w:pPr>
        <w:numPr>
          <w:ilvl w:val="0"/>
          <w:numId w:val="16"/>
        </w:numPr>
        <w:ind w:left="720" w:hanging="360"/>
      </w:pPr>
      <w:r w:rsidDel="00000000" w:rsidR="00000000" w:rsidRPr="00000000">
        <w:rPr>
          <w:rtl w:val="0"/>
        </w:rPr>
        <w:t xml:space="preserve">Anonymous: challenges related to methodologies for NEBs. measure package developments and impacts to portfolios/programs</w:t>
      </w:r>
    </w:p>
    <w:p w:rsidR="00000000" w:rsidDel="00000000" w:rsidP="00000000" w:rsidRDefault="00000000" w:rsidRPr="00000000" w14:paraId="000001E8">
      <w:pPr>
        <w:numPr>
          <w:ilvl w:val="0"/>
          <w:numId w:val="16"/>
        </w:numPr>
        <w:ind w:left="720" w:hanging="360"/>
      </w:pPr>
      <w:r w:rsidDel="00000000" w:rsidR="00000000" w:rsidRPr="00000000">
        <w:rPr>
          <w:rtl w:val="0"/>
        </w:rPr>
        <w:t xml:space="preserve">Anonymous: Recognition of RENs' successes serving the equity segment, especially residential/small commercial, and residential electrification; the RENs seemed to have better CET ratios (even though not required for them) and ratios of equity TSB outcomes to equity spending.</w:t>
      </w:r>
    </w:p>
    <w:p w:rsidR="00000000" w:rsidDel="00000000" w:rsidP="00000000" w:rsidRDefault="00000000" w:rsidRPr="00000000" w14:paraId="000001E9">
      <w:pPr>
        <w:numPr>
          <w:ilvl w:val="0"/>
          <w:numId w:val="16"/>
        </w:numPr>
        <w:ind w:left="720" w:hanging="360"/>
      </w:pPr>
      <w:r w:rsidDel="00000000" w:rsidR="00000000" w:rsidRPr="00000000">
        <w:rPr>
          <w:rtl w:val="0"/>
        </w:rPr>
        <w:t xml:space="preserve">Anonymous: What are the lessons learned that PAs can share with each other?</w:t>
      </w:r>
    </w:p>
    <w:p w:rsidR="00000000" w:rsidDel="00000000" w:rsidP="00000000" w:rsidRDefault="00000000" w:rsidRPr="00000000" w14:paraId="000001EA">
      <w:pPr>
        <w:numPr>
          <w:ilvl w:val="0"/>
          <w:numId w:val="16"/>
        </w:numPr>
        <w:ind w:left="720" w:hanging="360"/>
      </w:pPr>
      <w:r w:rsidDel="00000000" w:rsidR="00000000" w:rsidRPr="00000000">
        <w:rPr>
          <w:rtl w:val="0"/>
        </w:rPr>
        <w:t xml:space="preserve">Anonymous: What are some of the successes and failures in the Market Access Programs. I'd love to take a deep dive into POP NMEC. What measures are successful, building types, climate zones, customer types etc...  We are so ready for a deep dive on this. thanks!</w:t>
      </w:r>
    </w:p>
    <w:p w:rsidR="00000000" w:rsidDel="00000000" w:rsidP="00000000" w:rsidRDefault="00000000" w:rsidRPr="00000000" w14:paraId="000001EB">
      <w:pPr>
        <w:numPr>
          <w:ilvl w:val="0"/>
          <w:numId w:val="16"/>
        </w:numPr>
        <w:ind w:left="720" w:hanging="360"/>
      </w:pPr>
      <w:r w:rsidDel="00000000" w:rsidR="00000000" w:rsidRPr="00000000">
        <w:rPr>
          <w:rtl w:val="0"/>
        </w:rPr>
        <w:t xml:space="preserve">Ely Jacobsohn: Fuel Switching - whether &amp; how to implement and measure costs &amp; benefits</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spacing w:before="200" w:line="240" w:lineRule="auto"/>
      <w:ind w:right="360"/>
      <w:jc w:val="center"/>
      <w:rPr>
        <w:color w:val="45818e"/>
        <w:sz w:val="18"/>
        <w:szCs w:val="18"/>
      </w:rPr>
    </w:pPr>
    <w:r w:rsidDel="00000000" w:rsidR="00000000" w:rsidRPr="00000000">
      <w:rPr>
        <w:color w:val="45818e"/>
        <w:sz w:val="18"/>
        <w:szCs w:val="18"/>
        <w:rtl w:val="0"/>
      </w:rPr>
      <w:t xml:space="preserve">Annual 2024 Portfolio Performance Report Review Summary</w:t>
    </w:r>
  </w:p>
  <w:p w:rsidR="00000000" w:rsidDel="00000000" w:rsidP="00000000" w:rsidRDefault="00000000" w:rsidRPr="00000000" w14:paraId="000001EE">
    <w:pPr>
      <w:spacing w:line="240" w:lineRule="auto"/>
      <w:jc w:val="center"/>
      <w:rPr>
        <w:i w:val="1"/>
        <w:color w:val="45818e"/>
        <w:sz w:val="18"/>
        <w:szCs w:val="18"/>
      </w:rPr>
    </w:pPr>
    <w:r w:rsidDel="00000000" w:rsidR="00000000" w:rsidRPr="00000000">
      <w:rPr>
        <w:i w:val="1"/>
        <w:color w:val="45818e"/>
        <w:sz w:val="18"/>
        <w:szCs w:val="18"/>
        <w:rtl w:val="0"/>
      </w:rPr>
      <w:t xml:space="preserve">Last updated August 20, 2025</w:t>
    </w:r>
  </w:p>
  <w:p w:rsidR="00000000" w:rsidDel="00000000" w:rsidP="00000000" w:rsidRDefault="00000000" w:rsidRPr="00000000" w14:paraId="000001EF">
    <w:pPr>
      <w:spacing w:line="240" w:lineRule="auto"/>
      <w:jc w:val="right"/>
      <w:rPr>
        <w:color w:val="45818e"/>
        <w:sz w:val="18"/>
        <w:szCs w:val="18"/>
      </w:rPr>
    </w:pPr>
    <w:r w:rsidDel="00000000" w:rsidR="00000000" w:rsidRPr="00000000">
      <w:rPr>
        <w:color w:val="45818e"/>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Download </w:t>
      </w:r>
      <w:hyperlink r:id="rId1">
        <w:r w:rsidDel="00000000" w:rsidR="00000000" w:rsidRPr="00000000">
          <w:rPr>
            <w:color w:val="1155cc"/>
            <w:sz w:val="20"/>
            <w:szCs w:val="20"/>
            <w:u w:val="single"/>
            <w:rtl w:val="0"/>
          </w:rPr>
          <w:t xml:space="preserve">Decision approving I-REN’s 2021 Business Plan</w:t>
        </w:r>
      </w:hyperlink>
      <w:r w:rsidDel="00000000" w:rsidR="00000000" w:rsidRPr="00000000">
        <w:rPr>
          <w:sz w:val="20"/>
          <w:szCs w:val="20"/>
          <w:rtl w:val="0"/>
        </w:rPr>
        <w:t xml:space="preserve"> as a word doc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-19049</wp:posOffset>
          </wp:positionH>
          <wp:positionV relativeFrom="page">
            <wp:posOffset>-9524</wp:posOffset>
          </wp:positionV>
          <wp:extent cx="7805738" cy="5238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05738" cy="523875"/>
                  </a:xfrm>
                  <a:prstGeom prst="rect"/>
                  <a:ln/>
                </pic:spPr>
              </pic:pic>
            </a:graphicData>
          </a:graphic>
        </wp:anchor>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4"/>
        <w:szCs w:val="24"/>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00" w:lineRule="auto"/>
    </w:pPr>
    <w:rPr>
      <w:b w:val="1"/>
      <w:color w:val="134f5d"/>
      <w:sz w:val="32"/>
      <w:szCs w:val="32"/>
    </w:rPr>
  </w:style>
  <w:style w:type="paragraph" w:styleId="Heading2">
    <w:name w:val="heading 2"/>
    <w:basedOn w:val="Normal"/>
    <w:next w:val="Normal"/>
    <w:pPr>
      <w:keepNext w:val="1"/>
      <w:keepLines w:val="1"/>
      <w:spacing w:after="200" w:before="320" w:line="240" w:lineRule="auto"/>
    </w:pPr>
    <w:rPr>
      <w:b w:val="1"/>
      <w:color w:val="2a2a2a"/>
      <w:sz w:val="28"/>
      <w:szCs w:val="28"/>
    </w:rPr>
  </w:style>
  <w:style w:type="paragraph" w:styleId="Heading3">
    <w:name w:val="heading 3"/>
    <w:basedOn w:val="Normal"/>
    <w:next w:val="Normal"/>
    <w:pPr>
      <w:keepNext w:val="1"/>
      <w:keepLines w:val="1"/>
      <w:spacing w:after="200" w:before="200" w:line="240" w:lineRule="auto"/>
    </w:pPr>
    <w:rPr>
      <w:rFonts w:ascii="Roboto Medium" w:cs="Roboto Medium" w:eastAsia="Roboto Medium" w:hAnsi="Roboto Medium"/>
      <w:color w:val="2a2a2a"/>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Roboto" w:cs="Roboto" w:eastAsia="Roboto" w:hAnsi="Roboto"/>
      <w:b w:val="1"/>
      <w:color w:val="134f5d"/>
      <w:sz w:val="48"/>
      <w:szCs w:val="48"/>
    </w:rPr>
  </w:style>
  <w:style w:type="paragraph" w:styleId="Subtitle">
    <w:name w:val="Subtitle"/>
    <w:basedOn w:val="Normal"/>
    <w:next w:val="Normal"/>
    <w:pPr>
      <w:keepNext w:val="1"/>
      <w:keepLines w:val="1"/>
      <w:spacing w:after="320" w:lineRule="auto"/>
    </w:pPr>
    <w:rPr>
      <w:rFonts w:ascii="Roboto Light" w:cs="Roboto Light" w:eastAsia="Roboto Light" w:hAnsi="Roboto Light"/>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cpuc.ca.gov/PublishedDocs/Efile/G000/M574/K336/574336024.PDF" TargetMode="External"/><Relationship Id="rId11" Type="http://schemas.openxmlformats.org/officeDocument/2006/relationships/hyperlink" Target="https://cedars.cpuc.ca.gov/claims/all-confirmed-dashboard/" TargetMode="External"/><Relationship Id="rId10" Type="http://schemas.openxmlformats.org/officeDocument/2006/relationships/hyperlink" Target="https://www.caeecc.org/8-5-2025-pppr-mtg" TargetMode="External"/><Relationship Id="rId13" Type="http://schemas.openxmlformats.org/officeDocument/2006/relationships/hyperlink" Target="https://apps.cpuc.ca.gov/apex/f?p=401:56::::RP,57,RIR:P5_PROCEEDING_SELECT:R2504010" TargetMode="External"/><Relationship Id="rId12" Type="http://schemas.openxmlformats.org/officeDocument/2006/relationships/hyperlink" Target="https://iren.gov/DocumentCenter/View/319/I-REN-True-Up-Advice-Letter-2024-202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hyperlink" Target="https://apps.cpuc.ca.gov/apex/f?p=401:56::::RP,57,RIR:P5_PROCEEDING_SELECT:R2504010" TargetMode="External"/><Relationship Id="rId14" Type="http://schemas.openxmlformats.org/officeDocument/2006/relationships/hyperlink" Target="https://docs.cpuc.ca.gov/PublishedDocs/Efile/G000/M574/K336/574336024.PDF" TargetMode="External"/><Relationship Id="rId17" Type="http://schemas.openxmlformats.org/officeDocument/2006/relationships/hyperlink" Target="https://docs.cpuc.ca.gov/PublishedDocs/Published/G000/M385/K864/385864616.PDF" TargetMode="External"/><Relationship Id="rId16" Type="http://schemas.openxmlformats.org/officeDocument/2006/relationships/hyperlink" Target="https://cedars.cpuc.ca.gov/claims/all-confirmed-dashboard/" TargetMode="External"/><Relationship Id="rId5" Type="http://schemas.openxmlformats.org/officeDocument/2006/relationships/numbering" Target="numbering.xml"/><Relationship Id="rId19" Type="http://schemas.openxmlformats.org/officeDocument/2006/relationships/hyperlink" Target="https://apps.cpuc.ca.gov/apex/f?p=401:56::::RP,57,RIR:P5_PROCEEDING_SELECT:R2504010" TargetMode="External"/><Relationship Id="rId6" Type="http://schemas.openxmlformats.org/officeDocument/2006/relationships/styles" Target="styles.xml"/><Relationship Id="rId18" Type="http://schemas.openxmlformats.org/officeDocument/2006/relationships/hyperlink" Target="https://iren.gov/DocumentCenter/View/319/I-REN-True-Up-Advice-Letter-2024-2027"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Published/G000/M425/K515/42551591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