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C5E9" w14:textId="77777777" w:rsidR="00A716F2" w:rsidRDefault="00A716F2" w:rsidP="00DC5B65">
      <w:pPr>
        <w:pStyle w:val="Title"/>
      </w:pPr>
      <w:bookmarkStart w:id="0" w:name="_GoBack"/>
      <w:bookmarkEnd w:id="0"/>
      <w:r>
        <w:t>BEFORE THE PUBLIC UTILITIES COMMISSION</w:t>
      </w:r>
    </w:p>
    <w:p w14:paraId="4F2F4EE4" w14:textId="77777777" w:rsidR="00A716F2" w:rsidRDefault="00A716F2" w:rsidP="00DC5B65">
      <w:pPr>
        <w:pStyle w:val="Title"/>
      </w:pPr>
      <w:r>
        <w:t>OF THE STATE OF CALIFORNIA</w:t>
      </w:r>
    </w:p>
    <w:tbl>
      <w:tblPr>
        <w:tblStyle w:val="TableGrid"/>
        <w:tblW w:w="0" w:type="auto"/>
        <w:tblLook w:val="04A0" w:firstRow="1" w:lastRow="0" w:firstColumn="1" w:lastColumn="0" w:noHBand="0" w:noVBand="1"/>
      </w:tblPr>
      <w:tblGrid>
        <w:gridCol w:w="4680"/>
        <w:gridCol w:w="4680"/>
      </w:tblGrid>
      <w:tr w:rsidR="00A716F2" w14:paraId="7FDB352D" w14:textId="77777777" w:rsidTr="003C0631">
        <w:tc>
          <w:tcPr>
            <w:tcW w:w="4788" w:type="dxa"/>
            <w:tcBorders>
              <w:top w:val="nil"/>
              <w:left w:val="nil"/>
              <w:bottom w:val="single" w:sz="4" w:space="0" w:color="auto"/>
              <w:right w:val="single" w:sz="4" w:space="0" w:color="auto"/>
            </w:tcBorders>
            <w:vAlign w:val="bottom"/>
          </w:tcPr>
          <w:p w14:paraId="64F25319" w14:textId="77777777" w:rsidR="00A716F2" w:rsidRDefault="00A716F2" w:rsidP="00A716F2">
            <w:pPr>
              <w:spacing w:before="120" w:after="120"/>
            </w:pPr>
            <w:r w:rsidRPr="003C0631">
              <w:t>Application of Southern California Edison Company (U338E) for Approval of Energy Efficiency Rolling Portfolio Business Plan.</w:t>
            </w:r>
          </w:p>
        </w:tc>
        <w:tc>
          <w:tcPr>
            <w:tcW w:w="4788" w:type="dxa"/>
            <w:tcBorders>
              <w:top w:val="nil"/>
              <w:left w:val="single" w:sz="4" w:space="0" w:color="auto"/>
              <w:bottom w:val="nil"/>
              <w:right w:val="nil"/>
            </w:tcBorders>
            <w:vAlign w:val="center"/>
          </w:tcPr>
          <w:p w14:paraId="3F6AD0DB" w14:textId="77777777" w:rsidR="00A716F2" w:rsidRDefault="00A716F2" w:rsidP="00650BAE">
            <w:pPr>
              <w:spacing w:beforeLines="60" w:before="144" w:after="60"/>
              <w:jc w:val="center"/>
            </w:pPr>
            <w:r>
              <w:t>Application 17-01-013</w:t>
            </w:r>
            <w:r>
              <w:br/>
              <w:t>(Filed January 17, 2017)</w:t>
            </w:r>
          </w:p>
        </w:tc>
      </w:tr>
      <w:tr w:rsidR="00A716F2" w14:paraId="4733F3A2" w14:textId="77777777" w:rsidTr="00A716F2">
        <w:tc>
          <w:tcPr>
            <w:tcW w:w="4788" w:type="dxa"/>
            <w:tcBorders>
              <w:top w:val="single" w:sz="4" w:space="0" w:color="auto"/>
              <w:left w:val="nil"/>
              <w:bottom w:val="single" w:sz="4" w:space="0" w:color="auto"/>
              <w:right w:val="single" w:sz="4" w:space="0" w:color="auto"/>
            </w:tcBorders>
            <w:vAlign w:val="center"/>
          </w:tcPr>
          <w:p w14:paraId="1793F477" w14:textId="77777777" w:rsidR="00A716F2" w:rsidRPr="003C0631" w:rsidRDefault="00A716F2" w:rsidP="00A716F2">
            <w:pPr>
              <w:spacing w:beforeLines="60" w:before="144" w:after="60"/>
            </w:pPr>
            <w:r>
              <w:t>And Related Matters.</w:t>
            </w:r>
          </w:p>
        </w:tc>
        <w:tc>
          <w:tcPr>
            <w:tcW w:w="4788" w:type="dxa"/>
            <w:tcBorders>
              <w:top w:val="nil"/>
              <w:left w:val="single" w:sz="4" w:space="0" w:color="auto"/>
              <w:bottom w:val="nil"/>
              <w:right w:val="nil"/>
            </w:tcBorders>
            <w:vAlign w:val="center"/>
          </w:tcPr>
          <w:p w14:paraId="2216291D" w14:textId="77777777" w:rsidR="00A716F2" w:rsidRDefault="00A716F2" w:rsidP="00A716F2">
            <w:pPr>
              <w:spacing w:before="120" w:after="120"/>
              <w:jc w:val="center"/>
            </w:pPr>
            <w:r>
              <w:t>Application 17-01-014</w:t>
            </w:r>
            <w:r>
              <w:br/>
              <w:t>Application 17-01-015</w:t>
            </w:r>
            <w:r>
              <w:br/>
              <w:t>Application 17-01-016</w:t>
            </w:r>
            <w:r>
              <w:br/>
              <w:t>Application 17-01-017</w:t>
            </w:r>
          </w:p>
        </w:tc>
      </w:tr>
    </w:tbl>
    <w:p w14:paraId="2F166D3D" w14:textId="77777777" w:rsidR="00A716F2" w:rsidRDefault="00A716F2" w:rsidP="00DC5B65"/>
    <w:p w14:paraId="0A697968" w14:textId="77777777" w:rsidR="00A716F2" w:rsidRDefault="00A464B0" w:rsidP="00926D01">
      <w:pPr>
        <w:pStyle w:val="Title"/>
      </w:pPr>
      <w:r w:rsidRPr="00A464B0">
        <w:t>Joint Motion for Approval of Standard Contract</w:t>
      </w:r>
      <w:r w:rsidR="00D76C70">
        <w:br/>
        <w:t>for local government partnerships</w:t>
      </w:r>
    </w:p>
    <w:p w14:paraId="0B633FC2" w14:textId="77777777" w:rsidR="00A716F2" w:rsidRDefault="00A716F2" w:rsidP="00650BAE"/>
    <w:p w14:paraId="7991B90F" w14:textId="77777777" w:rsidR="00A716F2" w:rsidRDefault="00A716F2" w:rsidP="00650BAE"/>
    <w:p w14:paraId="66756E81" w14:textId="77777777" w:rsidR="00A716F2" w:rsidRDefault="00A716F2" w:rsidP="00650BAE"/>
    <w:p w14:paraId="421D4705" w14:textId="77777777" w:rsidR="00A716F2" w:rsidRDefault="00A716F2" w:rsidP="00650BAE"/>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60"/>
      </w:tblGrid>
      <w:tr w:rsidR="00A464B0" w14:paraId="0CE951D5" w14:textId="77777777" w:rsidTr="00A464B0">
        <w:tc>
          <w:tcPr>
            <w:tcW w:w="4675" w:type="dxa"/>
          </w:tcPr>
          <w:p w14:paraId="783A63D4" w14:textId="77777777" w:rsidR="00A464B0" w:rsidRDefault="00A464B0" w:rsidP="00A464B0">
            <w:pPr>
              <w:pStyle w:val="Signature"/>
              <w:ind w:left="-21"/>
            </w:pPr>
            <w:r>
              <w:t>Ellen N. Adler</w:t>
            </w:r>
          </w:p>
          <w:p w14:paraId="7314B41F" w14:textId="77777777" w:rsidR="00A464B0" w:rsidRPr="004530C9" w:rsidRDefault="00A464B0" w:rsidP="00A464B0">
            <w:pPr>
              <w:pStyle w:val="Signature"/>
              <w:ind w:left="-21"/>
              <w:rPr>
                <w:i/>
              </w:rPr>
            </w:pPr>
            <w:r w:rsidRPr="004530C9">
              <w:rPr>
                <w:i/>
              </w:rPr>
              <w:t>Attorney for</w:t>
            </w:r>
          </w:p>
          <w:p w14:paraId="7C4F100E" w14:textId="77777777" w:rsidR="00A464B0" w:rsidRDefault="00A464B0" w:rsidP="00A464B0">
            <w:pPr>
              <w:pStyle w:val="NoSpacing"/>
            </w:pPr>
            <w:r w:rsidRPr="004530C9">
              <w:t>San Diego Gas &amp; Electric Company</w:t>
            </w:r>
          </w:p>
          <w:p w14:paraId="0027E09A" w14:textId="77777777" w:rsidR="00A464B0" w:rsidRDefault="00A464B0" w:rsidP="00A464B0">
            <w:pPr>
              <w:pStyle w:val="Signature"/>
              <w:ind w:left="-21"/>
            </w:pPr>
            <w:r>
              <w:t>8330 Century Park Court, CP32D</w:t>
            </w:r>
          </w:p>
          <w:p w14:paraId="14E01CA2" w14:textId="77777777" w:rsidR="00A464B0" w:rsidRDefault="00A464B0" w:rsidP="00A464B0">
            <w:pPr>
              <w:pStyle w:val="Signature"/>
              <w:ind w:left="-21"/>
            </w:pPr>
            <w:r>
              <w:t>San Diego, CA 92123</w:t>
            </w:r>
          </w:p>
          <w:p w14:paraId="74B73E87" w14:textId="77777777" w:rsidR="00A464B0" w:rsidRDefault="00A464B0" w:rsidP="00A464B0">
            <w:pPr>
              <w:pStyle w:val="Signature"/>
              <w:ind w:left="-21"/>
            </w:pPr>
            <w:r>
              <w:t>Telephone: (858) 654-0220</w:t>
            </w:r>
          </w:p>
          <w:p w14:paraId="34E6BAC9" w14:textId="77777777" w:rsidR="00A464B0" w:rsidRPr="009C0BD3" w:rsidRDefault="00A464B0" w:rsidP="00A464B0">
            <w:pPr>
              <w:pStyle w:val="Signature"/>
              <w:ind w:left="-21"/>
            </w:pPr>
            <w:r w:rsidRPr="009C0BD3">
              <w:t>Facsimile:  (619) 699-5027</w:t>
            </w:r>
          </w:p>
          <w:p w14:paraId="129872BC" w14:textId="77777777" w:rsidR="00A464B0" w:rsidRDefault="00A464B0" w:rsidP="00A464B0">
            <w:pPr>
              <w:ind w:left="-21"/>
            </w:pPr>
            <w:r>
              <w:t>E-mail: eadler@semprautilities.com</w:t>
            </w:r>
          </w:p>
        </w:tc>
        <w:tc>
          <w:tcPr>
            <w:tcW w:w="4860" w:type="dxa"/>
          </w:tcPr>
          <w:p w14:paraId="7D76553C" w14:textId="77777777" w:rsidR="00A464B0" w:rsidRDefault="00A464B0" w:rsidP="00A464B0">
            <w:pPr>
              <w:pStyle w:val="NoSpacing"/>
            </w:pPr>
            <w:r>
              <w:t>Elliott S. Henry</w:t>
            </w:r>
          </w:p>
          <w:p w14:paraId="3FB0CED1" w14:textId="77777777" w:rsidR="00A92BF0" w:rsidRPr="00A92BF0" w:rsidRDefault="00A92BF0" w:rsidP="00A464B0">
            <w:pPr>
              <w:pStyle w:val="NoSpacing"/>
              <w:rPr>
                <w:i/>
              </w:rPr>
            </w:pPr>
            <w:r>
              <w:rPr>
                <w:i/>
              </w:rPr>
              <w:t>Attorney for</w:t>
            </w:r>
          </w:p>
          <w:p w14:paraId="7CFAF0AE" w14:textId="77777777" w:rsidR="00A464B0" w:rsidRDefault="00A464B0" w:rsidP="00A464B0">
            <w:pPr>
              <w:pStyle w:val="NoSpacing"/>
            </w:pPr>
            <w:r>
              <w:t xml:space="preserve">Southern California Gas Company </w:t>
            </w:r>
          </w:p>
          <w:p w14:paraId="41F02B5D" w14:textId="77777777" w:rsidR="00A464B0" w:rsidRDefault="00A464B0" w:rsidP="00A464B0">
            <w:pPr>
              <w:pStyle w:val="NoSpacing"/>
            </w:pPr>
            <w:r>
              <w:t>555 West 5th Street</w:t>
            </w:r>
          </w:p>
          <w:p w14:paraId="35BC54D8" w14:textId="77777777" w:rsidR="00A464B0" w:rsidRDefault="00A464B0" w:rsidP="00A464B0">
            <w:pPr>
              <w:pStyle w:val="NoSpacing"/>
            </w:pPr>
            <w:r>
              <w:t>Los Angeles, CA 90013</w:t>
            </w:r>
          </w:p>
          <w:p w14:paraId="150FB5F1" w14:textId="77777777" w:rsidR="00A464B0" w:rsidRDefault="00A464B0" w:rsidP="00A464B0">
            <w:pPr>
              <w:pStyle w:val="NoSpacing"/>
            </w:pPr>
            <w:r>
              <w:t>Telephone: 213-244-8234</w:t>
            </w:r>
          </w:p>
          <w:p w14:paraId="16C39F5E" w14:textId="77777777" w:rsidR="00A464B0" w:rsidRDefault="00A464B0" w:rsidP="00A464B0">
            <w:pPr>
              <w:pStyle w:val="NoSpacing"/>
            </w:pPr>
            <w:r>
              <w:t>Facsimile: 213-629-9620</w:t>
            </w:r>
          </w:p>
          <w:p w14:paraId="69C59131" w14:textId="77777777" w:rsidR="00A464B0" w:rsidRDefault="00A464B0" w:rsidP="00A464B0">
            <w:pPr>
              <w:pStyle w:val="NoSpacing"/>
            </w:pPr>
            <w:r>
              <w:t xml:space="preserve">E-Mail: </w:t>
            </w:r>
            <w:hyperlink r:id="rId8" w:history="1">
              <w:r w:rsidRPr="00DA2E96">
                <w:rPr>
                  <w:rStyle w:val="Hyperlink"/>
                  <w:color w:val="auto"/>
                  <w:u w:val="none"/>
                </w:rPr>
                <w:t>EHenry@semprautilities.com</w:t>
              </w:r>
            </w:hyperlink>
          </w:p>
          <w:p w14:paraId="5B5FFFE8" w14:textId="77777777" w:rsidR="00A464B0" w:rsidRDefault="00A464B0" w:rsidP="00A464B0">
            <w:pPr>
              <w:pStyle w:val="NoSpacing"/>
            </w:pPr>
          </w:p>
        </w:tc>
      </w:tr>
      <w:tr w:rsidR="00F06EC4" w14:paraId="586C6AF0" w14:textId="77777777" w:rsidTr="00DA2E96">
        <w:trPr>
          <w:trHeight w:val="2250"/>
        </w:trPr>
        <w:tc>
          <w:tcPr>
            <w:tcW w:w="4675" w:type="dxa"/>
          </w:tcPr>
          <w:p w14:paraId="6DF51717" w14:textId="77777777" w:rsidR="00F06EC4" w:rsidRPr="00DA2E96" w:rsidRDefault="00F06EC4" w:rsidP="00F06EC4">
            <w:pPr>
              <w:pStyle w:val="NoSpacing"/>
            </w:pPr>
            <w:r w:rsidRPr="00DA2E96">
              <w:t xml:space="preserve">Jane Lee Cole </w:t>
            </w:r>
          </w:p>
          <w:p w14:paraId="6E83CED4" w14:textId="77777777" w:rsidR="00F06EC4" w:rsidRPr="00DA2E96" w:rsidRDefault="00F06EC4" w:rsidP="00F06EC4">
            <w:pPr>
              <w:pStyle w:val="NoSpacing"/>
              <w:rPr>
                <w:i/>
              </w:rPr>
            </w:pPr>
            <w:r w:rsidRPr="00DA2E96">
              <w:rPr>
                <w:i/>
              </w:rPr>
              <w:t>Attorney for</w:t>
            </w:r>
          </w:p>
          <w:p w14:paraId="51A2966C" w14:textId="77777777" w:rsidR="00F06EC4" w:rsidRPr="00DA2E96" w:rsidRDefault="00F06EC4" w:rsidP="00F06EC4">
            <w:pPr>
              <w:pStyle w:val="NoSpacing"/>
            </w:pPr>
            <w:r w:rsidRPr="00DA2E96">
              <w:t>Southern California Edison</w:t>
            </w:r>
            <w:r>
              <w:t xml:space="preserve"> Company</w:t>
            </w:r>
          </w:p>
          <w:p w14:paraId="65718D5E" w14:textId="77777777" w:rsidR="00F06EC4" w:rsidRDefault="00F06EC4" w:rsidP="00F06EC4">
            <w:pPr>
              <w:pStyle w:val="NoSpacing"/>
            </w:pPr>
            <w:r w:rsidRPr="0089206A">
              <w:t xml:space="preserve">2244 Walnut Grove Avenue </w:t>
            </w:r>
          </w:p>
          <w:p w14:paraId="50492AB6" w14:textId="77777777" w:rsidR="00F06EC4" w:rsidRDefault="00F06EC4" w:rsidP="00F06EC4">
            <w:pPr>
              <w:pStyle w:val="NoSpacing"/>
            </w:pPr>
            <w:r w:rsidRPr="0089206A">
              <w:t xml:space="preserve">Post Office Box 800 </w:t>
            </w:r>
          </w:p>
          <w:p w14:paraId="21F8609C" w14:textId="77777777" w:rsidR="00F06EC4" w:rsidRDefault="00F06EC4" w:rsidP="00F06EC4">
            <w:pPr>
              <w:pStyle w:val="NoSpacing"/>
            </w:pPr>
            <w:r w:rsidRPr="0089206A">
              <w:t>Rosemead, C</w:t>
            </w:r>
            <w:r>
              <w:t>A</w:t>
            </w:r>
            <w:r w:rsidRPr="0089206A">
              <w:t xml:space="preserve">  91770 </w:t>
            </w:r>
          </w:p>
          <w:p w14:paraId="509F0801" w14:textId="77777777" w:rsidR="00F06EC4" w:rsidRDefault="00F06EC4" w:rsidP="00F06EC4">
            <w:pPr>
              <w:pStyle w:val="NoSpacing"/>
            </w:pPr>
            <w:r>
              <w:t xml:space="preserve">Telephone: </w:t>
            </w:r>
            <w:r w:rsidRPr="0089206A">
              <w:t>6</w:t>
            </w:r>
            <w:r>
              <w:t>26-302-</w:t>
            </w:r>
            <w:r w:rsidRPr="0089206A">
              <w:t xml:space="preserve">3860 </w:t>
            </w:r>
          </w:p>
          <w:p w14:paraId="0002E536" w14:textId="77777777" w:rsidR="00F06EC4" w:rsidRPr="00DA2E96" w:rsidRDefault="00F06EC4" w:rsidP="00F06EC4">
            <w:pPr>
              <w:pStyle w:val="NoSpacing"/>
            </w:pPr>
            <w:r>
              <w:t>Facsimile: 626-302-</w:t>
            </w:r>
            <w:r w:rsidRPr="0089206A">
              <w:t>7740</w:t>
            </w:r>
          </w:p>
          <w:p w14:paraId="0A1FE9BD" w14:textId="77777777" w:rsidR="00F06EC4" w:rsidRPr="00DA2E96" w:rsidRDefault="00F06EC4" w:rsidP="00F06EC4">
            <w:pPr>
              <w:pStyle w:val="NoSpacing"/>
            </w:pPr>
            <w:r w:rsidRPr="00DA2E96">
              <w:t xml:space="preserve">E-Mail:  </w:t>
            </w:r>
            <w:hyperlink r:id="rId9" w:history="1">
              <w:r w:rsidRPr="00DA2E96">
                <w:rPr>
                  <w:rStyle w:val="Hyperlink"/>
                  <w:color w:val="auto"/>
                  <w:u w:val="none"/>
                </w:rPr>
                <w:t>Jane.Lee.Cole@sce.com</w:t>
              </w:r>
            </w:hyperlink>
          </w:p>
        </w:tc>
        <w:tc>
          <w:tcPr>
            <w:tcW w:w="4860" w:type="dxa"/>
          </w:tcPr>
          <w:p w14:paraId="0556B615" w14:textId="77777777" w:rsidR="00F06EC4" w:rsidRPr="00DA2E96" w:rsidRDefault="00F06EC4" w:rsidP="00F06EC4">
            <w:pPr>
              <w:pStyle w:val="NoSpacing"/>
            </w:pPr>
            <w:r w:rsidRPr="00DA2E96">
              <w:t xml:space="preserve">Tessa </w:t>
            </w:r>
            <w:r>
              <w:t xml:space="preserve">MG </w:t>
            </w:r>
            <w:r w:rsidRPr="00DA2E96">
              <w:t>Carlberg</w:t>
            </w:r>
          </w:p>
          <w:p w14:paraId="6A93EA56" w14:textId="77777777" w:rsidR="00F06EC4" w:rsidRPr="00DA2E96" w:rsidRDefault="00F06EC4" w:rsidP="00F06EC4">
            <w:pPr>
              <w:pStyle w:val="NoSpacing"/>
              <w:rPr>
                <w:i/>
              </w:rPr>
            </w:pPr>
            <w:r w:rsidRPr="00DA2E96">
              <w:rPr>
                <w:i/>
              </w:rPr>
              <w:t>Attorney for</w:t>
            </w:r>
          </w:p>
          <w:p w14:paraId="4791DA84" w14:textId="77777777" w:rsidR="00F06EC4" w:rsidRPr="00DA2E96" w:rsidRDefault="00F06EC4" w:rsidP="00F06EC4">
            <w:pPr>
              <w:pStyle w:val="NoSpacing"/>
            </w:pPr>
            <w:r w:rsidRPr="00DA2E96">
              <w:t xml:space="preserve">Pacific Gas and Electric Company  </w:t>
            </w:r>
          </w:p>
          <w:p w14:paraId="4178C6FB" w14:textId="77777777" w:rsidR="00F06EC4" w:rsidRPr="00DA2E96" w:rsidRDefault="00F06EC4" w:rsidP="00F06EC4">
            <w:pPr>
              <w:pStyle w:val="NoSpacing"/>
            </w:pPr>
            <w:r w:rsidRPr="00DA2E96">
              <w:t>77 Beale Street</w:t>
            </w:r>
          </w:p>
          <w:p w14:paraId="51765A88" w14:textId="77777777" w:rsidR="00F06EC4" w:rsidRPr="00DA2E96" w:rsidRDefault="00F06EC4" w:rsidP="00F06EC4">
            <w:pPr>
              <w:pStyle w:val="NoSpacing"/>
            </w:pPr>
            <w:r w:rsidRPr="00DA2E96">
              <w:t>San Francisco, CA 94105</w:t>
            </w:r>
          </w:p>
          <w:p w14:paraId="447BFAF5" w14:textId="77777777" w:rsidR="00F06EC4" w:rsidRPr="00DA2E96" w:rsidRDefault="00F06EC4" w:rsidP="00F06EC4">
            <w:pPr>
              <w:pStyle w:val="NoSpacing"/>
            </w:pPr>
            <w:r w:rsidRPr="00DA2E96">
              <w:t>Telephone:</w:t>
            </w:r>
            <w:r>
              <w:t xml:space="preserve"> 415-973-7950</w:t>
            </w:r>
          </w:p>
          <w:p w14:paraId="635763E4" w14:textId="77777777" w:rsidR="00F06EC4" w:rsidRPr="00DA2E96" w:rsidRDefault="00F06EC4" w:rsidP="00F06EC4">
            <w:pPr>
              <w:pStyle w:val="NoSpacing"/>
            </w:pPr>
            <w:r w:rsidRPr="00DA2E96">
              <w:t>Facsimile:</w:t>
            </w:r>
            <w:r>
              <w:t xml:space="preserve">  415-973-4673</w:t>
            </w:r>
          </w:p>
          <w:p w14:paraId="2AA00855" w14:textId="77777777" w:rsidR="00F06EC4" w:rsidRPr="00DA2E96" w:rsidRDefault="00F06EC4" w:rsidP="00F06EC4">
            <w:pPr>
              <w:pStyle w:val="NoSpacing"/>
            </w:pPr>
            <w:r>
              <w:t xml:space="preserve">E-Mail: </w:t>
            </w:r>
            <w:hyperlink r:id="rId10" w:history="1">
              <w:r w:rsidRPr="00DA2E96">
                <w:rPr>
                  <w:rStyle w:val="Hyperlink"/>
                  <w:color w:val="auto"/>
                  <w:u w:val="none"/>
                </w:rPr>
                <w:t>T3M3@pge.com</w:t>
              </w:r>
            </w:hyperlink>
          </w:p>
        </w:tc>
      </w:tr>
    </w:tbl>
    <w:p w14:paraId="524F4CA8" w14:textId="77777777" w:rsidR="00A716F2" w:rsidRDefault="00A716F2" w:rsidP="00650BAE"/>
    <w:p w14:paraId="473CB035" w14:textId="58B37E70" w:rsidR="00A716F2" w:rsidRDefault="00EB433B" w:rsidP="00DC5B65">
      <w:pPr>
        <w:sectPr w:rsidR="00A716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t>August 31</w:t>
      </w:r>
      <w:r w:rsidR="00D76C70">
        <w:t xml:space="preserve">, </w:t>
      </w:r>
      <w:r w:rsidR="00A464B0">
        <w:t>2018</w:t>
      </w:r>
    </w:p>
    <w:p w14:paraId="7E40BFA9" w14:textId="77777777" w:rsidR="00A716F2" w:rsidRDefault="00A716F2" w:rsidP="00DC5B65">
      <w:pPr>
        <w:pStyle w:val="Title"/>
      </w:pPr>
      <w:r>
        <w:lastRenderedPageBreak/>
        <w:t>BEFORE THE PUBLIC UTILITIES COMMISSION</w:t>
      </w:r>
    </w:p>
    <w:p w14:paraId="1505B181" w14:textId="77777777" w:rsidR="00A716F2" w:rsidRDefault="00A716F2" w:rsidP="00DC5B65">
      <w:pPr>
        <w:pStyle w:val="Title"/>
      </w:pPr>
      <w:r>
        <w:t>OF THE STATE OF CALIFORNIA</w:t>
      </w:r>
    </w:p>
    <w:tbl>
      <w:tblPr>
        <w:tblStyle w:val="TableGrid"/>
        <w:tblW w:w="0" w:type="auto"/>
        <w:tblLook w:val="04A0" w:firstRow="1" w:lastRow="0" w:firstColumn="1" w:lastColumn="0" w:noHBand="0" w:noVBand="1"/>
      </w:tblPr>
      <w:tblGrid>
        <w:gridCol w:w="4680"/>
        <w:gridCol w:w="4680"/>
      </w:tblGrid>
      <w:tr w:rsidR="00A716F2" w14:paraId="700D70B0" w14:textId="77777777" w:rsidTr="003B172C">
        <w:tc>
          <w:tcPr>
            <w:tcW w:w="4788" w:type="dxa"/>
            <w:tcBorders>
              <w:top w:val="nil"/>
              <w:left w:val="nil"/>
              <w:bottom w:val="single" w:sz="4" w:space="0" w:color="auto"/>
              <w:right w:val="single" w:sz="4" w:space="0" w:color="auto"/>
            </w:tcBorders>
            <w:vAlign w:val="bottom"/>
          </w:tcPr>
          <w:p w14:paraId="16776620" w14:textId="77777777" w:rsidR="00A716F2" w:rsidRDefault="00A716F2" w:rsidP="003B172C">
            <w:pPr>
              <w:spacing w:before="120" w:after="120"/>
            </w:pPr>
            <w:r w:rsidRPr="003C0631">
              <w:t>Application of Southern California Edison Company (U338E) for Approval of Energy Efficiency Rolling Portfolio Business Plan.</w:t>
            </w:r>
          </w:p>
        </w:tc>
        <w:tc>
          <w:tcPr>
            <w:tcW w:w="4788" w:type="dxa"/>
            <w:tcBorders>
              <w:top w:val="nil"/>
              <w:left w:val="single" w:sz="4" w:space="0" w:color="auto"/>
              <w:bottom w:val="nil"/>
              <w:right w:val="nil"/>
            </w:tcBorders>
            <w:vAlign w:val="center"/>
          </w:tcPr>
          <w:p w14:paraId="7D959F4E" w14:textId="77777777" w:rsidR="00A716F2" w:rsidRDefault="00A716F2" w:rsidP="003B172C">
            <w:pPr>
              <w:spacing w:beforeLines="60" w:before="144" w:after="60"/>
              <w:jc w:val="center"/>
            </w:pPr>
            <w:r>
              <w:t>Application 17-01-013</w:t>
            </w:r>
            <w:r>
              <w:br/>
              <w:t>(Filed January 17, 2017)</w:t>
            </w:r>
          </w:p>
        </w:tc>
      </w:tr>
      <w:tr w:rsidR="00A716F2" w14:paraId="2C67AF5A" w14:textId="77777777" w:rsidTr="003B172C">
        <w:tc>
          <w:tcPr>
            <w:tcW w:w="4788" w:type="dxa"/>
            <w:tcBorders>
              <w:top w:val="single" w:sz="4" w:space="0" w:color="auto"/>
              <w:left w:val="nil"/>
              <w:bottom w:val="single" w:sz="4" w:space="0" w:color="auto"/>
              <w:right w:val="single" w:sz="4" w:space="0" w:color="auto"/>
            </w:tcBorders>
            <w:vAlign w:val="center"/>
          </w:tcPr>
          <w:p w14:paraId="4EA90BCB" w14:textId="77777777" w:rsidR="00A716F2" w:rsidRPr="003C0631" w:rsidRDefault="00A716F2" w:rsidP="003B172C">
            <w:pPr>
              <w:spacing w:beforeLines="60" w:before="144" w:after="60"/>
            </w:pPr>
            <w:r>
              <w:t>And Related Matters.</w:t>
            </w:r>
          </w:p>
        </w:tc>
        <w:tc>
          <w:tcPr>
            <w:tcW w:w="4788" w:type="dxa"/>
            <w:tcBorders>
              <w:top w:val="nil"/>
              <w:left w:val="single" w:sz="4" w:space="0" w:color="auto"/>
              <w:bottom w:val="nil"/>
              <w:right w:val="nil"/>
            </w:tcBorders>
            <w:vAlign w:val="center"/>
          </w:tcPr>
          <w:p w14:paraId="46364E53" w14:textId="77777777" w:rsidR="00A716F2" w:rsidRDefault="00A716F2" w:rsidP="003B172C">
            <w:pPr>
              <w:spacing w:before="120" w:after="120"/>
              <w:jc w:val="center"/>
            </w:pPr>
            <w:r>
              <w:t>Application 17-01-014</w:t>
            </w:r>
            <w:r>
              <w:br/>
              <w:t>Application 17-01-015</w:t>
            </w:r>
            <w:r>
              <w:br/>
              <w:t>Application 17-01-016</w:t>
            </w:r>
            <w:r>
              <w:br/>
              <w:t>Application 17-01-017</w:t>
            </w:r>
          </w:p>
        </w:tc>
      </w:tr>
    </w:tbl>
    <w:p w14:paraId="20BEEA70" w14:textId="77777777" w:rsidR="00A716F2" w:rsidRDefault="00A716F2" w:rsidP="00A716F2">
      <w:pPr>
        <w:spacing w:after="0"/>
      </w:pPr>
    </w:p>
    <w:p w14:paraId="57347CE3" w14:textId="77777777" w:rsidR="00A716F2" w:rsidRDefault="00D76C70" w:rsidP="00A464B0">
      <w:pPr>
        <w:pStyle w:val="Title"/>
      </w:pPr>
      <w:r w:rsidRPr="00A464B0">
        <w:t>Joint Motion for Approval of Standard Contract</w:t>
      </w:r>
      <w:r>
        <w:br/>
        <w:t>for local government partnerships</w:t>
      </w:r>
    </w:p>
    <w:p w14:paraId="13A80522" w14:textId="77777777" w:rsidR="00A716F2" w:rsidRDefault="00DA2E96" w:rsidP="00A716F2">
      <w:pPr>
        <w:pStyle w:val="Heading1"/>
      </w:pPr>
      <w:r>
        <w:t>INTRODUCTION</w:t>
      </w:r>
    </w:p>
    <w:p w14:paraId="2FD995B6" w14:textId="4B14DC9B" w:rsidR="00DA2E96" w:rsidRDefault="00DA2E96" w:rsidP="0075091F">
      <w:pPr>
        <w:pStyle w:val="BodyTextFirstIndent"/>
      </w:pPr>
      <w:r>
        <w:t xml:space="preserve">Pursuant to Rule 11.1 of the Rules of Practice and Procedure of the California Public Utilities Commission (“Commission”) and the </w:t>
      </w:r>
      <w:r w:rsidR="001C4FCA">
        <w:t>June 5</w:t>
      </w:r>
      <w:r>
        <w:t xml:space="preserve">, 2018 Decision Addressing Energy Efficiency </w:t>
      </w:r>
      <w:r w:rsidR="00A303FE">
        <w:t>Business Plans</w:t>
      </w:r>
      <w:r w:rsidR="007A74FE">
        <w:t>, Decision</w:t>
      </w:r>
      <w:r w:rsidR="009072FD">
        <w:t xml:space="preserve"> (“D”)</w:t>
      </w:r>
      <w:r w:rsidR="00A303FE">
        <w:t xml:space="preserve"> 18-05-041</w:t>
      </w:r>
      <w:r w:rsidR="007A74FE">
        <w:t>,</w:t>
      </w:r>
      <w:r>
        <w:t xml:space="preserve"> (“Decision”), San Diego Gas &amp; Electric Company (“SDG&amp;E”), Southern California Gas Company (“SoCalGas”), Southern California Edison </w:t>
      </w:r>
      <w:r w:rsidR="0089206A">
        <w:t xml:space="preserve">Company </w:t>
      </w:r>
      <w:r>
        <w:t>(“SCE”) and Pacific Gas and Electric Company (“PG&amp;E”)</w:t>
      </w:r>
      <w:r w:rsidR="003B172C">
        <w:t xml:space="preserve"> (collectively, the “Joint Utilities”) </w:t>
      </w:r>
      <w:r>
        <w:t>submit this Joint Motion for Commission approval of proposed standard contract</w:t>
      </w:r>
      <w:r w:rsidR="00BF2F84">
        <w:t xml:space="preserve"> terms</w:t>
      </w:r>
      <w:r w:rsidR="00A303FE">
        <w:t xml:space="preserve"> for Local Government Partnerships</w:t>
      </w:r>
      <w:r>
        <w:t>.  This Joint Motion is timely filed with</w:t>
      </w:r>
      <w:r w:rsidR="00782A5B">
        <w:t>in</w:t>
      </w:r>
      <w:r>
        <w:t xml:space="preserve"> </w:t>
      </w:r>
      <w:r w:rsidR="00A303FE">
        <w:t>90</w:t>
      </w:r>
      <w:r>
        <w:t xml:space="preserve"> days of the issuance of the Decision.</w:t>
      </w:r>
      <w:r w:rsidR="000C0C16">
        <w:rPr>
          <w:rStyle w:val="FootnoteReference"/>
        </w:rPr>
        <w:footnoteReference w:id="2"/>
      </w:r>
      <w:r>
        <w:t xml:space="preserve"> </w:t>
      </w:r>
    </w:p>
    <w:p w14:paraId="415D287A" w14:textId="77777777" w:rsidR="003B172C" w:rsidRDefault="003B172C" w:rsidP="003B172C">
      <w:pPr>
        <w:pStyle w:val="Heading1"/>
      </w:pPr>
      <w:r>
        <w:t>PROPOSED STANDARD THIRD</w:t>
      </w:r>
      <w:r w:rsidR="00C13A00">
        <w:t>-</w:t>
      </w:r>
      <w:r>
        <w:t>PARTY CONTRACT TERMS</w:t>
      </w:r>
    </w:p>
    <w:p w14:paraId="2DE6B7B9" w14:textId="11F39365" w:rsidR="0083295A" w:rsidRDefault="00DB77F3" w:rsidP="0075091F">
      <w:pPr>
        <w:pStyle w:val="BodyTextFirstIndent"/>
      </w:pPr>
      <w:r>
        <w:t xml:space="preserve">Consistent with </w:t>
      </w:r>
      <w:r w:rsidR="003B172C">
        <w:t xml:space="preserve">the Decision’s guidance, the Joint Utilities collaborated on </w:t>
      </w:r>
      <w:r w:rsidR="009032DE">
        <w:t xml:space="preserve">the Energy Efficiency programs contract </w:t>
      </w:r>
      <w:r w:rsidR="003B172C">
        <w:t xml:space="preserve">terms </w:t>
      </w:r>
      <w:r w:rsidR="00A303FE">
        <w:t xml:space="preserve">for Local Government Partnerships </w:t>
      </w:r>
      <w:r w:rsidR="009032DE">
        <w:t>required to be standardized by the Decision</w:t>
      </w:r>
      <w:r w:rsidR="0083295A">
        <w:t>.</w:t>
      </w:r>
      <w:r w:rsidR="003B172C">
        <w:t xml:space="preserve">  </w:t>
      </w:r>
      <w:r w:rsidR="0083295A" w:rsidRPr="0083295A">
        <w:t xml:space="preserve">The Joint Utilities emphasize that </w:t>
      </w:r>
      <w:r w:rsidR="005B1E73">
        <w:t xml:space="preserve">the proposed Standard and </w:t>
      </w:r>
      <w:r w:rsidR="005B1E73">
        <w:lastRenderedPageBreak/>
        <w:t xml:space="preserve">Modifiable </w:t>
      </w:r>
      <w:r w:rsidR="006E30AD">
        <w:t xml:space="preserve">contract </w:t>
      </w:r>
      <w:r w:rsidR="005B1E73">
        <w:t>terms in Attachments A and B</w:t>
      </w:r>
      <w:r w:rsidR="0083295A" w:rsidRPr="0083295A">
        <w:t xml:space="preserve"> contain only the terms that are listed in the Decision and </w:t>
      </w:r>
      <w:r w:rsidR="00BF2F84">
        <w:t>do</w:t>
      </w:r>
      <w:r w:rsidR="00BF2F84" w:rsidRPr="0083295A">
        <w:t xml:space="preserve"> </w:t>
      </w:r>
      <w:r w:rsidR="0083295A" w:rsidRPr="0083295A">
        <w:t xml:space="preserve">not </w:t>
      </w:r>
      <w:r w:rsidR="00BF2F84">
        <w:t xml:space="preserve">constitute </w:t>
      </w:r>
      <w:r w:rsidR="0083295A" w:rsidRPr="0083295A">
        <w:t xml:space="preserve">the full contract terms and conditions of the </w:t>
      </w:r>
      <w:r w:rsidR="0074114E">
        <w:t>Joint Utilities</w:t>
      </w:r>
      <w:r w:rsidR="0083295A" w:rsidRPr="0083295A">
        <w:t>.</w:t>
      </w:r>
      <w:r w:rsidR="0074114E">
        <w:t xml:space="preserve">  </w:t>
      </w:r>
    </w:p>
    <w:p w14:paraId="0723012A" w14:textId="221565CD" w:rsidR="003B172C" w:rsidRDefault="009032DE" w:rsidP="0075091F">
      <w:pPr>
        <w:pStyle w:val="BodyTextFirstIndent"/>
      </w:pPr>
      <w:r>
        <w:t>The Joint Utilities provided a first draft of both the non-modifiable and modifiable</w:t>
      </w:r>
      <w:r w:rsidR="005D45BB">
        <w:t xml:space="preserve"> contract</w:t>
      </w:r>
      <w:r>
        <w:t xml:space="preserve"> terms </w:t>
      </w:r>
      <w:r w:rsidR="00A303FE">
        <w:t xml:space="preserve">for Local Government Partnerships </w:t>
      </w:r>
      <w:r>
        <w:t>to the Califor</w:t>
      </w:r>
      <w:r w:rsidR="000C0C16">
        <w:t>n</w:t>
      </w:r>
      <w:r>
        <w:t xml:space="preserve">ia Energy Efficiency Coordinating Committee (“CAEECC”) for review and comment by its members.  </w:t>
      </w:r>
      <w:r w:rsidR="003B172C">
        <w:t xml:space="preserve">On </w:t>
      </w:r>
      <w:r w:rsidR="00A303FE">
        <w:t>[</w:t>
      </w:r>
      <w:r w:rsidR="00A303FE" w:rsidRPr="00A303FE">
        <w:rPr>
          <w:highlight w:val="yellow"/>
        </w:rPr>
        <w:t>____________</w:t>
      </w:r>
      <w:r w:rsidR="00A303FE">
        <w:t>]</w:t>
      </w:r>
      <w:r w:rsidR="003B172C">
        <w:t xml:space="preserve">, 2018, CAEECC hosted a meeting to discuss the </w:t>
      </w:r>
      <w:r>
        <w:t xml:space="preserve">first draft of the </w:t>
      </w:r>
      <w:r w:rsidR="003B172C">
        <w:t xml:space="preserve">proposed </w:t>
      </w:r>
      <w:r w:rsidR="00BF2F84">
        <w:t>terms</w:t>
      </w:r>
      <w:r w:rsidR="003B172C">
        <w:t xml:space="preserve"> with interested parties to seek </w:t>
      </w:r>
      <w:r w:rsidR="006E30AD">
        <w:t xml:space="preserve">their </w:t>
      </w:r>
      <w:r w:rsidR="003B172C">
        <w:t xml:space="preserve">input prior to filing this Joint Motion.  </w:t>
      </w:r>
      <w:r>
        <w:t>The Joint Utilities considered the comments and made revisions both in response to the comments and based on further discussions among the Joint Utilities.</w:t>
      </w:r>
      <w:r w:rsidR="001678A3">
        <w:rPr>
          <w:rStyle w:val="FootnoteReference"/>
        </w:rPr>
        <w:footnoteReference w:id="3"/>
      </w:r>
      <w:r>
        <w:t xml:space="preserve">  </w:t>
      </w:r>
    </w:p>
    <w:p w14:paraId="0F2A2C65" w14:textId="3C42ACB2" w:rsidR="00A87406" w:rsidRDefault="00A87406" w:rsidP="0075091F">
      <w:pPr>
        <w:pStyle w:val="BodyTextFirstIndent"/>
      </w:pPr>
      <w:r>
        <w:t>The Joint Utilities also presented a draft of both the non-modifiable and modifiable contract terms for Local Government Partnerships to the Local Government Partners via webinar on [</w:t>
      </w:r>
      <w:r w:rsidRPr="00A303FE">
        <w:rPr>
          <w:highlight w:val="yellow"/>
        </w:rPr>
        <w:t>____________</w:t>
      </w:r>
      <w:r>
        <w:t>], 2018.  The Joint Utilities considered</w:t>
      </w:r>
      <w:r w:rsidR="00C67313">
        <w:t xml:space="preserve"> the comments and made revisions in response to the comments and based on further discussion among the Joint Utilities.</w:t>
      </w:r>
    </w:p>
    <w:p w14:paraId="715E4B19" w14:textId="7173E880" w:rsidR="005B3044" w:rsidRDefault="00A477DF" w:rsidP="0075091F">
      <w:pPr>
        <w:pStyle w:val="BodyTextFirstIndent"/>
      </w:pPr>
      <w:r>
        <w:t xml:space="preserve">The Joint Utilities’ </w:t>
      </w:r>
      <w:r w:rsidR="005B3044">
        <w:t>proposed contract</w:t>
      </w:r>
      <w:r w:rsidR="002D2D16">
        <w:t xml:space="preserve"> terms</w:t>
      </w:r>
      <w:r w:rsidR="00A303FE">
        <w:t xml:space="preserve"> for Local Government Partnerships</w:t>
      </w:r>
      <w:r>
        <w:t>, in Attachment A,</w:t>
      </w:r>
      <w:r w:rsidR="005B3044">
        <w:t xml:space="preserve"> contain </w:t>
      </w:r>
      <w:r w:rsidR="00276F36">
        <w:t xml:space="preserve">non-modifiable, </w:t>
      </w:r>
      <w:r w:rsidR="005B3044">
        <w:t>standard contract terms</w:t>
      </w:r>
      <w:r>
        <w:t xml:space="preserve"> listed in </w:t>
      </w:r>
      <w:r w:rsidR="00A303FE">
        <w:t>D.18-05-041</w:t>
      </w:r>
      <w:r w:rsidR="003B5633">
        <w:t>,</w:t>
      </w:r>
      <w:r w:rsidR="00BA4E3B">
        <w:t xml:space="preserve"> OP </w:t>
      </w:r>
      <w:r w:rsidR="00A303FE">
        <w:t>31</w:t>
      </w:r>
      <w:r w:rsidR="005B3044">
        <w:t xml:space="preserve">, pertaining to </w:t>
      </w:r>
      <w:r w:rsidR="00A303FE">
        <w:t>contract term/length, budget and payment schedule and terms, dispute resolution process, and termination process</w:t>
      </w:r>
      <w:r w:rsidR="005B3044">
        <w:t>.</w:t>
      </w:r>
      <w:r w:rsidR="00276F36">
        <w:t xml:space="preserve">  The Joint Utilities note that certain requirements, such as </w:t>
      </w:r>
      <w:r w:rsidR="00A303FE">
        <w:t>[</w:t>
      </w:r>
      <w:r w:rsidR="00A303FE" w:rsidRPr="00A303FE">
        <w:rPr>
          <w:highlight w:val="yellow"/>
        </w:rPr>
        <w:t>____________________</w:t>
      </w:r>
      <w:r w:rsidR="00A303FE">
        <w:t>]</w:t>
      </w:r>
      <w:r w:rsidR="00276F36">
        <w:t xml:space="preserve">, will </w:t>
      </w:r>
      <w:r w:rsidR="006E30AD">
        <w:t>differ</w:t>
      </w:r>
      <w:r w:rsidR="00276F36">
        <w:t xml:space="preserve"> depending on </w:t>
      </w:r>
      <w:r w:rsidR="00FE627D">
        <w:t xml:space="preserve">program design and </w:t>
      </w:r>
      <w:r w:rsidR="00276F36">
        <w:t xml:space="preserve">the nature and size of the contract.  Rather than attempt to draft language for all possible program </w:t>
      </w:r>
      <w:r w:rsidR="00FF7A24">
        <w:t>designs</w:t>
      </w:r>
      <w:r w:rsidR="00276F36">
        <w:t>, the Joint Utilities have included a placeholder to allow for company</w:t>
      </w:r>
      <w:r w:rsidR="00843C25">
        <w:t xml:space="preserve"> </w:t>
      </w:r>
      <w:r w:rsidR="00276F36">
        <w:t xml:space="preserve">- and program-specific requirements to be included.  As the Commission is aware, all contracts will go through an independent </w:t>
      </w:r>
      <w:r w:rsidR="00276F36" w:rsidRPr="00EB52A4">
        <w:lastRenderedPageBreak/>
        <w:t xml:space="preserve">evaluator and procurement review group process, and all contracts for </w:t>
      </w:r>
      <w:r w:rsidR="00BF2F84" w:rsidRPr="00EB52A4">
        <w:t>more than</w:t>
      </w:r>
      <w:r w:rsidR="00276F36" w:rsidRPr="00EB52A4">
        <w:t xml:space="preserve"> five million dollars and/or longer than three years will be filed and reviewed by the Commission.</w:t>
      </w:r>
      <w:r w:rsidR="0083295A">
        <w:t xml:space="preserve">  </w:t>
      </w:r>
    </w:p>
    <w:p w14:paraId="4973FEF5" w14:textId="1EF73C27" w:rsidR="006C7FD1" w:rsidRDefault="00A477DF" w:rsidP="0075091F">
      <w:pPr>
        <w:pStyle w:val="BodyTextFirstIndent"/>
      </w:pPr>
      <w:r>
        <w:t xml:space="preserve">Attachment B contains the Joint Utilities’ </w:t>
      </w:r>
      <w:r w:rsidR="005B3044">
        <w:t xml:space="preserve">proposed contract </w:t>
      </w:r>
      <w:r w:rsidR="008A49AC">
        <w:t>terms</w:t>
      </w:r>
      <w:r w:rsidR="00C174AC">
        <w:t>,</w:t>
      </w:r>
      <w:r>
        <w:t xml:space="preserve"> as specified in </w:t>
      </w:r>
      <w:r w:rsidR="00A303FE">
        <w:t>D.18-05-041, OP 31</w:t>
      </w:r>
      <w:r w:rsidR="00C174AC">
        <w:t>,</w:t>
      </w:r>
      <w:r w:rsidR="008A49AC">
        <w:t xml:space="preserve"> that are </w:t>
      </w:r>
      <w:r w:rsidR="00FD4695">
        <w:t>modifiable</w:t>
      </w:r>
      <w:r w:rsidR="008A49AC">
        <w:t>, including</w:t>
      </w:r>
      <w:r w:rsidR="0083295A">
        <w:t>:</w:t>
      </w:r>
      <w:r w:rsidR="008A49AC">
        <w:t xml:space="preserve"> </w:t>
      </w:r>
      <w:r w:rsidR="0083295A">
        <w:t xml:space="preserve">data collection </w:t>
      </w:r>
      <w:r w:rsidR="00A303FE">
        <w:t>and access provisions</w:t>
      </w:r>
      <w:r w:rsidR="00AC4F90">
        <w:t>; progress and evaluation metrics; evaluation, measurement, and verification requirements; and method for calculating co-benefits and economic development benefits of programs in disadvantaged communities and/or for hard-to-reach customers</w:t>
      </w:r>
      <w:r w:rsidR="0083295A">
        <w:t xml:space="preserve">.  </w:t>
      </w:r>
    </w:p>
    <w:p w14:paraId="0208E708" w14:textId="0DD808C1" w:rsidR="00282E1C" w:rsidRDefault="003300A9" w:rsidP="0075091F">
      <w:pPr>
        <w:pStyle w:val="BodyTextFirstIndent"/>
      </w:pPr>
      <w:r>
        <w:t>Th</w:t>
      </w:r>
      <w:r w:rsidR="00282E1C">
        <w:t>e Joint Utilities standardize</w:t>
      </w:r>
      <w:r>
        <w:t>d</w:t>
      </w:r>
      <w:r w:rsidR="00282E1C">
        <w:t xml:space="preserve"> the modifiable provisions</w:t>
      </w:r>
      <w:r>
        <w:t xml:space="preserve"> to the extent possible; however, the Joint Utilities emphasize that these provisions are negotiable and subject to change.</w:t>
      </w:r>
      <w:r w:rsidR="00207692">
        <w:t xml:space="preserve">  </w:t>
      </w:r>
      <w:r w:rsidR="00BA4E3B">
        <w:t xml:space="preserve">At the </w:t>
      </w:r>
      <w:r w:rsidR="00AC4F90">
        <w:t>[</w:t>
      </w:r>
      <w:r w:rsidR="00AC4F90" w:rsidRPr="00AC4F90">
        <w:rPr>
          <w:highlight w:val="yellow"/>
        </w:rPr>
        <w:t>______________</w:t>
      </w:r>
      <w:r w:rsidR="00AC4F90">
        <w:t>]</w:t>
      </w:r>
      <w:r w:rsidR="00BA4E3B">
        <w:t xml:space="preserve"> CAEECC</w:t>
      </w:r>
      <w:r w:rsidR="00C67313">
        <w:t xml:space="preserve"> and LGP Partners</w:t>
      </w:r>
      <w:r w:rsidR="00BA4E3B">
        <w:t xml:space="preserve"> meetings, there was general agreement </w:t>
      </w:r>
      <w:r w:rsidR="00967BFD">
        <w:t xml:space="preserve">that standardizing terms at this point in the process would be a substantial challenge. </w:t>
      </w:r>
      <w:r w:rsidR="00C174AC">
        <w:t xml:space="preserve"> </w:t>
      </w:r>
      <w:r w:rsidR="00207692">
        <w:t>For this reason,</w:t>
      </w:r>
      <w:r w:rsidR="00282E1C">
        <w:t xml:space="preserve"> the Joint Utilities </w:t>
      </w:r>
      <w:r w:rsidR="00184108">
        <w:t>have proposed</w:t>
      </w:r>
      <w:r w:rsidR="00207692">
        <w:t xml:space="preserve"> more</w:t>
      </w:r>
      <w:r w:rsidR="00184108">
        <w:t xml:space="preserve"> </w:t>
      </w:r>
      <w:r w:rsidR="00282E1C">
        <w:t>general contract provisions</w:t>
      </w:r>
      <w:r w:rsidR="00184108">
        <w:t>,</w:t>
      </w:r>
      <w:r w:rsidR="00282E1C">
        <w:t xml:space="preserve"> along with a description of how the Joint Utilities expect those provisions will be negotiated once </w:t>
      </w:r>
      <w:r w:rsidR="00AC4F90">
        <w:t>Local Government Partnerships</w:t>
      </w:r>
      <w:r w:rsidR="00512014">
        <w:t xml:space="preserve"> have </w:t>
      </w:r>
      <w:r w:rsidR="0088481A">
        <w:t>developed</w:t>
      </w:r>
      <w:r w:rsidR="00512014">
        <w:t xml:space="preserve"> specific program concepts</w:t>
      </w:r>
      <w:r w:rsidR="00282E1C">
        <w:t xml:space="preserve">. </w:t>
      </w:r>
      <w:r w:rsidR="0076508B">
        <w:t xml:space="preserve"> Additionally, certain provisions – such as </w:t>
      </w:r>
      <w:r w:rsidR="00AC4F90">
        <w:t xml:space="preserve">data collection and access </w:t>
      </w:r>
      <w:r w:rsidR="0076508B">
        <w:t xml:space="preserve">– will necessarily differ based on the nature and scope of the program and the Joint Utilities’ </w:t>
      </w:r>
      <w:r w:rsidR="00FD4F4D">
        <w:t>specific company requirements</w:t>
      </w:r>
      <w:r w:rsidR="0076508B">
        <w:t xml:space="preserve">.  </w:t>
      </w:r>
      <w:r w:rsidR="00282E1C">
        <w:t>Therefore, the Joint Utilities request that the Commission accept the</w:t>
      </w:r>
      <w:r w:rsidR="0018515A">
        <w:t>se “placeholder”</w:t>
      </w:r>
      <w:r w:rsidR="00282E1C">
        <w:t xml:space="preserve"> modifiable provisions with the expectation that the</w:t>
      </w:r>
      <w:r w:rsidR="004F4AF4">
        <w:t xml:space="preserve">y </w:t>
      </w:r>
      <w:r w:rsidR="00282E1C">
        <w:t xml:space="preserve">will be refined and negotiated as </w:t>
      </w:r>
      <w:r w:rsidR="00AC4F90">
        <w:t>contracts with Local Government Partnerships are drafted</w:t>
      </w:r>
      <w:r w:rsidR="00282E1C">
        <w:t>.</w:t>
      </w:r>
      <w:r w:rsidR="0076508B">
        <w:t xml:space="preserve">  </w:t>
      </w:r>
    </w:p>
    <w:p w14:paraId="4606B404" w14:textId="77777777" w:rsidR="002B0411" w:rsidRDefault="002B0411" w:rsidP="002B0411">
      <w:pPr>
        <w:pStyle w:val="Heading1"/>
      </w:pPr>
      <w:r>
        <w:t>CONCLUSION</w:t>
      </w:r>
    </w:p>
    <w:p w14:paraId="0A34E0E3" w14:textId="659D020F" w:rsidR="003B172C" w:rsidRPr="003B172C" w:rsidRDefault="002B0411" w:rsidP="0075091F">
      <w:pPr>
        <w:pStyle w:val="BodyTextFirstIndent"/>
      </w:pPr>
      <w:r>
        <w:t>The Joint Utilities look forward to the</w:t>
      </w:r>
      <w:r w:rsidR="00E77A18">
        <w:t xml:space="preserve"> Commission’s approval </w:t>
      </w:r>
      <w:r>
        <w:t xml:space="preserve">of </w:t>
      </w:r>
      <w:r w:rsidR="005062E7">
        <w:t xml:space="preserve">the </w:t>
      </w:r>
      <w:r w:rsidR="00680D91">
        <w:t xml:space="preserve">proposed </w:t>
      </w:r>
      <w:r w:rsidR="006E30AD">
        <w:t>(a) </w:t>
      </w:r>
      <w:r w:rsidR="004A687C">
        <w:t xml:space="preserve">standard contract </w:t>
      </w:r>
      <w:r w:rsidR="005062E7">
        <w:t>terms</w:t>
      </w:r>
      <w:r w:rsidR="00AC4F90">
        <w:t xml:space="preserve"> and </w:t>
      </w:r>
      <w:r w:rsidR="006E30AD">
        <w:t xml:space="preserve">(b) </w:t>
      </w:r>
      <w:r w:rsidR="00862C5B">
        <w:t xml:space="preserve">modifiable </w:t>
      </w:r>
      <w:r w:rsidR="006E30AD">
        <w:t xml:space="preserve">contract </w:t>
      </w:r>
      <w:r w:rsidR="00AC4F90">
        <w:t>terms</w:t>
      </w:r>
      <w:r w:rsidR="006E30AD">
        <w:t>,</w:t>
      </w:r>
      <w:r w:rsidR="00862C5B">
        <w:t xml:space="preserve"> </w:t>
      </w:r>
      <w:r>
        <w:t xml:space="preserve">so that the </w:t>
      </w:r>
      <w:r w:rsidR="00E77A18">
        <w:t xml:space="preserve">Energy Efficiency program </w:t>
      </w:r>
      <w:r>
        <w:t>solicitation</w:t>
      </w:r>
      <w:r w:rsidR="00E77A18">
        <w:t>s</w:t>
      </w:r>
      <w:r>
        <w:t xml:space="preserve"> </w:t>
      </w:r>
      <w:r w:rsidR="00782A5B">
        <w:t xml:space="preserve">can </w:t>
      </w:r>
      <w:r>
        <w:t>move forward</w:t>
      </w:r>
      <w:r w:rsidR="00782A5B">
        <w:t xml:space="preserve"> in an expeditious manner</w:t>
      </w:r>
      <w:r>
        <w:t xml:space="preserve">. </w:t>
      </w:r>
      <w:r w:rsidR="003B172C">
        <w:t xml:space="preserve"> </w:t>
      </w:r>
    </w:p>
    <w:p w14:paraId="29A4195E" w14:textId="77777777" w:rsidR="00A716F2" w:rsidRPr="00A716F2" w:rsidRDefault="00A716F2" w:rsidP="002B0411">
      <w:pPr>
        <w:pStyle w:val="BodyTextFirstIndent"/>
        <w:ind w:firstLine="0"/>
      </w:pPr>
    </w:p>
    <w:p w14:paraId="176DE7C5" w14:textId="77777777" w:rsidR="00A716F2" w:rsidRDefault="00A716F2" w:rsidP="00E72561">
      <w:pPr>
        <w:pStyle w:val="Signature"/>
        <w:ind w:left="3600" w:firstLine="720"/>
      </w:pPr>
      <w:r>
        <w:lastRenderedPageBreak/>
        <w:t>Respectfully submitted,</w:t>
      </w:r>
    </w:p>
    <w:p w14:paraId="6E612204" w14:textId="77777777" w:rsidR="00A716F2" w:rsidRDefault="00A716F2" w:rsidP="00DC5B65">
      <w:pPr>
        <w:pStyle w:val="Signature"/>
      </w:pPr>
    </w:p>
    <w:p w14:paraId="1F62EF29" w14:textId="77777777" w:rsidR="00A716F2" w:rsidRPr="00650BAE" w:rsidRDefault="00A716F2" w:rsidP="00DC5B65">
      <w:pPr>
        <w:pStyle w:val="Signature"/>
        <w:tabs>
          <w:tab w:val="right" w:pos="9360"/>
        </w:tabs>
        <w:rPr>
          <w:i/>
        </w:rPr>
      </w:pPr>
      <w:r w:rsidRPr="00650BAE">
        <w:rPr>
          <w:i/>
          <w:u w:val="single"/>
        </w:rPr>
        <w:t>/s/ Ellen N. Adler</w:t>
      </w:r>
      <w:r w:rsidRPr="00650BAE">
        <w:rPr>
          <w:i/>
          <w:u w:val="single"/>
        </w:rPr>
        <w:tab/>
      </w:r>
    </w:p>
    <w:p w14:paraId="317DCD8A" w14:textId="77777777" w:rsidR="00A716F2" w:rsidRDefault="00A716F2" w:rsidP="00DC5B65">
      <w:pPr>
        <w:pStyle w:val="Signature"/>
      </w:pPr>
      <w:r>
        <w:t>Ellen N. Adler</w:t>
      </w:r>
    </w:p>
    <w:p w14:paraId="4242F236" w14:textId="77777777" w:rsidR="00A716F2" w:rsidRPr="00DC5B65" w:rsidRDefault="00A716F2" w:rsidP="00DC5B65">
      <w:pPr>
        <w:pStyle w:val="Signature"/>
        <w:rPr>
          <w:i/>
        </w:rPr>
      </w:pPr>
      <w:r w:rsidRPr="00DC5B65">
        <w:rPr>
          <w:i/>
        </w:rPr>
        <w:t>Attorney for</w:t>
      </w:r>
    </w:p>
    <w:p w14:paraId="1D52DB9C" w14:textId="77777777" w:rsidR="00A716F2" w:rsidRPr="00DC5B65" w:rsidRDefault="00A716F2" w:rsidP="00DC5B65">
      <w:pPr>
        <w:pStyle w:val="Signature"/>
        <w:rPr>
          <w:b/>
          <w:smallCaps/>
        </w:rPr>
      </w:pPr>
      <w:r w:rsidRPr="00DC5B65">
        <w:rPr>
          <w:b/>
          <w:smallCaps/>
        </w:rPr>
        <w:t>San Diego Gas &amp; Electric Company</w:t>
      </w:r>
    </w:p>
    <w:p w14:paraId="0EBFA8EC" w14:textId="77777777" w:rsidR="00A716F2" w:rsidRDefault="00A716F2" w:rsidP="00DC5B65">
      <w:pPr>
        <w:pStyle w:val="Signature"/>
      </w:pPr>
    </w:p>
    <w:p w14:paraId="69C01084" w14:textId="77777777" w:rsidR="00A716F2" w:rsidRDefault="00A716F2" w:rsidP="00DC5B65">
      <w:pPr>
        <w:pStyle w:val="Signature"/>
      </w:pPr>
      <w:r>
        <w:t>8330 Century Park Court, CP32D</w:t>
      </w:r>
    </w:p>
    <w:p w14:paraId="08468D4B" w14:textId="77777777" w:rsidR="00A716F2" w:rsidRDefault="00A716F2" w:rsidP="00DC5B65">
      <w:pPr>
        <w:pStyle w:val="Signature"/>
      </w:pPr>
      <w:r>
        <w:t>San Diego, California 92123</w:t>
      </w:r>
    </w:p>
    <w:p w14:paraId="15A73AF5" w14:textId="77777777" w:rsidR="00A716F2" w:rsidRDefault="00A716F2" w:rsidP="00DC5B65">
      <w:pPr>
        <w:pStyle w:val="Signature"/>
      </w:pPr>
      <w:r>
        <w:t>Telephone: (858) 654-0220</w:t>
      </w:r>
    </w:p>
    <w:p w14:paraId="4B8D9222" w14:textId="77777777" w:rsidR="00A716F2" w:rsidRDefault="00A716F2" w:rsidP="00DC5B65">
      <w:pPr>
        <w:pStyle w:val="Signature"/>
      </w:pPr>
      <w:r>
        <w:t>Facsimile:  (619) 699-5027</w:t>
      </w:r>
    </w:p>
    <w:p w14:paraId="112C06FC" w14:textId="77777777" w:rsidR="00A716F2" w:rsidRDefault="00A716F2" w:rsidP="00DC5B65">
      <w:pPr>
        <w:pStyle w:val="Signature"/>
        <w:spacing w:after="240"/>
      </w:pPr>
      <w:r>
        <w:t>Email:  eadler@semprautilities.com</w:t>
      </w:r>
    </w:p>
    <w:p w14:paraId="5062B817" w14:textId="472DE09C" w:rsidR="00431D02" w:rsidRDefault="00EB433B" w:rsidP="00DC5B65">
      <w:pPr>
        <w:sectPr w:rsidR="00431D02" w:rsidSect="00D76CCF">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r>
        <w:t>August 31</w:t>
      </w:r>
      <w:r w:rsidR="003526EF">
        <w:t xml:space="preserve">, </w:t>
      </w:r>
      <w:r w:rsidR="00A464B0">
        <w:t>2018</w:t>
      </w:r>
    </w:p>
    <w:p w14:paraId="7BFDA231" w14:textId="12B50389" w:rsidR="00431D02" w:rsidRDefault="00431D02" w:rsidP="00431D02">
      <w:pPr>
        <w:jc w:val="center"/>
        <w:rPr>
          <w:b/>
          <w:sz w:val="48"/>
          <w:szCs w:val="48"/>
        </w:rPr>
      </w:pPr>
      <w:r w:rsidRPr="00431D02">
        <w:rPr>
          <w:b/>
          <w:sz w:val="48"/>
          <w:szCs w:val="48"/>
        </w:rPr>
        <w:lastRenderedPageBreak/>
        <w:t>ATTACHMENT A</w:t>
      </w:r>
    </w:p>
    <w:p w14:paraId="4555505F" w14:textId="701AED8D" w:rsidR="005E0DD8" w:rsidRDefault="005E0DD8" w:rsidP="00431D02">
      <w:pPr>
        <w:jc w:val="center"/>
        <w:rPr>
          <w:b/>
          <w:sz w:val="48"/>
          <w:szCs w:val="48"/>
        </w:rPr>
      </w:pPr>
    </w:p>
    <w:p w14:paraId="54182286" w14:textId="2A68B665" w:rsidR="005E0DD8" w:rsidRDefault="005E0DD8" w:rsidP="00431D02">
      <w:pPr>
        <w:jc w:val="center"/>
        <w:rPr>
          <w:b/>
          <w:sz w:val="48"/>
          <w:szCs w:val="48"/>
        </w:rPr>
      </w:pPr>
    </w:p>
    <w:p w14:paraId="0E2A1BBC" w14:textId="63E95E0E" w:rsidR="005E0DD8" w:rsidRDefault="005E0DD8" w:rsidP="00431D02">
      <w:pPr>
        <w:jc w:val="center"/>
        <w:rPr>
          <w:b/>
          <w:sz w:val="48"/>
          <w:szCs w:val="48"/>
        </w:rPr>
      </w:pPr>
    </w:p>
    <w:p w14:paraId="0ACA260A" w14:textId="77777777" w:rsidR="005E0DD8" w:rsidRDefault="005E0DD8">
      <w:pPr>
        <w:spacing w:after="200" w:line="276" w:lineRule="auto"/>
        <w:rPr>
          <w:b/>
          <w:sz w:val="48"/>
          <w:szCs w:val="48"/>
        </w:rPr>
      </w:pPr>
      <w:r>
        <w:rPr>
          <w:b/>
          <w:sz w:val="48"/>
          <w:szCs w:val="48"/>
        </w:rPr>
        <w:br w:type="page"/>
      </w:r>
    </w:p>
    <w:p w14:paraId="55130482" w14:textId="4BC739A8" w:rsidR="00442C8E" w:rsidRPr="00442C8E" w:rsidRDefault="00442C8E" w:rsidP="00442C8E">
      <w:pPr>
        <w:spacing w:after="200" w:line="276" w:lineRule="auto"/>
        <w:jc w:val="center"/>
        <w:rPr>
          <w:rFonts w:cs="Times New Roman"/>
          <w:b/>
          <w:sz w:val="48"/>
          <w:szCs w:val="48"/>
        </w:rPr>
      </w:pPr>
      <w:r w:rsidRPr="00442C8E">
        <w:rPr>
          <w:rFonts w:eastAsiaTheme="majorEastAsia" w:cs="Times New Roman"/>
          <w:b/>
          <w:caps/>
          <w:spacing w:val="-10"/>
          <w:kern w:val="28"/>
          <w:szCs w:val="56"/>
        </w:rPr>
        <w:lastRenderedPageBreak/>
        <w:t>ATTACHMENT A</w:t>
      </w:r>
      <w:r w:rsidRPr="00442C8E">
        <w:rPr>
          <w:rFonts w:eastAsiaTheme="majorEastAsia" w:cs="Times New Roman"/>
          <w:b/>
          <w:caps/>
          <w:spacing w:val="-10"/>
          <w:kern w:val="28"/>
          <w:szCs w:val="56"/>
        </w:rPr>
        <w:br/>
        <w:t>PROPOSED STANDARD Contract TERMS</w:t>
      </w:r>
    </w:p>
    <w:p w14:paraId="1F8B51C8" w14:textId="77777777" w:rsidR="00442C8E" w:rsidRPr="00442C8E" w:rsidRDefault="00442C8E" w:rsidP="00442C8E">
      <w:pPr>
        <w:contextualSpacing/>
        <w:jc w:val="center"/>
        <w:rPr>
          <w:rFonts w:asciiTheme="minorHAnsi" w:eastAsiaTheme="majorEastAsia" w:hAnsiTheme="minorHAnsi" w:cstheme="majorBidi"/>
          <w:b/>
          <w:caps/>
          <w:spacing w:val="-10"/>
          <w:kern w:val="28"/>
          <w:szCs w:val="56"/>
        </w:rPr>
      </w:pPr>
    </w:p>
    <w:p w14:paraId="1BDD9163" w14:textId="77777777" w:rsidR="00442C8E" w:rsidRPr="00442C8E" w:rsidRDefault="00442C8E" w:rsidP="00442C8E">
      <w:pPr>
        <w:spacing w:after="0"/>
        <w:ind w:left="720"/>
        <w:contextualSpacing/>
        <w:jc w:val="both"/>
        <w:rPr>
          <w:rFonts w:cs="Times New Roman"/>
          <w:sz w:val="22"/>
          <w:szCs w:val="22"/>
        </w:rPr>
      </w:pPr>
    </w:p>
    <w:p w14:paraId="5C861C7D" w14:textId="6643C3D3" w:rsidR="00F25313" w:rsidRPr="00F25313" w:rsidRDefault="00F25313" w:rsidP="00F25313">
      <w:pPr>
        <w:numPr>
          <w:ilvl w:val="0"/>
          <w:numId w:val="12"/>
        </w:numPr>
        <w:spacing w:after="0" w:line="276" w:lineRule="auto"/>
        <w:contextualSpacing/>
        <w:jc w:val="both"/>
        <w:rPr>
          <w:rFonts w:cs="Times New Roman"/>
          <w:b/>
          <w:bCs/>
          <w:sz w:val="22"/>
          <w:szCs w:val="22"/>
        </w:rPr>
      </w:pPr>
      <w:r w:rsidRPr="00F25313">
        <w:rPr>
          <w:rFonts w:cs="Times New Roman"/>
          <w:b/>
          <w:bCs/>
          <w:sz w:val="22"/>
          <w:szCs w:val="22"/>
        </w:rPr>
        <w:t xml:space="preserve">Contract Term/Length </w:t>
      </w:r>
    </w:p>
    <w:p w14:paraId="1FFFDE06" w14:textId="77777777" w:rsidR="00F25313" w:rsidRPr="00442C8E" w:rsidRDefault="00F25313" w:rsidP="00F25313">
      <w:pPr>
        <w:spacing w:before="120" w:after="120"/>
        <w:ind w:left="360"/>
        <w:rPr>
          <w:rFonts w:cs="Times New Roman"/>
          <w:sz w:val="22"/>
          <w:szCs w:val="22"/>
        </w:rPr>
      </w:pPr>
      <w:r w:rsidRPr="00442C8E">
        <w:rPr>
          <w:rFonts w:cs="Times New Roman"/>
          <w:sz w:val="22"/>
          <w:szCs w:val="22"/>
        </w:rPr>
        <w:t xml:space="preserve">1. </w:t>
      </w:r>
      <w:r w:rsidRPr="00442C8E">
        <w:rPr>
          <w:rFonts w:cs="Times New Roman"/>
          <w:sz w:val="22"/>
          <w:szCs w:val="22"/>
        </w:rPr>
        <w:tab/>
      </w:r>
      <w:r w:rsidRPr="00442C8E">
        <w:rPr>
          <w:rFonts w:cs="Times New Roman"/>
          <w:sz w:val="22"/>
          <w:szCs w:val="22"/>
          <w:u w:val="single"/>
        </w:rPr>
        <w:t>Term</w:t>
      </w:r>
      <w:r w:rsidRPr="00442C8E">
        <w:rPr>
          <w:rFonts w:cs="Times New Roman"/>
          <w:sz w:val="22"/>
          <w:szCs w:val="22"/>
        </w:rPr>
        <w:t>.</w:t>
      </w:r>
    </w:p>
    <w:p w14:paraId="35F55443" w14:textId="640F3A32" w:rsidR="00F25313" w:rsidRPr="00442C8E" w:rsidRDefault="00F25313" w:rsidP="00F25313">
      <w:pPr>
        <w:tabs>
          <w:tab w:val="left" w:pos="720"/>
        </w:tabs>
        <w:spacing w:after="0"/>
        <w:ind w:left="360" w:right="446"/>
        <w:rPr>
          <w:rFonts w:eastAsia="Times New Roman" w:cs="Times New Roman"/>
          <w:i/>
          <w:color w:val="0000FF"/>
          <w:sz w:val="22"/>
          <w:szCs w:val="22"/>
        </w:rPr>
      </w:pPr>
      <w:r w:rsidRPr="00E0001B">
        <w:rPr>
          <w:rFonts w:eastAsia="Times New Roman" w:cs="Times New Roman"/>
          <w:sz w:val="22"/>
          <w:szCs w:val="22"/>
        </w:rPr>
        <w:t>The “</w:t>
      </w:r>
      <w:r w:rsidRPr="00E0001B">
        <w:rPr>
          <w:rFonts w:cs="Times New Roman"/>
          <w:sz w:val="22"/>
          <w:szCs w:val="22"/>
          <w:u w:val="single"/>
        </w:rPr>
        <w:t>Term</w:t>
      </w:r>
      <w:r w:rsidRPr="00E0001B">
        <w:rPr>
          <w:rFonts w:eastAsia="Times New Roman" w:cs="Times New Roman"/>
          <w:sz w:val="22"/>
          <w:szCs w:val="22"/>
        </w:rPr>
        <w:t>” of this Agreement shall commence upon the [</w:t>
      </w:r>
      <w:r w:rsidR="005D050E" w:rsidRPr="00E0001B">
        <w:rPr>
          <w:rFonts w:eastAsia="Times New Roman" w:cs="Times New Roman"/>
          <w:sz w:val="22"/>
          <w:szCs w:val="22"/>
        </w:rPr>
        <w:t xml:space="preserve">Effective </w:t>
      </w:r>
      <w:r w:rsidRPr="00E0001B">
        <w:rPr>
          <w:rFonts w:eastAsia="Times New Roman" w:cs="Times New Roman"/>
          <w:sz w:val="22"/>
          <w:szCs w:val="22"/>
        </w:rPr>
        <w:t>Date]</w:t>
      </w:r>
      <w:r w:rsidRPr="00E0001B">
        <w:rPr>
          <w:rFonts w:eastAsia="Times New Roman" w:cs="Times New Roman"/>
          <w:sz w:val="22"/>
          <w:szCs w:val="22"/>
          <w:vertAlign w:val="superscript"/>
        </w:rPr>
        <w:footnoteReference w:id="4"/>
      </w:r>
      <w:r w:rsidRPr="00E0001B">
        <w:rPr>
          <w:rFonts w:eastAsia="Times New Roman" w:cs="Times New Roman"/>
          <w:sz w:val="22"/>
          <w:szCs w:val="22"/>
        </w:rPr>
        <w:t xml:space="preserve"> and shall continue, unless terminated earlier in accordance with the terms of this Agreement, until three (3) years </w:t>
      </w:r>
      <w:r w:rsidR="00E5383B" w:rsidRPr="00E0001B">
        <w:rPr>
          <w:rFonts w:eastAsia="Times New Roman" w:cs="Times New Roman"/>
          <w:sz w:val="22"/>
          <w:szCs w:val="22"/>
        </w:rPr>
        <w:t>[from the Effective Date] [</w:t>
      </w:r>
      <w:r w:rsidRPr="00E0001B">
        <w:rPr>
          <w:rFonts w:eastAsia="Times New Roman" w:cs="Times New Roman"/>
          <w:sz w:val="22"/>
          <w:szCs w:val="22"/>
        </w:rPr>
        <w:t>after the date upon which CPUC Approval occurs</w:t>
      </w:r>
      <w:r w:rsidR="00E5383B" w:rsidRPr="00E0001B">
        <w:rPr>
          <w:rFonts w:eastAsia="Times New Roman" w:cs="Times New Roman"/>
          <w:sz w:val="22"/>
          <w:szCs w:val="22"/>
        </w:rPr>
        <w:t>]</w:t>
      </w:r>
      <w:r w:rsidRPr="00E0001B">
        <w:rPr>
          <w:rFonts w:eastAsia="Times New Roman" w:cs="Times New Roman"/>
          <w:sz w:val="22"/>
          <w:szCs w:val="22"/>
        </w:rPr>
        <w:t xml:space="preserve">.  </w:t>
      </w:r>
    </w:p>
    <w:p w14:paraId="1FAE5E24" w14:textId="77777777" w:rsidR="00F25313" w:rsidRPr="00442C8E" w:rsidRDefault="00F25313" w:rsidP="00F25313">
      <w:pPr>
        <w:tabs>
          <w:tab w:val="left" w:pos="720"/>
        </w:tabs>
        <w:spacing w:after="0"/>
        <w:ind w:left="360" w:right="446"/>
        <w:rPr>
          <w:rFonts w:eastAsia="Times New Roman" w:cs="Times New Roman"/>
          <w:sz w:val="22"/>
          <w:szCs w:val="22"/>
        </w:rPr>
      </w:pPr>
    </w:p>
    <w:p w14:paraId="7F5E4FB5" w14:textId="77777777" w:rsidR="00F25313" w:rsidRPr="00442C8E" w:rsidRDefault="00F25313" w:rsidP="00F25313">
      <w:pPr>
        <w:spacing w:after="0"/>
        <w:ind w:left="360" w:right="446"/>
        <w:rPr>
          <w:rFonts w:eastAsia="Times New Roman" w:cs="Times New Roman"/>
          <w:i/>
          <w:color w:val="0000FF"/>
          <w:sz w:val="22"/>
          <w:szCs w:val="22"/>
        </w:rPr>
      </w:pPr>
      <w:r w:rsidRPr="00442C8E">
        <w:rPr>
          <w:rFonts w:eastAsia="Times New Roman" w:cs="Times New Roman"/>
          <w:sz w:val="22"/>
          <w:szCs w:val="22"/>
        </w:rPr>
        <w:t>“</w:t>
      </w:r>
      <w:r w:rsidRPr="00442C8E">
        <w:rPr>
          <w:rFonts w:eastAsia="Times New Roman" w:cs="Times New Roman"/>
          <w:sz w:val="22"/>
          <w:szCs w:val="22"/>
          <w:u w:val="single"/>
        </w:rPr>
        <w:t>CPUC Approval</w:t>
      </w:r>
      <w:r w:rsidRPr="00442C8E">
        <w:rPr>
          <w:rFonts w:eastAsia="Times New Roman" w:cs="Times New Roman"/>
          <w:sz w:val="22"/>
          <w:szCs w:val="22"/>
        </w:rPr>
        <w:t xml:space="preserve">” </w:t>
      </w:r>
      <w:r w:rsidRPr="00442C8E">
        <w:rPr>
          <w:rFonts w:eastAsia="Times New Roman" w:cs="Times New Roman"/>
          <w:bCs/>
          <w:sz w:val="22"/>
          <w:szCs w:val="22"/>
        </w:rPr>
        <w:t>means a d</w:t>
      </w:r>
      <w:r w:rsidRPr="00442C8E">
        <w:rPr>
          <w:rFonts w:eastAsia="Times New Roman" w:cs="Times New Roman"/>
          <w:sz w:val="22"/>
          <w:szCs w:val="22"/>
        </w:rPr>
        <w:t xml:space="preserve">ecision of the CPUC that (i) is final and no longer subject to appeal, which approves the Agreement in full and in the form presented on terms and conditions acceptable to Company in its sole discretion, including without limitation terms and conditions related to cost recovery and cost allocation of amounts paid to Implementer under the Agreement; (ii) does not contain conditions or modifications unacceptable to Company, in Company’s sole discretion; and (iii) finds that the Agreement satisfies the requirements in [Decision xx-xxx].  </w:t>
      </w:r>
      <w:r w:rsidRPr="00442C8E">
        <w:rPr>
          <w:rFonts w:eastAsia="Times New Roman" w:cs="Times New Roman"/>
          <w:i/>
          <w:color w:val="0000FF"/>
          <w:sz w:val="22"/>
          <w:szCs w:val="22"/>
        </w:rPr>
        <w:t>{Comment: Placeholder term for Agreement, subject to modification by Company and may be negotiated by Company and Bidder}</w:t>
      </w:r>
    </w:p>
    <w:p w14:paraId="75411316" w14:textId="77777777" w:rsidR="00F25313" w:rsidRDefault="00F25313" w:rsidP="00F25313">
      <w:pPr>
        <w:spacing w:after="0" w:line="276" w:lineRule="auto"/>
        <w:ind w:left="360"/>
        <w:contextualSpacing/>
        <w:jc w:val="both"/>
        <w:rPr>
          <w:rFonts w:cs="Times New Roman"/>
          <w:b/>
          <w:bCs/>
          <w:sz w:val="22"/>
          <w:szCs w:val="22"/>
        </w:rPr>
      </w:pPr>
    </w:p>
    <w:p w14:paraId="1E1F4E6C" w14:textId="4AAD748F" w:rsidR="00442C8E" w:rsidRDefault="00442C8E" w:rsidP="00442C8E">
      <w:pPr>
        <w:numPr>
          <w:ilvl w:val="0"/>
          <w:numId w:val="12"/>
        </w:numPr>
        <w:spacing w:after="0" w:line="276" w:lineRule="auto"/>
        <w:contextualSpacing/>
        <w:jc w:val="both"/>
        <w:rPr>
          <w:rFonts w:cs="Times New Roman"/>
          <w:b/>
          <w:bCs/>
          <w:sz w:val="22"/>
          <w:szCs w:val="22"/>
        </w:rPr>
      </w:pPr>
      <w:r w:rsidRPr="00442C8E">
        <w:rPr>
          <w:rFonts w:cs="Times New Roman"/>
          <w:b/>
          <w:bCs/>
          <w:sz w:val="22"/>
          <w:szCs w:val="22"/>
        </w:rPr>
        <w:t>Dispute Resolution Process</w:t>
      </w:r>
    </w:p>
    <w:p w14:paraId="7B5D6CFC" w14:textId="77777777" w:rsidR="00F25313" w:rsidRPr="00442C8E" w:rsidRDefault="00F25313" w:rsidP="00F25313">
      <w:pPr>
        <w:spacing w:after="0" w:line="276" w:lineRule="auto"/>
        <w:ind w:left="360"/>
        <w:contextualSpacing/>
        <w:jc w:val="both"/>
        <w:rPr>
          <w:rFonts w:cs="Times New Roman"/>
          <w:b/>
          <w:bCs/>
          <w:sz w:val="22"/>
          <w:szCs w:val="22"/>
        </w:rPr>
      </w:pPr>
    </w:p>
    <w:p w14:paraId="32103557" w14:textId="77777777" w:rsidR="00442C8E" w:rsidRPr="00442C8E" w:rsidRDefault="00442C8E" w:rsidP="00442C8E">
      <w:pPr>
        <w:numPr>
          <w:ilvl w:val="0"/>
          <w:numId w:val="16"/>
        </w:numPr>
        <w:spacing w:after="0" w:line="276" w:lineRule="auto"/>
        <w:ind w:left="720"/>
        <w:contextualSpacing/>
        <w:jc w:val="both"/>
        <w:rPr>
          <w:rFonts w:cs="Times New Roman"/>
          <w:sz w:val="22"/>
          <w:szCs w:val="22"/>
        </w:rPr>
      </w:pPr>
      <w:r w:rsidRPr="00442C8E">
        <w:rPr>
          <w:rFonts w:cs="Times New Roman"/>
          <w:sz w:val="22"/>
          <w:szCs w:val="22"/>
          <w:u w:val="single"/>
        </w:rPr>
        <w:t>Disputes</w:t>
      </w:r>
      <w:r w:rsidRPr="00442C8E">
        <w:rPr>
          <w:rFonts w:cs="Times New Roman"/>
          <w:sz w:val="22"/>
          <w:szCs w:val="22"/>
        </w:rPr>
        <w:t>.  Either Party may give the other Party written notice of any dispute which has not been resolved at a working level.  Any dispute that cannot be resolved between Implementer’s contract representative and Company’s contract representative by good faith negotiation efforts shall be referred to a [</w:t>
      </w:r>
      <w:r w:rsidRPr="00442C8E">
        <w:rPr>
          <w:rFonts w:cs="Times New Roman"/>
          <w:i/>
          <w:iCs/>
          <w:sz w:val="22"/>
          <w:szCs w:val="22"/>
        </w:rPr>
        <w:t>Insert IOU-specific level of authority</w:t>
      </w:r>
      <w:r w:rsidRPr="00442C8E">
        <w:rPr>
          <w:rFonts w:cs="Times New Roman"/>
          <w:sz w:val="22"/>
          <w:szCs w:val="22"/>
        </w:rPr>
        <w:t>] of Company and an officer of Implementer for resolution.  Within 20 calendar days after delivery of such notice, such persons shall meet at a mutually acceptable time and place, and thereafter as often as they reasonably deem necessary to exchange information and to attempt to resolve the dispute.  If Company and Implementer cannot reach an agreement within a reasonable period of time (but in no event more than 30 calendar days), Company and Implementer shall have the right to pursue all rights and remedies that may be available at law or in equity.  All negotiations and any mediation agreed to by the Parties are confidential and shall be treated as compromise and settlement negotiations, to which Section 1119 of the California Evidence Code shall apply, and Section 1119 is incorporated herein by reference.</w:t>
      </w:r>
    </w:p>
    <w:p w14:paraId="32DB159C" w14:textId="77777777" w:rsidR="00442C8E" w:rsidRPr="00442C8E" w:rsidRDefault="00442C8E" w:rsidP="00442C8E">
      <w:pPr>
        <w:spacing w:after="0"/>
        <w:ind w:left="720"/>
        <w:contextualSpacing/>
        <w:jc w:val="both"/>
        <w:rPr>
          <w:rFonts w:cs="Times New Roman"/>
          <w:sz w:val="22"/>
          <w:szCs w:val="22"/>
        </w:rPr>
      </w:pPr>
    </w:p>
    <w:p w14:paraId="19D8D4B2" w14:textId="77777777" w:rsidR="00442C8E" w:rsidRPr="00442C8E" w:rsidRDefault="00442C8E" w:rsidP="00442C8E">
      <w:pPr>
        <w:numPr>
          <w:ilvl w:val="0"/>
          <w:numId w:val="16"/>
        </w:numPr>
        <w:spacing w:after="0" w:line="276" w:lineRule="auto"/>
        <w:ind w:left="720"/>
        <w:contextualSpacing/>
        <w:jc w:val="both"/>
        <w:rPr>
          <w:rFonts w:cs="Times New Roman"/>
          <w:sz w:val="22"/>
          <w:szCs w:val="22"/>
        </w:rPr>
      </w:pPr>
      <w:r w:rsidRPr="00442C8E">
        <w:rPr>
          <w:rFonts w:cs="Times New Roman"/>
          <w:sz w:val="22"/>
          <w:szCs w:val="22"/>
          <w:u w:val="single"/>
        </w:rPr>
        <w:t>Governing Law</w:t>
      </w:r>
      <w:r w:rsidRPr="00442C8E">
        <w:rPr>
          <w:rFonts w:cs="Times New Roman"/>
          <w:sz w:val="22"/>
          <w:szCs w:val="22"/>
        </w:rPr>
        <w:t>.  This Agreement shall be governed by the internal laws of the State of California, with reference to its conflict of laws principles.</w:t>
      </w:r>
    </w:p>
    <w:p w14:paraId="2E646E08" w14:textId="77777777" w:rsidR="00442C8E" w:rsidRPr="00442C8E" w:rsidRDefault="00442C8E" w:rsidP="00442C8E">
      <w:pPr>
        <w:spacing w:after="0"/>
        <w:ind w:left="720"/>
        <w:contextualSpacing/>
        <w:rPr>
          <w:rFonts w:cs="Times New Roman"/>
          <w:sz w:val="22"/>
          <w:szCs w:val="22"/>
        </w:rPr>
      </w:pPr>
    </w:p>
    <w:p w14:paraId="5DDDF9AD" w14:textId="77777777" w:rsidR="00442C8E" w:rsidRPr="00442C8E" w:rsidRDefault="00442C8E" w:rsidP="00442C8E">
      <w:pPr>
        <w:numPr>
          <w:ilvl w:val="0"/>
          <w:numId w:val="16"/>
        </w:numPr>
        <w:spacing w:after="0" w:line="276" w:lineRule="auto"/>
        <w:ind w:left="720"/>
        <w:contextualSpacing/>
        <w:jc w:val="both"/>
        <w:rPr>
          <w:rFonts w:cs="Times New Roman"/>
          <w:sz w:val="22"/>
          <w:szCs w:val="22"/>
        </w:rPr>
      </w:pPr>
      <w:r w:rsidRPr="00442C8E">
        <w:rPr>
          <w:rFonts w:cs="Times New Roman"/>
          <w:sz w:val="22"/>
          <w:szCs w:val="22"/>
          <w:u w:val="single"/>
        </w:rPr>
        <w:t>Venue</w:t>
      </w:r>
      <w:r w:rsidRPr="00442C8E">
        <w:rPr>
          <w:rFonts w:cs="Times New Roman"/>
          <w:sz w:val="22"/>
          <w:szCs w:val="22"/>
        </w:rPr>
        <w:t>.  In the event of any litigation to enforce or interpret any terms of this Agreement, such action shall be brought in a Superior Court of the State of California located in [</w:t>
      </w:r>
      <w:r w:rsidRPr="00442C8E">
        <w:rPr>
          <w:rFonts w:cs="Times New Roman"/>
          <w:i/>
          <w:iCs/>
          <w:sz w:val="22"/>
          <w:szCs w:val="22"/>
        </w:rPr>
        <w:t>Insert IOU-specific County</w:t>
      </w:r>
      <w:r w:rsidRPr="00442C8E">
        <w:rPr>
          <w:rFonts w:cs="Times New Roman"/>
          <w:sz w:val="22"/>
          <w:szCs w:val="22"/>
        </w:rPr>
        <w:t>] (or if the federal courts have exclusive jurisdiction over the subject matter of the dispute, in the U.S. District Court for the [</w:t>
      </w:r>
      <w:r w:rsidRPr="00442C8E">
        <w:rPr>
          <w:rFonts w:cs="Times New Roman"/>
          <w:i/>
          <w:iCs/>
          <w:sz w:val="22"/>
          <w:szCs w:val="22"/>
        </w:rPr>
        <w:t>Northern/Central/Southern</w:t>
      </w:r>
      <w:r w:rsidRPr="00442C8E">
        <w:rPr>
          <w:rFonts w:cs="Times New Roman"/>
          <w:sz w:val="22"/>
          <w:szCs w:val="22"/>
        </w:rPr>
        <w:t>] District of California), and the parties hereby submit to the exclusive jurisdiction of such courts.</w:t>
      </w:r>
    </w:p>
    <w:p w14:paraId="27C05AB5" w14:textId="77777777" w:rsidR="00442C8E" w:rsidRPr="00442C8E" w:rsidRDefault="00442C8E" w:rsidP="00442C8E">
      <w:pPr>
        <w:spacing w:after="0"/>
        <w:jc w:val="both"/>
        <w:rPr>
          <w:rFonts w:cs="Times New Roman"/>
          <w:b/>
          <w:sz w:val="22"/>
          <w:szCs w:val="22"/>
        </w:rPr>
      </w:pPr>
    </w:p>
    <w:p w14:paraId="1964AB12" w14:textId="53AB6259" w:rsidR="00442C8E" w:rsidRDefault="00442C8E" w:rsidP="00442C8E">
      <w:pPr>
        <w:numPr>
          <w:ilvl w:val="0"/>
          <w:numId w:val="12"/>
        </w:numPr>
        <w:spacing w:after="0" w:line="276" w:lineRule="auto"/>
        <w:contextualSpacing/>
        <w:jc w:val="both"/>
        <w:rPr>
          <w:rFonts w:cs="Times New Roman"/>
          <w:b/>
          <w:bCs/>
          <w:sz w:val="22"/>
          <w:szCs w:val="22"/>
        </w:rPr>
      </w:pPr>
      <w:r w:rsidRPr="00442C8E">
        <w:rPr>
          <w:rFonts w:cs="Times New Roman"/>
          <w:b/>
          <w:bCs/>
          <w:sz w:val="22"/>
          <w:szCs w:val="22"/>
        </w:rPr>
        <w:t>Termination Process</w:t>
      </w:r>
    </w:p>
    <w:p w14:paraId="70E8D303" w14:textId="77777777" w:rsidR="00F25313" w:rsidRPr="00442C8E" w:rsidRDefault="00F25313" w:rsidP="00F25313">
      <w:pPr>
        <w:spacing w:after="0" w:line="276" w:lineRule="auto"/>
        <w:ind w:left="360"/>
        <w:contextualSpacing/>
        <w:jc w:val="both"/>
        <w:rPr>
          <w:rFonts w:cs="Times New Roman"/>
          <w:b/>
          <w:bCs/>
          <w:sz w:val="22"/>
          <w:szCs w:val="22"/>
        </w:rPr>
      </w:pPr>
    </w:p>
    <w:p w14:paraId="460398CC" w14:textId="77777777" w:rsidR="00442C8E" w:rsidRPr="00442C8E" w:rsidRDefault="00442C8E" w:rsidP="00442C8E">
      <w:pPr>
        <w:numPr>
          <w:ilvl w:val="0"/>
          <w:numId w:val="15"/>
        </w:numPr>
        <w:spacing w:after="0" w:line="276" w:lineRule="auto"/>
        <w:contextualSpacing/>
        <w:jc w:val="both"/>
        <w:rPr>
          <w:rFonts w:cs="Times New Roman"/>
          <w:sz w:val="22"/>
          <w:szCs w:val="22"/>
        </w:rPr>
      </w:pPr>
      <w:r w:rsidRPr="00442C8E">
        <w:rPr>
          <w:rFonts w:cs="Times New Roman"/>
          <w:sz w:val="22"/>
          <w:szCs w:val="22"/>
          <w:u w:val="single"/>
        </w:rPr>
        <w:t>Event of Default</w:t>
      </w:r>
      <w:r w:rsidRPr="00442C8E">
        <w:rPr>
          <w:rFonts w:cs="Times New Roman"/>
          <w:sz w:val="22"/>
          <w:szCs w:val="22"/>
        </w:rPr>
        <w:t>.  An “Event of Default” shall mean, with respect to a Party (“Defaulting Party”), the occurrence of any one or more of the following:</w:t>
      </w:r>
    </w:p>
    <w:p w14:paraId="130999FC" w14:textId="77777777" w:rsidR="00442C8E" w:rsidRPr="00442C8E" w:rsidRDefault="00442C8E" w:rsidP="00442C8E">
      <w:pPr>
        <w:spacing w:after="0"/>
        <w:ind w:left="720"/>
        <w:contextualSpacing/>
        <w:jc w:val="both"/>
        <w:rPr>
          <w:rFonts w:cs="Times New Roman"/>
          <w:sz w:val="22"/>
          <w:szCs w:val="22"/>
        </w:rPr>
      </w:pPr>
    </w:p>
    <w:p w14:paraId="72652426" w14:textId="77777777" w:rsidR="00442C8E" w:rsidRPr="00442C8E" w:rsidRDefault="00442C8E" w:rsidP="00442C8E">
      <w:pPr>
        <w:numPr>
          <w:ilvl w:val="0"/>
          <w:numId w:val="17"/>
        </w:numPr>
        <w:spacing w:after="0" w:line="276" w:lineRule="auto"/>
        <w:ind w:right="446" w:hanging="720"/>
        <w:rPr>
          <w:rFonts w:eastAsia="Times New Roman" w:cs="Times New Roman"/>
          <w:sz w:val="22"/>
          <w:szCs w:val="22"/>
        </w:rPr>
      </w:pPr>
      <w:r w:rsidRPr="00442C8E">
        <w:rPr>
          <w:rFonts w:eastAsia="Fd177276-Identity-H" w:cs="Times New Roman"/>
          <w:sz w:val="22"/>
          <w:szCs w:val="22"/>
        </w:rPr>
        <w:t>With respect to either Party:</w:t>
      </w:r>
    </w:p>
    <w:p w14:paraId="2D28AA36" w14:textId="77777777" w:rsidR="00442C8E" w:rsidRPr="00442C8E" w:rsidRDefault="00442C8E" w:rsidP="00442C8E">
      <w:pPr>
        <w:spacing w:after="0"/>
        <w:ind w:left="1440" w:right="446"/>
        <w:rPr>
          <w:rFonts w:eastAsia="Times New Roman" w:cs="Times New Roman"/>
          <w:sz w:val="22"/>
          <w:szCs w:val="22"/>
        </w:rPr>
      </w:pPr>
    </w:p>
    <w:p w14:paraId="0C169C62" w14:textId="77777777" w:rsidR="00442C8E" w:rsidRPr="00442C8E" w:rsidRDefault="00442C8E" w:rsidP="00442C8E">
      <w:pPr>
        <w:numPr>
          <w:ilvl w:val="0"/>
          <w:numId w:val="18"/>
        </w:numPr>
        <w:spacing w:after="0" w:line="276" w:lineRule="auto"/>
        <w:ind w:left="2160" w:right="446" w:hanging="720"/>
        <w:rPr>
          <w:rFonts w:eastAsia="Fd177276-Identity-H" w:cs="Times New Roman"/>
          <w:sz w:val="22"/>
          <w:szCs w:val="22"/>
        </w:rPr>
      </w:pPr>
      <w:r w:rsidRPr="00442C8E">
        <w:rPr>
          <w:rFonts w:eastAsia="Fd177276-Identity-H" w:cs="Times New Roman"/>
          <w:sz w:val="22"/>
          <w:szCs w:val="22"/>
        </w:rPr>
        <w:t>the failure to perform any material covenant, obligation, term or condition of this Agreement (except to the extent constituting a separate Event of Default), including without limitation the failure to make, when due, any undisputed payment required to be made by such Party, if such failure is not remedied within thirty (30) calendar days of Notice of such breach by the Non-Defaulting Party;</w:t>
      </w:r>
    </w:p>
    <w:p w14:paraId="5A7A0902" w14:textId="77777777" w:rsidR="00442C8E" w:rsidRPr="00442C8E" w:rsidRDefault="00442C8E" w:rsidP="00442C8E">
      <w:pPr>
        <w:spacing w:after="0"/>
        <w:ind w:left="2160" w:right="446"/>
        <w:rPr>
          <w:rFonts w:eastAsia="Fd177276-Identity-H" w:cs="Times New Roman"/>
          <w:sz w:val="22"/>
          <w:szCs w:val="22"/>
        </w:rPr>
      </w:pPr>
    </w:p>
    <w:p w14:paraId="16B86E6A" w14:textId="77777777" w:rsidR="00442C8E" w:rsidRPr="00442C8E" w:rsidRDefault="00442C8E" w:rsidP="00442C8E">
      <w:pPr>
        <w:numPr>
          <w:ilvl w:val="0"/>
          <w:numId w:val="18"/>
        </w:numPr>
        <w:spacing w:after="0" w:line="276" w:lineRule="auto"/>
        <w:ind w:left="2160" w:right="446" w:hanging="720"/>
        <w:rPr>
          <w:rFonts w:eastAsia="Fd177276-Identity-H" w:cs="Times New Roman"/>
          <w:sz w:val="22"/>
          <w:szCs w:val="22"/>
        </w:rPr>
      </w:pPr>
      <w:r w:rsidRPr="00442C8E">
        <w:rPr>
          <w:rFonts w:eastAsia="Times New Roman" w:cs="Times New Roman"/>
          <w:sz w:val="22"/>
          <w:szCs w:val="22"/>
        </w:rPr>
        <w:t>such Party becomes insolvent, generally does not pay its debts as they become due, makes a general assignment for the benefit of creditors, or commences any action seeking reorganization or receivership under any bankruptcy, insolvency, reorganization or similar law for the relief of creditors or affecting the rights or remedies of creditors generally; or</w:t>
      </w:r>
    </w:p>
    <w:p w14:paraId="3C70A66F" w14:textId="77777777" w:rsidR="00442C8E" w:rsidRPr="00442C8E" w:rsidRDefault="00442C8E" w:rsidP="00442C8E">
      <w:pPr>
        <w:spacing w:after="0"/>
        <w:ind w:left="720"/>
        <w:contextualSpacing/>
        <w:rPr>
          <w:rFonts w:eastAsia="Fd177276-Identity-H" w:cs="Times New Roman"/>
          <w:sz w:val="22"/>
          <w:szCs w:val="22"/>
        </w:rPr>
      </w:pPr>
    </w:p>
    <w:p w14:paraId="48ADC691" w14:textId="77777777" w:rsidR="00442C8E" w:rsidRPr="00442C8E" w:rsidRDefault="00442C8E" w:rsidP="00442C8E">
      <w:pPr>
        <w:numPr>
          <w:ilvl w:val="0"/>
          <w:numId w:val="18"/>
        </w:numPr>
        <w:spacing w:after="0" w:line="276" w:lineRule="auto"/>
        <w:ind w:left="2160" w:right="446" w:hanging="720"/>
        <w:rPr>
          <w:rFonts w:eastAsia="Fd177276-Identity-H" w:cs="Times New Roman"/>
          <w:sz w:val="22"/>
          <w:szCs w:val="22"/>
        </w:rPr>
      </w:pPr>
      <w:r w:rsidRPr="00442C8E">
        <w:rPr>
          <w:rFonts w:eastAsia="Fd177276-Identity-H" w:cs="Times New Roman"/>
          <w:sz w:val="22"/>
          <w:szCs w:val="22"/>
        </w:rPr>
        <w:t>such Party disaffirms, disclaims, rejects (in whole or in part), or challenges the validity of this Agreement.</w:t>
      </w:r>
    </w:p>
    <w:p w14:paraId="4DA78523" w14:textId="77777777" w:rsidR="00442C8E" w:rsidRPr="00442C8E" w:rsidRDefault="00442C8E" w:rsidP="00442C8E">
      <w:pPr>
        <w:spacing w:after="0"/>
        <w:ind w:right="446"/>
        <w:rPr>
          <w:rFonts w:eastAsia="Fd177276-Identity-H" w:cs="Times New Roman"/>
          <w:sz w:val="22"/>
          <w:szCs w:val="22"/>
        </w:rPr>
      </w:pPr>
    </w:p>
    <w:p w14:paraId="2EAB6F1A" w14:textId="77777777" w:rsidR="00442C8E" w:rsidRPr="00442C8E" w:rsidRDefault="00442C8E" w:rsidP="00442C8E">
      <w:pPr>
        <w:spacing w:after="0"/>
        <w:ind w:left="1440" w:hanging="720"/>
        <w:jc w:val="both"/>
        <w:rPr>
          <w:rFonts w:cs="Times New Roman"/>
          <w:sz w:val="22"/>
          <w:szCs w:val="22"/>
        </w:rPr>
      </w:pPr>
      <w:r w:rsidRPr="00442C8E">
        <w:rPr>
          <w:rFonts w:cs="Times New Roman"/>
          <w:sz w:val="22"/>
          <w:szCs w:val="22"/>
        </w:rPr>
        <w:t>(b)</w:t>
      </w:r>
      <w:r w:rsidRPr="00442C8E">
        <w:rPr>
          <w:rFonts w:cs="Times New Roman"/>
          <w:sz w:val="22"/>
          <w:szCs w:val="22"/>
        </w:rPr>
        <w:tab/>
        <w:t>With respect to Implementer:</w:t>
      </w:r>
    </w:p>
    <w:p w14:paraId="01D1F4B1" w14:textId="77777777" w:rsidR="00442C8E" w:rsidRPr="00442C8E" w:rsidRDefault="00442C8E" w:rsidP="00442C8E">
      <w:pPr>
        <w:spacing w:after="0"/>
        <w:ind w:left="720"/>
        <w:jc w:val="both"/>
        <w:rPr>
          <w:rFonts w:cs="Times New Roman"/>
          <w:sz w:val="22"/>
          <w:szCs w:val="22"/>
        </w:rPr>
      </w:pPr>
    </w:p>
    <w:p w14:paraId="6EA4DF46" w14:textId="77777777" w:rsidR="00442C8E" w:rsidRPr="00442C8E" w:rsidRDefault="00442C8E" w:rsidP="00442C8E">
      <w:pPr>
        <w:spacing w:after="0"/>
        <w:ind w:left="2160" w:hanging="720"/>
        <w:contextualSpacing/>
        <w:jc w:val="both"/>
        <w:rPr>
          <w:rFonts w:eastAsia="Times New Roman" w:cs="Times New Roman"/>
          <w:sz w:val="22"/>
          <w:szCs w:val="22"/>
        </w:rPr>
      </w:pPr>
      <w:r w:rsidRPr="00442C8E">
        <w:rPr>
          <w:rFonts w:eastAsia="Times New Roman" w:cs="Times New Roman"/>
          <w:sz w:val="22"/>
          <w:szCs w:val="22"/>
        </w:rPr>
        <w:t>(i)</w:t>
      </w:r>
      <w:r w:rsidRPr="00442C8E">
        <w:rPr>
          <w:rFonts w:eastAsia="Times New Roman" w:cs="Times New Roman"/>
          <w:sz w:val="22"/>
          <w:szCs w:val="22"/>
        </w:rPr>
        <w:tab/>
      </w:r>
      <w:r w:rsidRPr="00442C8E">
        <w:rPr>
          <w:rFonts w:cs="Times New Roman"/>
          <w:sz w:val="22"/>
          <w:szCs w:val="22"/>
        </w:rPr>
        <w:t>any representation or warranty made by Implementer or Implementer Party to any person or entity (including, without limitation, a member of the public, a customer of Company, or a governmental authority) or in this Agreement is false or misleading in any material respect when made or when deemed made or repeated if the representation or warranty is continuing in nature;</w:t>
      </w:r>
    </w:p>
    <w:p w14:paraId="46166A61" w14:textId="77777777" w:rsidR="00442C8E" w:rsidRPr="00442C8E" w:rsidRDefault="00442C8E" w:rsidP="00442C8E">
      <w:pPr>
        <w:spacing w:after="0"/>
        <w:ind w:left="2160" w:hanging="720"/>
        <w:contextualSpacing/>
        <w:jc w:val="both"/>
        <w:rPr>
          <w:rFonts w:eastAsia="Times New Roman" w:cs="Times New Roman"/>
          <w:sz w:val="22"/>
          <w:szCs w:val="22"/>
        </w:rPr>
      </w:pPr>
    </w:p>
    <w:p w14:paraId="64FBF602" w14:textId="1F5A098B" w:rsidR="00442C8E" w:rsidRPr="00442C8E" w:rsidRDefault="00442C8E" w:rsidP="00442C8E">
      <w:pPr>
        <w:spacing w:after="0"/>
        <w:ind w:left="2160" w:hanging="720"/>
        <w:contextualSpacing/>
        <w:jc w:val="both"/>
        <w:rPr>
          <w:rFonts w:cs="Times New Roman"/>
          <w:sz w:val="22"/>
          <w:szCs w:val="22"/>
        </w:rPr>
      </w:pPr>
      <w:r w:rsidRPr="00442C8E">
        <w:rPr>
          <w:rFonts w:eastAsia="Times New Roman" w:cs="Times New Roman"/>
          <w:sz w:val="22"/>
          <w:szCs w:val="22"/>
        </w:rPr>
        <w:t>(ii)</w:t>
      </w:r>
      <w:r w:rsidRPr="00442C8E">
        <w:rPr>
          <w:rFonts w:eastAsia="Times New Roman" w:cs="Times New Roman"/>
          <w:sz w:val="22"/>
          <w:szCs w:val="22"/>
        </w:rPr>
        <w:tab/>
        <w:t xml:space="preserve">any legal action is made or commenced against </w:t>
      </w:r>
      <w:r w:rsidRPr="00442C8E">
        <w:rPr>
          <w:rFonts w:cs="Times New Roman"/>
          <w:sz w:val="22"/>
          <w:szCs w:val="22"/>
        </w:rPr>
        <w:t xml:space="preserve">Implementer or Implementer Party </w:t>
      </w:r>
      <w:r w:rsidRPr="00442C8E">
        <w:rPr>
          <w:rFonts w:eastAsia="Times New Roman" w:cs="Times New Roman"/>
          <w:sz w:val="22"/>
          <w:szCs w:val="22"/>
        </w:rPr>
        <w:t xml:space="preserve">which, in Company’s opinion, may interfere with the performance of the </w:t>
      </w:r>
      <w:r w:rsidR="00911157">
        <w:rPr>
          <w:rFonts w:eastAsia="Times New Roman" w:cs="Times New Roman"/>
          <w:sz w:val="22"/>
          <w:szCs w:val="22"/>
        </w:rPr>
        <w:t>[</w:t>
      </w:r>
      <w:r w:rsidRPr="00442C8E">
        <w:rPr>
          <w:rFonts w:eastAsia="Times New Roman" w:cs="Times New Roman"/>
          <w:sz w:val="22"/>
          <w:szCs w:val="22"/>
        </w:rPr>
        <w:t>Services</w:t>
      </w:r>
      <w:r w:rsidR="00911157">
        <w:rPr>
          <w:rFonts w:eastAsia="Times New Roman" w:cs="Times New Roman"/>
          <w:sz w:val="22"/>
          <w:szCs w:val="22"/>
        </w:rPr>
        <w:t>]</w:t>
      </w:r>
      <w:r w:rsidRPr="00442C8E">
        <w:rPr>
          <w:rFonts w:eastAsia="Times New Roman" w:cs="Times New Roman"/>
          <w:sz w:val="22"/>
          <w:szCs w:val="22"/>
        </w:rPr>
        <w:t>;</w:t>
      </w:r>
    </w:p>
    <w:p w14:paraId="3119A4B6" w14:textId="77777777" w:rsidR="00442C8E" w:rsidRPr="00442C8E" w:rsidRDefault="00442C8E" w:rsidP="00442C8E">
      <w:pPr>
        <w:spacing w:after="0"/>
        <w:ind w:left="2160" w:hanging="720"/>
        <w:contextualSpacing/>
        <w:jc w:val="both"/>
        <w:rPr>
          <w:rFonts w:cs="Times New Roman"/>
          <w:sz w:val="22"/>
          <w:szCs w:val="22"/>
        </w:rPr>
      </w:pPr>
    </w:p>
    <w:p w14:paraId="3FD0A8DE" w14:textId="77777777" w:rsidR="00442C8E" w:rsidRPr="00442C8E" w:rsidRDefault="00442C8E" w:rsidP="00442C8E">
      <w:pPr>
        <w:numPr>
          <w:ilvl w:val="0"/>
          <w:numId w:val="20"/>
        </w:numPr>
        <w:spacing w:after="0" w:line="276" w:lineRule="auto"/>
        <w:contextualSpacing/>
        <w:jc w:val="both"/>
        <w:rPr>
          <w:rFonts w:cs="Times New Roman"/>
          <w:sz w:val="22"/>
          <w:szCs w:val="22"/>
        </w:rPr>
      </w:pPr>
      <w:r w:rsidRPr="00442C8E">
        <w:rPr>
          <w:rFonts w:cs="Times New Roman"/>
          <w:sz w:val="22"/>
          <w:szCs w:val="22"/>
        </w:rPr>
        <w:t>Implementer or any Implementer Party commits any material act of dishonesty, fraud, misuse of funds, or misrepresentation of Company’s administration of this Agreement;</w:t>
      </w:r>
    </w:p>
    <w:p w14:paraId="42EB22D1" w14:textId="77777777" w:rsidR="00442C8E" w:rsidRPr="00442C8E" w:rsidRDefault="00442C8E" w:rsidP="00442C8E">
      <w:pPr>
        <w:spacing w:after="0"/>
        <w:ind w:left="2160" w:hanging="720"/>
        <w:contextualSpacing/>
        <w:jc w:val="both"/>
        <w:rPr>
          <w:rFonts w:cs="Times New Roman"/>
          <w:sz w:val="22"/>
          <w:szCs w:val="22"/>
        </w:rPr>
      </w:pPr>
    </w:p>
    <w:p w14:paraId="51A3816B" w14:textId="77777777" w:rsidR="00442C8E" w:rsidRPr="00442C8E" w:rsidRDefault="00442C8E" w:rsidP="00442C8E">
      <w:pPr>
        <w:spacing w:after="0"/>
        <w:ind w:left="2160" w:hanging="720"/>
        <w:jc w:val="both"/>
        <w:rPr>
          <w:rFonts w:cs="Times New Roman"/>
          <w:sz w:val="22"/>
          <w:szCs w:val="22"/>
        </w:rPr>
      </w:pPr>
      <w:r w:rsidRPr="00442C8E">
        <w:rPr>
          <w:rFonts w:cs="Times New Roman"/>
          <w:sz w:val="22"/>
          <w:szCs w:val="22"/>
        </w:rPr>
        <w:t>(iv)</w:t>
      </w:r>
      <w:r w:rsidRPr="00442C8E">
        <w:rPr>
          <w:rFonts w:cs="Times New Roman"/>
          <w:sz w:val="22"/>
          <w:szCs w:val="22"/>
        </w:rPr>
        <w:tab/>
        <w:t>Company becomes aware of a public safety issue arising out of or related to Implementer’s or Implementer Party’s administration or performance of this Agreement;</w:t>
      </w:r>
    </w:p>
    <w:p w14:paraId="08A8C961" w14:textId="77777777" w:rsidR="00442C8E" w:rsidRPr="00442C8E" w:rsidRDefault="00442C8E" w:rsidP="00442C8E">
      <w:pPr>
        <w:spacing w:after="0"/>
        <w:ind w:left="2160" w:hanging="720"/>
        <w:jc w:val="both"/>
        <w:rPr>
          <w:rFonts w:cs="Times New Roman"/>
          <w:sz w:val="22"/>
          <w:szCs w:val="22"/>
        </w:rPr>
      </w:pPr>
    </w:p>
    <w:p w14:paraId="4E424A1B" w14:textId="77777777" w:rsidR="00442C8E" w:rsidRPr="00442C8E" w:rsidRDefault="00442C8E" w:rsidP="00442C8E">
      <w:pPr>
        <w:spacing w:after="0"/>
        <w:ind w:left="2160" w:hanging="720"/>
        <w:jc w:val="both"/>
        <w:rPr>
          <w:rFonts w:cs="Times New Roman"/>
          <w:sz w:val="22"/>
          <w:szCs w:val="22"/>
        </w:rPr>
      </w:pPr>
      <w:r w:rsidRPr="00442C8E">
        <w:rPr>
          <w:rFonts w:cs="Times New Roman"/>
          <w:sz w:val="22"/>
          <w:szCs w:val="22"/>
        </w:rPr>
        <w:t>(v)</w:t>
      </w:r>
      <w:r w:rsidRPr="00442C8E">
        <w:rPr>
          <w:rFonts w:cs="Times New Roman"/>
          <w:sz w:val="22"/>
          <w:szCs w:val="22"/>
        </w:rPr>
        <w:tab/>
        <w:t>Implementer assigns, subcontracts, or transfers this Agreement or any right or interest herein except in accordance with Section [__];</w:t>
      </w:r>
    </w:p>
    <w:p w14:paraId="6021CCAB" w14:textId="77777777" w:rsidR="00442C8E" w:rsidRPr="00442C8E" w:rsidRDefault="00442C8E" w:rsidP="00442C8E">
      <w:pPr>
        <w:spacing w:after="0"/>
        <w:ind w:left="2160" w:hanging="720"/>
        <w:jc w:val="both"/>
        <w:rPr>
          <w:rFonts w:cs="Times New Roman"/>
          <w:sz w:val="22"/>
          <w:szCs w:val="22"/>
        </w:rPr>
      </w:pPr>
    </w:p>
    <w:p w14:paraId="0BB59451" w14:textId="4D1EB26B" w:rsidR="00442C8E" w:rsidRPr="00442C8E" w:rsidRDefault="00442C8E" w:rsidP="00442C8E">
      <w:pPr>
        <w:spacing w:after="0"/>
        <w:ind w:left="2160" w:hanging="720"/>
        <w:jc w:val="both"/>
        <w:rPr>
          <w:rFonts w:cs="Times New Roman"/>
          <w:sz w:val="22"/>
          <w:szCs w:val="22"/>
        </w:rPr>
      </w:pPr>
      <w:r w:rsidRPr="00442C8E">
        <w:rPr>
          <w:rFonts w:cs="Times New Roman"/>
          <w:sz w:val="22"/>
          <w:szCs w:val="22"/>
        </w:rPr>
        <w:lastRenderedPageBreak/>
        <w:t>(vi)</w:t>
      </w:r>
      <w:r w:rsidRPr="00442C8E">
        <w:rPr>
          <w:rFonts w:cs="Times New Roman"/>
          <w:sz w:val="22"/>
          <w:szCs w:val="22"/>
        </w:rPr>
        <w:tab/>
        <w:t>Implementer fails to maintain the insurance coverage required of it in accordance with A</w:t>
      </w:r>
      <w:r w:rsidR="00A24984">
        <w:rPr>
          <w:rFonts w:cs="Times New Roman"/>
          <w:sz w:val="22"/>
          <w:szCs w:val="22"/>
        </w:rPr>
        <w:t>rticle</w:t>
      </w:r>
      <w:r w:rsidRPr="00442C8E">
        <w:rPr>
          <w:rFonts w:cs="Times New Roman"/>
          <w:sz w:val="22"/>
          <w:szCs w:val="22"/>
        </w:rPr>
        <w:t xml:space="preserve"> [__];</w:t>
      </w:r>
    </w:p>
    <w:p w14:paraId="500792E2" w14:textId="77777777" w:rsidR="00442C8E" w:rsidRPr="00442C8E" w:rsidRDefault="00442C8E" w:rsidP="00442C8E">
      <w:pPr>
        <w:spacing w:after="0"/>
        <w:ind w:left="2160" w:hanging="720"/>
        <w:jc w:val="both"/>
        <w:rPr>
          <w:rFonts w:cs="Times New Roman"/>
          <w:sz w:val="22"/>
          <w:szCs w:val="22"/>
        </w:rPr>
      </w:pPr>
    </w:p>
    <w:p w14:paraId="4D9ACF6D" w14:textId="77777777" w:rsidR="00442C8E" w:rsidRPr="00442C8E" w:rsidRDefault="00442C8E" w:rsidP="00442C8E">
      <w:pPr>
        <w:spacing w:after="0"/>
        <w:ind w:left="2160" w:hanging="720"/>
        <w:jc w:val="both"/>
        <w:rPr>
          <w:rFonts w:eastAsia="Fd177276-Identity-H" w:cs="Times New Roman"/>
          <w:sz w:val="22"/>
        </w:rPr>
      </w:pPr>
      <w:r w:rsidRPr="00442C8E">
        <w:rPr>
          <w:rFonts w:cs="Times New Roman"/>
          <w:sz w:val="22"/>
          <w:szCs w:val="22"/>
        </w:rPr>
        <w:t>(vii)</w:t>
      </w:r>
      <w:r w:rsidRPr="00442C8E">
        <w:rPr>
          <w:rFonts w:cs="Times New Roman"/>
          <w:sz w:val="22"/>
          <w:szCs w:val="22"/>
        </w:rPr>
        <w:tab/>
      </w:r>
      <w:r w:rsidRPr="00442C8E">
        <w:rPr>
          <w:rFonts w:eastAsia="Fd177276-Identity-H" w:cs="Times New Roman"/>
          <w:sz w:val="22"/>
        </w:rPr>
        <w:t>Implementer fails to satisfy the collateral requirements set forth in Section [___], including failure to post and maintain the performance assurance requirements set forth in this Agreement;</w:t>
      </w:r>
    </w:p>
    <w:p w14:paraId="471474F2" w14:textId="77777777" w:rsidR="00442C8E" w:rsidRPr="00442C8E" w:rsidRDefault="00442C8E" w:rsidP="00442C8E">
      <w:pPr>
        <w:spacing w:after="0"/>
        <w:ind w:left="2160" w:hanging="720"/>
        <w:jc w:val="both"/>
        <w:rPr>
          <w:rFonts w:eastAsia="Fd177276-Identity-H" w:cs="Times New Roman"/>
          <w:sz w:val="22"/>
        </w:rPr>
      </w:pPr>
    </w:p>
    <w:p w14:paraId="76D7346A" w14:textId="77777777" w:rsidR="00442C8E" w:rsidRPr="00442C8E" w:rsidRDefault="00442C8E" w:rsidP="00442C8E">
      <w:pPr>
        <w:spacing w:after="0"/>
        <w:ind w:left="2160" w:hanging="720"/>
        <w:jc w:val="both"/>
        <w:rPr>
          <w:rFonts w:cs="Times New Roman"/>
          <w:sz w:val="22"/>
          <w:szCs w:val="22"/>
        </w:rPr>
      </w:pPr>
      <w:r w:rsidRPr="00442C8E">
        <w:rPr>
          <w:rFonts w:cs="Times New Roman"/>
          <w:sz w:val="22"/>
          <w:szCs w:val="22"/>
        </w:rPr>
        <w:t>(viii)</w:t>
      </w:r>
      <w:r w:rsidRPr="00442C8E">
        <w:rPr>
          <w:rFonts w:cs="Times New Roman"/>
          <w:sz w:val="22"/>
          <w:szCs w:val="22"/>
        </w:rPr>
        <w:tab/>
        <w:t>Implementer breaches any obligation of confidentiality or its obligations under Section [</w:t>
      </w:r>
      <w:r w:rsidRPr="00442C8E">
        <w:rPr>
          <w:rFonts w:cs="Times New Roman"/>
          <w:i/>
          <w:sz w:val="22"/>
          <w:szCs w:val="22"/>
        </w:rPr>
        <w:t>Insert Section Reference to Security Measures</w:t>
      </w:r>
      <w:r w:rsidRPr="00442C8E">
        <w:rPr>
          <w:rFonts w:cs="Times New Roman"/>
          <w:sz w:val="22"/>
          <w:szCs w:val="22"/>
        </w:rPr>
        <w:t>]; or</w:t>
      </w:r>
    </w:p>
    <w:p w14:paraId="3902B1CE" w14:textId="77777777" w:rsidR="00442C8E" w:rsidRPr="00442C8E" w:rsidRDefault="00442C8E" w:rsidP="00442C8E">
      <w:pPr>
        <w:spacing w:after="0"/>
        <w:ind w:left="2160" w:hanging="720"/>
        <w:jc w:val="both"/>
        <w:rPr>
          <w:rFonts w:cs="Times New Roman"/>
          <w:sz w:val="22"/>
          <w:szCs w:val="22"/>
        </w:rPr>
      </w:pPr>
    </w:p>
    <w:p w14:paraId="376C09DF" w14:textId="77777777" w:rsidR="00442C8E" w:rsidRPr="00442C8E" w:rsidRDefault="00442C8E" w:rsidP="00442C8E">
      <w:pPr>
        <w:spacing w:after="0"/>
        <w:ind w:left="2160" w:hanging="720"/>
        <w:jc w:val="both"/>
        <w:rPr>
          <w:rFonts w:cs="Times New Roman"/>
          <w:sz w:val="22"/>
          <w:szCs w:val="22"/>
        </w:rPr>
      </w:pPr>
      <w:r w:rsidRPr="00442C8E">
        <w:rPr>
          <w:rFonts w:cs="Times New Roman"/>
          <w:sz w:val="22"/>
          <w:szCs w:val="22"/>
        </w:rPr>
        <w:t>(viii)</w:t>
      </w:r>
      <w:r w:rsidRPr="00442C8E">
        <w:rPr>
          <w:rFonts w:cs="Times New Roman"/>
          <w:sz w:val="22"/>
          <w:szCs w:val="22"/>
        </w:rPr>
        <w:tab/>
        <w:t>Implementer fails to achieve [</w:t>
      </w:r>
      <w:r w:rsidRPr="00442C8E">
        <w:rPr>
          <w:rFonts w:cs="Times New Roman"/>
          <w:i/>
          <w:iCs/>
          <w:sz w:val="22"/>
          <w:szCs w:val="22"/>
        </w:rPr>
        <w:t>Insert Minimum Performance Requirements</w:t>
      </w:r>
      <w:r w:rsidRPr="00442C8E">
        <w:rPr>
          <w:rFonts w:cs="Times New Roman"/>
          <w:sz w:val="22"/>
          <w:szCs w:val="22"/>
        </w:rPr>
        <w:t>].</w:t>
      </w:r>
    </w:p>
    <w:p w14:paraId="46C38847" w14:textId="77777777" w:rsidR="00442C8E" w:rsidRPr="00442C8E" w:rsidRDefault="00442C8E" w:rsidP="00442C8E">
      <w:pPr>
        <w:spacing w:after="0"/>
        <w:ind w:left="2160"/>
        <w:contextualSpacing/>
        <w:jc w:val="both"/>
        <w:rPr>
          <w:rFonts w:cs="Times New Roman"/>
          <w:sz w:val="22"/>
          <w:szCs w:val="22"/>
        </w:rPr>
      </w:pPr>
    </w:p>
    <w:p w14:paraId="564FE495" w14:textId="77777777" w:rsidR="00442C8E" w:rsidRPr="00442C8E" w:rsidRDefault="00442C8E" w:rsidP="00442C8E">
      <w:pPr>
        <w:numPr>
          <w:ilvl w:val="0"/>
          <w:numId w:val="15"/>
        </w:numPr>
        <w:spacing w:after="0" w:line="276" w:lineRule="auto"/>
        <w:contextualSpacing/>
        <w:rPr>
          <w:rFonts w:eastAsia="Fd177276-Identity-H" w:cs="Times New Roman"/>
          <w:sz w:val="22"/>
          <w:szCs w:val="22"/>
        </w:rPr>
      </w:pPr>
      <w:r w:rsidRPr="00442C8E">
        <w:rPr>
          <w:rFonts w:cs="Times New Roman"/>
          <w:sz w:val="22"/>
          <w:szCs w:val="22"/>
          <w:u w:val="single"/>
        </w:rPr>
        <w:t>Termination for Cause</w:t>
      </w:r>
      <w:r w:rsidRPr="00442C8E">
        <w:rPr>
          <w:rFonts w:cs="Times New Roman"/>
          <w:sz w:val="22"/>
          <w:szCs w:val="22"/>
        </w:rPr>
        <w:t>.  If an Event of Default shall have occurred with respect to a Party, the other Party (the “Non-Defaulting Party”) shall have one or more of the following rights:</w:t>
      </w:r>
    </w:p>
    <w:p w14:paraId="52010B55" w14:textId="77777777" w:rsidR="00442C8E" w:rsidRPr="00442C8E" w:rsidRDefault="00442C8E" w:rsidP="00442C8E">
      <w:pPr>
        <w:spacing w:after="0"/>
        <w:ind w:left="720"/>
        <w:contextualSpacing/>
        <w:rPr>
          <w:rFonts w:eastAsia="Fd177276-Identity-H" w:cs="Times New Roman"/>
          <w:sz w:val="22"/>
          <w:szCs w:val="22"/>
        </w:rPr>
      </w:pPr>
    </w:p>
    <w:p w14:paraId="0D1CA89A" w14:textId="77777777" w:rsidR="00442C8E" w:rsidRPr="00442C8E" w:rsidRDefault="00442C8E" w:rsidP="00442C8E">
      <w:pPr>
        <w:numPr>
          <w:ilvl w:val="0"/>
          <w:numId w:val="19"/>
        </w:numPr>
        <w:spacing w:after="0" w:line="276" w:lineRule="auto"/>
        <w:ind w:right="446" w:hanging="720"/>
        <w:rPr>
          <w:rFonts w:eastAsia="Fd177276-Identity-H" w:cs="Times New Roman"/>
          <w:sz w:val="22"/>
          <w:szCs w:val="22"/>
        </w:rPr>
      </w:pPr>
      <w:r w:rsidRPr="00442C8E">
        <w:rPr>
          <w:rFonts w:eastAsia="Times New Roman" w:cs="Times New Roman"/>
          <w:sz w:val="22"/>
          <w:szCs w:val="22"/>
        </w:rPr>
        <w:t>To designate by Notice, which will be effective no later than twenty (20) calendar days after the Notice is received, the early termination of this Agreement (an “Early Termination Date”);</w:t>
      </w:r>
    </w:p>
    <w:p w14:paraId="1F7CE4EE" w14:textId="77777777" w:rsidR="00442C8E" w:rsidRPr="00442C8E" w:rsidRDefault="00442C8E" w:rsidP="00442C8E">
      <w:pPr>
        <w:spacing w:after="0"/>
        <w:ind w:left="1440" w:right="446" w:hanging="720"/>
        <w:rPr>
          <w:rFonts w:eastAsia="Fd177276-Identity-H" w:cs="Times New Roman"/>
          <w:sz w:val="22"/>
          <w:szCs w:val="22"/>
        </w:rPr>
      </w:pPr>
    </w:p>
    <w:p w14:paraId="15672ECB" w14:textId="77777777" w:rsidR="00442C8E" w:rsidRPr="00442C8E" w:rsidRDefault="00442C8E" w:rsidP="00442C8E">
      <w:pPr>
        <w:numPr>
          <w:ilvl w:val="0"/>
          <w:numId w:val="19"/>
        </w:numPr>
        <w:spacing w:after="0" w:line="276" w:lineRule="auto"/>
        <w:ind w:right="446" w:hanging="720"/>
        <w:rPr>
          <w:rFonts w:eastAsia="Fd177276-Identity-H" w:cs="Times New Roman"/>
          <w:sz w:val="22"/>
          <w:szCs w:val="22"/>
        </w:rPr>
      </w:pPr>
      <w:r w:rsidRPr="00442C8E">
        <w:rPr>
          <w:rFonts w:eastAsia="Times New Roman" w:cs="Times New Roman"/>
          <w:sz w:val="22"/>
          <w:szCs w:val="22"/>
        </w:rPr>
        <w:t>Withhold any payments due to the Defaulting Party under this Agreement;</w:t>
      </w:r>
    </w:p>
    <w:p w14:paraId="327ADB4B" w14:textId="77777777" w:rsidR="00442C8E" w:rsidRPr="00442C8E" w:rsidRDefault="00442C8E" w:rsidP="00442C8E">
      <w:pPr>
        <w:spacing w:after="0"/>
        <w:ind w:left="1440" w:hanging="720"/>
        <w:contextualSpacing/>
        <w:jc w:val="center"/>
        <w:rPr>
          <w:rFonts w:eastAsia="Fd177276-Identity-H" w:cs="Times New Roman"/>
          <w:sz w:val="22"/>
          <w:szCs w:val="22"/>
        </w:rPr>
      </w:pPr>
    </w:p>
    <w:p w14:paraId="2E3B92E8" w14:textId="77777777" w:rsidR="00442C8E" w:rsidRPr="00442C8E" w:rsidRDefault="00442C8E" w:rsidP="00442C8E">
      <w:pPr>
        <w:spacing w:after="0"/>
        <w:ind w:left="1440" w:right="446" w:hanging="720"/>
        <w:rPr>
          <w:rFonts w:eastAsia="Fd177276-Identity-H" w:cs="Times New Roman"/>
          <w:sz w:val="22"/>
          <w:szCs w:val="22"/>
        </w:rPr>
      </w:pPr>
    </w:p>
    <w:p w14:paraId="3E7F8CC6" w14:textId="4718E147" w:rsidR="00442C8E" w:rsidRPr="00442C8E" w:rsidRDefault="00442C8E" w:rsidP="00442C8E">
      <w:pPr>
        <w:numPr>
          <w:ilvl w:val="0"/>
          <w:numId w:val="19"/>
        </w:numPr>
        <w:spacing w:after="0" w:line="276" w:lineRule="auto"/>
        <w:ind w:right="446" w:hanging="720"/>
        <w:rPr>
          <w:rFonts w:eastAsia="Fd177276-Identity-H" w:cs="Times New Roman"/>
          <w:sz w:val="22"/>
          <w:szCs w:val="22"/>
        </w:rPr>
      </w:pPr>
      <w:r w:rsidRPr="00442C8E">
        <w:rPr>
          <w:rFonts w:eastAsia="Times New Roman" w:cs="Times New Roman"/>
          <w:sz w:val="22"/>
          <w:szCs w:val="22"/>
        </w:rPr>
        <w:t xml:space="preserve">Suspend performance of </w:t>
      </w:r>
      <w:r w:rsidR="00A24984">
        <w:rPr>
          <w:rFonts w:eastAsia="Times New Roman" w:cs="Times New Roman"/>
          <w:sz w:val="22"/>
          <w:szCs w:val="22"/>
        </w:rPr>
        <w:t>[</w:t>
      </w:r>
      <w:r w:rsidRPr="00442C8E">
        <w:rPr>
          <w:rFonts w:eastAsia="Times New Roman" w:cs="Times New Roman"/>
          <w:sz w:val="22"/>
          <w:szCs w:val="22"/>
        </w:rPr>
        <w:t>Services</w:t>
      </w:r>
      <w:r w:rsidR="00A24984">
        <w:rPr>
          <w:rFonts w:eastAsia="Times New Roman" w:cs="Times New Roman"/>
          <w:sz w:val="22"/>
          <w:szCs w:val="22"/>
        </w:rPr>
        <w:t>]</w:t>
      </w:r>
      <w:r w:rsidRPr="00442C8E">
        <w:rPr>
          <w:rFonts w:eastAsia="Times New Roman" w:cs="Times New Roman"/>
          <w:sz w:val="22"/>
          <w:szCs w:val="22"/>
        </w:rPr>
        <w:t xml:space="preserve"> under this Agreement (but excluding, for the avoidance of doubt, the obligation to post and maintain [Security] in accordance with Section [___] and the obligation to obtain and maintain the insurance requirements in accordance with Section [___]); and</w:t>
      </w:r>
    </w:p>
    <w:p w14:paraId="3E484E23" w14:textId="77777777" w:rsidR="00442C8E" w:rsidRPr="00442C8E" w:rsidRDefault="00442C8E" w:rsidP="00442C8E">
      <w:pPr>
        <w:spacing w:after="0"/>
        <w:ind w:left="1440" w:right="446" w:hanging="720"/>
        <w:rPr>
          <w:rFonts w:eastAsia="Fd177276-Identity-H" w:cs="Times New Roman"/>
          <w:sz w:val="22"/>
          <w:szCs w:val="22"/>
        </w:rPr>
      </w:pPr>
    </w:p>
    <w:p w14:paraId="76EA761E" w14:textId="77777777" w:rsidR="00442C8E" w:rsidRPr="00442C8E" w:rsidRDefault="00442C8E" w:rsidP="00442C8E">
      <w:pPr>
        <w:numPr>
          <w:ilvl w:val="0"/>
          <w:numId w:val="19"/>
        </w:numPr>
        <w:spacing w:after="0" w:line="276" w:lineRule="auto"/>
        <w:ind w:right="446" w:hanging="720"/>
        <w:rPr>
          <w:rFonts w:eastAsia="Fd177276-Identity-H" w:cs="Times New Roman"/>
          <w:sz w:val="22"/>
          <w:szCs w:val="22"/>
        </w:rPr>
      </w:pPr>
      <w:r w:rsidRPr="00442C8E">
        <w:rPr>
          <w:rFonts w:eastAsia="Times New Roman" w:cs="Times New Roman"/>
          <w:sz w:val="22"/>
          <w:szCs w:val="22"/>
        </w:rPr>
        <w:t>To pursue all remedies available at law or in equity against the Defaulting Party (including monetary damages), except to the extent that such remedies are limited by the terms of this Agreement.</w:t>
      </w:r>
    </w:p>
    <w:p w14:paraId="1BC26233" w14:textId="77777777" w:rsidR="00442C8E" w:rsidRPr="00442C8E" w:rsidRDefault="00442C8E" w:rsidP="00442C8E">
      <w:pPr>
        <w:spacing w:after="0"/>
        <w:ind w:left="1440" w:right="446"/>
        <w:rPr>
          <w:rFonts w:eastAsia="Fd177276-Identity-H" w:cs="Times New Roman"/>
          <w:sz w:val="22"/>
          <w:szCs w:val="22"/>
        </w:rPr>
      </w:pPr>
    </w:p>
    <w:p w14:paraId="0B3DF767" w14:textId="5501F7B0" w:rsidR="00442C8E" w:rsidRPr="00442C8E" w:rsidRDefault="00442C8E" w:rsidP="00442C8E">
      <w:pPr>
        <w:numPr>
          <w:ilvl w:val="0"/>
          <w:numId w:val="15"/>
        </w:numPr>
        <w:spacing w:after="0" w:line="276" w:lineRule="auto"/>
        <w:contextualSpacing/>
        <w:jc w:val="both"/>
        <w:rPr>
          <w:rFonts w:cs="Times New Roman"/>
          <w:sz w:val="22"/>
          <w:szCs w:val="22"/>
        </w:rPr>
      </w:pPr>
      <w:r w:rsidRPr="00442C8E">
        <w:rPr>
          <w:rFonts w:cs="Times New Roman"/>
          <w:sz w:val="22"/>
          <w:szCs w:val="22"/>
          <w:u w:val="single"/>
        </w:rPr>
        <w:t>Termination for Convenience</w:t>
      </w:r>
      <w:r w:rsidRPr="00442C8E">
        <w:rPr>
          <w:rFonts w:cs="Times New Roman"/>
          <w:sz w:val="22"/>
          <w:szCs w:val="22"/>
        </w:rPr>
        <w:t xml:space="preserve">.  Company shall have the right to terminate this Agreement or all or any portion of the </w:t>
      </w:r>
      <w:r w:rsidR="00B90B47">
        <w:rPr>
          <w:rFonts w:cs="Times New Roman"/>
          <w:sz w:val="22"/>
          <w:szCs w:val="22"/>
        </w:rPr>
        <w:t>[</w:t>
      </w:r>
      <w:r w:rsidRPr="00442C8E">
        <w:rPr>
          <w:rFonts w:cs="Times New Roman"/>
          <w:sz w:val="22"/>
          <w:szCs w:val="22"/>
        </w:rPr>
        <w:t>Services</w:t>
      </w:r>
      <w:r w:rsidR="00B90B47">
        <w:rPr>
          <w:rFonts w:cs="Times New Roman"/>
          <w:sz w:val="22"/>
          <w:szCs w:val="22"/>
        </w:rPr>
        <w:t>]</w:t>
      </w:r>
      <w:r w:rsidRPr="00442C8E">
        <w:rPr>
          <w:rFonts w:cs="Times New Roman"/>
          <w:sz w:val="22"/>
          <w:szCs w:val="22"/>
        </w:rPr>
        <w:t xml:space="preserve"> at any time, in its sole convenience, exercisable in its sole and absolute discretion and without cause, upon twenty (20) days’ written notice to Implementer.  Upon Company’s exercise of such termination rights, the following shall apply:</w:t>
      </w:r>
    </w:p>
    <w:p w14:paraId="6348D8B9" w14:textId="77777777" w:rsidR="00442C8E" w:rsidRPr="00442C8E" w:rsidRDefault="00442C8E" w:rsidP="00442C8E">
      <w:pPr>
        <w:spacing w:after="0"/>
        <w:ind w:left="1440"/>
        <w:contextualSpacing/>
        <w:jc w:val="both"/>
        <w:rPr>
          <w:rFonts w:cs="Times New Roman"/>
          <w:sz w:val="22"/>
          <w:szCs w:val="22"/>
        </w:rPr>
      </w:pPr>
    </w:p>
    <w:p w14:paraId="7CAF14C9" w14:textId="5C3568D9" w:rsidR="00442C8E" w:rsidRPr="00442C8E" w:rsidRDefault="00442C8E" w:rsidP="00442C8E">
      <w:pPr>
        <w:numPr>
          <w:ilvl w:val="1"/>
          <w:numId w:val="14"/>
        </w:numPr>
        <w:spacing w:after="0" w:line="276" w:lineRule="auto"/>
        <w:ind w:hanging="720"/>
        <w:contextualSpacing/>
        <w:jc w:val="both"/>
        <w:rPr>
          <w:rFonts w:cs="Times New Roman"/>
          <w:sz w:val="22"/>
          <w:szCs w:val="22"/>
        </w:rPr>
      </w:pPr>
      <w:r w:rsidRPr="00442C8E">
        <w:rPr>
          <w:rFonts w:eastAsia="Times New Roman" w:cs="Times New Roman"/>
          <w:color w:val="000000"/>
          <w:sz w:val="22"/>
          <w:szCs w:val="22"/>
        </w:rPr>
        <w:t xml:space="preserve">Company shall be liable to </w:t>
      </w:r>
      <w:r w:rsidRPr="00442C8E">
        <w:rPr>
          <w:rFonts w:cs="Times New Roman"/>
          <w:sz w:val="22"/>
          <w:szCs w:val="22"/>
        </w:rPr>
        <w:t xml:space="preserve">Implementer </w:t>
      </w:r>
      <w:r w:rsidRPr="00442C8E">
        <w:rPr>
          <w:rFonts w:eastAsia="Times New Roman" w:cs="Times New Roman"/>
          <w:color w:val="000000"/>
          <w:sz w:val="22"/>
          <w:szCs w:val="22"/>
        </w:rPr>
        <w:t xml:space="preserve">only for the compensation earned on </w:t>
      </w:r>
      <w:r w:rsidR="00B90B47">
        <w:rPr>
          <w:rFonts w:eastAsia="Times New Roman" w:cs="Times New Roman"/>
          <w:color w:val="000000"/>
          <w:sz w:val="22"/>
          <w:szCs w:val="22"/>
        </w:rPr>
        <w:t>[</w:t>
      </w:r>
      <w:r w:rsidRPr="00442C8E">
        <w:rPr>
          <w:rFonts w:eastAsia="Times New Roman" w:cs="Times New Roman"/>
          <w:color w:val="000000"/>
          <w:sz w:val="22"/>
          <w:szCs w:val="22"/>
        </w:rPr>
        <w:t>Services</w:t>
      </w:r>
      <w:r w:rsidR="00B90B47">
        <w:rPr>
          <w:rFonts w:eastAsia="Times New Roman" w:cs="Times New Roman"/>
          <w:color w:val="000000"/>
          <w:sz w:val="22"/>
          <w:szCs w:val="22"/>
        </w:rPr>
        <w:t>]</w:t>
      </w:r>
      <w:r w:rsidRPr="00442C8E">
        <w:rPr>
          <w:rFonts w:eastAsia="Times New Roman" w:cs="Times New Roman"/>
          <w:color w:val="000000"/>
          <w:sz w:val="22"/>
          <w:szCs w:val="22"/>
        </w:rPr>
        <w:t xml:space="preserve"> satisfactorily performed prior to the effective date of termination, plus documented and verifiable costs (such as demobilization costs) reasonably incurred by </w:t>
      </w:r>
      <w:r w:rsidRPr="00442C8E">
        <w:rPr>
          <w:rFonts w:cs="Times New Roman"/>
          <w:sz w:val="22"/>
          <w:szCs w:val="22"/>
        </w:rPr>
        <w:t xml:space="preserve">Implementer </w:t>
      </w:r>
      <w:r w:rsidRPr="00442C8E">
        <w:rPr>
          <w:rFonts w:eastAsia="Times New Roman" w:cs="Times New Roman"/>
          <w:color w:val="000000"/>
          <w:sz w:val="22"/>
          <w:szCs w:val="22"/>
        </w:rPr>
        <w:t xml:space="preserve">in terminating the </w:t>
      </w:r>
      <w:r w:rsidR="00B90B47">
        <w:rPr>
          <w:rFonts w:eastAsia="Times New Roman" w:cs="Times New Roman"/>
          <w:color w:val="000000"/>
          <w:sz w:val="22"/>
          <w:szCs w:val="22"/>
        </w:rPr>
        <w:t>[</w:t>
      </w:r>
      <w:r w:rsidRPr="00442C8E">
        <w:rPr>
          <w:rFonts w:eastAsia="Times New Roman" w:cs="Times New Roman"/>
          <w:color w:val="000000"/>
          <w:sz w:val="22"/>
          <w:szCs w:val="22"/>
        </w:rPr>
        <w:t>Services.</w:t>
      </w:r>
      <w:r w:rsidR="00B90B47">
        <w:rPr>
          <w:rFonts w:eastAsia="Times New Roman" w:cs="Times New Roman"/>
          <w:color w:val="000000"/>
          <w:sz w:val="22"/>
          <w:szCs w:val="22"/>
        </w:rPr>
        <w:t>]</w:t>
      </w:r>
      <w:r w:rsidRPr="00442C8E">
        <w:rPr>
          <w:rFonts w:eastAsia="Times New Roman" w:cs="Times New Roman"/>
          <w:color w:val="000000"/>
          <w:sz w:val="22"/>
          <w:szCs w:val="22"/>
        </w:rPr>
        <w:t xml:space="preserve">  </w:t>
      </w:r>
      <w:r w:rsidRPr="00442C8E">
        <w:rPr>
          <w:rFonts w:cs="Times New Roman"/>
          <w:sz w:val="22"/>
          <w:szCs w:val="22"/>
        </w:rPr>
        <w:t xml:space="preserve">Implementer </w:t>
      </w:r>
      <w:r w:rsidRPr="00442C8E">
        <w:rPr>
          <w:rFonts w:eastAsia="Times New Roman" w:cs="Times New Roman"/>
          <w:color w:val="000000"/>
          <w:sz w:val="22"/>
          <w:szCs w:val="22"/>
        </w:rPr>
        <w:t xml:space="preserve">shall mitigate its damages to minimize its claim, if any, against Company.  </w:t>
      </w:r>
    </w:p>
    <w:p w14:paraId="63BD4C38" w14:textId="77777777" w:rsidR="00442C8E" w:rsidRPr="00442C8E" w:rsidRDefault="00442C8E" w:rsidP="00442C8E">
      <w:pPr>
        <w:spacing w:after="0"/>
        <w:ind w:left="1440" w:hanging="720"/>
        <w:contextualSpacing/>
        <w:rPr>
          <w:rFonts w:eastAsia="Times New Roman" w:cs="Times New Roman"/>
          <w:color w:val="000000"/>
          <w:sz w:val="22"/>
          <w:szCs w:val="22"/>
        </w:rPr>
      </w:pPr>
    </w:p>
    <w:p w14:paraId="7021DB14" w14:textId="270C4F74" w:rsidR="00442C8E" w:rsidRPr="00442C8E" w:rsidRDefault="00442C8E" w:rsidP="00442C8E">
      <w:pPr>
        <w:numPr>
          <w:ilvl w:val="1"/>
          <w:numId w:val="14"/>
        </w:numPr>
        <w:spacing w:after="0" w:line="276" w:lineRule="auto"/>
        <w:ind w:hanging="720"/>
        <w:contextualSpacing/>
        <w:jc w:val="both"/>
        <w:rPr>
          <w:rFonts w:cs="Times New Roman"/>
          <w:sz w:val="22"/>
          <w:szCs w:val="22"/>
        </w:rPr>
      </w:pPr>
      <w:r w:rsidRPr="00442C8E">
        <w:rPr>
          <w:rFonts w:eastAsia="Times New Roman" w:cs="Times New Roman"/>
          <w:color w:val="000000"/>
          <w:sz w:val="22"/>
          <w:szCs w:val="22"/>
        </w:rPr>
        <w:t xml:space="preserve">Notwithstanding anything contained in this Section [___], in no event shall Company be liable for lost or anticipated profits or overhead on uncompleted portions of the </w:t>
      </w:r>
      <w:r w:rsidR="00B90B47">
        <w:rPr>
          <w:rFonts w:eastAsia="Times New Roman" w:cs="Times New Roman"/>
          <w:color w:val="000000"/>
          <w:sz w:val="22"/>
          <w:szCs w:val="22"/>
        </w:rPr>
        <w:t>[</w:t>
      </w:r>
      <w:r w:rsidRPr="00442C8E">
        <w:rPr>
          <w:rFonts w:eastAsia="Times New Roman" w:cs="Times New Roman"/>
          <w:color w:val="000000"/>
          <w:sz w:val="22"/>
          <w:szCs w:val="22"/>
        </w:rPr>
        <w:t>Services.</w:t>
      </w:r>
      <w:r w:rsidR="00B90B47">
        <w:rPr>
          <w:rFonts w:eastAsia="Times New Roman" w:cs="Times New Roman"/>
          <w:color w:val="000000"/>
          <w:sz w:val="22"/>
          <w:szCs w:val="22"/>
        </w:rPr>
        <w:t>]</w:t>
      </w:r>
      <w:r w:rsidRPr="00442C8E">
        <w:rPr>
          <w:rFonts w:eastAsia="Times New Roman" w:cs="Times New Roman"/>
          <w:color w:val="000000"/>
          <w:sz w:val="22"/>
          <w:szCs w:val="22"/>
        </w:rPr>
        <w:t xml:space="preserve">  </w:t>
      </w:r>
      <w:r w:rsidRPr="00442C8E">
        <w:rPr>
          <w:rFonts w:cs="Times New Roman"/>
          <w:sz w:val="22"/>
          <w:szCs w:val="22"/>
        </w:rPr>
        <w:t xml:space="preserve">Implementer </w:t>
      </w:r>
      <w:r w:rsidRPr="00442C8E">
        <w:rPr>
          <w:rFonts w:eastAsia="Times New Roman" w:cs="Times New Roman"/>
          <w:color w:val="000000"/>
          <w:sz w:val="22"/>
          <w:szCs w:val="22"/>
        </w:rPr>
        <w:t xml:space="preserve">shall not enter into any agreement, commitments or subcontracts that would incur significant cancellation or termination costs without prior written approval of Company, and such written approval shall be a condition precedent to the payment of any </w:t>
      </w:r>
      <w:r w:rsidRPr="00442C8E">
        <w:rPr>
          <w:rFonts w:eastAsia="Times New Roman" w:cs="Times New Roman"/>
          <w:color w:val="000000"/>
          <w:sz w:val="22"/>
          <w:szCs w:val="22"/>
        </w:rPr>
        <w:lastRenderedPageBreak/>
        <w:t xml:space="preserve">cancellation or termination charges by Company under this Section [___].  Also as a condition precedent to the payment of any cancellation or termination charges by Company under this Section [____], </w:t>
      </w:r>
      <w:r w:rsidRPr="00442C8E">
        <w:rPr>
          <w:rFonts w:cs="Times New Roman"/>
          <w:sz w:val="22"/>
          <w:szCs w:val="22"/>
        </w:rPr>
        <w:t xml:space="preserve">Implementer </w:t>
      </w:r>
      <w:r w:rsidRPr="00442C8E">
        <w:rPr>
          <w:rFonts w:eastAsia="Times New Roman" w:cs="Times New Roman"/>
          <w:color w:val="000000"/>
          <w:sz w:val="22"/>
          <w:szCs w:val="22"/>
        </w:rPr>
        <w:t>shall have delivered to Company any and all reports, drawings, documents and deliverables prepared for Company before the effective date of such cancellation or termination.</w:t>
      </w:r>
    </w:p>
    <w:p w14:paraId="5DDE8D31" w14:textId="77777777" w:rsidR="00442C8E" w:rsidRPr="00442C8E" w:rsidRDefault="00442C8E" w:rsidP="00442C8E">
      <w:pPr>
        <w:spacing w:after="0"/>
        <w:ind w:left="1440" w:hanging="720"/>
        <w:contextualSpacing/>
        <w:rPr>
          <w:rFonts w:eastAsia="Times New Roman" w:cs="Times New Roman"/>
          <w:color w:val="000000"/>
          <w:sz w:val="22"/>
          <w:szCs w:val="22"/>
        </w:rPr>
      </w:pPr>
    </w:p>
    <w:p w14:paraId="3DDB859D" w14:textId="77777777" w:rsidR="00442C8E" w:rsidRPr="00442C8E" w:rsidRDefault="00442C8E" w:rsidP="00442C8E">
      <w:pPr>
        <w:numPr>
          <w:ilvl w:val="1"/>
          <w:numId w:val="14"/>
        </w:numPr>
        <w:spacing w:after="0" w:line="276" w:lineRule="auto"/>
        <w:ind w:hanging="720"/>
        <w:contextualSpacing/>
        <w:jc w:val="both"/>
        <w:rPr>
          <w:rFonts w:cs="Times New Roman"/>
          <w:sz w:val="22"/>
          <w:szCs w:val="22"/>
        </w:rPr>
      </w:pPr>
      <w:r w:rsidRPr="00442C8E">
        <w:rPr>
          <w:rFonts w:eastAsia="Times New Roman" w:cs="Times New Roman"/>
          <w:color w:val="000000"/>
          <w:sz w:val="22"/>
          <w:szCs w:val="22"/>
        </w:rPr>
        <w:t xml:space="preserve">The provisions of this Section [___] shall be </w:t>
      </w:r>
      <w:r w:rsidRPr="00442C8E">
        <w:rPr>
          <w:rFonts w:cs="Times New Roman"/>
          <w:sz w:val="22"/>
          <w:szCs w:val="22"/>
        </w:rPr>
        <w:t>Implementer</w:t>
      </w:r>
      <w:r w:rsidRPr="00442C8E">
        <w:rPr>
          <w:rFonts w:eastAsia="Times New Roman" w:cs="Times New Roman"/>
          <w:color w:val="000000"/>
          <w:sz w:val="22"/>
          <w:szCs w:val="22"/>
        </w:rPr>
        <w:t>’s sole remedy resulting from Company’s termination for convenience hereunder.</w:t>
      </w:r>
    </w:p>
    <w:p w14:paraId="29A1B8B2" w14:textId="77777777" w:rsidR="00442C8E" w:rsidRPr="00442C8E" w:rsidRDefault="00442C8E" w:rsidP="00442C8E">
      <w:pPr>
        <w:spacing w:after="0"/>
        <w:ind w:left="720"/>
        <w:contextualSpacing/>
        <w:jc w:val="both"/>
        <w:rPr>
          <w:rFonts w:cs="Times New Roman"/>
          <w:sz w:val="22"/>
          <w:szCs w:val="22"/>
        </w:rPr>
      </w:pPr>
    </w:p>
    <w:p w14:paraId="3C374447" w14:textId="77777777" w:rsidR="00442C8E" w:rsidRPr="00442C8E" w:rsidRDefault="00442C8E" w:rsidP="00442C8E">
      <w:pPr>
        <w:numPr>
          <w:ilvl w:val="0"/>
          <w:numId w:val="14"/>
        </w:numPr>
        <w:spacing w:after="0" w:line="276" w:lineRule="auto"/>
        <w:contextualSpacing/>
        <w:jc w:val="both"/>
        <w:rPr>
          <w:rFonts w:cs="Times New Roman"/>
          <w:sz w:val="22"/>
          <w:szCs w:val="22"/>
        </w:rPr>
      </w:pPr>
      <w:r w:rsidRPr="00442C8E">
        <w:rPr>
          <w:rFonts w:cs="Times New Roman"/>
          <w:sz w:val="22"/>
          <w:szCs w:val="22"/>
          <w:u w:val="single"/>
        </w:rPr>
        <w:t>Termination/Modification by CPUC Order</w:t>
      </w:r>
      <w:r w:rsidRPr="00442C8E">
        <w:rPr>
          <w:rFonts w:cs="Times New Roman"/>
          <w:sz w:val="22"/>
          <w:szCs w:val="22"/>
        </w:rPr>
        <w:t>.  This Agreement shall be subject to changes, modifications, or termination by order or directive of the California Public Utilities Commission (“CPUC”), as may be determined by Company in its sole discretion.  The CPUC may from time to time issue an order or directive relating to or affecting any aspect of this Agreement, in which case Company shall have the right to change, modify or terminate this Agreement in any manner to be consistent with such CPUC order or directive.  Under no circumstance shall Implementer or any subcontractor be entitled to any compensation for any costs, expenses, lost profit or damages incurred by Implementer or any subcontractor as a result of any change, modification, or termination of this Agreement under this Section [____].</w:t>
      </w:r>
    </w:p>
    <w:p w14:paraId="2F4339CD" w14:textId="77777777" w:rsidR="00442C8E" w:rsidRPr="00442C8E" w:rsidRDefault="00442C8E" w:rsidP="00442C8E">
      <w:pPr>
        <w:spacing w:after="0"/>
        <w:ind w:left="720"/>
        <w:contextualSpacing/>
        <w:jc w:val="both"/>
        <w:rPr>
          <w:rFonts w:cs="Times New Roman"/>
          <w:sz w:val="22"/>
          <w:szCs w:val="22"/>
        </w:rPr>
      </w:pPr>
    </w:p>
    <w:p w14:paraId="410D376D" w14:textId="34944281" w:rsidR="00442C8E" w:rsidRPr="00F25313" w:rsidRDefault="00442C8E" w:rsidP="00F56693">
      <w:pPr>
        <w:numPr>
          <w:ilvl w:val="0"/>
          <w:numId w:val="14"/>
        </w:numPr>
        <w:spacing w:before="240" w:after="0" w:line="276" w:lineRule="auto"/>
        <w:contextualSpacing/>
        <w:jc w:val="both"/>
        <w:rPr>
          <w:rFonts w:cs="Times New Roman"/>
          <w:sz w:val="22"/>
          <w:szCs w:val="22"/>
        </w:rPr>
      </w:pPr>
      <w:r w:rsidRPr="00442C8E">
        <w:rPr>
          <w:rFonts w:cs="Times New Roman"/>
          <w:sz w:val="22"/>
          <w:szCs w:val="22"/>
          <w:u w:val="single"/>
        </w:rPr>
        <w:t>Conclusion of Work</w:t>
      </w:r>
      <w:r w:rsidRPr="00442C8E">
        <w:rPr>
          <w:rFonts w:cs="Times New Roman"/>
          <w:sz w:val="22"/>
          <w:szCs w:val="22"/>
        </w:rPr>
        <w:t xml:space="preserve">.  </w:t>
      </w:r>
      <w:r w:rsidRPr="00442C8E">
        <w:rPr>
          <w:rFonts w:eastAsia="Times New Roman" w:cs="Times New Roman"/>
          <w:color w:val="000000"/>
          <w:sz w:val="22"/>
          <w:szCs w:val="22"/>
        </w:rPr>
        <w:t xml:space="preserve">Upon Company’s termination of this Agreement for any reason, </w:t>
      </w:r>
      <w:r w:rsidRPr="00442C8E">
        <w:rPr>
          <w:rFonts w:cs="Times New Roman"/>
          <w:sz w:val="22"/>
          <w:szCs w:val="22"/>
        </w:rPr>
        <w:t xml:space="preserve">Implementer </w:t>
      </w:r>
      <w:r w:rsidRPr="00442C8E">
        <w:rPr>
          <w:rFonts w:eastAsia="Times New Roman" w:cs="Times New Roman"/>
          <w:color w:val="000000"/>
          <w:sz w:val="22"/>
          <w:szCs w:val="22"/>
        </w:rPr>
        <w:t xml:space="preserve">shall, and shall cause each Implementer Party to, bring the Services to an orderly conclusion as directed by Company.  </w:t>
      </w:r>
      <w:r w:rsidRPr="00442C8E">
        <w:rPr>
          <w:rFonts w:cs="Times New Roman"/>
          <w:sz w:val="22"/>
          <w:szCs w:val="22"/>
        </w:rPr>
        <w:t xml:space="preserve">Implementer and each Implementer Party </w:t>
      </w:r>
      <w:r w:rsidRPr="00442C8E">
        <w:rPr>
          <w:rFonts w:eastAsia="Times New Roman" w:cs="Times New Roman"/>
          <w:color w:val="000000"/>
          <w:sz w:val="22"/>
          <w:szCs w:val="22"/>
        </w:rPr>
        <w:t>shall vacate the worksite but shall not remove any material, plant or equipment thereon without the approval of Company.  Company, at its option, may take possession of any portion of the Services paid for by Company.</w:t>
      </w:r>
    </w:p>
    <w:p w14:paraId="69132FE3" w14:textId="462FF554" w:rsidR="00F25313" w:rsidRPr="00F25313" w:rsidRDefault="00F25313" w:rsidP="00F56693">
      <w:pPr>
        <w:pStyle w:val="ListParagraph"/>
        <w:numPr>
          <w:ilvl w:val="0"/>
          <w:numId w:val="12"/>
        </w:numPr>
        <w:spacing w:before="240" w:line="276" w:lineRule="auto"/>
        <w:rPr>
          <w:rFonts w:cs="Times New Roman"/>
          <w:b/>
          <w:sz w:val="22"/>
          <w:szCs w:val="22"/>
        </w:rPr>
      </w:pPr>
      <w:r w:rsidRPr="00F25313">
        <w:rPr>
          <w:rFonts w:cs="Times New Roman"/>
          <w:b/>
          <w:bCs/>
          <w:sz w:val="22"/>
          <w:szCs w:val="22"/>
        </w:rPr>
        <w:t>Payment Schedule and Terms, Including Pay-for-Performance Payment Provisions</w:t>
      </w:r>
    </w:p>
    <w:p w14:paraId="2021162C" w14:textId="77777777" w:rsidR="00F25313" w:rsidRPr="00442C8E" w:rsidRDefault="00F25313" w:rsidP="00F25313">
      <w:pPr>
        <w:numPr>
          <w:ilvl w:val="0"/>
          <w:numId w:val="25"/>
        </w:numPr>
        <w:spacing w:before="120" w:after="120" w:line="276" w:lineRule="auto"/>
        <w:rPr>
          <w:rFonts w:cs="Times New Roman"/>
          <w:sz w:val="22"/>
          <w:szCs w:val="22"/>
          <w:u w:val="single"/>
        </w:rPr>
      </w:pPr>
      <w:r w:rsidRPr="00442C8E">
        <w:rPr>
          <w:rFonts w:cs="Times New Roman"/>
          <w:sz w:val="22"/>
          <w:szCs w:val="22"/>
          <w:u w:val="single"/>
        </w:rPr>
        <w:t>Payment Terms</w:t>
      </w:r>
      <w:r w:rsidRPr="00442C8E">
        <w:rPr>
          <w:rFonts w:cs="Times New Roman"/>
          <w:sz w:val="22"/>
          <w:szCs w:val="22"/>
        </w:rPr>
        <w:t xml:space="preserve">.  </w:t>
      </w:r>
    </w:p>
    <w:p w14:paraId="305C4F61" w14:textId="77777777" w:rsidR="00F25313" w:rsidRPr="00442C8E" w:rsidRDefault="00F25313" w:rsidP="00F25313">
      <w:pPr>
        <w:spacing w:after="0"/>
        <w:ind w:left="360"/>
        <w:contextualSpacing/>
        <w:rPr>
          <w:rFonts w:cs="Times New Roman"/>
          <w:sz w:val="22"/>
          <w:szCs w:val="22"/>
        </w:rPr>
      </w:pPr>
      <w:r w:rsidRPr="00442C8E">
        <w:rPr>
          <w:rFonts w:cs="Times New Roman"/>
          <w:sz w:val="22"/>
          <w:szCs w:val="22"/>
        </w:rPr>
        <w:t xml:space="preserve">[Payment terms will vary based on the Program proposed, and the Company will evaluate bids, in part, on creative proposals that spread the risk of non-performance and deliver a quality and cost-effective program at a reasonable cost to ratepayers.  Table 2 outlines some potential contract categories with potential associated payment schedules and payment terms, if applicable; however, the Company will evaluate payment terms based on the bid and the nature of the Program. Table 2 is not intended to be exhaustive, and additional or modified payment categories may be proposed in the filing and/or in specific agreements, as negotiated.  </w:t>
      </w:r>
    </w:p>
    <w:p w14:paraId="605E1B52" w14:textId="77777777" w:rsidR="00F25313" w:rsidRPr="00442C8E" w:rsidRDefault="00F25313" w:rsidP="00F25313">
      <w:pPr>
        <w:spacing w:after="0"/>
        <w:ind w:left="360"/>
        <w:contextualSpacing/>
        <w:rPr>
          <w:rFonts w:cs="Times New Roman"/>
          <w:sz w:val="22"/>
          <w:szCs w:val="22"/>
        </w:rPr>
      </w:pPr>
    </w:p>
    <w:p w14:paraId="154B05E3" w14:textId="77777777" w:rsidR="00F25313" w:rsidRPr="00442C8E" w:rsidRDefault="00F25313" w:rsidP="00F25313">
      <w:pPr>
        <w:spacing w:after="0"/>
        <w:ind w:left="360"/>
        <w:rPr>
          <w:rFonts w:cs="Times New Roman"/>
          <w:sz w:val="22"/>
          <w:szCs w:val="22"/>
        </w:rPr>
      </w:pPr>
      <w:r w:rsidRPr="00442C8E">
        <w:rPr>
          <w:rFonts w:cs="Times New Roman"/>
          <w:sz w:val="22"/>
          <w:szCs w:val="22"/>
        </w:rPr>
        <w:t>Company prefers Program Proposals that include a “pay for performance” fee structure component that conditions payments from Company to Implementer based on specific savings or other metrics that advance energy efficiency portfolio goals (i.e. Meter Based).  These pay-for-performance models may include performance security in a form of cash or line (or letter) of credit to ensure that implementers are meeting key performance metrics such as energy savings and cost-effectiveness and that permit Company to draw against such performance security if certain performance conditions and/or KPIs are not met. Percentages of performance security and metrics will be negotiated between the Implementer and Company.</w:t>
      </w:r>
    </w:p>
    <w:p w14:paraId="7A2D9AEC" w14:textId="0C061E74" w:rsidR="00F25313" w:rsidRPr="00442C8E" w:rsidRDefault="00F25313" w:rsidP="00F25313">
      <w:pPr>
        <w:spacing w:before="120" w:after="120"/>
        <w:ind w:left="360"/>
        <w:rPr>
          <w:rFonts w:cs="Times New Roman"/>
          <w:sz w:val="22"/>
          <w:szCs w:val="22"/>
        </w:rPr>
      </w:pPr>
      <w:r w:rsidRPr="00442C8E">
        <w:rPr>
          <w:rFonts w:cs="Times New Roman"/>
          <w:sz w:val="22"/>
          <w:szCs w:val="22"/>
        </w:rPr>
        <w:t xml:space="preserve">Program proposals with greater proportions of funds tied to the delivery of energy savings measured and verified post-installation will be preferred over program proposals that correlate performance to program activities (installations) associated with pre-installation savings estimates (deemed), or </w:t>
      </w:r>
      <w:r w:rsidRPr="00442C8E">
        <w:rPr>
          <w:rFonts w:cs="Times New Roman"/>
          <w:sz w:val="22"/>
          <w:szCs w:val="22"/>
        </w:rPr>
        <w:lastRenderedPageBreak/>
        <w:t xml:space="preserve">proposals with large proportions of funds dedicated to Program Implementation activities that are not directly tied to energy savings, respectively.]  </w:t>
      </w:r>
    </w:p>
    <w:p w14:paraId="429D382F" w14:textId="77777777" w:rsidR="00F25313" w:rsidRPr="00442C8E" w:rsidRDefault="00F25313" w:rsidP="00F25313">
      <w:pPr>
        <w:keepNext/>
        <w:keepLines/>
        <w:numPr>
          <w:ilvl w:val="0"/>
          <w:numId w:val="21"/>
        </w:numPr>
        <w:spacing w:before="120" w:after="120" w:line="276" w:lineRule="auto"/>
        <w:ind w:left="0" w:firstLine="0"/>
        <w:outlineLvl w:val="2"/>
        <w:rPr>
          <w:rFonts w:eastAsiaTheme="majorEastAsia" w:cs="Times New Roman"/>
          <w:b/>
          <w:color w:val="243F60" w:themeColor="accent1" w:themeShade="7F"/>
          <w:sz w:val="22"/>
        </w:rPr>
      </w:pPr>
      <w:r w:rsidRPr="00442C8E">
        <w:rPr>
          <w:rFonts w:eastAsiaTheme="majorEastAsia" w:cs="Times New Roman"/>
          <w:b/>
          <w:color w:val="243F60" w:themeColor="accent1" w:themeShade="7F"/>
          <w:sz w:val="22"/>
        </w:rPr>
        <w:t xml:space="preserve">Table 2: Payment Terms </w:t>
      </w:r>
    </w:p>
    <w:tbl>
      <w:tblPr>
        <w:tblW w:w="1123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610"/>
        <w:gridCol w:w="2070"/>
        <w:gridCol w:w="1800"/>
        <w:gridCol w:w="1440"/>
        <w:gridCol w:w="2232"/>
      </w:tblGrid>
      <w:tr w:rsidR="00F25313" w:rsidRPr="007A3C22" w14:paraId="005D41AF" w14:textId="77777777" w:rsidTr="00B30F5A">
        <w:trPr>
          <w:trHeight w:val="864"/>
        </w:trPr>
        <w:tc>
          <w:tcPr>
            <w:tcW w:w="1080" w:type="dxa"/>
            <w:shd w:val="clear" w:color="auto" w:fill="BFBFBF" w:themeFill="background1" w:themeFillShade="BF"/>
            <w:vAlign w:val="center"/>
            <w:hideMark/>
          </w:tcPr>
          <w:p w14:paraId="24814502" w14:textId="77777777" w:rsidR="00F25313" w:rsidRPr="007A3C22" w:rsidRDefault="00F25313" w:rsidP="00B30F5A">
            <w:pPr>
              <w:spacing w:before="120" w:after="120"/>
              <w:jc w:val="center"/>
              <w:rPr>
                <w:rFonts w:asciiTheme="minorHAnsi" w:hAnsiTheme="minorHAnsi"/>
                <w:b/>
                <w:color w:val="000000" w:themeColor="text1"/>
                <w:sz w:val="22"/>
                <w:szCs w:val="22"/>
              </w:rPr>
            </w:pPr>
            <w:r w:rsidRPr="007A3C22">
              <w:rPr>
                <w:rFonts w:asciiTheme="minorHAnsi" w:hAnsiTheme="minorHAnsi"/>
                <w:b/>
                <w:color w:val="000000" w:themeColor="text1"/>
                <w:sz w:val="22"/>
                <w:szCs w:val="22"/>
              </w:rPr>
              <w:t>Contract Payment Category</w:t>
            </w:r>
          </w:p>
        </w:tc>
        <w:tc>
          <w:tcPr>
            <w:tcW w:w="2610" w:type="dxa"/>
            <w:tcBorders>
              <w:right w:val="single" w:sz="18" w:space="0" w:color="auto"/>
            </w:tcBorders>
            <w:shd w:val="clear" w:color="auto" w:fill="BFBFBF" w:themeFill="background1" w:themeFillShade="BF"/>
            <w:vAlign w:val="center"/>
          </w:tcPr>
          <w:p w14:paraId="0E4120B7"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Description</w:t>
            </w:r>
          </w:p>
        </w:tc>
        <w:tc>
          <w:tcPr>
            <w:tcW w:w="2070"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hideMark/>
          </w:tcPr>
          <w:p w14:paraId="7390CECA"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 xml:space="preserve">Proportion of Total Contract Value </w:t>
            </w:r>
          </w:p>
          <w:p w14:paraId="155A1212"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w:t>
            </w:r>
          </w:p>
        </w:tc>
        <w:tc>
          <w:tcPr>
            <w:tcW w:w="1800"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3B740B97"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 xml:space="preserve">Contract Value by Category </w:t>
            </w:r>
          </w:p>
          <w:p w14:paraId="6DED6B88"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w:t>
            </w:r>
          </w:p>
        </w:tc>
        <w:tc>
          <w:tcPr>
            <w:tcW w:w="1440" w:type="dxa"/>
            <w:tcBorders>
              <w:left w:val="single" w:sz="18" w:space="0" w:color="auto"/>
              <w:right w:val="single" w:sz="18" w:space="0" w:color="auto"/>
            </w:tcBorders>
            <w:shd w:val="clear" w:color="auto" w:fill="BFBFBF" w:themeFill="background1" w:themeFillShade="BF"/>
            <w:vAlign w:val="center"/>
          </w:tcPr>
          <w:p w14:paraId="48432BC7"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 xml:space="preserve">Performance Security Rate </w:t>
            </w:r>
          </w:p>
          <w:p w14:paraId="53F3565F"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w:t>
            </w:r>
          </w:p>
        </w:tc>
        <w:tc>
          <w:tcPr>
            <w:tcW w:w="2232"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394555A0"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Performance Security Amount</w:t>
            </w:r>
          </w:p>
          <w:p w14:paraId="33F2B02B"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b/>
                <w:color w:val="000000" w:themeColor="text1"/>
                <w:sz w:val="22"/>
                <w:szCs w:val="22"/>
              </w:rPr>
              <w:t>($)</w:t>
            </w:r>
          </w:p>
        </w:tc>
      </w:tr>
      <w:tr w:rsidR="00F25313" w:rsidRPr="007A3C22" w14:paraId="7F2E8DB8" w14:textId="77777777" w:rsidTr="00B30F5A">
        <w:trPr>
          <w:trHeight w:val="615"/>
        </w:trPr>
        <w:tc>
          <w:tcPr>
            <w:tcW w:w="1080" w:type="dxa"/>
            <w:shd w:val="clear" w:color="auto" w:fill="auto"/>
            <w:vAlign w:val="center"/>
            <w:hideMark/>
          </w:tcPr>
          <w:p w14:paraId="14AD84CF" w14:textId="77777777" w:rsidR="00F25313" w:rsidRPr="007A3C22" w:rsidRDefault="00F25313" w:rsidP="00B30F5A">
            <w:pPr>
              <w:spacing w:before="120" w:after="120"/>
              <w:jc w:val="center"/>
              <w:rPr>
                <w:rFonts w:asciiTheme="minorHAnsi" w:hAnsiTheme="minorHAnsi"/>
                <w:color w:val="000000" w:themeColor="text1"/>
                <w:sz w:val="22"/>
                <w:szCs w:val="22"/>
              </w:rPr>
            </w:pPr>
            <w:r w:rsidRPr="007A3C22">
              <w:rPr>
                <w:rFonts w:asciiTheme="minorHAnsi" w:hAnsiTheme="minorHAnsi"/>
                <w:color w:val="000000" w:themeColor="text1"/>
                <w:sz w:val="22"/>
                <w:szCs w:val="22"/>
              </w:rPr>
              <w:t>Program Implementation</w:t>
            </w:r>
          </w:p>
          <w:p w14:paraId="5FCCAF72" w14:textId="77777777" w:rsidR="00F25313" w:rsidRPr="007A3C22" w:rsidRDefault="00F25313" w:rsidP="00B30F5A">
            <w:pPr>
              <w:spacing w:before="120" w:after="120"/>
              <w:jc w:val="center"/>
              <w:rPr>
                <w:rFonts w:asciiTheme="minorHAnsi" w:hAnsiTheme="minorHAnsi"/>
                <w:color w:val="000000" w:themeColor="text1"/>
                <w:sz w:val="22"/>
                <w:szCs w:val="22"/>
              </w:rPr>
            </w:pPr>
            <w:r w:rsidRPr="007A3C22">
              <w:rPr>
                <w:rFonts w:asciiTheme="minorHAnsi" w:hAnsiTheme="minorHAnsi"/>
                <w:color w:val="000000" w:themeColor="text1"/>
                <w:sz w:val="22"/>
                <w:szCs w:val="22"/>
              </w:rPr>
              <w:t>(A)</w:t>
            </w:r>
          </w:p>
        </w:tc>
        <w:tc>
          <w:tcPr>
            <w:tcW w:w="2610" w:type="dxa"/>
            <w:tcBorders>
              <w:right w:val="single" w:sz="18" w:space="0" w:color="auto"/>
            </w:tcBorders>
            <w:vAlign w:val="center"/>
          </w:tcPr>
          <w:p w14:paraId="4A73A41A" w14:textId="77777777" w:rsidR="00F25313" w:rsidRPr="00442C8E" w:rsidRDefault="00F25313" w:rsidP="00B30F5A">
            <w:pPr>
              <w:spacing w:before="120" w:after="120"/>
              <w:rPr>
                <w:rFonts w:cs="Times New Roman"/>
                <w:sz w:val="22"/>
                <w:szCs w:val="22"/>
              </w:rPr>
            </w:pPr>
            <w:r w:rsidRPr="00442C8E">
              <w:rPr>
                <w:rFonts w:cs="Times New Roman"/>
                <w:sz w:val="22"/>
                <w:szCs w:val="22"/>
              </w:rPr>
              <w:t>Funds paid to Implementers through monthly Time and Material invoicing for marketing, communications, and program administration activities</w:t>
            </w:r>
          </w:p>
        </w:tc>
        <w:tc>
          <w:tcPr>
            <w:tcW w:w="2070" w:type="dxa"/>
            <w:tcBorders>
              <w:top w:val="single" w:sz="6" w:space="0" w:color="auto"/>
              <w:left w:val="single" w:sz="18" w:space="0" w:color="auto"/>
              <w:right w:val="single" w:sz="18" w:space="0" w:color="auto"/>
            </w:tcBorders>
            <w:shd w:val="clear" w:color="auto" w:fill="auto"/>
            <w:vAlign w:val="center"/>
            <w:hideMark/>
          </w:tcPr>
          <w:p w14:paraId="516B56E1" w14:textId="77777777" w:rsidR="00F25313" w:rsidRPr="00442C8E" w:rsidRDefault="00F25313" w:rsidP="00B30F5A">
            <w:pPr>
              <w:spacing w:before="120" w:after="120"/>
              <w:jc w:val="center"/>
              <w:rPr>
                <w:rFonts w:cs="Times New Roman"/>
                <w:color w:val="000000" w:themeColor="text1"/>
                <w:sz w:val="22"/>
                <w:szCs w:val="22"/>
                <w:highlight w:val="yellow"/>
              </w:rPr>
            </w:pPr>
            <w:r w:rsidRPr="00442C8E">
              <w:rPr>
                <w:rFonts w:cs="Times New Roman"/>
                <w:color w:val="000000" w:themeColor="text1"/>
                <w:sz w:val="22"/>
                <w:szCs w:val="22"/>
                <w:highlight w:val="yellow"/>
              </w:rPr>
              <w:t>A%</w:t>
            </w:r>
          </w:p>
          <w:p w14:paraId="1DF0E2FC"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highlight w:val="yellow"/>
              </w:rPr>
              <w:t>[Implementer to Designate]</w:t>
            </w:r>
          </w:p>
        </w:tc>
        <w:tc>
          <w:tcPr>
            <w:tcW w:w="1800" w:type="dxa"/>
            <w:tcBorders>
              <w:top w:val="single" w:sz="6" w:space="0" w:color="auto"/>
              <w:left w:val="single" w:sz="18" w:space="0" w:color="auto"/>
              <w:right w:val="single" w:sz="18" w:space="0" w:color="auto"/>
            </w:tcBorders>
            <w:vAlign w:val="center"/>
          </w:tcPr>
          <w:p w14:paraId="3D40B0F1"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$A </w:t>
            </w:r>
          </w:p>
          <w:p w14:paraId="75D0EDC1"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[Total Contract Value x A%]</w:t>
            </w:r>
          </w:p>
        </w:tc>
        <w:tc>
          <w:tcPr>
            <w:tcW w:w="1440" w:type="dxa"/>
            <w:tcBorders>
              <w:left w:val="single" w:sz="18" w:space="0" w:color="auto"/>
              <w:right w:val="single" w:sz="18" w:space="0" w:color="auto"/>
            </w:tcBorders>
            <w:vAlign w:val="center"/>
          </w:tcPr>
          <w:p w14:paraId="6B3E0E01" w14:textId="77777777" w:rsidR="00F25313" w:rsidRPr="00442C8E" w:rsidRDefault="00F25313" w:rsidP="00B30F5A">
            <w:pPr>
              <w:spacing w:before="120" w:after="120"/>
              <w:jc w:val="center"/>
              <w:rPr>
                <w:rFonts w:cs="Times New Roman"/>
                <w:color w:val="000000" w:themeColor="text1"/>
                <w:sz w:val="22"/>
                <w:szCs w:val="22"/>
                <w:highlight w:val="green"/>
              </w:rPr>
            </w:pPr>
            <w:r w:rsidRPr="00442C8E">
              <w:rPr>
                <w:rFonts w:cs="Times New Roman"/>
                <w:color w:val="000000" w:themeColor="text1"/>
                <w:sz w:val="22"/>
                <w:szCs w:val="22"/>
                <w:highlight w:val="green"/>
              </w:rPr>
              <w:t>AX%</w:t>
            </w:r>
          </w:p>
          <w:p w14:paraId="46AC372C" w14:textId="77777777" w:rsidR="00F25313" w:rsidRPr="00442C8E" w:rsidRDefault="00F25313" w:rsidP="00B30F5A">
            <w:pPr>
              <w:spacing w:before="120" w:after="120"/>
              <w:jc w:val="center"/>
              <w:rPr>
                <w:rFonts w:cs="Times New Roman"/>
                <w:color w:val="000000" w:themeColor="text1"/>
                <w:sz w:val="22"/>
                <w:szCs w:val="22"/>
                <w:highlight w:val="green"/>
              </w:rPr>
            </w:pPr>
            <w:r w:rsidRPr="00442C8E">
              <w:rPr>
                <w:rFonts w:cs="Times New Roman"/>
                <w:color w:val="000000" w:themeColor="text1"/>
                <w:sz w:val="22"/>
                <w:szCs w:val="22"/>
                <w:highlight w:val="green"/>
              </w:rPr>
              <w:t>[IOU to Designate]</w:t>
            </w:r>
          </w:p>
        </w:tc>
        <w:tc>
          <w:tcPr>
            <w:tcW w:w="2232" w:type="dxa"/>
            <w:tcBorders>
              <w:top w:val="single" w:sz="6" w:space="0" w:color="auto"/>
              <w:left w:val="single" w:sz="18" w:space="0" w:color="auto"/>
              <w:bottom w:val="single" w:sz="6" w:space="0" w:color="auto"/>
              <w:right w:val="single" w:sz="18" w:space="0" w:color="auto"/>
            </w:tcBorders>
            <w:vAlign w:val="center"/>
          </w:tcPr>
          <w:p w14:paraId="57CD61BC"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$AX </w:t>
            </w:r>
          </w:p>
          <w:p w14:paraId="7D2B3F76"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[$A x AX%]</w:t>
            </w:r>
          </w:p>
        </w:tc>
      </w:tr>
      <w:tr w:rsidR="00F25313" w:rsidRPr="007A3C22" w14:paraId="6B736D1D" w14:textId="77777777" w:rsidTr="00B30F5A">
        <w:trPr>
          <w:trHeight w:val="1008"/>
        </w:trPr>
        <w:tc>
          <w:tcPr>
            <w:tcW w:w="1080" w:type="dxa"/>
            <w:shd w:val="clear" w:color="auto" w:fill="auto"/>
            <w:vAlign w:val="center"/>
          </w:tcPr>
          <w:p w14:paraId="37FFD5CA" w14:textId="77777777" w:rsidR="00F25313" w:rsidRPr="007A3C22" w:rsidRDefault="00F25313" w:rsidP="00B30F5A">
            <w:pPr>
              <w:spacing w:before="120" w:after="120"/>
              <w:jc w:val="center"/>
              <w:rPr>
                <w:rFonts w:asciiTheme="minorHAnsi" w:hAnsiTheme="minorHAnsi"/>
                <w:color w:val="000000" w:themeColor="text1"/>
                <w:sz w:val="22"/>
                <w:szCs w:val="22"/>
              </w:rPr>
            </w:pPr>
            <w:r w:rsidRPr="007A3C22">
              <w:rPr>
                <w:rFonts w:asciiTheme="minorHAnsi" w:hAnsiTheme="minorHAnsi"/>
                <w:color w:val="000000" w:themeColor="text1"/>
                <w:sz w:val="22"/>
                <w:szCs w:val="22"/>
              </w:rPr>
              <w:t>Deemed Savings</w:t>
            </w:r>
          </w:p>
          <w:p w14:paraId="6CB9694B" w14:textId="77777777" w:rsidR="00F25313" w:rsidRPr="007A3C22" w:rsidRDefault="00F25313" w:rsidP="00B30F5A">
            <w:pPr>
              <w:spacing w:before="120" w:after="120"/>
              <w:jc w:val="center"/>
              <w:rPr>
                <w:rFonts w:asciiTheme="minorHAnsi" w:hAnsiTheme="minorHAnsi"/>
                <w:color w:val="000000" w:themeColor="text1"/>
                <w:sz w:val="22"/>
                <w:szCs w:val="22"/>
              </w:rPr>
            </w:pPr>
            <w:r w:rsidRPr="007A3C22">
              <w:rPr>
                <w:rFonts w:asciiTheme="minorHAnsi" w:hAnsiTheme="minorHAnsi"/>
                <w:color w:val="000000" w:themeColor="text1"/>
                <w:sz w:val="22"/>
                <w:szCs w:val="22"/>
              </w:rPr>
              <w:t>(B)</w:t>
            </w:r>
          </w:p>
        </w:tc>
        <w:tc>
          <w:tcPr>
            <w:tcW w:w="2610" w:type="dxa"/>
            <w:tcBorders>
              <w:right w:val="single" w:sz="18" w:space="0" w:color="auto"/>
            </w:tcBorders>
            <w:vAlign w:val="center"/>
          </w:tcPr>
          <w:p w14:paraId="200943F4" w14:textId="77777777" w:rsidR="00F25313" w:rsidRPr="00442C8E" w:rsidRDefault="00F25313" w:rsidP="00B30F5A">
            <w:pPr>
              <w:spacing w:before="120" w:after="120"/>
              <w:rPr>
                <w:rFonts w:cs="Times New Roman"/>
                <w:sz w:val="22"/>
                <w:szCs w:val="22"/>
              </w:rPr>
            </w:pPr>
            <w:r w:rsidRPr="00442C8E">
              <w:rPr>
                <w:rFonts w:cs="Times New Roman"/>
                <w:sz w:val="22"/>
                <w:szCs w:val="22"/>
              </w:rPr>
              <w:t>Payments in this category are dispersed to Implementers upon the successful completion and verification of program measure installations.</w:t>
            </w:r>
          </w:p>
        </w:tc>
        <w:tc>
          <w:tcPr>
            <w:tcW w:w="2070" w:type="dxa"/>
            <w:tcBorders>
              <w:top w:val="single" w:sz="6" w:space="0" w:color="auto"/>
              <w:left w:val="single" w:sz="18" w:space="0" w:color="auto"/>
              <w:right w:val="single" w:sz="18" w:space="0" w:color="auto"/>
            </w:tcBorders>
            <w:shd w:val="clear" w:color="auto" w:fill="auto"/>
            <w:vAlign w:val="center"/>
          </w:tcPr>
          <w:p w14:paraId="1E80BC16" w14:textId="77777777" w:rsidR="00F25313" w:rsidRPr="00442C8E" w:rsidRDefault="00F25313" w:rsidP="00B30F5A">
            <w:pPr>
              <w:spacing w:before="120" w:after="120"/>
              <w:jc w:val="center"/>
              <w:rPr>
                <w:rFonts w:cs="Times New Roman"/>
                <w:color w:val="000000" w:themeColor="text1"/>
                <w:sz w:val="22"/>
                <w:szCs w:val="22"/>
                <w:highlight w:val="yellow"/>
              </w:rPr>
            </w:pPr>
            <w:r w:rsidRPr="00442C8E">
              <w:rPr>
                <w:rFonts w:cs="Times New Roman"/>
                <w:color w:val="000000" w:themeColor="text1"/>
                <w:sz w:val="22"/>
                <w:szCs w:val="22"/>
                <w:highlight w:val="yellow"/>
              </w:rPr>
              <w:t>B%</w:t>
            </w:r>
          </w:p>
          <w:p w14:paraId="4BBC66AB"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highlight w:val="yellow"/>
              </w:rPr>
              <w:t>[Implementer to Designate]</w:t>
            </w:r>
          </w:p>
        </w:tc>
        <w:tc>
          <w:tcPr>
            <w:tcW w:w="1800" w:type="dxa"/>
            <w:tcBorders>
              <w:top w:val="single" w:sz="6" w:space="0" w:color="auto"/>
              <w:left w:val="single" w:sz="18" w:space="0" w:color="auto"/>
              <w:right w:val="single" w:sz="18" w:space="0" w:color="auto"/>
            </w:tcBorders>
            <w:vAlign w:val="center"/>
          </w:tcPr>
          <w:p w14:paraId="15BB7D53"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$B </w:t>
            </w:r>
          </w:p>
          <w:p w14:paraId="54C38C67"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[Total Contract Value x B%]</w:t>
            </w:r>
          </w:p>
        </w:tc>
        <w:tc>
          <w:tcPr>
            <w:tcW w:w="1440" w:type="dxa"/>
            <w:tcBorders>
              <w:left w:val="single" w:sz="18" w:space="0" w:color="auto"/>
              <w:right w:val="single" w:sz="18" w:space="0" w:color="auto"/>
            </w:tcBorders>
            <w:vAlign w:val="center"/>
          </w:tcPr>
          <w:p w14:paraId="6CEE2E8C" w14:textId="77777777" w:rsidR="00F25313" w:rsidRPr="00442C8E" w:rsidRDefault="00F25313" w:rsidP="00B30F5A">
            <w:pPr>
              <w:spacing w:before="120" w:after="120"/>
              <w:jc w:val="center"/>
              <w:rPr>
                <w:rFonts w:cs="Times New Roman"/>
                <w:color w:val="000000" w:themeColor="text1"/>
                <w:sz w:val="22"/>
                <w:szCs w:val="22"/>
                <w:highlight w:val="green"/>
              </w:rPr>
            </w:pPr>
            <w:r w:rsidRPr="00442C8E">
              <w:rPr>
                <w:rFonts w:cs="Times New Roman"/>
                <w:color w:val="000000" w:themeColor="text1"/>
                <w:sz w:val="22"/>
                <w:szCs w:val="22"/>
                <w:highlight w:val="green"/>
              </w:rPr>
              <w:t>BX%</w:t>
            </w:r>
          </w:p>
          <w:p w14:paraId="087C969E"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highlight w:val="green"/>
              </w:rPr>
              <w:t>[IOU to Designate]</w:t>
            </w:r>
          </w:p>
        </w:tc>
        <w:tc>
          <w:tcPr>
            <w:tcW w:w="2232" w:type="dxa"/>
            <w:tcBorders>
              <w:top w:val="single" w:sz="6" w:space="0" w:color="auto"/>
              <w:left w:val="single" w:sz="18" w:space="0" w:color="auto"/>
              <w:bottom w:val="single" w:sz="6" w:space="0" w:color="auto"/>
              <w:right w:val="single" w:sz="18" w:space="0" w:color="auto"/>
            </w:tcBorders>
            <w:vAlign w:val="center"/>
          </w:tcPr>
          <w:p w14:paraId="2EAAD24A"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$BX </w:t>
            </w:r>
          </w:p>
          <w:p w14:paraId="6A521EC5"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[$B x BX%]</w:t>
            </w:r>
          </w:p>
        </w:tc>
      </w:tr>
      <w:tr w:rsidR="00F25313" w:rsidRPr="007A3C22" w14:paraId="163856E4" w14:textId="77777777" w:rsidTr="00B30F5A">
        <w:trPr>
          <w:trHeight w:val="1008"/>
        </w:trPr>
        <w:tc>
          <w:tcPr>
            <w:tcW w:w="1080" w:type="dxa"/>
            <w:shd w:val="clear" w:color="auto" w:fill="auto"/>
            <w:vAlign w:val="center"/>
          </w:tcPr>
          <w:p w14:paraId="462DF3E9" w14:textId="77777777" w:rsidR="00F25313" w:rsidRPr="007A3C22" w:rsidRDefault="00F25313" w:rsidP="00B30F5A">
            <w:pPr>
              <w:spacing w:before="120" w:after="120"/>
              <w:jc w:val="center"/>
              <w:rPr>
                <w:rFonts w:asciiTheme="minorHAnsi" w:hAnsiTheme="minorHAnsi"/>
                <w:color w:val="000000" w:themeColor="text1"/>
                <w:sz w:val="22"/>
                <w:szCs w:val="22"/>
              </w:rPr>
            </w:pPr>
            <w:r w:rsidRPr="007A3C22">
              <w:rPr>
                <w:rFonts w:asciiTheme="minorHAnsi" w:hAnsiTheme="minorHAnsi"/>
                <w:color w:val="000000" w:themeColor="text1"/>
                <w:sz w:val="22"/>
                <w:szCs w:val="22"/>
              </w:rPr>
              <w:t>Custom Savings</w:t>
            </w:r>
          </w:p>
          <w:p w14:paraId="6BF30D94" w14:textId="77777777" w:rsidR="00F25313" w:rsidRPr="007A3C22" w:rsidRDefault="00F25313" w:rsidP="00B30F5A">
            <w:pPr>
              <w:spacing w:before="120" w:after="120"/>
              <w:jc w:val="center"/>
              <w:rPr>
                <w:rFonts w:asciiTheme="minorHAnsi" w:hAnsiTheme="minorHAnsi"/>
                <w:color w:val="000000" w:themeColor="text1"/>
                <w:sz w:val="22"/>
                <w:szCs w:val="22"/>
              </w:rPr>
            </w:pPr>
            <w:r w:rsidRPr="007A3C22">
              <w:rPr>
                <w:rFonts w:asciiTheme="minorHAnsi" w:hAnsiTheme="minorHAnsi"/>
                <w:color w:val="000000" w:themeColor="text1"/>
                <w:sz w:val="22"/>
                <w:szCs w:val="22"/>
              </w:rPr>
              <w:t>(C)</w:t>
            </w:r>
          </w:p>
        </w:tc>
        <w:tc>
          <w:tcPr>
            <w:tcW w:w="2610" w:type="dxa"/>
            <w:tcBorders>
              <w:right w:val="single" w:sz="18" w:space="0" w:color="auto"/>
            </w:tcBorders>
            <w:vAlign w:val="center"/>
          </w:tcPr>
          <w:p w14:paraId="665CE218" w14:textId="77777777" w:rsidR="00F25313" w:rsidRPr="00442C8E" w:rsidRDefault="00F25313" w:rsidP="00B30F5A">
            <w:pPr>
              <w:spacing w:before="120" w:after="120"/>
              <w:rPr>
                <w:rFonts w:cs="Times New Roman"/>
                <w:sz w:val="22"/>
                <w:szCs w:val="22"/>
              </w:rPr>
            </w:pPr>
            <w:r w:rsidRPr="00442C8E">
              <w:rPr>
                <w:rFonts w:cs="Times New Roman"/>
                <w:sz w:val="22"/>
                <w:szCs w:val="22"/>
              </w:rPr>
              <w:t>Payments to Implementers are tied to specific project installations and split between pre-installation customer commitment milestones and a post-installation measurement and verification (M&amp;V) true-up of delivered energy savings. True-up provisions may include performance security to be posted by the Implementer.</w:t>
            </w:r>
          </w:p>
        </w:tc>
        <w:tc>
          <w:tcPr>
            <w:tcW w:w="2070" w:type="dxa"/>
            <w:tcBorders>
              <w:top w:val="single" w:sz="6" w:space="0" w:color="auto"/>
              <w:left w:val="single" w:sz="18" w:space="0" w:color="auto"/>
              <w:bottom w:val="single" w:sz="6" w:space="0" w:color="auto"/>
              <w:right w:val="single" w:sz="18" w:space="0" w:color="auto"/>
            </w:tcBorders>
            <w:shd w:val="clear" w:color="auto" w:fill="auto"/>
            <w:vAlign w:val="center"/>
          </w:tcPr>
          <w:p w14:paraId="145AB253" w14:textId="77777777" w:rsidR="00F25313" w:rsidRPr="00442C8E" w:rsidRDefault="00F25313" w:rsidP="00B30F5A">
            <w:pPr>
              <w:spacing w:before="120" w:after="120"/>
              <w:jc w:val="center"/>
              <w:rPr>
                <w:rFonts w:cs="Times New Roman"/>
                <w:color w:val="000000" w:themeColor="text1"/>
                <w:sz w:val="22"/>
                <w:szCs w:val="22"/>
                <w:highlight w:val="yellow"/>
              </w:rPr>
            </w:pPr>
            <w:r w:rsidRPr="00442C8E">
              <w:rPr>
                <w:rFonts w:cs="Times New Roman"/>
                <w:color w:val="000000" w:themeColor="text1"/>
                <w:sz w:val="22"/>
                <w:szCs w:val="22"/>
                <w:highlight w:val="yellow"/>
              </w:rPr>
              <w:t>C%</w:t>
            </w:r>
          </w:p>
          <w:p w14:paraId="7677DA70" w14:textId="77777777" w:rsidR="00F25313" w:rsidRPr="00442C8E" w:rsidRDefault="00F25313" w:rsidP="00B30F5A">
            <w:pPr>
              <w:spacing w:before="120" w:after="120"/>
              <w:jc w:val="center"/>
              <w:rPr>
                <w:rFonts w:cs="Times New Roman"/>
                <w:color w:val="000000" w:themeColor="text1"/>
                <w:sz w:val="22"/>
                <w:szCs w:val="22"/>
                <w:highlight w:val="yellow"/>
              </w:rPr>
            </w:pPr>
            <w:r w:rsidRPr="00442C8E">
              <w:rPr>
                <w:rFonts w:cs="Times New Roman"/>
                <w:color w:val="000000" w:themeColor="text1"/>
                <w:sz w:val="22"/>
                <w:szCs w:val="22"/>
                <w:highlight w:val="yellow"/>
              </w:rPr>
              <w:t>[Implementer to Designate]</w:t>
            </w:r>
          </w:p>
        </w:tc>
        <w:tc>
          <w:tcPr>
            <w:tcW w:w="1800" w:type="dxa"/>
            <w:tcBorders>
              <w:top w:val="single" w:sz="6" w:space="0" w:color="auto"/>
              <w:left w:val="single" w:sz="18" w:space="0" w:color="auto"/>
              <w:bottom w:val="single" w:sz="6" w:space="0" w:color="auto"/>
              <w:right w:val="single" w:sz="18" w:space="0" w:color="auto"/>
            </w:tcBorders>
            <w:vAlign w:val="center"/>
          </w:tcPr>
          <w:p w14:paraId="6F03F50B"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$C </w:t>
            </w:r>
          </w:p>
          <w:p w14:paraId="05DC98AB"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[Total Contract Value x C%]</w:t>
            </w:r>
          </w:p>
        </w:tc>
        <w:tc>
          <w:tcPr>
            <w:tcW w:w="1440" w:type="dxa"/>
            <w:tcBorders>
              <w:left w:val="single" w:sz="18" w:space="0" w:color="auto"/>
              <w:right w:val="single" w:sz="18" w:space="0" w:color="auto"/>
            </w:tcBorders>
            <w:vAlign w:val="center"/>
          </w:tcPr>
          <w:p w14:paraId="7AD97A5C" w14:textId="77777777" w:rsidR="00F25313" w:rsidRPr="00442C8E" w:rsidRDefault="00F25313" w:rsidP="00B30F5A">
            <w:pPr>
              <w:spacing w:before="120" w:after="120"/>
              <w:jc w:val="center"/>
              <w:rPr>
                <w:rFonts w:cs="Times New Roman"/>
                <w:color w:val="000000" w:themeColor="text1"/>
                <w:sz w:val="22"/>
                <w:szCs w:val="22"/>
                <w:highlight w:val="green"/>
              </w:rPr>
            </w:pPr>
            <w:r w:rsidRPr="00442C8E">
              <w:rPr>
                <w:rFonts w:cs="Times New Roman"/>
                <w:color w:val="000000" w:themeColor="text1"/>
                <w:sz w:val="22"/>
                <w:szCs w:val="22"/>
                <w:highlight w:val="green"/>
              </w:rPr>
              <w:t>CX%</w:t>
            </w:r>
          </w:p>
          <w:p w14:paraId="04381C01" w14:textId="77777777" w:rsidR="00F25313" w:rsidRPr="00442C8E" w:rsidRDefault="00F25313" w:rsidP="00B30F5A">
            <w:pPr>
              <w:spacing w:before="120" w:after="120"/>
              <w:jc w:val="center"/>
              <w:rPr>
                <w:rFonts w:cs="Times New Roman"/>
                <w:color w:val="000000" w:themeColor="text1"/>
                <w:sz w:val="22"/>
                <w:szCs w:val="22"/>
                <w:highlight w:val="green"/>
              </w:rPr>
            </w:pPr>
            <w:r w:rsidRPr="00442C8E">
              <w:rPr>
                <w:rFonts w:cs="Times New Roman"/>
                <w:color w:val="000000" w:themeColor="text1"/>
                <w:sz w:val="22"/>
                <w:szCs w:val="22"/>
                <w:highlight w:val="green"/>
              </w:rPr>
              <w:t>[IOU to Designate]</w:t>
            </w:r>
          </w:p>
        </w:tc>
        <w:tc>
          <w:tcPr>
            <w:tcW w:w="2232" w:type="dxa"/>
            <w:tcBorders>
              <w:top w:val="single" w:sz="6" w:space="0" w:color="auto"/>
              <w:left w:val="single" w:sz="18" w:space="0" w:color="auto"/>
              <w:bottom w:val="single" w:sz="6" w:space="0" w:color="auto"/>
              <w:right w:val="single" w:sz="18" w:space="0" w:color="auto"/>
            </w:tcBorders>
            <w:vAlign w:val="center"/>
          </w:tcPr>
          <w:p w14:paraId="7796FA26"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$CX </w:t>
            </w:r>
          </w:p>
          <w:p w14:paraId="76076EF3"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[$C x CX%]</w:t>
            </w:r>
          </w:p>
        </w:tc>
      </w:tr>
      <w:tr w:rsidR="00F25313" w:rsidRPr="007A3C22" w14:paraId="589C9903" w14:textId="77777777" w:rsidTr="00B30F5A">
        <w:trPr>
          <w:trHeight w:val="1008"/>
        </w:trPr>
        <w:tc>
          <w:tcPr>
            <w:tcW w:w="1080" w:type="dxa"/>
            <w:shd w:val="clear" w:color="auto" w:fill="auto"/>
            <w:vAlign w:val="center"/>
          </w:tcPr>
          <w:p w14:paraId="0A6A30FD"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Meter-Based Savings</w:t>
            </w:r>
          </w:p>
          <w:p w14:paraId="26E60A51"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(D)</w:t>
            </w:r>
          </w:p>
        </w:tc>
        <w:tc>
          <w:tcPr>
            <w:tcW w:w="2610" w:type="dxa"/>
            <w:tcBorders>
              <w:right w:val="single" w:sz="18" w:space="0" w:color="auto"/>
            </w:tcBorders>
            <w:vAlign w:val="center"/>
          </w:tcPr>
          <w:p w14:paraId="622685F0" w14:textId="77777777" w:rsidR="00F25313" w:rsidRPr="00442C8E" w:rsidRDefault="00F25313" w:rsidP="00B30F5A">
            <w:pPr>
              <w:spacing w:before="120" w:after="120"/>
              <w:rPr>
                <w:rFonts w:cs="Times New Roman"/>
                <w:sz w:val="22"/>
                <w:szCs w:val="22"/>
              </w:rPr>
            </w:pPr>
            <w:r w:rsidRPr="00442C8E">
              <w:rPr>
                <w:rFonts w:cs="Times New Roman"/>
                <w:sz w:val="22"/>
                <w:szCs w:val="22"/>
              </w:rPr>
              <w:t xml:space="preserve">Payments to Implementers are tied to post installation measurement and verification of delivered energy savings at pre-determined measurement intervals. May include true-up provisions, as applicable, along with </w:t>
            </w:r>
            <w:r w:rsidRPr="00442C8E">
              <w:rPr>
                <w:rFonts w:cs="Times New Roman"/>
                <w:sz w:val="22"/>
                <w:szCs w:val="22"/>
              </w:rPr>
              <w:lastRenderedPageBreak/>
              <w:t>performance security to be posted by the Implementer.</w:t>
            </w:r>
          </w:p>
        </w:tc>
        <w:tc>
          <w:tcPr>
            <w:tcW w:w="2070" w:type="dxa"/>
            <w:tcBorders>
              <w:top w:val="single" w:sz="6" w:space="0" w:color="auto"/>
              <w:left w:val="single" w:sz="18" w:space="0" w:color="auto"/>
              <w:right w:val="single" w:sz="18" w:space="0" w:color="auto"/>
            </w:tcBorders>
            <w:shd w:val="clear" w:color="auto" w:fill="auto"/>
            <w:vAlign w:val="center"/>
          </w:tcPr>
          <w:p w14:paraId="7AED3115" w14:textId="77777777" w:rsidR="00F25313" w:rsidRPr="00442C8E" w:rsidRDefault="00F25313" w:rsidP="00B30F5A">
            <w:pPr>
              <w:spacing w:before="120" w:after="120"/>
              <w:jc w:val="center"/>
              <w:rPr>
                <w:rFonts w:cs="Times New Roman"/>
                <w:color w:val="000000" w:themeColor="text1"/>
                <w:sz w:val="22"/>
                <w:szCs w:val="22"/>
                <w:highlight w:val="yellow"/>
              </w:rPr>
            </w:pPr>
            <w:r w:rsidRPr="00442C8E">
              <w:rPr>
                <w:rFonts w:cs="Times New Roman"/>
                <w:color w:val="000000" w:themeColor="text1"/>
                <w:sz w:val="22"/>
                <w:szCs w:val="22"/>
                <w:highlight w:val="yellow"/>
              </w:rPr>
              <w:lastRenderedPageBreak/>
              <w:t>D%</w:t>
            </w:r>
          </w:p>
          <w:p w14:paraId="7880FE38"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highlight w:val="yellow"/>
              </w:rPr>
              <w:t>[Implementer to Designate]</w:t>
            </w:r>
          </w:p>
        </w:tc>
        <w:tc>
          <w:tcPr>
            <w:tcW w:w="1800" w:type="dxa"/>
            <w:tcBorders>
              <w:top w:val="single" w:sz="6" w:space="0" w:color="auto"/>
              <w:left w:val="single" w:sz="18" w:space="0" w:color="auto"/>
              <w:right w:val="single" w:sz="18" w:space="0" w:color="auto"/>
            </w:tcBorders>
            <w:vAlign w:val="center"/>
          </w:tcPr>
          <w:p w14:paraId="07A59379"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$D </w:t>
            </w:r>
          </w:p>
          <w:p w14:paraId="7617366F"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[Total Contract Value x D%]</w:t>
            </w:r>
          </w:p>
        </w:tc>
        <w:tc>
          <w:tcPr>
            <w:tcW w:w="1440" w:type="dxa"/>
            <w:tcBorders>
              <w:left w:val="single" w:sz="18" w:space="0" w:color="auto"/>
              <w:right w:val="single" w:sz="18" w:space="0" w:color="auto"/>
            </w:tcBorders>
            <w:vAlign w:val="center"/>
          </w:tcPr>
          <w:p w14:paraId="73904A57" w14:textId="77777777" w:rsidR="00F25313" w:rsidRPr="00442C8E" w:rsidRDefault="00F25313" w:rsidP="00B30F5A">
            <w:pPr>
              <w:spacing w:before="120" w:after="120"/>
              <w:jc w:val="center"/>
              <w:rPr>
                <w:rFonts w:cs="Times New Roman"/>
                <w:color w:val="000000" w:themeColor="text1"/>
                <w:sz w:val="22"/>
                <w:szCs w:val="22"/>
                <w:highlight w:val="green"/>
              </w:rPr>
            </w:pPr>
            <w:r w:rsidRPr="00442C8E">
              <w:rPr>
                <w:rFonts w:cs="Times New Roman"/>
                <w:color w:val="000000" w:themeColor="text1"/>
                <w:sz w:val="22"/>
                <w:szCs w:val="22"/>
                <w:highlight w:val="green"/>
              </w:rPr>
              <w:t>DX%</w:t>
            </w:r>
          </w:p>
          <w:p w14:paraId="0180DBED"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highlight w:val="green"/>
              </w:rPr>
              <w:t>[IOU to Designate]</w:t>
            </w:r>
          </w:p>
        </w:tc>
        <w:tc>
          <w:tcPr>
            <w:tcW w:w="2232" w:type="dxa"/>
            <w:tcBorders>
              <w:top w:val="single" w:sz="6" w:space="0" w:color="auto"/>
              <w:left w:val="single" w:sz="18" w:space="0" w:color="auto"/>
              <w:bottom w:val="single" w:sz="6" w:space="0" w:color="auto"/>
              <w:right w:val="single" w:sz="18" w:space="0" w:color="auto"/>
            </w:tcBorders>
            <w:vAlign w:val="center"/>
          </w:tcPr>
          <w:p w14:paraId="4781D15D"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 xml:space="preserve">$DX </w:t>
            </w:r>
          </w:p>
          <w:p w14:paraId="5A49B473" w14:textId="77777777" w:rsidR="00F25313" w:rsidRPr="00442C8E" w:rsidRDefault="00F25313" w:rsidP="00B30F5A">
            <w:pPr>
              <w:spacing w:before="120" w:after="120"/>
              <w:jc w:val="center"/>
              <w:rPr>
                <w:rFonts w:cs="Times New Roman"/>
                <w:sz w:val="22"/>
                <w:szCs w:val="22"/>
              </w:rPr>
            </w:pPr>
            <w:r w:rsidRPr="00442C8E">
              <w:rPr>
                <w:rFonts w:cs="Times New Roman"/>
                <w:color w:val="000000" w:themeColor="text1"/>
                <w:sz w:val="22"/>
                <w:szCs w:val="22"/>
              </w:rPr>
              <w:t>= [$D x DX%]</w:t>
            </w:r>
          </w:p>
        </w:tc>
      </w:tr>
      <w:tr w:rsidR="00F25313" w:rsidRPr="007A3C22" w14:paraId="5FF5F025" w14:textId="77777777" w:rsidTr="00B30F5A">
        <w:trPr>
          <w:trHeight w:val="20"/>
        </w:trPr>
        <w:tc>
          <w:tcPr>
            <w:tcW w:w="1080" w:type="dxa"/>
            <w:shd w:val="clear" w:color="auto" w:fill="BFBFBF" w:themeFill="background1" w:themeFillShade="BF"/>
            <w:vAlign w:val="center"/>
          </w:tcPr>
          <w:p w14:paraId="0AA6DDE3" w14:textId="77777777" w:rsidR="00F25313" w:rsidRPr="00442C8E" w:rsidRDefault="00F25313" w:rsidP="00B30F5A">
            <w:pPr>
              <w:spacing w:before="120" w:after="120"/>
              <w:jc w:val="center"/>
              <w:rPr>
                <w:rFonts w:cs="Times New Roman"/>
                <w:sz w:val="22"/>
                <w:szCs w:val="22"/>
              </w:rPr>
            </w:pPr>
          </w:p>
        </w:tc>
        <w:tc>
          <w:tcPr>
            <w:tcW w:w="2610" w:type="dxa"/>
            <w:tcBorders>
              <w:right w:val="single" w:sz="18" w:space="0" w:color="auto"/>
            </w:tcBorders>
            <w:shd w:val="clear" w:color="auto" w:fill="BFBFBF" w:themeFill="background1" w:themeFillShade="BF"/>
            <w:vAlign w:val="center"/>
          </w:tcPr>
          <w:p w14:paraId="3E9B001E" w14:textId="77777777" w:rsidR="00F25313" w:rsidRPr="00442C8E" w:rsidRDefault="00F25313" w:rsidP="00B30F5A">
            <w:pPr>
              <w:spacing w:before="120" w:after="120"/>
              <w:jc w:val="right"/>
              <w:rPr>
                <w:rFonts w:cs="Times New Roman"/>
                <w:sz w:val="22"/>
                <w:szCs w:val="22"/>
              </w:rPr>
            </w:pPr>
          </w:p>
        </w:tc>
        <w:tc>
          <w:tcPr>
            <w:tcW w:w="2070"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14:paraId="5B6050A5" w14:textId="77777777" w:rsidR="00F25313" w:rsidRPr="00442C8E" w:rsidRDefault="00F25313" w:rsidP="00B30F5A">
            <w:pPr>
              <w:spacing w:before="120" w:after="120"/>
              <w:jc w:val="center"/>
              <w:rPr>
                <w:rFonts w:cs="Times New Roman"/>
                <w:sz w:val="22"/>
                <w:szCs w:val="22"/>
              </w:rPr>
            </w:pPr>
            <w:r w:rsidRPr="00442C8E">
              <w:rPr>
                <w:rFonts w:cs="Times New Roman"/>
                <w:b/>
                <w:sz w:val="22"/>
                <w:szCs w:val="22"/>
              </w:rPr>
              <w:t>(A%+B%+C%+D%)=100</w:t>
            </w:r>
          </w:p>
        </w:tc>
        <w:tc>
          <w:tcPr>
            <w:tcW w:w="1800"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14:paraId="1902AA4D" w14:textId="77777777" w:rsidR="00F25313" w:rsidRPr="00442C8E" w:rsidRDefault="00F25313" w:rsidP="00B30F5A">
            <w:pPr>
              <w:spacing w:before="120" w:after="120"/>
              <w:jc w:val="center"/>
              <w:rPr>
                <w:rFonts w:cs="Times New Roman"/>
                <w:b/>
                <w:sz w:val="22"/>
                <w:szCs w:val="22"/>
              </w:rPr>
            </w:pPr>
            <w:r w:rsidRPr="00442C8E">
              <w:rPr>
                <w:rFonts w:cs="Times New Roman"/>
                <w:b/>
                <w:sz w:val="22"/>
                <w:szCs w:val="22"/>
              </w:rPr>
              <w:t>SUM($A+$B+$C+$D)</w:t>
            </w:r>
          </w:p>
        </w:tc>
        <w:tc>
          <w:tcPr>
            <w:tcW w:w="1440" w:type="dxa"/>
            <w:tcBorders>
              <w:left w:val="single" w:sz="18" w:space="0" w:color="auto"/>
              <w:right w:val="single" w:sz="18" w:space="0" w:color="auto"/>
            </w:tcBorders>
            <w:shd w:val="clear" w:color="auto" w:fill="BFBFBF" w:themeFill="background1" w:themeFillShade="BF"/>
            <w:vAlign w:val="center"/>
          </w:tcPr>
          <w:p w14:paraId="164C1614" w14:textId="77777777" w:rsidR="00F25313" w:rsidRPr="00442C8E" w:rsidRDefault="00F25313" w:rsidP="00B30F5A">
            <w:pPr>
              <w:spacing w:before="120" w:after="120"/>
              <w:jc w:val="center"/>
              <w:rPr>
                <w:rFonts w:cs="Times New Roman"/>
                <w:b/>
                <w:color w:val="000000" w:themeColor="text1"/>
                <w:sz w:val="22"/>
                <w:szCs w:val="22"/>
              </w:rPr>
            </w:pPr>
          </w:p>
        </w:tc>
        <w:tc>
          <w:tcPr>
            <w:tcW w:w="2232"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14:paraId="7FF7C964" w14:textId="77777777" w:rsidR="00F25313" w:rsidRPr="00442C8E" w:rsidRDefault="00F25313" w:rsidP="00B30F5A">
            <w:pPr>
              <w:spacing w:before="120" w:after="120"/>
              <w:jc w:val="center"/>
              <w:rPr>
                <w:rFonts w:cs="Times New Roman"/>
                <w:sz w:val="22"/>
                <w:szCs w:val="22"/>
              </w:rPr>
            </w:pPr>
          </w:p>
        </w:tc>
      </w:tr>
      <w:tr w:rsidR="00F25313" w:rsidRPr="007A3C22" w14:paraId="27990D01" w14:textId="77777777" w:rsidTr="00B30F5A">
        <w:trPr>
          <w:trHeight w:val="20"/>
        </w:trPr>
        <w:tc>
          <w:tcPr>
            <w:tcW w:w="1080" w:type="dxa"/>
            <w:tcBorders>
              <w:left w:val="nil"/>
              <w:bottom w:val="nil"/>
              <w:right w:val="nil"/>
            </w:tcBorders>
            <w:shd w:val="clear" w:color="auto" w:fill="auto"/>
            <w:vAlign w:val="center"/>
          </w:tcPr>
          <w:p w14:paraId="790AAE27" w14:textId="77777777" w:rsidR="00F25313" w:rsidRPr="00442C8E" w:rsidRDefault="00F25313" w:rsidP="00B30F5A">
            <w:pPr>
              <w:spacing w:before="120" w:after="120"/>
              <w:jc w:val="center"/>
              <w:rPr>
                <w:rFonts w:cs="Times New Roman"/>
                <w:sz w:val="22"/>
                <w:szCs w:val="22"/>
              </w:rPr>
            </w:pPr>
          </w:p>
        </w:tc>
        <w:tc>
          <w:tcPr>
            <w:tcW w:w="2610" w:type="dxa"/>
            <w:tcBorders>
              <w:left w:val="nil"/>
              <w:bottom w:val="nil"/>
              <w:right w:val="nil"/>
            </w:tcBorders>
            <w:shd w:val="clear" w:color="auto" w:fill="auto"/>
            <w:vAlign w:val="center"/>
          </w:tcPr>
          <w:p w14:paraId="29C811E5" w14:textId="77777777" w:rsidR="00F25313" w:rsidRPr="00442C8E" w:rsidRDefault="00F25313" w:rsidP="00B30F5A">
            <w:pPr>
              <w:spacing w:before="120" w:after="120"/>
              <w:jc w:val="right"/>
              <w:rPr>
                <w:rFonts w:cs="Times New Roman"/>
                <w:sz w:val="22"/>
                <w:szCs w:val="22"/>
              </w:rPr>
            </w:pPr>
          </w:p>
        </w:tc>
        <w:tc>
          <w:tcPr>
            <w:tcW w:w="2070" w:type="dxa"/>
            <w:tcBorders>
              <w:top w:val="single" w:sz="18" w:space="0" w:color="auto"/>
              <w:left w:val="nil"/>
              <w:bottom w:val="nil"/>
              <w:right w:val="nil"/>
            </w:tcBorders>
            <w:shd w:val="clear" w:color="auto" w:fill="auto"/>
            <w:vAlign w:val="center"/>
          </w:tcPr>
          <w:p w14:paraId="7B633E40" w14:textId="77777777" w:rsidR="00F25313" w:rsidRPr="00442C8E" w:rsidRDefault="00F25313" w:rsidP="00B30F5A">
            <w:pPr>
              <w:spacing w:before="120" w:after="120"/>
              <w:jc w:val="center"/>
              <w:rPr>
                <w:rFonts w:cs="Times New Roman"/>
                <w:b/>
                <w:sz w:val="22"/>
                <w:szCs w:val="22"/>
              </w:rPr>
            </w:pPr>
          </w:p>
        </w:tc>
        <w:tc>
          <w:tcPr>
            <w:tcW w:w="1800" w:type="dxa"/>
            <w:tcBorders>
              <w:top w:val="single" w:sz="18" w:space="0" w:color="auto"/>
              <w:left w:val="nil"/>
              <w:bottom w:val="nil"/>
              <w:right w:val="single" w:sz="4" w:space="0" w:color="auto"/>
            </w:tcBorders>
            <w:shd w:val="clear" w:color="auto" w:fill="auto"/>
            <w:vAlign w:val="center"/>
          </w:tcPr>
          <w:p w14:paraId="29582911" w14:textId="77777777" w:rsidR="00F25313" w:rsidRPr="00442C8E" w:rsidRDefault="00F25313" w:rsidP="00B30F5A">
            <w:pPr>
              <w:spacing w:before="120" w:after="120"/>
              <w:jc w:val="center"/>
              <w:rPr>
                <w:rFonts w:cs="Times New Roman"/>
                <w:b/>
                <w:sz w:val="22"/>
                <w:szCs w:val="22"/>
              </w:rPr>
            </w:pPr>
          </w:p>
        </w:tc>
        <w:tc>
          <w:tcPr>
            <w:tcW w:w="1440" w:type="dxa"/>
            <w:tcBorders>
              <w:left w:val="single" w:sz="4" w:space="0" w:color="auto"/>
              <w:bottom w:val="single" w:sz="4" w:space="0" w:color="auto"/>
              <w:right w:val="single" w:sz="18" w:space="0" w:color="auto"/>
            </w:tcBorders>
            <w:shd w:val="clear" w:color="auto" w:fill="auto"/>
            <w:vAlign w:val="center"/>
          </w:tcPr>
          <w:p w14:paraId="362C48EB" w14:textId="77777777" w:rsidR="00F25313" w:rsidRPr="00442C8E" w:rsidRDefault="00F25313" w:rsidP="00B30F5A">
            <w:pPr>
              <w:spacing w:before="120" w:after="120"/>
              <w:jc w:val="center"/>
              <w:rPr>
                <w:rFonts w:cs="Times New Roman"/>
                <w:color w:val="000000" w:themeColor="text1"/>
                <w:sz w:val="22"/>
                <w:szCs w:val="22"/>
              </w:rPr>
            </w:pPr>
            <w:r w:rsidRPr="00442C8E">
              <w:rPr>
                <w:rFonts w:cs="Times New Roman"/>
                <w:color w:val="000000" w:themeColor="text1"/>
                <w:sz w:val="22"/>
                <w:szCs w:val="22"/>
              </w:rPr>
              <w:t>Performance Security Deposit</w:t>
            </w:r>
          </w:p>
          <w:p w14:paraId="5BF62DBF" w14:textId="77777777" w:rsidR="00F25313" w:rsidRPr="00442C8E" w:rsidRDefault="00F25313" w:rsidP="00B30F5A">
            <w:pPr>
              <w:spacing w:before="120" w:after="120"/>
              <w:jc w:val="center"/>
              <w:rPr>
                <w:rFonts w:cs="Times New Roman"/>
                <w:b/>
                <w:color w:val="000000" w:themeColor="text1"/>
                <w:sz w:val="22"/>
                <w:szCs w:val="22"/>
              </w:rPr>
            </w:pPr>
            <w:r w:rsidRPr="00442C8E">
              <w:rPr>
                <w:rFonts w:cs="Times New Roman"/>
                <w:color w:val="000000" w:themeColor="text1"/>
                <w:sz w:val="22"/>
                <w:szCs w:val="22"/>
              </w:rPr>
              <w:t>(E)</w:t>
            </w:r>
          </w:p>
        </w:tc>
        <w:tc>
          <w:tcPr>
            <w:tcW w:w="2232" w:type="dxa"/>
            <w:tcBorders>
              <w:top w:val="single" w:sz="6" w:space="0" w:color="auto"/>
              <w:left w:val="single" w:sz="18" w:space="0" w:color="auto"/>
              <w:bottom w:val="single" w:sz="18" w:space="0" w:color="auto"/>
              <w:right w:val="single" w:sz="18" w:space="0" w:color="auto"/>
            </w:tcBorders>
            <w:shd w:val="clear" w:color="auto" w:fill="auto"/>
            <w:vAlign w:val="center"/>
          </w:tcPr>
          <w:p w14:paraId="0E45D214" w14:textId="77777777" w:rsidR="00F25313" w:rsidRPr="00442C8E" w:rsidRDefault="00F25313" w:rsidP="00B30F5A">
            <w:pPr>
              <w:spacing w:before="120" w:after="120"/>
              <w:jc w:val="center"/>
              <w:rPr>
                <w:rFonts w:cs="Times New Roman"/>
                <w:sz w:val="22"/>
                <w:szCs w:val="22"/>
              </w:rPr>
            </w:pPr>
            <w:r w:rsidRPr="00442C8E">
              <w:rPr>
                <w:rFonts w:cs="Times New Roman"/>
                <w:b/>
                <w:sz w:val="22"/>
                <w:szCs w:val="22"/>
              </w:rPr>
              <w:t>SUM($AX+$BX+$CX+$DX)</w:t>
            </w:r>
          </w:p>
        </w:tc>
      </w:tr>
    </w:tbl>
    <w:p w14:paraId="36C82C99" w14:textId="77777777" w:rsidR="00F25313" w:rsidRPr="00442C8E" w:rsidRDefault="00F25313" w:rsidP="00442C8E">
      <w:pPr>
        <w:numPr>
          <w:ilvl w:val="0"/>
          <w:numId w:val="14"/>
        </w:numPr>
        <w:spacing w:after="0" w:line="276" w:lineRule="auto"/>
        <w:contextualSpacing/>
        <w:jc w:val="both"/>
        <w:rPr>
          <w:rFonts w:cs="Times New Roman"/>
          <w:sz w:val="22"/>
          <w:szCs w:val="22"/>
        </w:rPr>
      </w:pPr>
    </w:p>
    <w:p w14:paraId="33143527" w14:textId="77777777" w:rsidR="00442C8E" w:rsidRPr="00442C8E" w:rsidRDefault="00442C8E" w:rsidP="00442C8E">
      <w:pPr>
        <w:spacing w:after="200"/>
        <w:rPr>
          <w:rFonts w:asciiTheme="minorHAnsi" w:hAnsiTheme="minorHAnsi"/>
          <w:b/>
          <w:sz w:val="22"/>
          <w:szCs w:val="22"/>
        </w:rPr>
      </w:pPr>
    </w:p>
    <w:p w14:paraId="6CE0A3B6" w14:textId="77777777" w:rsidR="005E0DD8" w:rsidRDefault="005E0DD8" w:rsidP="00442C8E">
      <w:pPr>
        <w:jc w:val="both"/>
        <w:rPr>
          <w:b/>
          <w:sz w:val="48"/>
          <w:szCs w:val="48"/>
        </w:rPr>
        <w:sectPr w:rsidR="005E0DD8" w:rsidSect="00D76CCF">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pPr>
    </w:p>
    <w:p w14:paraId="4C441B99" w14:textId="3A173563" w:rsidR="00431D02" w:rsidRDefault="00AC4F90" w:rsidP="00431D02">
      <w:pPr>
        <w:jc w:val="center"/>
        <w:rPr>
          <w:b/>
          <w:sz w:val="48"/>
          <w:szCs w:val="48"/>
        </w:rPr>
        <w:sectPr w:rsidR="00431D02" w:rsidSect="00D76CCF">
          <w:pgSz w:w="12240" w:h="15840"/>
          <w:pgMar w:top="1440" w:right="1440" w:bottom="1440" w:left="1440" w:header="720" w:footer="720" w:gutter="0"/>
          <w:pgNumType w:start="1"/>
          <w:cols w:space="720"/>
          <w:docGrid w:linePitch="360"/>
        </w:sectPr>
      </w:pPr>
      <w:r>
        <w:rPr>
          <w:b/>
          <w:sz w:val="48"/>
          <w:szCs w:val="48"/>
        </w:rPr>
        <w:lastRenderedPageBreak/>
        <w:t xml:space="preserve">ATTACHMENT B </w:t>
      </w:r>
    </w:p>
    <w:p w14:paraId="070BEF5D" w14:textId="2443DE26" w:rsidR="007A3C22" w:rsidRPr="00442C8E" w:rsidRDefault="007A3C22" w:rsidP="007A3C22">
      <w:pPr>
        <w:contextualSpacing/>
        <w:jc w:val="center"/>
        <w:rPr>
          <w:rFonts w:eastAsiaTheme="majorEastAsia" w:cs="Times New Roman"/>
          <w:b/>
          <w:caps/>
          <w:spacing w:val="-10"/>
          <w:kern w:val="28"/>
          <w:szCs w:val="56"/>
        </w:rPr>
      </w:pPr>
      <w:r w:rsidRPr="00442C8E">
        <w:rPr>
          <w:rFonts w:eastAsiaTheme="majorEastAsia" w:cs="Times New Roman"/>
          <w:b/>
          <w:caps/>
          <w:spacing w:val="-10"/>
          <w:kern w:val="28"/>
          <w:szCs w:val="56"/>
        </w:rPr>
        <w:lastRenderedPageBreak/>
        <w:t>ATTACHMENT B</w:t>
      </w:r>
      <w:r w:rsidRPr="00442C8E">
        <w:rPr>
          <w:rFonts w:eastAsiaTheme="majorEastAsia" w:cs="Times New Roman"/>
          <w:b/>
          <w:caps/>
          <w:spacing w:val="-10"/>
          <w:kern w:val="28"/>
          <w:szCs w:val="56"/>
        </w:rPr>
        <w:br/>
        <w:t>mODIFIABLE cONTRACT tERMS</w:t>
      </w:r>
    </w:p>
    <w:p w14:paraId="5AAE2188" w14:textId="77777777" w:rsidR="007A3C22" w:rsidRPr="00442C8E" w:rsidRDefault="007A3C22" w:rsidP="007A3C22">
      <w:pPr>
        <w:contextualSpacing/>
        <w:jc w:val="center"/>
        <w:rPr>
          <w:rFonts w:eastAsiaTheme="majorEastAsia" w:cs="Times New Roman"/>
          <w:b/>
          <w:bCs/>
          <w:caps/>
          <w:spacing w:val="-10"/>
          <w:kern w:val="28"/>
          <w:szCs w:val="56"/>
        </w:rPr>
      </w:pPr>
    </w:p>
    <w:p w14:paraId="33BB502A" w14:textId="77777777" w:rsidR="007A3C22" w:rsidRPr="00442C8E" w:rsidRDefault="007A3C22" w:rsidP="007A3C22">
      <w:pPr>
        <w:numPr>
          <w:ilvl w:val="0"/>
          <w:numId w:val="29"/>
        </w:numPr>
        <w:spacing w:after="0" w:line="276" w:lineRule="auto"/>
        <w:rPr>
          <w:rFonts w:cs="Times New Roman"/>
          <w:b/>
          <w:bCs/>
          <w:sz w:val="22"/>
          <w:szCs w:val="22"/>
        </w:rPr>
      </w:pPr>
      <w:r w:rsidRPr="00442C8E">
        <w:rPr>
          <w:rFonts w:cs="Times New Roman"/>
          <w:b/>
          <w:bCs/>
          <w:sz w:val="22"/>
          <w:szCs w:val="22"/>
        </w:rPr>
        <w:t>Progress and Evaluation Metrics</w:t>
      </w:r>
    </w:p>
    <w:p w14:paraId="4A4AF039" w14:textId="77777777" w:rsidR="00944B0C" w:rsidRDefault="007A3C22" w:rsidP="00944B0C">
      <w:pPr>
        <w:numPr>
          <w:ilvl w:val="0"/>
          <w:numId w:val="24"/>
        </w:numPr>
        <w:spacing w:before="120" w:after="120" w:line="276" w:lineRule="auto"/>
        <w:ind w:left="810" w:hanging="450"/>
        <w:rPr>
          <w:rFonts w:cs="Times New Roman"/>
          <w:sz w:val="22"/>
          <w:szCs w:val="22"/>
        </w:rPr>
      </w:pPr>
      <w:r w:rsidRPr="00442C8E">
        <w:rPr>
          <w:rFonts w:cs="Times New Roman"/>
          <w:sz w:val="22"/>
          <w:szCs w:val="20"/>
          <w:u w:val="single"/>
        </w:rPr>
        <w:t>Final Implementation Plan.</w:t>
      </w:r>
    </w:p>
    <w:p w14:paraId="5F4EC124" w14:textId="5AD2210E" w:rsidR="007A3C22" w:rsidRPr="00944B0C" w:rsidRDefault="007A3C22" w:rsidP="00944B0C">
      <w:pPr>
        <w:spacing w:before="120" w:after="120" w:line="276" w:lineRule="auto"/>
        <w:ind w:left="720"/>
        <w:rPr>
          <w:rFonts w:cs="Times New Roman"/>
          <w:sz w:val="22"/>
          <w:szCs w:val="22"/>
        </w:rPr>
      </w:pPr>
      <w:r w:rsidRPr="00944B0C">
        <w:rPr>
          <w:rFonts w:cs="Times New Roman"/>
          <w:sz w:val="22"/>
          <w:szCs w:val="22"/>
        </w:rPr>
        <w:t xml:space="preserve">The Parties shall finalize a Final Implementation Plan in accordance with the Draft Implementation Plan. The Final Implementation Plan will be posted to the relevant CPUC website by Company no later than sixty (60) days following the Effective Date of this Agreement.  The Final Implementation Plan shall be consistent with the terms and conditions of the Agreement.  </w:t>
      </w:r>
      <w:r w:rsidRPr="00944B0C">
        <w:rPr>
          <w:rFonts w:cs="Times New Roman"/>
          <w:i/>
          <w:color w:val="0000FF"/>
          <w:sz w:val="22"/>
          <w:szCs w:val="22"/>
        </w:rPr>
        <w:t>{Comment: Term is subject to modification by Company and may be negotiated by Company and Bidder}</w:t>
      </w:r>
    </w:p>
    <w:p w14:paraId="6B547983" w14:textId="77777777" w:rsidR="007A3C22" w:rsidRPr="00442C8E" w:rsidRDefault="007A3C22" w:rsidP="00944B0C">
      <w:pPr>
        <w:numPr>
          <w:ilvl w:val="1"/>
          <w:numId w:val="0"/>
        </w:numPr>
        <w:spacing w:before="120" w:after="120"/>
        <w:ind w:left="720"/>
        <w:rPr>
          <w:rFonts w:cs="Times New Roman"/>
          <w:sz w:val="22"/>
          <w:szCs w:val="22"/>
        </w:rPr>
      </w:pPr>
      <w:r w:rsidRPr="00442C8E">
        <w:rPr>
          <w:rFonts w:cs="Times New Roman"/>
          <w:sz w:val="22"/>
          <w:szCs w:val="22"/>
        </w:rPr>
        <w:t xml:space="preserve">Implementer shall not be permitted to, nor shall Implementer permit or allow an Implementer Party to, commence the Services prior to both Parties’ approval to the Final Implementation Plan. Company shall not be obligated to make any payment to Implementer under this Agreement prior to approval of the Final Implementation Plan. </w:t>
      </w:r>
      <w:r w:rsidRPr="00442C8E">
        <w:rPr>
          <w:rFonts w:cs="Times New Roman"/>
          <w:i/>
          <w:color w:val="0000FF"/>
          <w:sz w:val="22"/>
          <w:szCs w:val="22"/>
        </w:rPr>
        <w:t>{Comment: Term is subject to modification by Company and may be negotiated by Company and Bidder}</w:t>
      </w:r>
    </w:p>
    <w:p w14:paraId="22C684F6" w14:textId="77777777" w:rsidR="007A3C22" w:rsidRPr="00442C8E" w:rsidRDefault="007A3C22" w:rsidP="007A3C22">
      <w:pPr>
        <w:numPr>
          <w:ilvl w:val="0"/>
          <w:numId w:val="24"/>
        </w:numPr>
        <w:spacing w:before="120" w:after="120" w:line="276" w:lineRule="auto"/>
        <w:ind w:left="720"/>
        <w:rPr>
          <w:rFonts w:cs="Times New Roman"/>
          <w:sz w:val="22"/>
          <w:szCs w:val="22"/>
        </w:rPr>
      </w:pPr>
      <w:r w:rsidRPr="00442C8E">
        <w:rPr>
          <w:rFonts w:cs="Times New Roman"/>
          <w:sz w:val="22"/>
          <w:szCs w:val="22"/>
          <w:u w:val="single"/>
        </w:rPr>
        <w:t>Key Performance Indicators.</w:t>
      </w:r>
    </w:p>
    <w:p w14:paraId="34E79A46" w14:textId="77777777" w:rsidR="007A3C22" w:rsidRPr="00442C8E" w:rsidRDefault="007A3C22" w:rsidP="00944B0C">
      <w:pPr>
        <w:numPr>
          <w:ilvl w:val="1"/>
          <w:numId w:val="0"/>
        </w:numPr>
        <w:spacing w:after="0"/>
        <w:ind w:left="720"/>
        <w:rPr>
          <w:rFonts w:cs="Times New Roman"/>
          <w:sz w:val="22"/>
          <w:szCs w:val="22"/>
        </w:rPr>
      </w:pPr>
      <w:r w:rsidRPr="00442C8E">
        <w:rPr>
          <w:rFonts w:cs="Times New Roman"/>
          <w:sz w:val="22"/>
          <w:szCs w:val="22"/>
        </w:rPr>
        <w:t>Implementer shall use commercially reasonable efforts to meet the Key Performance Indicators ("KPIs”)</w:t>
      </w:r>
      <w:r w:rsidRPr="00442C8E">
        <w:rPr>
          <w:rFonts w:cs="Times New Roman"/>
          <w:sz w:val="22"/>
          <w:szCs w:val="22"/>
          <w:vertAlign w:val="superscript"/>
        </w:rPr>
        <w:t xml:space="preserve"> </w:t>
      </w:r>
      <w:r w:rsidRPr="00442C8E">
        <w:rPr>
          <w:rFonts w:cs="Times New Roman"/>
          <w:sz w:val="22"/>
          <w:szCs w:val="22"/>
          <w:vertAlign w:val="superscript"/>
        </w:rPr>
        <w:footnoteReference w:id="5"/>
      </w:r>
      <w:r w:rsidRPr="00442C8E">
        <w:rPr>
          <w:rFonts w:cs="Times New Roman"/>
          <w:sz w:val="22"/>
          <w:szCs w:val="22"/>
        </w:rPr>
        <w:t xml:space="preserve"> for the Program attached hereto as Schedule</w:t>
      </w:r>
      <w:r w:rsidRPr="00442C8E">
        <w:rPr>
          <w:rFonts w:cs="Times New Roman"/>
          <w:i/>
          <w:color w:val="0000FF"/>
          <w:sz w:val="22"/>
          <w:szCs w:val="20"/>
        </w:rPr>
        <w:t xml:space="preserve"> </w:t>
      </w:r>
      <w:r w:rsidRPr="00442C8E">
        <w:rPr>
          <w:rFonts w:cs="Times New Roman"/>
          <w:i/>
          <w:color w:val="0000FF"/>
          <w:sz w:val="22"/>
          <w:szCs w:val="22"/>
        </w:rPr>
        <w:t>[Comment: Schedule to be inserted based on the Proposal and negotiations between Implementer and Company]</w:t>
      </w:r>
      <w:r w:rsidRPr="00442C8E">
        <w:rPr>
          <w:rFonts w:cs="Times New Roman"/>
          <w:sz w:val="22"/>
          <w:szCs w:val="22"/>
        </w:rPr>
        <w:t xml:space="preserve">.  Implementer shall provide to Company all documentation and accurate data needed to demonstrate compliance with each KPI and to calculate satisfaction of each KPI, at the frequency stipulated in the Final Implementation Plan or as reasonably requested by Company. Company shall review Implementer’s performance in achieving each KPI once per calendar quarter or as otherwise deemed necessary by Company in its sole discretion.  If Company determines, in its sole discretion, that Implementer does not meet one or more of its KPIs, then, in addition to and without limiting any and all remedies available to Company as provided in this Agreement, Implementer shall provide Company with an action plan detailing the reasons why the KPI(s) were not achieved and the steps (and timeline for those steps) Implementer will take to remediate and achieve its KPI(s) in a timely manner.  </w:t>
      </w:r>
      <w:r w:rsidRPr="00442C8E">
        <w:rPr>
          <w:rFonts w:cs="Times New Roman"/>
          <w:i/>
          <w:color w:val="0000FF"/>
          <w:sz w:val="22"/>
          <w:szCs w:val="22"/>
        </w:rPr>
        <w:t>{Comment: Term is subject to modification by Company and may be negotiated by Company and Implementer, and will include a remediation timeframe for each KPI based on specific KPIs and contract type}</w:t>
      </w:r>
    </w:p>
    <w:p w14:paraId="34163F28" w14:textId="77777777" w:rsidR="007A3C22" w:rsidRPr="00442C8E" w:rsidRDefault="007A3C22" w:rsidP="00944B0C">
      <w:pPr>
        <w:numPr>
          <w:ilvl w:val="1"/>
          <w:numId w:val="0"/>
        </w:numPr>
        <w:spacing w:before="120" w:after="120"/>
        <w:ind w:left="720"/>
        <w:rPr>
          <w:rFonts w:cs="Times New Roman"/>
          <w:sz w:val="22"/>
          <w:szCs w:val="22"/>
        </w:rPr>
      </w:pPr>
      <w:r w:rsidRPr="00442C8E">
        <w:rPr>
          <w:rFonts w:cs="Times New Roman"/>
          <w:sz w:val="22"/>
          <w:szCs w:val="22"/>
        </w:rPr>
        <w:t xml:space="preserve">[In its Proposal, Bidder will be required to include a table of KPIs, which will be the primary means by which Company will assess Program performance on an ongoing basis.  KPIs will be individually negotiated based on the specific Proposed Program features.  Table 1 outlines a set of foundational KPIs applicable to all programs of several major contract types. The KPIs are subject to modification by Company and will be negotiated by Company and Bidder.  Additional Implementer performance requirements to ensure KPIs are met may be negotiated between the Bidder and Company depending on the Program, including, but not limited to, true-up payments for not meeting savings KPIs or completing projects, right of Company to reduce or eliminate funding for program and payments, or in cases of material underperformance, right of Company to declare an event of default. </w:t>
      </w:r>
      <w:r w:rsidRPr="00442C8E">
        <w:rPr>
          <w:rFonts w:cs="Times New Roman"/>
          <w:i/>
          <w:color w:val="0000FF"/>
          <w:sz w:val="22"/>
          <w:szCs w:val="22"/>
        </w:rPr>
        <w:t>{Comment: modifiable RFP Instructions}</w:t>
      </w:r>
    </w:p>
    <w:p w14:paraId="54819F32" w14:textId="77777777" w:rsidR="007A3C22" w:rsidRPr="00442C8E" w:rsidRDefault="007A3C22" w:rsidP="00442C8E">
      <w:pPr>
        <w:keepNext/>
        <w:keepLines/>
        <w:spacing w:before="120" w:after="120" w:line="276" w:lineRule="auto"/>
        <w:outlineLvl w:val="1"/>
        <w:rPr>
          <w:rFonts w:eastAsiaTheme="majorEastAsia" w:cs="Times New Roman"/>
          <w:color w:val="365F91" w:themeColor="accent1" w:themeShade="BF"/>
          <w:sz w:val="22"/>
          <w:szCs w:val="22"/>
        </w:rPr>
      </w:pPr>
    </w:p>
    <w:p w14:paraId="0BC52DD0" w14:textId="77777777" w:rsidR="007A3C22" w:rsidRPr="00442C8E" w:rsidRDefault="007A3C22" w:rsidP="00442C8E">
      <w:pPr>
        <w:keepNext/>
        <w:keepLines/>
        <w:spacing w:before="120" w:after="120" w:line="276" w:lineRule="auto"/>
        <w:ind w:left="720"/>
        <w:outlineLvl w:val="2"/>
        <w:rPr>
          <w:rFonts w:eastAsiaTheme="majorEastAsia" w:cs="Times New Roman"/>
          <w:b/>
          <w:color w:val="243F60" w:themeColor="accent1" w:themeShade="7F"/>
          <w:sz w:val="22"/>
        </w:rPr>
      </w:pPr>
      <w:r w:rsidRPr="00442C8E">
        <w:rPr>
          <w:rFonts w:eastAsiaTheme="majorEastAsia" w:cs="Times New Roman"/>
          <w:b/>
          <w:color w:val="243F60" w:themeColor="accent1" w:themeShade="7F"/>
          <w:sz w:val="22"/>
          <w:szCs w:val="22"/>
        </w:rPr>
        <w:t xml:space="preserve">Schedule [TBD]: Key Performance Indicators </w:t>
      </w:r>
      <w:r w:rsidRPr="00442C8E">
        <w:rPr>
          <w:rFonts w:eastAsiaTheme="majorEastAsia" w:cs="Times New Roman"/>
          <w:i/>
          <w:color w:val="0000FF"/>
          <w:sz w:val="22"/>
          <w:szCs w:val="22"/>
        </w:rPr>
        <w:t>{Comment: Schedule to</w:t>
      </w:r>
      <w:r w:rsidRPr="00442C8E">
        <w:rPr>
          <w:rFonts w:eastAsiaTheme="majorEastAsia" w:cs="Times New Roman"/>
          <w:i/>
          <w:color w:val="0000FF"/>
          <w:sz w:val="22"/>
        </w:rPr>
        <w:t xml:space="preserve"> be </w:t>
      </w:r>
      <w:r w:rsidRPr="00442C8E">
        <w:rPr>
          <w:rFonts w:eastAsiaTheme="majorEastAsia" w:cs="Times New Roman"/>
          <w:i/>
          <w:color w:val="0000FF"/>
          <w:sz w:val="22"/>
          <w:szCs w:val="22"/>
        </w:rPr>
        <w:t>included in Bidder’s Proposal and included in the Agreement, subject to modification by Company and may be negotiated by Company and Bidder}</w:t>
      </w:r>
    </w:p>
    <w:p w14:paraId="624F5037" w14:textId="77777777" w:rsidR="007A3C22" w:rsidRPr="00442C8E" w:rsidRDefault="007A3C22" w:rsidP="00442C8E">
      <w:pPr>
        <w:keepNext/>
        <w:keepLines/>
        <w:spacing w:after="0" w:line="276" w:lineRule="auto"/>
        <w:ind w:left="720"/>
        <w:outlineLvl w:val="2"/>
        <w:rPr>
          <w:rFonts w:eastAsiaTheme="majorEastAsia" w:cs="Times New Roman"/>
          <w:b/>
          <w:color w:val="243F60" w:themeColor="accent1" w:themeShade="7F"/>
          <w:sz w:val="22"/>
        </w:rPr>
      </w:pPr>
      <w:r w:rsidRPr="00442C8E">
        <w:rPr>
          <w:rFonts w:eastAsiaTheme="majorEastAsia" w:cs="Times New Roman"/>
          <w:b/>
          <w:color w:val="243F60" w:themeColor="accent1" w:themeShade="7F"/>
          <w:sz w:val="22"/>
        </w:rPr>
        <w:t xml:space="preserve">Table 1: Examples of Foundational KPIs </w:t>
      </w:r>
    </w:p>
    <w:tbl>
      <w:tblPr>
        <w:tblStyle w:val="TableGrid1"/>
        <w:tblW w:w="0" w:type="auto"/>
        <w:tblInd w:w="828" w:type="dxa"/>
        <w:tblLook w:val="04A0" w:firstRow="1" w:lastRow="0" w:firstColumn="1" w:lastColumn="0" w:noHBand="0" w:noVBand="1"/>
      </w:tblPr>
      <w:tblGrid>
        <w:gridCol w:w="1752"/>
        <w:gridCol w:w="1755"/>
        <w:gridCol w:w="2234"/>
        <w:gridCol w:w="2781"/>
      </w:tblGrid>
      <w:tr w:rsidR="007A3C22" w:rsidRPr="00442C8E" w14:paraId="78E0E21C" w14:textId="77777777" w:rsidTr="007A3C22">
        <w:tc>
          <w:tcPr>
            <w:tcW w:w="0" w:type="auto"/>
            <w:gridSpan w:val="2"/>
            <w:shd w:val="clear" w:color="auto" w:fill="000000" w:themeFill="text1"/>
            <w:vAlign w:val="center"/>
          </w:tcPr>
          <w:p w14:paraId="17C52D84" w14:textId="4923B25E" w:rsidR="007A3C22" w:rsidRPr="00442C8E" w:rsidRDefault="007A3C22" w:rsidP="007A3C22">
            <w:pPr>
              <w:spacing w:before="120" w:after="120"/>
              <w:jc w:val="center"/>
              <w:rPr>
                <w:rFonts w:ascii="Times New Roman" w:hAnsi="Times New Roman" w:cs="Times New Roman"/>
                <w:b/>
              </w:rPr>
            </w:pPr>
            <w:r w:rsidRPr="00442C8E">
              <w:rPr>
                <w:rFonts w:ascii="Times New Roman" w:hAnsi="Times New Roman" w:cs="Times New Roman"/>
                <w:b/>
              </w:rPr>
              <w:t>Category / Program Type</w:t>
            </w:r>
          </w:p>
        </w:tc>
        <w:tc>
          <w:tcPr>
            <w:tcW w:w="0" w:type="auto"/>
            <w:shd w:val="clear" w:color="auto" w:fill="000000" w:themeFill="text1"/>
            <w:vAlign w:val="center"/>
          </w:tcPr>
          <w:p w14:paraId="026FEB23" w14:textId="77777777" w:rsidR="007A3C22" w:rsidRPr="00442C8E" w:rsidRDefault="007A3C22" w:rsidP="007A3C22">
            <w:pPr>
              <w:spacing w:before="120" w:after="120"/>
              <w:jc w:val="center"/>
              <w:rPr>
                <w:rFonts w:ascii="Times New Roman" w:hAnsi="Times New Roman" w:cs="Times New Roman"/>
                <w:b/>
              </w:rPr>
            </w:pPr>
            <w:r w:rsidRPr="00442C8E">
              <w:rPr>
                <w:rFonts w:ascii="Times New Roman" w:hAnsi="Times New Roman" w:cs="Times New Roman"/>
                <w:b/>
              </w:rPr>
              <w:t>KPI</w:t>
            </w:r>
          </w:p>
        </w:tc>
        <w:tc>
          <w:tcPr>
            <w:tcW w:w="0" w:type="auto"/>
            <w:shd w:val="clear" w:color="auto" w:fill="000000" w:themeFill="text1"/>
            <w:vAlign w:val="center"/>
          </w:tcPr>
          <w:p w14:paraId="1A9C4A73"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KPI Definition</w:t>
            </w:r>
          </w:p>
        </w:tc>
      </w:tr>
      <w:tr w:rsidR="007A3C22" w:rsidRPr="00442C8E" w14:paraId="33B4F53C" w14:textId="77777777" w:rsidTr="007A3C22">
        <w:trPr>
          <w:trHeight w:val="20"/>
        </w:trPr>
        <w:tc>
          <w:tcPr>
            <w:tcW w:w="0" w:type="auto"/>
            <w:vMerge w:val="restart"/>
            <w:vAlign w:val="center"/>
          </w:tcPr>
          <w:p w14:paraId="664F5630"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Program Performance</w:t>
            </w:r>
          </w:p>
        </w:tc>
        <w:tc>
          <w:tcPr>
            <w:tcW w:w="0" w:type="auto"/>
            <w:vMerge w:val="restart"/>
            <w:vAlign w:val="center"/>
          </w:tcPr>
          <w:p w14:paraId="0CAA5FC2"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For Resource Programs</w:t>
            </w:r>
          </w:p>
        </w:tc>
        <w:tc>
          <w:tcPr>
            <w:tcW w:w="0" w:type="auto"/>
            <w:vAlign w:val="center"/>
          </w:tcPr>
          <w:p w14:paraId="7F2853AA"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Energy Savings</w:t>
            </w:r>
          </w:p>
          <w:p w14:paraId="491E97D2"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(kWh, kW, Therms)</w:t>
            </w:r>
          </w:p>
        </w:tc>
        <w:tc>
          <w:tcPr>
            <w:tcW w:w="0" w:type="auto"/>
            <w:vAlign w:val="center"/>
          </w:tcPr>
          <w:p w14:paraId="35B31EE5"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A comparison of energy savings achieved vs. energy savings required under the Agreement</w:t>
            </w:r>
          </w:p>
        </w:tc>
      </w:tr>
      <w:tr w:rsidR="007A3C22" w:rsidRPr="00442C8E" w14:paraId="306DB8CD" w14:textId="77777777" w:rsidTr="007A3C22">
        <w:trPr>
          <w:trHeight w:val="20"/>
        </w:trPr>
        <w:tc>
          <w:tcPr>
            <w:tcW w:w="0" w:type="auto"/>
            <w:vMerge/>
            <w:vAlign w:val="center"/>
          </w:tcPr>
          <w:p w14:paraId="4030C18F"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297E5EB9"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70049587"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Project Pipeline Target</w:t>
            </w:r>
          </w:p>
          <w:p w14:paraId="7AE95054"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(kWh, kW, Therms)</w:t>
            </w:r>
          </w:p>
        </w:tc>
        <w:tc>
          <w:tcPr>
            <w:tcW w:w="0" w:type="auto"/>
            <w:vAlign w:val="center"/>
          </w:tcPr>
          <w:p w14:paraId="63BBA31F"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A comparison of energy savings associated with future project pipeline in relation to the energy savings required under the Agreement</w:t>
            </w:r>
          </w:p>
        </w:tc>
      </w:tr>
      <w:tr w:rsidR="007A3C22" w:rsidRPr="00442C8E" w14:paraId="303846A0" w14:textId="77777777" w:rsidTr="007A3C22">
        <w:trPr>
          <w:trHeight w:val="20"/>
        </w:trPr>
        <w:tc>
          <w:tcPr>
            <w:tcW w:w="0" w:type="auto"/>
            <w:vMerge/>
            <w:vAlign w:val="center"/>
          </w:tcPr>
          <w:p w14:paraId="7C575075"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3CB69D5A"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44BF617C"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Schedule Adherence</w:t>
            </w:r>
          </w:p>
          <w:p w14:paraId="7D0B9913"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(committed/installed)</w:t>
            </w:r>
          </w:p>
        </w:tc>
        <w:tc>
          <w:tcPr>
            <w:tcW w:w="0" w:type="auto"/>
            <w:vAlign w:val="center"/>
          </w:tcPr>
          <w:p w14:paraId="40FC7599"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Actual number of [committed/installed] projects compared to the projected number of [committed/installed] projects as required under the Agreement</w:t>
            </w:r>
          </w:p>
        </w:tc>
      </w:tr>
      <w:tr w:rsidR="007A3C22" w:rsidRPr="00442C8E" w14:paraId="2C10137B" w14:textId="77777777" w:rsidTr="007A3C22">
        <w:trPr>
          <w:trHeight w:val="20"/>
        </w:trPr>
        <w:tc>
          <w:tcPr>
            <w:tcW w:w="0" w:type="auto"/>
            <w:vMerge/>
            <w:vAlign w:val="center"/>
          </w:tcPr>
          <w:p w14:paraId="79FA2C02"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0D77384C"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31B780EB"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Cost Management</w:t>
            </w:r>
          </w:p>
          <w:p w14:paraId="67D991E2"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(TRC ratio)</w:t>
            </w:r>
          </w:p>
          <w:p w14:paraId="20BE7521"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(Levelized cost)</w:t>
            </w:r>
          </w:p>
        </w:tc>
        <w:tc>
          <w:tcPr>
            <w:tcW w:w="0" w:type="auto"/>
            <w:vAlign w:val="center"/>
          </w:tcPr>
          <w:p w14:paraId="45A0274A"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The Total Resource Cost Test measures the net costs of a demand-side management program based on the total costs of the program, including both the participants and the utilities costs</w:t>
            </w:r>
          </w:p>
        </w:tc>
      </w:tr>
      <w:tr w:rsidR="007A3C22" w:rsidRPr="00442C8E" w14:paraId="036ACC87" w14:textId="77777777" w:rsidTr="007A3C22">
        <w:trPr>
          <w:trHeight w:val="20"/>
        </w:trPr>
        <w:tc>
          <w:tcPr>
            <w:tcW w:w="0" w:type="auto"/>
            <w:vMerge/>
            <w:vAlign w:val="center"/>
          </w:tcPr>
          <w:p w14:paraId="7FC8281A"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3CB76628"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62D6D7FB"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Cost Management</w:t>
            </w:r>
          </w:p>
          <w:p w14:paraId="6728B503"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(incentive/non-incentive)</w:t>
            </w:r>
          </w:p>
        </w:tc>
        <w:tc>
          <w:tcPr>
            <w:tcW w:w="0" w:type="auto"/>
            <w:vAlign w:val="center"/>
          </w:tcPr>
          <w:p w14:paraId="1FB52575"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[Incentive/non-incentive] spend based on paid [incentive/non-incentive] spend vs forecasted [incentive/non-incentive] spend</w:t>
            </w:r>
          </w:p>
        </w:tc>
      </w:tr>
      <w:tr w:rsidR="007A3C22" w:rsidRPr="00442C8E" w14:paraId="3BEC74FD" w14:textId="77777777" w:rsidTr="007A3C22">
        <w:trPr>
          <w:trHeight w:val="20"/>
        </w:trPr>
        <w:tc>
          <w:tcPr>
            <w:tcW w:w="0" w:type="auto"/>
            <w:vMerge/>
            <w:vAlign w:val="center"/>
          </w:tcPr>
          <w:p w14:paraId="33351469"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165CD0EC"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01C799DF" w14:textId="77777777" w:rsidR="007A3C22" w:rsidRPr="00442C8E" w:rsidRDefault="007A3C22" w:rsidP="007A3C22">
            <w:pPr>
              <w:spacing w:before="120" w:after="120"/>
              <w:ind w:left="1"/>
              <w:rPr>
                <w:rFonts w:ascii="Times New Roman" w:hAnsi="Times New Roman" w:cs="Times New Roman"/>
                <w:b/>
                <w:color w:val="000000" w:themeColor="text1"/>
              </w:rPr>
            </w:pPr>
            <w:r w:rsidRPr="00442C8E">
              <w:rPr>
                <w:rFonts w:ascii="Times New Roman" w:hAnsi="Times New Roman" w:cs="Times New Roman"/>
                <w:b/>
                <w:color w:val="000000" w:themeColor="text1"/>
              </w:rPr>
              <w:t>Customer Satisfaction Rating</w:t>
            </w:r>
          </w:p>
        </w:tc>
        <w:tc>
          <w:tcPr>
            <w:tcW w:w="0" w:type="auto"/>
            <w:vAlign w:val="center"/>
          </w:tcPr>
          <w:p w14:paraId="6166B2F6" w14:textId="77777777" w:rsidR="007A3C22" w:rsidRPr="00442C8E" w:rsidRDefault="007A3C22" w:rsidP="007A3C22">
            <w:pPr>
              <w:spacing w:before="120" w:after="120"/>
              <w:rPr>
                <w:rFonts w:ascii="Times New Roman" w:hAnsi="Times New Roman" w:cs="Times New Roman"/>
                <w:color w:val="000000" w:themeColor="text1"/>
              </w:rPr>
            </w:pPr>
            <w:r w:rsidRPr="00442C8E">
              <w:rPr>
                <w:rFonts w:ascii="Times New Roman" w:hAnsi="Times New Roman" w:cs="Times New Roman"/>
                <w:color w:val="000000" w:themeColor="text1"/>
              </w:rPr>
              <w:t xml:space="preserve">Measurement of Implementer’s ability to respond to customer needs, number of complaints, resolution of complaints, </w:t>
            </w:r>
            <w:r w:rsidRPr="00442C8E">
              <w:rPr>
                <w:rFonts w:ascii="Times New Roman" w:hAnsi="Times New Roman" w:cs="Times New Roman"/>
                <w:color w:val="000000" w:themeColor="text1"/>
              </w:rPr>
              <w:lastRenderedPageBreak/>
              <w:t>flexibility, reporting accuracy and timeliness</w:t>
            </w:r>
          </w:p>
        </w:tc>
      </w:tr>
      <w:tr w:rsidR="007A3C22" w:rsidRPr="00442C8E" w14:paraId="11F224CE" w14:textId="77777777" w:rsidTr="007A3C22">
        <w:trPr>
          <w:trHeight w:val="20"/>
        </w:trPr>
        <w:tc>
          <w:tcPr>
            <w:tcW w:w="0" w:type="auto"/>
            <w:vMerge/>
            <w:vAlign w:val="center"/>
          </w:tcPr>
          <w:p w14:paraId="7950F4C9"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31CBABEC"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For Non-Resource Codes and Standards Programs</w:t>
            </w:r>
          </w:p>
        </w:tc>
        <w:tc>
          <w:tcPr>
            <w:tcW w:w="0" w:type="auto"/>
            <w:vAlign w:val="center"/>
          </w:tcPr>
          <w:p w14:paraId="6D8F3B99"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c>
          <w:tcPr>
            <w:tcW w:w="0" w:type="auto"/>
            <w:vAlign w:val="center"/>
          </w:tcPr>
          <w:p w14:paraId="2AEE45A2"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69AAFE08" w14:textId="77777777" w:rsidTr="007A3C22">
        <w:trPr>
          <w:trHeight w:val="20"/>
        </w:trPr>
        <w:tc>
          <w:tcPr>
            <w:tcW w:w="0" w:type="auto"/>
            <w:vMerge/>
            <w:vAlign w:val="center"/>
          </w:tcPr>
          <w:p w14:paraId="117ABB38"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2C6D18A7"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For Workforce Education &amp; Training Programs</w:t>
            </w:r>
          </w:p>
        </w:tc>
        <w:tc>
          <w:tcPr>
            <w:tcW w:w="0" w:type="auto"/>
            <w:vAlign w:val="center"/>
          </w:tcPr>
          <w:p w14:paraId="7057992E"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c>
          <w:tcPr>
            <w:tcW w:w="0" w:type="auto"/>
            <w:vAlign w:val="center"/>
          </w:tcPr>
          <w:p w14:paraId="6B9C63BB"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1EC3FCA8" w14:textId="77777777" w:rsidTr="007A3C22">
        <w:trPr>
          <w:trHeight w:val="20"/>
        </w:trPr>
        <w:tc>
          <w:tcPr>
            <w:tcW w:w="0" w:type="auto"/>
            <w:vMerge/>
            <w:vAlign w:val="center"/>
          </w:tcPr>
          <w:p w14:paraId="5FE077E8"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4164FAEA"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For Emerging Technology Programs</w:t>
            </w:r>
          </w:p>
        </w:tc>
        <w:tc>
          <w:tcPr>
            <w:tcW w:w="0" w:type="auto"/>
            <w:vAlign w:val="center"/>
          </w:tcPr>
          <w:p w14:paraId="59FAB19B"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c>
          <w:tcPr>
            <w:tcW w:w="0" w:type="auto"/>
            <w:vAlign w:val="center"/>
          </w:tcPr>
          <w:p w14:paraId="017C75E8"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3F7E9BD0" w14:textId="77777777" w:rsidTr="007A3C22">
        <w:trPr>
          <w:trHeight w:val="20"/>
        </w:trPr>
        <w:tc>
          <w:tcPr>
            <w:tcW w:w="0" w:type="auto"/>
            <w:vMerge w:val="restart"/>
            <w:vAlign w:val="center"/>
          </w:tcPr>
          <w:p w14:paraId="5FC0756C"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Implementer Administrative Performance</w:t>
            </w:r>
          </w:p>
        </w:tc>
        <w:tc>
          <w:tcPr>
            <w:tcW w:w="0" w:type="auto"/>
            <w:vMerge w:val="restart"/>
            <w:vAlign w:val="center"/>
          </w:tcPr>
          <w:p w14:paraId="7565A502"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For all Programs</w:t>
            </w:r>
          </w:p>
        </w:tc>
        <w:tc>
          <w:tcPr>
            <w:tcW w:w="0" w:type="auto"/>
            <w:vAlign w:val="center"/>
          </w:tcPr>
          <w:p w14:paraId="57782E1E"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color w:val="000000" w:themeColor="text1"/>
              </w:rPr>
              <w:t>Invoicing and Billing Accuracy</w:t>
            </w:r>
          </w:p>
        </w:tc>
        <w:tc>
          <w:tcPr>
            <w:tcW w:w="0" w:type="auto"/>
            <w:vAlign w:val="center"/>
          </w:tcPr>
          <w:p w14:paraId="388E206C"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59010D19" w14:textId="77777777" w:rsidTr="007A3C22">
        <w:trPr>
          <w:trHeight w:val="20"/>
        </w:trPr>
        <w:tc>
          <w:tcPr>
            <w:tcW w:w="0" w:type="auto"/>
            <w:vMerge/>
            <w:vAlign w:val="center"/>
          </w:tcPr>
          <w:p w14:paraId="772C4676"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78981D24"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7EA2ED14"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Program Data Quality</w:t>
            </w:r>
          </w:p>
        </w:tc>
        <w:tc>
          <w:tcPr>
            <w:tcW w:w="0" w:type="auto"/>
            <w:vAlign w:val="center"/>
          </w:tcPr>
          <w:p w14:paraId="4B6E13F9"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4356259B" w14:textId="77777777" w:rsidTr="007A3C22">
        <w:trPr>
          <w:trHeight w:val="20"/>
        </w:trPr>
        <w:tc>
          <w:tcPr>
            <w:tcW w:w="0" w:type="auto"/>
            <w:vMerge/>
            <w:vAlign w:val="center"/>
          </w:tcPr>
          <w:p w14:paraId="18606987"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45BD13AB"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01A866BC"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Contract Compliance</w:t>
            </w:r>
          </w:p>
        </w:tc>
        <w:tc>
          <w:tcPr>
            <w:tcW w:w="0" w:type="auto"/>
            <w:vAlign w:val="center"/>
          </w:tcPr>
          <w:p w14:paraId="3479E515"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4AD7F765" w14:textId="77777777" w:rsidTr="007A3C22">
        <w:trPr>
          <w:trHeight w:val="20"/>
        </w:trPr>
        <w:tc>
          <w:tcPr>
            <w:tcW w:w="0" w:type="auto"/>
            <w:vMerge w:val="restart"/>
            <w:vAlign w:val="center"/>
          </w:tcPr>
          <w:p w14:paraId="5AED7B85"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Marketing Performance</w:t>
            </w:r>
          </w:p>
          <w:p w14:paraId="63A87521"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(as applicable)</w:t>
            </w:r>
          </w:p>
        </w:tc>
        <w:tc>
          <w:tcPr>
            <w:tcW w:w="0" w:type="auto"/>
            <w:vAlign w:val="center"/>
          </w:tcPr>
          <w:p w14:paraId="50A26EB2"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Co-Branding</w:t>
            </w:r>
          </w:p>
        </w:tc>
        <w:tc>
          <w:tcPr>
            <w:tcW w:w="0" w:type="auto"/>
            <w:vAlign w:val="center"/>
          </w:tcPr>
          <w:p w14:paraId="027D783C"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Brand Review Time</w:t>
            </w:r>
          </w:p>
        </w:tc>
        <w:tc>
          <w:tcPr>
            <w:tcW w:w="0" w:type="auto"/>
            <w:vAlign w:val="center"/>
          </w:tcPr>
          <w:p w14:paraId="227A59E9"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The total hours spent reviewing marketing materials submitted by Implementer or Implementer Parties</w:t>
            </w:r>
          </w:p>
        </w:tc>
      </w:tr>
      <w:tr w:rsidR="007A3C22" w:rsidRPr="00442C8E" w14:paraId="6D8BF8A6" w14:textId="77777777" w:rsidTr="007A3C22">
        <w:trPr>
          <w:trHeight w:val="20"/>
        </w:trPr>
        <w:tc>
          <w:tcPr>
            <w:tcW w:w="0" w:type="auto"/>
            <w:vMerge/>
            <w:vAlign w:val="center"/>
          </w:tcPr>
          <w:p w14:paraId="5A3AAD90" w14:textId="77777777" w:rsidR="007A3C22" w:rsidRPr="00442C8E" w:rsidRDefault="007A3C22" w:rsidP="007A3C22">
            <w:pPr>
              <w:spacing w:before="120" w:after="120"/>
              <w:rPr>
                <w:rFonts w:ascii="Times New Roman" w:hAnsi="Times New Roman" w:cs="Times New Roman"/>
                <w:b/>
              </w:rPr>
            </w:pPr>
          </w:p>
        </w:tc>
        <w:tc>
          <w:tcPr>
            <w:tcW w:w="0" w:type="auto"/>
            <w:vMerge w:val="restart"/>
            <w:vAlign w:val="center"/>
          </w:tcPr>
          <w:p w14:paraId="18215F48"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Email</w:t>
            </w:r>
          </w:p>
        </w:tc>
        <w:tc>
          <w:tcPr>
            <w:tcW w:w="0" w:type="auto"/>
            <w:vAlign w:val="center"/>
          </w:tcPr>
          <w:p w14:paraId="53510B32"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Unsubscribes or opt outs</w:t>
            </w:r>
          </w:p>
        </w:tc>
        <w:tc>
          <w:tcPr>
            <w:tcW w:w="0" w:type="auto"/>
            <w:vAlign w:val="center"/>
          </w:tcPr>
          <w:p w14:paraId="67276649"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The average unsubscribe rate across all email campaigns</w:t>
            </w:r>
          </w:p>
        </w:tc>
      </w:tr>
      <w:tr w:rsidR="007A3C22" w:rsidRPr="00442C8E" w14:paraId="4CB5C721" w14:textId="77777777" w:rsidTr="007A3C22">
        <w:trPr>
          <w:trHeight w:val="20"/>
        </w:trPr>
        <w:tc>
          <w:tcPr>
            <w:tcW w:w="0" w:type="auto"/>
            <w:vMerge/>
            <w:vAlign w:val="center"/>
          </w:tcPr>
          <w:p w14:paraId="2DCEFB5B"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788DA00E"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6C423CA8"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Spam (Complaints)</w:t>
            </w:r>
          </w:p>
        </w:tc>
        <w:tc>
          <w:tcPr>
            <w:tcW w:w="0" w:type="auto"/>
            <w:vAlign w:val="center"/>
          </w:tcPr>
          <w:p w14:paraId="441DF7BC"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The average spam or complaint rate across all email campaigns</w:t>
            </w:r>
          </w:p>
        </w:tc>
      </w:tr>
      <w:tr w:rsidR="007A3C22" w:rsidRPr="00442C8E" w14:paraId="127DA8B0" w14:textId="77777777" w:rsidTr="007A3C22">
        <w:trPr>
          <w:trHeight w:val="20"/>
        </w:trPr>
        <w:tc>
          <w:tcPr>
            <w:tcW w:w="0" w:type="auto"/>
            <w:vMerge/>
            <w:vAlign w:val="center"/>
          </w:tcPr>
          <w:p w14:paraId="74A5230A"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7E3E1F9B"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Direct Mail</w:t>
            </w:r>
          </w:p>
        </w:tc>
        <w:tc>
          <w:tcPr>
            <w:tcW w:w="0" w:type="auto"/>
            <w:vAlign w:val="center"/>
          </w:tcPr>
          <w:p w14:paraId="304F6995"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Unsubscribes or opt outs</w:t>
            </w:r>
          </w:p>
        </w:tc>
        <w:tc>
          <w:tcPr>
            <w:tcW w:w="0" w:type="auto"/>
            <w:vAlign w:val="center"/>
          </w:tcPr>
          <w:p w14:paraId="71923EBC"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6E08CC8A" w14:textId="77777777" w:rsidTr="007A3C22">
        <w:trPr>
          <w:trHeight w:val="20"/>
        </w:trPr>
        <w:tc>
          <w:tcPr>
            <w:tcW w:w="0" w:type="auto"/>
            <w:vMerge/>
            <w:vAlign w:val="center"/>
          </w:tcPr>
          <w:p w14:paraId="79BD1B1C"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66C603B2"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Telemarketing</w:t>
            </w:r>
          </w:p>
        </w:tc>
        <w:tc>
          <w:tcPr>
            <w:tcW w:w="0" w:type="auto"/>
            <w:vAlign w:val="center"/>
          </w:tcPr>
          <w:p w14:paraId="5588ADB0"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Unsubscribes or opt outs</w:t>
            </w:r>
          </w:p>
        </w:tc>
        <w:tc>
          <w:tcPr>
            <w:tcW w:w="0" w:type="auto"/>
            <w:vAlign w:val="center"/>
          </w:tcPr>
          <w:p w14:paraId="777C1399"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4F66F6F3" w14:textId="77777777" w:rsidTr="007A3C22">
        <w:trPr>
          <w:trHeight w:val="20"/>
        </w:trPr>
        <w:tc>
          <w:tcPr>
            <w:tcW w:w="0" w:type="auto"/>
            <w:vMerge/>
            <w:vAlign w:val="center"/>
          </w:tcPr>
          <w:p w14:paraId="629BC2FE"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0C9463AB"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SMS</w:t>
            </w:r>
          </w:p>
        </w:tc>
        <w:tc>
          <w:tcPr>
            <w:tcW w:w="0" w:type="auto"/>
            <w:vAlign w:val="center"/>
          </w:tcPr>
          <w:p w14:paraId="33C03EFC"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b/>
              </w:rPr>
              <w:t>Unsubscribes or opt outs</w:t>
            </w:r>
          </w:p>
        </w:tc>
        <w:tc>
          <w:tcPr>
            <w:tcW w:w="0" w:type="auto"/>
            <w:vAlign w:val="center"/>
          </w:tcPr>
          <w:p w14:paraId="713D154C"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The average unsubscribe rate across all SMS campaigns</w:t>
            </w:r>
          </w:p>
        </w:tc>
      </w:tr>
      <w:tr w:rsidR="007A3C22" w:rsidRPr="00442C8E" w14:paraId="57FF7E9D" w14:textId="77777777" w:rsidTr="007A3C22">
        <w:trPr>
          <w:trHeight w:val="20"/>
        </w:trPr>
        <w:tc>
          <w:tcPr>
            <w:tcW w:w="0" w:type="auto"/>
            <w:vMerge/>
            <w:vAlign w:val="center"/>
          </w:tcPr>
          <w:p w14:paraId="3C1CA94F"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32981E28"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Door-to-Door</w:t>
            </w:r>
          </w:p>
        </w:tc>
        <w:tc>
          <w:tcPr>
            <w:tcW w:w="0" w:type="auto"/>
            <w:vAlign w:val="center"/>
          </w:tcPr>
          <w:p w14:paraId="10C9B1EF"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b/>
              </w:rPr>
              <w:t>Unsubscribes or opt outs</w:t>
            </w:r>
          </w:p>
        </w:tc>
        <w:tc>
          <w:tcPr>
            <w:tcW w:w="0" w:type="auto"/>
            <w:vAlign w:val="center"/>
          </w:tcPr>
          <w:p w14:paraId="24BBE9A7"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24D864DB" w14:textId="77777777" w:rsidTr="007A3C22">
        <w:trPr>
          <w:trHeight w:val="20"/>
        </w:trPr>
        <w:tc>
          <w:tcPr>
            <w:tcW w:w="0" w:type="auto"/>
            <w:vMerge/>
            <w:vAlign w:val="center"/>
          </w:tcPr>
          <w:p w14:paraId="7FA929CB"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17B54C02"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Digital Media</w:t>
            </w:r>
          </w:p>
        </w:tc>
        <w:tc>
          <w:tcPr>
            <w:tcW w:w="0" w:type="auto"/>
            <w:vAlign w:val="center"/>
          </w:tcPr>
          <w:p w14:paraId="21319490"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c>
          <w:tcPr>
            <w:tcW w:w="0" w:type="auto"/>
            <w:vAlign w:val="center"/>
          </w:tcPr>
          <w:p w14:paraId="061D15C2"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67F72383" w14:textId="77777777" w:rsidTr="007A3C22">
        <w:trPr>
          <w:trHeight w:val="20"/>
        </w:trPr>
        <w:tc>
          <w:tcPr>
            <w:tcW w:w="0" w:type="auto"/>
            <w:vMerge/>
            <w:vAlign w:val="center"/>
          </w:tcPr>
          <w:p w14:paraId="1CA1F3F0"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0C17F184"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Social Media</w:t>
            </w:r>
          </w:p>
        </w:tc>
        <w:tc>
          <w:tcPr>
            <w:tcW w:w="0" w:type="auto"/>
            <w:vAlign w:val="center"/>
          </w:tcPr>
          <w:p w14:paraId="0D9918B1"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c>
          <w:tcPr>
            <w:tcW w:w="0" w:type="auto"/>
            <w:vAlign w:val="center"/>
          </w:tcPr>
          <w:p w14:paraId="4554F992"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2664449E" w14:textId="77777777" w:rsidTr="007A3C22">
        <w:trPr>
          <w:trHeight w:val="20"/>
        </w:trPr>
        <w:tc>
          <w:tcPr>
            <w:tcW w:w="0" w:type="auto"/>
            <w:vMerge/>
            <w:vAlign w:val="center"/>
          </w:tcPr>
          <w:p w14:paraId="0F1A51C1"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7FBF0192"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Website</w:t>
            </w:r>
          </w:p>
        </w:tc>
        <w:tc>
          <w:tcPr>
            <w:tcW w:w="0" w:type="auto"/>
            <w:vAlign w:val="center"/>
          </w:tcPr>
          <w:p w14:paraId="5DAC4189"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c>
          <w:tcPr>
            <w:tcW w:w="0" w:type="auto"/>
            <w:vAlign w:val="center"/>
          </w:tcPr>
          <w:p w14:paraId="345B1C95"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1F0CE344" w14:textId="77777777" w:rsidTr="007A3C22">
        <w:trPr>
          <w:trHeight w:val="20"/>
        </w:trPr>
        <w:tc>
          <w:tcPr>
            <w:tcW w:w="0" w:type="auto"/>
            <w:vMerge w:val="restart"/>
            <w:vAlign w:val="center"/>
          </w:tcPr>
          <w:p w14:paraId="6FA9159F"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Supply Chain Responsibility</w:t>
            </w:r>
          </w:p>
        </w:tc>
        <w:tc>
          <w:tcPr>
            <w:tcW w:w="0" w:type="auto"/>
            <w:vMerge w:val="restart"/>
            <w:vAlign w:val="center"/>
          </w:tcPr>
          <w:p w14:paraId="44AF65C1"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All Programs</w:t>
            </w:r>
          </w:p>
        </w:tc>
        <w:tc>
          <w:tcPr>
            <w:tcW w:w="0" w:type="auto"/>
            <w:vAlign w:val="center"/>
          </w:tcPr>
          <w:p w14:paraId="17DF73A9"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Safety Ratings</w:t>
            </w:r>
          </w:p>
        </w:tc>
        <w:tc>
          <w:tcPr>
            <w:tcW w:w="0" w:type="auto"/>
            <w:vAlign w:val="center"/>
          </w:tcPr>
          <w:p w14:paraId="7264C600" w14:textId="77777777" w:rsidR="007A3C22" w:rsidRPr="00442C8E" w:rsidRDefault="007A3C22" w:rsidP="007A3C22">
            <w:pPr>
              <w:spacing w:before="120" w:after="120"/>
              <w:rPr>
                <w:rFonts w:ascii="Times New Roman" w:hAnsi="Times New Roman" w:cs="Times New Roman"/>
              </w:rPr>
            </w:pPr>
            <w:r w:rsidRPr="00442C8E">
              <w:rPr>
                <w:rFonts w:ascii="Times New Roman" w:eastAsia="Times New Roman" w:hAnsi="Times New Roman" w:cs="Times New Roman"/>
                <w:color w:val="000000" w:themeColor="text1"/>
              </w:rPr>
              <w:t>An evaluation of</w:t>
            </w:r>
            <w:r w:rsidRPr="00442C8E">
              <w:rPr>
                <w:rFonts w:ascii="Times New Roman" w:hAnsi="Times New Roman" w:cs="Times New Roman"/>
                <w:color w:val="000000" w:themeColor="text1"/>
              </w:rPr>
              <w:t xml:space="preserve"> the </w:t>
            </w:r>
            <w:r w:rsidRPr="00442C8E">
              <w:rPr>
                <w:rFonts w:ascii="Times New Roman" w:eastAsia="Times New Roman" w:hAnsi="Times New Roman" w:cs="Times New Roman"/>
                <w:color w:val="000000" w:themeColor="text1"/>
              </w:rPr>
              <w:t>Implementer's overall</w:t>
            </w:r>
            <w:r w:rsidRPr="00442C8E">
              <w:rPr>
                <w:rFonts w:ascii="Times New Roman" w:hAnsi="Times New Roman" w:cs="Times New Roman"/>
                <w:color w:val="000000" w:themeColor="text1"/>
              </w:rPr>
              <w:t xml:space="preserve"> approach to safety and the quality of the </w:t>
            </w:r>
            <w:r w:rsidRPr="00442C8E">
              <w:rPr>
                <w:rFonts w:ascii="Times New Roman" w:eastAsia="Times New Roman" w:hAnsi="Times New Roman" w:cs="Times New Roman"/>
                <w:color w:val="000000" w:themeColor="text1"/>
              </w:rPr>
              <w:t>Implementer's</w:t>
            </w:r>
            <w:r w:rsidRPr="00442C8E">
              <w:rPr>
                <w:rFonts w:ascii="Times New Roman" w:hAnsi="Times New Roman" w:cs="Times New Roman"/>
                <w:color w:val="000000" w:themeColor="text1"/>
              </w:rPr>
              <w:t xml:space="preserve"> safety program</w:t>
            </w:r>
          </w:p>
        </w:tc>
      </w:tr>
      <w:tr w:rsidR="007A3C22" w:rsidRPr="00442C8E" w14:paraId="72E95A2C" w14:textId="77777777" w:rsidTr="007A3C22">
        <w:trPr>
          <w:trHeight w:val="20"/>
        </w:trPr>
        <w:tc>
          <w:tcPr>
            <w:tcW w:w="0" w:type="auto"/>
            <w:vMerge/>
            <w:vAlign w:val="center"/>
          </w:tcPr>
          <w:p w14:paraId="4C776585"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1B7E738A"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5D232EE7"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Diverse Business Enterprises Spend</w:t>
            </w:r>
          </w:p>
        </w:tc>
        <w:tc>
          <w:tcPr>
            <w:tcW w:w="0" w:type="auto"/>
            <w:vAlign w:val="center"/>
          </w:tcPr>
          <w:p w14:paraId="29CB2F7B"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 xml:space="preserve">Measures spend performance with </w:t>
            </w:r>
            <w:r w:rsidRPr="00442C8E">
              <w:rPr>
                <w:rFonts w:ascii="Times New Roman" w:eastAsia="Times New Roman" w:hAnsi="Times New Roman" w:cs="Times New Roman"/>
              </w:rPr>
              <w:t>Diverse Business Enterprises</w:t>
            </w:r>
          </w:p>
        </w:tc>
      </w:tr>
      <w:tr w:rsidR="007A3C22" w:rsidRPr="00442C8E" w14:paraId="30C8AD82" w14:textId="77777777" w:rsidTr="007A3C22">
        <w:trPr>
          <w:trHeight w:val="20"/>
        </w:trPr>
        <w:tc>
          <w:tcPr>
            <w:tcW w:w="0" w:type="auto"/>
            <w:vMerge/>
            <w:vAlign w:val="center"/>
          </w:tcPr>
          <w:p w14:paraId="7D3537AD"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7DA5E50D"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605111A4"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 xml:space="preserve">Disadvantaged </w:t>
            </w:r>
            <w:r w:rsidRPr="00442C8E">
              <w:rPr>
                <w:rFonts w:ascii="Times New Roman" w:eastAsia="Times New Roman" w:hAnsi="Times New Roman" w:cs="Times New Roman"/>
                <w:b/>
              </w:rPr>
              <w:t>Worker</w:t>
            </w:r>
            <w:r w:rsidRPr="00442C8E">
              <w:rPr>
                <w:rFonts w:ascii="Times New Roman" w:hAnsi="Times New Roman" w:cs="Times New Roman"/>
                <w:b/>
              </w:rPr>
              <w:t xml:space="preserve"> Spend</w:t>
            </w:r>
          </w:p>
        </w:tc>
        <w:tc>
          <w:tcPr>
            <w:tcW w:w="0" w:type="auto"/>
            <w:vAlign w:val="center"/>
          </w:tcPr>
          <w:p w14:paraId="211EAC67"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265231C4" w14:textId="77777777" w:rsidTr="007A3C22">
        <w:trPr>
          <w:trHeight w:val="20"/>
        </w:trPr>
        <w:tc>
          <w:tcPr>
            <w:tcW w:w="0" w:type="auto"/>
            <w:vMerge/>
            <w:vAlign w:val="center"/>
          </w:tcPr>
          <w:p w14:paraId="1DB50FA6"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4626085B"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3C1B559D"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Hard to Reach and Disadvantaged Communities</w:t>
            </w:r>
          </w:p>
        </w:tc>
        <w:tc>
          <w:tcPr>
            <w:tcW w:w="0" w:type="auto"/>
            <w:vAlign w:val="center"/>
          </w:tcPr>
          <w:p w14:paraId="7FB0379B"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TBD</w:t>
            </w:r>
          </w:p>
        </w:tc>
      </w:tr>
      <w:tr w:rsidR="007A3C22" w:rsidRPr="00442C8E" w14:paraId="3B757954" w14:textId="77777777" w:rsidTr="007A3C22">
        <w:trPr>
          <w:trHeight w:val="20"/>
        </w:trPr>
        <w:tc>
          <w:tcPr>
            <w:tcW w:w="0" w:type="auto"/>
            <w:vMerge/>
            <w:vAlign w:val="center"/>
          </w:tcPr>
          <w:p w14:paraId="3A4BFACE" w14:textId="77777777" w:rsidR="007A3C22" w:rsidRPr="00442C8E" w:rsidRDefault="007A3C22" w:rsidP="007A3C22">
            <w:pPr>
              <w:spacing w:before="120" w:after="120"/>
              <w:rPr>
                <w:rFonts w:ascii="Times New Roman" w:hAnsi="Times New Roman" w:cs="Times New Roman"/>
                <w:b/>
              </w:rPr>
            </w:pPr>
          </w:p>
        </w:tc>
        <w:tc>
          <w:tcPr>
            <w:tcW w:w="0" w:type="auto"/>
            <w:vMerge/>
            <w:vAlign w:val="center"/>
          </w:tcPr>
          <w:p w14:paraId="0FE17912" w14:textId="77777777" w:rsidR="007A3C22" w:rsidRPr="00442C8E" w:rsidRDefault="007A3C22" w:rsidP="007A3C22">
            <w:pPr>
              <w:spacing w:before="120" w:after="120"/>
              <w:rPr>
                <w:rFonts w:ascii="Times New Roman" w:hAnsi="Times New Roman" w:cs="Times New Roman"/>
                <w:b/>
              </w:rPr>
            </w:pPr>
          </w:p>
        </w:tc>
        <w:tc>
          <w:tcPr>
            <w:tcW w:w="0" w:type="auto"/>
            <w:vAlign w:val="center"/>
          </w:tcPr>
          <w:p w14:paraId="57EE5EE9" w14:textId="77777777" w:rsidR="007A3C22" w:rsidRPr="00442C8E" w:rsidRDefault="007A3C22" w:rsidP="007A3C22">
            <w:pPr>
              <w:spacing w:before="120" w:after="120"/>
              <w:rPr>
                <w:rFonts w:ascii="Times New Roman" w:hAnsi="Times New Roman" w:cs="Times New Roman"/>
                <w:b/>
              </w:rPr>
            </w:pPr>
            <w:r w:rsidRPr="00442C8E">
              <w:rPr>
                <w:rFonts w:ascii="Times New Roman" w:hAnsi="Times New Roman" w:cs="Times New Roman"/>
                <w:b/>
              </w:rPr>
              <w:t>Sustainability Ratings</w:t>
            </w:r>
          </w:p>
        </w:tc>
        <w:tc>
          <w:tcPr>
            <w:tcW w:w="0" w:type="auto"/>
            <w:vAlign w:val="center"/>
          </w:tcPr>
          <w:p w14:paraId="6EBBF366" w14:textId="77777777" w:rsidR="007A3C22" w:rsidRPr="00442C8E" w:rsidRDefault="007A3C22" w:rsidP="007A3C22">
            <w:pPr>
              <w:spacing w:before="120" w:after="120"/>
              <w:rPr>
                <w:rFonts w:ascii="Times New Roman" w:hAnsi="Times New Roman" w:cs="Times New Roman"/>
              </w:rPr>
            </w:pPr>
            <w:r w:rsidRPr="00442C8E">
              <w:rPr>
                <w:rFonts w:ascii="Times New Roman" w:hAnsi="Times New Roman" w:cs="Times New Roman"/>
              </w:rPr>
              <w:t>Evaluates the Implementer against environmental and sustainability practices and metrics.</w:t>
            </w:r>
          </w:p>
        </w:tc>
      </w:tr>
    </w:tbl>
    <w:p w14:paraId="24BC6D4D" w14:textId="77777777" w:rsidR="007A3C22" w:rsidRPr="00442C8E" w:rsidRDefault="007A3C22" w:rsidP="007A3C22">
      <w:pPr>
        <w:numPr>
          <w:ilvl w:val="0"/>
          <w:numId w:val="24"/>
        </w:numPr>
        <w:spacing w:before="120" w:after="120" w:line="276" w:lineRule="auto"/>
        <w:ind w:left="994"/>
        <w:rPr>
          <w:rFonts w:cs="Times New Roman"/>
          <w:sz w:val="22"/>
          <w:szCs w:val="22"/>
        </w:rPr>
      </w:pPr>
      <w:r w:rsidRPr="00442C8E">
        <w:rPr>
          <w:rFonts w:cs="Times New Roman"/>
          <w:sz w:val="22"/>
          <w:szCs w:val="22"/>
          <w:u w:val="single"/>
        </w:rPr>
        <w:t>Other Program Metrics</w:t>
      </w:r>
      <w:r w:rsidRPr="00442C8E">
        <w:rPr>
          <w:rFonts w:cs="Times New Roman"/>
          <w:sz w:val="22"/>
          <w:szCs w:val="22"/>
        </w:rPr>
        <w:t>.</w:t>
      </w:r>
    </w:p>
    <w:p w14:paraId="75B2166E" w14:textId="01C495CF" w:rsidR="007A3C22" w:rsidRPr="00442C8E" w:rsidRDefault="007A3C22" w:rsidP="00F25313">
      <w:pPr>
        <w:spacing w:before="120" w:after="120"/>
        <w:ind w:left="994"/>
        <w:rPr>
          <w:rFonts w:cs="Times New Roman"/>
          <w:sz w:val="22"/>
          <w:szCs w:val="22"/>
        </w:rPr>
      </w:pPr>
      <w:r w:rsidRPr="00442C8E">
        <w:rPr>
          <w:rFonts w:cs="Times New Roman"/>
          <w:sz w:val="22"/>
          <w:szCs w:val="22"/>
        </w:rPr>
        <w:t>Implementer shall provide to Company all documentation and data needed to calculate all Program Metrics</w:t>
      </w:r>
      <w:r w:rsidRPr="00442C8E">
        <w:rPr>
          <w:rFonts w:cs="Times New Roman"/>
          <w:sz w:val="22"/>
          <w:szCs w:val="22"/>
          <w:vertAlign w:val="superscript"/>
        </w:rPr>
        <w:footnoteReference w:id="6"/>
      </w:r>
      <w:r w:rsidRPr="00442C8E">
        <w:rPr>
          <w:rFonts w:cs="Times New Roman"/>
          <w:sz w:val="22"/>
          <w:szCs w:val="22"/>
        </w:rPr>
        <w:t xml:space="preserve"> set forth in the Final Implementation Plan, at the frequency stipulated in the Final Implementation Plan.  Such data includes, but is not limited to, data in support of sector-level and portfolio-level metrics, as approved by the CPUC. </w:t>
      </w:r>
      <w:r w:rsidRPr="00442C8E">
        <w:rPr>
          <w:rFonts w:cs="Times New Roman"/>
          <w:i/>
          <w:color w:val="0000FF"/>
          <w:sz w:val="22"/>
          <w:szCs w:val="22"/>
        </w:rPr>
        <w:t>{Comment: Term is subject to modification by Company and may be negotiated by Company and Bidder}</w:t>
      </w:r>
    </w:p>
    <w:p w14:paraId="4C137FB5" w14:textId="77777777" w:rsidR="007A3C22" w:rsidRPr="00442C8E" w:rsidRDefault="007A3C22" w:rsidP="007A3C22">
      <w:pPr>
        <w:numPr>
          <w:ilvl w:val="0"/>
          <w:numId w:val="29"/>
        </w:numPr>
        <w:spacing w:after="0" w:line="276" w:lineRule="auto"/>
        <w:rPr>
          <w:rFonts w:cs="Times New Roman"/>
          <w:b/>
          <w:bCs/>
          <w:sz w:val="22"/>
          <w:szCs w:val="22"/>
        </w:rPr>
      </w:pPr>
      <w:r w:rsidRPr="00442C8E">
        <w:rPr>
          <w:rFonts w:cs="Times New Roman"/>
          <w:b/>
          <w:bCs/>
          <w:sz w:val="22"/>
          <w:szCs w:val="22"/>
        </w:rPr>
        <w:t>Measurement and Verification Requirements, including Guidelines about Normalized Metered Energy Consumption (NMEC) Design Requirements</w:t>
      </w:r>
    </w:p>
    <w:p w14:paraId="23172570" w14:textId="77777777" w:rsidR="007A3C22" w:rsidRPr="00442C8E" w:rsidRDefault="007A3C22" w:rsidP="007A3C22">
      <w:pPr>
        <w:spacing w:after="0"/>
        <w:ind w:left="360"/>
        <w:rPr>
          <w:rFonts w:cs="Times New Roman"/>
          <w:b/>
          <w:bCs/>
          <w:sz w:val="22"/>
          <w:szCs w:val="22"/>
        </w:rPr>
      </w:pPr>
    </w:p>
    <w:p w14:paraId="4A03F5A1" w14:textId="77777777" w:rsidR="007A3C22" w:rsidRPr="00442C8E" w:rsidRDefault="007A3C22" w:rsidP="007A3C22">
      <w:pPr>
        <w:spacing w:after="0"/>
        <w:ind w:left="720"/>
        <w:contextualSpacing/>
        <w:rPr>
          <w:rFonts w:cs="Times New Roman"/>
          <w:sz w:val="22"/>
          <w:szCs w:val="22"/>
        </w:rPr>
      </w:pPr>
      <w:r w:rsidRPr="00442C8E">
        <w:rPr>
          <w:rFonts w:cs="Times New Roman"/>
          <w:sz w:val="22"/>
          <w:szCs w:val="22"/>
        </w:rPr>
        <w:t xml:space="preserve">Implementer shall: </w:t>
      </w:r>
    </w:p>
    <w:p w14:paraId="14F30752" w14:textId="77777777" w:rsidR="007A3C22" w:rsidRPr="00442C8E" w:rsidRDefault="007A3C22" w:rsidP="007A3C22">
      <w:pPr>
        <w:spacing w:after="0"/>
        <w:ind w:left="1170"/>
        <w:contextualSpacing/>
        <w:rPr>
          <w:rFonts w:cs="Times New Roman"/>
          <w:sz w:val="22"/>
          <w:szCs w:val="22"/>
        </w:rPr>
      </w:pPr>
    </w:p>
    <w:p w14:paraId="4A6C827F" w14:textId="3B6B3D43" w:rsidR="007A3C22" w:rsidRPr="00442C8E" w:rsidRDefault="007A3C22" w:rsidP="007A3C22">
      <w:pPr>
        <w:numPr>
          <w:ilvl w:val="0"/>
          <w:numId w:val="26"/>
        </w:numPr>
        <w:spacing w:after="0" w:line="276" w:lineRule="auto"/>
        <w:contextualSpacing/>
        <w:rPr>
          <w:rFonts w:cs="Times New Roman"/>
          <w:sz w:val="22"/>
          <w:szCs w:val="22"/>
        </w:rPr>
      </w:pPr>
      <w:r w:rsidRPr="00442C8E">
        <w:rPr>
          <w:rFonts w:cs="Times New Roman"/>
          <w:sz w:val="22"/>
          <w:szCs w:val="22"/>
        </w:rPr>
        <w:t xml:space="preserve">Only enroll customers that qualify for Program services. </w:t>
      </w:r>
      <w:r w:rsidR="00E506BE">
        <w:rPr>
          <w:rFonts w:cs="Times New Roman"/>
          <w:sz w:val="22"/>
          <w:szCs w:val="22"/>
        </w:rPr>
        <w:t xml:space="preserve">Implementers may need to confirm </w:t>
      </w:r>
      <w:r w:rsidR="0036354D">
        <w:rPr>
          <w:rFonts w:cs="Times New Roman"/>
          <w:sz w:val="22"/>
          <w:szCs w:val="22"/>
        </w:rPr>
        <w:t xml:space="preserve">a customer’s </w:t>
      </w:r>
      <w:r w:rsidR="00E506BE">
        <w:rPr>
          <w:rFonts w:cs="Times New Roman"/>
          <w:sz w:val="22"/>
          <w:szCs w:val="22"/>
        </w:rPr>
        <w:t xml:space="preserve">NMEC analysis suitability with the PAs. </w:t>
      </w:r>
    </w:p>
    <w:p w14:paraId="3FD71455" w14:textId="77777777" w:rsidR="007A3C22" w:rsidRPr="00442C8E" w:rsidRDefault="007A3C22" w:rsidP="007A3C22">
      <w:pPr>
        <w:numPr>
          <w:ilvl w:val="0"/>
          <w:numId w:val="26"/>
        </w:numPr>
        <w:spacing w:after="0" w:line="276" w:lineRule="auto"/>
        <w:contextualSpacing/>
        <w:rPr>
          <w:rFonts w:cs="Times New Roman"/>
          <w:sz w:val="22"/>
          <w:szCs w:val="22"/>
        </w:rPr>
      </w:pPr>
      <w:r w:rsidRPr="00442C8E">
        <w:rPr>
          <w:rFonts w:cs="Times New Roman"/>
          <w:sz w:val="22"/>
          <w:szCs w:val="22"/>
        </w:rPr>
        <w:lastRenderedPageBreak/>
        <w:t xml:space="preserve">Comply with current policies, procedures, and other required documentation as required by Company; </w:t>
      </w:r>
    </w:p>
    <w:p w14:paraId="3933E4AF" w14:textId="77777777" w:rsidR="007A3C22" w:rsidRPr="00442C8E" w:rsidRDefault="007A3C22" w:rsidP="007A3C22">
      <w:pPr>
        <w:numPr>
          <w:ilvl w:val="0"/>
          <w:numId w:val="26"/>
        </w:numPr>
        <w:spacing w:before="120" w:after="120" w:line="276" w:lineRule="auto"/>
        <w:rPr>
          <w:rFonts w:cs="Times New Roman"/>
          <w:sz w:val="22"/>
          <w:szCs w:val="22"/>
        </w:rPr>
      </w:pPr>
      <w:r w:rsidRPr="00442C8E">
        <w:rPr>
          <w:rFonts w:cs="Times New Roman"/>
          <w:sz w:val="22"/>
          <w:szCs w:val="22"/>
        </w:rPr>
        <w:t>Report Customer Participation Information</w:t>
      </w:r>
      <w:r w:rsidRPr="00442C8E">
        <w:rPr>
          <w:rFonts w:cs="Times New Roman"/>
          <w:sz w:val="22"/>
          <w:szCs w:val="22"/>
          <w:vertAlign w:val="superscript"/>
        </w:rPr>
        <w:footnoteReference w:id="7"/>
      </w:r>
      <w:r w:rsidRPr="00442C8E">
        <w:rPr>
          <w:rFonts w:cs="Times New Roman"/>
          <w:sz w:val="22"/>
          <w:szCs w:val="22"/>
        </w:rPr>
        <w:t xml:space="preserve"> to Company;</w:t>
      </w:r>
    </w:p>
    <w:p w14:paraId="16D8E551" w14:textId="77777777" w:rsidR="007A3C22" w:rsidRPr="00442C8E" w:rsidRDefault="007A3C22" w:rsidP="007A3C22">
      <w:pPr>
        <w:numPr>
          <w:ilvl w:val="0"/>
          <w:numId w:val="26"/>
        </w:numPr>
        <w:spacing w:before="120" w:after="120" w:line="276" w:lineRule="auto"/>
        <w:rPr>
          <w:rFonts w:cs="Times New Roman"/>
          <w:sz w:val="22"/>
          <w:szCs w:val="22"/>
        </w:rPr>
      </w:pPr>
      <w:r w:rsidRPr="00442C8E">
        <w:rPr>
          <w:rFonts w:cs="Times New Roman"/>
          <w:sz w:val="22"/>
          <w:szCs w:val="22"/>
        </w:rPr>
        <w:t>Work with Company’s evaluation team to define Program-specific data collection and evaluability requirements, and in the case of NMEC,</w:t>
      </w:r>
      <w:r w:rsidRPr="00442C8E">
        <w:rPr>
          <w:rFonts w:cs="Times New Roman"/>
          <w:sz w:val="22"/>
          <w:szCs w:val="22"/>
          <w:vertAlign w:val="superscript"/>
        </w:rPr>
        <w:footnoteReference w:id="8"/>
      </w:r>
      <w:r w:rsidRPr="00442C8E">
        <w:rPr>
          <w:rFonts w:cs="Times New Roman"/>
          <w:sz w:val="22"/>
          <w:szCs w:val="22"/>
        </w:rPr>
        <w:t xml:space="preserve"> which independent variables shall be normalized. </w:t>
      </w:r>
      <w:r w:rsidRPr="00442C8E">
        <w:rPr>
          <w:rFonts w:cs="Times New Roman"/>
          <w:i/>
          <w:color w:val="0000FF"/>
          <w:sz w:val="22"/>
          <w:szCs w:val="22"/>
        </w:rPr>
        <w:t>{Comment: placeholder for Agreement term, subject to modification by Company and may be negotiated by Company and Bidder}</w:t>
      </w:r>
    </w:p>
    <w:p w14:paraId="19E222CE" w14:textId="77777777" w:rsidR="007A3C22" w:rsidRPr="00442C8E" w:rsidRDefault="007A3C22" w:rsidP="007A3C22">
      <w:pPr>
        <w:spacing w:before="120" w:after="120" w:line="276" w:lineRule="auto"/>
        <w:ind w:left="720"/>
        <w:rPr>
          <w:rFonts w:cs="Times New Roman"/>
          <w:sz w:val="22"/>
          <w:szCs w:val="22"/>
        </w:rPr>
      </w:pPr>
      <w:r w:rsidRPr="00442C8E">
        <w:rPr>
          <w:rFonts w:cs="Times New Roman"/>
          <w:sz w:val="22"/>
          <w:szCs w:val="22"/>
        </w:rPr>
        <w:t>Throughout the Term, Company may identify new energy savings estimates, net-to-gross ratios, effective useful lives, or other values that may alter Program Energy Savings</w:t>
      </w:r>
      <w:r w:rsidRPr="00442C8E">
        <w:rPr>
          <w:rFonts w:cs="Times New Roman"/>
          <w:sz w:val="22"/>
          <w:szCs w:val="22"/>
          <w:vertAlign w:val="superscript"/>
        </w:rPr>
        <w:footnoteReference w:id="9"/>
      </w:r>
      <w:r w:rsidRPr="00442C8E">
        <w:rPr>
          <w:rFonts w:cs="Times New Roman"/>
          <w:sz w:val="22"/>
          <w:szCs w:val="22"/>
        </w:rPr>
        <w:t>.  Implementer</w:t>
      </w:r>
      <w:r w:rsidRPr="007A3C22">
        <w:rPr>
          <w:rFonts w:asciiTheme="minorHAnsi" w:hAnsiTheme="minorHAnsi"/>
          <w:sz w:val="22"/>
          <w:szCs w:val="22"/>
        </w:rPr>
        <w:t xml:space="preserve"> </w:t>
      </w:r>
      <w:r w:rsidRPr="00442C8E">
        <w:rPr>
          <w:rFonts w:cs="Times New Roman"/>
          <w:sz w:val="22"/>
          <w:szCs w:val="22"/>
        </w:rPr>
        <w:t xml:space="preserve">shall use modified values upon Company’s request, provided Company modifies Implementer’s Program budget and/or overall Program Energy Savings consistent with the requested change. Company will determine any budget increases or decreases in its sole discretion. </w:t>
      </w:r>
      <w:r w:rsidRPr="00442C8E">
        <w:rPr>
          <w:rFonts w:cs="Times New Roman"/>
          <w:i/>
          <w:color w:val="0000FF"/>
          <w:sz w:val="22"/>
          <w:szCs w:val="22"/>
        </w:rPr>
        <w:t>{Comment: placeholder for Agreement term, subject to modification by Company and may be negotiated by Company and Bidder}</w:t>
      </w:r>
    </w:p>
    <w:p w14:paraId="135DEC2A" w14:textId="77777777" w:rsidR="007A3C22" w:rsidRPr="00442C8E" w:rsidRDefault="007A3C22" w:rsidP="007A3C22">
      <w:pPr>
        <w:spacing w:before="120" w:after="120"/>
        <w:ind w:left="720"/>
        <w:rPr>
          <w:rFonts w:cs="Times New Roman"/>
          <w:sz w:val="22"/>
          <w:szCs w:val="22"/>
        </w:rPr>
      </w:pPr>
      <w:r w:rsidRPr="00442C8E">
        <w:rPr>
          <w:rFonts w:cs="Times New Roman"/>
          <w:sz w:val="22"/>
          <w:szCs w:val="22"/>
        </w:rPr>
        <w:t>For Programs claiming to-code savings:</w:t>
      </w:r>
    </w:p>
    <w:p w14:paraId="1539CAFF" w14:textId="77777777" w:rsidR="007A3C22" w:rsidRPr="00442C8E" w:rsidRDefault="007A3C22" w:rsidP="007A3C22">
      <w:pPr>
        <w:spacing w:before="120" w:after="120"/>
        <w:ind w:left="720"/>
        <w:rPr>
          <w:rFonts w:cs="Times New Roman"/>
          <w:sz w:val="22"/>
          <w:szCs w:val="22"/>
        </w:rPr>
      </w:pPr>
      <w:r w:rsidRPr="00442C8E">
        <w:rPr>
          <w:rFonts w:cs="Times New Roman"/>
          <w:sz w:val="22"/>
          <w:szCs w:val="22"/>
        </w:rPr>
        <w:t>Implementer shall comply with Applicable Law and work with Company to address elements in its Program designs and Implementation Plans, such as:</w:t>
      </w:r>
    </w:p>
    <w:p w14:paraId="652D53E7" w14:textId="77777777" w:rsidR="007A3C22" w:rsidRPr="00442C8E" w:rsidRDefault="007A3C22" w:rsidP="007A3C22">
      <w:pPr>
        <w:numPr>
          <w:ilvl w:val="1"/>
          <w:numId w:val="26"/>
        </w:numPr>
        <w:spacing w:before="120" w:after="120" w:line="276" w:lineRule="auto"/>
        <w:ind w:left="1440"/>
        <w:rPr>
          <w:rFonts w:cs="Times New Roman"/>
          <w:sz w:val="22"/>
          <w:szCs w:val="22"/>
        </w:rPr>
      </w:pPr>
      <w:r w:rsidRPr="00442C8E">
        <w:rPr>
          <w:rFonts w:cs="Times New Roman"/>
          <w:sz w:val="22"/>
          <w:szCs w:val="22"/>
        </w:rPr>
        <w:t>Identifying where to-code savings potential resides;</w:t>
      </w:r>
    </w:p>
    <w:p w14:paraId="16F8B8C3" w14:textId="77777777" w:rsidR="007A3C22" w:rsidRPr="00442C8E" w:rsidRDefault="007A3C22" w:rsidP="007A3C22">
      <w:pPr>
        <w:numPr>
          <w:ilvl w:val="1"/>
          <w:numId w:val="26"/>
        </w:numPr>
        <w:spacing w:before="120" w:after="120" w:line="276" w:lineRule="auto"/>
        <w:ind w:left="1440"/>
        <w:rPr>
          <w:rFonts w:cs="Times New Roman"/>
          <w:sz w:val="22"/>
          <w:szCs w:val="22"/>
        </w:rPr>
      </w:pPr>
      <w:r w:rsidRPr="00442C8E">
        <w:rPr>
          <w:rFonts w:cs="Times New Roman"/>
          <w:sz w:val="22"/>
          <w:szCs w:val="22"/>
        </w:rPr>
        <w:t>Specifying which equipment types, building types, geographical locations, and/or customer segments promise cost-effective to-code savings;</w:t>
      </w:r>
    </w:p>
    <w:p w14:paraId="5ED4BD45" w14:textId="77777777" w:rsidR="007A3C22" w:rsidRPr="00442C8E" w:rsidRDefault="007A3C22" w:rsidP="007A3C22">
      <w:pPr>
        <w:numPr>
          <w:ilvl w:val="1"/>
          <w:numId w:val="26"/>
        </w:numPr>
        <w:spacing w:before="120" w:after="120" w:line="276" w:lineRule="auto"/>
        <w:ind w:left="1440"/>
        <w:rPr>
          <w:rFonts w:cs="Times New Roman"/>
          <w:sz w:val="22"/>
          <w:szCs w:val="22"/>
        </w:rPr>
      </w:pPr>
      <w:r w:rsidRPr="00442C8E">
        <w:rPr>
          <w:rFonts w:cs="Times New Roman"/>
          <w:sz w:val="22"/>
          <w:szCs w:val="22"/>
        </w:rPr>
        <w:t xml:space="preserve">Describing the barriers that prevent code-compliant equipment replacements; </w:t>
      </w:r>
    </w:p>
    <w:p w14:paraId="226DF542" w14:textId="77777777" w:rsidR="007A3C22" w:rsidRPr="00442C8E" w:rsidRDefault="007A3C22" w:rsidP="007A3C22">
      <w:pPr>
        <w:numPr>
          <w:ilvl w:val="1"/>
          <w:numId w:val="26"/>
        </w:numPr>
        <w:spacing w:before="120" w:after="120" w:line="276" w:lineRule="auto"/>
        <w:ind w:left="1440"/>
        <w:rPr>
          <w:rFonts w:cs="Times New Roman"/>
          <w:sz w:val="22"/>
          <w:szCs w:val="22"/>
        </w:rPr>
      </w:pPr>
      <w:r w:rsidRPr="00442C8E">
        <w:rPr>
          <w:rFonts w:cs="Times New Roman"/>
          <w:sz w:val="22"/>
          <w:szCs w:val="22"/>
        </w:rPr>
        <w:t>Explaining why natural turnover is not occurring within certain markets or for certain technologies; and</w:t>
      </w:r>
    </w:p>
    <w:p w14:paraId="6F669BBF" w14:textId="77777777" w:rsidR="007A3C22" w:rsidRPr="00442C8E" w:rsidRDefault="007A3C22" w:rsidP="007A3C22">
      <w:pPr>
        <w:numPr>
          <w:ilvl w:val="1"/>
          <w:numId w:val="26"/>
        </w:numPr>
        <w:spacing w:before="120" w:after="120" w:line="276" w:lineRule="auto"/>
        <w:ind w:left="1440"/>
        <w:rPr>
          <w:rFonts w:cs="Times New Roman"/>
          <w:sz w:val="22"/>
          <w:szCs w:val="22"/>
        </w:rPr>
      </w:pPr>
      <w:r w:rsidRPr="00442C8E">
        <w:rPr>
          <w:rFonts w:cs="Times New Roman"/>
          <w:sz w:val="22"/>
          <w:szCs w:val="22"/>
        </w:rPr>
        <w:t xml:space="preserve">Detailing the program interventions that would effectively accelerate equipment turnover. </w:t>
      </w:r>
      <w:r w:rsidRPr="00442C8E">
        <w:rPr>
          <w:rFonts w:cs="Times New Roman"/>
          <w:i/>
          <w:color w:val="0000FF"/>
          <w:sz w:val="22"/>
          <w:szCs w:val="22"/>
        </w:rPr>
        <w:t>{Comment: placeholder for Agreement term}</w:t>
      </w:r>
    </w:p>
    <w:p w14:paraId="6C40A229" w14:textId="5C433567" w:rsidR="00D91B26" w:rsidRPr="00D91B26" w:rsidRDefault="00D91B26" w:rsidP="00D91B26">
      <w:pPr>
        <w:numPr>
          <w:ilvl w:val="0"/>
          <w:numId w:val="29"/>
        </w:numPr>
        <w:spacing w:before="120" w:after="120" w:line="276" w:lineRule="auto"/>
        <w:rPr>
          <w:rFonts w:cs="Times New Roman"/>
          <w:b/>
          <w:bCs/>
          <w:sz w:val="22"/>
          <w:szCs w:val="22"/>
        </w:rPr>
      </w:pPr>
      <w:r>
        <w:rPr>
          <w:rFonts w:cs="Times New Roman"/>
          <w:b/>
          <w:bCs/>
          <w:sz w:val="22"/>
          <w:szCs w:val="22"/>
        </w:rPr>
        <w:t>Data Collection and Ownership Requirements</w:t>
      </w:r>
    </w:p>
    <w:p w14:paraId="62507FAF" w14:textId="7DE1D912" w:rsidR="007A3C22" w:rsidRPr="00442C8E" w:rsidRDefault="007A3C22" w:rsidP="007A3C22">
      <w:pPr>
        <w:numPr>
          <w:ilvl w:val="0"/>
          <w:numId w:val="28"/>
        </w:numPr>
        <w:spacing w:before="120" w:after="120" w:line="276" w:lineRule="auto"/>
        <w:ind w:left="1080"/>
        <w:rPr>
          <w:rFonts w:cs="Times New Roman"/>
          <w:sz w:val="22"/>
          <w:szCs w:val="22"/>
        </w:rPr>
      </w:pPr>
      <w:r w:rsidRPr="00442C8E">
        <w:rPr>
          <w:rFonts w:eastAsia="Calibri" w:cs="Times New Roman"/>
          <w:sz w:val="22"/>
          <w:szCs w:val="22"/>
        </w:rPr>
        <w:t>“</w:t>
      </w:r>
      <w:r w:rsidRPr="00442C8E">
        <w:rPr>
          <w:rFonts w:eastAsia="Calibri" w:cs="Times New Roman"/>
          <w:sz w:val="22"/>
          <w:szCs w:val="22"/>
          <w:u w:val="single"/>
        </w:rPr>
        <w:t>Company Data</w:t>
      </w:r>
      <w:r w:rsidRPr="00442C8E">
        <w:rPr>
          <w:rFonts w:eastAsia="Calibri" w:cs="Times New Roman"/>
          <w:sz w:val="22"/>
          <w:szCs w:val="22"/>
        </w:rPr>
        <w:t xml:space="preserve">” shall mean all data or information provided by or on behalf of Company, including but not limited to, customer personally identifiable information; energy usage data relating to, of, or concerning, provided by or on behalf of any customers; all data or information input, information systems and technology, software, methods, forms, manual’s, and designs, transferred, uploaded, migrated, or otherwise sent by or on behalf of Company to Implementer as Company may approve of in advance and in writing (in each instance); account numbers, forecasts, and other similar information disclosed to or otherwise made available to Implementer.  Company Data shall also include all data and materials provided by or made available to Implementer by Company’s licensors, including but not limited to, </w:t>
      </w:r>
      <w:r w:rsidRPr="00442C8E">
        <w:rPr>
          <w:rFonts w:eastAsia="Calibri" w:cs="Times New Roman"/>
          <w:sz w:val="22"/>
          <w:szCs w:val="22"/>
        </w:rPr>
        <w:lastRenderedPageBreak/>
        <w:t xml:space="preserve">any and all survey responses, feedback, and reports subject to any limitations or restrictions set forth in the agreements between Company and their licensors. </w:t>
      </w:r>
    </w:p>
    <w:p w14:paraId="453F5968" w14:textId="77777777" w:rsidR="007A3C22" w:rsidRPr="00442C8E" w:rsidRDefault="007A3C22" w:rsidP="007A3C22">
      <w:pPr>
        <w:spacing w:after="0"/>
        <w:ind w:left="1080"/>
        <w:contextualSpacing/>
        <w:rPr>
          <w:rFonts w:cs="Times New Roman"/>
          <w:i/>
          <w:color w:val="0000FF"/>
          <w:sz w:val="22"/>
          <w:szCs w:val="22"/>
        </w:rPr>
      </w:pPr>
      <w:r w:rsidRPr="00442C8E">
        <w:rPr>
          <w:rFonts w:eastAsia="Calibri" w:cs="Times New Roman"/>
          <w:sz w:val="22"/>
          <w:szCs w:val="22"/>
        </w:rPr>
        <w:t xml:space="preserve">Prior to Implementer receiving any Company Data, Implementer shall comply, and at all times thereafter continue to comply, in compliance with Company’s Data security policies set forth on Exhibit ___ (“Security Measures”) and pursuant to Company’s Confidentiality provisions in Section [_].  Company’s Data Security Measures and Confidentiality provisions require Implementer to adhere to reasonable administrative, technical, and physical safeguard protocols to protect the Company’s Data from unauthorized handling, access, destruction, use, modification or disclosure.] </w:t>
      </w:r>
      <w:r w:rsidRPr="00442C8E">
        <w:rPr>
          <w:rFonts w:cs="Times New Roman"/>
          <w:i/>
          <w:color w:val="0000FF"/>
          <w:sz w:val="22"/>
          <w:szCs w:val="22"/>
        </w:rPr>
        <w:t>{Comment: placeholder for Agreement term, each Company to add their own set of internal requirements}</w:t>
      </w:r>
    </w:p>
    <w:p w14:paraId="2A55CCCA" w14:textId="31259B4E" w:rsidR="007A3C22" w:rsidRPr="00442C8E" w:rsidRDefault="007A3C22" w:rsidP="007A3C22">
      <w:pPr>
        <w:spacing w:after="0"/>
        <w:ind w:left="1080"/>
        <w:contextualSpacing/>
        <w:rPr>
          <w:rFonts w:cs="Times New Roman"/>
          <w:i/>
          <w:color w:val="0000FF"/>
          <w:sz w:val="22"/>
          <w:szCs w:val="22"/>
        </w:rPr>
      </w:pPr>
    </w:p>
    <w:p w14:paraId="389E2B56" w14:textId="77777777" w:rsidR="007A3C22" w:rsidRPr="00442C8E" w:rsidRDefault="007A3C22" w:rsidP="007A3C22">
      <w:pPr>
        <w:numPr>
          <w:ilvl w:val="0"/>
          <w:numId w:val="28"/>
        </w:numPr>
        <w:spacing w:after="0" w:line="276" w:lineRule="auto"/>
        <w:contextualSpacing/>
        <w:rPr>
          <w:rFonts w:cs="Times New Roman"/>
          <w:sz w:val="22"/>
          <w:szCs w:val="22"/>
        </w:rPr>
      </w:pPr>
      <w:r w:rsidRPr="00442C8E">
        <w:rPr>
          <w:rFonts w:eastAsia="Calibri" w:cs="Times New Roman"/>
          <w:sz w:val="22"/>
          <w:szCs w:val="22"/>
          <w:u w:val="single"/>
        </w:rPr>
        <w:t>Ownership and Use Rights.</w:t>
      </w:r>
    </w:p>
    <w:p w14:paraId="26F166CC" w14:textId="77777777" w:rsidR="007A3C22" w:rsidRPr="00442C8E" w:rsidRDefault="007A3C22" w:rsidP="007A3C22">
      <w:pPr>
        <w:numPr>
          <w:ilvl w:val="1"/>
          <w:numId w:val="27"/>
        </w:numPr>
        <w:spacing w:before="120" w:after="120" w:line="276" w:lineRule="auto"/>
        <w:ind w:left="1080"/>
        <w:rPr>
          <w:rFonts w:eastAsia="Calibri" w:cs="Times New Roman"/>
          <w:sz w:val="22"/>
          <w:szCs w:val="22"/>
        </w:rPr>
      </w:pPr>
      <w:r w:rsidRPr="00442C8E">
        <w:rPr>
          <w:rFonts w:eastAsia="Calibri" w:cs="Times New Roman"/>
          <w:sz w:val="22"/>
          <w:szCs w:val="22"/>
          <w:u w:val="single"/>
        </w:rPr>
        <w:t>Company Data</w:t>
      </w:r>
      <w:r w:rsidRPr="00442C8E">
        <w:rPr>
          <w:rFonts w:eastAsia="Calibri" w:cs="Times New Roman"/>
          <w:sz w:val="22"/>
          <w:szCs w:val="22"/>
        </w:rPr>
        <w:t xml:space="preserve">. Unless otherwise expressly agreed to by the Parties, Company shall retain all of its rights, title and interest in Company’s Data.  </w:t>
      </w:r>
      <w:r w:rsidRPr="00442C8E">
        <w:rPr>
          <w:rFonts w:cs="Times New Roman"/>
          <w:i/>
          <w:color w:val="0000FF"/>
          <w:sz w:val="22"/>
          <w:szCs w:val="22"/>
        </w:rPr>
        <w:t>{Comment: placeholder for Agreement term, each Company to add their own set of internal requirements}</w:t>
      </w:r>
    </w:p>
    <w:p w14:paraId="160170CF" w14:textId="2DAFA18B" w:rsidR="007A3C22" w:rsidRPr="00442C8E" w:rsidRDefault="007A3C22" w:rsidP="007A3C22">
      <w:pPr>
        <w:numPr>
          <w:ilvl w:val="1"/>
          <w:numId w:val="27"/>
        </w:numPr>
        <w:spacing w:before="120" w:after="120" w:line="276" w:lineRule="auto"/>
        <w:ind w:left="1080"/>
        <w:rPr>
          <w:rFonts w:eastAsia="Calibri" w:cs="Times New Roman"/>
          <w:color w:val="000000" w:themeColor="text1"/>
          <w:sz w:val="22"/>
          <w:szCs w:val="22"/>
        </w:rPr>
      </w:pPr>
      <w:r w:rsidRPr="00442C8E">
        <w:rPr>
          <w:rFonts w:eastAsia="Calibri" w:cs="Times New Roman"/>
          <w:sz w:val="22"/>
          <w:szCs w:val="22"/>
          <w:u w:val="single"/>
        </w:rPr>
        <w:t>Program Intellectual Property</w:t>
      </w:r>
      <w:r w:rsidRPr="00442C8E">
        <w:rPr>
          <w:rFonts w:eastAsia="Calibri" w:cs="Times New Roman"/>
          <w:sz w:val="22"/>
          <w:szCs w:val="22"/>
        </w:rPr>
        <w:t xml:space="preserve">.  Unless otherwise expressly agreed to by the Parties, </w:t>
      </w:r>
      <w:r w:rsidRPr="00442C8E">
        <w:rPr>
          <w:rFonts w:eastAsia="Calibri" w:cs="Times New Roman"/>
          <w:color w:val="000000" w:themeColor="text1"/>
          <w:sz w:val="22"/>
          <w:szCs w:val="22"/>
        </w:rPr>
        <w:t>any and all materials, information, or other work product created, prepared, accumulated or developed by Implementer or any Implementer Party under this Agreement with Program funds (“Program Intellectual Property”), including, without limitation, inventions, processes, templates, documents, drawings, computer programs, designs, calculations, maps, plans, workplans, text, filings, estimates, manifests, certificates, books, specifications, sketches, notes, reports, summaries, analyses, manuals, visual materials,  data models and samples, including summaries, extracts, analyses and preliminary or draft materials developed in connection therewith, shall be jointly owned by the Company and Program Participants</w:t>
      </w:r>
      <w:r w:rsidRPr="00442C8E">
        <w:rPr>
          <w:rFonts w:eastAsia="Calibri" w:cs="Times New Roman"/>
          <w:color w:val="000000" w:themeColor="text1"/>
          <w:sz w:val="22"/>
          <w:szCs w:val="22"/>
          <w:vertAlign w:val="superscript"/>
        </w:rPr>
        <w:footnoteReference w:id="10"/>
      </w:r>
      <w:r w:rsidRPr="00442C8E">
        <w:rPr>
          <w:rFonts w:eastAsia="Calibri" w:cs="Times New Roman"/>
          <w:color w:val="000000" w:themeColor="text1"/>
          <w:sz w:val="22"/>
          <w:szCs w:val="22"/>
        </w:rPr>
        <w:t xml:space="preserve">, if any and without further consideration, on behalf and for the benefit of their respective customers.  Program Intellectual Property will be owned by Company upon its creation. Implementer agrees to execute any such other documents or take other actions as Company may reasonably request to perfect Company’s ownership in the Program Intellectual Property.  Implementer and Implementer Parties shall retain no interest, title or ownership in any Program Intellectual Property and such Program Intellectual Property shall be used by Implementer and Implementer Parties only to perform the obligations set forth hereunder.  The Program Intellectual Property shall not be used for any purpose that is outside the direct scope of this Agreement, including, without limitation, for any commercial purposes in Implementer or an Implementer’s Party’s general course of business, nor shall it be disclosed without the prior written consent of Company.  </w:t>
      </w:r>
      <w:r w:rsidRPr="00442C8E">
        <w:rPr>
          <w:rFonts w:cs="Times New Roman"/>
          <w:i/>
          <w:color w:val="0000FF"/>
          <w:sz w:val="22"/>
          <w:szCs w:val="22"/>
        </w:rPr>
        <w:t>{Comment: placeholder for Agreement term, each Company to add their own set of internal requirements}</w:t>
      </w:r>
    </w:p>
    <w:p w14:paraId="505180BA" w14:textId="77777777" w:rsidR="007A3C22" w:rsidRPr="00442C8E" w:rsidRDefault="007A3C22" w:rsidP="007A3C22">
      <w:pPr>
        <w:numPr>
          <w:ilvl w:val="1"/>
          <w:numId w:val="27"/>
        </w:numPr>
        <w:spacing w:before="120" w:after="120" w:line="276" w:lineRule="auto"/>
        <w:ind w:left="1080"/>
        <w:rPr>
          <w:rFonts w:eastAsia="Calibri" w:cs="Times New Roman"/>
          <w:color w:val="000000" w:themeColor="text1"/>
          <w:sz w:val="22"/>
          <w:szCs w:val="22"/>
        </w:rPr>
      </w:pPr>
      <w:r w:rsidRPr="00442C8E">
        <w:rPr>
          <w:rFonts w:eastAsia="Calibri" w:cs="Times New Roman"/>
          <w:color w:val="000000" w:themeColor="text1"/>
          <w:sz w:val="22"/>
          <w:szCs w:val="22"/>
          <w:u w:val="single"/>
        </w:rPr>
        <w:t>Implementer’s Pre-Existing Materials</w:t>
      </w:r>
      <w:r w:rsidRPr="00442C8E">
        <w:rPr>
          <w:rFonts w:eastAsia="Calibri" w:cs="Times New Roman"/>
          <w:color w:val="000000" w:themeColor="text1"/>
          <w:sz w:val="22"/>
          <w:szCs w:val="22"/>
        </w:rPr>
        <w:t xml:space="preserve">. If, and to the extent Implementer retains any preexisting ownership rights (“Implementer’s  Pre-Existing Materials”) in any of the materials furnished to be used to create, develop, and prepare the Program Intellectual Property, Implementer hereby grants Company and the Program Participants on behalf of </w:t>
      </w:r>
      <w:r w:rsidRPr="00442C8E">
        <w:rPr>
          <w:rFonts w:eastAsia="Calibri" w:cs="Times New Roman"/>
          <w:color w:val="000000" w:themeColor="text1"/>
          <w:sz w:val="22"/>
          <w:szCs w:val="22"/>
        </w:rPr>
        <w:lastRenderedPageBreak/>
        <w:t xml:space="preserve">their respective customers and the CPUC for governmental and regulatory purposes an irrevocable, assignable, non-exclusive, perpetual, fully paid up, worldwide, royalty-free, unrestricted license to use and sublicense others to use, reproduce, display, prepare and develop derivative works, perform, distribute copies of any intellectual or proprietary property right of Implementer or any Implementer Party for the sole purpose of using such Program Intellectual Property for the conduct of Company’s business and for disclosure to the CPUC for governmental and regulatory purposes related thereto.  Unless otherwise expressly agreed to by the Parties, Implementer shall retain all of its rights, title and interest in Implementer’s Pre-Existing Materials.  Any and all claims to Implementer’s Pre-Existing Materials to be furnished or used to prepare, create, develop or otherwise manifest the Program Intellectual Property must be expressly disclosed to Company prior to performing any Services under this Agreement. </w:t>
      </w:r>
      <w:r w:rsidRPr="00442C8E">
        <w:rPr>
          <w:rFonts w:cs="Times New Roman"/>
          <w:i/>
          <w:color w:val="0000FF"/>
          <w:sz w:val="22"/>
          <w:szCs w:val="22"/>
        </w:rPr>
        <w:t>{Comment: placeholder for Agreement term, each Company to add their own requirements}</w:t>
      </w:r>
    </w:p>
    <w:p w14:paraId="61C43D01" w14:textId="77777777" w:rsidR="007A3C22" w:rsidRPr="00D91B26" w:rsidRDefault="007A3C22" w:rsidP="007A3C22">
      <w:pPr>
        <w:numPr>
          <w:ilvl w:val="0"/>
          <w:numId w:val="28"/>
        </w:numPr>
        <w:spacing w:before="120" w:after="120" w:line="276" w:lineRule="auto"/>
        <w:rPr>
          <w:rFonts w:cs="Times New Roman"/>
          <w:bCs/>
          <w:sz w:val="22"/>
          <w:szCs w:val="22"/>
          <w:u w:val="single"/>
        </w:rPr>
      </w:pPr>
      <w:r w:rsidRPr="00D91B26">
        <w:rPr>
          <w:rFonts w:cs="Times New Roman"/>
          <w:sz w:val="22"/>
          <w:szCs w:val="22"/>
          <w:u w:val="single"/>
        </w:rPr>
        <w:t>Billing, Energy Use, and Program Tracking Data.</w:t>
      </w:r>
      <w:r w:rsidRPr="00D91B26">
        <w:rPr>
          <w:rFonts w:cs="Times New Roman"/>
          <w:sz w:val="22"/>
          <w:szCs w:val="22"/>
        </w:rPr>
        <w:t xml:space="preserve"> </w:t>
      </w:r>
    </w:p>
    <w:p w14:paraId="40653C9C" w14:textId="46A9A17C" w:rsidR="007A3C22" w:rsidRPr="00442C8E" w:rsidRDefault="007A3C22" w:rsidP="007A3C22">
      <w:pPr>
        <w:spacing w:before="120" w:after="120"/>
        <w:ind w:left="720"/>
        <w:rPr>
          <w:rFonts w:cs="Times New Roman"/>
          <w:b/>
          <w:bCs/>
          <w:sz w:val="22"/>
          <w:szCs w:val="22"/>
          <w:u w:val="single"/>
        </w:rPr>
      </w:pPr>
      <w:r w:rsidRPr="00442C8E">
        <w:rPr>
          <w:rFonts w:cs="Times New Roman"/>
          <w:sz w:val="22"/>
          <w:szCs w:val="22"/>
        </w:rPr>
        <w:t>Implementer shall comply with and timely cooperate with all CPUC directives, activities, and requests regarding the Program and Project evaluation, measurement, and verification (EM&amp;V)</w:t>
      </w:r>
      <w:r w:rsidR="00E644E2">
        <w:rPr>
          <w:rFonts w:cs="Times New Roman"/>
          <w:sz w:val="22"/>
          <w:szCs w:val="22"/>
        </w:rPr>
        <w:t>, and Rolling Portfolio sector and implementation plan metrics</w:t>
      </w:r>
      <w:r w:rsidRPr="00442C8E">
        <w:rPr>
          <w:rFonts w:cs="Times New Roman"/>
          <w:sz w:val="22"/>
          <w:szCs w:val="22"/>
        </w:rPr>
        <w:t xml:space="preserve">.  </w:t>
      </w:r>
      <w:r w:rsidRPr="00442C8E">
        <w:rPr>
          <w:rFonts w:cs="Times New Roman"/>
          <w:i/>
          <w:color w:val="0000FF"/>
          <w:sz w:val="22"/>
          <w:szCs w:val="22"/>
        </w:rPr>
        <w:t>{Comment: placeholder for Agreement term, each Company to add their own requirements}</w:t>
      </w:r>
    </w:p>
    <w:p w14:paraId="06D30012" w14:textId="77777777" w:rsidR="007A3C22" w:rsidRPr="00442C8E" w:rsidRDefault="007A3C22" w:rsidP="007A3C22">
      <w:pPr>
        <w:spacing w:before="120" w:after="120"/>
        <w:ind w:left="720"/>
        <w:rPr>
          <w:rFonts w:eastAsia="Calibri" w:cs="Times New Roman"/>
          <w:sz w:val="22"/>
          <w:szCs w:val="22"/>
        </w:rPr>
      </w:pPr>
      <w:r w:rsidRPr="00442C8E">
        <w:rPr>
          <w:rFonts w:eastAsia="Calibri" w:cs="Times New Roman"/>
          <w:sz w:val="22"/>
          <w:szCs w:val="22"/>
        </w:rPr>
        <w:t xml:space="preserve">Implementer shall make available to Company upon demand, detailed descriptions of the program, data tracking systems, baseline conditions, and participant data, including financial assistance amounts. </w:t>
      </w:r>
      <w:r w:rsidRPr="00442C8E">
        <w:rPr>
          <w:rFonts w:cs="Times New Roman"/>
          <w:i/>
          <w:color w:val="0000FF"/>
          <w:sz w:val="22"/>
          <w:szCs w:val="22"/>
        </w:rPr>
        <w:t>{Comment: placeholder for Agreement term, each Company to add their own requirements}</w:t>
      </w:r>
    </w:p>
    <w:p w14:paraId="67B66C62" w14:textId="77777777" w:rsidR="007A3C22" w:rsidRPr="00442C8E" w:rsidRDefault="007A3C22" w:rsidP="007A3C22">
      <w:pPr>
        <w:spacing w:after="0"/>
        <w:ind w:left="720"/>
        <w:contextualSpacing/>
        <w:rPr>
          <w:rFonts w:cs="Times New Roman"/>
          <w:b/>
          <w:sz w:val="22"/>
          <w:szCs w:val="22"/>
          <w:u w:val="single"/>
        </w:rPr>
      </w:pPr>
      <w:r w:rsidRPr="00442C8E">
        <w:rPr>
          <w:rFonts w:eastAsia="Calibri" w:cs="Times New Roman"/>
          <w:sz w:val="22"/>
          <w:szCs w:val="22"/>
        </w:rPr>
        <w:t xml:space="preserve">Implementer shall make available to Company any revisions to Implementer's program theory and logic model (PTLM) and results from its quality assurance procedures, and comply with all Company EM&amp;V requirements, including reporting of progress and evaluation metrics.] </w:t>
      </w:r>
      <w:r w:rsidRPr="00442C8E">
        <w:rPr>
          <w:rFonts w:cs="Times New Roman"/>
          <w:i/>
          <w:color w:val="0000FF"/>
          <w:sz w:val="22"/>
          <w:szCs w:val="22"/>
        </w:rPr>
        <w:t>{Comment: placeholder for Agreement term, each Company to add their own requirements}</w:t>
      </w:r>
    </w:p>
    <w:p w14:paraId="5C68CE21" w14:textId="77777777" w:rsidR="007A3C22" w:rsidRPr="00442C8E" w:rsidRDefault="007A3C22" w:rsidP="007A3C22">
      <w:pPr>
        <w:numPr>
          <w:ilvl w:val="0"/>
          <w:numId w:val="28"/>
        </w:numPr>
        <w:spacing w:before="120" w:after="120" w:line="276" w:lineRule="auto"/>
        <w:rPr>
          <w:rFonts w:eastAsia="Calibri" w:cs="Times New Roman"/>
          <w:sz w:val="22"/>
          <w:szCs w:val="22"/>
        </w:rPr>
      </w:pPr>
      <w:r w:rsidRPr="00442C8E">
        <w:rPr>
          <w:rFonts w:eastAsia="Calibri" w:cs="Times New Roman"/>
          <w:sz w:val="22"/>
          <w:szCs w:val="22"/>
          <w:u w:val="single"/>
        </w:rPr>
        <w:t>Access to Customer Sites</w:t>
      </w:r>
      <w:r w:rsidRPr="00442C8E">
        <w:rPr>
          <w:rFonts w:eastAsia="Calibri" w:cs="Times New Roman"/>
          <w:sz w:val="22"/>
          <w:szCs w:val="22"/>
        </w:rPr>
        <w:t xml:space="preserve">.  </w:t>
      </w:r>
    </w:p>
    <w:p w14:paraId="3BB8C2B9" w14:textId="713C6462" w:rsidR="007A3C22" w:rsidRDefault="007A3C22" w:rsidP="007A3C22">
      <w:pPr>
        <w:spacing w:before="120" w:after="120"/>
        <w:ind w:left="360"/>
        <w:rPr>
          <w:rFonts w:cs="Times New Roman"/>
          <w:i/>
          <w:color w:val="0000FF"/>
          <w:sz w:val="22"/>
          <w:szCs w:val="22"/>
        </w:rPr>
      </w:pPr>
      <w:r w:rsidRPr="00442C8E">
        <w:rPr>
          <w:rFonts w:eastAsia="Calibri" w:cs="Times New Roman"/>
          <w:sz w:val="22"/>
          <w:szCs w:val="22"/>
        </w:rPr>
        <w:t xml:space="preserve">Implementer shall be responsible for obtaining any and all access rights from customers and other third parties to the extent necessary to perform the Services.  Implementer shall also procure any and all access rights from Implementer Parties, Customers and other third parties in order for Company and CPUC employees, representatives, designees and contractors to inspect the Services. </w:t>
      </w:r>
      <w:r w:rsidRPr="00442C8E">
        <w:rPr>
          <w:rFonts w:cs="Times New Roman"/>
          <w:i/>
          <w:color w:val="0000FF"/>
          <w:sz w:val="22"/>
          <w:szCs w:val="22"/>
        </w:rPr>
        <w:t>{Comment: placeholder for Agreement term, each Company to add their own requirements}</w:t>
      </w:r>
    </w:p>
    <w:p w14:paraId="2865B507" w14:textId="77777777" w:rsidR="00D91B26" w:rsidRPr="00D91B26" w:rsidRDefault="00D91B26" w:rsidP="00D91B26">
      <w:pPr>
        <w:numPr>
          <w:ilvl w:val="0"/>
          <w:numId w:val="29"/>
        </w:numPr>
        <w:spacing w:before="120" w:after="120" w:line="276" w:lineRule="auto"/>
        <w:rPr>
          <w:rFonts w:cs="Times New Roman"/>
          <w:b/>
          <w:bCs/>
          <w:sz w:val="22"/>
          <w:szCs w:val="22"/>
        </w:rPr>
      </w:pPr>
      <w:r>
        <w:rPr>
          <w:rFonts w:cs="Times New Roman"/>
          <w:b/>
          <w:bCs/>
          <w:color w:val="000000" w:themeColor="text1"/>
          <w:sz w:val="22"/>
          <w:szCs w:val="22"/>
        </w:rPr>
        <w:t>Method for Calculating Co-Benefits and Economic Development Benefits of Programs in Disadvantaged Communities and/or for Hard-to-Reach Customers</w:t>
      </w:r>
    </w:p>
    <w:p w14:paraId="0BF097BE" w14:textId="1F575502" w:rsidR="00C17493" w:rsidRDefault="00EB52A4" w:rsidP="00D91B26">
      <w:pPr>
        <w:pStyle w:val="ListParagraph"/>
        <w:spacing w:line="276" w:lineRule="auto"/>
        <w:ind w:left="360"/>
        <w:rPr>
          <w:rFonts w:eastAsia="Calibri" w:cs="Times New Roman"/>
          <w:sz w:val="22"/>
          <w:szCs w:val="22"/>
        </w:rPr>
      </w:pPr>
      <w:r w:rsidRPr="00EB52A4">
        <w:rPr>
          <w:rFonts w:eastAsia="Calibri" w:cs="Times New Roman"/>
          <w:sz w:val="22"/>
          <w:szCs w:val="22"/>
        </w:rPr>
        <w:t xml:space="preserve">Implementer shall provide to Company all documentation and data identified in Table XX necessary to calculate the co-benefits </w:t>
      </w:r>
      <w:r w:rsidR="00286852">
        <w:rPr>
          <w:rFonts w:eastAsia="Calibri" w:cs="Times New Roman"/>
          <w:sz w:val="22"/>
          <w:szCs w:val="22"/>
        </w:rPr>
        <w:t xml:space="preserve">(or non-energy benefits – NEBs) </w:t>
      </w:r>
      <w:r w:rsidRPr="00EB52A4">
        <w:rPr>
          <w:rFonts w:eastAsia="Calibri" w:cs="Times New Roman"/>
          <w:sz w:val="22"/>
          <w:szCs w:val="22"/>
        </w:rPr>
        <w:t>and economic development benefits of the Program, at the frequency stipulated in Table XX.  Implementer shall utilize the methods outlined in study “XXXXXX”, or as otherwise agreed to between the Company and Implementer, to calculate co-benefits and economic development benefits</w:t>
      </w:r>
      <w:r>
        <w:rPr>
          <w:rFonts w:eastAsia="Calibri" w:cs="Times New Roman"/>
          <w:sz w:val="22"/>
          <w:szCs w:val="22"/>
        </w:rPr>
        <w:t>.</w:t>
      </w:r>
    </w:p>
    <w:p w14:paraId="716ECB90" w14:textId="37CADDB6" w:rsidR="00EB52A4" w:rsidRDefault="00EB52A4" w:rsidP="00D91B26">
      <w:pPr>
        <w:pStyle w:val="ListParagraph"/>
        <w:spacing w:line="276" w:lineRule="auto"/>
        <w:ind w:left="360"/>
        <w:rPr>
          <w:rFonts w:cs="Times New Roman"/>
          <w:i/>
          <w:color w:val="0000FF"/>
          <w:sz w:val="22"/>
          <w:szCs w:val="22"/>
        </w:rPr>
      </w:pPr>
      <w:r w:rsidRPr="00442C8E">
        <w:rPr>
          <w:rFonts w:eastAsia="Times New Roman" w:cs="Times New Roman"/>
          <w:sz w:val="22"/>
          <w:szCs w:val="22"/>
        </w:rPr>
        <w:t>“</w:t>
      </w:r>
      <w:r>
        <w:rPr>
          <w:rFonts w:eastAsia="Times New Roman" w:cs="Times New Roman"/>
          <w:sz w:val="22"/>
          <w:szCs w:val="22"/>
          <w:u w:val="single"/>
        </w:rPr>
        <w:t>Co-Benefits</w:t>
      </w:r>
      <w:r w:rsidRPr="00442C8E">
        <w:rPr>
          <w:rFonts w:eastAsia="Times New Roman" w:cs="Times New Roman"/>
          <w:sz w:val="22"/>
          <w:szCs w:val="22"/>
        </w:rPr>
        <w:t xml:space="preserve">” </w:t>
      </w:r>
      <w:r w:rsidRPr="00442C8E">
        <w:rPr>
          <w:rFonts w:eastAsia="Times New Roman" w:cs="Times New Roman"/>
          <w:bCs/>
          <w:sz w:val="22"/>
          <w:szCs w:val="22"/>
        </w:rPr>
        <w:t xml:space="preserve">means </w:t>
      </w:r>
      <w:r w:rsidRPr="00EB52A4">
        <w:rPr>
          <w:rFonts w:eastAsia="Times New Roman" w:cs="Times New Roman"/>
          <w:bCs/>
          <w:sz w:val="22"/>
          <w:szCs w:val="22"/>
        </w:rPr>
        <w:t xml:space="preserve">non-energy related benefits (such as </w:t>
      </w:r>
      <w:r w:rsidR="00286852">
        <w:rPr>
          <w:rFonts w:eastAsia="Times New Roman" w:cs="Times New Roman"/>
          <w:bCs/>
          <w:sz w:val="22"/>
          <w:szCs w:val="22"/>
        </w:rPr>
        <w:t>decreased GHG emissions, fewer sick days, etc.</w:t>
      </w:r>
      <w:r w:rsidRPr="00EB52A4">
        <w:rPr>
          <w:rFonts w:eastAsia="Times New Roman" w:cs="Times New Roman"/>
          <w:bCs/>
          <w:sz w:val="22"/>
          <w:szCs w:val="22"/>
        </w:rPr>
        <w:t>), particularly in regard to hard-to-reach and disadvantaged communities, that both local government partners and utility partners receive as part of the program.</w:t>
      </w:r>
    </w:p>
    <w:p w14:paraId="7C72F0D1" w14:textId="5507F6A7" w:rsidR="00EB52A4" w:rsidRDefault="00EB52A4" w:rsidP="00EB52A4">
      <w:pPr>
        <w:pStyle w:val="ListParagraph"/>
        <w:spacing w:line="276" w:lineRule="auto"/>
        <w:ind w:left="360"/>
        <w:rPr>
          <w:rFonts w:eastAsia="Times New Roman" w:cs="Times New Roman"/>
          <w:bCs/>
          <w:sz w:val="22"/>
          <w:szCs w:val="22"/>
        </w:rPr>
      </w:pPr>
      <w:r w:rsidRPr="00442C8E">
        <w:rPr>
          <w:rFonts w:eastAsia="Times New Roman" w:cs="Times New Roman"/>
          <w:sz w:val="22"/>
          <w:szCs w:val="22"/>
        </w:rPr>
        <w:lastRenderedPageBreak/>
        <w:t>“</w:t>
      </w:r>
      <w:r w:rsidRPr="00DF04A0">
        <w:rPr>
          <w:rFonts w:eastAsia="Times New Roman" w:cs="Times New Roman"/>
          <w:sz w:val="22"/>
          <w:szCs w:val="22"/>
          <w:u w:val="single"/>
        </w:rPr>
        <w:t>Economic Development Benefits</w:t>
      </w:r>
      <w:r w:rsidRPr="00442C8E">
        <w:rPr>
          <w:rFonts w:eastAsia="Times New Roman" w:cs="Times New Roman"/>
          <w:sz w:val="22"/>
          <w:szCs w:val="22"/>
        </w:rPr>
        <w:t xml:space="preserve">” </w:t>
      </w:r>
      <w:r>
        <w:rPr>
          <w:rFonts w:eastAsia="Times New Roman" w:cs="Times New Roman"/>
          <w:bCs/>
          <w:sz w:val="22"/>
          <w:szCs w:val="22"/>
        </w:rPr>
        <w:t>means</w:t>
      </w:r>
      <w:r w:rsidRPr="00EB52A4">
        <w:rPr>
          <w:rFonts w:eastAsia="Times New Roman" w:cs="Times New Roman"/>
          <w:bCs/>
          <w:sz w:val="22"/>
          <w:szCs w:val="22"/>
        </w:rPr>
        <w:t xml:space="preserve"> local economic impacts</w:t>
      </w:r>
      <w:r w:rsidR="00286852">
        <w:rPr>
          <w:rFonts w:eastAsia="Times New Roman" w:cs="Times New Roman"/>
          <w:bCs/>
          <w:sz w:val="22"/>
          <w:szCs w:val="22"/>
        </w:rPr>
        <w:t xml:space="preserve"> (such as increased property values, number of jobs created, etc.) </w:t>
      </w:r>
      <w:r w:rsidRPr="00EB52A4">
        <w:rPr>
          <w:rFonts w:eastAsia="Times New Roman" w:cs="Times New Roman"/>
          <w:bCs/>
          <w:sz w:val="22"/>
          <w:szCs w:val="22"/>
        </w:rPr>
        <w:t>, particularly in regard to hard-to-reach and disadvantaged communities, associated with the Local Government Partnership program.</w:t>
      </w:r>
    </w:p>
    <w:p w14:paraId="33300F97" w14:textId="78A483B7" w:rsidR="00EB52A4" w:rsidRPr="00442C8E" w:rsidRDefault="00EB52A4" w:rsidP="00EB52A4">
      <w:pPr>
        <w:keepNext/>
        <w:keepLines/>
        <w:spacing w:after="0" w:line="276" w:lineRule="auto"/>
        <w:ind w:left="720"/>
        <w:outlineLvl w:val="2"/>
        <w:rPr>
          <w:rFonts w:eastAsiaTheme="majorEastAsia" w:cs="Times New Roman"/>
          <w:b/>
          <w:color w:val="243F60" w:themeColor="accent1" w:themeShade="7F"/>
          <w:sz w:val="22"/>
        </w:rPr>
      </w:pPr>
      <w:r>
        <w:rPr>
          <w:rFonts w:eastAsiaTheme="majorEastAsia" w:cs="Times New Roman"/>
          <w:b/>
          <w:color w:val="243F60" w:themeColor="accent1" w:themeShade="7F"/>
          <w:sz w:val="22"/>
        </w:rPr>
        <w:t>Table</w:t>
      </w:r>
      <w:r w:rsidRPr="00442C8E">
        <w:rPr>
          <w:rFonts w:eastAsiaTheme="majorEastAsia" w:cs="Times New Roman"/>
          <w:b/>
          <w:color w:val="243F60" w:themeColor="accent1" w:themeShade="7F"/>
          <w:sz w:val="22"/>
        </w:rPr>
        <w:t xml:space="preserve"> </w:t>
      </w:r>
      <w:r>
        <w:rPr>
          <w:rFonts w:eastAsiaTheme="majorEastAsia" w:cs="Times New Roman"/>
          <w:b/>
          <w:color w:val="243F60" w:themeColor="accent1" w:themeShade="7F"/>
          <w:sz w:val="22"/>
        </w:rPr>
        <w:t>2</w:t>
      </w:r>
      <w:r w:rsidRPr="00442C8E">
        <w:rPr>
          <w:rFonts w:eastAsiaTheme="majorEastAsia" w:cs="Times New Roman"/>
          <w:b/>
          <w:color w:val="243F60" w:themeColor="accent1" w:themeShade="7F"/>
          <w:sz w:val="22"/>
        </w:rPr>
        <w:t xml:space="preserve">: </w:t>
      </w:r>
      <w:r>
        <w:rPr>
          <w:rFonts w:eastAsiaTheme="majorEastAsia" w:cs="Times New Roman"/>
          <w:b/>
          <w:color w:val="243F60" w:themeColor="accent1" w:themeShade="7F"/>
          <w:sz w:val="22"/>
        </w:rPr>
        <w:t>Co-benefits/Economic Development Benefit Fields</w:t>
      </w:r>
    </w:p>
    <w:tbl>
      <w:tblPr>
        <w:tblStyle w:val="TableGrid1"/>
        <w:tblW w:w="0" w:type="auto"/>
        <w:tblInd w:w="828" w:type="dxa"/>
        <w:tblLayout w:type="fixed"/>
        <w:tblLook w:val="04A0" w:firstRow="1" w:lastRow="0" w:firstColumn="1" w:lastColumn="0" w:noHBand="0" w:noVBand="1"/>
      </w:tblPr>
      <w:tblGrid>
        <w:gridCol w:w="2497"/>
        <w:gridCol w:w="2610"/>
      </w:tblGrid>
      <w:tr w:rsidR="00EB52A4" w:rsidRPr="00442C8E" w14:paraId="6901D55D" w14:textId="77777777" w:rsidTr="00DF04A0">
        <w:tc>
          <w:tcPr>
            <w:tcW w:w="2497" w:type="dxa"/>
            <w:shd w:val="clear" w:color="auto" w:fill="000000" w:themeFill="text1"/>
            <w:vAlign w:val="center"/>
          </w:tcPr>
          <w:p w14:paraId="192369C2" w14:textId="5982C826" w:rsidR="00EB52A4" w:rsidRPr="00442C8E" w:rsidRDefault="00EB52A4" w:rsidP="00E0001B">
            <w:pPr>
              <w:spacing w:before="120" w:after="120"/>
              <w:jc w:val="center"/>
              <w:rPr>
                <w:rFonts w:ascii="Times New Roman" w:hAnsi="Times New Roman" w:cs="Times New Roman"/>
                <w:b/>
              </w:rPr>
            </w:pPr>
            <w:r>
              <w:rPr>
                <w:rFonts w:ascii="Times New Roman" w:hAnsi="Times New Roman" w:cs="Times New Roman"/>
                <w:b/>
              </w:rPr>
              <w:t>Data Field</w:t>
            </w:r>
          </w:p>
        </w:tc>
        <w:tc>
          <w:tcPr>
            <w:tcW w:w="2610" w:type="dxa"/>
            <w:shd w:val="clear" w:color="auto" w:fill="000000" w:themeFill="text1"/>
            <w:vAlign w:val="center"/>
          </w:tcPr>
          <w:p w14:paraId="7E9D0626" w14:textId="3BEEEB8B" w:rsidR="00EB52A4" w:rsidRPr="00442C8E" w:rsidRDefault="00EB52A4" w:rsidP="00DF04A0">
            <w:pPr>
              <w:spacing w:before="120" w:after="120"/>
              <w:jc w:val="center"/>
              <w:rPr>
                <w:rFonts w:ascii="Times New Roman" w:hAnsi="Times New Roman" w:cs="Times New Roman"/>
                <w:b/>
              </w:rPr>
            </w:pPr>
            <w:r>
              <w:rPr>
                <w:rFonts w:ascii="Times New Roman" w:hAnsi="Times New Roman" w:cs="Times New Roman"/>
                <w:b/>
              </w:rPr>
              <w:t>Frequency</w:t>
            </w:r>
          </w:p>
        </w:tc>
      </w:tr>
      <w:tr w:rsidR="00EB52A4" w:rsidRPr="00442C8E" w14:paraId="6EF13569" w14:textId="77777777" w:rsidTr="00DF04A0">
        <w:trPr>
          <w:trHeight w:val="20"/>
        </w:trPr>
        <w:tc>
          <w:tcPr>
            <w:tcW w:w="2497" w:type="dxa"/>
            <w:vAlign w:val="center"/>
          </w:tcPr>
          <w:p w14:paraId="2DD018BD" w14:textId="42CFEAA7" w:rsidR="00EB52A4" w:rsidRPr="00442C8E" w:rsidRDefault="00EB52A4" w:rsidP="00271C72">
            <w:pPr>
              <w:spacing w:before="120" w:after="120"/>
              <w:rPr>
                <w:rFonts w:ascii="Times New Roman" w:hAnsi="Times New Roman" w:cs="Times New Roman"/>
                <w:b/>
              </w:rPr>
            </w:pPr>
            <w:r>
              <w:rPr>
                <w:rFonts w:ascii="Times New Roman" w:hAnsi="Times New Roman" w:cs="Times New Roman"/>
                <w:b/>
              </w:rPr>
              <w:t>TBD</w:t>
            </w:r>
          </w:p>
          <w:p w14:paraId="2351D823" w14:textId="196BF501" w:rsidR="00EB52A4" w:rsidRPr="00442C8E" w:rsidRDefault="00EB52A4" w:rsidP="00E0001B">
            <w:pPr>
              <w:spacing w:before="120" w:after="120"/>
              <w:rPr>
                <w:rFonts w:ascii="Times New Roman" w:hAnsi="Times New Roman" w:cs="Times New Roman"/>
              </w:rPr>
            </w:pPr>
            <w:r w:rsidRPr="00442C8E">
              <w:rPr>
                <w:rFonts w:ascii="Times New Roman" w:hAnsi="Times New Roman" w:cs="Times New Roman"/>
              </w:rPr>
              <w:t>(</w:t>
            </w:r>
            <w:r>
              <w:rPr>
                <w:rFonts w:ascii="Times New Roman" w:hAnsi="Times New Roman" w:cs="Times New Roman"/>
              </w:rPr>
              <w:t>TBD</w:t>
            </w:r>
            <w:r w:rsidRPr="00442C8E">
              <w:rPr>
                <w:rFonts w:ascii="Times New Roman" w:hAnsi="Times New Roman" w:cs="Times New Roman"/>
              </w:rPr>
              <w:t>)</w:t>
            </w:r>
          </w:p>
        </w:tc>
        <w:tc>
          <w:tcPr>
            <w:tcW w:w="2610" w:type="dxa"/>
            <w:vAlign w:val="center"/>
          </w:tcPr>
          <w:p w14:paraId="15DD8983" w14:textId="47CBDBE3" w:rsidR="00EB52A4" w:rsidRPr="00442C8E" w:rsidRDefault="00EB52A4" w:rsidP="00271C72">
            <w:pPr>
              <w:spacing w:before="120" w:after="120"/>
              <w:rPr>
                <w:rFonts w:ascii="Times New Roman" w:hAnsi="Times New Roman" w:cs="Times New Roman"/>
              </w:rPr>
            </w:pPr>
            <w:r>
              <w:rPr>
                <w:rFonts w:ascii="Times New Roman" w:hAnsi="Times New Roman" w:cs="Times New Roman"/>
              </w:rPr>
              <w:t>TBD</w:t>
            </w:r>
          </w:p>
        </w:tc>
      </w:tr>
    </w:tbl>
    <w:p w14:paraId="4A04FD13" w14:textId="3C6DAE19" w:rsidR="00E0001B" w:rsidRDefault="00E0001B" w:rsidP="00D91B26">
      <w:pPr>
        <w:pStyle w:val="ListParagraph"/>
        <w:spacing w:line="276" w:lineRule="auto"/>
        <w:ind w:left="360"/>
        <w:rPr>
          <w:rFonts w:cs="Times New Roman"/>
          <w:i/>
          <w:color w:val="0000FF"/>
          <w:sz w:val="22"/>
          <w:szCs w:val="22"/>
        </w:rPr>
      </w:pPr>
      <w:r w:rsidRPr="00442C8E">
        <w:rPr>
          <w:rFonts w:cs="Times New Roman"/>
          <w:i/>
          <w:color w:val="0000FF"/>
          <w:sz w:val="22"/>
          <w:szCs w:val="22"/>
        </w:rPr>
        <w:t>{Comment: placeholder for Agreement term, each Company to add their own requirements}</w:t>
      </w:r>
    </w:p>
    <w:p w14:paraId="60DE971F" w14:textId="5957F83C" w:rsidR="00D91B26" w:rsidRPr="00DF04A0" w:rsidRDefault="00C17493" w:rsidP="00D91B26">
      <w:pPr>
        <w:pStyle w:val="ListParagraph"/>
        <w:spacing w:line="276" w:lineRule="auto"/>
        <w:ind w:left="360"/>
        <w:rPr>
          <w:rFonts w:cs="Times New Roman"/>
          <w:i/>
          <w:color w:val="0000FF"/>
          <w:sz w:val="22"/>
          <w:szCs w:val="22"/>
        </w:rPr>
      </w:pPr>
      <w:r>
        <w:rPr>
          <w:rFonts w:cs="Times New Roman"/>
          <w:i/>
          <w:color w:val="0000FF"/>
          <w:sz w:val="22"/>
          <w:szCs w:val="22"/>
        </w:rPr>
        <w:t xml:space="preserve">{Comment: </w:t>
      </w:r>
      <w:r w:rsidR="00D91B26" w:rsidRPr="00DF04A0">
        <w:rPr>
          <w:rFonts w:cs="Times New Roman"/>
          <w:i/>
          <w:color w:val="0000FF"/>
          <w:sz w:val="22"/>
          <w:szCs w:val="22"/>
        </w:rPr>
        <w:t xml:space="preserve">Evaluation, Measurement and Verification Study.  </w:t>
      </w:r>
      <w:r w:rsidR="00286852" w:rsidRPr="00286852">
        <w:rPr>
          <w:rFonts w:cs="Times New Roman"/>
          <w:i/>
          <w:color w:val="0000FF"/>
          <w:sz w:val="22"/>
          <w:szCs w:val="22"/>
        </w:rPr>
        <w:t>Co-benefits are also known in the evaluation field as Non Energy Benefits (NEBs), and has a 20 year history of research from energy efficiency programs outside of California</w:t>
      </w:r>
      <w:r w:rsidR="008C0DA6">
        <w:rPr>
          <w:rFonts w:cs="Times New Roman"/>
          <w:i/>
          <w:color w:val="0000FF"/>
          <w:sz w:val="22"/>
          <w:szCs w:val="22"/>
        </w:rPr>
        <w:t xml:space="preserve"> (see also the California Evaluation Framework, Chapter 11 “Non Energy Effects” - </w:t>
      </w:r>
      <w:r w:rsidR="008C0DA6" w:rsidRPr="008C0DA6">
        <w:rPr>
          <w:rFonts w:cs="Times New Roman"/>
          <w:i/>
          <w:color w:val="0000FF"/>
          <w:sz w:val="22"/>
          <w:szCs w:val="22"/>
        </w:rPr>
        <w:t>http://www.calmac.org/events/California_Evaluation_Framework_June_2004.pdf</w:t>
      </w:r>
      <w:r w:rsidR="008C0DA6">
        <w:rPr>
          <w:rFonts w:cs="Times New Roman"/>
          <w:i/>
          <w:color w:val="0000FF"/>
          <w:sz w:val="22"/>
          <w:szCs w:val="22"/>
        </w:rPr>
        <w:t xml:space="preserve"> ) </w:t>
      </w:r>
      <w:r w:rsidR="00286852" w:rsidRPr="00286852">
        <w:rPr>
          <w:rFonts w:cs="Times New Roman"/>
          <w:i/>
          <w:color w:val="0000FF"/>
          <w:sz w:val="22"/>
          <w:szCs w:val="22"/>
        </w:rPr>
        <w:t xml:space="preserve">. The high-level NEBs methods </w:t>
      </w:r>
      <w:r w:rsidR="008C0DA6">
        <w:rPr>
          <w:rFonts w:cs="Times New Roman"/>
          <w:i/>
          <w:color w:val="0000FF"/>
          <w:sz w:val="22"/>
          <w:szCs w:val="22"/>
        </w:rPr>
        <w:t>described below</w:t>
      </w:r>
      <w:r w:rsidR="00286852" w:rsidRPr="00286852">
        <w:rPr>
          <w:rFonts w:cs="Times New Roman"/>
          <w:i/>
          <w:color w:val="0000FF"/>
          <w:sz w:val="22"/>
          <w:szCs w:val="22"/>
        </w:rPr>
        <w:t xml:space="preserve"> </w:t>
      </w:r>
      <w:r w:rsidR="00286852">
        <w:rPr>
          <w:rFonts w:cs="Times New Roman"/>
          <w:i/>
          <w:color w:val="0000FF"/>
          <w:sz w:val="22"/>
          <w:szCs w:val="22"/>
        </w:rPr>
        <w:t>are</w:t>
      </w:r>
      <w:r w:rsidR="00286852" w:rsidRPr="00286852">
        <w:rPr>
          <w:rFonts w:cs="Times New Roman"/>
          <w:i/>
          <w:color w:val="0000FF"/>
          <w:sz w:val="22"/>
          <w:szCs w:val="22"/>
        </w:rPr>
        <w:t xml:space="preserve"> based on standard prac</w:t>
      </w:r>
      <w:r w:rsidR="00286852">
        <w:rPr>
          <w:rFonts w:cs="Times New Roman"/>
          <w:i/>
          <w:color w:val="0000FF"/>
          <w:sz w:val="22"/>
          <w:szCs w:val="22"/>
        </w:rPr>
        <w:t>tices in NEBs evaluation field. LG-specific NEB evaluation plans will be</w:t>
      </w:r>
      <w:r w:rsidR="00D91B26" w:rsidRPr="00DF04A0">
        <w:rPr>
          <w:rFonts w:cs="Times New Roman"/>
          <w:i/>
          <w:color w:val="0000FF"/>
          <w:sz w:val="22"/>
          <w:szCs w:val="22"/>
        </w:rPr>
        <w:t xml:space="preserve"> developed jointly by the IOUs and submitted to the CPUC for approval. </w:t>
      </w:r>
      <w:r w:rsidR="00547156" w:rsidRPr="00DF04A0">
        <w:rPr>
          <w:rFonts w:cs="Times New Roman"/>
          <w:i/>
          <w:color w:val="0000FF"/>
          <w:sz w:val="22"/>
          <w:szCs w:val="22"/>
        </w:rPr>
        <w:t xml:space="preserve"> </w:t>
      </w:r>
      <w:r w:rsidR="00EB52A4" w:rsidRPr="00EB52A4">
        <w:rPr>
          <w:rFonts w:cs="Times New Roman"/>
          <w:i/>
          <w:color w:val="0000FF"/>
          <w:sz w:val="22"/>
          <w:szCs w:val="22"/>
        </w:rPr>
        <w:t>Once EM&amp;V study is complete, all future contracts will include the following modifiable terms in the contract.</w:t>
      </w:r>
      <w:r>
        <w:rPr>
          <w:rFonts w:cs="Times New Roman"/>
          <w:i/>
          <w:color w:val="0000FF"/>
          <w:sz w:val="22"/>
          <w:szCs w:val="22"/>
        </w:rPr>
        <w:t>}</w:t>
      </w:r>
    </w:p>
    <w:p w14:paraId="34E3FC17" w14:textId="77777777" w:rsidR="00D91B26" w:rsidRPr="00442C8E" w:rsidRDefault="00D91B26" w:rsidP="007A3C22">
      <w:pPr>
        <w:spacing w:before="120" w:after="120"/>
        <w:ind w:left="360"/>
        <w:rPr>
          <w:rFonts w:eastAsia="Calibri" w:cs="Times New Roman"/>
          <w:sz w:val="22"/>
          <w:szCs w:val="22"/>
        </w:rPr>
      </w:pPr>
    </w:p>
    <w:p w14:paraId="6BE3A8B4" w14:textId="031C35C3" w:rsidR="00A716F2" w:rsidRPr="00431D02" w:rsidRDefault="00A716F2" w:rsidP="00AC4F90">
      <w:pPr>
        <w:rPr>
          <w:b/>
          <w:sz w:val="48"/>
          <w:szCs w:val="48"/>
        </w:rPr>
      </w:pPr>
    </w:p>
    <w:sectPr w:rsidR="00A716F2" w:rsidRPr="00431D0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3CB9" w14:textId="77777777" w:rsidR="00667425" w:rsidRDefault="00667425" w:rsidP="00A716F2">
      <w:pPr>
        <w:spacing w:after="0"/>
      </w:pPr>
      <w:r>
        <w:separator/>
      </w:r>
    </w:p>
  </w:endnote>
  <w:endnote w:type="continuationSeparator" w:id="0">
    <w:p w14:paraId="071CF893" w14:textId="77777777" w:rsidR="00667425" w:rsidRDefault="00667425" w:rsidP="00A716F2">
      <w:pPr>
        <w:spacing w:after="0"/>
      </w:pPr>
      <w:r>
        <w:continuationSeparator/>
      </w:r>
    </w:p>
  </w:endnote>
  <w:endnote w:type="continuationNotice" w:id="1">
    <w:p w14:paraId="1C9871EF" w14:textId="77777777" w:rsidR="00667425" w:rsidRDefault="006674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d177276-Identity-H">
    <w:altName w:val="Arial Unicode MS"/>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D948" w14:textId="77777777" w:rsidR="009F3999" w:rsidRDefault="009F3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ED09" w14:textId="77777777" w:rsidR="009F3999" w:rsidRDefault="009F3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E83B" w14:textId="77777777" w:rsidR="009F3999" w:rsidRDefault="009F39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268240"/>
      <w:docPartObj>
        <w:docPartGallery w:val="Page Numbers (Bottom of Page)"/>
        <w:docPartUnique/>
      </w:docPartObj>
    </w:sdtPr>
    <w:sdtEndPr>
      <w:rPr>
        <w:noProof/>
      </w:rPr>
    </w:sdtEndPr>
    <w:sdtContent>
      <w:p w14:paraId="60EA9B00" w14:textId="328EED13" w:rsidR="00547156" w:rsidRDefault="00547156" w:rsidP="003C0631">
        <w:pPr>
          <w:pStyle w:val="Footer"/>
          <w:jc w:val="center"/>
        </w:pPr>
        <w:r>
          <w:fldChar w:fldCharType="begin"/>
        </w:r>
        <w:r>
          <w:instrText xml:space="preserve"> PAGE   \* MERGEFORMAT </w:instrText>
        </w:r>
        <w:r>
          <w:fldChar w:fldCharType="separate"/>
        </w:r>
        <w:r w:rsidR="00DF04A0">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265775"/>
      <w:docPartObj>
        <w:docPartGallery w:val="Page Numbers (Bottom of Page)"/>
        <w:docPartUnique/>
      </w:docPartObj>
    </w:sdtPr>
    <w:sdtEndPr>
      <w:rPr>
        <w:noProof/>
      </w:rPr>
    </w:sdtEndPr>
    <w:sdtContent>
      <w:p w14:paraId="49294C58" w14:textId="77777777" w:rsidR="00547156" w:rsidRPr="007F4042" w:rsidRDefault="00547156" w:rsidP="00A716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7CBA" w14:textId="77777777" w:rsidR="00547156" w:rsidRDefault="00547156" w:rsidP="003C063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29FF" w14:textId="77777777" w:rsidR="00547156" w:rsidRDefault="005471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1C07" w14:textId="77777777" w:rsidR="00547156" w:rsidRDefault="005471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B7C6" w14:textId="77777777" w:rsidR="00547156" w:rsidRDefault="0054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4EB0" w14:textId="77777777" w:rsidR="00667425" w:rsidRDefault="00667425" w:rsidP="00A716F2">
      <w:pPr>
        <w:spacing w:after="0"/>
      </w:pPr>
      <w:r>
        <w:separator/>
      </w:r>
    </w:p>
  </w:footnote>
  <w:footnote w:type="continuationSeparator" w:id="0">
    <w:p w14:paraId="2C32FA20" w14:textId="77777777" w:rsidR="00667425" w:rsidRDefault="00667425" w:rsidP="00A716F2">
      <w:pPr>
        <w:spacing w:after="0"/>
      </w:pPr>
      <w:r>
        <w:continuationSeparator/>
      </w:r>
    </w:p>
  </w:footnote>
  <w:footnote w:type="continuationNotice" w:id="1">
    <w:p w14:paraId="692B3E18" w14:textId="77777777" w:rsidR="00667425" w:rsidRDefault="00667425">
      <w:pPr>
        <w:spacing w:after="0"/>
      </w:pPr>
    </w:p>
  </w:footnote>
  <w:footnote w:id="2">
    <w:p w14:paraId="35DBC584" w14:textId="5FB1963E" w:rsidR="00547156" w:rsidRPr="000C0C16" w:rsidRDefault="00547156">
      <w:pPr>
        <w:pStyle w:val="FootnoteText"/>
      </w:pPr>
      <w:r>
        <w:rPr>
          <w:rStyle w:val="FootnoteReference"/>
        </w:rPr>
        <w:footnoteRef/>
      </w:r>
      <w:r>
        <w:tab/>
        <w:t xml:space="preserve">D.18-01-004 at Ordering Paragraph (“OP”) 31. </w:t>
      </w:r>
    </w:p>
  </w:footnote>
  <w:footnote w:id="3">
    <w:p w14:paraId="4B352BC0" w14:textId="6D8FD22A" w:rsidR="00547156" w:rsidRDefault="00547156">
      <w:pPr>
        <w:pStyle w:val="FootnoteText"/>
      </w:pPr>
      <w:r w:rsidRPr="000C501E">
        <w:rPr>
          <w:rStyle w:val="FootnoteReference"/>
        </w:rPr>
        <w:footnoteRef/>
      </w:r>
      <w:r>
        <w:tab/>
        <w:t>The following stakeholders submitted comments: [</w:t>
      </w:r>
      <w:r w:rsidRPr="00A303FE">
        <w:rPr>
          <w:highlight w:val="yellow"/>
        </w:rPr>
        <w:t>___________</w:t>
      </w:r>
      <w:r>
        <w:t xml:space="preserve">].  These comments are available at the California Energy Efficiency Coordinating Committee website:  </w:t>
      </w:r>
      <w:hyperlink r:id="rId1" w:history="1">
        <w:r w:rsidRPr="00B1222A">
          <w:rPr>
            <w:rStyle w:val="Hyperlink"/>
          </w:rPr>
          <w:t>https://www.caeecc.org/caeecc-documents</w:t>
        </w:r>
      </w:hyperlink>
      <w:r>
        <w:t xml:space="preserve">.  </w:t>
      </w:r>
    </w:p>
  </w:footnote>
  <w:footnote w:id="4">
    <w:p w14:paraId="01F13968" w14:textId="77777777" w:rsidR="00547156" w:rsidRDefault="00547156" w:rsidP="00F25313">
      <w:pPr>
        <w:pStyle w:val="FootnoteText"/>
      </w:pPr>
      <w:r>
        <w:rPr>
          <w:rStyle w:val="FootnoteReference"/>
        </w:rPr>
        <w:footnoteRef/>
      </w:r>
      <w:r>
        <w:t xml:space="preserve"> “Execution Date” to be defined as the date both parties have executed the Agreement.</w:t>
      </w:r>
    </w:p>
  </w:footnote>
  <w:footnote w:id="5">
    <w:p w14:paraId="72B27E6D" w14:textId="77777777" w:rsidR="00547156" w:rsidRDefault="00547156" w:rsidP="007A3C22">
      <w:pPr>
        <w:pStyle w:val="FootnoteText"/>
      </w:pPr>
      <w:r>
        <w:rPr>
          <w:rStyle w:val="FootnoteReference"/>
        </w:rPr>
        <w:footnoteRef/>
      </w:r>
      <w:r>
        <w:t xml:space="preserve"> “KPIs” will be the primary means by which Company will assess Program performance on an ongoing basis. </w:t>
      </w:r>
    </w:p>
  </w:footnote>
  <w:footnote w:id="6">
    <w:p w14:paraId="44A9046C" w14:textId="77777777" w:rsidR="00547156" w:rsidRDefault="00547156" w:rsidP="007A3C22">
      <w:pPr>
        <w:pStyle w:val="FootnoteText"/>
      </w:pPr>
      <w:r>
        <w:rPr>
          <w:rStyle w:val="FootnoteReference"/>
        </w:rPr>
        <w:footnoteRef/>
      </w:r>
      <w:r>
        <w:t xml:space="preserve"> “Program Metrics” will be defined in the Agreement.</w:t>
      </w:r>
    </w:p>
  </w:footnote>
  <w:footnote w:id="7">
    <w:p w14:paraId="71468BD0" w14:textId="77777777" w:rsidR="00547156" w:rsidRDefault="00547156" w:rsidP="007A3C22">
      <w:pPr>
        <w:pStyle w:val="FootnoteText"/>
      </w:pPr>
      <w:r>
        <w:rPr>
          <w:rStyle w:val="FootnoteReference"/>
        </w:rPr>
        <w:footnoteRef/>
      </w:r>
      <w:r>
        <w:t xml:space="preserve"> “Customer Participation Information” will be defined in the Agreement.</w:t>
      </w:r>
    </w:p>
  </w:footnote>
  <w:footnote w:id="8">
    <w:p w14:paraId="3A6E993B" w14:textId="77777777" w:rsidR="00547156" w:rsidRDefault="00547156" w:rsidP="007A3C22">
      <w:pPr>
        <w:pStyle w:val="FootnoteText"/>
      </w:pPr>
      <w:r>
        <w:rPr>
          <w:rStyle w:val="FootnoteReference"/>
        </w:rPr>
        <w:footnoteRef/>
      </w:r>
      <w:r>
        <w:t xml:space="preserve"> “NMEC” will be defined in the Agreement.</w:t>
      </w:r>
    </w:p>
  </w:footnote>
  <w:footnote w:id="9">
    <w:p w14:paraId="3FF95136" w14:textId="77777777" w:rsidR="00547156" w:rsidRDefault="00547156" w:rsidP="007A3C22">
      <w:pPr>
        <w:pStyle w:val="FootnoteText"/>
      </w:pPr>
      <w:r>
        <w:rPr>
          <w:rStyle w:val="FootnoteReference"/>
        </w:rPr>
        <w:footnoteRef/>
      </w:r>
      <w:r>
        <w:t xml:space="preserve"> “Program Energy Savings” will be defined in the Agreement.</w:t>
      </w:r>
    </w:p>
  </w:footnote>
  <w:footnote w:id="10">
    <w:p w14:paraId="49D0CBDF" w14:textId="77777777" w:rsidR="00547156" w:rsidRDefault="00547156" w:rsidP="007A3C22">
      <w:pPr>
        <w:pStyle w:val="FootnoteText"/>
      </w:pPr>
      <w:r>
        <w:rPr>
          <w:rStyle w:val="FootnoteReference"/>
        </w:rPr>
        <w:footnoteRef/>
      </w:r>
      <w:r>
        <w:t xml:space="preserve"> “Program Participants” is defined as any other entity (including, without limitation, any other utility) providing funding under the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57D" w14:textId="7D778FB2" w:rsidR="009F3999" w:rsidRDefault="00667425">
    <w:pPr>
      <w:pStyle w:val="Header"/>
    </w:pPr>
    <w:r>
      <w:rPr>
        <w:noProof/>
      </w:rPr>
      <w:pict w14:anchorId="6ED09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88" o:spid="_x0000_s206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0892" w14:textId="7720E846" w:rsidR="00547156" w:rsidRDefault="00667425">
    <w:pPr>
      <w:pStyle w:val="Header"/>
    </w:pPr>
    <w:r>
      <w:rPr>
        <w:noProof/>
      </w:rPr>
      <w:pict w14:anchorId="447BC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7" o:spid="_x0000_s2051" type="#_x0000_t136" alt="" style="position:absolute;margin-left:0;margin-top:0;width:494.9pt;height:164.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9425" w14:textId="3D754269" w:rsidR="00547156" w:rsidRDefault="00667425">
    <w:pPr>
      <w:pStyle w:val="Header"/>
    </w:pPr>
    <w:r>
      <w:rPr>
        <w:noProof/>
      </w:rPr>
      <w:pict w14:anchorId="56818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8" o:spid="_x0000_s2050" type="#_x0000_t136" alt="" style="position:absolute;margin-left:0;margin-top:0;width:494.9pt;height:164.9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D55C" w14:textId="39288924" w:rsidR="00547156" w:rsidRDefault="00667425">
    <w:pPr>
      <w:pStyle w:val="Header"/>
    </w:pPr>
    <w:r>
      <w:rPr>
        <w:noProof/>
      </w:rPr>
      <w:pict w14:anchorId="6321F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6" o:spid="_x0000_s2049" type="#_x0000_t136" alt="" style="position:absolute;margin-left:0;margin-top:0;width:494.9pt;height:164.9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F98F" w14:textId="0DE7654E" w:rsidR="009F3999" w:rsidRDefault="00667425">
    <w:pPr>
      <w:pStyle w:val="Header"/>
    </w:pPr>
    <w:r>
      <w:rPr>
        <w:noProof/>
      </w:rPr>
      <w:pict w14:anchorId="01261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89" o:spid="_x0000_s2059"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5EBD" w14:textId="01A3E85F" w:rsidR="009F3999" w:rsidRDefault="00667425">
    <w:pPr>
      <w:pStyle w:val="Header"/>
    </w:pPr>
    <w:r>
      <w:rPr>
        <w:noProof/>
      </w:rPr>
      <w:pict w14:anchorId="08164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87" o:spid="_x0000_s2058"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A047" w14:textId="231C8E9D" w:rsidR="009F3999" w:rsidRDefault="00667425">
    <w:pPr>
      <w:pStyle w:val="Header"/>
    </w:pPr>
    <w:r>
      <w:rPr>
        <w:noProof/>
      </w:rPr>
      <w:pict w14:anchorId="1997E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1" o:spid="_x0000_s2057"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507A" w14:textId="1855FAA0" w:rsidR="009F3999" w:rsidRDefault="00667425">
    <w:pPr>
      <w:pStyle w:val="Header"/>
    </w:pPr>
    <w:r>
      <w:rPr>
        <w:noProof/>
      </w:rPr>
      <w:pict w14:anchorId="357C9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2" o:spid="_x0000_s2056"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0503" w14:textId="1AC32B91" w:rsidR="009F3999" w:rsidRDefault="00667425">
    <w:pPr>
      <w:pStyle w:val="Header"/>
    </w:pPr>
    <w:r>
      <w:rPr>
        <w:noProof/>
      </w:rPr>
      <w:pict w14:anchorId="4C6B0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0" o:spid="_x0000_s2055"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E095" w14:textId="707E7C23" w:rsidR="009F3999" w:rsidRDefault="00667425">
    <w:pPr>
      <w:pStyle w:val="Header"/>
    </w:pPr>
    <w:r>
      <w:rPr>
        <w:noProof/>
      </w:rPr>
      <w:pict w14:anchorId="3F6D4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4" o:spid="_x0000_s2054"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42B0" w14:textId="3B5EF893" w:rsidR="009F3999" w:rsidRDefault="00667425">
    <w:pPr>
      <w:pStyle w:val="Header"/>
    </w:pPr>
    <w:r>
      <w:rPr>
        <w:noProof/>
      </w:rPr>
      <w:pict w14:anchorId="4572E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5" o:spid="_x0000_s2053" type="#_x0000_t136" alt="" style="position:absolute;margin-left:0;margin-top:0;width:494.9pt;height:164.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FFF0" w14:textId="00B42FFE" w:rsidR="009F3999" w:rsidRDefault="00667425">
    <w:pPr>
      <w:pStyle w:val="Header"/>
    </w:pPr>
    <w:r>
      <w:rPr>
        <w:noProof/>
      </w:rPr>
      <w:pict w14:anchorId="1BA1D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8093" o:spid="_x0000_s2052" type="#_x0000_t136" alt="" style="position:absolute;margin-left:0;margin-top:0;width:494.9pt;height:164.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2EE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A65E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C3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BEDC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D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08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435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5E8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E2E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882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E6CFA"/>
    <w:multiLevelType w:val="hybridMultilevel"/>
    <w:tmpl w:val="99B2B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83BD6"/>
    <w:multiLevelType w:val="hybridMultilevel"/>
    <w:tmpl w:val="B5425BE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9960CC"/>
    <w:multiLevelType w:val="hybridMultilevel"/>
    <w:tmpl w:val="72CA3228"/>
    <w:name w:val="Articles22272322222"/>
    <w:lvl w:ilvl="0" w:tplc="561CF3B0">
      <w:start w:val="1"/>
      <w:numFmt w:val="lowerRoman"/>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3D874B8"/>
    <w:multiLevelType w:val="multilevel"/>
    <w:tmpl w:val="B3F08252"/>
    <w:lvl w:ilvl="0">
      <w:start w:val="1"/>
      <w:numFmt w:val="upperRoman"/>
      <w:pStyle w:val="Heading1"/>
      <w:lvlText w:val="%1."/>
      <w:lvlJc w:val="left"/>
      <w:pPr>
        <w:tabs>
          <w:tab w:val="num" w:pos="720"/>
        </w:tabs>
        <w:ind w:left="720" w:hanging="720"/>
      </w:pPr>
      <w:rPr>
        <w:rFonts w:ascii="Times New Roman Bold" w:hAnsi="Times New Roman Bold" w:hint="default"/>
        <w:b/>
        <w:i w:val="0"/>
        <w:sz w:val="24"/>
      </w:rPr>
    </w:lvl>
    <w:lvl w:ilvl="1">
      <w:start w:val="1"/>
      <w:numFmt w:val="upperLetter"/>
      <w:pStyle w:val="Heading2"/>
      <w:lvlText w:val="%2."/>
      <w:lvlJc w:val="left"/>
      <w:pPr>
        <w:tabs>
          <w:tab w:val="num" w:pos="1440"/>
        </w:tabs>
        <w:ind w:left="1440" w:hanging="720"/>
      </w:pPr>
      <w:rPr>
        <w:rFonts w:ascii="Times New Roman Bold" w:hAnsi="Times New Roman Bold" w:hint="default"/>
        <w:b/>
        <w:i w:val="0"/>
        <w:sz w:val="24"/>
      </w:rPr>
    </w:lvl>
    <w:lvl w:ilvl="2">
      <w:start w:val="1"/>
      <w:numFmt w:val="decimal"/>
      <w:pStyle w:val="Heading3"/>
      <w:lvlText w:val="%3."/>
      <w:lvlJc w:val="left"/>
      <w:pPr>
        <w:tabs>
          <w:tab w:val="num" w:pos="2160"/>
        </w:tabs>
        <w:ind w:left="2160" w:hanging="720"/>
      </w:pPr>
      <w:rPr>
        <w:rFonts w:ascii="Times New Roman Bold" w:hAnsi="Times New Roman Bold" w:hint="default"/>
        <w:b/>
        <w:i w:val="0"/>
        <w:sz w:val="24"/>
      </w:rPr>
    </w:lvl>
    <w:lvl w:ilvl="3">
      <w:start w:val="1"/>
      <w:numFmt w:val="lowerLetter"/>
      <w:pStyle w:val="Heading4"/>
      <w:lvlText w:val="%4."/>
      <w:lvlJc w:val="left"/>
      <w:pPr>
        <w:tabs>
          <w:tab w:val="num" w:pos="2880"/>
        </w:tabs>
        <w:ind w:left="2880" w:hanging="720"/>
      </w:pPr>
      <w:rPr>
        <w:rFonts w:ascii="Times New Roman Bold" w:hAnsi="Times New Roman Bold" w:hint="default"/>
        <w:b/>
        <w:i w:val="0"/>
        <w:sz w:val="24"/>
      </w:rPr>
    </w:lvl>
    <w:lvl w:ilvl="4">
      <w:start w:val="1"/>
      <w:numFmt w:val="lowerRoman"/>
      <w:pStyle w:val="Heading5"/>
      <w:lvlText w:val="%5."/>
      <w:lvlJc w:val="left"/>
      <w:pPr>
        <w:tabs>
          <w:tab w:val="num" w:pos="3600"/>
        </w:tabs>
        <w:ind w:left="3600" w:hanging="720"/>
      </w:pPr>
      <w:rPr>
        <w:rFonts w:ascii="Times New Roman Bold" w:hAnsi="Times New Roman Bold"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312F77"/>
    <w:multiLevelType w:val="hybridMultilevel"/>
    <w:tmpl w:val="156403E4"/>
    <w:lvl w:ilvl="0" w:tplc="04090019">
      <w:start w:val="1"/>
      <w:numFmt w:val="lowerLetter"/>
      <w:lvlText w:val="%1."/>
      <w:lvlJc w:val="left"/>
      <w:pPr>
        <w:ind w:left="1080" w:hanging="360"/>
      </w:pPr>
    </w:lvl>
    <w:lvl w:ilvl="1" w:tplc="81A4E3B2">
      <w:start w:val="1"/>
      <w:numFmt w:val="lowerRoman"/>
      <w:lvlText w:val="%2."/>
      <w:lvlJc w:val="right"/>
      <w:pPr>
        <w:ind w:left="1800" w:hanging="360"/>
      </w:pPr>
      <w:rPr>
        <w:color w:val="000000" w:themeColor="text1"/>
      </w:rPr>
    </w:lvl>
    <w:lvl w:ilvl="2" w:tplc="5C06EE0A">
      <w:start w:val="1"/>
      <w:numFmt w:val="lowerRoman"/>
      <w:lvlText w:val="%3."/>
      <w:lvlJc w:val="right"/>
      <w:pPr>
        <w:ind w:left="2520" w:hanging="180"/>
      </w:pPr>
    </w:lvl>
    <w:lvl w:ilvl="3" w:tplc="A7D4E7E0">
      <w:start w:val="1"/>
      <w:numFmt w:val="decimal"/>
      <w:lvlText w:val="%4."/>
      <w:lvlJc w:val="left"/>
      <w:pPr>
        <w:ind w:left="3240" w:hanging="360"/>
      </w:pPr>
    </w:lvl>
    <w:lvl w:ilvl="4" w:tplc="32EAAC40">
      <w:start w:val="1"/>
      <w:numFmt w:val="lowerLetter"/>
      <w:lvlText w:val="%5."/>
      <w:lvlJc w:val="left"/>
      <w:pPr>
        <w:ind w:left="3960" w:hanging="360"/>
      </w:pPr>
    </w:lvl>
    <w:lvl w:ilvl="5" w:tplc="ACA6E65E">
      <w:start w:val="1"/>
      <w:numFmt w:val="lowerRoman"/>
      <w:lvlText w:val="%6."/>
      <w:lvlJc w:val="right"/>
      <w:pPr>
        <w:ind w:left="4680" w:hanging="180"/>
      </w:pPr>
    </w:lvl>
    <w:lvl w:ilvl="6" w:tplc="496071B2">
      <w:start w:val="1"/>
      <w:numFmt w:val="decimal"/>
      <w:lvlText w:val="%7."/>
      <w:lvlJc w:val="left"/>
      <w:pPr>
        <w:ind w:left="5400" w:hanging="360"/>
      </w:pPr>
    </w:lvl>
    <w:lvl w:ilvl="7" w:tplc="40185E9A">
      <w:start w:val="1"/>
      <w:numFmt w:val="lowerLetter"/>
      <w:lvlText w:val="%8."/>
      <w:lvlJc w:val="left"/>
      <w:pPr>
        <w:ind w:left="6120" w:hanging="360"/>
      </w:pPr>
    </w:lvl>
    <w:lvl w:ilvl="8" w:tplc="AA4A6A28">
      <w:start w:val="1"/>
      <w:numFmt w:val="lowerRoman"/>
      <w:lvlText w:val="%9."/>
      <w:lvlJc w:val="right"/>
      <w:pPr>
        <w:ind w:left="6840" w:hanging="180"/>
      </w:pPr>
    </w:lvl>
  </w:abstractNum>
  <w:abstractNum w:abstractNumId="15" w15:restartNumberingAfterBreak="0">
    <w:nsid w:val="1E9165BE"/>
    <w:multiLevelType w:val="hybridMultilevel"/>
    <w:tmpl w:val="934EA168"/>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AD6301"/>
    <w:multiLevelType w:val="hybridMultilevel"/>
    <w:tmpl w:val="C666DC10"/>
    <w:lvl w:ilvl="0" w:tplc="EAF69E08">
      <w:start w:val="1"/>
      <w:numFmt w:val="decimal"/>
      <w:lvlText w:val="%1."/>
      <w:lvlJc w:val="left"/>
      <w:pPr>
        <w:ind w:left="720" w:hanging="360"/>
      </w:pPr>
    </w:lvl>
    <w:lvl w:ilvl="1" w:tplc="251E4E80">
      <w:start w:val="1"/>
      <w:numFmt w:val="lowerLetter"/>
      <w:lvlText w:val="%2."/>
      <w:lvlJc w:val="left"/>
      <w:pPr>
        <w:ind w:left="1440" w:hanging="360"/>
      </w:pPr>
    </w:lvl>
    <w:lvl w:ilvl="2" w:tplc="E35CEA74">
      <w:start w:val="1"/>
      <w:numFmt w:val="lowerRoman"/>
      <w:lvlText w:val="%3."/>
      <w:lvlJc w:val="right"/>
      <w:pPr>
        <w:ind w:left="2160" w:hanging="180"/>
      </w:pPr>
    </w:lvl>
    <w:lvl w:ilvl="3" w:tplc="E5FC7698">
      <w:start w:val="1"/>
      <w:numFmt w:val="decimal"/>
      <w:lvlText w:val="%4."/>
      <w:lvlJc w:val="left"/>
      <w:pPr>
        <w:ind w:left="2880" w:hanging="360"/>
      </w:pPr>
    </w:lvl>
    <w:lvl w:ilvl="4" w:tplc="4532DEA6">
      <w:start w:val="1"/>
      <w:numFmt w:val="lowerLetter"/>
      <w:lvlText w:val="%5."/>
      <w:lvlJc w:val="left"/>
      <w:pPr>
        <w:ind w:left="3600" w:hanging="360"/>
      </w:pPr>
    </w:lvl>
    <w:lvl w:ilvl="5" w:tplc="243A0630">
      <w:start w:val="1"/>
      <w:numFmt w:val="lowerRoman"/>
      <w:lvlText w:val="%6."/>
      <w:lvlJc w:val="right"/>
      <w:pPr>
        <w:ind w:left="4320" w:hanging="180"/>
      </w:pPr>
    </w:lvl>
    <w:lvl w:ilvl="6" w:tplc="B16C2BB6">
      <w:start w:val="1"/>
      <w:numFmt w:val="decimal"/>
      <w:lvlText w:val="%7."/>
      <w:lvlJc w:val="left"/>
      <w:pPr>
        <w:ind w:left="5040" w:hanging="360"/>
      </w:pPr>
    </w:lvl>
    <w:lvl w:ilvl="7" w:tplc="4F6655E0">
      <w:start w:val="1"/>
      <w:numFmt w:val="lowerLetter"/>
      <w:lvlText w:val="%8."/>
      <w:lvlJc w:val="left"/>
      <w:pPr>
        <w:ind w:left="5760" w:hanging="360"/>
      </w:pPr>
    </w:lvl>
    <w:lvl w:ilvl="8" w:tplc="FFAAB4BC">
      <w:start w:val="1"/>
      <w:numFmt w:val="lowerRoman"/>
      <w:lvlText w:val="%9."/>
      <w:lvlJc w:val="right"/>
      <w:pPr>
        <w:ind w:left="6480" w:hanging="180"/>
      </w:pPr>
    </w:lvl>
  </w:abstractNum>
  <w:abstractNum w:abstractNumId="17" w15:restartNumberingAfterBreak="0">
    <w:nsid w:val="3F304784"/>
    <w:multiLevelType w:val="hybridMultilevel"/>
    <w:tmpl w:val="6E9E0742"/>
    <w:lvl w:ilvl="0" w:tplc="4686D2CE">
      <w:start w:val="1"/>
      <w:numFmt w:val="decimal"/>
      <w:lvlText w:val="%1."/>
      <w:lvlJc w:val="left"/>
      <w:pPr>
        <w:ind w:left="990" w:hanging="720"/>
      </w:pPr>
      <w:rPr>
        <w:rFonts w:ascii="Arial" w:hAnsi="Arial"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62CFC"/>
    <w:multiLevelType w:val="hybridMultilevel"/>
    <w:tmpl w:val="56D0F7BC"/>
    <w:lvl w:ilvl="0" w:tplc="5F42F73A">
      <w:start w:val="1"/>
      <w:numFmt w:val="lowerLetter"/>
      <w:lvlText w:val="(%1)"/>
      <w:lvlJc w:val="left"/>
      <w:pPr>
        <w:ind w:left="1170" w:hanging="360"/>
      </w:pPr>
      <w:rPr>
        <w:rFonts w:hint="eastAsia"/>
      </w:rPr>
    </w:lvl>
    <w:lvl w:ilvl="1" w:tplc="5F42F73A">
      <w:start w:val="1"/>
      <w:numFmt w:val="lowerLetter"/>
      <w:lvlText w:val="(%2)"/>
      <w:lvlJc w:val="left"/>
      <w:pPr>
        <w:ind w:left="1890" w:hanging="360"/>
      </w:pPr>
      <w:rPr>
        <w:rFonts w:hint="eastAsia"/>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1A413E"/>
    <w:multiLevelType w:val="hybridMultilevel"/>
    <w:tmpl w:val="45EAA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13571"/>
    <w:multiLevelType w:val="hybridMultilevel"/>
    <w:tmpl w:val="087E3D02"/>
    <w:lvl w:ilvl="0" w:tplc="E99C8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9B1ACE"/>
    <w:multiLevelType w:val="hybridMultilevel"/>
    <w:tmpl w:val="87065DF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287C07"/>
    <w:multiLevelType w:val="hybridMultilevel"/>
    <w:tmpl w:val="8E4A32AC"/>
    <w:lvl w:ilvl="0" w:tplc="35D8ED0C">
      <w:start w:val="1"/>
      <w:numFmt w:val="decimal"/>
      <w:lvlText w:val="%1."/>
      <w:lvlJc w:val="left"/>
      <w:pPr>
        <w:ind w:left="1080" w:hanging="360"/>
      </w:pPr>
      <w:rPr>
        <w:rFonts w:hint="default"/>
        <w:b w:val="0"/>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AB0542"/>
    <w:multiLevelType w:val="hybridMultilevel"/>
    <w:tmpl w:val="42D660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F7F5C"/>
    <w:multiLevelType w:val="hybridMultilevel"/>
    <w:tmpl w:val="87728E1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5029A"/>
    <w:multiLevelType w:val="hybridMultilevel"/>
    <w:tmpl w:val="1472A75C"/>
    <w:name w:val="Articles2227232222"/>
    <w:lvl w:ilvl="0" w:tplc="227EAB6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53713DF"/>
    <w:multiLevelType w:val="hybridMultilevel"/>
    <w:tmpl w:val="24203352"/>
    <w:name w:val="Articles2227232222222"/>
    <w:lvl w:ilvl="0" w:tplc="58C4C488">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6987276"/>
    <w:multiLevelType w:val="hybridMultilevel"/>
    <w:tmpl w:val="F7F63368"/>
    <w:lvl w:ilvl="0" w:tplc="34C497AA">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456221"/>
    <w:multiLevelType w:val="hybridMultilevel"/>
    <w:tmpl w:val="B76ADBDA"/>
    <w:lvl w:ilvl="0" w:tplc="0409000F">
      <w:start w:val="1"/>
      <w:numFmt w:val="decimal"/>
      <w:lvlText w:val="%1."/>
      <w:lvlJc w:val="left"/>
      <w:pPr>
        <w:ind w:left="720" w:hanging="360"/>
      </w:pPr>
      <w:rPr>
        <w:rFonts w:hint="default"/>
      </w:rPr>
    </w:lvl>
    <w:lvl w:ilvl="1" w:tplc="D38E6F94">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B1A90"/>
    <w:multiLevelType w:val="hybridMultilevel"/>
    <w:tmpl w:val="5B7AE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9"/>
  </w:num>
  <w:num w:numId="14">
    <w:abstractNumId w:val="28"/>
  </w:num>
  <w:num w:numId="15">
    <w:abstractNumId w:val="23"/>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14"/>
  </w:num>
  <w:num w:numId="23">
    <w:abstractNumId w:val="10"/>
  </w:num>
  <w:num w:numId="24">
    <w:abstractNumId w:val="17"/>
  </w:num>
  <w:num w:numId="25">
    <w:abstractNumId w:val="24"/>
  </w:num>
  <w:num w:numId="26">
    <w:abstractNumId w:val="18"/>
  </w:num>
  <w:num w:numId="27">
    <w:abstractNumId w:val="22"/>
  </w:num>
  <w:num w:numId="28">
    <w:abstractNumId w:val="11"/>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1" w:cryptProviderType="rsaAES" w:cryptAlgorithmClass="hash" w:cryptAlgorithmType="typeAny" w:cryptAlgorithmSid="14" w:cryptSpinCount="100000" w:hash="ALwqRnsZak7lidEIfJZAGZT71ditLXU90d3olq1ExliQnBV/7MeUUNfQiPNWA3DekyU/4EtIRONuylToOZ0V7Q==" w:salt="9KnlqWBQ+WDhpG1LMqsIjw=="/>
  <w:defaultTabStop w:val="720"/>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65"/>
    <w:rsid w:val="0000554F"/>
    <w:rsid w:val="00014106"/>
    <w:rsid w:val="00015CEB"/>
    <w:rsid w:val="000160F8"/>
    <w:rsid w:val="00020004"/>
    <w:rsid w:val="0002449C"/>
    <w:rsid w:val="00027E4F"/>
    <w:rsid w:val="000330C1"/>
    <w:rsid w:val="000344AC"/>
    <w:rsid w:val="000403C5"/>
    <w:rsid w:val="00043C12"/>
    <w:rsid w:val="000442FE"/>
    <w:rsid w:val="00054658"/>
    <w:rsid w:val="00061951"/>
    <w:rsid w:val="000635F2"/>
    <w:rsid w:val="00065F8E"/>
    <w:rsid w:val="0007160F"/>
    <w:rsid w:val="0007231E"/>
    <w:rsid w:val="0007745A"/>
    <w:rsid w:val="0008177B"/>
    <w:rsid w:val="0008333E"/>
    <w:rsid w:val="00083D52"/>
    <w:rsid w:val="00084C4A"/>
    <w:rsid w:val="00092C16"/>
    <w:rsid w:val="00097EB6"/>
    <w:rsid w:val="000B4A14"/>
    <w:rsid w:val="000C0C16"/>
    <w:rsid w:val="000C294F"/>
    <w:rsid w:val="000C35AE"/>
    <w:rsid w:val="000C501E"/>
    <w:rsid w:val="000D6BB3"/>
    <w:rsid w:val="000E548F"/>
    <w:rsid w:val="000F137F"/>
    <w:rsid w:val="000F7077"/>
    <w:rsid w:val="001012B3"/>
    <w:rsid w:val="00127F96"/>
    <w:rsid w:val="00134766"/>
    <w:rsid w:val="001348B9"/>
    <w:rsid w:val="0014376B"/>
    <w:rsid w:val="00147E24"/>
    <w:rsid w:val="001553A3"/>
    <w:rsid w:val="001558C7"/>
    <w:rsid w:val="001606F5"/>
    <w:rsid w:val="001654F4"/>
    <w:rsid w:val="001678A3"/>
    <w:rsid w:val="00175F9A"/>
    <w:rsid w:val="00183249"/>
    <w:rsid w:val="00184108"/>
    <w:rsid w:val="0018515A"/>
    <w:rsid w:val="00187F79"/>
    <w:rsid w:val="0019113D"/>
    <w:rsid w:val="00196514"/>
    <w:rsid w:val="001978F1"/>
    <w:rsid w:val="001A3A5C"/>
    <w:rsid w:val="001A6B2D"/>
    <w:rsid w:val="001C26FC"/>
    <w:rsid w:val="001C37B8"/>
    <w:rsid w:val="001C4FCA"/>
    <w:rsid w:val="001D09A8"/>
    <w:rsid w:val="001D1A0A"/>
    <w:rsid w:val="001E2D62"/>
    <w:rsid w:val="001E466F"/>
    <w:rsid w:val="001E4BF5"/>
    <w:rsid w:val="001E5E7F"/>
    <w:rsid w:val="001E746A"/>
    <w:rsid w:val="001E7D40"/>
    <w:rsid w:val="001F1552"/>
    <w:rsid w:val="001F1CD2"/>
    <w:rsid w:val="0020075A"/>
    <w:rsid w:val="0020302F"/>
    <w:rsid w:val="00207692"/>
    <w:rsid w:val="00221042"/>
    <w:rsid w:val="0022581D"/>
    <w:rsid w:val="00234F2F"/>
    <w:rsid w:val="00244AED"/>
    <w:rsid w:val="00254FAE"/>
    <w:rsid w:val="00270414"/>
    <w:rsid w:val="00270CB3"/>
    <w:rsid w:val="00274058"/>
    <w:rsid w:val="00274271"/>
    <w:rsid w:val="00276F36"/>
    <w:rsid w:val="00277CFA"/>
    <w:rsid w:val="00277D5C"/>
    <w:rsid w:val="00282E1C"/>
    <w:rsid w:val="00286852"/>
    <w:rsid w:val="00286D0F"/>
    <w:rsid w:val="00294658"/>
    <w:rsid w:val="002952B1"/>
    <w:rsid w:val="002A37D9"/>
    <w:rsid w:val="002A73F3"/>
    <w:rsid w:val="002B0411"/>
    <w:rsid w:val="002B404E"/>
    <w:rsid w:val="002B6836"/>
    <w:rsid w:val="002C1349"/>
    <w:rsid w:val="002C240B"/>
    <w:rsid w:val="002C245F"/>
    <w:rsid w:val="002D2D16"/>
    <w:rsid w:val="002E0DCF"/>
    <w:rsid w:val="002E1E78"/>
    <w:rsid w:val="002E2944"/>
    <w:rsid w:val="002E36CD"/>
    <w:rsid w:val="002F0540"/>
    <w:rsid w:val="002F0CBD"/>
    <w:rsid w:val="002F2149"/>
    <w:rsid w:val="0030298F"/>
    <w:rsid w:val="00305113"/>
    <w:rsid w:val="00306C10"/>
    <w:rsid w:val="00312A19"/>
    <w:rsid w:val="00316152"/>
    <w:rsid w:val="00316A45"/>
    <w:rsid w:val="00317D13"/>
    <w:rsid w:val="003300A9"/>
    <w:rsid w:val="00331273"/>
    <w:rsid w:val="00335FD7"/>
    <w:rsid w:val="00337682"/>
    <w:rsid w:val="003526EF"/>
    <w:rsid w:val="0036354D"/>
    <w:rsid w:val="00363DA3"/>
    <w:rsid w:val="0037169B"/>
    <w:rsid w:val="00380624"/>
    <w:rsid w:val="00383485"/>
    <w:rsid w:val="003865A0"/>
    <w:rsid w:val="00392CAC"/>
    <w:rsid w:val="00395240"/>
    <w:rsid w:val="00397590"/>
    <w:rsid w:val="003A71D6"/>
    <w:rsid w:val="003B172C"/>
    <w:rsid w:val="003B3EEF"/>
    <w:rsid w:val="003B5633"/>
    <w:rsid w:val="003C0631"/>
    <w:rsid w:val="003C5510"/>
    <w:rsid w:val="003C5DEB"/>
    <w:rsid w:val="003E17A8"/>
    <w:rsid w:val="003E4F81"/>
    <w:rsid w:val="003E7053"/>
    <w:rsid w:val="003F0CC0"/>
    <w:rsid w:val="003F55CA"/>
    <w:rsid w:val="003F6303"/>
    <w:rsid w:val="004028E0"/>
    <w:rsid w:val="00410456"/>
    <w:rsid w:val="00422D43"/>
    <w:rsid w:val="00423105"/>
    <w:rsid w:val="00425E4D"/>
    <w:rsid w:val="00431D02"/>
    <w:rsid w:val="00434B57"/>
    <w:rsid w:val="004424B4"/>
    <w:rsid w:val="00442C8E"/>
    <w:rsid w:val="004443C1"/>
    <w:rsid w:val="0045419C"/>
    <w:rsid w:val="004606CF"/>
    <w:rsid w:val="00462258"/>
    <w:rsid w:val="004628AA"/>
    <w:rsid w:val="00466A78"/>
    <w:rsid w:val="00471FAB"/>
    <w:rsid w:val="00472BB7"/>
    <w:rsid w:val="00475A70"/>
    <w:rsid w:val="00494FBA"/>
    <w:rsid w:val="00496316"/>
    <w:rsid w:val="004A2520"/>
    <w:rsid w:val="004A4DCE"/>
    <w:rsid w:val="004A687C"/>
    <w:rsid w:val="004B05BE"/>
    <w:rsid w:val="004C1D8D"/>
    <w:rsid w:val="004C31CA"/>
    <w:rsid w:val="004C3414"/>
    <w:rsid w:val="004D7519"/>
    <w:rsid w:val="004E03F2"/>
    <w:rsid w:val="004E0C3B"/>
    <w:rsid w:val="004E383D"/>
    <w:rsid w:val="004E6EC0"/>
    <w:rsid w:val="004F2F9A"/>
    <w:rsid w:val="004F3CBF"/>
    <w:rsid w:val="004F4AF4"/>
    <w:rsid w:val="004F4EB5"/>
    <w:rsid w:val="004F513F"/>
    <w:rsid w:val="00505436"/>
    <w:rsid w:val="00505D03"/>
    <w:rsid w:val="005062E7"/>
    <w:rsid w:val="00507D07"/>
    <w:rsid w:val="00512014"/>
    <w:rsid w:val="00514141"/>
    <w:rsid w:val="00517645"/>
    <w:rsid w:val="0052090E"/>
    <w:rsid w:val="005215BE"/>
    <w:rsid w:val="0052465A"/>
    <w:rsid w:val="00525841"/>
    <w:rsid w:val="00526130"/>
    <w:rsid w:val="005304F5"/>
    <w:rsid w:val="005417E6"/>
    <w:rsid w:val="00547156"/>
    <w:rsid w:val="00552440"/>
    <w:rsid w:val="0056274B"/>
    <w:rsid w:val="005661A0"/>
    <w:rsid w:val="00566EDD"/>
    <w:rsid w:val="00576C07"/>
    <w:rsid w:val="005778BA"/>
    <w:rsid w:val="00581A53"/>
    <w:rsid w:val="00585621"/>
    <w:rsid w:val="00585FD9"/>
    <w:rsid w:val="00586155"/>
    <w:rsid w:val="00586E00"/>
    <w:rsid w:val="00595B92"/>
    <w:rsid w:val="005A07C3"/>
    <w:rsid w:val="005A2C7C"/>
    <w:rsid w:val="005A3A55"/>
    <w:rsid w:val="005A3C25"/>
    <w:rsid w:val="005B0280"/>
    <w:rsid w:val="005B101A"/>
    <w:rsid w:val="005B1E73"/>
    <w:rsid w:val="005B3044"/>
    <w:rsid w:val="005B568F"/>
    <w:rsid w:val="005C077C"/>
    <w:rsid w:val="005C4559"/>
    <w:rsid w:val="005D050E"/>
    <w:rsid w:val="005D45BB"/>
    <w:rsid w:val="005D5416"/>
    <w:rsid w:val="005D5ED4"/>
    <w:rsid w:val="005D601B"/>
    <w:rsid w:val="005E0DD8"/>
    <w:rsid w:val="005E2F56"/>
    <w:rsid w:val="005E4D32"/>
    <w:rsid w:val="005F3463"/>
    <w:rsid w:val="005F6A67"/>
    <w:rsid w:val="005F7140"/>
    <w:rsid w:val="005F7F6C"/>
    <w:rsid w:val="006029F0"/>
    <w:rsid w:val="00607184"/>
    <w:rsid w:val="00611DED"/>
    <w:rsid w:val="00611DF0"/>
    <w:rsid w:val="00617E70"/>
    <w:rsid w:val="0064099C"/>
    <w:rsid w:val="006418D6"/>
    <w:rsid w:val="00642CBD"/>
    <w:rsid w:val="00646680"/>
    <w:rsid w:val="00646FFC"/>
    <w:rsid w:val="00650BAE"/>
    <w:rsid w:val="00663383"/>
    <w:rsid w:val="00665E15"/>
    <w:rsid w:val="00667425"/>
    <w:rsid w:val="006725B3"/>
    <w:rsid w:val="006731E7"/>
    <w:rsid w:val="00680D91"/>
    <w:rsid w:val="00687379"/>
    <w:rsid w:val="006A0874"/>
    <w:rsid w:val="006A1501"/>
    <w:rsid w:val="006A220F"/>
    <w:rsid w:val="006A22B5"/>
    <w:rsid w:val="006A31BD"/>
    <w:rsid w:val="006A3851"/>
    <w:rsid w:val="006B6FBA"/>
    <w:rsid w:val="006C1A72"/>
    <w:rsid w:val="006C1E37"/>
    <w:rsid w:val="006C7FD1"/>
    <w:rsid w:val="006D0D32"/>
    <w:rsid w:val="006E1AC4"/>
    <w:rsid w:val="006E30AD"/>
    <w:rsid w:val="006E33FB"/>
    <w:rsid w:val="006E37B3"/>
    <w:rsid w:val="006E3B2A"/>
    <w:rsid w:val="006E6FBD"/>
    <w:rsid w:val="006F25C0"/>
    <w:rsid w:val="006F43D9"/>
    <w:rsid w:val="006F68D9"/>
    <w:rsid w:val="00702AFE"/>
    <w:rsid w:val="0070354D"/>
    <w:rsid w:val="00705E66"/>
    <w:rsid w:val="007074A5"/>
    <w:rsid w:val="007115FE"/>
    <w:rsid w:val="0071698D"/>
    <w:rsid w:val="00722C40"/>
    <w:rsid w:val="00723062"/>
    <w:rsid w:val="007370F0"/>
    <w:rsid w:val="007375E2"/>
    <w:rsid w:val="0074114E"/>
    <w:rsid w:val="007455EE"/>
    <w:rsid w:val="0075091F"/>
    <w:rsid w:val="00751A61"/>
    <w:rsid w:val="007527EC"/>
    <w:rsid w:val="00755DD0"/>
    <w:rsid w:val="007646D5"/>
    <w:rsid w:val="0076508B"/>
    <w:rsid w:val="00770EA0"/>
    <w:rsid w:val="007760EB"/>
    <w:rsid w:val="00782A5B"/>
    <w:rsid w:val="00787644"/>
    <w:rsid w:val="007948AD"/>
    <w:rsid w:val="007A0458"/>
    <w:rsid w:val="007A3C22"/>
    <w:rsid w:val="007A74FE"/>
    <w:rsid w:val="007B12A3"/>
    <w:rsid w:val="007B1C1E"/>
    <w:rsid w:val="007B53A6"/>
    <w:rsid w:val="007C16D9"/>
    <w:rsid w:val="007C4DF6"/>
    <w:rsid w:val="007C566D"/>
    <w:rsid w:val="007C618B"/>
    <w:rsid w:val="007F4042"/>
    <w:rsid w:val="007F5448"/>
    <w:rsid w:val="007F5FE0"/>
    <w:rsid w:val="00806973"/>
    <w:rsid w:val="0081025B"/>
    <w:rsid w:val="00811EB5"/>
    <w:rsid w:val="0081256F"/>
    <w:rsid w:val="0082725F"/>
    <w:rsid w:val="00830EEB"/>
    <w:rsid w:val="00831837"/>
    <w:rsid w:val="0083295A"/>
    <w:rsid w:val="008333DC"/>
    <w:rsid w:val="008401B4"/>
    <w:rsid w:val="00843C25"/>
    <w:rsid w:val="008443AA"/>
    <w:rsid w:val="008472D8"/>
    <w:rsid w:val="00847F20"/>
    <w:rsid w:val="00852733"/>
    <w:rsid w:val="008531CD"/>
    <w:rsid w:val="00862C5B"/>
    <w:rsid w:val="00864441"/>
    <w:rsid w:val="00870220"/>
    <w:rsid w:val="00871102"/>
    <w:rsid w:val="00874C84"/>
    <w:rsid w:val="0087522C"/>
    <w:rsid w:val="0088481A"/>
    <w:rsid w:val="0089206A"/>
    <w:rsid w:val="008978AD"/>
    <w:rsid w:val="008A2F30"/>
    <w:rsid w:val="008A3F60"/>
    <w:rsid w:val="008A49AC"/>
    <w:rsid w:val="008A4A89"/>
    <w:rsid w:val="008A4FAF"/>
    <w:rsid w:val="008B67E1"/>
    <w:rsid w:val="008C0DA6"/>
    <w:rsid w:val="008C10B8"/>
    <w:rsid w:val="008C41E5"/>
    <w:rsid w:val="008C4F13"/>
    <w:rsid w:val="008C5759"/>
    <w:rsid w:val="008D16DF"/>
    <w:rsid w:val="008D5411"/>
    <w:rsid w:val="008E276E"/>
    <w:rsid w:val="008E45F8"/>
    <w:rsid w:val="008E487F"/>
    <w:rsid w:val="008E7A1A"/>
    <w:rsid w:val="008F06FC"/>
    <w:rsid w:val="008F2BA9"/>
    <w:rsid w:val="008F357F"/>
    <w:rsid w:val="008F3CC6"/>
    <w:rsid w:val="008F74EE"/>
    <w:rsid w:val="00900EA2"/>
    <w:rsid w:val="009032DE"/>
    <w:rsid w:val="00905F89"/>
    <w:rsid w:val="009061EC"/>
    <w:rsid w:val="009072FD"/>
    <w:rsid w:val="00911157"/>
    <w:rsid w:val="00921DE4"/>
    <w:rsid w:val="00924E48"/>
    <w:rsid w:val="00926D01"/>
    <w:rsid w:val="00944B0C"/>
    <w:rsid w:val="009459B6"/>
    <w:rsid w:val="0094668B"/>
    <w:rsid w:val="009476E3"/>
    <w:rsid w:val="00947E98"/>
    <w:rsid w:val="00953883"/>
    <w:rsid w:val="0096672A"/>
    <w:rsid w:val="00967BFD"/>
    <w:rsid w:val="00974542"/>
    <w:rsid w:val="009772E4"/>
    <w:rsid w:val="0098072D"/>
    <w:rsid w:val="009814A2"/>
    <w:rsid w:val="00981820"/>
    <w:rsid w:val="00981A9F"/>
    <w:rsid w:val="009839FE"/>
    <w:rsid w:val="00987699"/>
    <w:rsid w:val="009915E3"/>
    <w:rsid w:val="009916D2"/>
    <w:rsid w:val="0099214D"/>
    <w:rsid w:val="009A2114"/>
    <w:rsid w:val="009A2FBC"/>
    <w:rsid w:val="009A6CBA"/>
    <w:rsid w:val="009B77C2"/>
    <w:rsid w:val="009C0BD3"/>
    <w:rsid w:val="009C446D"/>
    <w:rsid w:val="009D18AF"/>
    <w:rsid w:val="009D3601"/>
    <w:rsid w:val="009D7FA9"/>
    <w:rsid w:val="009F0DD3"/>
    <w:rsid w:val="009F156E"/>
    <w:rsid w:val="009F3999"/>
    <w:rsid w:val="00A017E3"/>
    <w:rsid w:val="00A0572A"/>
    <w:rsid w:val="00A07075"/>
    <w:rsid w:val="00A11102"/>
    <w:rsid w:val="00A14ACD"/>
    <w:rsid w:val="00A14C5E"/>
    <w:rsid w:val="00A15B51"/>
    <w:rsid w:val="00A24984"/>
    <w:rsid w:val="00A25559"/>
    <w:rsid w:val="00A27384"/>
    <w:rsid w:val="00A273EB"/>
    <w:rsid w:val="00A27D31"/>
    <w:rsid w:val="00A3007C"/>
    <w:rsid w:val="00A303FE"/>
    <w:rsid w:val="00A3205C"/>
    <w:rsid w:val="00A32A2A"/>
    <w:rsid w:val="00A33CA1"/>
    <w:rsid w:val="00A35FC8"/>
    <w:rsid w:val="00A40E70"/>
    <w:rsid w:val="00A426C1"/>
    <w:rsid w:val="00A464B0"/>
    <w:rsid w:val="00A477DF"/>
    <w:rsid w:val="00A5139E"/>
    <w:rsid w:val="00A53BA0"/>
    <w:rsid w:val="00A613DE"/>
    <w:rsid w:val="00A62948"/>
    <w:rsid w:val="00A629F5"/>
    <w:rsid w:val="00A70E21"/>
    <w:rsid w:val="00A716F2"/>
    <w:rsid w:val="00A76FE1"/>
    <w:rsid w:val="00A77FC4"/>
    <w:rsid w:val="00A80476"/>
    <w:rsid w:val="00A87406"/>
    <w:rsid w:val="00A907D6"/>
    <w:rsid w:val="00A92BF0"/>
    <w:rsid w:val="00A956AE"/>
    <w:rsid w:val="00A96E25"/>
    <w:rsid w:val="00AA202C"/>
    <w:rsid w:val="00AB09D7"/>
    <w:rsid w:val="00AB1E07"/>
    <w:rsid w:val="00AC209D"/>
    <w:rsid w:val="00AC4F90"/>
    <w:rsid w:val="00AD661D"/>
    <w:rsid w:val="00AE4588"/>
    <w:rsid w:val="00AE7CE4"/>
    <w:rsid w:val="00AF36C2"/>
    <w:rsid w:val="00AF49EB"/>
    <w:rsid w:val="00AF7154"/>
    <w:rsid w:val="00AF79E2"/>
    <w:rsid w:val="00B00F84"/>
    <w:rsid w:val="00B02C8F"/>
    <w:rsid w:val="00B10AD3"/>
    <w:rsid w:val="00B14E61"/>
    <w:rsid w:val="00B23981"/>
    <w:rsid w:val="00B255B2"/>
    <w:rsid w:val="00B25BED"/>
    <w:rsid w:val="00B26D56"/>
    <w:rsid w:val="00B3001F"/>
    <w:rsid w:val="00B306E1"/>
    <w:rsid w:val="00B30F5A"/>
    <w:rsid w:val="00B33480"/>
    <w:rsid w:val="00B344E3"/>
    <w:rsid w:val="00B346E7"/>
    <w:rsid w:val="00B423DB"/>
    <w:rsid w:val="00B61801"/>
    <w:rsid w:val="00B635BA"/>
    <w:rsid w:val="00B648D6"/>
    <w:rsid w:val="00B6795C"/>
    <w:rsid w:val="00B768D0"/>
    <w:rsid w:val="00B8402C"/>
    <w:rsid w:val="00B90B47"/>
    <w:rsid w:val="00B92ECA"/>
    <w:rsid w:val="00B94CC7"/>
    <w:rsid w:val="00BA2DA4"/>
    <w:rsid w:val="00BA4E3B"/>
    <w:rsid w:val="00BA6B03"/>
    <w:rsid w:val="00BB62DD"/>
    <w:rsid w:val="00BC2F62"/>
    <w:rsid w:val="00BC7C4B"/>
    <w:rsid w:val="00BD0325"/>
    <w:rsid w:val="00BD04B4"/>
    <w:rsid w:val="00BD0BDB"/>
    <w:rsid w:val="00BD462E"/>
    <w:rsid w:val="00BD6FFD"/>
    <w:rsid w:val="00BE6189"/>
    <w:rsid w:val="00BF2F84"/>
    <w:rsid w:val="00C07769"/>
    <w:rsid w:val="00C13A00"/>
    <w:rsid w:val="00C17493"/>
    <w:rsid w:val="00C174AC"/>
    <w:rsid w:val="00C26425"/>
    <w:rsid w:val="00C2774D"/>
    <w:rsid w:val="00C40ADE"/>
    <w:rsid w:val="00C43826"/>
    <w:rsid w:val="00C55DDD"/>
    <w:rsid w:val="00C6001B"/>
    <w:rsid w:val="00C634B3"/>
    <w:rsid w:val="00C662E0"/>
    <w:rsid w:val="00C67313"/>
    <w:rsid w:val="00C67D0E"/>
    <w:rsid w:val="00C72409"/>
    <w:rsid w:val="00C7336A"/>
    <w:rsid w:val="00C75024"/>
    <w:rsid w:val="00C80626"/>
    <w:rsid w:val="00C808EA"/>
    <w:rsid w:val="00C80C4D"/>
    <w:rsid w:val="00C83846"/>
    <w:rsid w:val="00C860F8"/>
    <w:rsid w:val="00C90B46"/>
    <w:rsid w:val="00C92085"/>
    <w:rsid w:val="00C94284"/>
    <w:rsid w:val="00C9581B"/>
    <w:rsid w:val="00CA3E97"/>
    <w:rsid w:val="00CA5EC0"/>
    <w:rsid w:val="00CE2F69"/>
    <w:rsid w:val="00CF65E1"/>
    <w:rsid w:val="00D01564"/>
    <w:rsid w:val="00D033F0"/>
    <w:rsid w:val="00D075BA"/>
    <w:rsid w:val="00D1742C"/>
    <w:rsid w:val="00D23031"/>
    <w:rsid w:val="00D25241"/>
    <w:rsid w:val="00D25726"/>
    <w:rsid w:val="00D25B14"/>
    <w:rsid w:val="00D26862"/>
    <w:rsid w:val="00D34202"/>
    <w:rsid w:val="00D34E8E"/>
    <w:rsid w:val="00D43A07"/>
    <w:rsid w:val="00D50672"/>
    <w:rsid w:val="00D51598"/>
    <w:rsid w:val="00D51EA6"/>
    <w:rsid w:val="00D52587"/>
    <w:rsid w:val="00D63A79"/>
    <w:rsid w:val="00D71E68"/>
    <w:rsid w:val="00D76C70"/>
    <w:rsid w:val="00D76CCF"/>
    <w:rsid w:val="00D77B17"/>
    <w:rsid w:val="00D85C77"/>
    <w:rsid w:val="00D91B26"/>
    <w:rsid w:val="00D96107"/>
    <w:rsid w:val="00D970F9"/>
    <w:rsid w:val="00DA2E96"/>
    <w:rsid w:val="00DA5549"/>
    <w:rsid w:val="00DA579A"/>
    <w:rsid w:val="00DA7C82"/>
    <w:rsid w:val="00DB77F3"/>
    <w:rsid w:val="00DC2625"/>
    <w:rsid w:val="00DC5B65"/>
    <w:rsid w:val="00DC7D95"/>
    <w:rsid w:val="00DD1104"/>
    <w:rsid w:val="00DD2477"/>
    <w:rsid w:val="00DD3591"/>
    <w:rsid w:val="00DD58EB"/>
    <w:rsid w:val="00DD5EB0"/>
    <w:rsid w:val="00DE4113"/>
    <w:rsid w:val="00DE7B8B"/>
    <w:rsid w:val="00DF04A0"/>
    <w:rsid w:val="00DF3C1D"/>
    <w:rsid w:val="00E0001B"/>
    <w:rsid w:val="00E04C01"/>
    <w:rsid w:val="00E12D38"/>
    <w:rsid w:val="00E14B11"/>
    <w:rsid w:val="00E15E7E"/>
    <w:rsid w:val="00E21C2B"/>
    <w:rsid w:val="00E22C6E"/>
    <w:rsid w:val="00E24B8E"/>
    <w:rsid w:val="00E26550"/>
    <w:rsid w:val="00E327CE"/>
    <w:rsid w:val="00E34629"/>
    <w:rsid w:val="00E37845"/>
    <w:rsid w:val="00E50032"/>
    <w:rsid w:val="00E506BE"/>
    <w:rsid w:val="00E5383B"/>
    <w:rsid w:val="00E53F9F"/>
    <w:rsid w:val="00E61EC4"/>
    <w:rsid w:val="00E644E2"/>
    <w:rsid w:val="00E704E0"/>
    <w:rsid w:val="00E72561"/>
    <w:rsid w:val="00E72A88"/>
    <w:rsid w:val="00E72D02"/>
    <w:rsid w:val="00E77A18"/>
    <w:rsid w:val="00E81746"/>
    <w:rsid w:val="00E81C69"/>
    <w:rsid w:val="00E82667"/>
    <w:rsid w:val="00E916FD"/>
    <w:rsid w:val="00E923E5"/>
    <w:rsid w:val="00E94138"/>
    <w:rsid w:val="00E94648"/>
    <w:rsid w:val="00E96910"/>
    <w:rsid w:val="00EA43C2"/>
    <w:rsid w:val="00EA4EF3"/>
    <w:rsid w:val="00EA6E6B"/>
    <w:rsid w:val="00EB0CAB"/>
    <w:rsid w:val="00EB1A81"/>
    <w:rsid w:val="00EB1B79"/>
    <w:rsid w:val="00EB2407"/>
    <w:rsid w:val="00EB433B"/>
    <w:rsid w:val="00EB52A4"/>
    <w:rsid w:val="00EC0FE3"/>
    <w:rsid w:val="00EC4F84"/>
    <w:rsid w:val="00EC592B"/>
    <w:rsid w:val="00ED1564"/>
    <w:rsid w:val="00ED3BC2"/>
    <w:rsid w:val="00ED56FA"/>
    <w:rsid w:val="00EE01F0"/>
    <w:rsid w:val="00EE5660"/>
    <w:rsid w:val="00EE6A49"/>
    <w:rsid w:val="00EF14A8"/>
    <w:rsid w:val="00F007E5"/>
    <w:rsid w:val="00F03658"/>
    <w:rsid w:val="00F06EC4"/>
    <w:rsid w:val="00F2075B"/>
    <w:rsid w:val="00F214FD"/>
    <w:rsid w:val="00F25313"/>
    <w:rsid w:val="00F3275A"/>
    <w:rsid w:val="00F367C7"/>
    <w:rsid w:val="00F37DB4"/>
    <w:rsid w:val="00F449D2"/>
    <w:rsid w:val="00F45EB9"/>
    <w:rsid w:val="00F5116A"/>
    <w:rsid w:val="00F53B1B"/>
    <w:rsid w:val="00F53D8A"/>
    <w:rsid w:val="00F56693"/>
    <w:rsid w:val="00F57426"/>
    <w:rsid w:val="00F779B0"/>
    <w:rsid w:val="00F83D63"/>
    <w:rsid w:val="00F85D1F"/>
    <w:rsid w:val="00F9267C"/>
    <w:rsid w:val="00F97EB9"/>
    <w:rsid w:val="00FA3CDB"/>
    <w:rsid w:val="00FA7790"/>
    <w:rsid w:val="00FB3E99"/>
    <w:rsid w:val="00FC1FC2"/>
    <w:rsid w:val="00FC2100"/>
    <w:rsid w:val="00FC4A0D"/>
    <w:rsid w:val="00FC60D6"/>
    <w:rsid w:val="00FD1FF6"/>
    <w:rsid w:val="00FD342E"/>
    <w:rsid w:val="00FD4695"/>
    <w:rsid w:val="00FD4F4D"/>
    <w:rsid w:val="00FE4F75"/>
    <w:rsid w:val="00FE627D"/>
    <w:rsid w:val="00FF02A5"/>
    <w:rsid w:val="00FF02B3"/>
    <w:rsid w:val="00FF335D"/>
    <w:rsid w:val="00FF3C74"/>
    <w:rsid w:val="00FF70C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C20A1CE"/>
  <w15:docId w15:val="{A05F1EA1-D2C8-47AB-8B39-548EC530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6F2"/>
    <w:pPr>
      <w:spacing w:after="240" w:line="240" w:lineRule="auto"/>
    </w:pPr>
  </w:style>
  <w:style w:type="paragraph" w:styleId="Heading1">
    <w:name w:val="heading 1"/>
    <w:basedOn w:val="Normal"/>
    <w:next w:val="Normal"/>
    <w:link w:val="Heading1Char"/>
    <w:uiPriority w:val="9"/>
    <w:qFormat/>
    <w:rsid w:val="00FD342E"/>
    <w:pPr>
      <w:keepNext/>
      <w:keepLines/>
      <w:numPr>
        <w:numId w:val="1"/>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B255B2"/>
    <w:pPr>
      <w:keepNext/>
      <w:keepLines/>
      <w:numPr>
        <w:ilvl w:val="1"/>
        <w:numId w:val="1"/>
      </w:numPr>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uiPriority w:val="9"/>
    <w:unhideWhenUsed/>
    <w:qFormat/>
    <w:rsid w:val="00D43A07"/>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D43A07"/>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rsid w:val="00D43A07"/>
    <w:pPr>
      <w:keepNext/>
      <w:keepLines/>
      <w:numPr>
        <w:ilvl w:val="4"/>
        <w:numId w:val="1"/>
      </w:numPr>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2E"/>
    <w:rPr>
      <w:rFonts w:ascii="Times New Roman Bold" w:eastAsiaTheme="majorEastAsia" w:hAnsi="Times New Roman Bold" w:cstheme="majorBidi"/>
      <w:b/>
      <w:bCs/>
      <w:szCs w:val="28"/>
    </w:rPr>
  </w:style>
  <w:style w:type="character" w:customStyle="1" w:styleId="Heading2Char">
    <w:name w:val="Heading 2 Char"/>
    <w:basedOn w:val="DefaultParagraphFont"/>
    <w:link w:val="Heading2"/>
    <w:uiPriority w:val="9"/>
    <w:rsid w:val="00B255B2"/>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D43A0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43A07"/>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D43A07"/>
    <w:rPr>
      <w:rFonts w:ascii="Times New Roman" w:eastAsiaTheme="majorEastAsia" w:hAnsi="Times New Roman" w:cstheme="majorBidi"/>
      <w:sz w:val="24"/>
    </w:rPr>
  </w:style>
  <w:style w:type="paragraph" w:styleId="Title">
    <w:name w:val="Title"/>
    <w:basedOn w:val="Normal"/>
    <w:next w:val="Normal"/>
    <w:link w:val="TitleChar"/>
    <w:uiPriority w:val="10"/>
    <w:qFormat/>
    <w:rsid w:val="00DC5B65"/>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uiPriority w:val="10"/>
    <w:rsid w:val="00DC5B65"/>
    <w:rPr>
      <w:rFonts w:ascii="Times New Roman Bold" w:eastAsiaTheme="majorEastAsia" w:hAnsi="Times New Roman Bold" w:cstheme="majorBidi"/>
      <w:b/>
      <w:caps/>
      <w:spacing w:val="5"/>
      <w:kern w:val="28"/>
      <w:szCs w:val="52"/>
    </w:rPr>
  </w:style>
  <w:style w:type="paragraph" w:styleId="Subtitle">
    <w:name w:val="Subtitle"/>
    <w:basedOn w:val="Normal"/>
    <w:next w:val="Normal"/>
    <w:link w:val="SubtitleChar"/>
    <w:uiPriority w:val="11"/>
    <w:qFormat/>
    <w:rsid w:val="004F3CBF"/>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F3CBF"/>
    <w:rPr>
      <w:rFonts w:ascii="Times New Roman" w:eastAsiaTheme="majorEastAsia" w:hAnsi="Times New Roman" w:cstheme="majorBidi"/>
      <w:b/>
      <w:iCs/>
      <w:spacing w:val="15"/>
      <w:sz w:val="24"/>
      <w:szCs w:val="24"/>
    </w:rPr>
  </w:style>
  <w:style w:type="paragraph" w:styleId="BodyText">
    <w:name w:val="Body Text"/>
    <w:basedOn w:val="Normal"/>
    <w:link w:val="BodyTextChar"/>
    <w:uiPriority w:val="99"/>
    <w:unhideWhenUsed/>
    <w:rsid w:val="005F6A67"/>
    <w:pPr>
      <w:spacing w:after="0" w:line="480" w:lineRule="auto"/>
    </w:pPr>
  </w:style>
  <w:style w:type="character" w:customStyle="1" w:styleId="BodyTextChar">
    <w:name w:val="Body Text Char"/>
    <w:basedOn w:val="DefaultParagraphFont"/>
    <w:link w:val="BodyText"/>
    <w:uiPriority w:val="99"/>
    <w:rsid w:val="005F6A67"/>
  </w:style>
  <w:style w:type="paragraph" w:styleId="BodyTextFirstIndent">
    <w:name w:val="Body Text First Indent"/>
    <w:basedOn w:val="BodyText"/>
    <w:link w:val="BodyTextFirstIndentChar"/>
    <w:uiPriority w:val="99"/>
    <w:unhideWhenUsed/>
    <w:qFormat/>
    <w:rsid w:val="004F3CBF"/>
    <w:pPr>
      <w:ind w:firstLine="720"/>
    </w:pPr>
  </w:style>
  <w:style w:type="character" w:customStyle="1" w:styleId="BodyTextFirstIndentChar">
    <w:name w:val="Body Text First Indent Char"/>
    <w:basedOn w:val="BodyTextChar"/>
    <w:link w:val="BodyTextFirstIndent"/>
    <w:uiPriority w:val="99"/>
    <w:rsid w:val="004F3CBF"/>
    <w:rPr>
      <w:rFonts w:ascii="Times New Roman" w:hAnsi="Times New Roman"/>
      <w:sz w:val="24"/>
    </w:rPr>
  </w:style>
  <w:style w:type="character" w:styleId="FootnoteReference">
    <w:name w:val="footnote reference"/>
    <w:basedOn w:val="DefaultParagraphFont"/>
    <w:uiPriority w:val="99"/>
    <w:semiHidden/>
    <w:unhideWhenUsed/>
    <w:rsid w:val="004F3CBF"/>
    <w:rPr>
      <w:rFonts w:ascii="Times New Roman" w:hAnsi="Times New Roman"/>
      <w:sz w:val="20"/>
      <w:vertAlign w:val="superscript"/>
    </w:rPr>
  </w:style>
  <w:style w:type="paragraph" w:styleId="FootnoteText">
    <w:name w:val="footnote text"/>
    <w:basedOn w:val="Normal"/>
    <w:link w:val="FootnoteTextChar"/>
    <w:uiPriority w:val="99"/>
    <w:unhideWhenUsed/>
    <w:qFormat/>
    <w:rsid w:val="00F9267C"/>
    <w:pPr>
      <w:tabs>
        <w:tab w:val="left" w:pos="360"/>
      </w:tabs>
      <w:spacing w:after="120"/>
      <w:ind w:left="360" w:hanging="360"/>
    </w:pPr>
    <w:rPr>
      <w:sz w:val="22"/>
      <w:szCs w:val="20"/>
    </w:rPr>
  </w:style>
  <w:style w:type="character" w:customStyle="1" w:styleId="FootnoteTextChar">
    <w:name w:val="Footnote Text Char"/>
    <w:basedOn w:val="DefaultParagraphFont"/>
    <w:link w:val="FootnoteText"/>
    <w:uiPriority w:val="99"/>
    <w:rsid w:val="00F9267C"/>
    <w:rPr>
      <w:sz w:val="22"/>
      <w:szCs w:val="20"/>
    </w:rPr>
  </w:style>
  <w:style w:type="paragraph" w:styleId="ListParagraph">
    <w:name w:val="List Paragraph"/>
    <w:basedOn w:val="Normal"/>
    <w:uiPriority w:val="34"/>
    <w:qFormat/>
    <w:rsid w:val="004628AA"/>
    <w:pPr>
      <w:spacing w:before="120" w:after="120" w:line="480" w:lineRule="auto"/>
      <w:ind w:left="720"/>
    </w:pPr>
  </w:style>
  <w:style w:type="paragraph" w:styleId="Quote">
    <w:name w:val="Quote"/>
    <w:basedOn w:val="Normal"/>
    <w:next w:val="Normal"/>
    <w:link w:val="QuoteChar"/>
    <w:uiPriority w:val="29"/>
    <w:qFormat/>
    <w:rsid w:val="00D43A07"/>
    <w:pPr>
      <w:ind w:left="720" w:right="720"/>
    </w:pPr>
    <w:rPr>
      <w:iCs/>
      <w:color w:val="000000" w:themeColor="text1"/>
    </w:rPr>
  </w:style>
  <w:style w:type="character" w:customStyle="1" w:styleId="QuoteChar">
    <w:name w:val="Quote Char"/>
    <w:basedOn w:val="DefaultParagraphFont"/>
    <w:link w:val="Quote"/>
    <w:uiPriority w:val="29"/>
    <w:rsid w:val="00D43A07"/>
    <w:rPr>
      <w:rFonts w:ascii="Times New Roman" w:hAnsi="Times New Roman"/>
      <w:iCs/>
      <w:color w:val="000000" w:themeColor="text1"/>
      <w:sz w:val="24"/>
    </w:rPr>
  </w:style>
  <w:style w:type="paragraph" w:styleId="BodyTextIndent">
    <w:name w:val="Body Text Indent"/>
    <w:basedOn w:val="Normal"/>
    <w:link w:val="BodyTextIndentChar"/>
    <w:uiPriority w:val="99"/>
    <w:semiHidden/>
    <w:unhideWhenUsed/>
    <w:rsid w:val="00D43A07"/>
    <w:pPr>
      <w:spacing w:after="0" w:line="480" w:lineRule="auto"/>
    </w:pPr>
  </w:style>
  <w:style w:type="character" w:customStyle="1" w:styleId="BodyTextIndentChar">
    <w:name w:val="Body Text Indent Char"/>
    <w:basedOn w:val="DefaultParagraphFont"/>
    <w:link w:val="BodyTextIndent"/>
    <w:uiPriority w:val="99"/>
    <w:semiHidden/>
    <w:rsid w:val="00D43A07"/>
    <w:rPr>
      <w:rFonts w:ascii="Times New Roman" w:hAnsi="Times New Roman"/>
      <w:sz w:val="24"/>
    </w:rPr>
  </w:style>
  <w:style w:type="table" w:styleId="TableGrid">
    <w:name w:val="Table Grid"/>
    <w:basedOn w:val="TableNormal"/>
    <w:uiPriority w:val="59"/>
    <w:rsid w:val="00DC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DC5B65"/>
    <w:pPr>
      <w:spacing w:after="0"/>
      <w:ind w:left="4320"/>
    </w:pPr>
  </w:style>
  <w:style w:type="character" w:customStyle="1" w:styleId="SignatureChar">
    <w:name w:val="Signature Char"/>
    <w:basedOn w:val="DefaultParagraphFont"/>
    <w:link w:val="Signature"/>
    <w:uiPriority w:val="99"/>
    <w:rsid w:val="00DC5B65"/>
  </w:style>
  <w:style w:type="paragraph" w:styleId="Header">
    <w:name w:val="header"/>
    <w:basedOn w:val="Normal"/>
    <w:link w:val="HeaderChar"/>
    <w:uiPriority w:val="99"/>
    <w:unhideWhenUsed/>
    <w:rsid w:val="003C0631"/>
    <w:pPr>
      <w:tabs>
        <w:tab w:val="center" w:pos="4680"/>
        <w:tab w:val="right" w:pos="9360"/>
      </w:tabs>
      <w:spacing w:after="0"/>
    </w:pPr>
  </w:style>
  <w:style w:type="character" w:customStyle="1" w:styleId="HeaderChar">
    <w:name w:val="Header Char"/>
    <w:basedOn w:val="DefaultParagraphFont"/>
    <w:link w:val="Header"/>
    <w:uiPriority w:val="99"/>
    <w:rsid w:val="003C0631"/>
  </w:style>
  <w:style w:type="paragraph" w:styleId="Footer">
    <w:name w:val="footer"/>
    <w:basedOn w:val="Normal"/>
    <w:link w:val="FooterChar"/>
    <w:uiPriority w:val="99"/>
    <w:unhideWhenUsed/>
    <w:rsid w:val="003C0631"/>
    <w:pPr>
      <w:tabs>
        <w:tab w:val="center" w:pos="4680"/>
        <w:tab w:val="right" w:pos="9360"/>
      </w:tabs>
      <w:spacing w:after="0"/>
    </w:pPr>
  </w:style>
  <w:style w:type="character" w:customStyle="1" w:styleId="FooterChar">
    <w:name w:val="Footer Char"/>
    <w:basedOn w:val="DefaultParagraphFont"/>
    <w:link w:val="Footer"/>
    <w:uiPriority w:val="99"/>
    <w:rsid w:val="003C0631"/>
  </w:style>
  <w:style w:type="paragraph" w:styleId="ListBullet">
    <w:name w:val="List Bullet"/>
    <w:basedOn w:val="Normal"/>
    <w:uiPriority w:val="99"/>
    <w:unhideWhenUsed/>
    <w:qFormat/>
    <w:rsid w:val="0007160F"/>
    <w:pPr>
      <w:numPr>
        <w:numId w:val="2"/>
      </w:numPr>
      <w:tabs>
        <w:tab w:val="clear" w:pos="360"/>
        <w:tab w:val="left" w:pos="1440"/>
      </w:tabs>
      <w:spacing w:before="120" w:after="120" w:line="480" w:lineRule="auto"/>
      <w:ind w:left="1440" w:hanging="720"/>
      <w:contextualSpacing/>
    </w:pPr>
  </w:style>
  <w:style w:type="character" w:styleId="Hyperlink">
    <w:name w:val="Hyperlink"/>
    <w:basedOn w:val="DefaultParagraphFont"/>
    <w:uiPriority w:val="99"/>
    <w:unhideWhenUsed/>
    <w:rsid w:val="005F7140"/>
    <w:rPr>
      <w:color w:val="0000FF" w:themeColor="hyperlink"/>
      <w:u w:val="single"/>
    </w:rPr>
  </w:style>
  <w:style w:type="paragraph" w:styleId="BalloonText">
    <w:name w:val="Balloon Text"/>
    <w:basedOn w:val="Normal"/>
    <w:link w:val="BalloonTextChar"/>
    <w:uiPriority w:val="99"/>
    <w:semiHidden/>
    <w:unhideWhenUsed/>
    <w:rsid w:val="00B300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1F"/>
    <w:rPr>
      <w:rFonts w:ascii="Segoe UI" w:hAnsi="Segoe UI" w:cs="Segoe UI"/>
      <w:sz w:val="18"/>
      <w:szCs w:val="18"/>
    </w:rPr>
  </w:style>
  <w:style w:type="character" w:styleId="CommentReference">
    <w:name w:val="annotation reference"/>
    <w:basedOn w:val="DefaultParagraphFont"/>
    <w:uiPriority w:val="99"/>
    <w:semiHidden/>
    <w:unhideWhenUsed/>
    <w:rsid w:val="009814A2"/>
    <w:rPr>
      <w:sz w:val="16"/>
      <w:szCs w:val="16"/>
    </w:rPr>
  </w:style>
  <w:style w:type="paragraph" w:styleId="CommentText">
    <w:name w:val="annotation text"/>
    <w:basedOn w:val="Normal"/>
    <w:link w:val="CommentTextChar"/>
    <w:uiPriority w:val="99"/>
    <w:semiHidden/>
    <w:unhideWhenUsed/>
    <w:rsid w:val="009814A2"/>
    <w:rPr>
      <w:sz w:val="20"/>
      <w:szCs w:val="20"/>
    </w:rPr>
  </w:style>
  <w:style w:type="character" w:customStyle="1" w:styleId="CommentTextChar">
    <w:name w:val="Comment Text Char"/>
    <w:basedOn w:val="DefaultParagraphFont"/>
    <w:link w:val="CommentText"/>
    <w:uiPriority w:val="99"/>
    <w:semiHidden/>
    <w:rsid w:val="009814A2"/>
    <w:rPr>
      <w:sz w:val="20"/>
      <w:szCs w:val="20"/>
    </w:rPr>
  </w:style>
  <w:style w:type="paragraph" w:styleId="CommentSubject">
    <w:name w:val="annotation subject"/>
    <w:basedOn w:val="CommentText"/>
    <w:next w:val="CommentText"/>
    <w:link w:val="CommentSubjectChar"/>
    <w:uiPriority w:val="99"/>
    <w:semiHidden/>
    <w:unhideWhenUsed/>
    <w:rsid w:val="009814A2"/>
    <w:rPr>
      <w:b/>
      <w:bCs/>
    </w:rPr>
  </w:style>
  <w:style w:type="character" w:customStyle="1" w:styleId="CommentSubjectChar">
    <w:name w:val="Comment Subject Char"/>
    <w:basedOn w:val="CommentTextChar"/>
    <w:link w:val="CommentSubject"/>
    <w:uiPriority w:val="99"/>
    <w:semiHidden/>
    <w:rsid w:val="009814A2"/>
    <w:rPr>
      <w:b/>
      <w:bCs/>
      <w:sz w:val="20"/>
      <w:szCs w:val="20"/>
    </w:rPr>
  </w:style>
  <w:style w:type="character" w:styleId="FollowedHyperlink">
    <w:name w:val="FollowedHyperlink"/>
    <w:basedOn w:val="DefaultParagraphFont"/>
    <w:uiPriority w:val="99"/>
    <w:semiHidden/>
    <w:unhideWhenUsed/>
    <w:rsid w:val="009814A2"/>
    <w:rPr>
      <w:color w:val="800080" w:themeColor="followedHyperlink"/>
      <w:u w:val="single"/>
    </w:rPr>
  </w:style>
  <w:style w:type="paragraph" w:styleId="Revision">
    <w:name w:val="Revision"/>
    <w:hidden/>
    <w:uiPriority w:val="99"/>
    <w:semiHidden/>
    <w:rsid w:val="00FF3C74"/>
    <w:pPr>
      <w:spacing w:after="0" w:line="240" w:lineRule="auto"/>
    </w:pPr>
  </w:style>
  <w:style w:type="paragraph" w:styleId="NormalIndent">
    <w:name w:val="Normal Indent"/>
    <w:basedOn w:val="Normal"/>
    <w:uiPriority w:val="99"/>
    <w:unhideWhenUsed/>
    <w:qFormat/>
    <w:rsid w:val="003E7053"/>
    <w:pPr>
      <w:spacing w:before="120" w:after="120" w:line="480" w:lineRule="auto"/>
      <w:ind w:firstLine="720"/>
    </w:pPr>
  </w:style>
  <w:style w:type="paragraph" w:styleId="TOCHeading">
    <w:name w:val="TOC Heading"/>
    <w:basedOn w:val="Heading1"/>
    <w:next w:val="Normal"/>
    <w:uiPriority w:val="39"/>
    <w:unhideWhenUsed/>
    <w:rsid w:val="00663383"/>
    <w:pPr>
      <w:numPr>
        <w:numId w:val="0"/>
      </w:numPr>
      <w:spacing w:before="240" w:after="0" w:line="259" w:lineRule="auto"/>
      <w:outlineLvl w:val="9"/>
    </w:pPr>
    <w:rPr>
      <w:rFonts w:asciiTheme="majorHAnsi" w:hAnsiTheme="majorHAnsi"/>
      <w:b w:val="0"/>
      <w:bCs w:val="0"/>
      <w:caps/>
      <w:color w:val="365F91" w:themeColor="accent1" w:themeShade="BF"/>
      <w:sz w:val="32"/>
      <w:szCs w:val="32"/>
    </w:rPr>
  </w:style>
  <w:style w:type="paragraph" w:styleId="TOC1">
    <w:name w:val="toc 1"/>
    <w:basedOn w:val="Normal"/>
    <w:next w:val="Normal"/>
    <w:autoRedefine/>
    <w:uiPriority w:val="39"/>
    <w:unhideWhenUsed/>
    <w:rsid w:val="00FD342E"/>
    <w:pPr>
      <w:tabs>
        <w:tab w:val="left" w:pos="720"/>
        <w:tab w:val="right" w:leader="dot" w:pos="9360"/>
      </w:tabs>
      <w:spacing w:after="100"/>
      <w:ind w:left="720" w:right="360" w:hanging="720"/>
    </w:pPr>
  </w:style>
  <w:style w:type="paragraph" w:styleId="TOC2">
    <w:name w:val="toc 2"/>
    <w:basedOn w:val="Normal"/>
    <w:next w:val="Normal"/>
    <w:autoRedefine/>
    <w:uiPriority w:val="39"/>
    <w:unhideWhenUsed/>
    <w:rsid w:val="00FD342E"/>
    <w:pPr>
      <w:tabs>
        <w:tab w:val="left" w:pos="1440"/>
        <w:tab w:val="right" w:leader="dot" w:pos="9350"/>
      </w:tabs>
      <w:spacing w:after="100"/>
      <w:ind w:left="1440" w:hanging="720"/>
    </w:pPr>
    <w:rPr>
      <w:noProof/>
    </w:rPr>
  </w:style>
  <w:style w:type="paragraph" w:styleId="NoSpacing">
    <w:name w:val="No Spacing"/>
    <w:uiPriority w:val="1"/>
    <w:rsid w:val="00A464B0"/>
    <w:pPr>
      <w:spacing w:after="0" w:line="240" w:lineRule="auto"/>
    </w:pPr>
  </w:style>
  <w:style w:type="character" w:customStyle="1" w:styleId="UnresolvedMention1">
    <w:name w:val="Unresolved Mention1"/>
    <w:basedOn w:val="DefaultParagraphFont"/>
    <w:uiPriority w:val="99"/>
    <w:semiHidden/>
    <w:unhideWhenUsed/>
    <w:rsid w:val="00A464B0"/>
    <w:rPr>
      <w:color w:val="808080"/>
      <w:shd w:val="clear" w:color="auto" w:fill="E6E6E6"/>
    </w:rPr>
  </w:style>
  <w:style w:type="character" w:customStyle="1" w:styleId="UnresolvedMention2">
    <w:name w:val="Unresolved Mention2"/>
    <w:basedOn w:val="DefaultParagraphFont"/>
    <w:uiPriority w:val="99"/>
    <w:semiHidden/>
    <w:unhideWhenUsed/>
    <w:rsid w:val="00C2774D"/>
    <w:rPr>
      <w:color w:val="808080"/>
      <w:shd w:val="clear" w:color="auto" w:fill="E6E6E6"/>
    </w:rPr>
  </w:style>
  <w:style w:type="paragraph" w:customStyle="1" w:styleId="Heading1Text">
    <w:name w:val="Heading 1 Text"/>
    <w:basedOn w:val="Normal"/>
    <w:rsid w:val="005E0DD8"/>
    <w:pPr>
      <w:spacing w:line="480" w:lineRule="exact"/>
      <w:ind w:left="1080" w:right="446"/>
      <w:jc w:val="both"/>
    </w:pPr>
    <w:rPr>
      <w:rFonts w:eastAsia="Times New Roman" w:cs="Times New Roman"/>
      <w:szCs w:val="20"/>
    </w:rPr>
  </w:style>
  <w:style w:type="table" w:customStyle="1" w:styleId="TableGrid1">
    <w:name w:val="Table Grid1"/>
    <w:basedOn w:val="TableNormal"/>
    <w:next w:val="TableGrid"/>
    <w:uiPriority w:val="39"/>
    <w:rsid w:val="007A3C22"/>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0DA6"/>
    <w:rPr>
      <w:color w:val="605E5C"/>
      <w:shd w:val="clear" w:color="auto" w:fill="E1DFDD"/>
    </w:rPr>
  </w:style>
  <w:style w:type="paragraph" w:styleId="NormalWeb">
    <w:name w:val="Normal (Web)"/>
    <w:basedOn w:val="Normal"/>
    <w:uiPriority w:val="99"/>
    <w:semiHidden/>
    <w:unhideWhenUsed/>
    <w:rsid w:val="004B05BE"/>
    <w:pPr>
      <w:spacing w:before="100" w:beforeAutospacing="1" w:after="100" w:afterAutospacing="1"/>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79772">
      <w:bodyDiv w:val="1"/>
      <w:marLeft w:val="0"/>
      <w:marRight w:val="0"/>
      <w:marTop w:val="0"/>
      <w:marBottom w:val="0"/>
      <w:divBdr>
        <w:top w:val="none" w:sz="0" w:space="0" w:color="auto"/>
        <w:left w:val="none" w:sz="0" w:space="0" w:color="auto"/>
        <w:bottom w:val="none" w:sz="0" w:space="0" w:color="auto"/>
        <w:right w:val="none" w:sz="0" w:space="0" w:color="auto"/>
      </w:divBdr>
    </w:div>
    <w:div w:id="1035034075">
      <w:bodyDiv w:val="1"/>
      <w:marLeft w:val="0"/>
      <w:marRight w:val="0"/>
      <w:marTop w:val="0"/>
      <w:marBottom w:val="0"/>
      <w:divBdr>
        <w:top w:val="none" w:sz="0" w:space="0" w:color="auto"/>
        <w:left w:val="none" w:sz="0" w:space="0" w:color="auto"/>
        <w:bottom w:val="none" w:sz="0" w:space="0" w:color="auto"/>
        <w:right w:val="none" w:sz="0" w:space="0" w:color="auto"/>
      </w:divBdr>
    </w:div>
    <w:div w:id="1651710570">
      <w:bodyDiv w:val="1"/>
      <w:marLeft w:val="0"/>
      <w:marRight w:val="0"/>
      <w:marTop w:val="0"/>
      <w:marBottom w:val="0"/>
      <w:divBdr>
        <w:top w:val="none" w:sz="0" w:space="0" w:color="auto"/>
        <w:left w:val="none" w:sz="0" w:space="0" w:color="auto"/>
        <w:bottom w:val="none" w:sz="0" w:space="0" w:color="auto"/>
        <w:right w:val="none" w:sz="0" w:space="0" w:color="auto"/>
      </w:divBdr>
      <w:divsChild>
        <w:div w:id="126106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26903">
              <w:marLeft w:val="0"/>
              <w:marRight w:val="0"/>
              <w:marTop w:val="0"/>
              <w:marBottom w:val="0"/>
              <w:divBdr>
                <w:top w:val="none" w:sz="0" w:space="0" w:color="auto"/>
                <w:left w:val="none" w:sz="0" w:space="0" w:color="auto"/>
                <w:bottom w:val="none" w:sz="0" w:space="0" w:color="auto"/>
                <w:right w:val="none" w:sz="0" w:space="0" w:color="auto"/>
              </w:divBdr>
              <w:divsChild>
                <w:div w:id="726104386">
                  <w:marLeft w:val="0"/>
                  <w:marRight w:val="0"/>
                  <w:marTop w:val="0"/>
                  <w:marBottom w:val="0"/>
                  <w:divBdr>
                    <w:top w:val="none" w:sz="0" w:space="0" w:color="auto"/>
                    <w:left w:val="none" w:sz="0" w:space="0" w:color="auto"/>
                    <w:bottom w:val="none" w:sz="0" w:space="0" w:color="auto"/>
                    <w:right w:val="none" w:sz="0" w:space="0" w:color="auto"/>
                  </w:divBdr>
                  <w:divsChild>
                    <w:div w:id="160120237">
                      <w:marLeft w:val="0"/>
                      <w:marRight w:val="0"/>
                      <w:marTop w:val="0"/>
                      <w:marBottom w:val="0"/>
                      <w:divBdr>
                        <w:top w:val="none" w:sz="0" w:space="0" w:color="auto"/>
                        <w:left w:val="none" w:sz="0" w:space="0" w:color="auto"/>
                        <w:bottom w:val="none" w:sz="0" w:space="0" w:color="auto"/>
                        <w:right w:val="none" w:sz="0" w:space="0" w:color="auto"/>
                      </w:divBdr>
                      <w:divsChild>
                        <w:div w:id="537358854">
                          <w:marLeft w:val="0"/>
                          <w:marRight w:val="0"/>
                          <w:marTop w:val="0"/>
                          <w:marBottom w:val="0"/>
                          <w:divBdr>
                            <w:top w:val="none" w:sz="0" w:space="0" w:color="auto"/>
                            <w:left w:val="none" w:sz="0" w:space="0" w:color="auto"/>
                            <w:bottom w:val="none" w:sz="0" w:space="0" w:color="auto"/>
                            <w:right w:val="none" w:sz="0" w:space="0" w:color="auto"/>
                          </w:divBdr>
                          <w:divsChild>
                            <w:div w:id="777409085">
                              <w:marLeft w:val="0"/>
                              <w:marRight w:val="0"/>
                              <w:marTop w:val="0"/>
                              <w:marBottom w:val="0"/>
                              <w:divBdr>
                                <w:top w:val="none" w:sz="0" w:space="0" w:color="auto"/>
                                <w:left w:val="none" w:sz="0" w:space="0" w:color="auto"/>
                                <w:bottom w:val="none" w:sz="0" w:space="0" w:color="auto"/>
                                <w:right w:val="none" w:sz="0" w:space="0" w:color="auto"/>
                              </w:divBdr>
                              <w:divsChild>
                                <w:div w:id="44061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773047">
                                      <w:marLeft w:val="0"/>
                                      <w:marRight w:val="0"/>
                                      <w:marTop w:val="0"/>
                                      <w:marBottom w:val="0"/>
                                      <w:divBdr>
                                        <w:top w:val="none" w:sz="0" w:space="0" w:color="auto"/>
                                        <w:left w:val="none" w:sz="0" w:space="0" w:color="auto"/>
                                        <w:bottom w:val="none" w:sz="0" w:space="0" w:color="auto"/>
                                        <w:right w:val="none" w:sz="0" w:space="0" w:color="auto"/>
                                      </w:divBdr>
                                      <w:divsChild>
                                        <w:div w:id="300379898">
                                          <w:marLeft w:val="0"/>
                                          <w:marRight w:val="0"/>
                                          <w:marTop w:val="0"/>
                                          <w:marBottom w:val="0"/>
                                          <w:divBdr>
                                            <w:top w:val="none" w:sz="0" w:space="0" w:color="auto"/>
                                            <w:left w:val="none" w:sz="0" w:space="0" w:color="auto"/>
                                            <w:bottom w:val="none" w:sz="0" w:space="0" w:color="auto"/>
                                            <w:right w:val="none" w:sz="0" w:space="0" w:color="auto"/>
                                          </w:divBdr>
                                          <w:divsChild>
                                            <w:div w:id="171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yperlink" Target="mailto:T3M3@pge.com"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Jane.Lee.Cole@sce.com"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yperlink" Target="mailto:EHenry@semprautilitie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eecc.org/caeec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5C88-770A-EA42-90ED-2A3ABBE8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Zuckerman</dc:creator>
  <cp:lastModifiedBy>Ellen Zuckerman</cp:lastModifiedBy>
  <cp:revision>2</cp:revision>
  <cp:lastPrinted>2018-03-19T21:45:00Z</cp:lastPrinted>
  <dcterms:created xsi:type="dcterms:W3CDTF">2018-07-26T23:04:00Z</dcterms:created>
  <dcterms:modified xsi:type="dcterms:W3CDTF">2018-07-26T23:04:00Z</dcterms:modified>
</cp:coreProperties>
</file>