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0C0E8" w14:textId="77777777" w:rsidR="00065242" w:rsidRDefault="00EA7F6A">
      <w:pPr>
        <w:pStyle w:val="Heading5"/>
        <w:tabs>
          <w:tab w:val="left" w:pos="4770"/>
        </w:tabs>
        <w:rPr>
          <w:b w:val="0"/>
          <w:color w:val="auto"/>
        </w:rPr>
      </w:pPr>
      <w:r>
        <w:rPr>
          <w:noProof/>
        </w:rPr>
        <mc:AlternateContent>
          <mc:Choice Requires="wps">
            <w:drawing>
              <wp:anchor distT="0" distB="0" distL="114300" distR="114300" simplePos="0" relativeHeight="251657728" behindDoc="0" locked="0" layoutInCell="0" allowOverlap="1" wp14:anchorId="4161E7F0" wp14:editId="640BB043">
                <wp:simplePos x="0" y="0"/>
                <wp:positionH relativeFrom="column">
                  <wp:posOffset>4166235</wp:posOffset>
                </wp:positionH>
                <wp:positionV relativeFrom="paragraph">
                  <wp:posOffset>62230</wp:posOffset>
                </wp:positionV>
                <wp:extent cx="1897380" cy="118999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6E306" w14:textId="77777777" w:rsidR="009857D4" w:rsidRPr="0092105C" w:rsidRDefault="009857D4" w:rsidP="002A505A">
                            <w:pPr>
                              <w:jc w:val="right"/>
                              <w:rPr>
                                <w:color w:val="FF0000"/>
                                <w:sz w:val="16"/>
                                <w:lang w:val="es-ES"/>
                              </w:rPr>
                            </w:pPr>
                            <w:r>
                              <w:rPr>
                                <w:color w:val="FF0000"/>
                                <w:sz w:val="16"/>
                                <w:lang w:val="es-ES"/>
                              </w:rPr>
                              <w:t>Clay Faber - Director</w:t>
                            </w:r>
                          </w:p>
                          <w:p w14:paraId="439049C0" w14:textId="77777777" w:rsidR="009857D4" w:rsidRPr="0092105C" w:rsidRDefault="009857D4" w:rsidP="002A505A">
                            <w:pPr>
                              <w:jc w:val="right"/>
                              <w:rPr>
                                <w:color w:val="000080"/>
                                <w:sz w:val="16"/>
                                <w:lang w:val="es-ES"/>
                              </w:rPr>
                            </w:pPr>
                            <w:r>
                              <w:rPr>
                                <w:color w:val="000080"/>
                                <w:sz w:val="16"/>
                                <w:lang w:val="es-ES"/>
                              </w:rPr>
                              <w:t xml:space="preserve">CA &amp; Federal </w:t>
                            </w:r>
                            <w:r w:rsidRPr="000152AC">
                              <w:rPr>
                                <w:color w:val="000080"/>
                                <w:sz w:val="16"/>
                              </w:rPr>
                              <w:t>Regulatory</w:t>
                            </w:r>
                          </w:p>
                          <w:p w14:paraId="116A2C3C" w14:textId="77777777" w:rsidR="009857D4" w:rsidRDefault="009857D4" w:rsidP="002A505A">
                            <w:pPr>
                              <w:jc w:val="right"/>
                              <w:rPr>
                                <w:color w:val="000080"/>
                                <w:sz w:val="16"/>
                              </w:rPr>
                            </w:pPr>
                            <w:r>
                              <w:rPr>
                                <w:color w:val="000080"/>
                                <w:sz w:val="16"/>
                              </w:rPr>
                              <w:t>8330 Century Park Court</w:t>
                            </w:r>
                          </w:p>
                          <w:p w14:paraId="312FB956" w14:textId="77777777" w:rsidR="009857D4" w:rsidRDefault="009857D4" w:rsidP="002A505A">
                            <w:pPr>
                              <w:jc w:val="right"/>
                              <w:rPr>
                                <w:color w:val="000080"/>
                                <w:sz w:val="16"/>
                              </w:rPr>
                            </w:pPr>
                            <w:r>
                              <w:rPr>
                                <w:color w:val="000080"/>
                                <w:sz w:val="16"/>
                              </w:rPr>
                              <w:t>San Diego, CA 92123-1548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1E7F0" id="_x0000_t202" coordsize="21600,21600" o:spt="202" path="m,l,21600r21600,l21600,xe">
                <v:stroke joinstyle="miter"/>
                <v:path gradientshapeok="t" o:connecttype="rect"/>
              </v:shapetype>
              <v:shape id="Text Box 3" o:spid="_x0000_s1026" type="#_x0000_t202" style="position:absolute;margin-left:328.05pt;margin-top:4.9pt;width:149.4pt;height:9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pLtQ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" o:allowincell="f" filled="f" stroked="f">
                <v:textbox>
                  <w:txbxContent>
                    <w:p w14:paraId="7C96E306" w14:textId="77777777" w:rsidR="009857D4" w:rsidRPr="0092105C" w:rsidRDefault="009857D4" w:rsidP="002A505A">
                      <w:pPr>
                        <w:jc w:val="right"/>
                        <w:rPr>
                          <w:color w:val="FF0000"/>
                          <w:sz w:val="16"/>
                          <w:lang w:val="es-ES"/>
                        </w:rPr>
                      </w:pPr>
                      <w:r>
                        <w:rPr>
                          <w:color w:val="FF0000"/>
                          <w:sz w:val="16"/>
                          <w:lang w:val="es-ES"/>
                        </w:rPr>
                        <w:t>Clay Faber - Director</w:t>
                      </w:r>
                    </w:p>
                    <w:p w14:paraId="439049C0" w14:textId="77777777" w:rsidR="009857D4" w:rsidRPr="0092105C" w:rsidRDefault="009857D4" w:rsidP="002A505A">
                      <w:pPr>
                        <w:jc w:val="right"/>
                        <w:rPr>
                          <w:color w:val="000080"/>
                          <w:sz w:val="16"/>
                          <w:lang w:val="es-ES"/>
                        </w:rPr>
                      </w:pPr>
                      <w:r>
                        <w:rPr>
                          <w:color w:val="000080"/>
                          <w:sz w:val="16"/>
                          <w:lang w:val="es-ES"/>
                        </w:rPr>
                        <w:t xml:space="preserve">CA &amp; Federal </w:t>
                      </w:r>
                      <w:r w:rsidRPr="000152AC">
                        <w:rPr>
                          <w:color w:val="000080"/>
                          <w:sz w:val="16"/>
                        </w:rPr>
                        <w:t>Regulatory</w:t>
                      </w:r>
                    </w:p>
                    <w:p w14:paraId="116A2C3C" w14:textId="77777777" w:rsidR="009857D4" w:rsidRDefault="009857D4" w:rsidP="002A505A">
                      <w:pPr>
                        <w:jc w:val="right"/>
                        <w:rPr>
                          <w:color w:val="000080"/>
                          <w:sz w:val="16"/>
                        </w:rPr>
                      </w:pPr>
                      <w:r>
                        <w:rPr>
                          <w:color w:val="000080"/>
                          <w:sz w:val="16"/>
                        </w:rPr>
                        <w:t>8330 Century Park Court</w:t>
                      </w:r>
                    </w:p>
                    <w:p w14:paraId="312FB956" w14:textId="77777777" w:rsidR="009857D4" w:rsidRDefault="009857D4" w:rsidP="002A505A">
                      <w:pPr>
                        <w:jc w:val="right"/>
                        <w:rPr>
                          <w:color w:val="000080"/>
                          <w:sz w:val="16"/>
                        </w:rPr>
                      </w:pPr>
                      <w:r>
                        <w:rPr>
                          <w:color w:val="000080"/>
                          <w:sz w:val="16"/>
                        </w:rPr>
                        <w:t>San Diego, CA 92123-1548</w:t>
                      </w:r>
                    </w:p>
                  </w:txbxContent>
                </v:textbox>
              </v:shape>
            </w:pict>
          </mc:Fallback>
        </mc:AlternateContent>
      </w:r>
      <w:r w:rsidRPr="00A02C3F">
        <w:rPr>
          <w:noProof/>
        </w:rPr>
        <w:drawing>
          <wp:inline distT="0" distB="0" distL="0" distR="0" wp14:anchorId="2F75DE85" wp14:editId="57E66889">
            <wp:extent cx="2171700" cy="1028065"/>
            <wp:effectExtent l="0" t="0" r="0" b="0"/>
            <wp:docPr id="6" name="Picture 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028065"/>
                    </a:xfrm>
                    <a:prstGeom prst="rect">
                      <a:avLst/>
                    </a:prstGeom>
                    <a:noFill/>
                    <a:ln>
                      <a:noFill/>
                    </a:ln>
                  </pic:spPr>
                </pic:pic>
              </a:graphicData>
            </a:graphic>
          </wp:inline>
        </w:drawing>
      </w:r>
      <w:r w:rsidR="00065242">
        <w:rPr>
          <w:b w:val="0"/>
          <w:color w:val="auto"/>
        </w:rPr>
        <w:t xml:space="preserve"> </w:t>
      </w:r>
    </w:p>
    <w:p w14:paraId="6A6579EB" w14:textId="77777777" w:rsidR="00065242" w:rsidRDefault="00065242">
      <w:pPr>
        <w:pStyle w:val="Heading5"/>
        <w:tabs>
          <w:tab w:val="left" w:pos="4770"/>
        </w:tabs>
        <w:rPr>
          <w:b w:val="0"/>
          <w:color w:val="auto"/>
        </w:rPr>
      </w:pPr>
    </w:p>
    <w:p w14:paraId="52030D1A" w14:textId="77777777" w:rsidR="009C67CB" w:rsidRDefault="00065242">
      <w:pPr>
        <w:pStyle w:val="Heading5"/>
        <w:tabs>
          <w:tab w:val="left" w:pos="4050"/>
          <w:tab w:val="left" w:pos="4770"/>
        </w:tabs>
        <w:rPr>
          <w:b w:val="0"/>
          <w:color w:val="auto"/>
        </w:rPr>
      </w:pPr>
      <w:r>
        <w:rPr>
          <w:b w:val="0"/>
          <w:color w:val="auto"/>
        </w:rPr>
        <w:tab/>
      </w:r>
      <w:r>
        <w:rPr>
          <w:b w:val="0"/>
          <w:color w:val="auto"/>
        </w:rPr>
        <w:tab/>
      </w:r>
    </w:p>
    <w:p w14:paraId="5A1A8B64" w14:textId="77777777" w:rsidR="002824CB" w:rsidRPr="002824CB" w:rsidRDefault="002824CB" w:rsidP="002824CB"/>
    <w:p w14:paraId="47625937" w14:textId="1885C6CE" w:rsidR="00D661DC" w:rsidRPr="007535B3" w:rsidRDefault="00E35DF5" w:rsidP="005E2FE1">
      <w:pPr>
        <w:tabs>
          <w:tab w:val="left" w:pos="4320"/>
        </w:tabs>
        <w:autoSpaceDE w:val="0"/>
        <w:autoSpaceDN w:val="0"/>
        <w:adjustRightInd w:val="0"/>
        <w:spacing w:before="31"/>
        <w:ind w:firstLine="4320"/>
        <w:rPr>
          <w:rFonts w:cs="Arial"/>
          <w:color w:val="000000"/>
          <w:szCs w:val="22"/>
        </w:rPr>
      </w:pPr>
      <w:r>
        <w:rPr>
          <w:rFonts w:cs="Arial"/>
          <w:color w:val="000000"/>
          <w:szCs w:val="22"/>
        </w:rPr>
        <w:t>September 4, 2018</w:t>
      </w:r>
    </w:p>
    <w:p w14:paraId="23055D50" w14:textId="77777777" w:rsidR="007535B3" w:rsidRPr="007535B3" w:rsidRDefault="007535B3" w:rsidP="007535B3">
      <w:pPr>
        <w:rPr>
          <w:rFonts w:cs="Arial"/>
          <w:szCs w:val="22"/>
        </w:rPr>
      </w:pPr>
    </w:p>
    <w:p w14:paraId="1FD980BC" w14:textId="1B5024CB" w:rsidR="007535B3" w:rsidRPr="001C7BE4" w:rsidRDefault="00D661DC" w:rsidP="007535B3">
      <w:pPr>
        <w:autoSpaceDE w:val="0"/>
        <w:autoSpaceDN w:val="0"/>
        <w:adjustRightInd w:val="0"/>
        <w:ind w:right="-20"/>
        <w:rPr>
          <w:rFonts w:cs="Arial"/>
          <w:color w:val="000000"/>
          <w:szCs w:val="22"/>
        </w:rPr>
      </w:pPr>
      <w:r w:rsidRPr="001C7BE4">
        <w:rPr>
          <w:rFonts w:cs="Arial"/>
          <w:b/>
          <w:bCs/>
          <w:color w:val="000000"/>
          <w:szCs w:val="22"/>
        </w:rPr>
        <w:t>ADVICE LETTER</w:t>
      </w:r>
      <w:r w:rsidR="00476A13" w:rsidRPr="001C7BE4">
        <w:rPr>
          <w:rFonts w:cs="Arial"/>
          <w:b/>
          <w:color w:val="000000"/>
          <w:szCs w:val="22"/>
        </w:rPr>
        <w:t xml:space="preserve"> </w:t>
      </w:r>
      <w:r w:rsidR="007B069B" w:rsidRPr="00E60F54">
        <w:rPr>
          <w:b/>
          <w:szCs w:val="22"/>
          <w:highlight w:val="yellow"/>
        </w:rPr>
        <w:t>xx</w:t>
      </w:r>
    </w:p>
    <w:p w14:paraId="762C6863" w14:textId="77777777" w:rsidR="007535B3" w:rsidRPr="007535B3" w:rsidRDefault="007535B3" w:rsidP="007535B3">
      <w:pPr>
        <w:autoSpaceDE w:val="0"/>
        <w:autoSpaceDN w:val="0"/>
        <w:adjustRightInd w:val="0"/>
        <w:ind w:right="-20"/>
        <w:rPr>
          <w:rFonts w:cs="Arial"/>
          <w:color w:val="000000"/>
          <w:szCs w:val="22"/>
        </w:rPr>
      </w:pPr>
      <w:r w:rsidRPr="007535B3">
        <w:rPr>
          <w:rFonts w:cs="Arial"/>
          <w:color w:val="000000"/>
          <w:szCs w:val="22"/>
        </w:rPr>
        <w:t>(San</w:t>
      </w:r>
      <w:r w:rsidRPr="007535B3">
        <w:rPr>
          <w:rFonts w:cs="Arial"/>
          <w:color w:val="000000"/>
          <w:spacing w:val="-5"/>
          <w:szCs w:val="22"/>
        </w:rPr>
        <w:t xml:space="preserve"> </w:t>
      </w:r>
      <w:r w:rsidRPr="007535B3">
        <w:rPr>
          <w:rFonts w:cs="Arial"/>
          <w:color w:val="000000"/>
          <w:szCs w:val="22"/>
        </w:rPr>
        <w:t>Diego</w:t>
      </w:r>
      <w:r w:rsidRPr="007535B3">
        <w:rPr>
          <w:rFonts w:cs="Arial"/>
          <w:color w:val="000000"/>
          <w:spacing w:val="-6"/>
          <w:szCs w:val="22"/>
        </w:rPr>
        <w:t xml:space="preserve"> </w:t>
      </w:r>
      <w:r w:rsidRPr="007535B3">
        <w:rPr>
          <w:rFonts w:cs="Arial"/>
          <w:color w:val="000000"/>
          <w:szCs w:val="22"/>
        </w:rPr>
        <w:t>Gas</w:t>
      </w:r>
      <w:r w:rsidRPr="007535B3">
        <w:rPr>
          <w:rFonts w:cs="Arial"/>
          <w:color w:val="000000"/>
          <w:spacing w:val="-4"/>
          <w:szCs w:val="22"/>
        </w:rPr>
        <w:t xml:space="preserve"> </w:t>
      </w:r>
      <w:r w:rsidRPr="007535B3">
        <w:rPr>
          <w:rFonts w:cs="Arial"/>
          <w:color w:val="000000"/>
          <w:szCs w:val="22"/>
        </w:rPr>
        <w:t>&amp;</w:t>
      </w:r>
      <w:r w:rsidRPr="007535B3">
        <w:rPr>
          <w:rFonts w:cs="Arial"/>
          <w:color w:val="000000"/>
          <w:spacing w:val="-1"/>
          <w:szCs w:val="22"/>
        </w:rPr>
        <w:t xml:space="preserve"> </w:t>
      </w:r>
      <w:r w:rsidRPr="007535B3">
        <w:rPr>
          <w:rFonts w:cs="Arial"/>
          <w:color w:val="000000"/>
          <w:szCs w:val="22"/>
        </w:rPr>
        <w:t>Electric</w:t>
      </w:r>
      <w:r w:rsidRPr="007535B3">
        <w:rPr>
          <w:rFonts w:cs="Arial"/>
          <w:color w:val="000000"/>
          <w:spacing w:val="-7"/>
          <w:szCs w:val="22"/>
        </w:rPr>
        <w:t xml:space="preserve"> </w:t>
      </w:r>
      <w:r w:rsidRPr="007535B3">
        <w:rPr>
          <w:rFonts w:cs="Arial"/>
          <w:color w:val="000000"/>
          <w:szCs w:val="22"/>
        </w:rPr>
        <w:t>Company</w:t>
      </w:r>
      <w:r w:rsidRPr="007535B3">
        <w:rPr>
          <w:rFonts w:cs="Arial"/>
          <w:color w:val="000000"/>
          <w:spacing w:val="-9"/>
          <w:szCs w:val="22"/>
        </w:rPr>
        <w:t xml:space="preserve"> </w:t>
      </w:r>
      <w:r w:rsidRPr="007535B3">
        <w:rPr>
          <w:rFonts w:cs="Arial"/>
          <w:color w:val="000000"/>
          <w:szCs w:val="22"/>
        </w:rPr>
        <w:t>-</w:t>
      </w:r>
      <w:r w:rsidRPr="007535B3">
        <w:rPr>
          <w:rFonts w:cs="Arial"/>
          <w:color w:val="000000"/>
          <w:spacing w:val="-1"/>
          <w:szCs w:val="22"/>
        </w:rPr>
        <w:t xml:space="preserve"> </w:t>
      </w:r>
      <w:r w:rsidR="000152AC">
        <w:rPr>
          <w:rFonts w:cs="Arial"/>
          <w:color w:val="000000"/>
          <w:szCs w:val="22"/>
        </w:rPr>
        <w:t xml:space="preserve">U902 </w:t>
      </w:r>
      <w:r w:rsidR="005B674C">
        <w:rPr>
          <w:rFonts w:cs="Arial"/>
          <w:color w:val="000000"/>
          <w:szCs w:val="22"/>
        </w:rPr>
        <w:t>M</w:t>
      </w:r>
      <w:r w:rsidRPr="007535B3">
        <w:rPr>
          <w:rFonts w:cs="Arial"/>
          <w:color w:val="000000"/>
          <w:szCs w:val="22"/>
        </w:rPr>
        <w:t>)</w:t>
      </w:r>
    </w:p>
    <w:p w14:paraId="20AD91BB" w14:textId="77777777" w:rsidR="007535B3" w:rsidRPr="007535B3" w:rsidRDefault="007535B3" w:rsidP="007535B3">
      <w:pPr>
        <w:autoSpaceDE w:val="0"/>
        <w:autoSpaceDN w:val="0"/>
        <w:adjustRightInd w:val="0"/>
        <w:spacing w:before="4" w:line="260" w:lineRule="exact"/>
        <w:rPr>
          <w:rFonts w:cs="Arial"/>
          <w:color w:val="000000"/>
          <w:szCs w:val="22"/>
        </w:rPr>
      </w:pPr>
    </w:p>
    <w:p w14:paraId="3DBC7ED6" w14:textId="77777777" w:rsidR="007535B3" w:rsidRPr="007535B3" w:rsidRDefault="007535B3" w:rsidP="007535B3">
      <w:pPr>
        <w:autoSpaceDE w:val="0"/>
        <w:autoSpaceDN w:val="0"/>
        <w:adjustRightInd w:val="0"/>
        <w:ind w:right="-20"/>
        <w:rPr>
          <w:rFonts w:cs="Arial"/>
          <w:color w:val="000000"/>
          <w:szCs w:val="22"/>
        </w:rPr>
      </w:pPr>
      <w:r w:rsidRPr="007535B3">
        <w:rPr>
          <w:rFonts w:cs="Arial"/>
          <w:color w:val="000000"/>
          <w:szCs w:val="22"/>
        </w:rPr>
        <w:t>Public</w:t>
      </w:r>
      <w:r w:rsidRPr="007535B3">
        <w:rPr>
          <w:rFonts w:cs="Arial"/>
          <w:color w:val="000000"/>
          <w:spacing w:val="-6"/>
          <w:szCs w:val="22"/>
        </w:rPr>
        <w:t xml:space="preserve"> </w:t>
      </w:r>
      <w:r w:rsidRPr="007535B3">
        <w:rPr>
          <w:rFonts w:cs="Arial"/>
          <w:color w:val="000000"/>
          <w:szCs w:val="22"/>
        </w:rPr>
        <w:t>Utilities</w:t>
      </w:r>
      <w:r w:rsidRPr="007535B3">
        <w:rPr>
          <w:rFonts w:cs="Arial"/>
          <w:color w:val="000000"/>
          <w:spacing w:val="-7"/>
          <w:szCs w:val="22"/>
        </w:rPr>
        <w:t xml:space="preserve"> </w:t>
      </w:r>
      <w:r w:rsidRPr="007535B3">
        <w:rPr>
          <w:rFonts w:cs="Arial"/>
          <w:color w:val="000000"/>
          <w:szCs w:val="22"/>
        </w:rPr>
        <w:t>Commission</w:t>
      </w:r>
      <w:r w:rsidRPr="007535B3">
        <w:rPr>
          <w:rFonts w:cs="Arial"/>
          <w:color w:val="000000"/>
          <w:spacing w:val="-12"/>
          <w:szCs w:val="22"/>
        </w:rPr>
        <w:t xml:space="preserve"> </w:t>
      </w:r>
      <w:r w:rsidRPr="007535B3">
        <w:rPr>
          <w:rFonts w:cs="Arial"/>
          <w:color w:val="000000"/>
          <w:szCs w:val="22"/>
        </w:rPr>
        <w:t>of</w:t>
      </w:r>
      <w:r w:rsidRPr="007535B3">
        <w:rPr>
          <w:rFonts w:cs="Arial"/>
          <w:color w:val="000000"/>
          <w:spacing w:val="-2"/>
          <w:szCs w:val="22"/>
        </w:rPr>
        <w:t xml:space="preserve"> </w:t>
      </w:r>
      <w:r w:rsidRPr="007535B3">
        <w:rPr>
          <w:rFonts w:cs="Arial"/>
          <w:color w:val="000000"/>
          <w:szCs w:val="22"/>
        </w:rPr>
        <w:t>the</w:t>
      </w:r>
      <w:r w:rsidRPr="007535B3">
        <w:rPr>
          <w:rFonts w:cs="Arial"/>
          <w:color w:val="000000"/>
          <w:spacing w:val="-3"/>
          <w:szCs w:val="22"/>
        </w:rPr>
        <w:t xml:space="preserve"> </w:t>
      </w:r>
      <w:r w:rsidRPr="007535B3">
        <w:rPr>
          <w:rFonts w:cs="Arial"/>
          <w:color w:val="000000"/>
          <w:szCs w:val="22"/>
        </w:rPr>
        <w:t>State</w:t>
      </w:r>
      <w:r w:rsidRPr="007535B3">
        <w:rPr>
          <w:rFonts w:cs="Arial"/>
          <w:color w:val="000000"/>
          <w:spacing w:val="-5"/>
          <w:szCs w:val="22"/>
        </w:rPr>
        <w:t xml:space="preserve"> </w:t>
      </w:r>
      <w:r w:rsidRPr="007535B3">
        <w:rPr>
          <w:rFonts w:cs="Arial"/>
          <w:color w:val="000000"/>
          <w:szCs w:val="22"/>
        </w:rPr>
        <w:t>of</w:t>
      </w:r>
      <w:r w:rsidRPr="007535B3">
        <w:rPr>
          <w:rFonts w:cs="Arial"/>
          <w:color w:val="000000"/>
          <w:spacing w:val="-2"/>
          <w:szCs w:val="22"/>
        </w:rPr>
        <w:t xml:space="preserve"> </w:t>
      </w:r>
      <w:r w:rsidRPr="007535B3">
        <w:rPr>
          <w:rFonts w:cs="Arial"/>
          <w:color w:val="000000"/>
          <w:szCs w:val="22"/>
        </w:rPr>
        <w:t>California</w:t>
      </w:r>
    </w:p>
    <w:p w14:paraId="035AB1A9" w14:textId="77777777" w:rsidR="007535B3" w:rsidRPr="007535B3" w:rsidRDefault="007535B3" w:rsidP="007535B3">
      <w:pPr>
        <w:autoSpaceDE w:val="0"/>
        <w:autoSpaceDN w:val="0"/>
        <w:adjustRightInd w:val="0"/>
        <w:spacing w:before="18" w:line="240" w:lineRule="exact"/>
        <w:rPr>
          <w:rFonts w:cs="Arial"/>
          <w:color w:val="000000"/>
          <w:szCs w:val="22"/>
        </w:rPr>
      </w:pPr>
    </w:p>
    <w:p w14:paraId="495E52AC" w14:textId="7DC760E0" w:rsidR="00D661DC" w:rsidRDefault="007535B3" w:rsidP="00D661DC">
      <w:pPr>
        <w:ind w:left="1440" w:hanging="1440"/>
        <w:jc w:val="both"/>
        <w:rPr>
          <w:rFonts w:cs="Arial"/>
          <w:b/>
          <w:color w:val="000000"/>
          <w:szCs w:val="22"/>
        </w:rPr>
      </w:pPr>
      <w:r w:rsidRPr="007535B3">
        <w:rPr>
          <w:rFonts w:cs="Arial"/>
          <w:b/>
          <w:color w:val="000000"/>
          <w:szCs w:val="22"/>
        </w:rPr>
        <w:t>SUBJECT</w:t>
      </w:r>
      <w:r w:rsidRPr="007535B3">
        <w:rPr>
          <w:rFonts w:cs="Arial"/>
          <w:color w:val="000000"/>
          <w:szCs w:val="22"/>
        </w:rPr>
        <w:t>:</w:t>
      </w:r>
      <w:r>
        <w:rPr>
          <w:rFonts w:cs="Arial"/>
          <w:color w:val="000000"/>
          <w:szCs w:val="22"/>
        </w:rPr>
        <w:tab/>
      </w:r>
      <w:r w:rsidR="00576DDF">
        <w:rPr>
          <w:rFonts w:cs="Arial"/>
          <w:b/>
          <w:color w:val="000000"/>
          <w:szCs w:val="22"/>
        </w:rPr>
        <w:t>S</w:t>
      </w:r>
      <w:r w:rsidR="00A65618">
        <w:rPr>
          <w:rFonts w:cs="Arial"/>
          <w:b/>
          <w:color w:val="000000"/>
          <w:szCs w:val="22"/>
        </w:rPr>
        <w:t>AN DIEGO GAS AND ELECTRIC</w:t>
      </w:r>
      <w:r w:rsidR="00A370B9">
        <w:rPr>
          <w:rFonts w:cs="Arial"/>
          <w:b/>
          <w:color w:val="000000"/>
          <w:szCs w:val="22"/>
        </w:rPr>
        <w:t xml:space="preserve"> COMPANY</w:t>
      </w:r>
      <w:r w:rsidR="00A65618">
        <w:rPr>
          <w:rFonts w:cs="Arial"/>
          <w:b/>
          <w:color w:val="000000"/>
          <w:szCs w:val="22"/>
        </w:rPr>
        <w:t xml:space="preserve">’S </w:t>
      </w:r>
      <w:r w:rsidR="00A370B9" w:rsidRPr="00A370B9">
        <w:rPr>
          <w:rFonts w:cs="Arial"/>
          <w:b/>
          <w:color w:val="000000"/>
          <w:szCs w:val="22"/>
        </w:rPr>
        <w:t>201</w:t>
      </w:r>
      <w:r w:rsidR="00E35DF5">
        <w:rPr>
          <w:rFonts w:cs="Arial"/>
          <w:b/>
          <w:color w:val="000000"/>
          <w:szCs w:val="22"/>
        </w:rPr>
        <w:t>9</w:t>
      </w:r>
      <w:r w:rsidR="00A370B9" w:rsidRPr="00A370B9">
        <w:rPr>
          <w:rFonts w:cs="Arial"/>
          <w:b/>
          <w:color w:val="000000"/>
          <w:szCs w:val="22"/>
        </w:rPr>
        <w:t xml:space="preserve"> A</w:t>
      </w:r>
      <w:r w:rsidR="00A370B9">
        <w:rPr>
          <w:rFonts w:cs="Arial"/>
          <w:b/>
          <w:color w:val="000000"/>
          <w:szCs w:val="22"/>
        </w:rPr>
        <w:t>NNUAL ENERGY EFFICIENCY PROGRAM AND PORTFOLIO BUDGET REQUEST</w:t>
      </w:r>
    </w:p>
    <w:p w14:paraId="429665C1" w14:textId="77777777" w:rsidR="00C427A8" w:rsidRDefault="00C427A8" w:rsidP="00D661DC">
      <w:pPr>
        <w:ind w:left="1440" w:hanging="1440"/>
        <w:jc w:val="both"/>
        <w:rPr>
          <w:rFonts w:cs="Arial"/>
          <w:b/>
          <w:color w:val="000000"/>
          <w:szCs w:val="22"/>
        </w:rPr>
      </w:pPr>
    </w:p>
    <w:p w14:paraId="1ECA6BB7" w14:textId="78C9F55C" w:rsidR="00C07B20" w:rsidRPr="000152AC" w:rsidRDefault="00C07B20" w:rsidP="000152AC">
      <w:pPr>
        <w:jc w:val="both"/>
        <w:rPr>
          <w:rFonts w:cs="Arial"/>
          <w:szCs w:val="22"/>
        </w:rPr>
      </w:pPr>
      <w:r w:rsidRPr="000152AC">
        <w:rPr>
          <w:rFonts w:cs="Arial"/>
          <w:szCs w:val="22"/>
        </w:rPr>
        <w:t xml:space="preserve">San Diego Gas &amp; Electric (SDG&amp;E) hereby submits </w:t>
      </w:r>
      <w:r w:rsidR="003A6F33">
        <w:rPr>
          <w:rFonts w:cs="Arial"/>
          <w:szCs w:val="22"/>
        </w:rPr>
        <w:t xml:space="preserve">its </w:t>
      </w:r>
      <w:r w:rsidR="00EF6BA2" w:rsidRPr="000152AC">
        <w:rPr>
          <w:rFonts w:cs="Arial"/>
          <w:szCs w:val="22"/>
        </w:rPr>
        <w:t>201</w:t>
      </w:r>
      <w:r w:rsidR="00E35DF5">
        <w:rPr>
          <w:rFonts w:cs="Arial"/>
          <w:szCs w:val="22"/>
        </w:rPr>
        <w:t>9</w:t>
      </w:r>
      <w:r w:rsidR="00EF6BA2" w:rsidRPr="000152AC">
        <w:rPr>
          <w:rFonts w:cs="Arial"/>
          <w:szCs w:val="22"/>
        </w:rPr>
        <w:t xml:space="preserve"> annual energy efficiency </w:t>
      </w:r>
      <w:r w:rsidR="002050C7" w:rsidRPr="000152AC">
        <w:rPr>
          <w:rFonts w:cs="Arial"/>
          <w:szCs w:val="22"/>
        </w:rPr>
        <w:t xml:space="preserve">(EE) </w:t>
      </w:r>
      <w:r w:rsidR="00EF6BA2" w:rsidRPr="000152AC">
        <w:rPr>
          <w:rFonts w:cs="Arial"/>
          <w:szCs w:val="22"/>
        </w:rPr>
        <w:t xml:space="preserve">program and portfolio budget advice letter as directed by the </w:t>
      </w:r>
      <w:r w:rsidR="003A6F33">
        <w:rPr>
          <w:rFonts w:cs="Arial"/>
          <w:szCs w:val="22"/>
        </w:rPr>
        <w:t xml:space="preserve">California Public Utilities Commission </w:t>
      </w:r>
      <w:r w:rsidR="006154D4">
        <w:rPr>
          <w:rFonts w:cs="Arial"/>
          <w:szCs w:val="22"/>
        </w:rPr>
        <w:t xml:space="preserve">(Commission) </w:t>
      </w:r>
      <w:r w:rsidR="001D0053">
        <w:rPr>
          <w:rFonts w:cs="Arial"/>
          <w:szCs w:val="22"/>
        </w:rPr>
        <w:t>Decision</w:t>
      </w:r>
      <w:r w:rsidR="00D86367">
        <w:rPr>
          <w:rFonts w:cs="Arial"/>
          <w:szCs w:val="22"/>
        </w:rPr>
        <w:t>s</w:t>
      </w:r>
      <w:r w:rsidR="001D0053">
        <w:rPr>
          <w:rFonts w:cs="Arial"/>
          <w:szCs w:val="22"/>
        </w:rPr>
        <w:t xml:space="preserve"> (D.) </w:t>
      </w:r>
      <w:r w:rsidR="00D86367">
        <w:rPr>
          <w:rFonts w:cs="Arial"/>
          <w:szCs w:val="22"/>
        </w:rPr>
        <w:t>15-</w:t>
      </w:r>
      <w:r w:rsidR="001D0053">
        <w:rPr>
          <w:rFonts w:cs="Arial"/>
          <w:szCs w:val="22"/>
        </w:rPr>
        <w:t xml:space="preserve">18-05-041. </w:t>
      </w:r>
      <w:r w:rsidR="003A6F33">
        <w:rPr>
          <w:rFonts w:cs="Arial"/>
          <w:szCs w:val="22"/>
        </w:rPr>
        <w:t xml:space="preserve"> </w:t>
      </w:r>
      <w:r w:rsidR="00CA7047" w:rsidRPr="000152AC">
        <w:rPr>
          <w:rFonts w:cs="Arial"/>
          <w:szCs w:val="22"/>
        </w:rPr>
        <w:t xml:space="preserve">All </w:t>
      </w:r>
      <w:r w:rsidRPr="000152AC">
        <w:rPr>
          <w:rFonts w:cs="Arial"/>
          <w:szCs w:val="22"/>
        </w:rPr>
        <w:t>necessary supporting documentation is incorporated as Appendi</w:t>
      </w:r>
      <w:r w:rsidR="00CA7047" w:rsidRPr="000152AC">
        <w:rPr>
          <w:rFonts w:cs="Arial"/>
          <w:szCs w:val="22"/>
        </w:rPr>
        <w:t>x</w:t>
      </w:r>
      <w:r w:rsidRPr="000152AC">
        <w:rPr>
          <w:rFonts w:cs="Arial"/>
          <w:szCs w:val="22"/>
        </w:rPr>
        <w:t xml:space="preserve"> A</w:t>
      </w:r>
      <w:r w:rsidR="00930BC8">
        <w:rPr>
          <w:rFonts w:cs="Arial"/>
          <w:szCs w:val="22"/>
        </w:rPr>
        <w:t xml:space="preserve"> and has been uploaded t</w:t>
      </w:r>
      <w:bookmarkStart w:id="0" w:name="_GoBack"/>
      <w:bookmarkEnd w:id="0"/>
      <w:r w:rsidR="00930BC8">
        <w:rPr>
          <w:rFonts w:cs="Arial"/>
          <w:szCs w:val="22"/>
        </w:rPr>
        <w:t>o CEDARS</w:t>
      </w:r>
      <w:r w:rsidR="002C1B43">
        <w:rPr>
          <w:rFonts w:cs="Arial"/>
          <w:szCs w:val="22"/>
        </w:rPr>
        <w:t>.</w:t>
      </w:r>
      <w:r w:rsidR="00930BC8" w:rsidRPr="000152AC">
        <w:rPr>
          <w:rStyle w:val="FootnoteReference"/>
          <w:rFonts w:cs="Arial"/>
          <w:szCs w:val="22"/>
        </w:rPr>
        <w:footnoteReference w:id="2"/>
      </w:r>
      <w:r w:rsidR="006E1A2C">
        <w:rPr>
          <w:rFonts w:cs="Arial"/>
          <w:szCs w:val="22"/>
        </w:rPr>
        <w:t xml:space="preserve">  </w:t>
      </w:r>
    </w:p>
    <w:p w14:paraId="569313B6" w14:textId="77777777" w:rsidR="00C07B20" w:rsidRPr="000152AC" w:rsidRDefault="00C07B20" w:rsidP="000152AC">
      <w:pPr>
        <w:pStyle w:val="BodyText"/>
        <w:rPr>
          <w:rFonts w:cs="Arial"/>
          <w:szCs w:val="22"/>
        </w:rPr>
      </w:pPr>
    </w:p>
    <w:p w14:paraId="63680ADA" w14:textId="77777777" w:rsidR="00C07B20" w:rsidRPr="000152AC" w:rsidRDefault="00C07B20" w:rsidP="00F044E8">
      <w:pPr>
        <w:pStyle w:val="Heading1"/>
      </w:pPr>
      <w:r w:rsidRPr="00F044E8">
        <w:t>BACKGROUND</w:t>
      </w:r>
    </w:p>
    <w:p w14:paraId="29752FF4" w14:textId="77777777" w:rsidR="00C07B20" w:rsidRDefault="00C07B20" w:rsidP="000152AC">
      <w:pPr>
        <w:jc w:val="both"/>
        <w:rPr>
          <w:rFonts w:cs="Arial"/>
          <w:szCs w:val="22"/>
        </w:rPr>
      </w:pPr>
    </w:p>
    <w:p w14:paraId="5FD036A9" w14:textId="51799318" w:rsidR="00CB7A36" w:rsidRDefault="008C6AF0" w:rsidP="000152AC">
      <w:pPr>
        <w:jc w:val="both"/>
        <w:rPr>
          <w:rFonts w:cs="Arial"/>
          <w:szCs w:val="22"/>
        </w:rPr>
      </w:pPr>
      <w:r>
        <w:rPr>
          <w:rFonts w:cs="Arial"/>
          <w:szCs w:val="22"/>
        </w:rPr>
        <w:t>Regulatory Background on EE Annual Budget Advice Letter:</w:t>
      </w:r>
    </w:p>
    <w:p w14:paraId="400CF19C" w14:textId="1D36C9FE" w:rsidR="008C6AF0" w:rsidRDefault="008C6AF0" w:rsidP="000152AC">
      <w:pPr>
        <w:jc w:val="both"/>
        <w:rPr>
          <w:rFonts w:cs="Arial"/>
          <w:szCs w:val="22"/>
        </w:rPr>
      </w:pPr>
      <w:r>
        <w:rPr>
          <w:rFonts w:cs="Arial"/>
          <w:szCs w:val="22"/>
        </w:rPr>
        <w:t>D.15-</w:t>
      </w:r>
      <w:r w:rsidR="00B010A5">
        <w:rPr>
          <w:rFonts w:cs="Arial"/>
          <w:szCs w:val="22"/>
        </w:rPr>
        <w:t>10-028</w:t>
      </w:r>
    </w:p>
    <w:p w14:paraId="3B80481F" w14:textId="0FCC32A1" w:rsidR="008C6AF0" w:rsidRPr="000152AC" w:rsidRDefault="008C6AF0" w:rsidP="000152AC">
      <w:pPr>
        <w:jc w:val="both"/>
        <w:rPr>
          <w:rFonts w:cs="Arial"/>
          <w:szCs w:val="22"/>
        </w:rPr>
      </w:pPr>
      <w:r>
        <w:rPr>
          <w:rFonts w:cs="Arial"/>
          <w:szCs w:val="22"/>
        </w:rPr>
        <w:t>D.18-05-041</w:t>
      </w:r>
    </w:p>
    <w:p w14:paraId="15630BD1" w14:textId="77777777" w:rsidR="00B010A5" w:rsidRDefault="00B010A5" w:rsidP="000152AC">
      <w:pPr>
        <w:pStyle w:val="Heading2"/>
        <w:rPr>
          <w:rFonts w:cs="Arial"/>
          <w:szCs w:val="22"/>
        </w:rPr>
      </w:pPr>
    </w:p>
    <w:p w14:paraId="49E79D55" w14:textId="0A865301" w:rsidR="00C07B20" w:rsidRPr="000152AC" w:rsidRDefault="00C07B20" w:rsidP="000152AC">
      <w:pPr>
        <w:pStyle w:val="Heading2"/>
        <w:rPr>
          <w:rFonts w:cs="Arial"/>
          <w:szCs w:val="22"/>
        </w:rPr>
      </w:pPr>
      <w:r w:rsidRPr="000152AC">
        <w:rPr>
          <w:rFonts w:cs="Arial"/>
          <w:szCs w:val="22"/>
        </w:rPr>
        <w:t>Portfolio Program Budgets</w:t>
      </w:r>
    </w:p>
    <w:p w14:paraId="558BA723" w14:textId="77777777" w:rsidR="00C07B20" w:rsidRPr="000152AC" w:rsidRDefault="00C07B20" w:rsidP="000152AC">
      <w:pPr>
        <w:jc w:val="both"/>
        <w:rPr>
          <w:rFonts w:cs="Arial"/>
          <w:szCs w:val="22"/>
        </w:rPr>
      </w:pPr>
    </w:p>
    <w:p w14:paraId="6997BAB6" w14:textId="4C68A262" w:rsidR="00C07B20" w:rsidRPr="000152AC" w:rsidRDefault="008204AD" w:rsidP="000152AC">
      <w:pPr>
        <w:jc w:val="both"/>
        <w:rPr>
          <w:rFonts w:cs="Arial"/>
          <w:szCs w:val="22"/>
        </w:rPr>
      </w:pPr>
      <w:r>
        <w:rPr>
          <w:rFonts w:cs="Arial"/>
          <w:szCs w:val="22"/>
        </w:rPr>
        <w:t xml:space="preserve">SDG&amp;E is requesting the </w:t>
      </w:r>
      <w:r w:rsidR="00B010A5">
        <w:rPr>
          <w:rFonts w:cs="Arial"/>
          <w:szCs w:val="22"/>
        </w:rPr>
        <w:t>following</w:t>
      </w:r>
      <w:r>
        <w:rPr>
          <w:rFonts w:cs="Arial"/>
          <w:szCs w:val="22"/>
        </w:rPr>
        <w:t xml:space="preserve"> budget approved in D.15-01-023</w:t>
      </w:r>
      <w:r w:rsidR="00B010A5">
        <w:rPr>
          <w:rFonts w:cs="Arial"/>
          <w:szCs w:val="22"/>
        </w:rPr>
        <w:t xml:space="preserve"> and D.18-05-041</w:t>
      </w:r>
      <w:r>
        <w:rPr>
          <w:rFonts w:cs="Arial"/>
          <w:szCs w:val="22"/>
        </w:rPr>
        <w:t xml:space="preserve">.  </w:t>
      </w:r>
      <w:r w:rsidR="006A2CE8" w:rsidRPr="000152AC">
        <w:rPr>
          <w:rFonts w:cs="Arial"/>
          <w:szCs w:val="22"/>
        </w:rPr>
        <w:t xml:space="preserve">Table 1 provides the </w:t>
      </w:r>
      <w:r w:rsidR="00E44902">
        <w:rPr>
          <w:rFonts w:cs="Arial"/>
          <w:szCs w:val="22"/>
        </w:rPr>
        <w:t>authorized</w:t>
      </w:r>
      <w:r w:rsidR="006A2CE8" w:rsidRPr="000152AC">
        <w:rPr>
          <w:rFonts w:cs="Arial"/>
          <w:szCs w:val="22"/>
        </w:rPr>
        <w:t xml:space="preserve"> </w:t>
      </w:r>
      <w:r w:rsidR="00762257" w:rsidRPr="000152AC">
        <w:rPr>
          <w:rFonts w:cs="Arial"/>
          <w:szCs w:val="22"/>
        </w:rPr>
        <w:t>201</w:t>
      </w:r>
      <w:r w:rsidR="00E44902">
        <w:rPr>
          <w:rFonts w:cs="Arial"/>
          <w:szCs w:val="22"/>
        </w:rPr>
        <w:t>9</w:t>
      </w:r>
      <w:r w:rsidR="00762257" w:rsidRPr="000152AC">
        <w:rPr>
          <w:rFonts w:cs="Arial"/>
          <w:szCs w:val="22"/>
        </w:rPr>
        <w:t xml:space="preserve"> </w:t>
      </w:r>
      <w:r w:rsidR="00676BE1" w:rsidRPr="000152AC">
        <w:rPr>
          <w:rFonts w:cs="Arial"/>
          <w:szCs w:val="22"/>
        </w:rPr>
        <w:t>rolling portfolio budget</w:t>
      </w:r>
      <w:r w:rsidR="00762257" w:rsidRPr="000152AC">
        <w:rPr>
          <w:rFonts w:cs="Arial"/>
          <w:szCs w:val="22"/>
        </w:rPr>
        <w:t xml:space="preserve"> as approved in D.15-01-023</w:t>
      </w:r>
      <w:r w:rsidR="00B010A5">
        <w:rPr>
          <w:rFonts w:cs="Arial"/>
          <w:szCs w:val="22"/>
        </w:rPr>
        <w:t xml:space="preserve"> and confirmed  by D.18-05-041.</w:t>
      </w:r>
    </w:p>
    <w:p w14:paraId="7CE2BF84" w14:textId="77777777" w:rsidR="00C07B20" w:rsidRPr="000152AC" w:rsidRDefault="00C07B20" w:rsidP="000152AC">
      <w:pPr>
        <w:jc w:val="both"/>
        <w:rPr>
          <w:rFonts w:cs="Arial"/>
          <w:szCs w:val="22"/>
        </w:rPr>
      </w:pPr>
    </w:p>
    <w:p w14:paraId="21DA1E45" w14:textId="77777777" w:rsidR="00C07B20" w:rsidRPr="00C07B20" w:rsidRDefault="00C07B20" w:rsidP="00C07B20">
      <w:pPr>
        <w:pStyle w:val="Heading3"/>
        <w:jc w:val="center"/>
        <w:rPr>
          <w:rFonts w:cs="Arial"/>
          <w:szCs w:val="22"/>
        </w:rPr>
      </w:pPr>
      <w:r w:rsidRPr="00C07B20">
        <w:rPr>
          <w:rFonts w:cs="Arial"/>
          <w:szCs w:val="22"/>
        </w:rPr>
        <w:t>Table 1: Approved EE and DRP Program Budgets</w:t>
      </w:r>
      <w:r w:rsidR="00D01E42">
        <w:rPr>
          <w:rFonts w:cs="Arial"/>
          <w:szCs w:val="22"/>
        </w:rPr>
        <w:t xml:space="preserve"> ($000)</w:t>
      </w:r>
    </w:p>
    <w:p w14:paraId="47C80586" w14:textId="77777777" w:rsidR="0025114D" w:rsidRPr="002A4864" w:rsidRDefault="0025114D" w:rsidP="00C07B20">
      <w:pPr>
        <w:pStyle w:val="Heading3"/>
        <w:rPr>
          <w:rFonts w:cs="Arial"/>
          <w:b w:val="0"/>
          <w:szCs w:val="22"/>
        </w:rPr>
      </w:pPr>
    </w:p>
    <w:p w14:paraId="5F88B1F5" w14:textId="77777777" w:rsidR="00551097" w:rsidRDefault="00EA7F6A" w:rsidP="00D44D1A">
      <w:pPr>
        <w:rPr>
          <w:rFonts w:ascii="Calibri" w:hAnsi="Calibri" w:cs="Calibri"/>
          <w:bCs/>
          <w:color w:val="000000"/>
          <w:szCs w:val="22"/>
        </w:rPr>
      </w:pPr>
      <w:r w:rsidRPr="00A02C3F">
        <w:rPr>
          <w:noProof/>
        </w:rPr>
        <w:drawing>
          <wp:inline distT="0" distB="0" distL="0" distR="0" wp14:anchorId="3D452FE7" wp14:editId="224B8C7C">
            <wp:extent cx="5941060" cy="89662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896620"/>
                    </a:xfrm>
                    <a:prstGeom prst="rect">
                      <a:avLst/>
                    </a:prstGeom>
                    <a:noFill/>
                    <a:ln>
                      <a:noFill/>
                    </a:ln>
                  </pic:spPr>
                </pic:pic>
              </a:graphicData>
            </a:graphic>
          </wp:inline>
        </w:drawing>
      </w:r>
    </w:p>
    <w:p w14:paraId="1A1FDA66" w14:textId="77777777" w:rsidR="00471D6E" w:rsidRPr="00471D6E" w:rsidRDefault="00471D6E" w:rsidP="00D44D1A"/>
    <w:p w14:paraId="530A3F17" w14:textId="08F32229" w:rsidR="00C07B20" w:rsidRPr="00C07B20" w:rsidRDefault="00C07B20" w:rsidP="000152AC">
      <w:pPr>
        <w:pStyle w:val="Heading3"/>
        <w:ind w:hanging="720"/>
        <w:rPr>
          <w:rFonts w:cs="Arial"/>
          <w:szCs w:val="22"/>
          <w:u w:val="single"/>
        </w:rPr>
      </w:pPr>
      <w:r w:rsidRPr="00C07B20">
        <w:rPr>
          <w:rFonts w:cs="Arial"/>
          <w:szCs w:val="22"/>
        </w:rPr>
        <w:t>A.</w:t>
      </w:r>
      <w:r>
        <w:rPr>
          <w:rFonts w:cs="Arial"/>
          <w:szCs w:val="22"/>
        </w:rPr>
        <w:t xml:space="preserve"> </w:t>
      </w:r>
      <w:r w:rsidR="000152AC">
        <w:rPr>
          <w:rFonts w:cs="Arial"/>
          <w:szCs w:val="22"/>
        </w:rPr>
        <w:tab/>
      </w:r>
      <w:r w:rsidR="00EB6782" w:rsidRPr="00C07B20">
        <w:rPr>
          <w:rFonts w:cs="Arial"/>
          <w:szCs w:val="22"/>
          <w:u w:val="single"/>
        </w:rPr>
        <w:t>201</w:t>
      </w:r>
      <w:r w:rsidR="00E44902">
        <w:rPr>
          <w:rFonts w:cs="Arial"/>
          <w:szCs w:val="22"/>
          <w:u w:val="single"/>
        </w:rPr>
        <w:t>9</w:t>
      </w:r>
      <w:r w:rsidR="00EB6782" w:rsidRPr="00C07B20">
        <w:rPr>
          <w:rFonts w:cs="Arial"/>
          <w:szCs w:val="22"/>
          <w:u w:val="single"/>
        </w:rPr>
        <w:t xml:space="preserve"> </w:t>
      </w:r>
      <w:r w:rsidRPr="00C07B20">
        <w:rPr>
          <w:rFonts w:cs="Arial"/>
          <w:szCs w:val="22"/>
          <w:u w:val="single"/>
        </w:rPr>
        <w:t>Demand Response Program Budgets</w:t>
      </w:r>
    </w:p>
    <w:p w14:paraId="4B232C7F" w14:textId="77777777" w:rsidR="00C07B20" w:rsidRPr="00C07B20" w:rsidRDefault="00C07B20" w:rsidP="00C07B20">
      <w:pPr>
        <w:rPr>
          <w:u w:val="single"/>
        </w:rPr>
      </w:pPr>
    </w:p>
    <w:p w14:paraId="1F6EE77E" w14:textId="560F1783" w:rsidR="00C07B20" w:rsidRDefault="00C07B20" w:rsidP="00C07B20">
      <w:pPr>
        <w:jc w:val="both"/>
        <w:rPr>
          <w:rFonts w:cs="Arial"/>
          <w:szCs w:val="22"/>
        </w:rPr>
      </w:pPr>
      <w:r w:rsidRPr="00C07B20">
        <w:rPr>
          <w:rFonts w:cs="Arial"/>
          <w:szCs w:val="22"/>
        </w:rPr>
        <w:lastRenderedPageBreak/>
        <w:t xml:space="preserve">The following are the specific programs and budgets associated with the </w:t>
      </w:r>
      <w:r w:rsidR="00EB6782" w:rsidRPr="00C07B20">
        <w:rPr>
          <w:rFonts w:cs="Arial"/>
          <w:szCs w:val="22"/>
        </w:rPr>
        <w:t>201</w:t>
      </w:r>
      <w:r w:rsidR="00E44902">
        <w:rPr>
          <w:rFonts w:cs="Arial"/>
          <w:szCs w:val="22"/>
        </w:rPr>
        <w:t>9</w:t>
      </w:r>
      <w:r w:rsidR="00EB6782" w:rsidRPr="00C07B20">
        <w:rPr>
          <w:rFonts w:cs="Arial"/>
          <w:szCs w:val="22"/>
        </w:rPr>
        <w:t xml:space="preserve"> </w:t>
      </w:r>
      <w:r w:rsidRPr="00C07B20">
        <w:rPr>
          <w:rFonts w:cs="Arial"/>
          <w:szCs w:val="22"/>
        </w:rPr>
        <w:t>D</w:t>
      </w:r>
      <w:r w:rsidR="0025114D">
        <w:rPr>
          <w:rFonts w:cs="Arial"/>
          <w:szCs w:val="22"/>
        </w:rPr>
        <w:t xml:space="preserve">emand </w:t>
      </w:r>
      <w:r w:rsidRPr="00C07B20">
        <w:rPr>
          <w:rFonts w:cs="Arial"/>
          <w:szCs w:val="22"/>
        </w:rPr>
        <w:t>R</w:t>
      </w:r>
      <w:r w:rsidR="0025114D">
        <w:rPr>
          <w:rFonts w:cs="Arial"/>
          <w:szCs w:val="22"/>
        </w:rPr>
        <w:t xml:space="preserve">esponse </w:t>
      </w:r>
      <w:r w:rsidRPr="00C07B20">
        <w:rPr>
          <w:rFonts w:cs="Arial"/>
          <w:szCs w:val="22"/>
        </w:rPr>
        <w:t>P</w:t>
      </w:r>
      <w:r w:rsidR="0025114D">
        <w:rPr>
          <w:rFonts w:cs="Arial"/>
          <w:szCs w:val="22"/>
        </w:rPr>
        <w:t>rogram (DRP)</w:t>
      </w:r>
      <w:r w:rsidRPr="00C07B20">
        <w:rPr>
          <w:rFonts w:cs="Arial"/>
          <w:szCs w:val="22"/>
        </w:rPr>
        <w:t xml:space="preserve"> IDSM approved budget.</w:t>
      </w:r>
      <w:r w:rsidR="00100ED1">
        <w:rPr>
          <w:rFonts w:cs="Arial"/>
          <w:szCs w:val="22"/>
        </w:rPr>
        <w:t xml:space="preserve">  </w:t>
      </w:r>
      <w:r w:rsidR="00E44902">
        <w:rPr>
          <w:rFonts w:cs="Arial"/>
          <w:szCs w:val="22"/>
        </w:rPr>
        <w:t>These strategies are in response to directions provided for by D.18-05-041</w:t>
      </w:r>
      <w:r w:rsidR="00100ED1">
        <w:rPr>
          <w:rFonts w:cs="Arial"/>
          <w:szCs w:val="22"/>
        </w:rPr>
        <w:t>.</w:t>
      </w:r>
    </w:p>
    <w:p w14:paraId="7CB3A110" w14:textId="77777777" w:rsidR="00A93B4D" w:rsidRDefault="00A93B4D" w:rsidP="00C07B20">
      <w:pPr>
        <w:jc w:val="both"/>
        <w:rPr>
          <w:rFonts w:cs="Arial"/>
          <w:szCs w:val="22"/>
        </w:rPr>
      </w:pPr>
    </w:p>
    <w:p w14:paraId="1236F048" w14:textId="74C4F973" w:rsidR="00FC582A" w:rsidRPr="00FC582A" w:rsidRDefault="00C07B20" w:rsidP="00D44D1A">
      <w:pPr>
        <w:pStyle w:val="Heading3"/>
        <w:jc w:val="center"/>
      </w:pPr>
      <w:r w:rsidRPr="00C07B20">
        <w:rPr>
          <w:rFonts w:cs="Arial"/>
          <w:szCs w:val="22"/>
        </w:rPr>
        <w:t xml:space="preserve">Table 2: SDG&amp;E </w:t>
      </w:r>
      <w:r w:rsidR="00EB6782" w:rsidRPr="00C07B20">
        <w:rPr>
          <w:rFonts w:cs="Arial"/>
          <w:szCs w:val="22"/>
        </w:rPr>
        <w:t>201</w:t>
      </w:r>
      <w:r w:rsidR="00E44902">
        <w:rPr>
          <w:rFonts w:cs="Arial"/>
          <w:szCs w:val="22"/>
        </w:rPr>
        <w:t>9</w:t>
      </w:r>
      <w:r w:rsidR="00EB6782">
        <w:rPr>
          <w:rFonts w:cs="Arial"/>
          <w:szCs w:val="22"/>
        </w:rPr>
        <w:t xml:space="preserve"> </w:t>
      </w:r>
      <w:r w:rsidR="00E44902">
        <w:rPr>
          <w:rFonts w:cs="Arial"/>
          <w:szCs w:val="22"/>
        </w:rPr>
        <w:t xml:space="preserve">IDSM </w:t>
      </w:r>
      <w:r w:rsidRPr="00C07B20">
        <w:rPr>
          <w:rFonts w:cs="Arial"/>
          <w:szCs w:val="22"/>
        </w:rPr>
        <w:t>DRP Program Budgets</w:t>
      </w:r>
    </w:p>
    <w:p w14:paraId="60ACAB3C" w14:textId="77777777" w:rsidR="00C07B20" w:rsidRDefault="00C07B20" w:rsidP="00C07B20">
      <w:pPr>
        <w:rPr>
          <w:rFonts w:cs="Arial"/>
          <w:szCs w:val="22"/>
        </w:rPr>
      </w:pPr>
    </w:p>
    <w:p w14:paraId="5B31F5A9" w14:textId="547C5EA0" w:rsidR="00551097" w:rsidRDefault="00E44902" w:rsidP="00C07B20">
      <w:pPr>
        <w:rPr>
          <w:rFonts w:cs="Arial"/>
          <w:szCs w:val="22"/>
        </w:rPr>
      </w:pPr>
      <w:r w:rsidRPr="00E44902">
        <w:rPr>
          <w:noProof/>
          <w:highlight w:val="yellow"/>
        </w:rPr>
        <w:t>Insert Table here</w:t>
      </w:r>
    </w:p>
    <w:p w14:paraId="26AA3E92" w14:textId="77777777" w:rsidR="00551097" w:rsidRPr="00C07B20" w:rsidRDefault="00551097" w:rsidP="00C07B20">
      <w:pPr>
        <w:rPr>
          <w:rFonts w:cs="Arial"/>
          <w:szCs w:val="22"/>
        </w:rPr>
      </w:pPr>
    </w:p>
    <w:p w14:paraId="6C2F2946" w14:textId="4697DC50" w:rsidR="00C07B20" w:rsidRPr="00C07B20" w:rsidRDefault="00C07B20" w:rsidP="000152AC">
      <w:pPr>
        <w:pStyle w:val="Heading3"/>
        <w:ind w:hanging="720"/>
        <w:rPr>
          <w:rFonts w:cs="Arial"/>
          <w:szCs w:val="22"/>
        </w:rPr>
      </w:pPr>
      <w:r w:rsidRPr="009E356D">
        <w:rPr>
          <w:rFonts w:cs="Arial"/>
          <w:szCs w:val="22"/>
        </w:rPr>
        <w:t xml:space="preserve">B. </w:t>
      </w:r>
      <w:r w:rsidR="000152AC" w:rsidRPr="009E356D">
        <w:rPr>
          <w:rFonts w:cs="Arial"/>
          <w:szCs w:val="22"/>
        </w:rPr>
        <w:tab/>
      </w:r>
      <w:r w:rsidR="00EB6782" w:rsidRPr="009E356D">
        <w:rPr>
          <w:rFonts w:cs="Arial"/>
          <w:szCs w:val="22"/>
          <w:u w:val="single"/>
        </w:rPr>
        <w:t>201</w:t>
      </w:r>
      <w:r w:rsidR="00E44902" w:rsidRPr="009E356D">
        <w:rPr>
          <w:rFonts w:cs="Arial"/>
          <w:szCs w:val="22"/>
          <w:u w:val="single"/>
        </w:rPr>
        <w:t>9</w:t>
      </w:r>
      <w:r w:rsidR="00EB6782" w:rsidRPr="009E356D">
        <w:rPr>
          <w:rFonts w:cs="Arial"/>
          <w:szCs w:val="22"/>
          <w:u w:val="single"/>
        </w:rPr>
        <w:t xml:space="preserve">8 </w:t>
      </w:r>
      <w:r w:rsidRPr="009E356D">
        <w:rPr>
          <w:rFonts w:cs="Arial"/>
          <w:szCs w:val="22"/>
          <w:u w:val="single"/>
        </w:rPr>
        <w:t>Energy Efficiency Program Budgets</w:t>
      </w:r>
    </w:p>
    <w:p w14:paraId="684F5225" w14:textId="77777777" w:rsidR="00C07B20" w:rsidRPr="00C07B20" w:rsidRDefault="00C07B20" w:rsidP="00C07B20">
      <w:pPr>
        <w:rPr>
          <w:rFonts w:cs="Arial"/>
          <w:szCs w:val="22"/>
        </w:rPr>
      </w:pPr>
    </w:p>
    <w:p w14:paraId="460F4F0D" w14:textId="4381C7DE" w:rsidR="00C07B20" w:rsidRPr="00C07B20" w:rsidRDefault="00C07B20" w:rsidP="00C07B20">
      <w:pPr>
        <w:jc w:val="both"/>
        <w:rPr>
          <w:rFonts w:cs="Arial"/>
          <w:szCs w:val="22"/>
        </w:rPr>
      </w:pPr>
      <w:r w:rsidRPr="00C07B20">
        <w:rPr>
          <w:rFonts w:cs="Arial"/>
          <w:szCs w:val="22"/>
        </w:rPr>
        <w:t xml:space="preserve">The </w:t>
      </w:r>
      <w:r w:rsidR="00036C4B">
        <w:rPr>
          <w:rFonts w:cs="Arial"/>
          <w:szCs w:val="22"/>
        </w:rPr>
        <w:t>201</w:t>
      </w:r>
      <w:r w:rsidR="00E44902">
        <w:rPr>
          <w:rFonts w:cs="Arial"/>
          <w:szCs w:val="22"/>
        </w:rPr>
        <w:t>9</w:t>
      </w:r>
      <w:r w:rsidR="00036C4B">
        <w:rPr>
          <w:rFonts w:cs="Arial"/>
          <w:szCs w:val="22"/>
        </w:rPr>
        <w:t xml:space="preserve"> </w:t>
      </w:r>
      <w:r w:rsidRPr="00C07B20">
        <w:rPr>
          <w:rFonts w:cs="Arial"/>
          <w:szCs w:val="22"/>
        </w:rPr>
        <w:t xml:space="preserve">SDG&amp;E programs are as follows: </w:t>
      </w:r>
    </w:p>
    <w:p w14:paraId="545877FE" w14:textId="77777777" w:rsidR="00C07B20" w:rsidRPr="00C07B20" w:rsidRDefault="00C07B20" w:rsidP="00C07B20">
      <w:pPr>
        <w:jc w:val="center"/>
        <w:rPr>
          <w:rFonts w:cs="Arial"/>
          <w:szCs w:val="22"/>
        </w:rPr>
      </w:pPr>
    </w:p>
    <w:p w14:paraId="6100360B" w14:textId="6D437C2A" w:rsidR="00C07B20" w:rsidRPr="00CF2B08" w:rsidRDefault="00C07B20" w:rsidP="00C07B20">
      <w:pPr>
        <w:pStyle w:val="Heading3"/>
        <w:jc w:val="center"/>
        <w:rPr>
          <w:rFonts w:cs="Arial"/>
          <w:szCs w:val="22"/>
        </w:rPr>
      </w:pPr>
      <w:r w:rsidRPr="00CF2B08">
        <w:rPr>
          <w:rFonts w:cs="Arial"/>
          <w:szCs w:val="22"/>
        </w:rPr>
        <w:t xml:space="preserve">Table 3: SDG&amp;E </w:t>
      </w:r>
      <w:r w:rsidR="00EB6782" w:rsidRPr="00CF2B08">
        <w:rPr>
          <w:rFonts w:cs="Arial"/>
          <w:szCs w:val="22"/>
        </w:rPr>
        <w:t xml:space="preserve">2018 </w:t>
      </w:r>
      <w:r w:rsidRPr="00CF2B08">
        <w:rPr>
          <w:rFonts w:cs="Arial"/>
          <w:szCs w:val="22"/>
        </w:rPr>
        <w:t xml:space="preserve">EE Program Budgets by </w:t>
      </w:r>
      <w:r w:rsidR="00E44902">
        <w:rPr>
          <w:rFonts w:cs="Arial"/>
          <w:szCs w:val="22"/>
        </w:rPr>
        <w:t>Business Sector</w:t>
      </w:r>
    </w:p>
    <w:p w14:paraId="60263DFA" w14:textId="77777777" w:rsidR="00F71590" w:rsidRDefault="00F71590" w:rsidP="00C07B20">
      <w:pPr>
        <w:jc w:val="center"/>
        <w:rPr>
          <w:rFonts w:cs="Arial"/>
          <w:szCs w:val="22"/>
        </w:rPr>
      </w:pPr>
    </w:p>
    <w:p w14:paraId="202A0A13" w14:textId="5BAC6181" w:rsidR="00173711" w:rsidRDefault="00173711" w:rsidP="00C07B20">
      <w:pPr>
        <w:jc w:val="center"/>
        <w:rPr>
          <w:rFonts w:ascii="Times New Roman" w:hAnsi="Times New Roman"/>
          <w:sz w:val="20"/>
        </w:rPr>
      </w:pPr>
      <w:r>
        <w:rPr>
          <w:rFonts w:cs="Arial"/>
          <w:szCs w:val="22"/>
        </w:rPr>
        <w:fldChar w:fldCharType="begin"/>
      </w:r>
      <w:r>
        <w:rPr>
          <w:rFonts w:cs="Arial"/>
          <w:szCs w:val="22"/>
        </w:rPr>
        <w:instrText xml:space="preserve"> LINK Excel.Sheet.12 "https://sempra-my.sharepoint.com/personal/abesa_semprautilities_com/Documents/abesa/2019%20Planning%20-%20EE%20ABAL/SDGE%20Draft%202019_ABAL_Budget%20and%20Savings.xlsx" "1a. IOU PY budget_savings!R4C1:R20C2" \a \f 5 \h  \* MERGEFORMAT </w:instrText>
      </w:r>
      <w:r>
        <w:rPr>
          <w:rFonts w:cs="Arial"/>
          <w:szCs w:val="22"/>
        </w:rPr>
        <w:fldChar w:fldCharType="separate"/>
      </w:r>
    </w:p>
    <w:tbl>
      <w:tblPr>
        <w:tblStyle w:val="TableGrid"/>
        <w:tblW w:w="10220" w:type="dxa"/>
        <w:tblLook w:val="04A0" w:firstRow="1" w:lastRow="0" w:firstColumn="1" w:lastColumn="0" w:noHBand="0" w:noVBand="1"/>
      </w:tblPr>
      <w:tblGrid>
        <w:gridCol w:w="7660"/>
        <w:gridCol w:w="2560"/>
      </w:tblGrid>
      <w:tr w:rsidR="00173711" w:rsidRPr="00173711" w14:paraId="2A9B3D74" w14:textId="77777777" w:rsidTr="00173711">
        <w:trPr>
          <w:trHeight w:val="630"/>
        </w:trPr>
        <w:tc>
          <w:tcPr>
            <w:tcW w:w="7660" w:type="dxa"/>
            <w:noWrap/>
            <w:hideMark/>
          </w:tcPr>
          <w:p w14:paraId="621D8EC9" w14:textId="731C4FB0" w:rsidR="00173711" w:rsidRPr="00173711" w:rsidRDefault="00173711">
            <w:pPr>
              <w:jc w:val="center"/>
              <w:rPr>
                <w:rFonts w:cs="Arial"/>
                <w:b/>
                <w:bCs/>
              </w:rPr>
            </w:pPr>
            <w:r w:rsidRPr="00173711">
              <w:rPr>
                <w:rFonts w:cs="Arial"/>
                <w:b/>
                <w:bCs/>
              </w:rPr>
              <w:t>Sector</w:t>
            </w:r>
          </w:p>
        </w:tc>
        <w:tc>
          <w:tcPr>
            <w:tcW w:w="2560" w:type="dxa"/>
            <w:noWrap/>
            <w:hideMark/>
          </w:tcPr>
          <w:p w14:paraId="22FBA2A4" w14:textId="77777777" w:rsidR="00173711" w:rsidRPr="00173711" w:rsidRDefault="00173711" w:rsidP="00173711">
            <w:pPr>
              <w:jc w:val="center"/>
              <w:rPr>
                <w:rFonts w:cs="Arial"/>
                <w:b/>
                <w:bCs/>
              </w:rPr>
            </w:pPr>
            <w:r w:rsidRPr="00173711">
              <w:rPr>
                <w:rFonts w:cs="Arial"/>
                <w:b/>
                <w:bCs/>
              </w:rPr>
              <w:t>PY 2019 Budget</w:t>
            </w:r>
          </w:p>
        </w:tc>
      </w:tr>
      <w:tr w:rsidR="00173711" w:rsidRPr="00173711" w14:paraId="258C8DB9" w14:textId="77777777" w:rsidTr="00173711">
        <w:trPr>
          <w:trHeight w:val="330"/>
        </w:trPr>
        <w:tc>
          <w:tcPr>
            <w:tcW w:w="7660" w:type="dxa"/>
            <w:noWrap/>
            <w:hideMark/>
          </w:tcPr>
          <w:p w14:paraId="209156BF" w14:textId="77777777" w:rsidR="00173711" w:rsidRPr="00173711" w:rsidRDefault="00173711" w:rsidP="00173711">
            <w:pPr>
              <w:jc w:val="center"/>
              <w:rPr>
                <w:rFonts w:cs="Arial"/>
              </w:rPr>
            </w:pPr>
            <w:r w:rsidRPr="00173711">
              <w:rPr>
                <w:rFonts w:cs="Arial"/>
              </w:rPr>
              <w:t>Residential</w:t>
            </w:r>
            <w:r w:rsidRPr="00173711">
              <w:rPr>
                <w:rFonts w:cs="Arial"/>
                <w:vertAlign w:val="superscript"/>
              </w:rPr>
              <w:t>7</w:t>
            </w:r>
          </w:p>
        </w:tc>
        <w:tc>
          <w:tcPr>
            <w:tcW w:w="2560" w:type="dxa"/>
            <w:noWrap/>
            <w:hideMark/>
          </w:tcPr>
          <w:p w14:paraId="02B99B6E" w14:textId="77777777" w:rsidR="00173711" w:rsidRPr="00173711" w:rsidRDefault="00173711" w:rsidP="00173711">
            <w:pPr>
              <w:jc w:val="center"/>
              <w:rPr>
                <w:rFonts w:cs="Arial"/>
              </w:rPr>
            </w:pPr>
            <w:r w:rsidRPr="00173711">
              <w:rPr>
                <w:rFonts w:cs="Arial"/>
              </w:rPr>
              <w:t xml:space="preserve">$18,386,418 </w:t>
            </w:r>
          </w:p>
        </w:tc>
      </w:tr>
      <w:tr w:rsidR="00173711" w:rsidRPr="00173711" w14:paraId="6F459572" w14:textId="77777777" w:rsidTr="00173711">
        <w:trPr>
          <w:trHeight w:val="290"/>
        </w:trPr>
        <w:tc>
          <w:tcPr>
            <w:tcW w:w="7660" w:type="dxa"/>
            <w:noWrap/>
            <w:hideMark/>
          </w:tcPr>
          <w:p w14:paraId="1C25C5FB" w14:textId="77777777" w:rsidR="00173711" w:rsidRPr="00173711" w:rsidRDefault="00173711" w:rsidP="00173711">
            <w:pPr>
              <w:jc w:val="center"/>
              <w:rPr>
                <w:rFonts w:cs="Arial"/>
              </w:rPr>
            </w:pPr>
            <w:r w:rsidRPr="00173711">
              <w:rPr>
                <w:rFonts w:cs="Arial"/>
              </w:rPr>
              <w:t>Commercial</w:t>
            </w:r>
          </w:p>
        </w:tc>
        <w:tc>
          <w:tcPr>
            <w:tcW w:w="2560" w:type="dxa"/>
            <w:noWrap/>
            <w:hideMark/>
          </w:tcPr>
          <w:p w14:paraId="7028FB82" w14:textId="77777777" w:rsidR="00173711" w:rsidRPr="00173711" w:rsidRDefault="00173711" w:rsidP="00173711">
            <w:pPr>
              <w:jc w:val="center"/>
              <w:rPr>
                <w:rFonts w:cs="Arial"/>
              </w:rPr>
            </w:pPr>
            <w:r w:rsidRPr="00173711">
              <w:rPr>
                <w:rFonts w:cs="Arial"/>
              </w:rPr>
              <w:t xml:space="preserve">$33,469,593 </w:t>
            </w:r>
          </w:p>
        </w:tc>
      </w:tr>
      <w:tr w:rsidR="00173711" w:rsidRPr="00173711" w14:paraId="632B10BC" w14:textId="77777777" w:rsidTr="00173711">
        <w:trPr>
          <w:trHeight w:val="290"/>
        </w:trPr>
        <w:tc>
          <w:tcPr>
            <w:tcW w:w="7660" w:type="dxa"/>
            <w:noWrap/>
            <w:hideMark/>
          </w:tcPr>
          <w:p w14:paraId="5B8333EB" w14:textId="77777777" w:rsidR="00173711" w:rsidRPr="00173711" w:rsidRDefault="00173711" w:rsidP="00173711">
            <w:pPr>
              <w:jc w:val="center"/>
              <w:rPr>
                <w:rFonts w:cs="Arial"/>
              </w:rPr>
            </w:pPr>
            <w:r w:rsidRPr="00173711">
              <w:rPr>
                <w:rFonts w:cs="Arial"/>
              </w:rPr>
              <w:t>Industrial</w:t>
            </w:r>
          </w:p>
        </w:tc>
        <w:tc>
          <w:tcPr>
            <w:tcW w:w="2560" w:type="dxa"/>
            <w:noWrap/>
            <w:hideMark/>
          </w:tcPr>
          <w:p w14:paraId="536BA1CD" w14:textId="77777777" w:rsidR="00173711" w:rsidRPr="00173711" w:rsidRDefault="00173711" w:rsidP="00173711">
            <w:pPr>
              <w:jc w:val="center"/>
              <w:rPr>
                <w:rFonts w:cs="Arial"/>
              </w:rPr>
            </w:pPr>
            <w:r w:rsidRPr="00173711">
              <w:rPr>
                <w:rFonts w:cs="Arial"/>
              </w:rPr>
              <w:t xml:space="preserve">$2,986,287 </w:t>
            </w:r>
          </w:p>
        </w:tc>
      </w:tr>
      <w:tr w:rsidR="00173711" w:rsidRPr="00173711" w14:paraId="0794FC05" w14:textId="77777777" w:rsidTr="00173711">
        <w:trPr>
          <w:trHeight w:val="290"/>
        </w:trPr>
        <w:tc>
          <w:tcPr>
            <w:tcW w:w="7660" w:type="dxa"/>
            <w:noWrap/>
            <w:hideMark/>
          </w:tcPr>
          <w:p w14:paraId="062DDF48" w14:textId="77777777" w:rsidR="00173711" w:rsidRPr="00173711" w:rsidRDefault="00173711" w:rsidP="00173711">
            <w:pPr>
              <w:jc w:val="center"/>
              <w:rPr>
                <w:rFonts w:cs="Arial"/>
              </w:rPr>
            </w:pPr>
            <w:r w:rsidRPr="00173711">
              <w:rPr>
                <w:rFonts w:cs="Arial"/>
              </w:rPr>
              <w:t>Agriculture</w:t>
            </w:r>
          </w:p>
        </w:tc>
        <w:tc>
          <w:tcPr>
            <w:tcW w:w="2560" w:type="dxa"/>
            <w:noWrap/>
            <w:hideMark/>
          </w:tcPr>
          <w:p w14:paraId="28DB7E9C" w14:textId="77777777" w:rsidR="00173711" w:rsidRPr="00173711" w:rsidRDefault="00173711" w:rsidP="00173711">
            <w:pPr>
              <w:jc w:val="center"/>
              <w:rPr>
                <w:rFonts w:cs="Arial"/>
              </w:rPr>
            </w:pPr>
            <w:r w:rsidRPr="00173711">
              <w:rPr>
                <w:rFonts w:cs="Arial"/>
              </w:rPr>
              <w:t xml:space="preserve">$1,792,362 </w:t>
            </w:r>
          </w:p>
        </w:tc>
      </w:tr>
      <w:tr w:rsidR="00173711" w:rsidRPr="00173711" w14:paraId="2E92CA12" w14:textId="77777777" w:rsidTr="00173711">
        <w:trPr>
          <w:trHeight w:val="290"/>
        </w:trPr>
        <w:tc>
          <w:tcPr>
            <w:tcW w:w="7660" w:type="dxa"/>
            <w:noWrap/>
            <w:hideMark/>
          </w:tcPr>
          <w:p w14:paraId="7994FB05" w14:textId="77777777" w:rsidR="00173711" w:rsidRPr="00173711" w:rsidRDefault="00173711" w:rsidP="00173711">
            <w:pPr>
              <w:jc w:val="center"/>
              <w:rPr>
                <w:rFonts w:cs="Arial"/>
              </w:rPr>
            </w:pPr>
            <w:r w:rsidRPr="00173711">
              <w:rPr>
                <w:rFonts w:cs="Arial"/>
              </w:rPr>
              <w:t>Emerging Tech</w:t>
            </w:r>
          </w:p>
        </w:tc>
        <w:tc>
          <w:tcPr>
            <w:tcW w:w="2560" w:type="dxa"/>
            <w:noWrap/>
            <w:hideMark/>
          </w:tcPr>
          <w:p w14:paraId="636ED94A" w14:textId="77777777" w:rsidR="00173711" w:rsidRPr="00173711" w:rsidRDefault="00173711" w:rsidP="00173711">
            <w:pPr>
              <w:jc w:val="center"/>
              <w:rPr>
                <w:rFonts w:cs="Arial"/>
              </w:rPr>
            </w:pPr>
            <w:r w:rsidRPr="00173711">
              <w:rPr>
                <w:rFonts w:cs="Arial"/>
              </w:rPr>
              <w:t xml:space="preserve">$1,370,072 </w:t>
            </w:r>
          </w:p>
        </w:tc>
      </w:tr>
      <w:tr w:rsidR="00173711" w:rsidRPr="00173711" w14:paraId="4C48CBF9" w14:textId="77777777" w:rsidTr="00173711">
        <w:trPr>
          <w:trHeight w:val="290"/>
        </w:trPr>
        <w:tc>
          <w:tcPr>
            <w:tcW w:w="7660" w:type="dxa"/>
            <w:noWrap/>
            <w:hideMark/>
          </w:tcPr>
          <w:p w14:paraId="505ED461" w14:textId="77777777" w:rsidR="00173711" w:rsidRPr="00173711" w:rsidRDefault="00173711" w:rsidP="00173711">
            <w:pPr>
              <w:jc w:val="center"/>
              <w:rPr>
                <w:rFonts w:cs="Arial"/>
              </w:rPr>
            </w:pPr>
            <w:r w:rsidRPr="00173711">
              <w:rPr>
                <w:rFonts w:cs="Arial"/>
              </w:rPr>
              <w:t>Public</w:t>
            </w:r>
          </w:p>
        </w:tc>
        <w:tc>
          <w:tcPr>
            <w:tcW w:w="2560" w:type="dxa"/>
            <w:noWrap/>
            <w:hideMark/>
          </w:tcPr>
          <w:p w14:paraId="61065DC9" w14:textId="77777777" w:rsidR="00173711" w:rsidRPr="00173711" w:rsidRDefault="00173711" w:rsidP="00173711">
            <w:pPr>
              <w:jc w:val="center"/>
              <w:rPr>
                <w:rFonts w:cs="Arial"/>
              </w:rPr>
            </w:pPr>
            <w:r w:rsidRPr="00173711">
              <w:rPr>
                <w:rFonts w:cs="Arial"/>
              </w:rPr>
              <w:t xml:space="preserve">$12,970,205 </w:t>
            </w:r>
          </w:p>
        </w:tc>
      </w:tr>
      <w:tr w:rsidR="00173711" w:rsidRPr="00173711" w14:paraId="009F3046" w14:textId="77777777" w:rsidTr="00173711">
        <w:trPr>
          <w:trHeight w:val="290"/>
        </w:trPr>
        <w:tc>
          <w:tcPr>
            <w:tcW w:w="7660" w:type="dxa"/>
            <w:noWrap/>
            <w:hideMark/>
          </w:tcPr>
          <w:p w14:paraId="1FC5F523" w14:textId="77777777" w:rsidR="00173711" w:rsidRPr="00173711" w:rsidRDefault="00173711" w:rsidP="00173711">
            <w:pPr>
              <w:jc w:val="center"/>
              <w:rPr>
                <w:rFonts w:cs="Arial"/>
              </w:rPr>
            </w:pPr>
            <w:r w:rsidRPr="00173711">
              <w:rPr>
                <w:rFonts w:cs="Arial"/>
              </w:rPr>
              <w:t>Codes and Standards</w:t>
            </w:r>
          </w:p>
        </w:tc>
        <w:tc>
          <w:tcPr>
            <w:tcW w:w="2560" w:type="dxa"/>
            <w:noWrap/>
            <w:hideMark/>
          </w:tcPr>
          <w:p w14:paraId="085A05DA" w14:textId="77777777" w:rsidR="00173711" w:rsidRPr="00173711" w:rsidRDefault="00173711" w:rsidP="00173711">
            <w:pPr>
              <w:jc w:val="center"/>
              <w:rPr>
                <w:rFonts w:cs="Arial"/>
              </w:rPr>
            </w:pPr>
            <w:r w:rsidRPr="00173711">
              <w:rPr>
                <w:rFonts w:cs="Arial"/>
              </w:rPr>
              <w:t xml:space="preserve">$562,990 </w:t>
            </w:r>
          </w:p>
        </w:tc>
      </w:tr>
      <w:tr w:rsidR="00173711" w:rsidRPr="00173711" w14:paraId="2BAE1732" w14:textId="77777777" w:rsidTr="00173711">
        <w:trPr>
          <w:trHeight w:val="290"/>
        </w:trPr>
        <w:tc>
          <w:tcPr>
            <w:tcW w:w="7660" w:type="dxa"/>
            <w:noWrap/>
            <w:hideMark/>
          </w:tcPr>
          <w:p w14:paraId="760BAA1E" w14:textId="77777777" w:rsidR="00173711" w:rsidRPr="00173711" w:rsidRDefault="00173711" w:rsidP="00173711">
            <w:pPr>
              <w:jc w:val="center"/>
              <w:rPr>
                <w:rFonts w:cs="Arial"/>
              </w:rPr>
            </w:pPr>
            <w:r w:rsidRPr="00173711">
              <w:rPr>
                <w:rFonts w:cs="Arial"/>
              </w:rPr>
              <w:t>WE&amp;T</w:t>
            </w:r>
          </w:p>
        </w:tc>
        <w:tc>
          <w:tcPr>
            <w:tcW w:w="2560" w:type="dxa"/>
            <w:noWrap/>
            <w:hideMark/>
          </w:tcPr>
          <w:p w14:paraId="388A460C" w14:textId="77777777" w:rsidR="00173711" w:rsidRPr="00173711" w:rsidRDefault="00173711" w:rsidP="00173711">
            <w:pPr>
              <w:jc w:val="center"/>
              <w:rPr>
                <w:rFonts w:cs="Arial"/>
              </w:rPr>
            </w:pPr>
            <w:r w:rsidRPr="00173711">
              <w:rPr>
                <w:rFonts w:cs="Arial"/>
              </w:rPr>
              <w:t xml:space="preserve">$774,005 </w:t>
            </w:r>
          </w:p>
        </w:tc>
      </w:tr>
      <w:tr w:rsidR="00173711" w:rsidRPr="00173711" w14:paraId="3E5100B5" w14:textId="77777777" w:rsidTr="00173711">
        <w:trPr>
          <w:trHeight w:val="290"/>
        </w:trPr>
        <w:tc>
          <w:tcPr>
            <w:tcW w:w="7660" w:type="dxa"/>
            <w:noWrap/>
            <w:hideMark/>
          </w:tcPr>
          <w:p w14:paraId="50BCB507" w14:textId="77777777" w:rsidR="00173711" w:rsidRPr="00173711" w:rsidRDefault="00173711" w:rsidP="00173711">
            <w:pPr>
              <w:jc w:val="center"/>
              <w:rPr>
                <w:rFonts w:cs="Arial"/>
              </w:rPr>
            </w:pPr>
            <w:r w:rsidRPr="00173711">
              <w:rPr>
                <w:rFonts w:cs="Arial"/>
              </w:rPr>
              <w:t>Finance</w:t>
            </w:r>
          </w:p>
        </w:tc>
        <w:tc>
          <w:tcPr>
            <w:tcW w:w="2560" w:type="dxa"/>
            <w:noWrap/>
            <w:hideMark/>
          </w:tcPr>
          <w:p w14:paraId="72799B8A" w14:textId="77777777" w:rsidR="00173711" w:rsidRPr="00173711" w:rsidRDefault="00173711" w:rsidP="00173711">
            <w:pPr>
              <w:jc w:val="center"/>
              <w:rPr>
                <w:rFonts w:cs="Arial"/>
              </w:rPr>
            </w:pPr>
            <w:r w:rsidRPr="00173711">
              <w:rPr>
                <w:rFonts w:cs="Arial"/>
              </w:rPr>
              <w:t xml:space="preserve">$372,399 </w:t>
            </w:r>
          </w:p>
        </w:tc>
      </w:tr>
      <w:tr w:rsidR="00173711" w:rsidRPr="00173711" w14:paraId="3DF97768" w14:textId="77777777" w:rsidTr="00173711">
        <w:trPr>
          <w:trHeight w:val="330"/>
        </w:trPr>
        <w:tc>
          <w:tcPr>
            <w:tcW w:w="7660" w:type="dxa"/>
            <w:noWrap/>
            <w:hideMark/>
          </w:tcPr>
          <w:p w14:paraId="4494F818" w14:textId="77777777" w:rsidR="00173711" w:rsidRPr="00173711" w:rsidRDefault="00173711" w:rsidP="00173711">
            <w:pPr>
              <w:jc w:val="center"/>
              <w:rPr>
                <w:rFonts w:cs="Arial"/>
              </w:rPr>
            </w:pPr>
            <w:r w:rsidRPr="00173711">
              <w:rPr>
                <w:rFonts w:cs="Arial"/>
              </w:rPr>
              <w:t>OBF Loan Pool</w:t>
            </w:r>
            <w:r w:rsidRPr="00173711">
              <w:rPr>
                <w:rFonts w:cs="Arial"/>
                <w:vertAlign w:val="superscript"/>
              </w:rPr>
              <w:t>6</w:t>
            </w:r>
          </w:p>
        </w:tc>
        <w:tc>
          <w:tcPr>
            <w:tcW w:w="2560" w:type="dxa"/>
            <w:noWrap/>
            <w:hideMark/>
          </w:tcPr>
          <w:p w14:paraId="21FE907B" w14:textId="77777777" w:rsidR="00173711" w:rsidRPr="00173711" w:rsidRDefault="00173711" w:rsidP="00173711">
            <w:pPr>
              <w:jc w:val="center"/>
              <w:rPr>
                <w:rFonts w:cs="Arial"/>
              </w:rPr>
            </w:pPr>
            <w:r w:rsidRPr="00173711">
              <w:rPr>
                <w:rFonts w:cs="Arial"/>
              </w:rPr>
              <w:t xml:space="preserve">$26,003,565 </w:t>
            </w:r>
          </w:p>
        </w:tc>
      </w:tr>
      <w:tr w:rsidR="00173711" w:rsidRPr="00173711" w14:paraId="57E56C98" w14:textId="77777777" w:rsidTr="00173711">
        <w:trPr>
          <w:trHeight w:val="300"/>
        </w:trPr>
        <w:tc>
          <w:tcPr>
            <w:tcW w:w="7660" w:type="dxa"/>
            <w:noWrap/>
            <w:hideMark/>
          </w:tcPr>
          <w:p w14:paraId="26669784" w14:textId="77777777" w:rsidR="00173711" w:rsidRPr="00173711" w:rsidRDefault="00173711" w:rsidP="00173711">
            <w:pPr>
              <w:jc w:val="center"/>
              <w:rPr>
                <w:rFonts w:cs="Arial"/>
              </w:rPr>
            </w:pPr>
            <w:r w:rsidRPr="00173711">
              <w:rPr>
                <w:rFonts w:cs="Arial"/>
              </w:rPr>
              <w:t xml:space="preserve">Cross-Cutting </w:t>
            </w:r>
          </w:p>
        </w:tc>
        <w:tc>
          <w:tcPr>
            <w:tcW w:w="2560" w:type="dxa"/>
            <w:noWrap/>
            <w:hideMark/>
          </w:tcPr>
          <w:p w14:paraId="48CF6869" w14:textId="77777777" w:rsidR="00173711" w:rsidRPr="00173711" w:rsidRDefault="00173711" w:rsidP="00173711">
            <w:pPr>
              <w:jc w:val="center"/>
              <w:rPr>
                <w:rFonts w:cs="Arial"/>
              </w:rPr>
            </w:pPr>
            <w:r w:rsidRPr="00173711">
              <w:rPr>
                <w:rFonts w:cs="Arial"/>
              </w:rPr>
              <w:t xml:space="preserve">$20,437,081 </w:t>
            </w:r>
          </w:p>
        </w:tc>
      </w:tr>
      <w:tr w:rsidR="00173711" w:rsidRPr="00173711" w14:paraId="08EA0911" w14:textId="77777777" w:rsidTr="00173711">
        <w:trPr>
          <w:trHeight w:val="310"/>
        </w:trPr>
        <w:tc>
          <w:tcPr>
            <w:tcW w:w="7660" w:type="dxa"/>
            <w:noWrap/>
            <w:hideMark/>
          </w:tcPr>
          <w:p w14:paraId="1783E501" w14:textId="77777777" w:rsidR="00173711" w:rsidRPr="00173711" w:rsidRDefault="00173711" w:rsidP="00173711">
            <w:pPr>
              <w:jc w:val="center"/>
              <w:rPr>
                <w:rFonts w:cs="Arial"/>
                <w:b/>
                <w:bCs/>
              </w:rPr>
            </w:pPr>
            <w:r w:rsidRPr="00173711">
              <w:rPr>
                <w:rFonts w:cs="Arial"/>
                <w:b/>
                <w:bCs/>
              </w:rPr>
              <w:t>IOU Subtotal</w:t>
            </w:r>
          </w:p>
        </w:tc>
        <w:tc>
          <w:tcPr>
            <w:tcW w:w="2560" w:type="dxa"/>
            <w:noWrap/>
            <w:hideMark/>
          </w:tcPr>
          <w:p w14:paraId="39F50C6A" w14:textId="77777777" w:rsidR="00173711" w:rsidRPr="00173711" w:rsidRDefault="00173711" w:rsidP="00173711">
            <w:pPr>
              <w:jc w:val="center"/>
              <w:rPr>
                <w:rFonts w:cs="Arial"/>
              </w:rPr>
            </w:pPr>
            <w:r w:rsidRPr="00173711">
              <w:rPr>
                <w:rFonts w:cs="Arial"/>
              </w:rPr>
              <w:t xml:space="preserve">$93,121,413 </w:t>
            </w:r>
          </w:p>
        </w:tc>
      </w:tr>
      <w:tr w:rsidR="00173711" w:rsidRPr="00173711" w14:paraId="025053FA" w14:textId="77777777" w:rsidTr="00173711">
        <w:trPr>
          <w:trHeight w:val="300"/>
        </w:trPr>
        <w:tc>
          <w:tcPr>
            <w:tcW w:w="7660" w:type="dxa"/>
            <w:noWrap/>
            <w:hideMark/>
          </w:tcPr>
          <w:p w14:paraId="156A7A64" w14:textId="77777777" w:rsidR="00173711" w:rsidRPr="00173711" w:rsidRDefault="00173711" w:rsidP="00173711">
            <w:pPr>
              <w:jc w:val="center"/>
              <w:rPr>
                <w:rFonts w:cs="Arial"/>
                <w:b/>
                <w:bCs/>
              </w:rPr>
            </w:pPr>
            <w:r w:rsidRPr="00173711">
              <w:rPr>
                <w:rFonts w:cs="Arial"/>
                <w:b/>
                <w:bCs/>
              </w:rPr>
              <w:t xml:space="preserve">IOU EM&amp;V </w:t>
            </w:r>
          </w:p>
        </w:tc>
        <w:tc>
          <w:tcPr>
            <w:tcW w:w="2560" w:type="dxa"/>
            <w:noWrap/>
            <w:hideMark/>
          </w:tcPr>
          <w:p w14:paraId="30E5FE0F" w14:textId="77777777" w:rsidR="00173711" w:rsidRPr="00173711" w:rsidRDefault="00173711" w:rsidP="00173711">
            <w:pPr>
              <w:jc w:val="center"/>
              <w:rPr>
                <w:rFonts w:cs="Arial"/>
              </w:rPr>
            </w:pPr>
            <w:r w:rsidRPr="00173711">
              <w:rPr>
                <w:rFonts w:cs="Arial"/>
              </w:rPr>
              <w:t>$4,658,311</w:t>
            </w:r>
          </w:p>
        </w:tc>
      </w:tr>
      <w:tr w:rsidR="00173711" w:rsidRPr="00173711" w14:paraId="3C2BB06E" w14:textId="77777777" w:rsidTr="00173711">
        <w:trPr>
          <w:trHeight w:val="340"/>
        </w:trPr>
        <w:tc>
          <w:tcPr>
            <w:tcW w:w="7660" w:type="dxa"/>
            <w:noWrap/>
            <w:hideMark/>
          </w:tcPr>
          <w:p w14:paraId="5EB25F15" w14:textId="77777777" w:rsidR="00173711" w:rsidRPr="00173711" w:rsidRDefault="00173711" w:rsidP="00173711">
            <w:pPr>
              <w:jc w:val="center"/>
              <w:rPr>
                <w:rFonts w:cs="Arial"/>
                <w:b/>
                <w:bCs/>
              </w:rPr>
            </w:pPr>
            <w:r w:rsidRPr="00173711">
              <w:rPr>
                <w:rFonts w:cs="Arial"/>
                <w:b/>
                <w:bCs/>
              </w:rPr>
              <w:t>IOU PY Spending Budget Request</w:t>
            </w:r>
            <w:r w:rsidRPr="00173711">
              <w:rPr>
                <w:rFonts w:cs="Arial"/>
                <w:b/>
                <w:bCs/>
                <w:vertAlign w:val="superscript"/>
              </w:rPr>
              <w:t>1</w:t>
            </w:r>
          </w:p>
        </w:tc>
        <w:tc>
          <w:tcPr>
            <w:tcW w:w="2560" w:type="dxa"/>
            <w:noWrap/>
            <w:hideMark/>
          </w:tcPr>
          <w:p w14:paraId="7BF68A7C" w14:textId="77777777" w:rsidR="00173711" w:rsidRPr="00173711" w:rsidRDefault="00173711" w:rsidP="00173711">
            <w:pPr>
              <w:jc w:val="center"/>
              <w:rPr>
                <w:rFonts w:cs="Arial"/>
              </w:rPr>
            </w:pPr>
            <w:r w:rsidRPr="00173711">
              <w:rPr>
                <w:rFonts w:cs="Arial"/>
              </w:rPr>
              <w:t>$97,779,724</w:t>
            </w:r>
          </w:p>
        </w:tc>
      </w:tr>
    </w:tbl>
    <w:p w14:paraId="362494EF" w14:textId="44AA9FDA" w:rsidR="001D73D7" w:rsidRDefault="00173711" w:rsidP="00C07B20">
      <w:pPr>
        <w:jc w:val="center"/>
        <w:rPr>
          <w:rFonts w:cs="Arial"/>
          <w:szCs w:val="22"/>
        </w:rPr>
      </w:pPr>
      <w:r>
        <w:rPr>
          <w:rFonts w:cs="Arial"/>
          <w:szCs w:val="22"/>
        </w:rPr>
        <w:fldChar w:fldCharType="end"/>
      </w:r>
    </w:p>
    <w:p w14:paraId="34726AFE" w14:textId="697A3FF1" w:rsidR="004130F3" w:rsidRDefault="00250AD4" w:rsidP="00250AD4">
      <w:pPr>
        <w:rPr>
          <w:rFonts w:cs="Arial"/>
          <w:szCs w:val="22"/>
        </w:rPr>
      </w:pPr>
      <w:r>
        <w:rPr>
          <w:rFonts w:cs="Arial"/>
          <w:szCs w:val="22"/>
        </w:rPr>
        <w:t>Note</w:t>
      </w:r>
      <w:r w:rsidR="00E321C4">
        <w:rPr>
          <w:rFonts w:cs="Arial"/>
          <w:szCs w:val="22"/>
        </w:rPr>
        <w:t>s</w:t>
      </w:r>
      <w:r>
        <w:rPr>
          <w:rFonts w:cs="Arial"/>
          <w:szCs w:val="22"/>
        </w:rPr>
        <w:t>:</w:t>
      </w:r>
      <w:r w:rsidR="002A4864">
        <w:rPr>
          <w:rFonts w:cs="Arial"/>
          <w:szCs w:val="22"/>
        </w:rPr>
        <w:tab/>
        <w:t>*</w:t>
      </w:r>
    </w:p>
    <w:tbl>
      <w:tblPr>
        <w:tblStyle w:val="TableGrid"/>
        <w:tblW w:w="0" w:type="auto"/>
        <w:tblLook w:val="04A0" w:firstRow="1" w:lastRow="0" w:firstColumn="1" w:lastColumn="0" w:noHBand="0" w:noVBand="1"/>
      </w:tblPr>
      <w:tblGrid>
        <w:gridCol w:w="7660"/>
      </w:tblGrid>
      <w:tr w:rsidR="00173711" w:rsidRPr="00173711" w14:paraId="64D22393" w14:textId="77777777" w:rsidTr="00173711">
        <w:trPr>
          <w:trHeight w:val="330"/>
        </w:trPr>
        <w:tc>
          <w:tcPr>
            <w:tcW w:w="7660" w:type="dxa"/>
            <w:noWrap/>
            <w:hideMark/>
          </w:tcPr>
          <w:p w14:paraId="7B57728A" w14:textId="77777777" w:rsidR="00173711" w:rsidRPr="00173711" w:rsidRDefault="00173711">
            <w:pPr>
              <w:rPr>
                <w:rFonts w:cs="Arial"/>
                <w:bCs/>
              </w:rPr>
            </w:pPr>
            <w:r w:rsidRPr="00173711">
              <w:rPr>
                <w:rFonts w:cs="Arial"/>
                <w:bCs/>
                <w:vertAlign w:val="superscript"/>
              </w:rPr>
              <w:t>6</w:t>
            </w:r>
            <w:r w:rsidRPr="00173711">
              <w:rPr>
                <w:rFonts w:cs="Arial"/>
                <w:bCs/>
              </w:rPr>
              <w:t xml:space="preserve"> SDG&amp;E's OBF Loan Pool is not included in the EE Portfolio budget.  It is collected through its On-Bill Balancing Accounts.</w:t>
            </w:r>
          </w:p>
        </w:tc>
      </w:tr>
      <w:tr w:rsidR="00173711" w:rsidRPr="00173711" w14:paraId="0E3011DF" w14:textId="77777777" w:rsidTr="00173711">
        <w:trPr>
          <w:trHeight w:val="330"/>
        </w:trPr>
        <w:tc>
          <w:tcPr>
            <w:tcW w:w="7660" w:type="dxa"/>
            <w:noWrap/>
            <w:hideMark/>
          </w:tcPr>
          <w:p w14:paraId="6CAB9996" w14:textId="77777777" w:rsidR="00173711" w:rsidRPr="00173711" w:rsidRDefault="00173711">
            <w:pPr>
              <w:rPr>
                <w:rFonts w:cs="Arial"/>
                <w:bCs/>
              </w:rPr>
            </w:pPr>
            <w:r w:rsidRPr="00173711">
              <w:rPr>
                <w:rFonts w:cs="Arial"/>
                <w:bCs/>
                <w:vertAlign w:val="superscript"/>
              </w:rPr>
              <w:t>7</w:t>
            </w:r>
            <w:r w:rsidRPr="00173711">
              <w:rPr>
                <w:rFonts w:cs="Arial"/>
                <w:bCs/>
              </w:rPr>
              <w:t xml:space="preserve"> Primary Lighting is incorporated into Residential Sector.</w:t>
            </w:r>
          </w:p>
        </w:tc>
      </w:tr>
    </w:tbl>
    <w:p w14:paraId="11F3E51C" w14:textId="77777777" w:rsidR="00173711" w:rsidRPr="00C07B20" w:rsidRDefault="00173711" w:rsidP="00250AD4">
      <w:pPr>
        <w:rPr>
          <w:rFonts w:cs="Arial"/>
          <w:szCs w:val="22"/>
        </w:rPr>
      </w:pPr>
    </w:p>
    <w:p w14:paraId="46BCADB5" w14:textId="77777777" w:rsidR="004A538A" w:rsidRPr="000152AC" w:rsidRDefault="00374069" w:rsidP="00F044E8">
      <w:pPr>
        <w:rPr>
          <w:b/>
        </w:rPr>
      </w:pPr>
      <w:r w:rsidRPr="000152AC">
        <w:t xml:space="preserve">SDG&amp;E notes that </w:t>
      </w:r>
      <w:r w:rsidR="00F645A8" w:rsidRPr="000152AC">
        <w:t xml:space="preserve">program </w:t>
      </w:r>
      <w:r w:rsidRPr="000152AC">
        <w:t xml:space="preserve">funding related to the Financial Pilots originally approved in D.13-09-044 </w:t>
      </w:r>
      <w:r w:rsidR="00A57336" w:rsidRPr="000152AC">
        <w:t>that has</w:t>
      </w:r>
      <w:r w:rsidR="00F40BB5" w:rsidRPr="000152AC">
        <w:t xml:space="preserve"> </w:t>
      </w:r>
      <w:r w:rsidRPr="000152AC">
        <w:t xml:space="preserve">not been </w:t>
      </w:r>
      <w:r w:rsidR="00F63179" w:rsidRPr="000152AC">
        <w:t xml:space="preserve">fully </w:t>
      </w:r>
      <w:r w:rsidRPr="000152AC">
        <w:t xml:space="preserve">expensed due to </w:t>
      </w:r>
      <w:r w:rsidR="003645CA" w:rsidRPr="000152AC">
        <w:t xml:space="preserve">implementation </w:t>
      </w:r>
      <w:r w:rsidRPr="000152AC">
        <w:t xml:space="preserve">delays </w:t>
      </w:r>
      <w:r w:rsidR="003645CA" w:rsidRPr="000152AC">
        <w:t xml:space="preserve">is </w:t>
      </w:r>
      <w:r w:rsidRPr="000152AC">
        <w:t>considered “committed”</w:t>
      </w:r>
      <w:r w:rsidR="006B4449" w:rsidRPr="000152AC">
        <w:t xml:space="preserve"> funding</w:t>
      </w:r>
      <w:r w:rsidRPr="000152AC">
        <w:t xml:space="preserve"> and </w:t>
      </w:r>
      <w:r w:rsidR="00F40BB5" w:rsidRPr="000152AC">
        <w:t xml:space="preserve">will be </w:t>
      </w:r>
      <w:r w:rsidRPr="000152AC">
        <w:t>carried over into 201</w:t>
      </w:r>
      <w:r w:rsidR="00356873" w:rsidRPr="000152AC">
        <w:t>8</w:t>
      </w:r>
      <w:r w:rsidRPr="000152AC">
        <w:t xml:space="preserve">.  </w:t>
      </w:r>
      <w:r w:rsidR="00F63179" w:rsidRPr="000152AC">
        <w:t>In addition, these funds are not included in the 2018 EE portfolio as directed by D.17-03-026.  The following provides the relevant</w:t>
      </w:r>
      <w:r w:rsidR="004A538A" w:rsidRPr="000152AC">
        <w:t xml:space="preserve"> Commission dir</w:t>
      </w:r>
      <w:r w:rsidR="006B4449" w:rsidRPr="000152AC">
        <w:t>e</w:t>
      </w:r>
      <w:r w:rsidR="004A538A" w:rsidRPr="000152AC">
        <w:t>ction:</w:t>
      </w:r>
    </w:p>
    <w:p w14:paraId="4F60DAFC" w14:textId="77777777" w:rsidR="004A538A" w:rsidRPr="000152AC" w:rsidRDefault="004A538A" w:rsidP="00F044E8">
      <w:pPr>
        <w:pStyle w:val="Heading1"/>
      </w:pPr>
    </w:p>
    <w:p w14:paraId="34D0851D" w14:textId="77777777" w:rsidR="00BF6054" w:rsidRPr="000152AC" w:rsidRDefault="00293697" w:rsidP="000152AC">
      <w:pPr>
        <w:ind w:left="720" w:hanging="720"/>
        <w:jc w:val="both"/>
        <w:rPr>
          <w:b/>
          <w:szCs w:val="22"/>
        </w:rPr>
      </w:pPr>
      <w:r w:rsidRPr="000152AC">
        <w:rPr>
          <w:b/>
          <w:szCs w:val="22"/>
        </w:rPr>
        <w:t xml:space="preserve">C. </w:t>
      </w:r>
      <w:r w:rsidR="000152AC">
        <w:rPr>
          <w:b/>
          <w:szCs w:val="22"/>
        </w:rPr>
        <w:tab/>
      </w:r>
      <w:r w:rsidR="00BF6054" w:rsidRPr="000152AC">
        <w:rPr>
          <w:b/>
          <w:szCs w:val="22"/>
          <w:u w:val="single"/>
        </w:rPr>
        <w:t>Revenue Requirements</w:t>
      </w:r>
    </w:p>
    <w:p w14:paraId="3E8F7DD4" w14:textId="77777777" w:rsidR="00BF6054" w:rsidRPr="000152AC" w:rsidRDefault="00BF6054" w:rsidP="000152AC">
      <w:pPr>
        <w:jc w:val="both"/>
        <w:rPr>
          <w:szCs w:val="22"/>
        </w:rPr>
      </w:pPr>
    </w:p>
    <w:p w14:paraId="21DB151E" w14:textId="77777777" w:rsidR="003E5984" w:rsidRPr="000152AC" w:rsidRDefault="00293697" w:rsidP="000152AC">
      <w:pPr>
        <w:jc w:val="both"/>
        <w:rPr>
          <w:szCs w:val="22"/>
        </w:rPr>
      </w:pPr>
      <w:r w:rsidRPr="000152AC">
        <w:rPr>
          <w:szCs w:val="22"/>
        </w:rPr>
        <w:lastRenderedPageBreak/>
        <w:t xml:space="preserve">SDG&amp;E provided its estimated gas and electric EE revenue requirements as reflected in </w:t>
      </w:r>
      <w:r w:rsidR="00C66CED" w:rsidRPr="000152AC">
        <w:rPr>
          <w:szCs w:val="22"/>
        </w:rPr>
        <w:t xml:space="preserve">the Budget Filing </w:t>
      </w:r>
      <w:r w:rsidRPr="000152AC">
        <w:rPr>
          <w:szCs w:val="22"/>
        </w:rPr>
        <w:t xml:space="preserve">Appendix </w:t>
      </w:r>
      <w:r w:rsidR="001D43B4" w:rsidRPr="000152AC">
        <w:rPr>
          <w:szCs w:val="22"/>
        </w:rPr>
        <w:t>Table 2:</w:t>
      </w:r>
      <w:r w:rsidRPr="000152AC">
        <w:rPr>
          <w:szCs w:val="22"/>
        </w:rPr>
        <w:t xml:space="preserve"> Rates Revenue.</w:t>
      </w:r>
      <w:r w:rsidR="00C66CED" w:rsidRPr="000152AC">
        <w:rPr>
          <w:rStyle w:val="FootnoteReference"/>
          <w:szCs w:val="22"/>
        </w:rPr>
        <w:footnoteReference w:id="3"/>
      </w:r>
      <w:r w:rsidRPr="000152AC">
        <w:rPr>
          <w:szCs w:val="22"/>
        </w:rPr>
        <w:t xml:space="preserve">  </w:t>
      </w:r>
      <w:r w:rsidR="00235EA8">
        <w:rPr>
          <w:szCs w:val="22"/>
        </w:rPr>
        <w:t>No additional budget is requested to meet the newly adopted energy savings goals.</w:t>
      </w:r>
    </w:p>
    <w:p w14:paraId="6CC5F756" w14:textId="77777777" w:rsidR="003E5984" w:rsidRPr="000152AC" w:rsidRDefault="003E5984" w:rsidP="000152AC">
      <w:pPr>
        <w:jc w:val="both"/>
        <w:rPr>
          <w:szCs w:val="22"/>
        </w:rPr>
      </w:pPr>
    </w:p>
    <w:p w14:paraId="01AE9D79" w14:textId="07AA4293" w:rsidR="00293697" w:rsidRPr="000152AC" w:rsidRDefault="00293697" w:rsidP="000152AC">
      <w:pPr>
        <w:jc w:val="both"/>
        <w:rPr>
          <w:szCs w:val="22"/>
        </w:rPr>
      </w:pPr>
      <w:r w:rsidRPr="000152AC">
        <w:rPr>
          <w:szCs w:val="22"/>
        </w:rPr>
        <w:t xml:space="preserve">The final </w:t>
      </w:r>
      <w:r w:rsidR="00E321C4" w:rsidRPr="000152AC">
        <w:rPr>
          <w:szCs w:val="22"/>
        </w:rPr>
        <w:t xml:space="preserve">gas </w:t>
      </w:r>
      <w:r w:rsidRPr="000152AC">
        <w:rPr>
          <w:szCs w:val="22"/>
        </w:rPr>
        <w:t xml:space="preserve">and electric EE revenue requirements will be incorporated in the annual electric and natural gas </w:t>
      </w:r>
      <w:r w:rsidR="00535E8C">
        <w:rPr>
          <w:szCs w:val="22"/>
        </w:rPr>
        <w:t xml:space="preserve">Regulatory Account Update </w:t>
      </w:r>
      <w:r w:rsidRPr="000152AC">
        <w:rPr>
          <w:szCs w:val="22"/>
        </w:rPr>
        <w:t>advice letters</w:t>
      </w:r>
      <w:r w:rsidR="006B4449" w:rsidRPr="000152AC">
        <w:rPr>
          <w:szCs w:val="22"/>
        </w:rPr>
        <w:t>,</w:t>
      </w:r>
      <w:r w:rsidRPr="000152AC">
        <w:rPr>
          <w:szCs w:val="22"/>
        </w:rPr>
        <w:t xml:space="preserve"> which will be filed subsequent to this advice letter.</w:t>
      </w:r>
    </w:p>
    <w:p w14:paraId="22DBEEEB" w14:textId="77777777" w:rsidR="00BF6054" w:rsidRPr="000152AC" w:rsidRDefault="00BF6054" w:rsidP="000152AC">
      <w:pPr>
        <w:jc w:val="both"/>
        <w:rPr>
          <w:szCs w:val="22"/>
        </w:rPr>
      </w:pPr>
    </w:p>
    <w:p w14:paraId="6A697D8B" w14:textId="1E0331C0" w:rsidR="00C07B20" w:rsidRPr="000152AC" w:rsidRDefault="00C07B20" w:rsidP="00F044E8">
      <w:pPr>
        <w:pStyle w:val="Heading1"/>
      </w:pPr>
      <w:r w:rsidRPr="000152AC">
        <w:t xml:space="preserve">SDG&amp;E </w:t>
      </w:r>
      <w:r w:rsidR="007A17FB">
        <w:t xml:space="preserve">Requested </w:t>
      </w:r>
      <w:r w:rsidRPr="000152AC">
        <w:t>Portfolio Energy Savings Goals and Cost Effectiveness</w:t>
      </w:r>
    </w:p>
    <w:p w14:paraId="6C023BF9" w14:textId="77777777" w:rsidR="00C07B20" w:rsidRPr="000152AC" w:rsidRDefault="00C07B20" w:rsidP="000152AC">
      <w:pPr>
        <w:jc w:val="both"/>
        <w:rPr>
          <w:rFonts w:cs="Arial"/>
          <w:szCs w:val="22"/>
          <w:highlight w:val="yellow"/>
        </w:rPr>
      </w:pPr>
    </w:p>
    <w:p w14:paraId="2CC3B0AD" w14:textId="23102015" w:rsidR="00C07B20" w:rsidRPr="000152AC" w:rsidRDefault="00C07B20" w:rsidP="000152AC">
      <w:pPr>
        <w:jc w:val="both"/>
        <w:rPr>
          <w:rFonts w:cs="Arial"/>
          <w:szCs w:val="22"/>
        </w:rPr>
      </w:pPr>
      <w:r w:rsidRPr="000152AC">
        <w:rPr>
          <w:rFonts w:cs="Arial"/>
          <w:szCs w:val="22"/>
        </w:rPr>
        <w:t>SDG&amp;E provides</w:t>
      </w:r>
      <w:r w:rsidR="00AD6DCD" w:rsidRPr="000152AC">
        <w:rPr>
          <w:rFonts w:cs="Arial"/>
          <w:szCs w:val="22"/>
        </w:rPr>
        <w:t>,</w:t>
      </w:r>
      <w:r w:rsidRPr="000152AC">
        <w:rPr>
          <w:rFonts w:cs="Arial"/>
          <w:szCs w:val="22"/>
        </w:rPr>
        <w:t xml:space="preserve"> in the following tables</w:t>
      </w:r>
      <w:r w:rsidR="00F25754">
        <w:rPr>
          <w:rFonts w:cs="Arial"/>
          <w:szCs w:val="22"/>
        </w:rPr>
        <w:t xml:space="preserve"> </w:t>
      </w:r>
      <w:r w:rsidRPr="000152AC">
        <w:rPr>
          <w:rFonts w:cs="Arial"/>
          <w:szCs w:val="22"/>
        </w:rPr>
        <w:t xml:space="preserve">its </w:t>
      </w:r>
      <w:r w:rsidR="00E67410">
        <w:rPr>
          <w:rFonts w:cs="Arial"/>
          <w:szCs w:val="22"/>
        </w:rPr>
        <w:t xml:space="preserve">forecasted </w:t>
      </w:r>
      <w:r w:rsidRPr="000152AC">
        <w:rPr>
          <w:rFonts w:cs="Arial"/>
          <w:szCs w:val="22"/>
        </w:rPr>
        <w:t>energy savings goals/targets</w:t>
      </w:r>
      <w:r w:rsidR="004A538A" w:rsidRPr="000152AC">
        <w:rPr>
          <w:rFonts w:cs="Arial"/>
          <w:szCs w:val="22"/>
        </w:rPr>
        <w:t xml:space="preserve"> and</w:t>
      </w:r>
      <w:r w:rsidRPr="000152AC">
        <w:rPr>
          <w:rFonts w:cs="Arial"/>
          <w:szCs w:val="22"/>
        </w:rPr>
        <w:t xml:space="preserve"> portfolio cost-effectiveness.</w:t>
      </w:r>
    </w:p>
    <w:p w14:paraId="6A5DA201" w14:textId="77777777" w:rsidR="000C30F5" w:rsidRDefault="000C30F5" w:rsidP="00C07B20">
      <w:pPr>
        <w:jc w:val="both"/>
        <w:rPr>
          <w:rFonts w:cs="Arial"/>
          <w:szCs w:val="22"/>
        </w:rPr>
      </w:pPr>
    </w:p>
    <w:p w14:paraId="251CF34E" w14:textId="77777777" w:rsidR="00F25754" w:rsidRDefault="00F25754" w:rsidP="00C07B20">
      <w:pPr>
        <w:jc w:val="both"/>
        <w:rPr>
          <w:rFonts w:cs="Arial"/>
          <w:szCs w:val="22"/>
        </w:rPr>
      </w:pPr>
    </w:p>
    <w:p w14:paraId="62AEC33D" w14:textId="3680FDA8" w:rsidR="000C30F5" w:rsidRDefault="000C30F5" w:rsidP="0094102C">
      <w:pPr>
        <w:keepNext/>
        <w:keepLines/>
        <w:jc w:val="center"/>
        <w:rPr>
          <w:rFonts w:cs="Arial"/>
          <w:b/>
          <w:bCs/>
          <w:color w:val="000000"/>
          <w:szCs w:val="22"/>
        </w:rPr>
      </w:pPr>
      <w:r w:rsidRPr="000C30F5">
        <w:rPr>
          <w:rFonts w:cs="Arial"/>
          <w:b/>
          <w:szCs w:val="22"/>
        </w:rPr>
        <w:t xml:space="preserve">Table 4: </w:t>
      </w:r>
      <w:r w:rsidR="00EB6782" w:rsidRPr="000C30F5">
        <w:rPr>
          <w:rFonts w:cs="Arial"/>
          <w:b/>
          <w:bCs/>
          <w:color w:val="000000"/>
          <w:szCs w:val="22"/>
        </w:rPr>
        <w:t>201</w:t>
      </w:r>
      <w:r w:rsidR="00E67410">
        <w:rPr>
          <w:rFonts w:cs="Arial"/>
          <w:b/>
          <w:bCs/>
          <w:color w:val="000000"/>
          <w:szCs w:val="22"/>
        </w:rPr>
        <w:t>9</w:t>
      </w:r>
      <w:r w:rsidR="00EB6782" w:rsidRPr="000C30F5">
        <w:rPr>
          <w:rFonts w:cs="Arial"/>
          <w:b/>
          <w:bCs/>
          <w:color w:val="000000"/>
          <w:szCs w:val="22"/>
        </w:rPr>
        <w:t xml:space="preserve"> </w:t>
      </w:r>
      <w:r w:rsidRPr="000C30F5">
        <w:rPr>
          <w:rFonts w:cs="Arial"/>
          <w:b/>
          <w:bCs/>
          <w:color w:val="000000"/>
          <w:szCs w:val="22"/>
        </w:rPr>
        <w:t>EE Portfolio Energy Savings Goals &amp; Targets</w:t>
      </w:r>
    </w:p>
    <w:p w14:paraId="6584D512" w14:textId="77777777" w:rsidR="003212B1" w:rsidRPr="000C30F5" w:rsidRDefault="003212B1" w:rsidP="0094102C">
      <w:pPr>
        <w:keepNext/>
        <w:keepLines/>
        <w:jc w:val="center"/>
        <w:rPr>
          <w:rFonts w:cs="Arial"/>
          <w:b/>
          <w:szCs w:val="22"/>
        </w:rPr>
      </w:pPr>
    </w:p>
    <w:p w14:paraId="33EF128B" w14:textId="02E44619" w:rsidR="00C07B20" w:rsidRDefault="007936AA" w:rsidP="00F25754">
      <w:pPr>
        <w:jc w:val="center"/>
        <w:rPr>
          <w:rFonts w:cs="Arial"/>
          <w:szCs w:val="22"/>
        </w:rPr>
      </w:pPr>
      <w:r w:rsidRPr="007936AA">
        <w:drawing>
          <wp:inline distT="0" distB="0" distL="0" distR="0" wp14:anchorId="7FC0A37C" wp14:editId="18CCC668">
            <wp:extent cx="476250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75A733C3" w14:textId="77777777" w:rsidR="000152AC" w:rsidRDefault="000152AC" w:rsidP="00293697">
      <w:pPr>
        <w:keepNext/>
        <w:keepLines/>
        <w:jc w:val="center"/>
        <w:rPr>
          <w:rFonts w:cs="Arial"/>
          <w:b/>
          <w:szCs w:val="22"/>
        </w:rPr>
      </w:pPr>
    </w:p>
    <w:p w14:paraId="2A79B4CE" w14:textId="58879085" w:rsidR="00496BF5" w:rsidRDefault="00496BF5" w:rsidP="00293697">
      <w:pPr>
        <w:keepNext/>
        <w:keepLines/>
        <w:jc w:val="center"/>
        <w:rPr>
          <w:rFonts w:cs="Arial"/>
          <w:b/>
          <w:szCs w:val="22"/>
        </w:rPr>
      </w:pPr>
      <w:r w:rsidRPr="00496BF5">
        <w:rPr>
          <w:rFonts w:cs="Arial"/>
          <w:b/>
          <w:szCs w:val="22"/>
        </w:rPr>
        <w:t xml:space="preserve">Table 5: </w:t>
      </w:r>
      <w:r w:rsidR="00EB6782" w:rsidRPr="00496BF5">
        <w:rPr>
          <w:rFonts w:cs="Arial"/>
          <w:b/>
          <w:szCs w:val="22"/>
        </w:rPr>
        <w:t>201</w:t>
      </w:r>
      <w:r w:rsidR="00E67410">
        <w:rPr>
          <w:rFonts w:cs="Arial"/>
          <w:b/>
          <w:szCs w:val="22"/>
        </w:rPr>
        <w:t>9</w:t>
      </w:r>
      <w:r w:rsidR="00EB6782" w:rsidRPr="00496BF5">
        <w:rPr>
          <w:rFonts w:cs="Arial"/>
          <w:b/>
          <w:szCs w:val="22"/>
        </w:rPr>
        <w:t xml:space="preserve"> </w:t>
      </w:r>
      <w:r w:rsidRPr="00496BF5">
        <w:rPr>
          <w:rFonts w:cs="Arial"/>
          <w:b/>
          <w:szCs w:val="22"/>
        </w:rPr>
        <w:t>EE Portfolio Cost Effectiveness</w:t>
      </w:r>
    </w:p>
    <w:p w14:paraId="1536FF4B" w14:textId="5E1BD759" w:rsidR="00034093" w:rsidRDefault="00034093" w:rsidP="00293697">
      <w:pPr>
        <w:keepNext/>
        <w:keepLines/>
        <w:jc w:val="center"/>
        <w:rPr>
          <w:rFonts w:cs="Arial"/>
          <w:szCs w:val="22"/>
        </w:rPr>
      </w:pPr>
    </w:p>
    <w:tbl>
      <w:tblPr>
        <w:tblStyle w:val="TableGrid"/>
        <w:tblW w:w="0" w:type="auto"/>
        <w:jc w:val="center"/>
        <w:tblLook w:val="04A0" w:firstRow="1" w:lastRow="0" w:firstColumn="1" w:lastColumn="0" w:noHBand="0" w:noVBand="1"/>
      </w:tblPr>
      <w:tblGrid>
        <w:gridCol w:w="1598"/>
        <w:gridCol w:w="1366"/>
        <w:gridCol w:w="1366"/>
      </w:tblGrid>
      <w:tr w:rsidR="00E67410" w14:paraId="47B84C2C" w14:textId="77777777" w:rsidTr="00E67410">
        <w:trPr>
          <w:jc w:val="center"/>
        </w:trPr>
        <w:tc>
          <w:tcPr>
            <w:tcW w:w="1598" w:type="dxa"/>
          </w:tcPr>
          <w:p w14:paraId="22C6ADF2" w14:textId="77777777" w:rsidR="00E67410" w:rsidRDefault="00E67410" w:rsidP="00293697">
            <w:pPr>
              <w:keepNext/>
              <w:keepLines/>
              <w:jc w:val="center"/>
              <w:rPr>
                <w:rFonts w:cs="Arial"/>
              </w:rPr>
            </w:pPr>
          </w:p>
        </w:tc>
        <w:tc>
          <w:tcPr>
            <w:tcW w:w="1366" w:type="dxa"/>
          </w:tcPr>
          <w:p w14:paraId="3B0BD556" w14:textId="37703CE6" w:rsidR="00E67410" w:rsidRDefault="00E67410" w:rsidP="00293697">
            <w:pPr>
              <w:keepNext/>
              <w:keepLines/>
              <w:jc w:val="center"/>
              <w:rPr>
                <w:rFonts w:cs="Arial"/>
              </w:rPr>
            </w:pPr>
            <w:r>
              <w:rPr>
                <w:rFonts w:cs="Arial"/>
              </w:rPr>
              <w:t>TRC Ratio</w:t>
            </w:r>
          </w:p>
        </w:tc>
        <w:tc>
          <w:tcPr>
            <w:tcW w:w="1366" w:type="dxa"/>
          </w:tcPr>
          <w:p w14:paraId="50041577" w14:textId="0DF924BA" w:rsidR="00E67410" w:rsidRDefault="00E67410" w:rsidP="00293697">
            <w:pPr>
              <w:keepNext/>
              <w:keepLines/>
              <w:jc w:val="center"/>
              <w:rPr>
                <w:rFonts w:cs="Arial"/>
              </w:rPr>
            </w:pPr>
            <w:r>
              <w:rPr>
                <w:rFonts w:cs="Arial"/>
              </w:rPr>
              <w:t>PAC Ratio</w:t>
            </w:r>
          </w:p>
        </w:tc>
      </w:tr>
      <w:tr w:rsidR="00E67410" w14:paraId="38992C35" w14:textId="77777777" w:rsidTr="00E67410">
        <w:trPr>
          <w:jc w:val="center"/>
        </w:trPr>
        <w:tc>
          <w:tcPr>
            <w:tcW w:w="1598" w:type="dxa"/>
          </w:tcPr>
          <w:p w14:paraId="044F1AF1" w14:textId="58752158" w:rsidR="00E67410" w:rsidRDefault="00E67410" w:rsidP="00293697">
            <w:pPr>
              <w:keepNext/>
              <w:keepLines/>
              <w:jc w:val="center"/>
              <w:rPr>
                <w:rFonts w:cs="Arial"/>
              </w:rPr>
            </w:pPr>
            <w:r>
              <w:rPr>
                <w:rFonts w:cs="Arial"/>
              </w:rPr>
              <w:t>Without C&amp;S</w:t>
            </w:r>
          </w:p>
        </w:tc>
        <w:tc>
          <w:tcPr>
            <w:tcW w:w="1366" w:type="dxa"/>
          </w:tcPr>
          <w:p w14:paraId="69C932B1" w14:textId="7744FFFE" w:rsidR="00E67410" w:rsidRDefault="00E67410" w:rsidP="00293697">
            <w:pPr>
              <w:keepNext/>
              <w:keepLines/>
              <w:jc w:val="center"/>
              <w:rPr>
                <w:rFonts w:cs="Arial"/>
              </w:rPr>
            </w:pPr>
            <w:r>
              <w:rPr>
                <w:rFonts w:cs="Arial"/>
              </w:rPr>
              <w:t>1.17</w:t>
            </w:r>
          </w:p>
        </w:tc>
        <w:tc>
          <w:tcPr>
            <w:tcW w:w="1366" w:type="dxa"/>
          </w:tcPr>
          <w:p w14:paraId="66AA9168" w14:textId="568C40B2" w:rsidR="00E67410" w:rsidRDefault="00E67410" w:rsidP="00293697">
            <w:pPr>
              <w:keepNext/>
              <w:keepLines/>
              <w:jc w:val="center"/>
              <w:rPr>
                <w:rFonts w:cs="Arial"/>
              </w:rPr>
            </w:pPr>
            <w:r>
              <w:rPr>
                <w:rFonts w:cs="Arial"/>
              </w:rPr>
              <w:t>1.34</w:t>
            </w:r>
          </w:p>
        </w:tc>
      </w:tr>
      <w:tr w:rsidR="00E67410" w14:paraId="1DE7A243" w14:textId="77777777" w:rsidTr="00E67410">
        <w:trPr>
          <w:jc w:val="center"/>
        </w:trPr>
        <w:tc>
          <w:tcPr>
            <w:tcW w:w="1598" w:type="dxa"/>
          </w:tcPr>
          <w:p w14:paraId="6741B688" w14:textId="49075AB6" w:rsidR="00E67410" w:rsidRDefault="00E67410" w:rsidP="00293697">
            <w:pPr>
              <w:keepNext/>
              <w:keepLines/>
              <w:jc w:val="center"/>
              <w:rPr>
                <w:rFonts w:cs="Arial"/>
              </w:rPr>
            </w:pPr>
            <w:r>
              <w:rPr>
                <w:rFonts w:cs="Arial"/>
              </w:rPr>
              <w:t>With C&amp;S</w:t>
            </w:r>
          </w:p>
        </w:tc>
        <w:tc>
          <w:tcPr>
            <w:tcW w:w="1366" w:type="dxa"/>
          </w:tcPr>
          <w:p w14:paraId="5F0471F8" w14:textId="1E942693" w:rsidR="00E67410" w:rsidRDefault="00E67410" w:rsidP="00293697">
            <w:pPr>
              <w:keepNext/>
              <w:keepLines/>
              <w:jc w:val="center"/>
              <w:rPr>
                <w:rFonts w:cs="Arial"/>
              </w:rPr>
            </w:pPr>
            <w:r>
              <w:rPr>
                <w:rFonts w:cs="Arial"/>
              </w:rPr>
              <w:t>1.34</w:t>
            </w:r>
          </w:p>
        </w:tc>
        <w:tc>
          <w:tcPr>
            <w:tcW w:w="1366" w:type="dxa"/>
          </w:tcPr>
          <w:p w14:paraId="48952CE1" w14:textId="047B6661" w:rsidR="00E67410" w:rsidRDefault="00E67410" w:rsidP="00293697">
            <w:pPr>
              <w:keepNext/>
              <w:keepLines/>
              <w:jc w:val="center"/>
              <w:rPr>
                <w:rFonts w:cs="Arial"/>
              </w:rPr>
            </w:pPr>
            <w:r>
              <w:rPr>
                <w:rFonts w:cs="Arial"/>
              </w:rPr>
              <w:t>3.40</w:t>
            </w:r>
          </w:p>
        </w:tc>
      </w:tr>
    </w:tbl>
    <w:p w14:paraId="6D214FAA" w14:textId="34CD2668" w:rsidR="00E67410" w:rsidRDefault="00E67410" w:rsidP="00293697">
      <w:pPr>
        <w:keepNext/>
        <w:keepLines/>
        <w:jc w:val="center"/>
        <w:rPr>
          <w:rFonts w:cs="Arial"/>
          <w:szCs w:val="22"/>
        </w:rPr>
      </w:pPr>
    </w:p>
    <w:p w14:paraId="79ECA39A" w14:textId="77777777" w:rsidR="00C07B20" w:rsidRPr="00C07B20" w:rsidRDefault="00C07B20" w:rsidP="00C07B20">
      <w:pPr>
        <w:rPr>
          <w:rFonts w:cs="Arial"/>
          <w:szCs w:val="22"/>
        </w:rPr>
      </w:pPr>
      <w:r w:rsidRPr="00C07B20">
        <w:rPr>
          <w:rFonts w:cs="Arial"/>
          <w:szCs w:val="22"/>
        </w:rPr>
        <w:t>SDG&amp;E’s TRC and PAC results reflect the following inputs:</w:t>
      </w:r>
    </w:p>
    <w:p w14:paraId="064D5677" w14:textId="77777777" w:rsidR="00C07B20" w:rsidRPr="00C07B20" w:rsidRDefault="00C07B20" w:rsidP="00C07B20">
      <w:pPr>
        <w:jc w:val="center"/>
        <w:rPr>
          <w:rFonts w:cs="Arial"/>
          <w:szCs w:val="22"/>
        </w:rPr>
      </w:pPr>
    </w:p>
    <w:p w14:paraId="43BD17AC" w14:textId="3A0558A5" w:rsidR="00E67410" w:rsidRDefault="00E67410" w:rsidP="000152AC">
      <w:pPr>
        <w:numPr>
          <w:ilvl w:val="0"/>
          <w:numId w:val="5"/>
        </w:numPr>
        <w:spacing w:after="120"/>
        <w:jc w:val="both"/>
        <w:rPr>
          <w:rFonts w:cs="Arial"/>
          <w:szCs w:val="22"/>
        </w:rPr>
      </w:pPr>
      <w:r>
        <w:rPr>
          <w:rFonts w:cs="Arial"/>
          <w:szCs w:val="22"/>
        </w:rPr>
        <w:t xml:space="preserve">Updated 2019 avoided costs and </w:t>
      </w:r>
      <w:r w:rsidR="00001742">
        <w:rPr>
          <w:rFonts w:cs="Arial"/>
          <w:szCs w:val="22"/>
        </w:rPr>
        <w:t>Greenhouse Gas adder consistent with Resolution E-4942.</w:t>
      </w:r>
    </w:p>
    <w:p w14:paraId="5FFACF19" w14:textId="0F9AE12C" w:rsidR="00C07B20" w:rsidRPr="00841B13" w:rsidRDefault="00A57336" w:rsidP="000152AC">
      <w:pPr>
        <w:numPr>
          <w:ilvl w:val="0"/>
          <w:numId w:val="5"/>
        </w:numPr>
        <w:spacing w:after="120"/>
        <w:jc w:val="both"/>
        <w:rPr>
          <w:rFonts w:cs="Arial"/>
          <w:szCs w:val="22"/>
        </w:rPr>
      </w:pPr>
      <w:r w:rsidRPr="00841B13">
        <w:rPr>
          <w:rFonts w:cs="Arial"/>
          <w:szCs w:val="22"/>
        </w:rPr>
        <w:t>Excludes</w:t>
      </w:r>
      <w:r w:rsidR="00C07B20" w:rsidRPr="00841B13">
        <w:rPr>
          <w:rFonts w:cs="Arial"/>
          <w:szCs w:val="22"/>
        </w:rPr>
        <w:t xml:space="preserve"> Emerging Technology, OBF revolving loan pool, </w:t>
      </w:r>
      <w:r w:rsidR="006B4449" w:rsidRPr="00841B13">
        <w:rPr>
          <w:rFonts w:cs="Arial"/>
          <w:szCs w:val="22"/>
        </w:rPr>
        <w:t xml:space="preserve">and </w:t>
      </w:r>
      <w:r w:rsidR="00C07B20" w:rsidRPr="00841B13">
        <w:rPr>
          <w:rFonts w:cs="Arial"/>
          <w:szCs w:val="22"/>
        </w:rPr>
        <w:t>credit enhancements</w:t>
      </w:r>
      <w:r w:rsidR="00AD6DCD" w:rsidRPr="00841B13">
        <w:rPr>
          <w:rFonts w:cs="Arial"/>
          <w:szCs w:val="22"/>
        </w:rPr>
        <w:t>;</w:t>
      </w:r>
    </w:p>
    <w:p w14:paraId="5F4785BD" w14:textId="77777777" w:rsidR="00C07B20" w:rsidRPr="00841B13" w:rsidRDefault="00496BF5" w:rsidP="000152AC">
      <w:pPr>
        <w:numPr>
          <w:ilvl w:val="0"/>
          <w:numId w:val="5"/>
        </w:numPr>
        <w:spacing w:after="120"/>
        <w:jc w:val="both"/>
        <w:rPr>
          <w:rFonts w:cs="Arial"/>
          <w:szCs w:val="22"/>
        </w:rPr>
      </w:pPr>
      <w:r w:rsidRPr="00841B13">
        <w:rPr>
          <w:rFonts w:cs="Arial"/>
          <w:szCs w:val="22"/>
        </w:rPr>
        <w:lastRenderedPageBreak/>
        <w:t xml:space="preserve">Includes </w:t>
      </w:r>
      <w:r w:rsidR="00C07B20" w:rsidRPr="00841B13">
        <w:rPr>
          <w:rFonts w:cs="Arial"/>
          <w:szCs w:val="22"/>
        </w:rPr>
        <w:t xml:space="preserve">Market Effects (ME) </w:t>
      </w:r>
      <w:r w:rsidR="003645CA" w:rsidRPr="00841B13">
        <w:rPr>
          <w:rFonts w:cs="Arial"/>
          <w:szCs w:val="22"/>
        </w:rPr>
        <w:t xml:space="preserve">based on </w:t>
      </w:r>
      <w:r w:rsidR="00C07B20" w:rsidRPr="00841B13">
        <w:rPr>
          <w:rFonts w:cs="Arial"/>
          <w:szCs w:val="22"/>
        </w:rPr>
        <w:t>D.12-11-015</w:t>
      </w:r>
      <w:r w:rsidR="003645CA" w:rsidRPr="00841B13">
        <w:rPr>
          <w:rFonts w:cs="Arial"/>
          <w:szCs w:val="22"/>
        </w:rPr>
        <w:t>, which</w:t>
      </w:r>
      <w:r w:rsidR="00C07B20" w:rsidRPr="00841B13">
        <w:rPr>
          <w:rFonts w:cs="Arial"/>
          <w:szCs w:val="22"/>
        </w:rPr>
        <w:t xml:space="preserve"> adopted 5% spillover for resource programs</w:t>
      </w:r>
      <w:r w:rsidR="00AD6DCD" w:rsidRPr="00841B13">
        <w:rPr>
          <w:rFonts w:cs="Arial"/>
          <w:szCs w:val="22"/>
        </w:rPr>
        <w:t>;</w:t>
      </w:r>
    </w:p>
    <w:p w14:paraId="55E29BD8" w14:textId="2CD400B4" w:rsidR="00C07B20" w:rsidRPr="00841B13" w:rsidRDefault="00496BF5" w:rsidP="000152AC">
      <w:pPr>
        <w:numPr>
          <w:ilvl w:val="0"/>
          <w:numId w:val="5"/>
        </w:numPr>
        <w:spacing w:after="120"/>
        <w:jc w:val="both"/>
        <w:rPr>
          <w:rFonts w:cs="Arial"/>
          <w:szCs w:val="22"/>
        </w:rPr>
      </w:pPr>
      <w:r w:rsidRPr="00841B13">
        <w:rPr>
          <w:rFonts w:cs="Arial"/>
          <w:szCs w:val="22"/>
        </w:rPr>
        <w:t>Includes e</w:t>
      </w:r>
      <w:r w:rsidR="00C07B20" w:rsidRPr="00841B13">
        <w:rPr>
          <w:rFonts w:cs="Arial"/>
          <w:szCs w:val="22"/>
        </w:rPr>
        <w:t>stimated Energy Savings Performance Incentive payments</w:t>
      </w:r>
      <w:r w:rsidRPr="00841B13">
        <w:rPr>
          <w:rFonts w:cs="Arial"/>
          <w:szCs w:val="22"/>
        </w:rPr>
        <w:t xml:space="preserve"> of $</w:t>
      </w:r>
      <w:r w:rsidR="00E67410">
        <w:rPr>
          <w:rFonts w:cs="Arial"/>
          <w:szCs w:val="22"/>
        </w:rPr>
        <w:t>3</w:t>
      </w:r>
      <w:r w:rsidR="00136F49" w:rsidRPr="00841B13">
        <w:rPr>
          <w:rFonts w:cs="Arial"/>
          <w:szCs w:val="22"/>
        </w:rPr>
        <w:t>.5</w:t>
      </w:r>
      <w:r w:rsidR="00A31A52" w:rsidRPr="00841B13">
        <w:rPr>
          <w:rFonts w:cs="Arial"/>
          <w:szCs w:val="22"/>
        </w:rPr>
        <w:t xml:space="preserve"> </w:t>
      </w:r>
      <w:r w:rsidRPr="00841B13">
        <w:rPr>
          <w:rFonts w:cs="Arial"/>
          <w:szCs w:val="22"/>
        </w:rPr>
        <w:t>million</w:t>
      </w:r>
      <w:r w:rsidR="00AD6DCD" w:rsidRPr="00841B13">
        <w:rPr>
          <w:rFonts w:cs="Arial"/>
          <w:szCs w:val="22"/>
        </w:rPr>
        <w:t xml:space="preserve">; </w:t>
      </w:r>
    </w:p>
    <w:p w14:paraId="718194CB" w14:textId="4D13D885" w:rsidR="00496BF5" w:rsidRDefault="00496BF5" w:rsidP="00A36482">
      <w:pPr>
        <w:numPr>
          <w:ilvl w:val="0"/>
          <w:numId w:val="5"/>
        </w:numPr>
        <w:spacing w:after="120"/>
        <w:jc w:val="both"/>
        <w:rPr>
          <w:rFonts w:cs="Arial"/>
          <w:szCs w:val="22"/>
        </w:rPr>
      </w:pPr>
      <w:r w:rsidRPr="00841B13">
        <w:rPr>
          <w:rFonts w:cs="Arial"/>
          <w:szCs w:val="22"/>
        </w:rPr>
        <w:t xml:space="preserve">Includes </w:t>
      </w:r>
      <w:r w:rsidR="005F547E" w:rsidRPr="00841B13">
        <w:rPr>
          <w:rFonts w:cs="Arial"/>
          <w:szCs w:val="22"/>
        </w:rPr>
        <w:t>i</w:t>
      </w:r>
      <w:r w:rsidRPr="00841B13">
        <w:rPr>
          <w:rFonts w:cs="Arial"/>
          <w:szCs w:val="22"/>
        </w:rPr>
        <w:t xml:space="preserve">ndirect labor loaders adopted </w:t>
      </w:r>
      <w:r w:rsidR="005D4475" w:rsidRPr="00841B13">
        <w:rPr>
          <w:rFonts w:cs="Arial"/>
          <w:szCs w:val="22"/>
        </w:rPr>
        <w:t>in</w:t>
      </w:r>
      <w:r w:rsidRPr="00841B13">
        <w:rPr>
          <w:rFonts w:cs="Arial"/>
          <w:szCs w:val="22"/>
        </w:rPr>
        <w:t xml:space="preserve"> SDG&amp;E’s 2016 GRC D.16-06-054</w:t>
      </w:r>
      <w:r w:rsidR="00823A98">
        <w:rPr>
          <w:rFonts w:cs="Arial"/>
          <w:szCs w:val="22"/>
        </w:rPr>
        <w:t>;</w:t>
      </w:r>
    </w:p>
    <w:p w14:paraId="6561396E" w14:textId="27584CE4" w:rsidR="00DE2B79" w:rsidRPr="000152AC" w:rsidRDefault="00DE2B79" w:rsidP="00DE2B79">
      <w:pPr>
        <w:pStyle w:val="ListParagraph"/>
        <w:numPr>
          <w:ilvl w:val="0"/>
          <w:numId w:val="5"/>
        </w:numPr>
        <w:spacing w:after="120" w:line="240" w:lineRule="auto"/>
        <w:contextualSpacing w:val="0"/>
        <w:jc w:val="both"/>
        <w:rPr>
          <w:rFonts w:cs="Arial"/>
        </w:rPr>
      </w:pPr>
      <w:r>
        <w:rPr>
          <w:rFonts w:cs="Arial"/>
        </w:rPr>
        <w:t>Savings estimates for potential third-party programs are provided.</w:t>
      </w:r>
    </w:p>
    <w:p w14:paraId="13361C18" w14:textId="2DCED169" w:rsidR="00115965" w:rsidRDefault="00115965" w:rsidP="00A36482">
      <w:pPr>
        <w:numPr>
          <w:ilvl w:val="0"/>
          <w:numId w:val="5"/>
        </w:numPr>
        <w:spacing w:after="120"/>
        <w:jc w:val="both"/>
        <w:rPr>
          <w:rFonts w:cs="Arial"/>
          <w:szCs w:val="22"/>
        </w:rPr>
      </w:pPr>
      <w:r>
        <w:rPr>
          <w:rFonts w:cs="Arial"/>
          <w:szCs w:val="22"/>
        </w:rPr>
        <w:t>Updated the C&amp;S savings</w:t>
      </w:r>
      <w:r w:rsidR="00E67410">
        <w:rPr>
          <w:rFonts w:cs="Arial"/>
          <w:szCs w:val="22"/>
        </w:rPr>
        <w:t>.</w:t>
      </w:r>
    </w:p>
    <w:p w14:paraId="4B35BC62" w14:textId="77777777" w:rsidR="00C07B20" w:rsidRDefault="00C07B20" w:rsidP="00C07B20">
      <w:pPr>
        <w:rPr>
          <w:rFonts w:cs="Arial"/>
          <w:szCs w:val="22"/>
        </w:rPr>
      </w:pPr>
    </w:p>
    <w:p w14:paraId="6788D164" w14:textId="419A1443" w:rsidR="00E0529D" w:rsidRPr="007A17FB" w:rsidRDefault="00E0529D" w:rsidP="007A17FB">
      <w:pPr>
        <w:ind w:left="720" w:hanging="720"/>
        <w:jc w:val="both"/>
        <w:rPr>
          <w:rFonts w:cs="Arial"/>
          <w:b/>
          <w:szCs w:val="22"/>
        </w:rPr>
      </w:pPr>
      <w:r w:rsidRPr="007A17FB">
        <w:rPr>
          <w:rFonts w:cs="Arial"/>
          <w:b/>
          <w:szCs w:val="22"/>
        </w:rPr>
        <w:t>A</w:t>
      </w:r>
      <w:r w:rsidR="007A17FB">
        <w:rPr>
          <w:rFonts w:cs="Arial"/>
          <w:b/>
          <w:szCs w:val="22"/>
        </w:rPr>
        <w:t>.</w:t>
      </w:r>
      <w:r w:rsidR="007A17FB">
        <w:rPr>
          <w:rFonts w:cs="Arial"/>
          <w:b/>
          <w:szCs w:val="22"/>
        </w:rPr>
        <w:tab/>
      </w:r>
      <w:r w:rsidRPr="007A17FB">
        <w:rPr>
          <w:rFonts w:cs="Arial"/>
          <w:b/>
          <w:szCs w:val="22"/>
        </w:rPr>
        <w:t>Cost Effectiveness</w:t>
      </w:r>
      <w:r w:rsidR="007A17FB">
        <w:rPr>
          <w:rFonts w:cs="Arial"/>
          <w:b/>
          <w:szCs w:val="22"/>
        </w:rPr>
        <w:t xml:space="preserve"> </w:t>
      </w:r>
      <w:r w:rsidR="00D605C4">
        <w:rPr>
          <w:rFonts w:cs="Arial"/>
          <w:b/>
          <w:szCs w:val="22"/>
        </w:rPr>
        <w:t>Considerations for the 2019</w:t>
      </w:r>
      <w:r w:rsidR="007A17FB">
        <w:rPr>
          <w:rFonts w:cs="Arial"/>
          <w:b/>
          <w:szCs w:val="22"/>
        </w:rPr>
        <w:t xml:space="preserve"> Requested Portfolio and Budget </w:t>
      </w:r>
    </w:p>
    <w:p w14:paraId="089C3881" w14:textId="77777777" w:rsidR="00E43A6E" w:rsidRDefault="00E43A6E" w:rsidP="00C07B20">
      <w:pPr>
        <w:rPr>
          <w:rFonts w:cs="Arial"/>
          <w:szCs w:val="22"/>
        </w:rPr>
      </w:pPr>
    </w:p>
    <w:p w14:paraId="06D5E8B6" w14:textId="656902C5" w:rsidR="00E0529D" w:rsidRDefault="00E43A6E" w:rsidP="00C07B20">
      <w:pPr>
        <w:rPr>
          <w:rFonts w:cs="Arial"/>
          <w:szCs w:val="22"/>
        </w:rPr>
      </w:pPr>
      <w:r>
        <w:rPr>
          <w:rFonts w:cs="Arial"/>
          <w:szCs w:val="22"/>
        </w:rPr>
        <w:t>Insert discussion after final review of budgets/measures/costs.</w:t>
      </w:r>
    </w:p>
    <w:p w14:paraId="2C76D88D" w14:textId="77777777" w:rsidR="007A17FB" w:rsidRPr="00C07B20" w:rsidRDefault="007A17FB" w:rsidP="00C07B20">
      <w:pPr>
        <w:rPr>
          <w:rFonts w:cs="Arial"/>
          <w:szCs w:val="22"/>
        </w:rPr>
      </w:pPr>
    </w:p>
    <w:p w14:paraId="665E6AAB" w14:textId="514CADF9" w:rsidR="00C07B20" w:rsidRPr="00C07B20" w:rsidRDefault="00E43A6E" w:rsidP="00F453E5">
      <w:pPr>
        <w:pStyle w:val="Heading3"/>
      </w:pPr>
      <w:r>
        <w:t>B.</w:t>
      </w:r>
      <w:r>
        <w:tab/>
      </w:r>
      <w:r w:rsidR="00C07B20" w:rsidRPr="00C07B20">
        <w:t xml:space="preserve">SDG&amp;E </w:t>
      </w:r>
      <w:r w:rsidR="00C07B20" w:rsidRPr="00E43A6E">
        <w:t>Portfolio</w:t>
      </w:r>
      <w:r w:rsidR="00C07B20" w:rsidRPr="00C07B20">
        <w:t xml:space="preserve"> Budget Caps/Targets</w:t>
      </w:r>
    </w:p>
    <w:p w14:paraId="4F2F0CF8" w14:textId="77777777" w:rsidR="00C07B20" w:rsidRDefault="00C07B20" w:rsidP="00C07B20">
      <w:pPr>
        <w:rPr>
          <w:rFonts w:cs="Arial"/>
          <w:szCs w:val="22"/>
        </w:rPr>
      </w:pPr>
    </w:p>
    <w:p w14:paraId="5B1160AE" w14:textId="4C4D56B2" w:rsidR="005F547E" w:rsidRDefault="005F547E" w:rsidP="000152AC">
      <w:pPr>
        <w:jc w:val="both"/>
        <w:rPr>
          <w:rFonts w:cs="Arial"/>
          <w:szCs w:val="22"/>
        </w:rPr>
      </w:pPr>
      <w:r>
        <w:rPr>
          <w:rFonts w:cs="Arial"/>
          <w:szCs w:val="22"/>
        </w:rPr>
        <w:t xml:space="preserve">SDG&amp;E will provide the final portfolio budget caps and targets </w:t>
      </w:r>
      <w:r w:rsidR="00E43A6E">
        <w:rPr>
          <w:rFonts w:cs="Arial"/>
          <w:szCs w:val="22"/>
        </w:rPr>
        <w:t>for its 2019 EE Portfolio</w:t>
      </w:r>
    </w:p>
    <w:p w14:paraId="44B6E434" w14:textId="65259594" w:rsidR="00C07B20" w:rsidRDefault="00C07B20" w:rsidP="00C07B20">
      <w:pPr>
        <w:pStyle w:val="BodyText2"/>
        <w:jc w:val="both"/>
        <w:rPr>
          <w:rFonts w:cs="Arial"/>
          <w:szCs w:val="22"/>
        </w:rPr>
      </w:pPr>
    </w:p>
    <w:p w14:paraId="6DE83D35" w14:textId="2EA0C447" w:rsidR="00E43A6E" w:rsidRPr="00E43A6E" w:rsidRDefault="00E43A6E" w:rsidP="00E43A6E">
      <w:pPr>
        <w:keepNext/>
        <w:keepLines/>
        <w:jc w:val="center"/>
        <w:rPr>
          <w:rFonts w:cs="Arial"/>
          <w:b/>
          <w:szCs w:val="22"/>
        </w:rPr>
      </w:pPr>
      <w:r w:rsidRPr="00E43A6E">
        <w:rPr>
          <w:rFonts w:cs="Arial"/>
          <w:b/>
          <w:szCs w:val="22"/>
        </w:rPr>
        <w:t>Table 6: 2019 Budget Caps and Targets</w:t>
      </w:r>
    </w:p>
    <w:p w14:paraId="6ED6B7EF" w14:textId="77777777" w:rsidR="00F560BA" w:rsidRDefault="00F560BA" w:rsidP="00C07B20">
      <w:pPr>
        <w:pStyle w:val="BodyText2"/>
        <w:jc w:val="both"/>
        <w:rPr>
          <w:rFonts w:cs="Arial"/>
          <w:szCs w:val="22"/>
        </w:rPr>
      </w:pPr>
    </w:p>
    <w:p w14:paraId="5C000CE3" w14:textId="01A33FE4" w:rsidR="00E43A6E" w:rsidRDefault="00F560BA" w:rsidP="00C07B20">
      <w:pPr>
        <w:pStyle w:val="BodyText2"/>
        <w:jc w:val="both"/>
        <w:rPr>
          <w:rFonts w:cs="Arial"/>
          <w:szCs w:val="22"/>
        </w:rPr>
      </w:pPr>
      <w:r w:rsidRPr="009E356D">
        <w:rPr>
          <w:rFonts w:cs="Arial"/>
          <w:szCs w:val="22"/>
          <w:highlight w:val="yellow"/>
        </w:rPr>
        <w:t>Insert Table here</w:t>
      </w:r>
    </w:p>
    <w:p w14:paraId="289A1159" w14:textId="77777777" w:rsidR="00F560BA" w:rsidRPr="00C07B20" w:rsidRDefault="00F560BA" w:rsidP="00C07B20">
      <w:pPr>
        <w:pStyle w:val="BodyText2"/>
        <w:jc w:val="both"/>
        <w:rPr>
          <w:rFonts w:cs="Arial"/>
          <w:szCs w:val="22"/>
        </w:rPr>
      </w:pPr>
    </w:p>
    <w:p w14:paraId="375D756F" w14:textId="1EA79B3F" w:rsidR="00F82E2E" w:rsidRDefault="00EB6782" w:rsidP="00F453E5">
      <w:pPr>
        <w:pStyle w:val="Heading2"/>
      </w:pPr>
      <w:r>
        <w:t>201</w:t>
      </w:r>
      <w:r w:rsidR="00E43A6E">
        <w:t>9</w:t>
      </w:r>
      <w:r>
        <w:t xml:space="preserve"> </w:t>
      </w:r>
      <w:r w:rsidR="00194235">
        <w:t>PROGRAM CHANGES</w:t>
      </w:r>
    </w:p>
    <w:p w14:paraId="176EF54C" w14:textId="77777777" w:rsidR="00194235" w:rsidRDefault="00194235" w:rsidP="00B04191">
      <w:pPr>
        <w:keepNext/>
        <w:keepLines/>
        <w:rPr>
          <w:rFonts w:cs="Arial"/>
          <w:b/>
          <w:szCs w:val="22"/>
          <w:u w:val="single"/>
        </w:rPr>
      </w:pPr>
    </w:p>
    <w:p w14:paraId="16C53383" w14:textId="77777777" w:rsidR="004B73F2" w:rsidRDefault="00194235" w:rsidP="00B04191">
      <w:pPr>
        <w:keepNext/>
        <w:keepLines/>
        <w:jc w:val="both"/>
        <w:rPr>
          <w:rFonts w:cs="Arial"/>
          <w:szCs w:val="22"/>
        </w:rPr>
      </w:pPr>
      <w:r>
        <w:rPr>
          <w:rFonts w:cs="Arial"/>
          <w:szCs w:val="22"/>
        </w:rPr>
        <w:t>SDG&amp;E optimized</w:t>
      </w:r>
      <w:r w:rsidR="00163AB5">
        <w:rPr>
          <w:rFonts w:cs="Arial"/>
          <w:szCs w:val="22"/>
        </w:rPr>
        <w:t xml:space="preserve"> </w:t>
      </w:r>
      <w:r>
        <w:rPr>
          <w:rFonts w:cs="Arial"/>
          <w:szCs w:val="22"/>
        </w:rPr>
        <w:t>its EE portfolio</w:t>
      </w:r>
      <w:r w:rsidR="00163AB5">
        <w:rPr>
          <w:rFonts w:cs="Arial"/>
          <w:szCs w:val="22"/>
        </w:rPr>
        <w:t xml:space="preserve"> to the extent possible considering the limitations of this interim exercise as discussed in the Background section above</w:t>
      </w:r>
      <w:r>
        <w:rPr>
          <w:rFonts w:cs="Arial"/>
          <w:szCs w:val="22"/>
        </w:rPr>
        <w:t>.  These changes generally include</w:t>
      </w:r>
      <w:r w:rsidR="004B73F2">
        <w:rPr>
          <w:rFonts w:cs="Arial"/>
          <w:szCs w:val="22"/>
        </w:rPr>
        <w:t>:</w:t>
      </w:r>
    </w:p>
    <w:p w14:paraId="2655E655" w14:textId="77777777" w:rsidR="000152AC" w:rsidRDefault="000152AC" w:rsidP="00B04191">
      <w:pPr>
        <w:keepNext/>
        <w:keepLines/>
        <w:jc w:val="both"/>
        <w:rPr>
          <w:rFonts w:cs="Arial"/>
          <w:szCs w:val="22"/>
        </w:rPr>
      </w:pPr>
    </w:p>
    <w:p w14:paraId="48721821" w14:textId="77777777" w:rsidR="00293697" w:rsidRPr="00293697" w:rsidRDefault="006478B3" w:rsidP="000152AC">
      <w:pPr>
        <w:numPr>
          <w:ilvl w:val="0"/>
          <w:numId w:val="9"/>
        </w:numPr>
        <w:spacing w:after="120"/>
        <w:jc w:val="both"/>
        <w:rPr>
          <w:rFonts w:cs="Arial"/>
          <w:szCs w:val="22"/>
        </w:rPr>
      </w:pPr>
      <w:r w:rsidRPr="00293697">
        <w:rPr>
          <w:rFonts w:cs="Arial"/>
          <w:szCs w:val="22"/>
        </w:rPr>
        <w:t>program funding changes</w:t>
      </w:r>
      <w:r w:rsidR="00293697" w:rsidRPr="00293697">
        <w:rPr>
          <w:rFonts w:cs="Arial"/>
          <w:szCs w:val="22"/>
        </w:rPr>
        <w:t xml:space="preserve"> to optimize the portfolio;</w:t>
      </w:r>
    </w:p>
    <w:p w14:paraId="5C148E3E" w14:textId="4B434710" w:rsidR="00805501" w:rsidRDefault="00194235" w:rsidP="000152AC">
      <w:pPr>
        <w:numPr>
          <w:ilvl w:val="0"/>
          <w:numId w:val="9"/>
        </w:numPr>
        <w:spacing w:after="120"/>
        <w:jc w:val="both"/>
        <w:rPr>
          <w:rFonts w:cs="Arial"/>
          <w:szCs w:val="22"/>
        </w:rPr>
      </w:pPr>
      <w:r w:rsidRPr="00293697">
        <w:rPr>
          <w:rFonts w:cs="Arial"/>
          <w:szCs w:val="22"/>
        </w:rPr>
        <w:t>updat</w:t>
      </w:r>
      <w:r w:rsidR="00293697">
        <w:rPr>
          <w:rFonts w:cs="Arial"/>
          <w:szCs w:val="22"/>
        </w:rPr>
        <w:t xml:space="preserve">ed </w:t>
      </w:r>
      <w:r w:rsidRPr="00293697">
        <w:rPr>
          <w:rFonts w:cs="Arial"/>
          <w:szCs w:val="22"/>
        </w:rPr>
        <w:t>measure saving</w:t>
      </w:r>
      <w:r w:rsidR="00805501">
        <w:rPr>
          <w:rFonts w:cs="Arial"/>
          <w:szCs w:val="22"/>
        </w:rPr>
        <w:t>s assumptions based on DEER201</w:t>
      </w:r>
      <w:r w:rsidR="00E43A6E">
        <w:rPr>
          <w:rFonts w:cs="Arial"/>
          <w:szCs w:val="22"/>
        </w:rPr>
        <w:t>9</w:t>
      </w:r>
      <w:r w:rsidR="00EA630B">
        <w:rPr>
          <w:rFonts w:cs="Arial"/>
          <w:szCs w:val="22"/>
        </w:rPr>
        <w:t xml:space="preserve">, </w:t>
      </w:r>
      <w:r w:rsidR="00C402A6">
        <w:rPr>
          <w:rFonts w:cs="Arial"/>
          <w:szCs w:val="22"/>
        </w:rPr>
        <w:t>and all applicable deemed measure work</w:t>
      </w:r>
      <w:r w:rsidR="00027F4F">
        <w:rPr>
          <w:rFonts w:cs="Arial"/>
          <w:szCs w:val="22"/>
        </w:rPr>
        <w:t xml:space="preserve"> </w:t>
      </w:r>
      <w:r w:rsidR="00C402A6">
        <w:rPr>
          <w:rFonts w:cs="Arial"/>
          <w:szCs w:val="22"/>
        </w:rPr>
        <w:t>paper dispositions</w:t>
      </w:r>
      <w:r w:rsidR="00805501">
        <w:rPr>
          <w:rFonts w:cs="Arial"/>
          <w:szCs w:val="22"/>
        </w:rPr>
        <w:t>;</w:t>
      </w:r>
    </w:p>
    <w:p w14:paraId="1BA1BBB7" w14:textId="77777777" w:rsidR="00ED0D50" w:rsidRDefault="00ED0D50" w:rsidP="000152AC">
      <w:pPr>
        <w:numPr>
          <w:ilvl w:val="0"/>
          <w:numId w:val="9"/>
        </w:numPr>
        <w:spacing w:after="120"/>
        <w:jc w:val="both"/>
        <w:rPr>
          <w:rFonts w:cs="Arial"/>
          <w:szCs w:val="22"/>
        </w:rPr>
      </w:pPr>
      <w:r>
        <w:rPr>
          <w:rFonts w:cs="Arial"/>
          <w:szCs w:val="22"/>
        </w:rPr>
        <w:t>removal of measures due to low cost effectiveness</w:t>
      </w:r>
      <w:r w:rsidR="001C27DE">
        <w:rPr>
          <w:rFonts w:cs="Arial"/>
          <w:szCs w:val="22"/>
        </w:rPr>
        <w:t>,</w:t>
      </w:r>
      <w:r>
        <w:rPr>
          <w:rFonts w:cs="Arial"/>
          <w:szCs w:val="22"/>
        </w:rPr>
        <w:t xml:space="preserve"> changes in Codes &amp; Standards,</w:t>
      </w:r>
      <w:r w:rsidR="001C27DE">
        <w:rPr>
          <w:rFonts w:cs="Arial"/>
          <w:szCs w:val="22"/>
        </w:rPr>
        <w:t xml:space="preserve"> Lighting Dispositions</w:t>
      </w:r>
      <w:r w:rsidR="006B4449">
        <w:rPr>
          <w:rFonts w:cs="Arial"/>
          <w:szCs w:val="22"/>
        </w:rPr>
        <w:t>,</w:t>
      </w:r>
      <w:r>
        <w:rPr>
          <w:rFonts w:cs="Arial"/>
          <w:szCs w:val="22"/>
        </w:rPr>
        <w:t xml:space="preserve"> or</w:t>
      </w:r>
      <w:r w:rsidRPr="00ED0D50">
        <w:rPr>
          <w:rFonts w:cs="Arial"/>
          <w:szCs w:val="22"/>
        </w:rPr>
        <w:t xml:space="preserve"> </w:t>
      </w:r>
      <w:r>
        <w:rPr>
          <w:rFonts w:cs="Arial"/>
          <w:szCs w:val="22"/>
        </w:rPr>
        <w:t>lack of demand;</w:t>
      </w:r>
    </w:p>
    <w:p w14:paraId="26AB1122" w14:textId="77777777" w:rsidR="00805501" w:rsidRDefault="00805501" w:rsidP="000152AC">
      <w:pPr>
        <w:numPr>
          <w:ilvl w:val="0"/>
          <w:numId w:val="9"/>
        </w:numPr>
        <w:spacing w:after="120"/>
        <w:jc w:val="both"/>
        <w:rPr>
          <w:rFonts w:cs="Arial"/>
          <w:szCs w:val="22"/>
        </w:rPr>
      </w:pPr>
      <w:r>
        <w:rPr>
          <w:rFonts w:cs="Arial"/>
          <w:szCs w:val="22"/>
        </w:rPr>
        <w:t>updated</w:t>
      </w:r>
      <w:r w:rsidR="00194235" w:rsidRPr="00293697">
        <w:rPr>
          <w:rFonts w:cs="Arial"/>
          <w:szCs w:val="22"/>
        </w:rPr>
        <w:t xml:space="preserve"> incentive levels</w:t>
      </w:r>
      <w:r>
        <w:rPr>
          <w:rFonts w:cs="Arial"/>
          <w:szCs w:val="22"/>
        </w:rPr>
        <w:t xml:space="preserve"> to address changes, e.g., measure savings</w:t>
      </w:r>
      <w:r w:rsidR="00194235" w:rsidRPr="00293697">
        <w:rPr>
          <w:rFonts w:cs="Arial"/>
          <w:szCs w:val="22"/>
        </w:rPr>
        <w:t>,</w:t>
      </w:r>
      <w:r>
        <w:rPr>
          <w:rFonts w:cs="Arial"/>
          <w:szCs w:val="22"/>
        </w:rPr>
        <w:t xml:space="preserve"> measure costs, etc.;</w:t>
      </w:r>
    </w:p>
    <w:p w14:paraId="0BBCFAEE" w14:textId="1E35E430" w:rsidR="00E43A6E" w:rsidRPr="00293697" w:rsidRDefault="00194235" w:rsidP="00E43A6E">
      <w:pPr>
        <w:numPr>
          <w:ilvl w:val="0"/>
          <w:numId w:val="9"/>
        </w:numPr>
        <w:spacing w:after="120"/>
        <w:jc w:val="both"/>
        <w:rPr>
          <w:rFonts w:cs="Arial"/>
          <w:szCs w:val="22"/>
        </w:rPr>
      </w:pPr>
      <w:r w:rsidRPr="00293697">
        <w:rPr>
          <w:rFonts w:cs="Arial"/>
          <w:szCs w:val="22"/>
        </w:rPr>
        <w:t xml:space="preserve">consolidation of programs, </w:t>
      </w:r>
      <w:r w:rsidR="00805501">
        <w:rPr>
          <w:rFonts w:cs="Arial"/>
          <w:szCs w:val="22"/>
        </w:rPr>
        <w:t xml:space="preserve">introduction of new programs, and </w:t>
      </w:r>
      <w:r w:rsidRPr="00293697">
        <w:rPr>
          <w:rFonts w:cs="Arial"/>
          <w:szCs w:val="22"/>
        </w:rPr>
        <w:t xml:space="preserve">closing of </w:t>
      </w:r>
      <w:r w:rsidR="00805501">
        <w:rPr>
          <w:rFonts w:cs="Arial"/>
          <w:szCs w:val="22"/>
        </w:rPr>
        <w:t>underperforming</w:t>
      </w:r>
      <w:r w:rsidRPr="00293697">
        <w:rPr>
          <w:rFonts w:cs="Arial"/>
          <w:szCs w:val="22"/>
        </w:rPr>
        <w:t xml:space="preserve"> programs</w:t>
      </w:r>
      <w:r w:rsidR="00E43A6E">
        <w:rPr>
          <w:rFonts w:cs="Arial"/>
          <w:szCs w:val="22"/>
        </w:rPr>
        <w:t>.</w:t>
      </w:r>
    </w:p>
    <w:p w14:paraId="4F9A9C69" w14:textId="77777777" w:rsidR="004141E3" w:rsidRDefault="004141E3" w:rsidP="00C93AA2">
      <w:pPr>
        <w:keepNext/>
        <w:keepLines/>
        <w:jc w:val="center"/>
        <w:rPr>
          <w:rFonts w:cs="Arial"/>
          <w:b/>
          <w:szCs w:val="22"/>
        </w:rPr>
      </w:pPr>
    </w:p>
    <w:p w14:paraId="78023C0B" w14:textId="36A4BD2E" w:rsidR="00BB6919" w:rsidRDefault="000315E8" w:rsidP="00F453E5">
      <w:pPr>
        <w:pStyle w:val="Heading2"/>
      </w:pPr>
      <w:r>
        <w:t>Current Planning Status—will finalize and incorporated as part of the overarching program changes discussion.</w:t>
      </w:r>
    </w:p>
    <w:p w14:paraId="342E8620" w14:textId="2D1F1E13" w:rsidR="000315E8" w:rsidRDefault="000315E8" w:rsidP="000315E8"/>
    <w:p w14:paraId="3E56F7CF" w14:textId="77777777" w:rsidR="00000000" w:rsidRPr="000315E8" w:rsidRDefault="00335C77" w:rsidP="000315E8">
      <w:pPr>
        <w:numPr>
          <w:ilvl w:val="0"/>
          <w:numId w:val="31"/>
        </w:numPr>
      </w:pPr>
      <w:r w:rsidRPr="000315E8">
        <w:t>Significant drop in TRC due to the update to 2019 avoided costs.</w:t>
      </w:r>
    </w:p>
    <w:p w14:paraId="296D8F7A" w14:textId="77777777" w:rsidR="00000000" w:rsidRPr="000315E8" w:rsidRDefault="00335C77" w:rsidP="000315E8">
      <w:pPr>
        <w:numPr>
          <w:ilvl w:val="0"/>
          <w:numId w:val="31"/>
        </w:numPr>
      </w:pPr>
      <w:r w:rsidRPr="000315E8">
        <w:t>Continue to refine cost effectiveness.</w:t>
      </w:r>
    </w:p>
    <w:p w14:paraId="6B25F58A" w14:textId="77777777" w:rsidR="00000000" w:rsidRPr="000315E8" w:rsidRDefault="00335C77" w:rsidP="000315E8">
      <w:pPr>
        <w:numPr>
          <w:ilvl w:val="1"/>
          <w:numId w:val="31"/>
        </w:numPr>
      </w:pPr>
      <w:r w:rsidRPr="000315E8">
        <w:t>Goal attainment not primary concern</w:t>
      </w:r>
    </w:p>
    <w:p w14:paraId="2A498E25" w14:textId="20F8B29B" w:rsidR="00000000" w:rsidRPr="000315E8" w:rsidRDefault="00335C77" w:rsidP="000315E8">
      <w:pPr>
        <w:numPr>
          <w:ilvl w:val="1"/>
          <w:numId w:val="31"/>
        </w:numPr>
      </w:pPr>
      <w:r w:rsidRPr="000315E8">
        <w:t>Limit or remove non-cost-effective</w:t>
      </w:r>
      <w:r w:rsidRPr="000315E8">
        <w:t xml:space="preserve"> measures</w:t>
      </w:r>
    </w:p>
    <w:p w14:paraId="62DEE134" w14:textId="77777777" w:rsidR="00000000" w:rsidRPr="000315E8" w:rsidRDefault="00335C77" w:rsidP="000315E8">
      <w:pPr>
        <w:numPr>
          <w:ilvl w:val="1"/>
          <w:numId w:val="31"/>
        </w:numPr>
      </w:pPr>
      <w:r w:rsidRPr="000315E8">
        <w:t>Need to review unallocated funds to see forecasted market uptake for additional program funds</w:t>
      </w:r>
    </w:p>
    <w:p w14:paraId="1B7277D6" w14:textId="77777777" w:rsidR="00000000" w:rsidRPr="000315E8" w:rsidRDefault="00335C77" w:rsidP="000315E8">
      <w:pPr>
        <w:numPr>
          <w:ilvl w:val="1"/>
          <w:numId w:val="31"/>
        </w:numPr>
      </w:pPr>
      <w:r w:rsidRPr="000315E8">
        <w:t xml:space="preserve">Aligned incentives with measure cost </w:t>
      </w:r>
    </w:p>
    <w:p w14:paraId="116C0E75" w14:textId="77777777" w:rsidR="00000000" w:rsidRPr="000315E8" w:rsidRDefault="00335C77" w:rsidP="000315E8">
      <w:pPr>
        <w:numPr>
          <w:ilvl w:val="0"/>
          <w:numId w:val="31"/>
        </w:numPr>
      </w:pPr>
      <w:r w:rsidRPr="000315E8">
        <w:t>Not all budget currently allocated. Some authorized funds will be held in reserve for future ramp up years for local and Statewide programs.</w:t>
      </w:r>
    </w:p>
    <w:p w14:paraId="79735D71" w14:textId="77777777" w:rsidR="00000000" w:rsidRPr="000315E8" w:rsidRDefault="00335C77" w:rsidP="000315E8">
      <w:pPr>
        <w:numPr>
          <w:ilvl w:val="0"/>
          <w:numId w:val="31"/>
        </w:numPr>
      </w:pPr>
      <w:r w:rsidRPr="000315E8">
        <w:lastRenderedPageBreak/>
        <w:t xml:space="preserve">Review program requirements such as </w:t>
      </w:r>
      <w:r w:rsidRPr="000315E8">
        <w:t>improved reporting of measure cost for custom projects, investigate potential for deeming measure cost</w:t>
      </w:r>
    </w:p>
    <w:p w14:paraId="59D4A811" w14:textId="77777777" w:rsidR="00000000" w:rsidRPr="000315E8" w:rsidRDefault="00335C77" w:rsidP="000315E8">
      <w:pPr>
        <w:numPr>
          <w:ilvl w:val="0"/>
          <w:numId w:val="31"/>
        </w:numPr>
      </w:pPr>
      <w:r w:rsidRPr="000315E8">
        <w:t>Consideration of treatment of Independent Evaluator costs</w:t>
      </w:r>
    </w:p>
    <w:p w14:paraId="4E40834B" w14:textId="54E3DB2B" w:rsidR="00000000" w:rsidRDefault="00335C77" w:rsidP="000315E8">
      <w:pPr>
        <w:numPr>
          <w:ilvl w:val="0"/>
          <w:numId w:val="31"/>
        </w:numPr>
      </w:pPr>
      <w:r w:rsidRPr="000315E8">
        <w:t>Decision guidance regarding incentives will be incorporated into the solicitation process.</w:t>
      </w:r>
    </w:p>
    <w:p w14:paraId="445BDA9C" w14:textId="17DF6204" w:rsidR="009E356D" w:rsidRDefault="009E356D" w:rsidP="009E356D"/>
    <w:p w14:paraId="6FBFF29D" w14:textId="4FCD783F" w:rsidR="009E356D" w:rsidRDefault="009E356D" w:rsidP="009E356D">
      <w:r>
        <w:t>Table Sector Savings</w:t>
      </w:r>
    </w:p>
    <w:p w14:paraId="188AE846" w14:textId="114C3BB9" w:rsidR="009E356D" w:rsidRDefault="009E356D" w:rsidP="009E356D"/>
    <w:p w14:paraId="349BEFFD" w14:textId="77777777" w:rsidR="009E356D" w:rsidRPr="000315E8" w:rsidRDefault="009E356D" w:rsidP="009E356D"/>
    <w:p w14:paraId="1DD18C61" w14:textId="77777777" w:rsidR="000315E8" w:rsidRPr="000315E8" w:rsidRDefault="000315E8" w:rsidP="000315E8"/>
    <w:p w14:paraId="0AB45F8A" w14:textId="09D1E98C" w:rsidR="00C93AA2" w:rsidRDefault="00F453E5" w:rsidP="00F453E5">
      <w:pPr>
        <w:pStyle w:val="Heading2"/>
      </w:pPr>
      <w:r>
        <w:t>A.</w:t>
      </w:r>
      <w:r>
        <w:tab/>
        <w:t>Residential Sector</w:t>
      </w:r>
    </w:p>
    <w:p w14:paraId="5EAB55E3" w14:textId="0A88C3B6" w:rsidR="00F453E5" w:rsidRDefault="00F453E5" w:rsidP="00F453E5"/>
    <w:p w14:paraId="3BC8E041" w14:textId="7283B221" w:rsidR="00F453E5" w:rsidRDefault="00F453E5" w:rsidP="00F453E5">
      <w:pPr>
        <w:pStyle w:val="Heading3"/>
      </w:pPr>
      <w:r>
        <w:t>1.</w:t>
      </w:r>
      <w:r>
        <w:tab/>
        <w:t>Single Family Subsector</w:t>
      </w:r>
    </w:p>
    <w:p w14:paraId="4155A123" w14:textId="77777777" w:rsidR="00F453E5" w:rsidRPr="00F453E5" w:rsidRDefault="00F453E5" w:rsidP="00F453E5"/>
    <w:p w14:paraId="1633D755" w14:textId="77777777" w:rsidR="00000000" w:rsidRPr="00F453E5" w:rsidRDefault="00335C77" w:rsidP="00F453E5">
      <w:pPr>
        <w:numPr>
          <w:ilvl w:val="0"/>
          <w:numId w:val="15"/>
        </w:numPr>
      </w:pPr>
      <w:r w:rsidRPr="00F453E5">
        <w:t>Home Upgrade Program:</w:t>
      </w:r>
    </w:p>
    <w:p w14:paraId="5DD8A68D" w14:textId="77777777" w:rsidR="00000000" w:rsidRPr="00F453E5" w:rsidRDefault="00335C77" w:rsidP="00F453E5">
      <w:pPr>
        <w:numPr>
          <w:ilvl w:val="1"/>
          <w:numId w:val="15"/>
        </w:numPr>
      </w:pPr>
      <w:r w:rsidRPr="00F453E5">
        <w:t>Eliminate the Basic Home Upgrade path to eliminate offering duplicate measures.</w:t>
      </w:r>
    </w:p>
    <w:p w14:paraId="5B7A64C9" w14:textId="77777777" w:rsidR="00000000" w:rsidRPr="00F453E5" w:rsidRDefault="00335C77" w:rsidP="00F453E5">
      <w:pPr>
        <w:numPr>
          <w:ilvl w:val="1"/>
          <w:numId w:val="15"/>
        </w:numPr>
      </w:pPr>
      <w:r w:rsidRPr="00F453E5">
        <w:t>Focus program on the Advanced Home Upgrade path.</w:t>
      </w:r>
    </w:p>
    <w:p w14:paraId="01794CA3" w14:textId="77777777" w:rsidR="00000000" w:rsidRPr="00F453E5" w:rsidRDefault="00335C77" w:rsidP="00F453E5">
      <w:pPr>
        <w:numPr>
          <w:ilvl w:val="1"/>
          <w:numId w:val="15"/>
        </w:numPr>
      </w:pPr>
      <w:r w:rsidRPr="00F453E5">
        <w:t xml:space="preserve">The cost effectiveness for this program most likely will not improve with </w:t>
      </w:r>
      <w:r w:rsidRPr="00F453E5">
        <w:t xml:space="preserve">the streamlining of the program offering.  We expect a more cost-effective solution through our RFA process </w:t>
      </w:r>
    </w:p>
    <w:p w14:paraId="257DC5FC" w14:textId="77777777" w:rsidR="00000000" w:rsidRPr="00F453E5" w:rsidRDefault="00335C77" w:rsidP="00F453E5">
      <w:pPr>
        <w:numPr>
          <w:ilvl w:val="1"/>
          <w:numId w:val="15"/>
        </w:numPr>
      </w:pPr>
      <w:r w:rsidRPr="00F453E5">
        <w:t xml:space="preserve">Program offering will continue through PY 2019 or until budget is exhausted. </w:t>
      </w:r>
    </w:p>
    <w:p w14:paraId="652113EF" w14:textId="6D9B36D5" w:rsidR="00000000" w:rsidRDefault="00335C77" w:rsidP="00F453E5">
      <w:pPr>
        <w:numPr>
          <w:ilvl w:val="1"/>
          <w:numId w:val="15"/>
        </w:numPr>
      </w:pPr>
      <w:r w:rsidRPr="00F453E5">
        <w:t>An RFA for this market is scheduled for Q1 of 2019 with a new progr</w:t>
      </w:r>
      <w:r w:rsidR="00F453E5">
        <w:t>am launching around Q2 of 2020.</w:t>
      </w:r>
    </w:p>
    <w:p w14:paraId="76936D55" w14:textId="77777777" w:rsidR="00423437" w:rsidRDefault="00423437" w:rsidP="00423437">
      <w:pPr>
        <w:ind w:left="1080"/>
      </w:pPr>
    </w:p>
    <w:p w14:paraId="6614B235" w14:textId="4F23F7D3" w:rsidR="00F453E5" w:rsidRDefault="00F453E5" w:rsidP="00F453E5">
      <w:pPr>
        <w:pStyle w:val="Heading3"/>
      </w:pPr>
      <w:r>
        <w:t>2.</w:t>
      </w:r>
      <w:r>
        <w:tab/>
        <w:t>Multi Family Subsector</w:t>
      </w:r>
    </w:p>
    <w:p w14:paraId="31E72A0D" w14:textId="77777777" w:rsidR="00F453E5" w:rsidRPr="00F453E5" w:rsidRDefault="00F453E5" w:rsidP="00F453E5"/>
    <w:p w14:paraId="284831BD" w14:textId="77777777" w:rsidR="00000000" w:rsidRPr="00F453E5" w:rsidRDefault="00335C77" w:rsidP="00F453E5">
      <w:pPr>
        <w:numPr>
          <w:ilvl w:val="0"/>
          <w:numId w:val="16"/>
        </w:numPr>
      </w:pPr>
      <w:r w:rsidRPr="00F453E5">
        <w:t>Consolidated MFEER, MF -HOPPS, MF-EUC, and CMHP into one program. The 2018 combined budget for thes</w:t>
      </w:r>
      <w:r w:rsidRPr="00F453E5">
        <w:t>e four programs is $10,593,353.  The combined forecasted budget for 2019’s is $4,993,019 (47% reduction).</w:t>
      </w:r>
    </w:p>
    <w:p w14:paraId="74A8F8AC" w14:textId="77777777" w:rsidR="00000000" w:rsidRPr="00F453E5" w:rsidRDefault="00335C77" w:rsidP="00F453E5">
      <w:pPr>
        <w:numPr>
          <w:ilvl w:val="0"/>
          <w:numId w:val="16"/>
        </w:numPr>
      </w:pPr>
      <w:r w:rsidRPr="00F453E5">
        <w:t>Current cost effectiveness is below a 1.0 TRC.  To improve cost effectiveness, explo</w:t>
      </w:r>
      <w:r w:rsidRPr="00F453E5">
        <w:t>ring custom calculated approach instead of deemed savings.  This will allow for savings at existing baseline. Focus on NMEC approach for savings.</w:t>
      </w:r>
    </w:p>
    <w:p w14:paraId="1158D699" w14:textId="77777777" w:rsidR="00000000" w:rsidRPr="00F453E5" w:rsidRDefault="00335C77" w:rsidP="00F453E5">
      <w:pPr>
        <w:numPr>
          <w:ilvl w:val="0"/>
          <w:numId w:val="16"/>
        </w:numPr>
      </w:pPr>
      <w:r w:rsidRPr="00F453E5">
        <w:t xml:space="preserve">Explore partnerships to co-fund </w:t>
      </w:r>
      <w:r w:rsidRPr="00F453E5">
        <w:t>measures with water savings opportunities.</w:t>
      </w:r>
    </w:p>
    <w:p w14:paraId="182D65A7" w14:textId="77777777" w:rsidR="00000000" w:rsidRPr="00F453E5" w:rsidRDefault="00335C77" w:rsidP="00F453E5">
      <w:pPr>
        <w:numPr>
          <w:ilvl w:val="0"/>
          <w:numId w:val="16"/>
        </w:numPr>
      </w:pPr>
      <w:r w:rsidRPr="00F453E5">
        <w:t xml:space="preserve">Program offering will continue through PY 2019 or until budget is exhausted. An RFA for this market is scheduled for Q2 of 2019 with a new program </w:t>
      </w:r>
      <w:r w:rsidRPr="00F453E5">
        <w:t>launching around Q3 of 2020.</w:t>
      </w:r>
    </w:p>
    <w:p w14:paraId="58677845" w14:textId="26D9515E" w:rsidR="00F453E5" w:rsidRDefault="00F453E5" w:rsidP="00F453E5"/>
    <w:p w14:paraId="7A135292" w14:textId="0EDAE00F" w:rsidR="00F453E5" w:rsidRDefault="00F453E5" w:rsidP="00F453E5">
      <w:pPr>
        <w:pStyle w:val="Heading2"/>
      </w:pPr>
      <w:r>
        <w:t>B.</w:t>
      </w:r>
      <w:r>
        <w:tab/>
        <w:t>Commercial Sector</w:t>
      </w:r>
    </w:p>
    <w:p w14:paraId="7D93D408" w14:textId="77777777" w:rsidR="00F453E5" w:rsidRDefault="00F453E5" w:rsidP="00F453E5"/>
    <w:p w14:paraId="0B055FE6" w14:textId="7685DFAC" w:rsidR="00F453E5" w:rsidRDefault="00F453E5" w:rsidP="00F453E5">
      <w:pPr>
        <w:pStyle w:val="Heading3"/>
      </w:pPr>
      <w:r>
        <w:t>1.</w:t>
      </w:r>
      <w:r>
        <w:tab/>
        <w:t>Large Commercial Subsector</w:t>
      </w:r>
    </w:p>
    <w:p w14:paraId="08E2BFA6" w14:textId="77777777" w:rsidR="00F453E5" w:rsidRPr="00F453E5" w:rsidRDefault="00F453E5" w:rsidP="00F453E5"/>
    <w:p w14:paraId="083B567F" w14:textId="77777777" w:rsidR="00000000" w:rsidRPr="00F453E5" w:rsidRDefault="00335C77" w:rsidP="00F453E5">
      <w:pPr>
        <w:numPr>
          <w:ilvl w:val="0"/>
          <w:numId w:val="17"/>
        </w:numPr>
      </w:pPr>
      <w:r w:rsidRPr="00F453E5">
        <w:t>Realignment of market to remove Public Sector customers and savings opportunities (approximate 15% reduction)</w:t>
      </w:r>
    </w:p>
    <w:p w14:paraId="6771EFA5" w14:textId="77777777" w:rsidR="00000000" w:rsidRPr="00F453E5" w:rsidRDefault="00335C77" w:rsidP="00F453E5">
      <w:pPr>
        <w:numPr>
          <w:ilvl w:val="0"/>
          <w:numId w:val="17"/>
        </w:numPr>
      </w:pPr>
      <w:r w:rsidRPr="00F453E5">
        <w:t>Program offerings for large commercial customers will continue as status quo for 2019. Per the solicitation schedule we anticipate signing a contract at the end of 2019 with an implementer for this market and will start spending against thi</w:t>
      </w:r>
      <w:r w:rsidRPr="00F453E5">
        <w:t>s contract in 2020.</w:t>
      </w:r>
    </w:p>
    <w:p w14:paraId="118DBE63" w14:textId="3C8E18A1" w:rsidR="00F453E5" w:rsidRDefault="00F453E5" w:rsidP="00F453E5"/>
    <w:p w14:paraId="3253B6D3" w14:textId="152ABAC8" w:rsidR="00F453E5" w:rsidRDefault="00F453E5" w:rsidP="00F453E5">
      <w:pPr>
        <w:pStyle w:val="Heading3"/>
      </w:pPr>
      <w:r>
        <w:t>2.</w:t>
      </w:r>
      <w:r>
        <w:tab/>
        <w:t>Small Commercial Subsector</w:t>
      </w:r>
    </w:p>
    <w:p w14:paraId="234C4CD2" w14:textId="21DF88C9" w:rsidR="00F453E5" w:rsidRDefault="00F453E5" w:rsidP="00F453E5"/>
    <w:p w14:paraId="4F1EAC6B" w14:textId="77777777" w:rsidR="00000000" w:rsidRPr="00F453E5" w:rsidRDefault="00335C77" w:rsidP="00F453E5">
      <w:pPr>
        <w:numPr>
          <w:ilvl w:val="0"/>
          <w:numId w:val="18"/>
        </w:numPr>
      </w:pPr>
      <w:r w:rsidRPr="00F453E5">
        <w:lastRenderedPageBreak/>
        <w:t>Lighting remains dominant end-use, lighting measures are experiencing reduced savings.</w:t>
      </w:r>
    </w:p>
    <w:p w14:paraId="66C964B4" w14:textId="77777777" w:rsidR="00000000" w:rsidRPr="00F453E5" w:rsidRDefault="00335C77" w:rsidP="00F453E5">
      <w:pPr>
        <w:numPr>
          <w:ilvl w:val="0"/>
          <w:numId w:val="18"/>
        </w:numPr>
      </w:pPr>
      <w:r w:rsidRPr="00F453E5">
        <w:t xml:space="preserve">Reintroduced measures (e.g., Network Power Management Software &amp; Vending Machine Controllers) to improve cost effectiveness, </w:t>
      </w:r>
    </w:p>
    <w:p w14:paraId="57293371" w14:textId="77777777" w:rsidR="00000000" w:rsidRPr="00F453E5" w:rsidRDefault="00335C77" w:rsidP="00F453E5">
      <w:pPr>
        <w:numPr>
          <w:ilvl w:val="0"/>
          <w:numId w:val="18"/>
        </w:numPr>
      </w:pPr>
      <w:r w:rsidRPr="00F453E5">
        <w:t>Added $4M in funds to incorpo</w:t>
      </w:r>
      <w:r w:rsidRPr="00F453E5">
        <w:t>rate IDSM strategies per the decision with no added benefit, therefore resulting in a TRC below 1.0</w:t>
      </w:r>
    </w:p>
    <w:p w14:paraId="62A75F06" w14:textId="77777777" w:rsidR="00000000" w:rsidRPr="00F453E5" w:rsidRDefault="00335C77" w:rsidP="00F453E5">
      <w:pPr>
        <w:numPr>
          <w:ilvl w:val="0"/>
          <w:numId w:val="18"/>
        </w:numPr>
      </w:pPr>
      <w:r w:rsidRPr="00F453E5">
        <w:t>Realignment of market to remove Public Sector customers and savings opportunities (approxi</w:t>
      </w:r>
      <w:r w:rsidRPr="00F453E5">
        <w:t>mate 15% reduction)</w:t>
      </w:r>
    </w:p>
    <w:p w14:paraId="49F55560" w14:textId="77777777" w:rsidR="00000000" w:rsidRPr="00F453E5" w:rsidRDefault="00335C77" w:rsidP="00F453E5">
      <w:pPr>
        <w:numPr>
          <w:ilvl w:val="0"/>
          <w:numId w:val="18"/>
        </w:numPr>
      </w:pPr>
      <w:r w:rsidRPr="00F453E5">
        <w:t>Program offerings for small commercial customers will continue as status quo for 2019. Per the solicitation schedule we anticipate signing a contract at the end of 2019 w</w:t>
      </w:r>
      <w:r w:rsidRPr="00F453E5">
        <w:t>ith an implementer for this market and will start spending against this contract in 2020.</w:t>
      </w:r>
    </w:p>
    <w:p w14:paraId="178F56BF" w14:textId="414B6EE6" w:rsidR="00F453E5" w:rsidRDefault="00F453E5" w:rsidP="00F453E5"/>
    <w:p w14:paraId="05EA3E55" w14:textId="3A16CF41" w:rsidR="00775F7D" w:rsidRDefault="00775F7D" w:rsidP="00775F7D">
      <w:pPr>
        <w:pStyle w:val="Heading2"/>
      </w:pPr>
      <w:r>
        <w:t>C.</w:t>
      </w:r>
      <w:r>
        <w:tab/>
        <w:t>Industrial Sector</w:t>
      </w:r>
    </w:p>
    <w:p w14:paraId="1819CEBA" w14:textId="0BB82DA0" w:rsidR="00775F7D" w:rsidRDefault="00775F7D" w:rsidP="00775F7D"/>
    <w:p w14:paraId="15717B87" w14:textId="77777777" w:rsidR="00000000" w:rsidRPr="00775F7D" w:rsidRDefault="00335C77" w:rsidP="00775F7D">
      <w:pPr>
        <w:numPr>
          <w:ilvl w:val="0"/>
          <w:numId w:val="19"/>
        </w:numPr>
      </w:pPr>
      <w:r w:rsidRPr="00775F7D">
        <w:t>Continuing offering of Strategic Energy Management (SEM)</w:t>
      </w:r>
    </w:p>
    <w:p w14:paraId="3D9CA10A" w14:textId="77777777" w:rsidR="00000000" w:rsidRPr="00775F7D" w:rsidRDefault="00335C77" w:rsidP="00775F7D">
      <w:pPr>
        <w:numPr>
          <w:ilvl w:val="0"/>
          <w:numId w:val="19"/>
        </w:numPr>
      </w:pPr>
      <w:r w:rsidRPr="00775F7D">
        <w:t xml:space="preserve">Program offerings for Industrial customers will continue as the status quo for 2019. Per the solicitation schedule we anticipate signing a contract in the middle of 2021 with an implementer for this market and will start spending </w:t>
      </w:r>
      <w:r w:rsidRPr="00775F7D">
        <w:t>against that contract later in 2021.</w:t>
      </w:r>
    </w:p>
    <w:p w14:paraId="33BAFC90" w14:textId="0FD0B8D9" w:rsidR="00775F7D" w:rsidRDefault="00775F7D" w:rsidP="00775F7D"/>
    <w:p w14:paraId="5550242A" w14:textId="6418278E" w:rsidR="00775F7D" w:rsidRDefault="00775F7D" w:rsidP="00C06AA2">
      <w:pPr>
        <w:pStyle w:val="Heading2"/>
      </w:pPr>
      <w:r>
        <w:t>D.</w:t>
      </w:r>
      <w:r>
        <w:tab/>
      </w:r>
      <w:r w:rsidR="00C06AA2">
        <w:t>Agricultural Sector</w:t>
      </w:r>
    </w:p>
    <w:p w14:paraId="0DB253D9" w14:textId="77777777" w:rsidR="00C06AA2" w:rsidRPr="00775F7D" w:rsidRDefault="00C06AA2" w:rsidP="00775F7D"/>
    <w:p w14:paraId="207E582D" w14:textId="77777777" w:rsidR="00000000" w:rsidRPr="00C06AA2" w:rsidRDefault="00335C77" w:rsidP="00C06AA2">
      <w:pPr>
        <w:numPr>
          <w:ilvl w:val="0"/>
          <w:numId w:val="20"/>
        </w:numPr>
        <w:rPr>
          <w:rFonts w:cs="Arial"/>
          <w:szCs w:val="22"/>
        </w:rPr>
      </w:pPr>
      <w:r w:rsidRPr="00C06AA2">
        <w:rPr>
          <w:rFonts w:cs="Arial"/>
          <w:szCs w:val="22"/>
        </w:rPr>
        <w:t>Primary Ag program is a 3</w:t>
      </w:r>
      <w:r w:rsidRPr="00C06AA2">
        <w:rPr>
          <w:rFonts w:cs="Arial"/>
          <w:szCs w:val="22"/>
          <w:vertAlign w:val="superscript"/>
        </w:rPr>
        <w:t>rd</w:t>
      </w:r>
      <w:r w:rsidRPr="00C06AA2">
        <w:rPr>
          <w:rFonts w:cs="Arial"/>
          <w:szCs w:val="22"/>
        </w:rPr>
        <w:t xml:space="preserve"> party implemented program. Program designed using concierge approach to help these customers through the entire EE process.  </w:t>
      </w:r>
    </w:p>
    <w:p w14:paraId="2A09833A" w14:textId="77777777" w:rsidR="00000000" w:rsidRPr="00C06AA2" w:rsidRDefault="00335C77" w:rsidP="00C06AA2">
      <w:pPr>
        <w:numPr>
          <w:ilvl w:val="0"/>
          <w:numId w:val="20"/>
        </w:numPr>
        <w:rPr>
          <w:rFonts w:cs="Arial"/>
          <w:szCs w:val="22"/>
        </w:rPr>
      </w:pPr>
      <w:r w:rsidRPr="00C06AA2">
        <w:rPr>
          <w:rFonts w:cs="Arial"/>
          <w:szCs w:val="22"/>
        </w:rPr>
        <w:t>Focus on specialty vegetative lighting, VFDs, HVAC con</w:t>
      </w:r>
      <w:r w:rsidRPr="00C06AA2">
        <w:rPr>
          <w:rFonts w:cs="Arial"/>
          <w:szCs w:val="22"/>
        </w:rPr>
        <w:t>trols and greenhouse siding measures to improve cost effectiveness.</w:t>
      </w:r>
    </w:p>
    <w:p w14:paraId="49FC097C" w14:textId="77777777" w:rsidR="00000000" w:rsidRPr="00C06AA2" w:rsidRDefault="00335C77" w:rsidP="00C06AA2">
      <w:pPr>
        <w:numPr>
          <w:ilvl w:val="0"/>
          <w:numId w:val="20"/>
        </w:numPr>
        <w:rPr>
          <w:rFonts w:cs="Arial"/>
          <w:szCs w:val="22"/>
        </w:rPr>
      </w:pPr>
      <w:r w:rsidRPr="00C06AA2">
        <w:rPr>
          <w:rFonts w:cs="Arial"/>
          <w:szCs w:val="22"/>
        </w:rPr>
        <w:t>Program offerings for Ag customers will continue status quo for 2019, and possibly through 2020 to customers in this secto</w:t>
      </w:r>
      <w:r w:rsidRPr="00C06AA2">
        <w:rPr>
          <w:rFonts w:cs="Arial"/>
          <w:szCs w:val="22"/>
        </w:rPr>
        <w:t>r who are served during the ramp down period. Per the solicitation schedule we anticipate signing a contract in the late 2020 with an implementer for this market and will start spending against that contract early in 2021.</w:t>
      </w:r>
    </w:p>
    <w:p w14:paraId="44C1DFBD" w14:textId="19317F13" w:rsidR="00194235" w:rsidRDefault="00194235" w:rsidP="008F5F98">
      <w:pPr>
        <w:rPr>
          <w:rFonts w:cs="Arial"/>
          <w:szCs w:val="22"/>
        </w:rPr>
      </w:pPr>
    </w:p>
    <w:p w14:paraId="1AE4CE07" w14:textId="0CA633F4" w:rsidR="003B62B5" w:rsidRDefault="003B62B5" w:rsidP="005F7E7A">
      <w:pPr>
        <w:pStyle w:val="Heading2"/>
        <w:keepLines/>
      </w:pPr>
      <w:r>
        <w:t>E.</w:t>
      </w:r>
      <w:r>
        <w:tab/>
        <w:t>Public Sector</w:t>
      </w:r>
    </w:p>
    <w:p w14:paraId="5F23BD7A" w14:textId="77777777" w:rsidR="003B62B5" w:rsidRDefault="003B62B5" w:rsidP="005F7E7A">
      <w:pPr>
        <w:keepNext/>
        <w:keepLines/>
        <w:rPr>
          <w:rFonts w:cs="Arial"/>
          <w:szCs w:val="22"/>
        </w:rPr>
      </w:pPr>
    </w:p>
    <w:p w14:paraId="7643569B" w14:textId="77777777" w:rsidR="00935C58" w:rsidRPr="003B62B5" w:rsidRDefault="00935C58" w:rsidP="005F7E7A">
      <w:pPr>
        <w:keepNext/>
        <w:keepLines/>
        <w:numPr>
          <w:ilvl w:val="0"/>
          <w:numId w:val="22"/>
        </w:numPr>
        <w:rPr>
          <w:rFonts w:cs="Arial"/>
          <w:szCs w:val="22"/>
        </w:rPr>
      </w:pPr>
      <w:r w:rsidRPr="003B62B5">
        <w:rPr>
          <w:rFonts w:cs="Arial"/>
          <w:szCs w:val="22"/>
        </w:rPr>
        <w:t>Program offerings for Public Sector customers will continue as status quo for 2019. Per the solicitation schedule we anticipate signing a contract at the end of 2019 with an implementer for this market and will start spending against this contract in 2020.</w:t>
      </w:r>
    </w:p>
    <w:p w14:paraId="708BBB42" w14:textId="77777777" w:rsidR="00935C58" w:rsidRDefault="00935C58" w:rsidP="003B62B5">
      <w:pPr>
        <w:pStyle w:val="Heading3"/>
      </w:pPr>
    </w:p>
    <w:p w14:paraId="7DCC3FBB" w14:textId="5646ADF0" w:rsidR="003B62B5" w:rsidRDefault="003B62B5" w:rsidP="003B62B5">
      <w:pPr>
        <w:pStyle w:val="Heading3"/>
      </w:pPr>
      <w:r>
        <w:t>1.</w:t>
      </w:r>
      <w:r>
        <w:tab/>
        <w:t>Educational Institutions</w:t>
      </w:r>
    </w:p>
    <w:p w14:paraId="3639CEED" w14:textId="77777777" w:rsidR="003B62B5" w:rsidRPr="003B62B5" w:rsidRDefault="003B62B5" w:rsidP="003B62B5"/>
    <w:p w14:paraId="0C9BBF96" w14:textId="30D1DB06" w:rsidR="00000000" w:rsidRPr="003B62B5" w:rsidRDefault="00335C77" w:rsidP="003B62B5">
      <w:pPr>
        <w:numPr>
          <w:ilvl w:val="0"/>
          <w:numId w:val="21"/>
        </w:numPr>
        <w:rPr>
          <w:rFonts w:cs="Arial"/>
          <w:szCs w:val="22"/>
        </w:rPr>
      </w:pPr>
      <w:r w:rsidRPr="003B62B5">
        <w:rPr>
          <w:rFonts w:cs="Arial"/>
          <w:szCs w:val="22"/>
        </w:rPr>
        <w:t>Focus on subsectors: K-12, federal, state, local public agencies and local government partnerships</w:t>
      </w:r>
    </w:p>
    <w:p w14:paraId="4E118401" w14:textId="0C0B0E75" w:rsidR="00000000" w:rsidRDefault="00335C77" w:rsidP="003B62B5">
      <w:pPr>
        <w:numPr>
          <w:ilvl w:val="0"/>
          <w:numId w:val="21"/>
        </w:numPr>
        <w:rPr>
          <w:rFonts w:cs="Arial"/>
          <w:szCs w:val="22"/>
        </w:rPr>
      </w:pPr>
      <w:r w:rsidRPr="003B62B5">
        <w:rPr>
          <w:rFonts w:cs="Arial"/>
          <w:szCs w:val="22"/>
        </w:rPr>
        <w:t>As stated in the Commercial Sector, the forecasted savings for this sector is based on previous performance when the public</w:t>
      </w:r>
      <w:r w:rsidRPr="003B62B5">
        <w:rPr>
          <w:rFonts w:cs="Arial"/>
          <w:szCs w:val="22"/>
        </w:rPr>
        <w:t xml:space="preserve"> sector was classified under the commercial sector.</w:t>
      </w:r>
    </w:p>
    <w:p w14:paraId="15C86ADA" w14:textId="77777777" w:rsidR="003B62B5" w:rsidRPr="003B62B5" w:rsidRDefault="003B62B5" w:rsidP="003B62B5">
      <w:pPr>
        <w:numPr>
          <w:ilvl w:val="0"/>
          <w:numId w:val="21"/>
        </w:numPr>
        <w:rPr>
          <w:rFonts w:cs="Arial"/>
          <w:szCs w:val="22"/>
          <w:u w:val="single"/>
        </w:rPr>
      </w:pPr>
      <w:r w:rsidRPr="003B62B5">
        <w:rPr>
          <w:rFonts w:cs="Arial"/>
          <w:szCs w:val="22"/>
          <w:u w:val="single"/>
        </w:rPr>
        <w:t>For K-12 and CCC, Prop 39 is sunsetting so momentum on EE upgrades may start slowing down.</w:t>
      </w:r>
    </w:p>
    <w:p w14:paraId="1885D147" w14:textId="77777777" w:rsidR="003B62B5" w:rsidRPr="003B62B5" w:rsidRDefault="003B62B5" w:rsidP="003B62B5">
      <w:pPr>
        <w:ind w:left="360"/>
        <w:rPr>
          <w:rFonts w:cs="Arial"/>
          <w:szCs w:val="22"/>
        </w:rPr>
      </w:pPr>
    </w:p>
    <w:p w14:paraId="11020224" w14:textId="19AD5066" w:rsidR="00000000" w:rsidRDefault="003B62B5" w:rsidP="003B62B5">
      <w:pPr>
        <w:pStyle w:val="Heading3"/>
      </w:pPr>
      <w:r>
        <w:t>2.</w:t>
      </w:r>
      <w:r>
        <w:tab/>
      </w:r>
      <w:r w:rsidR="00423437">
        <w:t>Local Government Partnerships</w:t>
      </w:r>
    </w:p>
    <w:p w14:paraId="708DA3EA" w14:textId="77777777" w:rsidR="00423437" w:rsidRPr="00423437" w:rsidRDefault="00423437" w:rsidP="00423437"/>
    <w:p w14:paraId="1518E883" w14:textId="77777777" w:rsidR="00000000" w:rsidRPr="003B62B5" w:rsidRDefault="00335C77" w:rsidP="003B62B5">
      <w:pPr>
        <w:numPr>
          <w:ilvl w:val="0"/>
          <w:numId w:val="21"/>
        </w:numPr>
        <w:rPr>
          <w:rFonts w:cs="Arial"/>
          <w:szCs w:val="22"/>
        </w:rPr>
      </w:pPr>
      <w:r w:rsidRPr="003B62B5">
        <w:rPr>
          <w:rFonts w:cs="Arial"/>
          <w:szCs w:val="22"/>
        </w:rPr>
        <w:t xml:space="preserve">Current LGPs are currently operating under their existing contracts.  </w:t>
      </w:r>
    </w:p>
    <w:p w14:paraId="779C9D5D" w14:textId="77777777" w:rsidR="00000000" w:rsidRPr="003B62B5" w:rsidRDefault="00335C77" w:rsidP="003B62B5">
      <w:pPr>
        <w:numPr>
          <w:ilvl w:val="0"/>
          <w:numId w:val="21"/>
        </w:numPr>
        <w:rPr>
          <w:rFonts w:cs="Arial"/>
          <w:szCs w:val="22"/>
        </w:rPr>
      </w:pPr>
      <w:r w:rsidRPr="003B62B5">
        <w:rPr>
          <w:rFonts w:cs="Arial"/>
          <w:szCs w:val="22"/>
        </w:rPr>
        <w:lastRenderedPageBreak/>
        <w:t>SDG&amp;E’s LGPs</w:t>
      </w:r>
      <w:r w:rsidRPr="003B62B5">
        <w:rPr>
          <w:rFonts w:cs="Arial"/>
          <w:szCs w:val="22"/>
        </w:rPr>
        <w:t xml:space="preserve"> are non-resource partnerships, as the savings installed for the partners are tracked and reported through SDG&amp;E’s deemed and custom programs. </w:t>
      </w:r>
    </w:p>
    <w:p w14:paraId="4E4DE654" w14:textId="77777777" w:rsidR="00000000" w:rsidRPr="003B62B5" w:rsidRDefault="00335C77" w:rsidP="003B62B5">
      <w:pPr>
        <w:numPr>
          <w:ilvl w:val="0"/>
          <w:numId w:val="21"/>
        </w:numPr>
        <w:rPr>
          <w:rFonts w:cs="Arial"/>
          <w:szCs w:val="22"/>
        </w:rPr>
      </w:pPr>
      <w:r w:rsidRPr="003B62B5">
        <w:rPr>
          <w:rFonts w:cs="Arial"/>
          <w:szCs w:val="22"/>
        </w:rPr>
        <w:t xml:space="preserve">SDG&amp;E expects that once the contracts expire, </w:t>
      </w:r>
      <w:r w:rsidRPr="003B62B5">
        <w:rPr>
          <w:rFonts w:cs="Arial"/>
          <w:szCs w:val="22"/>
        </w:rPr>
        <w:t>new contracts would follow the new LGP contracts with CPUC-approved standard and modifiable terms.</w:t>
      </w:r>
    </w:p>
    <w:p w14:paraId="2636550E" w14:textId="787A2DC0" w:rsidR="00C06AA2" w:rsidRDefault="00C06AA2" w:rsidP="008F5F98">
      <w:pPr>
        <w:rPr>
          <w:rFonts w:cs="Arial"/>
          <w:szCs w:val="22"/>
        </w:rPr>
      </w:pPr>
    </w:p>
    <w:p w14:paraId="3E044169" w14:textId="23F2EA8D" w:rsidR="00000000" w:rsidRPr="003B62B5" w:rsidRDefault="00935C58" w:rsidP="00935C58">
      <w:pPr>
        <w:pStyle w:val="Heading3"/>
      </w:pPr>
      <w:r>
        <w:t>3.</w:t>
      </w:r>
      <w:r>
        <w:tab/>
      </w:r>
      <w:r w:rsidR="00335C77" w:rsidRPr="003B62B5">
        <w:t xml:space="preserve">Federal Government: </w:t>
      </w:r>
    </w:p>
    <w:p w14:paraId="444E353C" w14:textId="77777777" w:rsidR="00000000" w:rsidRPr="003B62B5" w:rsidRDefault="00335C77" w:rsidP="00935C58">
      <w:pPr>
        <w:numPr>
          <w:ilvl w:val="0"/>
          <w:numId w:val="22"/>
        </w:numPr>
        <w:rPr>
          <w:rFonts w:cs="Arial"/>
          <w:szCs w:val="22"/>
        </w:rPr>
      </w:pPr>
      <w:r w:rsidRPr="003B62B5">
        <w:rPr>
          <w:rFonts w:cs="Arial"/>
          <w:szCs w:val="22"/>
        </w:rPr>
        <w:t>The last few years have seen lower participation from the military bases since there are many vacanci</w:t>
      </w:r>
      <w:r w:rsidRPr="003B62B5">
        <w:rPr>
          <w:rFonts w:cs="Arial"/>
          <w:szCs w:val="22"/>
        </w:rPr>
        <w:t>es at decision-making levels for project engagement and support.</w:t>
      </w:r>
    </w:p>
    <w:p w14:paraId="075D09BB" w14:textId="1632F582" w:rsidR="00000000" w:rsidRDefault="00335C77" w:rsidP="00935C58">
      <w:pPr>
        <w:numPr>
          <w:ilvl w:val="0"/>
          <w:numId w:val="22"/>
        </w:numPr>
        <w:rPr>
          <w:rFonts w:cs="Arial"/>
          <w:szCs w:val="22"/>
        </w:rPr>
      </w:pPr>
      <w:r w:rsidRPr="003B62B5">
        <w:rPr>
          <w:rFonts w:cs="Arial"/>
          <w:szCs w:val="22"/>
        </w:rPr>
        <w:t>These same vacancy-impacts are also seen in other areas such the post offices and other federal agencies.</w:t>
      </w:r>
    </w:p>
    <w:p w14:paraId="3C014B34" w14:textId="77777777" w:rsidR="00935C58" w:rsidRPr="003B62B5" w:rsidRDefault="00935C58" w:rsidP="00935C58">
      <w:pPr>
        <w:ind w:left="360"/>
        <w:rPr>
          <w:rFonts w:cs="Arial"/>
          <w:szCs w:val="22"/>
        </w:rPr>
      </w:pPr>
    </w:p>
    <w:p w14:paraId="174AF0A0" w14:textId="477D4D97" w:rsidR="00000000" w:rsidRPr="003B62B5" w:rsidRDefault="00935C58" w:rsidP="00935C58">
      <w:pPr>
        <w:pStyle w:val="Heading3"/>
      </w:pPr>
      <w:r>
        <w:t>4.</w:t>
      </w:r>
      <w:r>
        <w:tab/>
      </w:r>
      <w:r w:rsidR="00335C77" w:rsidRPr="003B62B5">
        <w:t>Tribal Nations:</w:t>
      </w:r>
    </w:p>
    <w:p w14:paraId="30FDEB9D" w14:textId="2F0B81EA" w:rsidR="00000000" w:rsidRDefault="00335C77" w:rsidP="00935C58">
      <w:pPr>
        <w:numPr>
          <w:ilvl w:val="0"/>
          <w:numId w:val="22"/>
        </w:numPr>
        <w:rPr>
          <w:rFonts w:cs="Arial"/>
          <w:szCs w:val="22"/>
        </w:rPr>
      </w:pPr>
      <w:r w:rsidRPr="003B62B5">
        <w:rPr>
          <w:rFonts w:cs="Arial"/>
          <w:szCs w:val="22"/>
        </w:rPr>
        <w:t>Good participation levels from the Tribal Nations in the areas of</w:t>
      </w:r>
      <w:r w:rsidRPr="003B62B5">
        <w:rPr>
          <w:rFonts w:cs="Arial"/>
          <w:szCs w:val="22"/>
        </w:rPr>
        <w:t xml:space="preserve"> new construction, retrofits (upgrades, maintenance, etc.)</w:t>
      </w:r>
    </w:p>
    <w:p w14:paraId="4E9B151B" w14:textId="77777777" w:rsidR="00935C58" w:rsidRPr="003B62B5" w:rsidRDefault="00935C58" w:rsidP="00935C58">
      <w:pPr>
        <w:ind w:left="360"/>
        <w:rPr>
          <w:rFonts w:cs="Arial"/>
          <w:szCs w:val="22"/>
        </w:rPr>
      </w:pPr>
    </w:p>
    <w:p w14:paraId="023A0A34" w14:textId="4D695E91" w:rsidR="003B62B5" w:rsidRDefault="001E2D64" w:rsidP="00F560C5">
      <w:pPr>
        <w:pStyle w:val="Heading2"/>
      </w:pPr>
      <w:r>
        <w:t>F.</w:t>
      </w:r>
      <w:r>
        <w:tab/>
      </w:r>
      <w:r w:rsidR="00F560C5">
        <w:t>Workforce Education &amp; Training (WE&amp;T)</w:t>
      </w:r>
    </w:p>
    <w:p w14:paraId="779145A7" w14:textId="77777777" w:rsidR="00F560C5" w:rsidRPr="00F560C5" w:rsidRDefault="00F560C5" w:rsidP="00F560C5"/>
    <w:p w14:paraId="608FB7D1" w14:textId="390E24FD" w:rsidR="00F560C5" w:rsidRDefault="00F560C5" w:rsidP="00F560C5">
      <w:pPr>
        <w:numPr>
          <w:ilvl w:val="0"/>
          <w:numId w:val="22"/>
        </w:numPr>
        <w:rPr>
          <w:rFonts w:cs="Arial"/>
          <w:szCs w:val="22"/>
        </w:rPr>
      </w:pPr>
      <w:r w:rsidRPr="00F560C5">
        <w:rPr>
          <w:rFonts w:cs="Arial"/>
          <w:szCs w:val="22"/>
        </w:rPr>
        <w:t xml:space="preserve">SDG&amp;E will continue to manage this program with non-SDG&amp;E support such as collaborations with other organizations that support different aspects </w:t>
      </w:r>
      <w:r w:rsidR="00335C77" w:rsidRPr="00F560C5">
        <w:rPr>
          <w:rFonts w:cs="Arial"/>
          <w:szCs w:val="22"/>
        </w:rPr>
        <w:t>of</w:t>
      </w:r>
      <w:r w:rsidRPr="00F560C5">
        <w:rPr>
          <w:rFonts w:cs="Arial"/>
          <w:szCs w:val="22"/>
        </w:rPr>
        <w:t xml:space="preserve"> WE&amp;T.</w:t>
      </w:r>
    </w:p>
    <w:p w14:paraId="5A0C213C" w14:textId="5B91A933" w:rsidR="00F560C5" w:rsidRDefault="00F560C5" w:rsidP="00F560C5">
      <w:pPr>
        <w:numPr>
          <w:ilvl w:val="0"/>
          <w:numId w:val="22"/>
        </w:numPr>
        <w:rPr>
          <w:rFonts w:cs="Arial"/>
          <w:szCs w:val="22"/>
        </w:rPr>
      </w:pPr>
      <w:r>
        <w:rPr>
          <w:rFonts w:cs="Arial"/>
          <w:szCs w:val="22"/>
        </w:rPr>
        <w:t xml:space="preserve"> WE&amp;T Integrated EE Training (formerly Centergies)</w:t>
      </w:r>
    </w:p>
    <w:p w14:paraId="72CB158C" w14:textId="77777777" w:rsidR="00000000" w:rsidRPr="004F61D4" w:rsidRDefault="00335C77" w:rsidP="004F61D4">
      <w:pPr>
        <w:numPr>
          <w:ilvl w:val="0"/>
          <w:numId w:val="22"/>
        </w:numPr>
        <w:rPr>
          <w:rFonts w:cs="Arial"/>
          <w:szCs w:val="22"/>
        </w:rPr>
      </w:pPr>
      <w:r w:rsidRPr="004F61D4">
        <w:rPr>
          <w:rFonts w:cs="Arial"/>
          <w:szCs w:val="22"/>
        </w:rPr>
        <w:t xml:space="preserve">Two subcomponents: Core Energy Education (CEE) and Technical Upskill </w:t>
      </w:r>
    </w:p>
    <w:p w14:paraId="7406825C" w14:textId="77777777" w:rsidR="00000000" w:rsidRPr="004F61D4" w:rsidRDefault="00335C77" w:rsidP="001E2D64">
      <w:pPr>
        <w:numPr>
          <w:ilvl w:val="1"/>
          <w:numId w:val="22"/>
        </w:numPr>
        <w:rPr>
          <w:rFonts w:cs="Arial"/>
          <w:szCs w:val="22"/>
        </w:rPr>
      </w:pPr>
      <w:r w:rsidRPr="004F61D4">
        <w:rPr>
          <w:rFonts w:cs="Arial"/>
          <w:szCs w:val="22"/>
        </w:rPr>
        <w:t>CEE will increase reach through an improved process with formal collaboration with community colleges, trade schools, and educational institutions.</w:t>
      </w:r>
    </w:p>
    <w:p w14:paraId="7E14EC0E" w14:textId="51A744BD" w:rsidR="004F61D4" w:rsidRDefault="00335C77" w:rsidP="001E2D64">
      <w:pPr>
        <w:numPr>
          <w:ilvl w:val="1"/>
          <w:numId w:val="22"/>
        </w:numPr>
        <w:rPr>
          <w:rFonts w:cs="Arial"/>
          <w:szCs w:val="22"/>
        </w:rPr>
      </w:pPr>
      <w:r w:rsidRPr="004F61D4">
        <w:rPr>
          <w:rFonts w:cs="Arial"/>
          <w:szCs w:val="22"/>
        </w:rPr>
        <w:t>Technical Upskill will deliver technical training, continuing education, and industry recognized certification to ensure a skilled workforce can implement quality energy savings projects</w:t>
      </w:r>
      <w:r w:rsidR="004F61D4">
        <w:rPr>
          <w:rFonts w:cs="Arial"/>
          <w:szCs w:val="22"/>
        </w:rPr>
        <w:t>.</w:t>
      </w:r>
    </w:p>
    <w:p w14:paraId="1904F914" w14:textId="75875BD1" w:rsidR="001E2D64" w:rsidRDefault="001E2D64" w:rsidP="00F976AC">
      <w:pPr>
        <w:pStyle w:val="Heading2"/>
        <w:keepLines/>
      </w:pPr>
    </w:p>
    <w:p w14:paraId="64DA5E21" w14:textId="63C56E85" w:rsidR="001E2D64" w:rsidRDefault="001E2D64" w:rsidP="00F976AC">
      <w:pPr>
        <w:pStyle w:val="Heading2"/>
        <w:keepLines/>
      </w:pPr>
      <w:r>
        <w:t>G.</w:t>
      </w:r>
      <w:r>
        <w:tab/>
        <w:t>Financing Programs</w:t>
      </w:r>
    </w:p>
    <w:p w14:paraId="282DC50D" w14:textId="77777777" w:rsidR="001E2D64" w:rsidRPr="001E2D64" w:rsidRDefault="001E2D64" w:rsidP="00F976AC">
      <w:pPr>
        <w:keepNext/>
        <w:keepLines/>
      </w:pPr>
    </w:p>
    <w:p w14:paraId="1B4CC257" w14:textId="7F2BDEC8" w:rsidR="00000000" w:rsidRPr="001E2D64" w:rsidRDefault="001E2D64" w:rsidP="00F976AC">
      <w:pPr>
        <w:pStyle w:val="Heading3"/>
        <w:keepLines/>
      </w:pPr>
      <w:r>
        <w:t>1.</w:t>
      </w:r>
      <w:r>
        <w:tab/>
      </w:r>
      <w:r w:rsidR="00335C77" w:rsidRPr="001E2D64">
        <w:t xml:space="preserve">On-Bill Financing: </w:t>
      </w:r>
    </w:p>
    <w:p w14:paraId="6AC8326F" w14:textId="77777777" w:rsidR="00000000" w:rsidRPr="001E2D64" w:rsidRDefault="00335C77" w:rsidP="001E2D64">
      <w:pPr>
        <w:numPr>
          <w:ilvl w:val="1"/>
          <w:numId w:val="27"/>
        </w:numPr>
        <w:rPr>
          <w:rFonts w:cs="Arial"/>
          <w:szCs w:val="22"/>
        </w:rPr>
      </w:pPr>
      <w:r w:rsidRPr="001E2D64">
        <w:rPr>
          <w:rFonts w:cs="Arial"/>
          <w:szCs w:val="22"/>
        </w:rPr>
        <w:t>Reduced non-incentive budget to allocate to other programs to improve portfolio cost-effectiveness</w:t>
      </w:r>
    </w:p>
    <w:p w14:paraId="1D43BA52" w14:textId="77777777" w:rsidR="00000000" w:rsidRPr="001E2D64" w:rsidRDefault="00335C77" w:rsidP="001E2D64">
      <w:pPr>
        <w:numPr>
          <w:ilvl w:val="1"/>
          <w:numId w:val="27"/>
        </w:numPr>
        <w:rPr>
          <w:rFonts w:cs="Arial"/>
          <w:szCs w:val="22"/>
        </w:rPr>
      </w:pPr>
      <w:r w:rsidRPr="001E2D64">
        <w:rPr>
          <w:rFonts w:cs="Arial"/>
          <w:szCs w:val="22"/>
        </w:rPr>
        <w:t>OBF is a local program that will be coordinated to support the SW financing pilots under CAEFTA’s administration.</w:t>
      </w:r>
    </w:p>
    <w:p w14:paraId="4A4FA824" w14:textId="77777777" w:rsidR="00000000" w:rsidRPr="001E2D64" w:rsidRDefault="00335C77" w:rsidP="001E2D64">
      <w:pPr>
        <w:numPr>
          <w:ilvl w:val="1"/>
          <w:numId w:val="27"/>
        </w:numPr>
        <w:rPr>
          <w:rFonts w:cs="Arial"/>
          <w:szCs w:val="22"/>
        </w:rPr>
      </w:pPr>
      <w:r w:rsidRPr="001E2D64">
        <w:rPr>
          <w:rFonts w:cs="Arial"/>
          <w:szCs w:val="22"/>
        </w:rPr>
        <w:t>With the increase in third party implementation (solicitati</w:t>
      </w:r>
      <w:r w:rsidRPr="001E2D64">
        <w:rPr>
          <w:rFonts w:cs="Arial"/>
          <w:szCs w:val="22"/>
        </w:rPr>
        <w:t>ons), SDG&amp;E will coordinate with third party implementers to continue to make OBF available to qualified program participants.</w:t>
      </w:r>
    </w:p>
    <w:p w14:paraId="6CF24A70" w14:textId="0AC11510" w:rsidR="00000000" w:rsidRPr="001E2D64" w:rsidRDefault="001E2D64" w:rsidP="001E2D64">
      <w:pPr>
        <w:pStyle w:val="Heading3"/>
      </w:pPr>
      <w:r>
        <w:t>2.</w:t>
      </w:r>
      <w:r>
        <w:tab/>
      </w:r>
      <w:r w:rsidR="00335C77" w:rsidRPr="001E2D64">
        <w:t>Statewide Financing Pilots</w:t>
      </w:r>
    </w:p>
    <w:p w14:paraId="261E90F7" w14:textId="77777777" w:rsidR="00000000" w:rsidRPr="001E2D64" w:rsidRDefault="00335C77" w:rsidP="001E2D64">
      <w:pPr>
        <w:numPr>
          <w:ilvl w:val="1"/>
          <w:numId w:val="27"/>
        </w:numPr>
        <w:rPr>
          <w:rFonts w:cs="Arial"/>
          <w:szCs w:val="22"/>
        </w:rPr>
      </w:pPr>
      <w:r w:rsidRPr="001E2D64">
        <w:rPr>
          <w:rFonts w:cs="Arial"/>
          <w:szCs w:val="22"/>
        </w:rPr>
        <w:t>Pilots are still part of the 2013-2014 EE program cycle and budgeted under that cycle</w:t>
      </w:r>
    </w:p>
    <w:p w14:paraId="7DAC2B51" w14:textId="50F05F47" w:rsidR="00000000" w:rsidRDefault="00335C77" w:rsidP="001E2D64">
      <w:pPr>
        <w:numPr>
          <w:ilvl w:val="1"/>
          <w:numId w:val="27"/>
        </w:numPr>
        <w:rPr>
          <w:rFonts w:cs="Arial"/>
          <w:szCs w:val="22"/>
        </w:rPr>
      </w:pPr>
      <w:r w:rsidRPr="001E2D64">
        <w:rPr>
          <w:rFonts w:cs="Arial"/>
          <w:szCs w:val="22"/>
        </w:rPr>
        <w:t>These pilots will be promoted within SDG&amp;E’s portfolio as applicable.</w:t>
      </w:r>
    </w:p>
    <w:p w14:paraId="3083F4A5" w14:textId="7B3486E5" w:rsidR="001E2D64" w:rsidRDefault="001E2D64" w:rsidP="001E2D64">
      <w:pPr>
        <w:rPr>
          <w:rFonts w:cs="Arial"/>
          <w:szCs w:val="22"/>
        </w:rPr>
      </w:pPr>
    </w:p>
    <w:p w14:paraId="2927FAD3" w14:textId="2F73170C" w:rsidR="001E2D64" w:rsidRDefault="00F9246A" w:rsidP="001E2D64">
      <w:pPr>
        <w:pStyle w:val="Heading2"/>
      </w:pPr>
      <w:r>
        <w:t>H.</w:t>
      </w:r>
      <w:r>
        <w:tab/>
      </w:r>
      <w:r w:rsidR="001E2D64">
        <w:t>Integrated Demand Side Management Programs</w:t>
      </w:r>
    </w:p>
    <w:p w14:paraId="168984CE" w14:textId="77777777" w:rsidR="001E2D64" w:rsidRPr="001E2D64" w:rsidRDefault="001E2D64" w:rsidP="001E2D64">
      <w:pPr>
        <w:rPr>
          <w:rFonts w:cs="Arial"/>
          <w:szCs w:val="22"/>
        </w:rPr>
      </w:pPr>
    </w:p>
    <w:p w14:paraId="576758DD" w14:textId="77777777" w:rsidR="00000000" w:rsidRPr="001E2D64" w:rsidRDefault="00335C77" w:rsidP="001E2D64">
      <w:pPr>
        <w:numPr>
          <w:ilvl w:val="0"/>
          <w:numId w:val="28"/>
        </w:numPr>
        <w:rPr>
          <w:rFonts w:cs="Arial"/>
          <w:szCs w:val="22"/>
        </w:rPr>
      </w:pPr>
      <w:r w:rsidRPr="001E2D64">
        <w:rPr>
          <w:rFonts w:cs="Arial"/>
          <w:szCs w:val="22"/>
        </w:rPr>
        <w:t>SDG&amp;E’s IDSM programs funded through IDSM Demand Response and EE portfolio.</w:t>
      </w:r>
    </w:p>
    <w:p w14:paraId="32C906AE" w14:textId="77777777" w:rsidR="00000000" w:rsidRPr="001E2D64" w:rsidRDefault="00335C77" w:rsidP="001E2D64">
      <w:pPr>
        <w:numPr>
          <w:ilvl w:val="0"/>
          <w:numId w:val="28"/>
        </w:numPr>
        <w:rPr>
          <w:rFonts w:cs="Arial"/>
          <w:szCs w:val="22"/>
        </w:rPr>
      </w:pPr>
      <w:r w:rsidRPr="001E2D64">
        <w:rPr>
          <w:rFonts w:cs="Arial"/>
          <w:szCs w:val="22"/>
        </w:rPr>
        <w:t>SDG&amp;E’s approved IDSM DR budget is $4.640 million</w:t>
      </w:r>
    </w:p>
    <w:p w14:paraId="6512065E" w14:textId="77777777" w:rsidR="00000000" w:rsidRPr="001E2D64" w:rsidRDefault="00335C77" w:rsidP="001E2D64">
      <w:pPr>
        <w:numPr>
          <w:ilvl w:val="0"/>
          <w:numId w:val="28"/>
        </w:numPr>
        <w:rPr>
          <w:rFonts w:cs="Arial"/>
          <w:szCs w:val="22"/>
        </w:rPr>
      </w:pPr>
      <w:r w:rsidRPr="001E2D64">
        <w:rPr>
          <w:rFonts w:cs="Arial"/>
          <w:szCs w:val="22"/>
        </w:rPr>
        <w:t xml:space="preserve">Commission requires </w:t>
      </w:r>
    </w:p>
    <w:p w14:paraId="7F8B3716" w14:textId="77777777" w:rsidR="00000000" w:rsidRPr="001E2D64" w:rsidRDefault="00335C77" w:rsidP="001E2D64">
      <w:pPr>
        <w:numPr>
          <w:ilvl w:val="1"/>
          <w:numId w:val="28"/>
        </w:numPr>
        <w:rPr>
          <w:rFonts w:cs="Arial"/>
          <w:szCs w:val="22"/>
        </w:rPr>
      </w:pPr>
      <w:r w:rsidRPr="001E2D64">
        <w:rPr>
          <w:rFonts w:cs="Arial"/>
          <w:szCs w:val="22"/>
        </w:rPr>
        <w:t xml:space="preserve">For the residential sector, the energy efficiency and demand response integration </w:t>
      </w:r>
      <w:r w:rsidRPr="001E2D64">
        <w:rPr>
          <w:rFonts w:cs="Arial"/>
          <w:szCs w:val="22"/>
        </w:rPr>
        <w:t xml:space="preserve">efforts should be focused, initially, on HVAC technologies and facilitating automatic response to new time-varying rates, possibly involving customer </w:t>
      </w:r>
      <w:r w:rsidRPr="001E2D64">
        <w:rPr>
          <w:rFonts w:cs="Arial"/>
          <w:szCs w:val="22"/>
        </w:rPr>
        <w:lastRenderedPageBreak/>
        <w:t>education on the rates and thermostats. Each IOU shall budget a minimum of $1,000,000 annually from its ID</w:t>
      </w:r>
      <w:r w:rsidRPr="001E2D64">
        <w:rPr>
          <w:rFonts w:cs="Arial"/>
          <w:szCs w:val="22"/>
        </w:rPr>
        <w:t>SM budget, to test and deploy such strategies in the residential sector.</w:t>
      </w:r>
    </w:p>
    <w:p w14:paraId="1ACD3943" w14:textId="77777777" w:rsidR="00000000" w:rsidRPr="001E2D64" w:rsidRDefault="00335C77" w:rsidP="001E2D64">
      <w:pPr>
        <w:numPr>
          <w:ilvl w:val="1"/>
          <w:numId w:val="28"/>
        </w:numPr>
        <w:rPr>
          <w:rFonts w:cs="Arial"/>
          <w:szCs w:val="22"/>
        </w:rPr>
      </w:pPr>
      <w:r w:rsidRPr="001E2D64">
        <w:rPr>
          <w:rFonts w:cs="Arial"/>
          <w:szCs w:val="22"/>
        </w:rPr>
        <w:t xml:space="preserve">For the non-residential sector, including small commercial customers, the energy </w:t>
      </w:r>
      <w:r w:rsidRPr="001E2D64">
        <w:rPr>
          <w:rFonts w:cs="Arial"/>
          <w:szCs w:val="22"/>
        </w:rPr>
        <w:t>efficiency and demand response integration efforts should be focused initially on HVAC and lighting controls. At least $20 million annually in IDSM funds shall be divided among the IOU PAs.</w:t>
      </w:r>
    </w:p>
    <w:p w14:paraId="4E1A72F7" w14:textId="1CF1529B" w:rsidR="00000000" w:rsidRDefault="00335C77" w:rsidP="001E2D64">
      <w:pPr>
        <w:numPr>
          <w:ilvl w:val="1"/>
          <w:numId w:val="28"/>
        </w:numPr>
        <w:rPr>
          <w:rFonts w:cs="Arial"/>
          <w:szCs w:val="22"/>
        </w:rPr>
      </w:pPr>
      <w:r w:rsidRPr="001E2D64">
        <w:rPr>
          <w:rFonts w:cs="Arial"/>
          <w:szCs w:val="22"/>
        </w:rPr>
        <w:t>Ensure participating customers are enrolled in a DR program.</w:t>
      </w:r>
    </w:p>
    <w:p w14:paraId="290C84DF" w14:textId="77777777" w:rsidR="00000000" w:rsidRPr="001E2D64" w:rsidRDefault="00335C77" w:rsidP="001E2D64">
      <w:pPr>
        <w:numPr>
          <w:ilvl w:val="0"/>
          <w:numId w:val="28"/>
        </w:numPr>
        <w:rPr>
          <w:rFonts w:cs="Arial"/>
          <w:szCs w:val="22"/>
        </w:rPr>
      </w:pPr>
      <w:r w:rsidRPr="001E2D64">
        <w:rPr>
          <w:rFonts w:cs="Arial"/>
          <w:szCs w:val="22"/>
        </w:rPr>
        <w:t>IDSM will be incorporated with the sectors, Residential and Commercial, an</w:t>
      </w:r>
      <w:r w:rsidRPr="001E2D64">
        <w:rPr>
          <w:rFonts w:cs="Arial"/>
          <w:szCs w:val="22"/>
        </w:rPr>
        <w:t>d will be included in the solicitations for these sectors.</w:t>
      </w:r>
    </w:p>
    <w:p w14:paraId="0B9D3B17" w14:textId="7090A3A2" w:rsidR="003B62B5" w:rsidRPr="001E2D64" w:rsidRDefault="00335C77" w:rsidP="006C1958">
      <w:pPr>
        <w:numPr>
          <w:ilvl w:val="0"/>
          <w:numId w:val="28"/>
        </w:numPr>
        <w:rPr>
          <w:rFonts w:cs="Arial"/>
          <w:szCs w:val="22"/>
        </w:rPr>
      </w:pPr>
      <w:r w:rsidRPr="001E2D64">
        <w:rPr>
          <w:rFonts w:cs="Arial"/>
          <w:szCs w:val="22"/>
        </w:rPr>
        <w:t>For 2019:  Will incorporate within the current third party contracts</w:t>
      </w:r>
      <w:r>
        <w:rPr>
          <w:rFonts w:cs="Arial"/>
          <w:szCs w:val="22"/>
        </w:rPr>
        <w:t>.</w:t>
      </w:r>
      <w:r w:rsidRPr="001E2D64">
        <w:rPr>
          <w:rFonts w:cs="Arial"/>
          <w:szCs w:val="22"/>
        </w:rPr>
        <w:t xml:space="preserve">  For example, IDSM will be incorporated into its Business Ene</w:t>
      </w:r>
      <w:r w:rsidRPr="001E2D64">
        <w:rPr>
          <w:rFonts w:cs="Arial"/>
          <w:szCs w:val="22"/>
        </w:rPr>
        <w:t xml:space="preserve">rgy Savings (BES) program the required HVAC/EMS/Lighting Controls integration. </w:t>
      </w:r>
    </w:p>
    <w:p w14:paraId="11C1F924" w14:textId="518A7C2B" w:rsidR="001E2D64" w:rsidRDefault="001E2D64" w:rsidP="008F5F98">
      <w:pPr>
        <w:rPr>
          <w:rFonts w:cs="Arial"/>
          <w:szCs w:val="22"/>
        </w:rPr>
      </w:pPr>
    </w:p>
    <w:p w14:paraId="48CA4EEB" w14:textId="585E217F" w:rsidR="00F9246A" w:rsidRDefault="00F9246A" w:rsidP="00F9246A">
      <w:pPr>
        <w:pStyle w:val="Heading2"/>
      </w:pPr>
      <w:r>
        <w:t>I.</w:t>
      </w:r>
      <w:r>
        <w:tab/>
      </w:r>
      <w:r w:rsidRPr="00F9246A">
        <w:t>SDG&amp;E Status of Statewide Programs</w:t>
      </w:r>
    </w:p>
    <w:p w14:paraId="2A4FF482" w14:textId="1D811661" w:rsidR="00F9246A" w:rsidRDefault="00F9246A" w:rsidP="008F5F98">
      <w:pPr>
        <w:rPr>
          <w:rFonts w:cs="Arial"/>
          <w:szCs w:val="22"/>
        </w:rPr>
      </w:pPr>
    </w:p>
    <w:p w14:paraId="7B574DFF" w14:textId="77777777" w:rsidR="00000000" w:rsidRPr="008D3140" w:rsidRDefault="00335C77" w:rsidP="008D3140">
      <w:pPr>
        <w:numPr>
          <w:ilvl w:val="0"/>
          <w:numId w:val="30"/>
        </w:numPr>
        <w:rPr>
          <w:rFonts w:cs="Arial"/>
          <w:szCs w:val="22"/>
        </w:rPr>
      </w:pPr>
      <w:r w:rsidRPr="008D3140">
        <w:rPr>
          <w:rFonts w:cs="Arial"/>
          <w:szCs w:val="22"/>
        </w:rPr>
        <w:t>Most Solicitations for SW programs will begin in 2019 and are not expected to be in implementation phase until 2020.</w:t>
      </w:r>
    </w:p>
    <w:p w14:paraId="5F582C8A" w14:textId="77777777" w:rsidR="00000000" w:rsidRPr="008D3140" w:rsidRDefault="00335C77" w:rsidP="008D3140">
      <w:pPr>
        <w:numPr>
          <w:ilvl w:val="0"/>
          <w:numId w:val="30"/>
        </w:numPr>
        <w:rPr>
          <w:rFonts w:cs="Arial"/>
          <w:szCs w:val="22"/>
        </w:rPr>
      </w:pPr>
      <w:r w:rsidRPr="008D3140">
        <w:rPr>
          <w:rFonts w:cs="Arial"/>
          <w:szCs w:val="22"/>
        </w:rPr>
        <w:t>SDG&amp;E SW program bu</w:t>
      </w:r>
      <w:r w:rsidRPr="008D3140">
        <w:rPr>
          <w:rFonts w:cs="Arial"/>
          <w:szCs w:val="22"/>
        </w:rPr>
        <w:t>dgets are forecasted to match current expected levels of performance prior to outsourcing to the SW programs.</w:t>
      </w:r>
    </w:p>
    <w:p w14:paraId="44A64E58" w14:textId="77777777" w:rsidR="008D3140" w:rsidRDefault="008D3140" w:rsidP="008D3140">
      <w:pPr>
        <w:pStyle w:val="Heading3"/>
      </w:pPr>
    </w:p>
    <w:p w14:paraId="54B1A28B" w14:textId="44266E55" w:rsidR="00000000" w:rsidRPr="008D3140" w:rsidRDefault="008D3140" w:rsidP="008D3140">
      <w:pPr>
        <w:pStyle w:val="Heading3"/>
      </w:pPr>
      <w:r>
        <w:t>1.</w:t>
      </w:r>
      <w:r>
        <w:tab/>
      </w:r>
      <w:r w:rsidR="00335C77" w:rsidRPr="008D3140">
        <w:t>Upstream Lighting (SDG&amp;E)</w:t>
      </w:r>
    </w:p>
    <w:p w14:paraId="3DB5845D" w14:textId="77777777" w:rsidR="00000000" w:rsidRPr="008D3140" w:rsidRDefault="00335C77" w:rsidP="008D3140">
      <w:pPr>
        <w:numPr>
          <w:ilvl w:val="1"/>
          <w:numId w:val="30"/>
        </w:numPr>
        <w:rPr>
          <w:rFonts w:cs="Arial"/>
          <w:szCs w:val="22"/>
        </w:rPr>
      </w:pPr>
      <w:r w:rsidRPr="008D3140">
        <w:rPr>
          <w:rFonts w:cs="Arial"/>
          <w:szCs w:val="22"/>
        </w:rPr>
        <w:t>SDG&amp;E program budget &amp; quantities have been reduced by approximately 20-30% from 2017 to 2018, and are forecast to be additionally reduced by approximately 20% from 2018 to 2019.</w:t>
      </w:r>
    </w:p>
    <w:p w14:paraId="77A3C3C4" w14:textId="6B36C39B" w:rsidR="00000000" w:rsidRDefault="00335C77" w:rsidP="008D3140">
      <w:pPr>
        <w:numPr>
          <w:ilvl w:val="1"/>
          <w:numId w:val="30"/>
        </w:numPr>
        <w:rPr>
          <w:rFonts w:cs="Arial"/>
          <w:szCs w:val="22"/>
        </w:rPr>
      </w:pPr>
      <w:r w:rsidRPr="008D3140">
        <w:rPr>
          <w:rFonts w:cs="Arial"/>
          <w:szCs w:val="22"/>
        </w:rPr>
        <w:t xml:space="preserve">Program offering types for Upstream Lighting will continue as status quo </w:t>
      </w:r>
      <w:r w:rsidR="00124426">
        <w:rPr>
          <w:rFonts w:cs="Arial"/>
          <w:szCs w:val="22"/>
        </w:rPr>
        <w:t xml:space="preserve">focused on three LED measure types </w:t>
      </w:r>
      <w:r w:rsidRPr="008D3140">
        <w:rPr>
          <w:rFonts w:cs="Arial"/>
          <w:szCs w:val="22"/>
        </w:rPr>
        <w:t xml:space="preserve">for 2019 but with reduced quantities and budget. Current program design expected to ramp down in 2020. </w:t>
      </w:r>
    </w:p>
    <w:p w14:paraId="2EFB0154" w14:textId="77777777" w:rsidR="00124426" w:rsidRPr="008D3140" w:rsidRDefault="00124426" w:rsidP="00124426">
      <w:pPr>
        <w:ind w:left="1080"/>
        <w:rPr>
          <w:rFonts w:cs="Arial"/>
          <w:szCs w:val="22"/>
        </w:rPr>
      </w:pPr>
    </w:p>
    <w:p w14:paraId="609A2A31" w14:textId="10E44C75" w:rsidR="00000000" w:rsidRPr="008D3140" w:rsidRDefault="008D3140" w:rsidP="008D3140">
      <w:pPr>
        <w:pStyle w:val="Heading3"/>
      </w:pPr>
      <w:r>
        <w:t>2.</w:t>
      </w:r>
      <w:r>
        <w:tab/>
      </w:r>
      <w:r w:rsidR="00335C77" w:rsidRPr="008D3140">
        <w:t xml:space="preserve">Residential </w:t>
      </w:r>
      <w:r w:rsidR="00335C77" w:rsidRPr="008D3140">
        <w:t>and Commercial Upstream/Midstream HVAC</w:t>
      </w:r>
    </w:p>
    <w:p w14:paraId="15517A89" w14:textId="77777777" w:rsidR="00000000" w:rsidRPr="008D3140" w:rsidRDefault="00335C77" w:rsidP="008D3140">
      <w:pPr>
        <w:numPr>
          <w:ilvl w:val="1"/>
          <w:numId w:val="30"/>
        </w:numPr>
        <w:rPr>
          <w:rFonts w:cs="Arial"/>
          <w:szCs w:val="22"/>
        </w:rPr>
      </w:pPr>
      <w:r w:rsidRPr="008D3140">
        <w:rPr>
          <w:rFonts w:cs="Arial"/>
          <w:szCs w:val="22"/>
        </w:rPr>
        <w:t>Measure development and measure mix optimization will continue to take place in 2019 with the goal of improving cost effectiveness and preparing for SW</w:t>
      </w:r>
      <w:r w:rsidRPr="008D3140">
        <w:rPr>
          <w:rFonts w:cs="Arial"/>
          <w:szCs w:val="22"/>
        </w:rPr>
        <w:t xml:space="preserve"> implementation in 2020.</w:t>
      </w:r>
    </w:p>
    <w:p w14:paraId="1D010603" w14:textId="77777777" w:rsidR="008D3140" w:rsidRPr="00194235" w:rsidRDefault="008D3140" w:rsidP="008F5F98">
      <w:pPr>
        <w:rPr>
          <w:rFonts w:cs="Arial"/>
          <w:szCs w:val="22"/>
        </w:rPr>
      </w:pPr>
    </w:p>
    <w:p w14:paraId="5CB12EC0" w14:textId="77777777" w:rsidR="007535B3" w:rsidRDefault="007535B3" w:rsidP="008F5F98">
      <w:pPr>
        <w:rPr>
          <w:rFonts w:cs="Arial"/>
          <w:b/>
          <w:szCs w:val="22"/>
          <w:u w:val="single"/>
        </w:rPr>
      </w:pPr>
      <w:r w:rsidRPr="007535B3">
        <w:rPr>
          <w:rFonts w:cs="Arial"/>
          <w:b/>
          <w:szCs w:val="22"/>
          <w:u w:val="single"/>
        </w:rPr>
        <w:t>EFFECTIVE DATE</w:t>
      </w:r>
    </w:p>
    <w:p w14:paraId="145B5478" w14:textId="77777777" w:rsidR="008F5F98" w:rsidRPr="007535B3" w:rsidRDefault="008F5F98" w:rsidP="008F5F98">
      <w:pPr>
        <w:rPr>
          <w:rFonts w:cs="Arial"/>
          <w:b/>
          <w:szCs w:val="22"/>
          <w:u w:val="single"/>
        </w:rPr>
      </w:pPr>
    </w:p>
    <w:p w14:paraId="0EC43578" w14:textId="48BC3F3A" w:rsidR="00A65618" w:rsidRDefault="00A65618" w:rsidP="00A65618">
      <w:pPr>
        <w:jc w:val="both"/>
        <w:rPr>
          <w:rFonts w:cs="Arial"/>
          <w:szCs w:val="22"/>
        </w:rPr>
      </w:pPr>
      <w:r w:rsidRPr="00A65618">
        <w:rPr>
          <w:rFonts w:cs="Arial"/>
          <w:szCs w:val="22"/>
        </w:rPr>
        <w:t>SDG&amp;E believes this filing is subject to Energy Division disposition and should be classified as Tier 2 (effective after staff approval) pursuant to GO 96-B</w:t>
      </w:r>
      <w:r w:rsidR="00F51D0E">
        <w:rPr>
          <w:rFonts w:cs="Arial"/>
          <w:szCs w:val="22"/>
        </w:rPr>
        <w:t xml:space="preserve"> and D.15-10-028 OP4</w:t>
      </w:r>
      <w:r w:rsidRPr="00A65618">
        <w:rPr>
          <w:rFonts w:cs="Arial"/>
          <w:szCs w:val="22"/>
        </w:rPr>
        <w:t xml:space="preserve">.  SDG&amp;E respectfully requests that this filing become effective on </w:t>
      </w:r>
      <w:r>
        <w:rPr>
          <w:rFonts w:cs="Arial"/>
          <w:szCs w:val="22"/>
        </w:rPr>
        <w:t xml:space="preserve">January </w:t>
      </w:r>
      <w:r w:rsidR="00F51D0E">
        <w:rPr>
          <w:rFonts w:cs="Arial"/>
          <w:szCs w:val="22"/>
        </w:rPr>
        <w:t>1</w:t>
      </w:r>
      <w:r>
        <w:rPr>
          <w:rFonts w:cs="Arial"/>
          <w:szCs w:val="22"/>
        </w:rPr>
        <w:t>, 201</w:t>
      </w:r>
      <w:r w:rsidR="00E43A6E">
        <w:rPr>
          <w:rFonts w:cs="Arial"/>
          <w:szCs w:val="22"/>
        </w:rPr>
        <w:t>9</w:t>
      </w:r>
      <w:r w:rsidRPr="00A65618">
        <w:rPr>
          <w:rFonts w:cs="Arial"/>
          <w:szCs w:val="22"/>
        </w:rPr>
        <w:t xml:space="preserve">, which is </w:t>
      </w:r>
      <w:r w:rsidR="00F51D0E">
        <w:rPr>
          <w:rFonts w:cs="Arial"/>
          <w:szCs w:val="22"/>
        </w:rPr>
        <w:t xml:space="preserve">more than </w:t>
      </w:r>
      <w:r w:rsidRPr="00A65618">
        <w:rPr>
          <w:rFonts w:cs="Arial"/>
          <w:szCs w:val="22"/>
        </w:rPr>
        <w:t>30 days f</w:t>
      </w:r>
      <w:r w:rsidR="00F51D0E">
        <w:rPr>
          <w:rFonts w:cs="Arial"/>
          <w:szCs w:val="22"/>
        </w:rPr>
        <w:t>rom the date filed.</w:t>
      </w:r>
    </w:p>
    <w:p w14:paraId="18440713" w14:textId="77777777" w:rsidR="00F51D0E" w:rsidRDefault="00F51D0E" w:rsidP="00A65618">
      <w:pPr>
        <w:jc w:val="both"/>
        <w:rPr>
          <w:rFonts w:cs="Arial"/>
          <w:szCs w:val="22"/>
        </w:rPr>
      </w:pPr>
    </w:p>
    <w:p w14:paraId="04D02C83" w14:textId="535700A5" w:rsidR="00F51D0E" w:rsidRDefault="00F51D0E" w:rsidP="00A65618">
      <w:pPr>
        <w:jc w:val="both"/>
        <w:rPr>
          <w:rFonts w:cs="Arial"/>
          <w:szCs w:val="22"/>
        </w:rPr>
      </w:pPr>
      <w:r>
        <w:rPr>
          <w:rFonts w:cs="Arial"/>
          <w:szCs w:val="22"/>
        </w:rPr>
        <w:t xml:space="preserve">In the event that this advice letter is not approved in time for January 1, </w:t>
      </w:r>
      <w:r w:rsidR="00B42D55">
        <w:rPr>
          <w:rFonts w:cs="Arial"/>
          <w:szCs w:val="22"/>
        </w:rPr>
        <w:t>201</w:t>
      </w:r>
      <w:r w:rsidR="00E43A6E">
        <w:rPr>
          <w:rFonts w:cs="Arial"/>
          <w:szCs w:val="22"/>
        </w:rPr>
        <w:t>9</w:t>
      </w:r>
      <w:r w:rsidR="00B42D55">
        <w:rPr>
          <w:rFonts w:cs="Arial"/>
          <w:szCs w:val="22"/>
        </w:rPr>
        <w:t xml:space="preserve"> </w:t>
      </w:r>
      <w:r>
        <w:rPr>
          <w:rFonts w:cs="Arial"/>
          <w:szCs w:val="22"/>
        </w:rPr>
        <w:t>implementation, D.15-10-028 OP</w:t>
      </w:r>
      <w:r w:rsidR="000152AC">
        <w:rPr>
          <w:rFonts w:cs="Arial"/>
          <w:szCs w:val="22"/>
        </w:rPr>
        <w:t xml:space="preserve"> </w:t>
      </w:r>
      <w:r>
        <w:rPr>
          <w:rFonts w:cs="Arial"/>
          <w:szCs w:val="22"/>
        </w:rPr>
        <w:t xml:space="preserve">5 provides for </w:t>
      </w:r>
      <w:r w:rsidR="00BD7D6E">
        <w:rPr>
          <w:rFonts w:cs="Arial"/>
          <w:szCs w:val="22"/>
        </w:rPr>
        <w:t>201</w:t>
      </w:r>
      <w:r w:rsidR="00E43A6E">
        <w:rPr>
          <w:rFonts w:cs="Arial"/>
          <w:szCs w:val="22"/>
        </w:rPr>
        <w:t>8</w:t>
      </w:r>
      <w:r w:rsidR="00BD7D6E">
        <w:rPr>
          <w:rFonts w:cs="Arial"/>
          <w:szCs w:val="22"/>
        </w:rPr>
        <w:t xml:space="preserve"> </w:t>
      </w:r>
      <w:r>
        <w:rPr>
          <w:rFonts w:cs="Arial"/>
          <w:szCs w:val="22"/>
        </w:rPr>
        <w:t>program continuation until such time as the advice letter is approved.</w:t>
      </w:r>
    </w:p>
    <w:p w14:paraId="4BC09188" w14:textId="77777777" w:rsidR="00E43A6E" w:rsidRDefault="00E43A6E" w:rsidP="00A65618">
      <w:pPr>
        <w:jc w:val="both"/>
        <w:rPr>
          <w:rFonts w:cs="Arial"/>
          <w:szCs w:val="22"/>
        </w:rPr>
      </w:pPr>
    </w:p>
    <w:p w14:paraId="41485171" w14:textId="77777777" w:rsidR="007535B3" w:rsidRPr="007535B3" w:rsidRDefault="007535B3" w:rsidP="008F5F98">
      <w:pPr>
        <w:autoSpaceDE w:val="0"/>
        <w:autoSpaceDN w:val="0"/>
        <w:adjustRightInd w:val="0"/>
        <w:rPr>
          <w:rFonts w:cs="Arial"/>
          <w:b/>
          <w:color w:val="000000"/>
          <w:szCs w:val="22"/>
          <w:u w:val="single"/>
        </w:rPr>
      </w:pPr>
      <w:r w:rsidRPr="007535B3">
        <w:rPr>
          <w:rFonts w:cs="Arial"/>
          <w:b/>
          <w:color w:val="000000"/>
          <w:szCs w:val="22"/>
          <w:u w:val="single"/>
        </w:rPr>
        <w:t>PROTEST</w:t>
      </w:r>
    </w:p>
    <w:p w14:paraId="0E692A34" w14:textId="77777777" w:rsidR="007535B3" w:rsidRDefault="007535B3" w:rsidP="008F5F98">
      <w:pPr>
        <w:autoSpaceDE w:val="0"/>
        <w:autoSpaceDN w:val="0"/>
        <w:adjustRightInd w:val="0"/>
        <w:rPr>
          <w:rFonts w:cs="Arial"/>
          <w:color w:val="000000"/>
          <w:szCs w:val="22"/>
        </w:rPr>
      </w:pPr>
    </w:p>
    <w:p w14:paraId="7384D1AC" w14:textId="1C59B285" w:rsidR="009D590D" w:rsidRPr="009D590D" w:rsidRDefault="009D590D" w:rsidP="009D590D">
      <w:pPr>
        <w:autoSpaceDE w:val="0"/>
        <w:autoSpaceDN w:val="0"/>
        <w:adjustRightInd w:val="0"/>
        <w:jc w:val="both"/>
        <w:rPr>
          <w:rFonts w:cs="Arial"/>
          <w:szCs w:val="22"/>
        </w:rPr>
      </w:pPr>
      <w:r w:rsidRPr="009D590D">
        <w:rPr>
          <w:rFonts w:cs="Arial"/>
          <w:szCs w:val="22"/>
        </w:rPr>
        <w:t xml:space="preserve">Anyone may protest this Advice Letter to the California Public Utilities Commission. The protest must state the grounds upon which it is based, including such items as financial and service impact, and should be submitted expeditiously. </w:t>
      </w:r>
      <w:r w:rsidRPr="00995B18">
        <w:rPr>
          <w:rFonts w:cs="Arial"/>
          <w:szCs w:val="22"/>
        </w:rPr>
        <w:t xml:space="preserve">The protest must be made in writing and must be </w:t>
      </w:r>
      <w:r w:rsidRPr="00995B18">
        <w:rPr>
          <w:rFonts w:cs="Arial"/>
          <w:szCs w:val="22"/>
        </w:rPr>
        <w:lastRenderedPageBreak/>
        <w:t xml:space="preserve">received no later than </w:t>
      </w:r>
      <w:r w:rsidR="001944E2" w:rsidRPr="00E43A6E">
        <w:rPr>
          <w:rFonts w:cs="Arial"/>
          <w:szCs w:val="22"/>
          <w:highlight w:val="yellow"/>
        </w:rPr>
        <w:t>September 2</w:t>
      </w:r>
      <w:r w:rsidR="00E43A6E">
        <w:rPr>
          <w:rFonts w:cs="Arial"/>
          <w:szCs w:val="22"/>
          <w:highlight w:val="yellow"/>
        </w:rPr>
        <w:t>5</w:t>
      </w:r>
      <w:r w:rsidR="004141E3" w:rsidRPr="00E43A6E">
        <w:rPr>
          <w:rFonts w:cs="Arial"/>
          <w:szCs w:val="22"/>
          <w:highlight w:val="yellow"/>
        </w:rPr>
        <w:t>,</w:t>
      </w:r>
      <w:r w:rsidRPr="00E43A6E">
        <w:rPr>
          <w:rFonts w:cs="Arial"/>
          <w:szCs w:val="22"/>
          <w:highlight w:val="yellow"/>
        </w:rPr>
        <w:t xml:space="preserve"> 201</w:t>
      </w:r>
      <w:r w:rsidR="00E43A6E">
        <w:rPr>
          <w:rFonts w:cs="Arial"/>
          <w:szCs w:val="22"/>
        </w:rPr>
        <w:t>8</w:t>
      </w:r>
      <w:r w:rsidRPr="00995B18">
        <w:rPr>
          <w:rFonts w:cs="Arial"/>
          <w:szCs w:val="22"/>
        </w:rPr>
        <w:t xml:space="preserve"> which is 20 days of the date this Advice Letter was filed with the Commission. There is no restriction on who may file a protest. The address for mailing or delivering a protest to the Commission</w:t>
      </w:r>
      <w:r w:rsidRPr="009D590D">
        <w:rPr>
          <w:rFonts w:cs="Arial"/>
          <w:szCs w:val="22"/>
        </w:rPr>
        <w:t xml:space="preserve"> is:</w:t>
      </w:r>
    </w:p>
    <w:p w14:paraId="496CA9F2" w14:textId="77777777" w:rsidR="009D590D" w:rsidRPr="009D590D" w:rsidRDefault="009D590D" w:rsidP="009D590D">
      <w:pPr>
        <w:autoSpaceDE w:val="0"/>
        <w:autoSpaceDN w:val="0"/>
        <w:adjustRightInd w:val="0"/>
        <w:jc w:val="both"/>
        <w:rPr>
          <w:rFonts w:cs="Arial"/>
          <w:szCs w:val="22"/>
        </w:rPr>
      </w:pPr>
    </w:p>
    <w:p w14:paraId="68C0897F" w14:textId="77777777" w:rsidR="009D590D" w:rsidRPr="009D590D" w:rsidRDefault="009D590D" w:rsidP="009D590D">
      <w:pPr>
        <w:autoSpaceDE w:val="0"/>
        <w:autoSpaceDN w:val="0"/>
        <w:adjustRightInd w:val="0"/>
        <w:ind w:left="720"/>
        <w:jc w:val="both"/>
        <w:rPr>
          <w:rFonts w:cs="Arial"/>
          <w:szCs w:val="22"/>
        </w:rPr>
      </w:pPr>
      <w:r w:rsidRPr="009D590D">
        <w:rPr>
          <w:rFonts w:cs="Arial"/>
          <w:szCs w:val="22"/>
        </w:rPr>
        <w:t>CPUC Energy Division</w:t>
      </w:r>
    </w:p>
    <w:p w14:paraId="3D67AC25" w14:textId="77777777" w:rsidR="009D590D" w:rsidRPr="009D590D" w:rsidRDefault="009D590D" w:rsidP="009D590D">
      <w:pPr>
        <w:autoSpaceDE w:val="0"/>
        <w:autoSpaceDN w:val="0"/>
        <w:adjustRightInd w:val="0"/>
        <w:ind w:left="720"/>
        <w:jc w:val="both"/>
        <w:rPr>
          <w:rFonts w:cs="Arial"/>
          <w:szCs w:val="22"/>
        </w:rPr>
      </w:pPr>
      <w:r w:rsidRPr="009D590D">
        <w:rPr>
          <w:rFonts w:cs="Arial"/>
          <w:szCs w:val="22"/>
        </w:rPr>
        <w:t>Attention: Tariff Unit</w:t>
      </w:r>
    </w:p>
    <w:p w14:paraId="4D43ED91" w14:textId="77777777" w:rsidR="009D590D" w:rsidRPr="009D590D" w:rsidRDefault="009D590D" w:rsidP="009D590D">
      <w:pPr>
        <w:autoSpaceDE w:val="0"/>
        <w:autoSpaceDN w:val="0"/>
        <w:adjustRightInd w:val="0"/>
        <w:ind w:left="720"/>
        <w:jc w:val="both"/>
        <w:rPr>
          <w:rFonts w:cs="Arial"/>
          <w:szCs w:val="22"/>
        </w:rPr>
      </w:pPr>
      <w:r w:rsidRPr="009D590D">
        <w:rPr>
          <w:rFonts w:cs="Arial"/>
          <w:szCs w:val="22"/>
        </w:rPr>
        <w:t>505 Van Ness Avenue</w:t>
      </w:r>
    </w:p>
    <w:p w14:paraId="41FDC39E" w14:textId="77777777" w:rsidR="009D590D" w:rsidRPr="009D590D" w:rsidRDefault="009D590D" w:rsidP="009D590D">
      <w:pPr>
        <w:autoSpaceDE w:val="0"/>
        <w:autoSpaceDN w:val="0"/>
        <w:adjustRightInd w:val="0"/>
        <w:ind w:left="720"/>
        <w:jc w:val="both"/>
        <w:rPr>
          <w:rFonts w:cs="Arial"/>
          <w:szCs w:val="22"/>
        </w:rPr>
      </w:pPr>
      <w:r w:rsidRPr="009D590D">
        <w:rPr>
          <w:rFonts w:cs="Arial"/>
          <w:szCs w:val="22"/>
        </w:rPr>
        <w:t>San Francisco, CA 94102</w:t>
      </w:r>
    </w:p>
    <w:p w14:paraId="3F466C79" w14:textId="77777777" w:rsidR="009D590D" w:rsidRPr="009D590D" w:rsidRDefault="009D590D" w:rsidP="009D590D">
      <w:pPr>
        <w:autoSpaceDE w:val="0"/>
        <w:autoSpaceDN w:val="0"/>
        <w:adjustRightInd w:val="0"/>
        <w:jc w:val="both"/>
        <w:rPr>
          <w:rFonts w:cs="Arial"/>
          <w:szCs w:val="22"/>
        </w:rPr>
      </w:pPr>
    </w:p>
    <w:p w14:paraId="0BBC4343" w14:textId="77777777" w:rsidR="009D590D" w:rsidRPr="009D590D" w:rsidRDefault="009D590D" w:rsidP="009D590D">
      <w:pPr>
        <w:autoSpaceDE w:val="0"/>
        <w:autoSpaceDN w:val="0"/>
        <w:adjustRightInd w:val="0"/>
        <w:jc w:val="both"/>
        <w:rPr>
          <w:rFonts w:cs="Arial"/>
          <w:szCs w:val="22"/>
        </w:rPr>
      </w:pPr>
      <w:r w:rsidRPr="009D590D">
        <w:rPr>
          <w:rFonts w:cs="Arial"/>
          <w:szCs w:val="22"/>
        </w:rPr>
        <w:t>Copies of the protest should also be sent via e-mail to the attention of the Energy Division at</w:t>
      </w:r>
      <w:r>
        <w:rPr>
          <w:rFonts w:cs="Arial"/>
          <w:szCs w:val="22"/>
        </w:rPr>
        <w:t xml:space="preserve"> </w:t>
      </w:r>
      <w:r w:rsidRPr="009D590D">
        <w:rPr>
          <w:rFonts w:cs="Arial"/>
          <w:szCs w:val="22"/>
        </w:rPr>
        <w:t>EDTariffUnit@cpuc.ca.gov. A copy of the protest should also be sent via both e-mail and</w:t>
      </w:r>
      <w:r>
        <w:rPr>
          <w:rFonts w:cs="Arial"/>
          <w:szCs w:val="22"/>
        </w:rPr>
        <w:t xml:space="preserve"> </w:t>
      </w:r>
      <w:r w:rsidRPr="009D590D">
        <w:rPr>
          <w:rFonts w:cs="Arial"/>
          <w:szCs w:val="22"/>
        </w:rPr>
        <w:t>facsimile to the address shown below on the same date it is mailed or delivered to the</w:t>
      </w:r>
      <w:r>
        <w:rPr>
          <w:rFonts w:cs="Arial"/>
          <w:szCs w:val="22"/>
        </w:rPr>
        <w:t xml:space="preserve"> </w:t>
      </w:r>
      <w:r w:rsidRPr="009D590D">
        <w:rPr>
          <w:rFonts w:cs="Arial"/>
          <w:szCs w:val="22"/>
        </w:rPr>
        <w:t>Commission.</w:t>
      </w:r>
    </w:p>
    <w:p w14:paraId="506D2AFE" w14:textId="77777777" w:rsidR="00C427A8" w:rsidRDefault="00C427A8" w:rsidP="009D590D">
      <w:pPr>
        <w:autoSpaceDE w:val="0"/>
        <w:autoSpaceDN w:val="0"/>
        <w:adjustRightInd w:val="0"/>
        <w:ind w:left="720"/>
        <w:rPr>
          <w:rFonts w:cs="Arial"/>
          <w:szCs w:val="22"/>
        </w:rPr>
      </w:pPr>
    </w:p>
    <w:p w14:paraId="07174152" w14:textId="77777777" w:rsidR="009D590D" w:rsidRPr="009D590D" w:rsidRDefault="009D590D" w:rsidP="009D590D">
      <w:pPr>
        <w:autoSpaceDE w:val="0"/>
        <w:autoSpaceDN w:val="0"/>
        <w:adjustRightInd w:val="0"/>
        <w:ind w:left="720"/>
        <w:rPr>
          <w:rFonts w:cs="Arial"/>
          <w:szCs w:val="22"/>
        </w:rPr>
      </w:pPr>
      <w:r w:rsidRPr="009D590D">
        <w:rPr>
          <w:rFonts w:cs="Arial"/>
          <w:szCs w:val="22"/>
        </w:rPr>
        <w:t>Attn: Megan Caulson</w:t>
      </w:r>
    </w:p>
    <w:p w14:paraId="2231A19C" w14:textId="77777777" w:rsidR="009D590D" w:rsidRPr="009D590D" w:rsidRDefault="009D590D" w:rsidP="009D590D">
      <w:pPr>
        <w:autoSpaceDE w:val="0"/>
        <w:autoSpaceDN w:val="0"/>
        <w:adjustRightInd w:val="0"/>
        <w:ind w:left="720"/>
        <w:rPr>
          <w:rFonts w:cs="Arial"/>
          <w:szCs w:val="22"/>
        </w:rPr>
      </w:pPr>
      <w:r w:rsidRPr="009D590D">
        <w:rPr>
          <w:rFonts w:cs="Arial"/>
          <w:szCs w:val="22"/>
        </w:rPr>
        <w:t>Regulatory Tariff Manager</w:t>
      </w:r>
    </w:p>
    <w:p w14:paraId="6511A7B3" w14:textId="77777777" w:rsidR="009D590D" w:rsidRDefault="009D590D" w:rsidP="009D590D">
      <w:pPr>
        <w:autoSpaceDE w:val="0"/>
        <w:autoSpaceDN w:val="0"/>
        <w:adjustRightInd w:val="0"/>
        <w:ind w:left="720"/>
        <w:rPr>
          <w:rFonts w:cs="Arial"/>
          <w:szCs w:val="22"/>
        </w:rPr>
      </w:pPr>
      <w:r w:rsidRPr="009D590D">
        <w:rPr>
          <w:rFonts w:cs="Arial"/>
          <w:szCs w:val="22"/>
        </w:rPr>
        <w:t xml:space="preserve">E-mail: </w:t>
      </w:r>
      <w:hyperlink r:id="rId14" w:history="1">
        <w:r w:rsidRPr="00AA5937">
          <w:rPr>
            <w:rStyle w:val="Hyperlink"/>
            <w:rFonts w:cs="Arial"/>
            <w:szCs w:val="22"/>
          </w:rPr>
          <w:t>mcaulson@semprautilities.com</w:t>
        </w:r>
      </w:hyperlink>
    </w:p>
    <w:p w14:paraId="715B698C" w14:textId="77777777" w:rsidR="009D590D" w:rsidRPr="009D590D" w:rsidRDefault="009D590D" w:rsidP="009D590D">
      <w:pPr>
        <w:autoSpaceDE w:val="0"/>
        <w:autoSpaceDN w:val="0"/>
        <w:adjustRightInd w:val="0"/>
        <w:ind w:left="720"/>
        <w:rPr>
          <w:rFonts w:cs="Arial"/>
          <w:szCs w:val="22"/>
        </w:rPr>
      </w:pPr>
    </w:p>
    <w:p w14:paraId="5AED12CC" w14:textId="77777777" w:rsidR="007535B3" w:rsidRPr="007535B3" w:rsidRDefault="007535B3" w:rsidP="009D590D">
      <w:pPr>
        <w:autoSpaceDE w:val="0"/>
        <w:autoSpaceDN w:val="0"/>
        <w:adjustRightInd w:val="0"/>
        <w:rPr>
          <w:rFonts w:cs="Arial"/>
          <w:b/>
          <w:color w:val="000000"/>
          <w:szCs w:val="22"/>
          <w:u w:val="single"/>
        </w:rPr>
      </w:pPr>
      <w:r w:rsidRPr="007535B3">
        <w:rPr>
          <w:rFonts w:cs="Arial"/>
          <w:b/>
          <w:color w:val="000000"/>
          <w:szCs w:val="22"/>
          <w:u w:val="single"/>
        </w:rPr>
        <w:t>NOTICE</w:t>
      </w:r>
    </w:p>
    <w:p w14:paraId="53F70E86" w14:textId="77777777" w:rsidR="007535B3" w:rsidRPr="007535B3" w:rsidRDefault="007535B3" w:rsidP="008F5F98">
      <w:pPr>
        <w:autoSpaceDE w:val="0"/>
        <w:autoSpaceDN w:val="0"/>
        <w:adjustRightInd w:val="0"/>
        <w:rPr>
          <w:rFonts w:cs="Arial"/>
          <w:b/>
          <w:color w:val="000000"/>
          <w:szCs w:val="22"/>
          <w:u w:val="single"/>
        </w:rPr>
      </w:pPr>
    </w:p>
    <w:p w14:paraId="47F51288" w14:textId="77777777" w:rsidR="007535B3" w:rsidRPr="007535B3" w:rsidRDefault="007535B3" w:rsidP="008F5F98">
      <w:pPr>
        <w:autoSpaceDE w:val="0"/>
        <w:autoSpaceDN w:val="0"/>
        <w:adjustRightInd w:val="0"/>
        <w:jc w:val="both"/>
        <w:rPr>
          <w:rFonts w:cs="Arial"/>
          <w:color w:val="000000"/>
          <w:szCs w:val="22"/>
        </w:rPr>
      </w:pPr>
      <w:r w:rsidRPr="007535B3">
        <w:rPr>
          <w:rFonts w:cs="Arial"/>
          <w:color w:val="000000"/>
          <w:szCs w:val="22"/>
        </w:rPr>
        <w:t>A</w:t>
      </w:r>
      <w:r w:rsidRPr="007535B3">
        <w:rPr>
          <w:rFonts w:cs="Arial"/>
          <w:color w:val="000000"/>
          <w:spacing w:val="54"/>
          <w:szCs w:val="22"/>
        </w:rPr>
        <w:t xml:space="preserve"> </w:t>
      </w:r>
      <w:r w:rsidRPr="007535B3">
        <w:rPr>
          <w:rFonts w:cs="Arial"/>
          <w:color w:val="000000"/>
          <w:szCs w:val="22"/>
        </w:rPr>
        <w:t>copy</w:t>
      </w:r>
      <w:r w:rsidRPr="007535B3">
        <w:rPr>
          <w:rFonts w:cs="Arial"/>
          <w:color w:val="000000"/>
          <w:spacing w:val="51"/>
          <w:szCs w:val="22"/>
        </w:rPr>
        <w:t xml:space="preserve"> </w:t>
      </w:r>
      <w:r w:rsidRPr="007535B3">
        <w:rPr>
          <w:rFonts w:cs="Arial"/>
          <w:color w:val="000000"/>
          <w:szCs w:val="22"/>
        </w:rPr>
        <w:t>of</w:t>
      </w:r>
      <w:r w:rsidRPr="007535B3">
        <w:rPr>
          <w:rFonts w:cs="Arial"/>
          <w:color w:val="000000"/>
          <w:spacing w:val="53"/>
          <w:szCs w:val="22"/>
        </w:rPr>
        <w:t xml:space="preserve"> </w:t>
      </w:r>
      <w:r w:rsidRPr="007535B3">
        <w:rPr>
          <w:rFonts w:cs="Arial"/>
          <w:color w:val="000000"/>
          <w:szCs w:val="22"/>
        </w:rPr>
        <w:t>this</w:t>
      </w:r>
      <w:r w:rsidRPr="007535B3">
        <w:rPr>
          <w:rFonts w:cs="Arial"/>
          <w:color w:val="000000"/>
          <w:spacing w:val="52"/>
          <w:szCs w:val="22"/>
        </w:rPr>
        <w:t xml:space="preserve"> </w:t>
      </w:r>
      <w:r w:rsidRPr="007535B3">
        <w:rPr>
          <w:rFonts w:cs="Arial"/>
          <w:color w:val="000000"/>
          <w:szCs w:val="22"/>
        </w:rPr>
        <w:t>filing</w:t>
      </w:r>
      <w:r w:rsidRPr="007535B3">
        <w:rPr>
          <w:rFonts w:cs="Arial"/>
          <w:color w:val="000000"/>
          <w:spacing w:val="51"/>
          <w:szCs w:val="22"/>
        </w:rPr>
        <w:t xml:space="preserve"> </w:t>
      </w:r>
      <w:r w:rsidRPr="007535B3">
        <w:rPr>
          <w:rFonts w:cs="Arial"/>
          <w:color w:val="000000"/>
          <w:szCs w:val="22"/>
        </w:rPr>
        <w:t>has</w:t>
      </w:r>
      <w:r w:rsidRPr="007535B3">
        <w:rPr>
          <w:rFonts w:cs="Arial"/>
          <w:color w:val="000000"/>
          <w:spacing w:val="52"/>
          <w:szCs w:val="22"/>
        </w:rPr>
        <w:t xml:space="preserve"> </w:t>
      </w:r>
      <w:r w:rsidRPr="007535B3">
        <w:rPr>
          <w:rFonts w:cs="Arial"/>
          <w:color w:val="000000"/>
          <w:szCs w:val="22"/>
        </w:rPr>
        <w:t>been</w:t>
      </w:r>
      <w:r w:rsidRPr="007535B3">
        <w:rPr>
          <w:rFonts w:cs="Arial"/>
          <w:color w:val="000000"/>
          <w:spacing w:val="50"/>
          <w:szCs w:val="22"/>
        </w:rPr>
        <w:t xml:space="preserve"> </w:t>
      </w:r>
      <w:r w:rsidRPr="007535B3">
        <w:rPr>
          <w:rFonts w:cs="Arial"/>
          <w:color w:val="000000"/>
          <w:szCs w:val="22"/>
        </w:rPr>
        <w:t>served</w:t>
      </w:r>
      <w:r w:rsidRPr="007535B3">
        <w:rPr>
          <w:rFonts w:cs="Arial"/>
          <w:color w:val="000000"/>
          <w:spacing w:val="49"/>
          <w:szCs w:val="22"/>
        </w:rPr>
        <w:t xml:space="preserve"> </w:t>
      </w:r>
      <w:r w:rsidRPr="007535B3">
        <w:rPr>
          <w:rFonts w:cs="Arial"/>
          <w:color w:val="000000"/>
          <w:szCs w:val="22"/>
        </w:rPr>
        <w:t>on</w:t>
      </w:r>
      <w:r w:rsidRPr="007535B3">
        <w:rPr>
          <w:rFonts w:cs="Arial"/>
          <w:color w:val="000000"/>
          <w:spacing w:val="53"/>
          <w:szCs w:val="22"/>
        </w:rPr>
        <w:t xml:space="preserve"> </w:t>
      </w:r>
      <w:r w:rsidRPr="007535B3">
        <w:rPr>
          <w:rFonts w:cs="Arial"/>
          <w:color w:val="000000"/>
          <w:szCs w:val="22"/>
        </w:rPr>
        <w:t>the</w:t>
      </w:r>
      <w:r w:rsidRPr="007535B3">
        <w:rPr>
          <w:rFonts w:cs="Arial"/>
          <w:color w:val="000000"/>
          <w:spacing w:val="52"/>
          <w:szCs w:val="22"/>
        </w:rPr>
        <w:t xml:space="preserve"> </w:t>
      </w:r>
      <w:r w:rsidRPr="007535B3">
        <w:rPr>
          <w:rFonts w:cs="Arial"/>
          <w:color w:val="000000"/>
          <w:szCs w:val="22"/>
        </w:rPr>
        <w:t>utilities</w:t>
      </w:r>
      <w:r w:rsidRPr="007535B3">
        <w:rPr>
          <w:rFonts w:cs="Arial"/>
          <w:color w:val="000000"/>
          <w:spacing w:val="48"/>
          <w:szCs w:val="22"/>
        </w:rPr>
        <w:t xml:space="preserve"> </w:t>
      </w:r>
      <w:r w:rsidRPr="007535B3">
        <w:rPr>
          <w:rFonts w:cs="Arial"/>
          <w:color w:val="000000"/>
          <w:szCs w:val="22"/>
        </w:rPr>
        <w:t>and</w:t>
      </w:r>
      <w:r w:rsidRPr="007535B3">
        <w:rPr>
          <w:rFonts w:cs="Arial"/>
          <w:color w:val="000000"/>
          <w:spacing w:val="50"/>
          <w:szCs w:val="22"/>
        </w:rPr>
        <w:t xml:space="preserve"> </w:t>
      </w:r>
      <w:r w:rsidRPr="007535B3">
        <w:rPr>
          <w:rFonts w:cs="Arial"/>
          <w:color w:val="000000"/>
          <w:szCs w:val="22"/>
        </w:rPr>
        <w:t>interested</w:t>
      </w:r>
      <w:r w:rsidRPr="007535B3">
        <w:rPr>
          <w:rFonts w:cs="Arial"/>
          <w:color w:val="000000"/>
          <w:spacing w:val="44"/>
          <w:szCs w:val="22"/>
        </w:rPr>
        <w:t xml:space="preserve"> </w:t>
      </w:r>
      <w:r w:rsidRPr="007535B3">
        <w:rPr>
          <w:rFonts w:cs="Arial"/>
          <w:color w:val="000000"/>
          <w:szCs w:val="22"/>
        </w:rPr>
        <w:t>parties</w:t>
      </w:r>
      <w:r w:rsidRPr="007535B3">
        <w:rPr>
          <w:rFonts w:cs="Arial"/>
          <w:color w:val="000000"/>
          <w:spacing w:val="48"/>
          <w:szCs w:val="22"/>
        </w:rPr>
        <w:t xml:space="preserve"> </w:t>
      </w:r>
      <w:r w:rsidRPr="007535B3">
        <w:rPr>
          <w:rFonts w:cs="Arial"/>
          <w:color w:val="000000"/>
          <w:szCs w:val="22"/>
        </w:rPr>
        <w:t>shown</w:t>
      </w:r>
      <w:r w:rsidRPr="007535B3">
        <w:rPr>
          <w:rFonts w:cs="Arial"/>
          <w:color w:val="000000"/>
          <w:spacing w:val="48"/>
          <w:szCs w:val="22"/>
        </w:rPr>
        <w:t xml:space="preserve"> </w:t>
      </w:r>
      <w:r w:rsidRPr="007535B3">
        <w:rPr>
          <w:rFonts w:cs="Arial"/>
          <w:color w:val="000000"/>
          <w:szCs w:val="22"/>
        </w:rPr>
        <w:t>on</w:t>
      </w:r>
      <w:r w:rsidRPr="007535B3">
        <w:rPr>
          <w:rFonts w:cs="Arial"/>
          <w:color w:val="000000"/>
          <w:spacing w:val="52"/>
          <w:szCs w:val="22"/>
        </w:rPr>
        <w:t xml:space="preserve"> </w:t>
      </w:r>
      <w:r w:rsidRPr="007535B3">
        <w:rPr>
          <w:rFonts w:cs="Arial"/>
          <w:color w:val="000000"/>
          <w:szCs w:val="22"/>
        </w:rPr>
        <w:t>the attached</w:t>
      </w:r>
      <w:r w:rsidRPr="007535B3">
        <w:rPr>
          <w:rFonts w:cs="Arial"/>
          <w:color w:val="000000"/>
          <w:spacing w:val="8"/>
          <w:szCs w:val="22"/>
        </w:rPr>
        <w:t xml:space="preserve"> </w:t>
      </w:r>
      <w:r w:rsidRPr="007535B3">
        <w:rPr>
          <w:rFonts w:cs="Arial"/>
          <w:color w:val="000000"/>
          <w:szCs w:val="22"/>
        </w:rPr>
        <w:t>list,</w:t>
      </w:r>
      <w:r w:rsidRPr="007535B3">
        <w:rPr>
          <w:rFonts w:cs="Arial"/>
          <w:color w:val="000000"/>
          <w:spacing w:val="13"/>
          <w:szCs w:val="22"/>
        </w:rPr>
        <w:t xml:space="preserve"> </w:t>
      </w:r>
      <w:r w:rsidRPr="007535B3">
        <w:rPr>
          <w:rFonts w:cs="Arial"/>
          <w:color w:val="000000"/>
          <w:szCs w:val="22"/>
        </w:rPr>
        <w:t>including</w:t>
      </w:r>
      <w:r w:rsidRPr="007535B3">
        <w:rPr>
          <w:rFonts w:cs="Arial"/>
          <w:color w:val="000000"/>
          <w:spacing w:val="7"/>
          <w:szCs w:val="22"/>
        </w:rPr>
        <w:t xml:space="preserve"> </w:t>
      </w:r>
      <w:r w:rsidRPr="007535B3">
        <w:rPr>
          <w:rFonts w:cs="Arial"/>
          <w:color w:val="000000"/>
          <w:szCs w:val="22"/>
        </w:rPr>
        <w:t>interested</w:t>
      </w:r>
      <w:r w:rsidRPr="007535B3">
        <w:rPr>
          <w:rFonts w:cs="Arial"/>
          <w:color w:val="000000"/>
          <w:spacing w:val="6"/>
          <w:szCs w:val="22"/>
        </w:rPr>
        <w:t xml:space="preserve"> </w:t>
      </w:r>
      <w:r w:rsidRPr="007535B3">
        <w:rPr>
          <w:rFonts w:cs="Arial"/>
          <w:color w:val="000000"/>
          <w:szCs w:val="22"/>
        </w:rPr>
        <w:t>parties</w:t>
      </w:r>
      <w:r w:rsidRPr="007535B3">
        <w:rPr>
          <w:rFonts w:cs="Arial"/>
          <w:color w:val="000000"/>
          <w:spacing w:val="9"/>
          <w:szCs w:val="22"/>
        </w:rPr>
        <w:t xml:space="preserve"> </w:t>
      </w:r>
      <w:r w:rsidRPr="007535B3">
        <w:rPr>
          <w:rFonts w:cs="Arial"/>
          <w:color w:val="000000"/>
          <w:szCs w:val="22"/>
        </w:rPr>
        <w:t>in</w:t>
      </w:r>
      <w:r w:rsidRPr="007535B3">
        <w:rPr>
          <w:rFonts w:cs="Arial"/>
          <w:color w:val="000000"/>
          <w:spacing w:val="14"/>
          <w:szCs w:val="22"/>
        </w:rPr>
        <w:t xml:space="preserve"> </w:t>
      </w:r>
      <w:r w:rsidR="005B674C">
        <w:rPr>
          <w:rFonts w:cs="Arial"/>
          <w:color w:val="000000"/>
          <w:szCs w:val="22"/>
        </w:rPr>
        <w:t>A.</w:t>
      </w:r>
      <w:r w:rsidR="007D6A1F">
        <w:rPr>
          <w:rFonts w:cs="Arial"/>
          <w:color w:val="000000"/>
          <w:szCs w:val="22"/>
        </w:rPr>
        <w:t>17-01-014</w:t>
      </w:r>
      <w:r w:rsidR="00A65618">
        <w:rPr>
          <w:rFonts w:cs="Arial"/>
          <w:color w:val="000000"/>
          <w:szCs w:val="22"/>
        </w:rPr>
        <w:t xml:space="preserve"> and R.13-11-005</w:t>
      </w:r>
      <w:r w:rsidR="005B674C">
        <w:rPr>
          <w:rFonts w:cs="Arial"/>
          <w:color w:val="000000"/>
          <w:szCs w:val="22"/>
        </w:rPr>
        <w:t>,</w:t>
      </w:r>
      <w:r w:rsidR="009D590D">
        <w:rPr>
          <w:rFonts w:cs="Arial"/>
          <w:color w:val="000000"/>
          <w:szCs w:val="22"/>
        </w:rPr>
        <w:t xml:space="preserve"> </w:t>
      </w:r>
      <w:r w:rsidRPr="007535B3">
        <w:rPr>
          <w:rFonts w:cs="Arial"/>
          <w:color w:val="000000"/>
          <w:szCs w:val="22"/>
        </w:rPr>
        <w:t>by</w:t>
      </w:r>
      <w:r w:rsidRPr="007535B3">
        <w:rPr>
          <w:rFonts w:cs="Arial"/>
          <w:color w:val="000000"/>
          <w:spacing w:val="13"/>
          <w:szCs w:val="22"/>
        </w:rPr>
        <w:t xml:space="preserve"> </w:t>
      </w:r>
      <w:r w:rsidRPr="007535B3">
        <w:rPr>
          <w:rFonts w:cs="Arial"/>
          <w:color w:val="000000"/>
          <w:szCs w:val="22"/>
        </w:rPr>
        <w:t>providing</w:t>
      </w:r>
      <w:r w:rsidRPr="007535B3">
        <w:rPr>
          <w:rFonts w:cs="Arial"/>
          <w:color w:val="000000"/>
          <w:spacing w:val="6"/>
          <w:szCs w:val="22"/>
        </w:rPr>
        <w:t xml:space="preserve"> </w:t>
      </w:r>
      <w:r w:rsidRPr="007535B3">
        <w:rPr>
          <w:rFonts w:cs="Arial"/>
          <w:color w:val="000000"/>
          <w:szCs w:val="22"/>
        </w:rPr>
        <w:t>them</w:t>
      </w:r>
      <w:r w:rsidRPr="007535B3">
        <w:rPr>
          <w:rFonts w:cs="Arial"/>
          <w:color w:val="000000"/>
          <w:spacing w:val="10"/>
          <w:szCs w:val="22"/>
        </w:rPr>
        <w:t xml:space="preserve"> </w:t>
      </w:r>
      <w:r w:rsidRPr="007535B3">
        <w:rPr>
          <w:rFonts w:cs="Arial"/>
          <w:color w:val="000000"/>
          <w:szCs w:val="22"/>
        </w:rPr>
        <w:t>a copy</w:t>
      </w:r>
      <w:r w:rsidRPr="007535B3">
        <w:rPr>
          <w:rFonts w:cs="Arial"/>
          <w:color w:val="000000"/>
          <w:spacing w:val="-5"/>
          <w:szCs w:val="22"/>
        </w:rPr>
        <w:t xml:space="preserve"> </w:t>
      </w:r>
      <w:r w:rsidRPr="007535B3">
        <w:rPr>
          <w:rFonts w:cs="Arial"/>
          <w:color w:val="000000"/>
          <w:szCs w:val="22"/>
        </w:rPr>
        <w:t>hereof</w:t>
      </w:r>
      <w:r w:rsidRPr="007535B3">
        <w:rPr>
          <w:rFonts w:cs="Arial"/>
          <w:color w:val="000000"/>
          <w:spacing w:val="-6"/>
          <w:szCs w:val="22"/>
        </w:rPr>
        <w:t xml:space="preserve"> </w:t>
      </w:r>
      <w:r w:rsidRPr="007535B3">
        <w:rPr>
          <w:rFonts w:cs="Arial"/>
          <w:color w:val="000000"/>
          <w:szCs w:val="22"/>
        </w:rPr>
        <w:t>either</w:t>
      </w:r>
      <w:r w:rsidRPr="007535B3">
        <w:rPr>
          <w:rFonts w:cs="Arial"/>
          <w:color w:val="000000"/>
          <w:spacing w:val="-5"/>
          <w:szCs w:val="22"/>
        </w:rPr>
        <w:t xml:space="preserve"> </w:t>
      </w:r>
      <w:r w:rsidRPr="007535B3">
        <w:rPr>
          <w:rFonts w:cs="Arial"/>
          <w:color w:val="000000"/>
          <w:szCs w:val="22"/>
        </w:rPr>
        <w:t>electronically</w:t>
      </w:r>
      <w:r w:rsidRPr="007535B3">
        <w:rPr>
          <w:rFonts w:cs="Arial"/>
          <w:color w:val="000000"/>
          <w:spacing w:val="-13"/>
          <w:szCs w:val="22"/>
        </w:rPr>
        <w:t xml:space="preserve"> </w:t>
      </w:r>
      <w:r w:rsidRPr="007535B3">
        <w:rPr>
          <w:rFonts w:cs="Arial"/>
          <w:color w:val="000000"/>
          <w:szCs w:val="22"/>
        </w:rPr>
        <w:t>or</w:t>
      </w:r>
      <w:r w:rsidRPr="007535B3">
        <w:rPr>
          <w:rFonts w:cs="Arial"/>
          <w:color w:val="000000"/>
          <w:spacing w:val="-2"/>
          <w:szCs w:val="22"/>
        </w:rPr>
        <w:t xml:space="preserve"> </w:t>
      </w:r>
      <w:r w:rsidRPr="007535B3">
        <w:rPr>
          <w:rFonts w:cs="Arial"/>
          <w:color w:val="000000"/>
          <w:szCs w:val="22"/>
        </w:rPr>
        <w:t>via</w:t>
      </w:r>
      <w:r w:rsidRPr="007535B3">
        <w:rPr>
          <w:rFonts w:cs="Arial"/>
          <w:color w:val="000000"/>
          <w:spacing w:val="-3"/>
          <w:szCs w:val="22"/>
        </w:rPr>
        <w:t xml:space="preserve"> </w:t>
      </w:r>
      <w:r w:rsidRPr="007535B3">
        <w:rPr>
          <w:rFonts w:cs="Arial"/>
          <w:color w:val="000000"/>
          <w:szCs w:val="22"/>
        </w:rPr>
        <w:t>the</w:t>
      </w:r>
      <w:r w:rsidRPr="007535B3">
        <w:rPr>
          <w:rFonts w:cs="Arial"/>
          <w:color w:val="000000"/>
          <w:spacing w:val="-3"/>
          <w:szCs w:val="22"/>
        </w:rPr>
        <w:t xml:space="preserve"> </w:t>
      </w:r>
      <w:r w:rsidRPr="007535B3">
        <w:rPr>
          <w:rFonts w:cs="Arial"/>
          <w:color w:val="000000"/>
          <w:szCs w:val="22"/>
        </w:rPr>
        <w:t>U.S.</w:t>
      </w:r>
      <w:r w:rsidRPr="007535B3">
        <w:rPr>
          <w:rFonts w:cs="Arial"/>
          <w:color w:val="000000"/>
          <w:spacing w:val="-4"/>
          <w:szCs w:val="22"/>
        </w:rPr>
        <w:t xml:space="preserve"> </w:t>
      </w:r>
      <w:r w:rsidRPr="007535B3">
        <w:rPr>
          <w:rFonts w:cs="Arial"/>
          <w:color w:val="000000"/>
          <w:szCs w:val="22"/>
        </w:rPr>
        <w:t>mail,</w:t>
      </w:r>
      <w:r w:rsidRPr="007535B3">
        <w:rPr>
          <w:rFonts w:cs="Arial"/>
          <w:color w:val="000000"/>
          <w:spacing w:val="-5"/>
          <w:szCs w:val="22"/>
        </w:rPr>
        <w:t xml:space="preserve"> </w:t>
      </w:r>
      <w:r w:rsidRPr="007535B3">
        <w:rPr>
          <w:rFonts w:cs="Arial"/>
          <w:color w:val="000000"/>
          <w:szCs w:val="22"/>
        </w:rPr>
        <w:t>properly</w:t>
      </w:r>
      <w:r w:rsidRPr="007535B3">
        <w:rPr>
          <w:rFonts w:cs="Arial"/>
          <w:color w:val="000000"/>
          <w:spacing w:val="-8"/>
          <w:szCs w:val="22"/>
        </w:rPr>
        <w:t xml:space="preserve"> </w:t>
      </w:r>
      <w:r w:rsidRPr="007535B3">
        <w:rPr>
          <w:rFonts w:cs="Arial"/>
          <w:color w:val="000000"/>
          <w:szCs w:val="22"/>
        </w:rPr>
        <w:t>stamped</w:t>
      </w:r>
      <w:r w:rsidRPr="007535B3">
        <w:rPr>
          <w:rFonts w:cs="Arial"/>
          <w:color w:val="000000"/>
          <w:spacing w:val="-8"/>
          <w:szCs w:val="22"/>
        </w:rPr>
        <w:t xml:space="preserve"> </w:t>
      </w:r>
      <w:r w:rsidRPr="007535B3">
        <w:rPr>
          <w:rFonts w:cs="Arial"/>
          <w:color w:val="000000"/>
          <w:szCs w:val="22"/>
        </w:rPr>
        <w:t>and</w:t>
      </w:r>
      <w:r w:rsidRPr="007535B3">
        <w:rPr>
          <w:rFonts w:cs="Arial"/>
          <w:color w:val="000000"/>
          <w:spacing w:val="-4"/>
          <w:szCs w:val="22"/>
        </w:rPr>
        <w:t xml:space="preserve"> </w:t>
      </w:r>
      <w:r w:rsidRPr="007535B3">
        <w:rPr>
          <w:rFonts w:cs="Arial"/>
          <w:color w:val="000000"/>
          <w:szCs w:val="22"/>
        </w:rPr>
        <w:t>addressed.</w:t>
      </w:r>
      <w:r w:rsidR="005B674C">
        <w:rPr>
          <w:rFonts w:cs="Arial"/>
          <w:color w:val="000000"/>
          <w:szCs w:val="22"/>
        </w:rPr>
        <w:t xml:space="preserve">  </w:t>
      </w:r>
      <w:r w:rsidRPr="007535B3">
        <w:rPr>
          <w:rFonts w:cs="Arial"/>
          <w:color w:val="000000"/>
          <w:szCs w:val="22"/>
        </w:rPr>
        <w:t>Address</w:t>
      </w:r>
      <w:r w:rsidRPr="007535B3">
        <w:rPr>
          <w:rFonts w:cs="Arial"/>
          <w:color w:val="000000"/>
          <w:spacing w:val="-8"/>
          <w:szCs w:val="22"/>
        </w:rPr>
        <w:t xml:space="preserve"> </w:t>
      </w:r>
      <w:r w:rsidRPr="007535B3">
        <w:rPr>
          <w:rFonts w:cs="Arial"/>
          <w:color w:val="000000"/>
          <w:szCs w:val="22"/>
        </w:rPr>
        <w:t>changes</w:t>
      </w:r>
      <w:r w:rsidRPr="007535B3">
        <w:rPr>
          <w:rFonts w:cs="Arial"/>
          <w:color w:val="000000"/>
          <w:spacing w:val="-8"/>
          <w:szCs w:val="22"/>
        </w:rPr>
        <w:t xml:space="preserve"> </w:t>
      </w:r>
      <w:r w:rsidRPr="007535B3">
        <w:rPr>
          <w:rFonts w:cs="Arial"/>
          <w:color w:val="000000"/>
          <w:szCs w:val="22"/>
        </w:rPr>
        <w:t>should</w:t>
      </w:r>
      <w:r w:rsidRPr="007535B3">
        <w:rPr>
          <w:rFonts w:cs="Arial"/>
          <w:color w:val="000000"/>
          <w:spacing w:val="-6"/>
          <w:szCs w:val="22"/>
        </w:rPr>
        <w:t xml:space="preserve"> </w:t>
      </w:r>
      <w:r w:rsidRPr="007535B3">
        <w:rPr>
          <w:rFonts w:cs="Arial"/>
          <w:color w:val="000000"/>
          <w:szCs w:val="22"/>
        </w:rPr>
        <w:t>be</w:t>
      </w:r>
      <w:r w:rsidRPr="007535B3">
        <w:rPr>
          <w:rFonts w:cs="Arial"/>
          <w:color w:val="000000"/>
          <w:spacing w:val="-2"/>
          <w:szCs w:val="22"/>
        </w:rPr>
        <w:t xml:space="preserve"> </w:t>
      </w:r>
      <w:r w:rsidRPr="007535B3">
        <w:rPr>
          <w:rFonts w:cs="Arial"/>
          <w:color w:val="000000"/>
          <w:szCs w:val="22"/>
        </w:rPr>
        <w:t>directed</w:t>
      </w:r>
      <w:r w:rsidRPr="007535B3">
        <w:rPr>
          <w:rFonts w:cs="Arial"/>
          <w:color w:val="000000"/>
          <w:spacing w:val="-8"/>
          <w:szCs w:val="22"/>
        </w:rPr>
        <w:t xml:space="preserve"> </w:t>
      </w:r>
      <w:r w:rsidRPr="007535B3">
        <w:rPr>
          <w:rFonts w:cs="Arial"/>
          <w:color w:val="000000"/>
          <w:szCs w:val="22"/>
        </w:rPr>
        <w:t>to</w:t>
      </w:r>
      <w:r w:rsidRPr="007535B3">
        <w:rPr>
          <w:rFonts w:cs="Arial"/>
          <w:color w:val="000000"/>
          <w:spacing w:val="-2"/>
          <w:szCs w:val="22"/>
        </w:rPr>
        <w:t xml:space="preserve"> </w:t>
      </w:r>
      <w:r w:rsidRPr="007535B3">
        <w:rPr>
          <w:rFonts w:cs="Arial"/>
          <w:color w:val="000000"/>
          <w:szCs w:val="22"/>
        </w:rPr>
        <w:t>the</w:t>
      </w:r>
      <w:r w:rsidRPr="007535B3">
        <w:rPr>
          <w:rFonts w:cs="Arial"/>
          <w:color w:val="000000"/>
          <w:spacing w:val="-3"/>
          <w:szCs w:val="22"/>
        </w:rPr>
        <w:t xml:space="preserve"> </w:t>
      </w:r>
      <w:r w:rsidRPr="007535B3">
        <w:rPr>
          <w:rFonts w:cs="Arial"/>
          <w:color w:val="000000"/>
          <w:szCs w:val="22"/>
        </w:rPr>
        <w:t>emails</w:t>
      </w:r>
      <w:r w:rsidRPr="007535B3">
        <w:rPr>
          <w:rFonts w:cs="Arial"/>
          <w:color w:val="000000"/>
          <w:spacing w:val="-6"/>
          <w:szCs w:val="22"/>
        </w:rPr>
        <w:t xml:space="preserve"> </w:t>
      </w:r>
      <w:r w:rsidRPr="007535B3">
        <w:rPr>
          <w:rFonts w:cs="Arial"/>
          <w:color w:val="000000"/>
          <w:szCs w:val="22"/>
        </w:rPr>
        <w:t>or</w:t>
      </w:r>
      <w:r w:rsidRPr="007535B3">
        <w:rPr>
          <w:rFonts w:cs="Arial"/>
          <w:color w:val="000000"/>
          <w:spacing w:val="-2"/>
          <w:szCs w:val="22"/>
        </w:rPr>
        <w:t xml:space="preserve"> </w:t>
      </w:r>
      <w:r w:rsidRPr="007535B3">
        <w:rPr>
          <w:rFonts w:cs="Arial"/>
          <w:color w:val="000000"/>
          <w:szCs w:val="22"/>
        </w:rPr>
        <w:t>facsimile</w:t>
      </w:r>
      <w:r w:rsidRPr="007535B3">
        <w:rPr>
          <w:rFonts w:cs="Arial"/>
          <w:color w:val="000000"/>
          <w:spacing w:val="-9"/>
          <w:szCs w:val="22"/>
        </w:rPr>
        <w:t xml:space="preserve"> </w:t>
      </w:r>
      <w:r w:rsidRPr="007535B3">
        <w:rPr>
          <w:rFonts w:cs="Arial"/>
          <w:color w:val="000000"/>
          <w:szCs w:val="22"/>
        </w:rPr>
        <w:t>numbers</w:t>
      </w:r>
      <w:r w:rsidRPr="007535B3">
        <w:rPr>
          <w:rFonts w:cs="Arial"/>
          <w:color w:val="000000"/>
          <w:spacing w:val="-9"/>
          <w:szCs w:val="22"/>
        </w:rPr>
        <w:t xml:space="preserve"> </w:t>
      </w:r>
      <w:r w:rsidRPr="007535B3">
        <w:rPr>
          <w:rFonts w:cs="Arial"/>
          <w:color w:val="000000"/>
          <w:szCs w:val="22"/>
        </w:rPr>
        <w:t>above.</w:t>
      </w:r>
    </w:p>
    <w:p w14:paraId="1FD4BBCE" w14:textId="77777777" w:rsidR="007535B3" w:rsidRPr="007535B3" w:rsidRDefault="007535B3" w:rsidP="007535B3">
      <w:pPr>
        <w:autoSpaceDE w:val="0"/>
        <w:autoSpaceDN w:val="0"/>
        <w:adjustRightInd w:val="0"/>
        <w:ind w:right="1723"/>
        <w:jc w:val="both"/>
        <w:rPr>
          <w:rFonts w:cs="Arial"/>
          <w:color w:val="000000"/>
          <w:szCs w:val="22"/>
        </w:rPr>
      </w:pPr>
    </w:p>
    <w:p w14:paraId="3F35A3DB" w14:textId="77777777" w:rsidR="007535B3" w:rsidRPr="007535B3" w:rsidRDefault="007535B3" w:rsidP="007535B3">
      <w:pPr>
        <w:autoSpaceDE w:val="0"/>
        <w:autoSpaceDN w:val="0"/>
        <w:adjustRightInd w:val="0"/>
        <w:ind w:right="1723"/>
        <w:rPr>
          <w:rFonts w:cs="Arial"/>
          <w:color w:val="000000"/>
          <w:szCs w:val="22"/>
        </w:rPr>
      </w:pPr>
    </w:p>
    <w:p w14:paraId="07DBD01E" w14:textId="77777777" w:rsidR="007535B3" w:rsidRPr="007535B3" w:rsidRDefault="007535B3" w:rsidP="007535B3">
      <w:pPr>
        <w:autoSpaceDE w:val="0"/>
        <w:autoSpaceDN w:val="0"/>
        <w:adjustRightInd w:val="0"/>
        <w:rPr>
          <w:rFonts w:cs="Arial"/>
          <w:color w:val="000000"/>
          <w:szCs w:val="22"/>
        </w:rPr>
      </w:pPr>
      <w:r w:rsidRPr="007535B3">
        <w:rPr>
          <w:rFonts w:cs="Arial"/>
          <w:color w:val="000000"/>
          <w:szCs w:val="22"/>
        </w:rPr>
        <w:tab/>
      </w:r>
      <w:r w:rsidRPr="007535B3">
        <w:rPr>
          <w:rFonts w:cs="Arial"/>
          <w:color w:val="000000"/>
          <w:szCs w:val="22"/>
        </w:rPr>
        <w:tab/>
      </w:r>
      <w:r w:rsidRPr="007535B3">
        <w:rPr>
          <w:rFonts w:cs="Arial"/>
          <w:color w:val="000000"/>
          <w:szCs w:val="22"/>
        </w:rPr>
        <w:tab/>
      </w:r>
      <w:r w:rsidRPr="007535B3">
        <w:rPr>
          <w:rFonts w:cs="Arial"/>
          <w:color w:val="000000"/>
          <w:szCs w:val="22"/>
        </w:rPr>
        <w:tab/>
      </w:r>
      <w:r w:rsidRPr="007535B3">
        <w:rPr>
          <w:rFonts w:cs="Arial"/>
          <w:color w:val="000000"/>
          <w:szCs w:val="22"/>
        </w:rPr>
        <w:tab/>
      </w:r>
      <w:r w:rsidRPr="007535B3">
        <w:rPr>
          <w:rFonts w:cs="Arial"/>
          <w:color w:val="000000"/>
          <w:szCs w:val="22"/>
        </w:rPr>
        <w:tab/>
      </w:r>
      <w:r w:rsidRPr="007535B3">
        <w:rPr>
          <w:rFonts w:cs="Arial"/>
          <w:szCs w:val="22"/>
        </w:rPr>
        <w:t>_______________________________</w:t>
      </w:r>
    </w:p>
    <w:p w14:paraId="16CBD449" w14:textId="77777777" w:rsidR="007535B3" w:rsidRPr="007535B3" w:rsidRDefault="007535B3" w:rsidP="007535B3">
      <w:pPr>
        <w:tabs>
          <w:tab w:val="left" w:pos="4320"/>
        </w:tabs>
        <w:ind w:right="-14"/>
        <w:rPr>
          <w:rFonts w:cs="Arial"/>
          <w:szCs w:val="22"/>
        </w:rPr>
      </w:pPr>
      <w:r w:rsidRPr="007535B3">
        <w:rPr>
          <w:rFonts w:cs="Arial"/>
          <w:szCs w:val="22"/>
        </w:rPr>
        <w:tab/>
        <w:t>CLAY FABER</w:t>
      </w:r>
      <w:r w:rsidR="000152AC">
        <w:rPr>
          <w:rFonts w:cs="Arial"/>
          <w:szCs w:val="22"/>
        </w:rPr>
        <w:t xml:space="preserve"> </w:t>
      </w:r>
    </w:p>
    <w:p w14:paraId="249BAFA4" w14:textId="77777777" w:rsidR="007535B3" w:rsidRPr="007535B3" w:rsidRDefault="007535B3" w:rsidP="007535B3">
      <w:pPr>
        <w:tabs>
          <w:tab w:val="left" w:pos="4320"/>
        </w:tabs>
        <w:ind w:right="-14"/>
        <w:rPr>
          <w:rFonts w:cs="Arial"/>
          <w:szCs w:val="22"/>
        </w:rPr>
      </w:pPr>
      <w:r w:rsidRPr="007535B3">
        <w:rPr>
          <w:rFonts w:cs="Arial"/>
          <w:szCs w:val="22"/>
        </w:rPr>
        <w:tab/>
        <w:t xml:space="preserve">Director – </w:t>
      </w:r>
      <w:r w:rsidR="000152AC">
        <w:rPr>
          <w:rFonts w:cs="Arial"/>
          <w:szCs w:val="22"/>
        </w:rPr>
        <w:t>California &amp; Federal Regulatory</w:t>
      </w:r>
    </w:p>
    <w:p w14:paraId="03ADE61F" w14:textId="77777777" w:rsidR="007535B3" w:rsidRPr="006441E2" w:rsidRDefault="007535B3" w:rsidP="007535B3">
      <w:pPr>
        <w:rPr>
          <w:rFonts w:cs="Arial"/>
        </w:rPr>
      </w:pPr>
    </w:p>
    <w:sectPr w:rsidR="007535B3" w:rsidRPr="006441E2" w:rsidSect="00943D87">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806" w:right="1440" w:bottom="1296" w:left="1440" w:header="115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7BD6" w14:textId="77777777" w:rsidR="001E3854" w:rsidRDefault="001E3854">
      <w:pPr>
        <w:spacing w:line="20" w:lineRule="exact"/>
      </w:pPr>
    </w:p>
  </w:endnote>
  <w:endnote w:type="continuationSeparator" w:id="0">
    <w:p w14:paraId="1B040E7E" w14:textId="77777777" w:rsidR="001E3854" w:rsidRDefault="001E3854">
      <w:r>
        <w:t xml:space="preserve"> </w:t>
      </w:r>
    </w:p>
  </w:endnote>
  <w:endnote w:type="continuationNotice" w:id="1">
    <w:p w14:paraId="4DA8371C" w14:textId="77777777" w:rsidR="001E3854" w:rsidRDefault="001E38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Cambria Math"/>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3D22" w14:textId="77777777" w:rsidR="00E35DF5" w:rsidRDefault="00E35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6FFD" w14:textId="77777777" w:rsidR="009857D4" w:rsidRDefault="009857D4">
    <w:pPr>
      <w:pStyle w:val="Footer"/>
      <w:rPr>
        <w:sz w:val="16"/>
      </w:rPr>
    </w:pPr>
  </w:p>
  <w:p w14:paraId="667A0870" w14:textId="77777777" w:rsidR="009857D4" w:rsidRDefault="009857D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92B8" w14:textId="77777777" w:rsidR="00E35DF5" w:rsidRDefault="00E3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DAC55" w14:textId="77777777" w:rsidR="001E3854" w:rsidRDefault="001E3854">
      <w:r>
        <w:separator/>
      </w:r>
    </w:p>
  </w:footnote>
  <w:footnote w:type="continuationSeparator" w:id="0">
    <w:p w14:paraId="25AEE0F4" w14:textId="77777777" w:rsidR="001E3854" w:rsidRDefault="001E3854">
      <w:r>
        <w:continuationSeparator/>
      </w:r>
    </w:p>
  </w:footnote>
  <w:footnote w:type="continuationNotice" w:id="1">
    <w:p w14:paraId="22D02A1E" w14:textId="77777777" w:rsidR="001E3854" w:rsidRDefault="001E3854"/>
  </w:footnote>
  <w:footnote w:id="2">
    <w:p w14:paraId="73D8ED68" w14:textId="77777777" w:rsidR="009857D4" w:rsidRPr="000152AC" w:rsidRDefault="009857D4" w:rsidP="00930BC8">
      <w:pPr>
        <w:pStyle w:val="FootnoteText"/>
      </w:pPr>
      <w:r w:rsidRPr="000152AC">
        <w:rPr>
          <w:rStyle w:val="FootnoteReference"/>
        </w:rPr>
        <w:footnoteRef/>
      </w:r>
      <w:r w:rsidRPr="000152AC">
        <w:t xml:space="preserve"> CEDARS is available at </w:t>
      </w:r>
      <w:hyperlink r:id="rId1" w:history="1">
        <w:r w:rsidRPr="000152AC">
          <w:rPr>
            <w:rStyle w:val="Hyperlink"/>
          </w:rPr>
          <w:t>https://cedars.sound-data.com/</w:t>
        </w:r>
      </w:hyperlink>
      <w:r w:rsidRPr="000152AC">
        <w:t xml:space="preserve">. </w:t>
      </w:r>
    </w:p>
  </w:footnote>
  <w:footnote w:id="3">
    <w:p w14:paraId="4F91D0BE" w14:textId="4C67B3A2" w:rsidR="009857D4" w:rsidRDefault="009857D4">
      <w:pPr>
        <w:pStyle w:val="FootnoteText"/>
      </w:pPr>
      <w:r>
        <w:rPr>
          <w:rStyle w:val="FootnoteReference"/>
        </w:rPr>
        <w:footnoteRef/>
      </w:r>
      <w:r>
        <w:t xml:space="preserve"> The appendix is available at </w:t>
      </w:r>
      <w:hyperlink r:id="rId2" w:history="1">
        <w:r w:rsidRPr="00D435DC">
          <w:rPr>
            <w:rStyle w:val="Hyperlink"/>
          </w:rPr>
          <w:t>https://cedars.sound-data.com/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FE3D" w14:textId="77777777" w:rsidR="00E35DF5" w:rsidRDefault="00E35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5CA1" w14:textId="03E664F2" w:rsidR="009857D4" w:rsidRDefault="00F560BA">
    <w:pPr>
      <w:pStyle w:val="Header"/>
      <w:tabs>
        <w:tab w:val="clear" w:pos="4320"/>
        <w:tab w:val="clear" w:pos="8640"/>
        <w:tab w:val="center" w:pos="4770"/>
        <w:tab w:val="right" w:pos="9360"/>
      </w:tabs>
      <w:ind w:right="630"/>
      <w:rPr>
        <w:rStyle w:val="PageNumber"/>
        <w:bCs/>
      </w:rPr>
    </w:pPr>
    <w:sdt>
      <w:sdtPr>
        <w:rPr>
          <w:bCs/>
        </w:rPr>
        <w:id w:val="1081412708"/>
        <w:docPartObj>
          <w:docPartGallery w:val="Watermarks"/>
          <w:docPartUnique/>
        </w:docPartObj>
      </w:sdtPr>
      <w:sdtContent>
        <w:r w:rsidRPr="00F560BA">
          <w:rPr>
            <w:bCs/>
            <w:noProof/>
          </w:rPr>
          <w:pict w14:anchorId="3385F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2"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57D4">
      <w:rPr>
        <w:noProof/>
      </w:rPr>
      <mc:AlternateContent>
        <mc:Choice Requires="wps">
          <w:drawing>
            <wp:anchor distT="0" distB="0" distL="114300" distR="114300" simplePos="0" relativeHeight="251657728" behindDoc="0" locked="0" layoutInCell="1" allowOverlap="1" wp14:anchorId="02A5D6C7" wp14:editId="2F2D31B6">
              <wp:simplePos x="0" y="0"/>
              <wp:positionH relativeFrom="margin">
                <wp:posOffset>6177280</wp:posOffset>
              </wp:positionH>
              <wp:positionV relativeFrom="margin">
                <wp:posOffset>-795020</wp:posOffset>
              </wp:positionV>
              <wp:extent cx="272415" cy="26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ABE9D" w14:textId="77777777" w:rsidR="009857D4" w:rsidRDefault="009857D4" w:rsidP="00C5284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2A5D6C7" id="_x0000_t202" coordsize="21600,21600" o:spt="202" path="m,l,21600r21600,l21600,xe">
              <v:stroke joinstyle="miter"/>
              <v:path gradientshapeok="t" o:connecttype="rect"/>
            </v:shapetype>
            <v:shape id="Text Box 2" o:spid="_x0000_s1027" type="#_x0000_t202" style="position:absolute;margin-left:486.4pt;margin-top:-62.6pt;width:21.45pt;height:21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" stroked="f">
              <v:textbox style="mso-fit-shape-to-text:t">
                <w:txbxContent>
                  <w:p w14:paraId="372ABE9D" w14:textId="77777777" w:rsidR="009857D4" w:rsidRDefault="009857D4" w:rsidP="00C52843"/>
                </w:txbxContent>
              </v:textbox>
              <w10:wrap type="square" anchorx="margin" anchory="margin"/>
            </v:shape>
          </w:pict>
        </mc:Fallback>
      </mc:AlternateContent>
    </w:r>
    <w:r w:rsidR="009857D4">
      <w:rPr>
        <w:bCs/>
      </w:rPr>
      <w:t>Public Utilities Commission</w:t>
    </w:r>
    <w:r w:rsidR="009857D4">
      <w:rPr>
        <w:bCs/>
      </w:rPr>
      <w:tab/>
    </w:r>
    <w:r w:rsidR="009857D4">
      <w:rPr>
        <w:rStyle w:val="PageNumber"/>
        <w:bCs/>
      </w:rPr>
      <w:fldChar w:fldCharType="begin"/>
    </w:r>
    <w:r w:rsidR="009857D4">
      <w:rPr>
        <w:rStyle w:val="PageNumber"/>
        <w:bCs/>
      </w:rPr>
      <w:instrText xml:space="preserve"> PAGE </w:instrText>
    </w:r>
    <w:r w:rsidR="009857D4">
      <w:rPr>
        <w:rStyle w:val="PageNumber"/>
        <w:bCs/>
      </w:rPr>
      <w:fldChar w:fldCharType="separate"/>
    </w:r>
    <w:r w:rsidR="00335C77">
      <w:rPr>
        <w:rStyle w:val="PageNumber"/>
        <w:bCs/>
        <w:noProof/>
      </w:rPr>
      <w:t>2</w:t>
    </w:r>
    <w:r w:rsidR="009857D4">
      <w:rPr>
        <w:rStyle w:val="PageNumber"/>
        <w:bCs/>
      </w:rPr>
      <w:fldChar w:fldCharType="end"/>
    </w:r>
    <w:r w:rsidR="009857D4">
      <w:rPr>
        <w:rStyle w:val="PageNumber"/>
        <w:b/>
      </w:rPr>
      <w:tab/>
    </w:r>
    <w:r w:rsidR="00C771BB">
      <w:rPr>
        <w:rStyle w:val="PageNumber"/>
      </w:rPr>
      <w:t>November 22,</w:t>
    </w:r>
    <w:r w:rsidR="009857D4">
      <w:rPr>
        <w:rStyle w:val="PageNumber"/>
      </w:rPr>
      <w:t xml:space="preserve"> 2017</w:t>
    </w:r>
  </w:p>
  <w:p w14:paraId="5C303014" w14:textId="77777777" w:rsidR="009857D4" w:rsidRDefault="009857D4">
    <w:pPr>
      <w:pStyle w:val="Header"/>
      <w:tabs>
        <w:tab w:val="clear" w:pos="4320"/>
        <w:tab w:val="clear" w:pos="8640"/>
        <w:tab w:val="center" w:pos="4770"/>
        <w:tab w:val="right" w:pos="9360"/>
      </w:tabs>
      <w:ind w:right="630"/>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3D0F" w14:textId="300060CD" w:rsidR="00E35DF5" w:rsidRDefault="00E35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03"/>
    <w:multiLevelType w:val="hybridMultilevel"/>
    <w:tmpl w:val="A462F54A"/>
    <w:lvl w:ilvl="0" w:tplc="9E8CE604">
      <w:start w:val="1"/>
      <w:numFmt w:val="bullet"/>
      <w:lvlText w:val="•"/>
      <w:lvlJc w:val="left"/>
      <w:pPr>
        <w:tabs>
          <w:tab w:val="num" w:pos="720"/>
        </w:tabs>
        <w:ind w:left="720" w:hanging="360"/>
      </w:pPr>
      <w:rPr>
        <w:rFonts w:ascii="Arial" w:hAnsi="Arial" w:hint="default"/>
      </w:rPr>
    </w:lvl>
    <w:lvl w:ilvl="1" w:tplc="E3782F3C">
      <w:numFmt w:val="bullet"/>
      <w:lvlText w:val="–"/>
      <w:lvlJc w:val="left"/>
      <w:pPr>
        <w:tabs>
          <w:tab w:val="num" w:pos="1440"/>
        </w:tabs>
        <w:ind w:left="1440" w:hanging="360"/>
      </w:pPr>
      <w:rPr>
        <w:rFonts w:ascii="Arial" w:hAnsi="Arial" w:hint="default"/>
      </w:rPr>
    </w:lvl>
    <w:lvl w:ilvl="2" w:tplc="67988F9E" w:tentative="1">
      <w:start w:val="1"/>
      <w:numFmt w:val="bullet"/>
      <w:lvlText w:val="•"/>
      <w:lvlJc w:val="left"/>
      <w:pPr>
        <w:tabs>
          <w:tab w:val="num" w:pos="2160"/>
        </w:tabs>
        <w:ind w:left="2160" w:hanging="360"/>
      </w:pPr>
      <w:rPr>
        <w:rFonts w:ascii="Arial" w:hAnsi="Arial" w:hint="default"/>
      </w:rPr>
    </w:lvl>
    <w:lvl w:ilvl="3" w:tplc="1E7E19A4" w:tentative="1">
      <w:start w:val="1"/>
      <w:numFmt w:val="bullet"/>
      <w:lvlText w:val="•"/>
      <w:lvlJc w:val="left"/>
      <w:pPr>
        <w:tabs>
          <w:tab w:val="num" w:pos="2880"/>
        </w:tabs>
        <w:ind w:left="2880" w:hanging="360"/>
      </w:pPr>
      <w:rPr>
        <w:rFonts w:ascii="Arial" w:hAnsi="Arial" w:hint="default"/>
      </w:rPr>
    </w:lvl>
    <w:lvl w:ilvl="4" w:tplc="ED5C62F4" w:tentative="1">
      <w:start w:val="1"/>
      <w:numFmt w:val="bullet"/>
      <w:lvlText w:val="•"/>
      <w:lvlJc w:val="left"/>
      <w:pPr>
        <w:tabs>
          <w:tab w:val="num" w:pos="3600"/>
        </w:tabs>
        <w:ind w:left="3600" w:hanging="360"/>
      </w:pPr>
      <w:rPr>
        <w:rFonts w:ascii="Arial" w:hAnsi="Arial" w:hint="default"/>
      </w:rPr>
    </w:lvl>
    <w:lvl w:ilvl="5" w:tplc="9D986AFA" w:tentative="1">
      <w:start w:val="1"/>
      <w:numFmt w:val="bullet"/>
      <w:lvlText w:val="•"/>
      <w:lvlJc w:val="left"/>
      <w:pPr>
        <w:tabs>
          <w:tab w:val="num" w:pos="4320"/>
        </w:tabs>
        <w:ind w:left="4320" w:hanging="360"/>
      </w:pPr>
      <w:rPr>
        <w:rFonts w:ascii="Arial" w:hAnsi="Arial" w:hint="default"/>
      </w:rPr>
    </w:lvl>
    <w:lvl w:ilvl="6" w:tplc="81146BD0" w:tentative="1">
      <w:start w:val="1"/>
      <w:numFmt w:val="bullet"/>
      <w:lvlText w:val="•"/>
      <w:lvlJc w:val="left"/>
      <w:pPr>
        <w:tabs>
          <w:tab w:val="num" w:pos="5040"/>
        </w:tabs>
        <w:ind w:left="5040" w:hanging="360"/>
      </w:pPr>
      <w:rPr>
        <w:rFonts w:ascii="Arial" w:hAnsi="Arial" w:hint="default"/>
      </w:rPr>
    </w:lvl>
    <w:lvl w:ilvl="7" w:tplc="A328D354" w:tentative="1">
      <w:start w:val="1"/>
      <w:numFmt w:val="bullet"/>
      <w:lvlText w:val="•"/>
      <w:lvlJc w:val="left"/>
      <w:pPr>
        <w:tabs>
          <w:tab w:val="num" w:pos="5760"/>
        </w:tabs>
        <w:ind w:left="5760" w:hanging="360"/>
      </w:pPr>
      <w:rPr>
        <w:rFonts w:ascii="Arial" w:hAnsi="Arial" w:hint="default"/>
      </w:rPr>
    </w:lvl>
    <w:lvl w:ilvl="8" w:tplc="F2BEF8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324E19"/>
    <w:multiLevelType w:val="hybridMultilevel"/>
    <w:tmpl w:val="D53CF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C77840"/>
    <w:multiLevelType w:val="hybridMultilevel"/>
    <w:tmpl w:val="1FD452FE"/>
    <w:lvl w:ilvl="0" w:tplc="537ACD8C">
      <w:start w:val="1"/>
      <w:numFmt w:val="decimal"/>
      <w:lvlText w:val="%1."/>
      <w:lvlJc w:val="righ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2BBE"/>
    <w:multiLevelType w:val="hybridMultilevel"/>
    <w:tmpl w:val="B622CE5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15:restartNumberingAfterBreak="0">
    <w:nsid w:val="113B3DC7"/>
    <w:multiLevelType w:val="hybridMultilevel"/>
    <w:tmpl w:val="5840E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F19EF"/>
    <w:multiLevelType w:val="hybridMultilevel"/>
    <w:tmpl w:val="99AE3040"/>
    <w:lvl w:ilvl="0" w:tplc="BE848344">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C265F"/>
    <w:multiLevelType w:val="hybridMultilevel"/>
    <w:tmpl w:val="8EE42742"/>
    <w:lvl w:ilvl="0" w:tplc="746E25E4">
      <w:start w:val="1"/>
      <w:numFmt w:val="bullet"/>
      <w:lvlText w:val="•"/>
      <w:lvlJc w:val="left"/>
      <w:pPr>
        <w:tabs>
          <w:tab w:val="num" w:pos="720"/>
        </w:tabs>
        <w:ind w:left="720" w:hanging="360"/>
      </w:pPr>
      <w:rPr>
        <w:rFonts w:ascii="Arial" w:hAnsi="Arial" w:hint="default"/>
      </w:rPr>
    </w:lvl>
    <w:lvl w:ilvl="1" w:tplc="06705030">
      <w:numFmt w:val="bullet"/>
      <w:lvlText w:val="–"/>
      <w:lvlJc w:val="left"/>
      <w:pPr>
        <w:tabs>
          <w:tab w:val="num" w:pos="1440"/>
        </w:tabs>
        <w:ind w:left="1440" w:hanging="360"/>
      </w:pPr>
      <w:rPr>
        <w:rFonts w:ascii="Arial" w:hAnsi="Arial" w:hint="default"/>
      </w:rPr>
    </w:lvl>
    <w:lvl w:ilvl="2" w:tplc="D9808082" w:tentative="1">
      <w:start w:val="1"/>
      <w:numFmt w:val="bullet"/>
      <w:lvlText w:val="•"/>
      <w:lvlJc w:val="left"/>
      <w:pPr>
        <w:tabs>
          <w:tab w:val="num" w:pos="2160"/>
        </w:tabs>
        <w:ind w:left="2160" w:hanging="360"/>
      </w:pPr>
      <w:rPr>
        <w:rFonts w:ascii="Arial" w:hAnsi="Arial" w:hint="default"/>
      </w:rPr>
    </w:lvl>
    <w:lvl w:ilvl="3" w:tplc="A2A8A13C" w:tentative="1">
      <w:start w:val="1"/>
      <w:numFmt w:val="bullet"/>
      <w:lvlText w:val="•"/>
      <w:lvlJc w:val="left"/>
      <w:pPr>
        <w:tabs>
          <w:tab w:val="num" w:pos="2880"/>
        </w:tabs>
        <w:ind w:left="2880" w:hanging="360"/>
      </w:pPr>
      <w:rPr>
        <w:rFonts w:ascii="Arial" w:hAnsi="Arial" w:hint="default"/>
      </w:rPr>
    </w:lvl>
    <w:lvl w:ilvl="4" w:tplc="2990F044" w:tentative="1">
      <w:start w:val="1"/>
      <w:numFmt w:val="bullet"/>
      <w:lvlText w:val="•"/>
      <w:lvlJc w:val="left"/>
      <w:pPr>
        <w:tabs>
          <w:tab w:val="num" w:pos="3600"/>
        </w:tabs>
        <w:ind w:left="3600" w:hanging="360"/>
      </w:pPr>
      <w:rPr>
        <w:rFonts w:ascii="Arial" w:hAnsi="Arial" w:hint="default"/>
      </w:rPr>
    </w:lvl>
    <w:lvl w:ilvl="5" w:tplc="02B07C0E" w:tentative="1">
      <w:start w:val="1"/>
      <w:numFmt w:val="bullet"/>
      <w:lvlText w:val="•"/>
      <w:lvlJc w:val="left"/>
      <w:pPr>
        <w:tabs>
          <w:tab w:val="num" w:pos="4320"/>
        </w:tabs>
        <w:ind w:left="4320" w:hanging="360"/>
      </w:pPr>
      <w:rPr>
        <w:rFonts w:ascii="Arial" w:hAnsi="Arial" w:hint="default"/>
      </w:rPr>
    </w:lvl>
    <w:lvl w:ilvl="6" w:tplc="C30667D6" w:tentative="1">
      <w:start w:val="1"/>
      <w:numFmt w:val="bullet"/>
      <w:lvlText w:val="•"/>
      <w:lvlJc w:val="left"/>
      <w:pPr>
        <w:tabs>
          <w:tab w:val="num" w:pos="5040"/>
        </w:tabs>
        <w:ind w:left="5040" w:hanging="360"/>
      </w:pPr>
      <w:rPr>
        <w:rFonts w:ascii="Arial" w:hAnsi="Arial" w:hint="default"/>
      </w:rPr>
    </w:lvl>
    <w:lvl w:ilvl="7" w:tplc="FC3EA32E" w:tentative="1">
      <w:start w:val="1"/>
      <w:numFmt w:val="bullet"/>
      <w:lvlText w:val="•"/>
      <w:lvlJc w:val="left"/>
      <w:pPr>
        <w:tabs>
          <w:tab w:val="num" w:pos="5760"/>
        </w:tabs>
        <w:ind w:left="5760" w:hanging="360"/>
      </w:pPr>
      <w:rPr>
        <w:rFonts w:ascii="Arial" w:hAnsi="Arial" w:hint="default"/>
      </w:rPr>
    </w:lvl>
    <w:lvl w:ilvl="8" w:tplc="8B585B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014721"/>
    <w:multiLevelType w:val="hybridMultilevel"/>
    <w:tmpl w:val="0270F524"/>
    <w:lvl w:ilvl="0" w:tplc="EDB015DE">
      <w:start w:val="1"/>
      <w:numFmt w:val="bullet"/>
      <w:lvlText w:val="•"/>
      <w:lvlJc w:val="left"/>
      <w:pPr>
        <w:tabs>
          <w:tab w:val="num" w:pos="720"/>
        </w:tabs>
        <w:ind w:left="720" w:hanging="360"/>
      </w:pPr>
      <w:rPr>
        <w:rFonts w:ascii="Arial" w:hAnsi="Arial" w:hint="default"/>
      </w:rPr>
    </w:lvl>
    <w:lvl w:ilvl="1" w:tplc="6B38A1BA" w:tentative="1">
      <w:start w:val="1"/>
      <w:numFmt w:val="bullet"/>
      <w:lvlText w:val="•"/>
      <w:lvlJc w:val="left"/>
      <w:pPr>
        <w:tabs>
          <w:tab w:val="num" w:pos="1440"/>
        </w:tabs>
        <w:ind w:left="1440" w:hanging="360"/>
      </w:pPr>
      <w:rPr>
        <w:rFonts w:ascii="Arial" w:hAnsi="Arial" w:hint="default"/>
      </w:rPr>
    </w:lvl>
    <w:lvl w:ilvl="2" w:tplc="C32C24D0" w:tentative="1">
      <w:start w:val="1"/>
      <w:numFmt w:val="bullet"/>
      <w:lvlText w:val="•"/>
      <w:lvlJc w:val="left"/>
      <w:pPr>
        <w:tabs>
          <w:tab w:val="num" w:pos="2160"/>
        </w:tabs>
        <w:ind w:left="2160" w:hanging="360"/>
      </w:pPr>
      <w:rPr>
        <w:rFonts w:ascii="Arial" w:hAnsi="Arial" w:hint="default"/>
      </w:rPr>
    </w:lvl>
    <w:lvl w:ilvl="3" w:tplc="89A87420" w:tentative="1">
      <w:start w:val="1"/>
      <w:numFmt w:val="bullet"/>
      <w:lvlText w:val="•"/>
      <w:lvlJc w:val="left"/>
      <w:pPr>
        <w:tabs>
          <w:tab w:val="num" w:pos="2880"/>
        </w:tabs>
        <w:ind w:left="2880" w:hanging="360"/>
      </w:pPr>
      <w:rPr>
        <w:rFonts w:ascii="Arial" w:hAnsi="Arial" w:hint="default"/>
      </w:rPr>
    </w:lvl>
    <w:lvl w:ilvl="4" w:tplc="8BDACE4E" w:tentative="1">
      <w:start w:val="1"/>
      <w:numFmt w:val="bullet"/>
      <w:lvlText w:val="•"/>
      <w:lvlJc w:val="left"/>
      <w:pPr>
        <w:tabs>
          <w:tab w:val="num" w:pos="3600"/>
        </w:tabs>
        <w:ind w:left="3600" w:hanging="360"/>
      </w:pPr>
      <w:rPr>
        <w:rFonts w:ascii="Arial" w:hAnsi="Arial" w:hint="default"/>
      </w:rPr>
    </w:lvl>
    <w:lvl w:ilvl="5" w:tplc="0394BFB6" w:tentative="1">
      <w:start w:val="1"/>
      <w:numFmt w:val="bullet"/>
      <w:lvlText w:val="•"/>
      <w:lvlJc w:val="left"/>
      <w:pPr>
        <w:tabs>
          <w:tab w:val="num" w:pos="4320"/>
        </w:tabs>
        <w:ind w:left="4320" w:hanging="360"/>
      </w:pPr>
      <w:rPr>
        <w:rFonts w:ascii="Arial" w:hAnsi="Arial" w:hint="default"/>
      </w:rPr>
    </w:lvl>
    <w:lvl w:ilvl="6" w:tplc="2452DDBC" w:tentative="1">
      <w:start w:val="1"/>
      <w:numFmt w:val="bullet"/>
      <w:lvlText w:val="•"/>
      <w:lvlJc w:val="left"/>
      <w:pPr>
        <w:tabs>
          <w:tab w:val="num" w:pos="5040"/>
        </w:tabs>
        <w:ind w:left="5040" w:hanging="360"/>
      </w:pPr>
      <w:rPr>
        <w:rFonts w:ascii="Arial" w:hAnsi="Arial" w:hint="default"/>
      </w:rPr>
    </w:lvl>
    <w:lvl w:ilvl="7" w:tplc="00C84868" w:tentative="1">
      <w:start w:val="1"/>
      <w:numFmt w:val="bullet"/>
      <w:lvlText w:val="•"/>
      <w:lvlJc w:val="left"/>
      <w:pPr>
        <w:tabs>
          <w:tab w:val="num" w:pos="5760"/>
        </w:tabs>
        <w:ind w:left="5760" w:hanging="360"/>
      </w:pPr>
      <w:rPr>
        <w:rFonts w:ascii="Arial" w:hAnsi="Arial" w:hint="default"/>
      </w:rPr>
    </w:lvl>
    <w:lvl w:ilvl="8" w:tplc="413632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FF1663"/>
    <w:multiLevelType w:val="hybridMultilevel"/>
    <w:tmpl w:val="0B286D80"/>
    <w:lvl w:ilvl="0" w:tplc="343C2FCC">
      <w:start w:val="1"/>
      <w:numFmt w:val="bullet"/>
      <w:lvlText w:val="•"/>
      <w:lvlJc w:val="left"/>
      <w:pPr>
        <w:tabs>
          <w:tab w:val="num" w:pos="720"/>
        </w:tabs>
        <w:ind w:left="720" w:hanging="360"/>
      </w:pPr>
      <w:rPr>
        <w:rFonts w:ascii="Arial" w:hAnsi="Arial" w:hint="default"/>
      </w:rPr>
    </w:lvl>
    <w:lvl w:ilvl="1" w:tplc="1024A2FC">
      <w:numFmt w:val="bullet"/>
      <w:lvlText w:val="–"/>
      <w:lvlJc w:val="left"/>
      <w:pPr>
        <w:tabs>
          <w:tab w:val="num" w:pos="1440"/>
        </w:tabs>
        <w:ind w:left="1440" w:hanging="360"/>
      </w:pPr>
      <w:rPr>
        <w:rFonts w:ascii="Arial" w:hAnsi="Arial" w:hint="default"/>
      </w:rPr>
    </w:lvl>
    <w:lvl w:ilvl="2" w:tplc="1F8826F0" w:tentative="1">
      <w:start w:val="1"/>
      <w:numFmt w:val="bullet"/>
      <w:lvlText w:val="•"/>
      <w:lvlJc w:val="left"/>
      <w:pPr>
        <w:tabs>
          <w:tab w:val="num" w:pos="2160"/>
        </w:tabs>
        <w:ind w:left="2160" w:hanging="360"/>
      </w:pPr>
      <w:rPr>
        <w:rFonts w:ascii="Arial" w:hAnsi="Arial" w:hint="default"/>
      </w:rPr>
    </w:lvl>
    <w:lvl w:ilvl="3" w:tplc="12628730" w:tentative="1">
      <w:start w:val="1"/>
      <w:numFmt w:val="bullet"/>
      <w:lvlText w:val="•"/>
      <w:lvlJc w:val="left"/>
      <w:pPr>
        <w:tabs>
          <w:tab w:val="num" w:pos="2880"/>
        </w:tabs>
        <w:ind w:left="2880" w:hanging="360"/>
      </w:pPr>
      <w:rPr>
        <w:rFonts w:ascii="Arial" w:hAnsi="Arial" w:hint="default"/>
      </w:rPr>
    </w:lvl>
    <w:lvl w:ilvl="4" w:tplc="AF5274FA" w:tentative="1">
      <w:start w:val="1"/>
      <w:numFmt w:val="bullet"/>
      <w:lvlText w:val="•"/>
      <w:lvlJc w:val="left"/>
      <w:pPr>
        <w:tabs>
          <w:tab w:val="num" w:pos="3600"/>
        </w:tabs>
        <w:ind w:left="3600" w:hanging="360"/>
      </w:pPr>
      <w:rPr>
        <w:rFonts w:ascii="Arial" w:hAnsi="Arial" w:hint="default"/>
      </w:rPr>
    </w:lvl>
    <w:lvl w:ilvl="5" w:tplc="03C4E3C0" w:tentative="1">
      <w:start w:val="1"/>
      <w:numFmt w:val="bullet"/>
      <w:lvlText w:val="•"/>
      <w:lvlJc w:val="left"/>
      <w:pPr>
        <w:tabs>
          <w:tab w:val="num" w:pos="4320"/>
        </w:tabs>
        <w:ind w:left="4320" w:hanging="360"/>
      </w:pPr>
      <w:rPr>
        <w:rFonts w:ascii="Arial" w:hAnsi="Arial" w:hint="default"/>
      </w:rPr>
    </w:lvl>
    <w:lvl w:ilvl="6" w:tplc="FFD8CB6C" w:tentative="1">
      <w:start w:val="1"/>
      <w:numFmt w:val="bullet"/>
      <w:lvlText w:val="•"/>
      <w:lvlJc w:val="left"/>
      <w:pPr>
        <w:tabs>
          <w:tab w:val="num" w:pos="5040"/>
        </w:tabs>
        <w:ind w:left="5040" w:hanging="360"/>
      </w:pPr>
      <w:rPr>
        <w:rFonts w:ascii="Arial" w:hAnsi="Arial" w:hint="default"/>
      </w:rPr>
    </w:lvl>
    <w:lvl w:ilvl="7" w:tplc="8B12BB4E" w:tentative="1">
      <w:start w:val="1"/>
      <w:numFmt w:val="bullet"/>
      <w:lvlText w:val="•"/>
      <w:lvlJc w:val="left"/>
      <w:pPr>
        <w:tabs>
          <w:tab w:val="num" w:pos="5760"/>
        </w:tabs>
        <w:ind w:left="5760" w:hanging="360"/>
      </w:pPr>
      <w:rPr>
        <w:rFonts w:ascii="Arial" w:hAnsi="Arial" w:hint="default"/>
      </w:rPr>
    </w:lvl>
    <w:lvl w:ilvl="8" w:tplc="536EFD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A35788"/>
    <w:multiLevelType w:val="hybridMultilevel"/>
    <w:tmpl w:val="F2043E62"/>
    <w:lvl w:ilvl="0" w:tplc="6868B90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1927B9"/>
    <w:multiLevelType w:val="hybridMultilevel"/>
    <w:tmpl w:val="3E04A966"/>
    <w:lvl w:ilvl="0" w:tplc="544C40E2">
      <w:start w:val="1"/>
      <w:numFmt w:val="bullet"/>
      <w:lvlText w:val="•"/>
      <w:lvlJc w:val="left"/>
      <w:pPr>
        <w:tabs>
          <w:tab w:val="num" w:pos="720"/>
        </w:tabs>
        <w:ind w:left="720" w:hanging="360"/>
      </w:pPr>
      <w:rPr>
        <w:rFonts w:ascii="Arial" w:hAnsi="Arial" w:hint="default"/>
      </w:rPr>
    </w:lvl>
    <w:lvl w:ilvl="1" w:tplc="68227516" w:tentative="1">
      <w:start w:val="1"/>
      <w:numFmt w:val="bullet"/>
      <w:lvlText w:val="•"/>
      <w:lvlJc w:val="left"/>
      <w:pPr>
        <w:tabs>
          <w:tab w:val="num" w:pos="1440"/>
        </w:tabs>
        <w:ind w:left="1440" w:hanging="360"/>
      </w:pPr>
      <w:rPr>
        <w:rFonts w:ascii="Arial" w:hAnsi="Arial" w:hint="default"/>
      </w:rPr>
    </w:lvl>
    <w:lvl w:ilvl="2" w:tplc="30BC13FA" w:tentative="1">
      <w:start w:val="1"/>
      <w:numFmt w:val="bullet"/>
      <w:lvlText w:val="•"/>
      <w:lvlJc w:val="left"/>
      <w:pPr>
        <w:tabs>
          <w:tab w:val="num" w:pos="2160"/>
        </w:tabs>
        <w:ind w:left="2160" w:hanging="360"/>
      </w:pPr>
      <w:rPr>
        <w:rFonts w:ascii="Arial" w:hAnsi="Arial" w:hint="default"/>
      </w:rPr>
    </w:lvl>
    <w:lvl w:ilvl="3" w:tplc="CD4C77C6" w:tentative="1">
      <w:start w:val="1"/>
      <w:numFmt w:val="bullet"/>
      <w:lvlText w:val="•"/>
      <w:lvlJc w:val="left"/>
      <w:pPr>
        <w:tabs>
          <w:tab w:val="num" w:pos="2880"/>
        </w:tabs>
        <w:ind w:left="2880" w:hanging="360"/>
      </w:pPr>
      <w:rPr>
        <w:rFonts w:ascii="Arial" w:hAnsi="Arial" w:hint="default"/>
      </w:rPr>
    </w:lvl>
    <w:lvl w:ilvl="4" w:tplc="7D4AED5E" w:tentative="1">
      <w:start w:val="1"/>
      <w:numFmt w:val="bullet"/>
      <w:lvlText w:val="•"/>
      <w:lvlJc w:val="left"/>
      <w:pPr>
        <w:tabs>
          <w:tab w:val="num" w:pos="3600"/>
        </w:tabs>
        <w:ind w:left="3600" w:hanging="360"/>
      </w:pPr>
      <w:rPr>
        <w:rFonts w:ascii="Arial" w:hAnsi="Arial" w:hint="default"/>
      </w:rPr>
    </w:lvl>
    <w:lvl w:ilvl="5" w:tplc="EBC6B48C" w:tentative="1">
      <w:start w:val="1"/>
      <w:numFmt w:val="bullet"/>
      <w:lvlText w:val="•"/>
      <w:lvlJc w:val="left"/>
      <w:pPr>
        <w:tabs>
          <w:tab w:val="num" w:pos="4320"/>
        </w:tabs>
        <w:ind w:left="4320" w:hanging="360"/>
      </w:pPr>
      <w:rPr>
        <w:rFonts w:ascii="Arial" w:hAnsi="Arial" w:hint="default"/>
      </w:rPr>
    </w:lvl>
    <w:lvl w:ilvl="6" w:tplc="F30A90CA" w:tentative="1">
      <w:start w:val="1"/>
      <w:numFmt w:val="bullet"/>
      <w:lvlText w:val="•"/>
      <w:lvlJc w:val="left"/>
      <w:pPr>
        <w:tabs>
          <w:tab w:val="num" w:pos="5040"/>
        </w:tabs>
        <w:ind w:left="5040" w:hanging="360"/>
      </w:pPr>
      <w:rPr>
        <w:rFonts w:ascii="Arial" w:hAnsi="Arial" w:hint="default"/>
      </w:rPr>
    </w:lvl>
    <w:lvl w:ilvl="7" w:tplc="32CAF81E" w:tentative="1">
      <w:start w:val="1"/>
      <w:numFmt w:val="bullet"/>
      <w:lvlText w:val="•"/>
      <w:lvlJc w:val="left"/>
      <w:pPr>
        <w:tabs>
          <w:tab w:val="num" w:pos="5760"/>
        </w:tabs>
        <w:ind w:left="5760" w:hanging="360"/>
      </w:pPr>
      <w:rPr>
        <w:rFonts w:ascii="Arial" w:hAnsi="Arial" w:hint="default"/>
      </w:rPr>
    </w:lvl>
    <w:lvl w:ilvl="8" w:tplc="602034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B338E5"/>
    <w:multiLevelType w:val="hybridMultilevel"/>
    <w:tmpl w:val="AC80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C19EC"/>
    <w:multiLevelType w:val="hybridMultilevel"/>
    <w:tmpl w:val="465ED484"/>
    <w:lvl w:ilvl="0" w:tplc="D6E47078">
      <w:start w:val="1"/>
      <w:numFmt w:val="decimal"/>
      <w:lvlText w:val="%1."/>
      <w:lvlJc w:val="righ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6131F"/>
    <w:multiLevelType w:val="hybridMultilevel"/>
    <w:tmpl w:val="B7721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5CB4"/>
    <w:multiLevelType w:val="hybridMultilevel"/>
    <w:tmpl w:val="A51CA174"/>
    <w:lvl w:ilvl="0" w:tplc="E0248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A0939"/>
    <w:multiLevelType w:val="hybridMultilevel"/>
    <w:tmpl w:val="4DD0A5C4"/>
    <w:lvl w:ilvl="0" w:tplc="C75800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B78F9"/>
    <w:multiLevelType w:val="hybridMultilevel"/>
    <w:tmpl w:val="6B5048B8"/>
    <w:lvl w:ilvl="0" w:tplc="08945BAA">
      <w:start w:val="1"/>
      <w:numFmt w:val="bullet"/>
      <w:lvlText w:val="•"/>
      <w:lvlJc w:val="left"/>
      <w:pPr>
        <w:tabs>
          <w:tab w:val="num" w:pos="720"/>
        </w:tabs>
        <w:ind w:left="720" w:hanging="360"/>
      </w:pPr>
      <w:rPr>
        <w:rFonts w:ascii="Arial" w:hAnsi="Arial" w:hint="default"/>
      </w:rPr>
    </w:lvl>
    <w:lvl w:ilvl="1" w:tplc="E4F4FDF4">
      <w:numFmt w:val="bullet"/>
      <w:lvlText w:val="–"/>
      <w:lvlJc w:val="left"/>
      <w:pPr>
        <w:tabs>
          <w:tab w:val="num" w:pos="1440"/>
        </w:tabs>
        <w:ind w:left="1440" w:hanging="360"/>
      </w:pPr>
      <w:rPr>
        <w:rFonts w:ascii="Arial" w:hAnsi="Arial" w:hint="default"/>
      </w:rPr>
    </w:lvl>
    <w:lvl w:ilvl="2" w:tplc="26DE83BA" w:tentative="1">
      <w:start w:val="1"/>
      <w:numFmt w:val="bullet"/>
      <w:lvlText w:val="•"/>
      <w:lvlJc w:val="left"/>
      <w:pPr>
        <w:tabs>
          <w:tab w:val="num" w:pos="2160"/>
        </w:tabs>
        <w:ind w:left="2160" w:hanging="360"/>
      </w:pPr>
      <w:rPr>
        <w:rFonts w:ascii="Arial" w:hAnsi="Arial" w:hint="default"/>
      </w:rPr>
    </w:lvl>
    <w:lvl w:ilvl="3" w:tplc="FDF8BBE8" w:tentative="1">
      <w:start w:val="1"/>
      <w:numFmt w:val="bullet"/>
      <w:lvlText w:val="•"/>
      <w:lvlJc w:val="left"/>
      <w:pPr>
        <w:tabs>
          <w:tab w:val="num" w:pos="2880"/>
        </w:tabs>
        <w:ind w:left="2880" w:hanging="360"/>
      </w:pPr>
      <w:rPr>
        <w:rFonts w:ascii="Arial" w:hAnsi="Arial" w:hint="default"/>
      </w:rPr>
    </w:lvl>
    <w:lvl w:ilvl="4" w:tplc="45729646" w:tentative="1">
      <w:start w:val="1"/>
      <w:numFmt w:val="bullet"/>
      <w:lvlText w:val="•"/>
      <w:lvlJc w:val="left"/>
      <w:pPr>
        <w:tabs>
          <w:tab w:val="num" w:pos="3600"/>
        </w:tabs>
        <w:ind w:left="3600" w:hanging="360"/>
      </w:pPr>
      <w:rPr>
        <w:rFonts w:ascii="Arial" w:hAnsi="Arial" w:hint="default"/>
      </w:rPr>
    </w:lvl>
    <w:lvl w:ilvl="5" w:tplc="660EBED6" w:tentative="1">
      <w:start w:val="1"/>
      <w:numFmt w:val="bullet"/>
      <w:lvlText w:val="•"/>
      <w:lvlJc w:val="left"/>
      <w:pPr>
        <w:tabs>
          <w:tab w:val="num" w:pos="4320"/>
        </w:tabs>
        <w:ind w:left="4320" w:hanging="360"/>
      </w:pPr>
      <w:rPr>
        <w:rFonts w:ascii="Arial" w:hAnsi="Arial" w:hint="default"/>
      </w:rPr>
    </w:lvl>
    <w:lvl w:ilvl="6" w:tplc="8B302B00" w:tentative="1">
      <w:start w:val="1"/>
      <w:numFmt w:val="bullet"/>
      <w:lvlText w:val="•"/>
      <w:lvlJc w:val="left"/>
      <w:pPr>
        <w:tabs>
          <w:tab w:val="num" w:pos="5040"/>
        </w:tabs>
        <w:ind w:left="5040" w:hanging="360"/>
      </w:pPr>
      <w:rPr>
        <w:rFonts w:ascii="Arial" w:hAnsi="Arial" w:hint="default"/>
      </w:rPr>
    </w:lvl>
    <w:lvl w:ilvl="7" w:tplc="FFDE8786" w:tentative="1">
      <w:start w:val="1"/>
      <w:numFmt w:val="bullet"/>
      <w:lvlText w:val="•"/>
      <w:lvlJc w:val="left"/>
      <w:pPr>
        <w:tabs>
          <w:tab w:val="num" w:pos="5760"/>
        </w:tabs>
        <w:ind w:left="5760" w:hanging="360"/>
      </w:pPr>
      <w:rPr>
        <w:rFonts w:ascii="Arial" w:hAnsi="Arial" w:hint="default"/>
      </w:rPr>
    </w:lvl>
    <w:lvl w:ilvl="8" w:tplc="99ACEE6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F9418F"/>
    <w:multiLevelType w:val="hybridMultilevel"/>
    <w:tmpl w:val="8B723924"/>
    <w:lvl w:ilvl="0" w:tplc="7208204E">
      <w:start w:val="1"/>
      <w:numFmt w:val="bullet"/>
      <w:lvlText w:val="–"/>
      <w:lvlJc w:val="left"/>
      <w:pPr>
        <w:tabs>
          <w:tab w:val="num" w:pos="720"/>
        </w:tabs>
        <w:ind w:left="720" w:hanging="360"/>
      </w:pPr>
      <w:rPr>
        <w:rFonts w:ascii="Arial" w:hAnsi="Arial" w:hint="default"/>
      </w:rPr>
    </w:lvl>
    <w:lvl w:ilvl="1" w:tplc="D404164C">
      <w:start w:val="1"/>
      <w:numFmt w:val="bullet"/>
      <w:lvlText w:val="–"/>
      <w:lvlJc w:val="left"/>
      <w:pPr>
        <w:tabs>
          <w:tab w:val="num" w:pos="1440"/>
        </w:tabs>
        <w:ind w:left="1440" w:hanging="360"/>
      </w:pPr>
      <w:rPr>
        <w:rFonts w:ascii="Arial" w:hAnsi="Arial" w:hint="default"/>
      </w:rPr>
    </w:lvl>
    <w:lvl w:ilvl="2" w:tplc="C5F6FC42" w:tentative="1">
      <w:start w:val="1"/>
      <w:numFmt w:val="bullet"/>
      <w:lvlText w:val="–"/>
      <w:lvlJc w:val="left"/>
      <w:pPr>
        <w:tabs>
          <w:tab w:val="num" w:pos="2160"/>
        </w:tabs>
        <w:ind w:left="2160" w:hanging="360"/>
      </w:pPr>
      <w:rPr>
        <w:rFonts w:ascii="Arial" w:hAnsi="Arial" w:hint="default"/>
      </w:rPr>
    </w:lvl>
    <w:lvl w:ilvl="3" w:tplc="FC0CE82C" w:tentative="1">
      <w:start w:val="1"/>
      <w:numFmt w:val="bullet"/>
      <w:lvlText w:val="–"/>
      <w:lvlJc w:val="left"/>
      <w:pPr>
        <w:tabs>
          <w:tab w:val="num" w:pos="2880"/>
        </w:tabs>
        <w:ind w:left="2880" w:hanging="360"/>
      </w:pPr>
      <w:rPr>
        <w:rFonts w:ascii="Arial" w:hAnsi="Arial" w:hint="default"/>
      </w:rPr>
    </w:lvl>
    <w:lvl w:ilvl="4" w:tplc="A560C63C" w:tentative="1">
      <w:start w:val="1"/>
      <w:numFmt w:val="bullet"/>
      <w:lvlText w:val="–"/>
      <w:lvlJc w:val="left"/>
      <w:pPr>
        <w:tabs>
          <w:tab w:val="num" w:pos="3600"/>
        </w:tabs>
        <w:ind w:left="3600" w:hanging="360"/>
      </w:pPr>
      <w:rPr>
        <w:rFonts w:ascii="Arial" w:hAnsi="Arial" w:hint="default"/>
      </w:rPr>
    </w:lvl>
    <w:lvl w:ilvl="5" w:tplc="83E68284" w:tentative="1">
      <w:start w:val="1"/>
      <w:numFmt w:val="bullet"/>
      <w:lvlText w:val="–"/>
      <w:lvlJc w:val="left"/>
      <w:pPr>
        <w:tabs>
          <w:tab w:val="num" w:pos="4320"/>
        </w:tabs>
        <w:ind w:left="4320" w:hanging="360"/>
      </w:pPr>
      <w:rPr>
        <w:rFonts w:ascii="Arial" w:hAnsi="Arial" w:hint="default"/>
      </w:rPr>
    </w:lvl>
    <w:lvl w:ilvl="6" w:tplc="81C620BC" w:tentative="1">
      <w:start w:val="1"/>
      <w:numFmt w:val="bullet"/>
      <w:lvlText w:val="–"/>
      <w:lvlJc w:val="left"/>
      <w:pPr>
        <w:tabs>
          <w:tab w:val="num" w:pos="5040"/>
        </w:tabs>
        <w:ind w:left="5040" w:hanging="360"/>
      </w:pPr>
      <w:rPr>
        <w:rFonts w:ascii="Arial" w:hAnsi="Arial" w:hint="default"/>
      </w:rPr>
    </w:lvl>
    <w:lvl w:ilvl="7" w:tplc="1946DF9A" w:tentative="1">
      <w:start w:val="1"/>
      <w:numFmt w:val="bullet"/>
      <w:lvlText w:val="–"/>
      <w:lvlJc w:val="left"/>
      <w:pPr>
        <w:tabs>
          <w:tab w:val="num" w:pos="5760"/>
        </w:tabs>
        <w:ind w:left="5760" w:hanging="360"/>
      </w:pPr>
      <w:rPr>
        <w:rFonts w:ascii="Arial" w:hAnsi="Arial" w:hint="default"/>
      </w:rPr>
    </w:lvl>
    <w:lvl w:ilvl="8" w:tplc="C07610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5C1F50"/>
    <w:multiLevelType w:val="hybridMultilevel"/>
    <w:tmpl w:val="EF2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0144F"/>
    <w:multiLevelType w:val="hybridMultilevel"/>
    <w:tmpl w:val="9C1C5572"/>
    <w:lvl w:ilvl="0" w:tplc="5CC20330">
      <w:start w:val="1"/>
      <w:numFmt w:val="bullet"/>
      <w:lvlText w:val="•"/>
      <w:lvlJc w:val="left"/>
      <w:pPr>
        <w:tabs>
          <w:tab w:val="num" w:pos="720"/>
        </w:tabs>
        <w:ind w:left="720" w:hanging="360"/>
      </w:pPr>
      <w:rPr>
        <w:rFonts w:ascii="Arial" w:hAnsi="Arial" w:hint="default"/>
      </w:rPr>
    </w:lvl>
    <w:lvl w:ilvl="1" w:tplc="8DC2BF60" w:tentative="1">
      <w:start w:val="1"/>
      <w:numFmt w:val="bullet"/>
      <w:lvlText w:val="•"/>
      <w:lvlJc w:val="left"/>
      <w:pPr>
        <w:tabs>
          <w:tab w:val="num" w:pos="1440"/>
        </w:tabs>
        <w:ind w:left="1440" w:hanging="360"/>
      </w:pPr>
      <w:rPr>
        <w:rFonts w:ascii="Arial" w:hAnsi="Arial" w:hint="default"/>
      </w:rPr>
    </w:lvl>
    <w:lvl w:ilvl="2" w:tplc="510A3F34" w:tentative="1">
      <w:start w:val="1"/>
      <w:numFmt w:val="bullet"/>
      <w:lvlText w:val="•"/>
      <w:lvlJc w:val="left"/>
      <w:pPr>
        <w:tabs>
          <w:tab w:val="num" w:pos="2160"/>
        </w:tabs>
        <w:ind w:left="2160" w:hanging="360"/>
      </w:pPr>
      <w:rPr>
        <w:rFonts w:ascii="Arial" w:hAnsi="Arial" w:hint="default"/>
      </w:rPr>
    </w:lvl>
    <w:lvl w:ilvl="3" w:tplc="3742422C" w:tentative="1">
      <w:start w:val="1"/>
      <w:numFmt w:val="bullet"/>
      <w:lvlText w:val="•"/>
      <w:lvlJc w:val="left"/>
      <w:pPr>
        <w:tabs>
          <w:tab w:val="num" w:pos="2880"/>
        </w:tabs>
        <w:ind w:left="2880" w:hanging="360"/>
      </w:pPr>
      <w:rPr>
        <w:rFonts w:ascii="Arial" w:hAnsi="Arial" w:hint="default"/>
      </w:rPr>
    </w:lvl>
    <w:lvl w:ilvl="4" w:tplc="E9DC48A2" w:tentative="1">
      <w:start w:val="1"/>
      <w:numFmt w:val="bullet"/>
      <w:lvlText w:val="•"/>
      <w:lvlJc w:val="left"/>
      <w:pPr>
        <w:tabs>
          <w:tab w:val="num" w:pos="3600"/>
        </w:tabs>
        <w:ind w:left="3600" w:hanging="360"/>
      </w:pPr>
      <w:rPr>
        <w:rFonts w:ascii="Arial" w:hAnsi="Arial" w:hint="default"/>
      </w:rPr>
    </w:lvl>
    <w:lvl w:ilvl="5" w:tplc="DDAC9850" w:tentative="1">
      <w:start w:val="1"/>
      <w:numFmt w:val="bullet"/>
      <w:lvlText w:val="•"/>
      <w:lvlJc w:val="left"/>
      <w:pPr>
        <w:tabs>
          <w:tab w:val="num" w:pos="4320"/>
        </w:tabs>
        <w:ind w:left="4320" w:hanging="360"/>
      </w:pPr>
      <w:rPr>
        <w:rFonts w:ascii="Arial" w:hAnsi="Arial" w:hint="default"/>
      </w:rPr>
    </w:lvl>
    <w:lvl w:ilvl="6" w:tplc="B9DCA858" w:tentative="1">
      <w:start w:val="1"/>
      <w:numFmt w:val="bullet"/>
      <w:lvlText w:val="•"/>
      <w:lvlJc w:val="left"/>
      <w:pPr>
        <w:tabs>
          <w:tab w:val="num" w:pos="5040"/>
        </w:tabs>
        <w:ind w:left="5040" w:hanging="360"/>
      </w:pPr>
      <w:rPr>
        <w:rFonts w:ascii="Arial" w:hAnsi="Arial" w:hint="default"/>
      </w:rPr>
    </w:lvl>
    <w:lvl w:ilvl="7" w:tplc="E9028518" w:tentative="1">
      <w:start w:val="1"/>
      <w:numFmt w:val="bullet"/>
      <w:lvlText w:val="•"/>
      <w:lvlJc w:val="left"/>
      <w:pPr>
        <w:tabs>
          <w:tab w:val="num" w:pos="5760"/>
        </w:tabs>
        <w:ind w:left="5760" w:hanging="360"/>
      </w:pPr>
      <w:rPr>
        <w:rFonts w:ascii="Arial" w:hAnsi="Arial" w:hint="default"/>
      </w:rPr>
    </w:lvl>
    <w:lvl w:ilvl="8" w:tplc="9314E6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9A5EE1"/>
    <w:multiLevelType w:val="hybridMultilevel"/>
    <w:tmpl w:val="53C2CA80"/>
    <w:lvl w:ilvl="0" w:tplc="1BB43D02">
      <w:start w:val="1"/>
      <w:numFmt w:val="bullet"/>
      <w:lvlText w:val="•"/>
      <w:lvlJc w:val="left"/>
      <w:pPr>
        <w:tabs>
          <w:tab w:val="num" w:pos="720"/>
        </w:tabs>
        <w:ind w:left="720" w:hanging="360"/>
      </w:pPr>
      <w:rPr>
        <w:rFonts w:ascii="Arial" w:hAnsi="Arial" w:hint="default"/>
      </w:rPr>
    </w:lvl>
    <w:lvl w:ilvl="1" w:tplc="EA4E71F8" w:tentative="1">
      <w:start w:val="1"/>
      <w:numFmt w:val="bullet"/>
      <w:lvlText w:val="•"/>
      <w:lvlJc w:val="left"/>
      <w:pPr>
        <w:tabs>
          <w:tab w:val="num" w:pos="1440"/>
        </w:tabs>
        <w:ind w:left="1440" w:hanging="360"/>
      </w:pPr>
      <w:rPr>
        <w:rFonts w:ascii="Arial" w:hAnsi="Arial" w:hint="default"/>
      </w:rPr>
    </w:lvl>
    <w:lvl w:ilvl="2" w:tplc="D57A59D6" w:tentative="1">
      <w:start w:val="1"/>
      <w:numFmt w:val="bullet"/>
      <w:lvlText w:val="•"/>
      <w:lvlJc w:val="left"/>
      <w:pPr>
        <w:tabs>
          <w:tab w:val="num" w:pos="2160"/>
        </w:tabs>
        <w:ind w:left="2160" w:hanging="360"/>
      </w:pPr>
      <w:rPr>
        <w:rFonts w:ascii="Arial" w:hAnsi="Arial" w:hint="default"/>
      </w:rPr>
    </w:lvl>
    <w:lvl w:ilvl="3" w:tplc="C5025DC2" w:tentative="1">
      <w:start w:val="1"/>
      <w:numFmt w:val="bullet"/>
      <w:lvlText w:val="•"/>
      <w:lvlJc w:val="left"/>
      <w:pPr>
        <w:tabs>
          <w:tab w:val="num" w:pos="2880"/>
        </w:tabs>
        <w:ind w:left="2880" w:hanging="360"/>
      </w:pPr>
      <w:rPr>
        <w:rFonts w:ascii="Arial" w:hAnsi="Arial" w:hint="default"/>
      </w:rPr>
    </w:lvl>
    <w:lvl w:ilvl="4" w:tplc="40349504" w:tentative="1">
      <w:start w:val="1"/>
      <w:numFmt w:val="bullet"/>
      <w:lvlText w:val="•"/>
      <w:lvlJc w:val="left"/>
      <w:pPr>
        <w:tabs>
          <w:tab w:val="num" w:pos="3600"/>
        </w:tabs>
        <w:ind w:left="3600" w:hanging="360"/>
      </w:pPr>
      <w:rPr>
        <w:rFonts w:ascii="Arial" w:hAnsi="Arial" w:hint="default"/>
      </w:rPr>
    </w:lvl>
    <w:lvl w:ilvl="5" w:tplc="28C201FA" w:tentative="1">
      <w:start w:val="1"/>
      <w:numFmt w:val="bullet"/>
      <w:lvlText w:val="•"/>
      <w:lvlJc w:val="left"/>
      <w:pPr>
        <w:tabs>
          <w:tab w:val="num" w:pos="4320"/>
        </w:tabs>
        <w:ind w:left="4320" w:hanging="360"/>
      </w:pPr>
      <w:rPr>
        <w:rFonts w:ascii="Arial" w:hAnsi="Arial" w:hint="default"/>
      </w:rPr>
    </w:lvl>
    <w:lvl w:ilvl="6" w:tplc="1898FD60" w:tentative="1">
      <w:start w:val="1"/>
      <w:numFmt w:val="bullet"/>
      <w:lvlText w:val="•"/>
      <w:lvlJc w:val="left"/>
      <w:pPr>
        <w:tabs>
          <w:tab w:val="num" w:pos="5040"/>
        </w:tabs>
        <w:ind w:left="5040" w:hanging="360"/>
      </w:pPr>
      <w:rPr>
        <w:rFonts w:ascii="Arial" w:hAnsi="Arial" w:hint="default"/>
      </w:rPr>
    </w:lvl>
    <w:lvl w:ilvl="7" w:tplc="0DCEF6C8" w:tentative="1">
      <w:start w:val="1"/>
      <w:numFmt w:val="bullet"/>
      <w:lvlText w:val="•"/>
      <w:lvlJc w:val="left"/>
      <w:pPr>
        <w:tabs>
          <w:tab w:val="num" w:pos="5760"/>
        </w:tabs>
        <w:ind w:left="5760" w:hanging="360"/>
      </w:pPr>
      <w:rPr>
        <w:rFonts w:ascii="Arial" w:hAnsi="Arial" w:hint="default"/>
      </w:rPr>
    </w:lvl>
    <w:lvl w:ilvl="8" w:tplc="E46C90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E77115"/>
    <w:multiLevelType w:val="hybridMultilevel"/>
    <w:tmpl w:val="0F64E6EE"/>
    <w:lvl w:ilvl="0" w:tplc="F74CDE30">
      <w:start w:val="1"/>
      <w:numFmt w:val="bullet"/>
      <w:lvlText w:val="•"/>
      <w:lvlJc w:val="left"/>
      <w:pPr>
        <w:tabs>
          <w:tab w:val="num" w:pos="720"/>
        </w:tabs>
        <w:ind w:left="720" w:hanging="360"/>
      </w:pPr>
      <w:rPr>
        <w:rFonts w:ascii="Arial" w:hAnsi="Arial" w:hint="default"/>
      </w:rPr>
    </w:lvl>
    <w:lvl w:ilvl="1" w:tplc="95C4ECB2">
      <w:numFmt w:val="bullet"/>
      <w:lvlText w:val="–"/>
      <w:lvlJc w:val="left"/>
      <w:pPr>
        <w:tabs>
          <w:tab w:val="num" w:pos="1440"/>
        </w:tabs>
        <w:ind w:left="1440" w:hanging="360"/>
      </w:pPr>
      <w:rPr>
        <w:rFonts w:ascii="Arial" w:hAnsi="Arial" w:hint="default"/>
      </w:rPr>
    </w:lvl>
    <w:lvl w:ilvl="2" w:tplc="FB86F81C" w:tentative="1">
      <w:start w:val="1"/>
      <w:numFmt w:val="bullet"/>
      <w:lvlText w:val="•"/>
      <w:lvlJc w:val="left"/>
      <w:pPr>
        <w:tabs>
          <w:tab w:val="num" w:pos="2160"/>
        </w:tabs>
        <w:ind w:left="2160" w:hanging="360"/>
      </w:pPr>
      <w:rPr>
        <w:rFonts w:ascii="Arial" w:hAnsi="Arial" w:hint="default"/>
      </w:rPr>
    </w:lvl>
    <w:lvl w:ilvl="3" w:tplc="D8D03BA2" w:tentative="1">
      <w:start w:val="1"/>
      <w:numFmt w:val="bullet"/>
      <w:lvlText w:val="•"/>
      <w:lvlJc w:val="left"/>
      <w:pPr>
        <w:tabs>
          <w:tab w:val="num" w:pos="2880"/>
        </w:tabs>
        <w:ind w:left="2880" w:hanging="360"/>
      </w:pPr>
      <w:rPr>
        <w:rFonts w:ascii="Arial" w:hAnsi="Arial" w:hint="default"/>
      </w:rPr>
    </w:lvl>
    <w:lvl w:ilvl="4" w:tplc="4858B886" w:tentative="1">
      <w:start w:val="1"/>
      <w:numFmt w:val="bullet"/>
      <w:lvlText w:val="•"/>
      <w:lvlJc w:val="left"/>
      <w:pPr>
        <w:tabs>
          <w:tab w:val="num" w:pos="3600"/>
        </w:tabs>
        <w:ind w:left="3600" w:hanging="360"/>
      </w:pPr>
      <w:rPr>
        <w:rFonts w:ascii="Arial" w:hAnsi="Arial" w:hint="default"/>
      </w:rPr>
    </w:lvl>
    <w:lvl w:ilvl="5" w:tplc="98B4B63E" w:tentative="1">
      <w:start w:val="1"/>
      <w:numFmt w:val="bullet"/>
      <w:lvlText w:val="•"/>
      <w:lvlJc w:val="left"/>
      <w:pPr>
        <w:tabs>
          <w:tab w:val="num" w:pos="4320"/>
        </w:tabs>
        <w:ind w:left="4320" w:hanging="360"/>
      </w:pPr>
      <w:rPr>
        <w:rFonts w:ascii="Arial" w:hAnsi="Arial" w:hint="default"/>
      </w:rPr>
    </w:lvl>
    <w:lvl w:ilvl="6" w:tplc="E50A7644" w:tentative="1">
      <w:start w:val="1"/>
      <w:numFmt w:val="bullet"/>
      <w:lvlText w:val="•"/>
      <w:lvlJc w:val="left"/>
      <w:pPr>
        <w:tabs>
          <w:tab w:val="num" w:pos="5040"/>
        </w:tabs>
        <w:ind w:left="5040" w:hanging="360"/>
      </w:pPr>
      <w:rPr>
        <w:rFonts w:ascii="Arial" w:hAnsi="Arial" w:hint="default"/>
      </w:rPr>
    </w:lvl>
    <w:lvl w:ilvl="7" w:tplc="909C5D76" w:tentative="1">
      <w:start w:val="1"/>
      <w:numFmt w:val="bullet"/>
      <w:lvlText w:val="•"/>
      <w:lvlJc w:val="left"/>
      <w:pPr>
        <w:tabs>
          <w:tab w:val="num" w:pos="5760"/>
        </w:tabs>
        <w:ind w:left="5760" w:hanging="360"/>
      </w:pPr>
      <w:rPr>
        <w:rFonts w:ascii="Arial" w:hAnsi="Arial" w:hint="default"/>
      </w:rPr>
    </w:lvl>
    <w:lvl w:ilvl="8" w:tplc="032625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402C12"/>
    <w:multiLevelType w:val="hybridMultilevel"/>
    <w:tmpl w:val="DD886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FD7A4E"/>
    <w:multiLevelType w:val="hybridMultilevel"/>
    <w:tmpl w:val="AFE45826"/>
    <w:lvl w:ilvl="0" w:tplc="036A68D8">
      <w:start w:val="1"/>
      <w:numFmt w:val="bullet"/>
      <w:lvlText w:val="•"/>
      <w:lvlJc w:val="left"/>
      <w:pPr>
        <w:tabs>
          <w:tab w:val="num" w:pos="720"/>
        </w:tabs>
        <w:ind w:left="720" w:hanging="360"/>
      </w:pPr>
      <w:rPr>
        <w:rFonts w:ascii="Arial" w:hAnsi="Arial" w:hint="default"/>
      </w:rPr>
    </w:lvl>
    <w:lvl w:ilvl="1" w:tplc="C06A49C6" w:tentative="1">
      <w:start w:val="1"/>
      <w:numFmt w:val="bullet"/>
      <w:lvlText w:val="•"/>
      <w:lvlJc w:val="left"/>
      <w:pPr>
        <w:tabs>
          <w:tab w:val="num" w:pos="1440"/>
        </w:tabs>
        <w:ind w:left="1440" w:hanging="360"/>
      </w:pPr>
      <w:rPr>
        <w:rFonts w:ascii="Arial" w:hAnsi="Arial" w:hint="default"/>
      </w:rPr>
    </w:lvl>
    <w:lvl w:ilvl="2" w:tplc="7EF4E588" w:tentative="1">
      <w:start w:val="1"/>
      <w:numFmt w:val="bullet"/>
      <w:lvlText w:val="•"/>
      <w:lvlJc w:val="left"/>
      <w:pPr>
        <w:tabs>
          <w:tab w:val="num" w:pos="2160"/>
        </w:tabs>
        <w:ind w:left="2160" w:hanging="360"/>
      </w:pPr>
      <w:rPr>
        <w:rFonts w:ascii="Arial" w:hAnsi="Arial" w:hint="default"/>
      </w:rPr>
    </w:lvl>
    <w:lvl w:ilvl="3" w:tplc="57CA7C5A" w:tentative="1">
      <w:start w:val="1"/>
      <w:numFmt w:val="bullet"/>
      <w:lvlText w:val="•"/>
      <w:lvlJc w:val="left"/>
      <w:pPr>
        <w:tabs>
          <w:tab w:val="num" w:pos="2880"/>
        </w:tabs>
        <w:ind w:left="2880" w:hanging="360"/>
      </w:pPr>
      <w:rPr>
        <w:rFonts w:ascii="Arial" w:hAnsi="Arial" w:hint="default"/>
      </w:rPr>
    </w:lvl>
    <w:lvl w:ilvl="4" w:tplc="EA52122C" w:tentative="1">
      <w:start w:val="1"/>
      <w:numFmt w:val="bullet"/>
      <w:lvlText w:val="•"/>
      <w:lvlJc w:val="left"/>
      <w:pPr>
        <w:tabs>
          <w:tab w:val="num" w:pos="3600"/>
        </w:tabs>
        <w:ind w:left="3600" w:hanging="360"/>
      </w:pPr>
      <w:rPr>
        <w:rFonts w:ascii="Arial" w:hAnsi="Arial" w:hint="default"/>
      </w:rPr>
    </w:lvl>
    <w:lvl w:ilvl="5" w:tplc="A2AAFD3A" w:tentative="1">
      <w:start w:val="1"/>
      <w:numFmt w:val="bullet"/>
      <w:lvlText w:val="•"/>
      <w:lvlJc w:val="left"/>
      <w:pPr>
        <w:tabs>
          <w:tab w:val="num" w:pos="4320"/>
        </w:tabs>
        <w:ind w:left="4320" w:hanging="360"/>
      </w:pPr>
      <w:rPr>
        <w:rFonts w:ascii="Arial" w:hAnsi="Arial" w:hint="default"/>
      </w:rPr>
    </w:lvl>
    <w:lvl w:ilvl="6" w:tplc="3CD2B586" w:tentative="1">
      <w:start w:val="1"/>
      <w:numFmt w:val="bullet"/>
      <w:lvlText w:val="•"/>
      <w:lvlJc w:val="left"/>
      <w:pPr>
        <w:tabs>
          <w:tab w:val="num" w:pos="5040"/>
        </w:tabs>
        <w:ind w:left="5040" w:hanging="360"/>
      </w:pPr>
      <w:rPr>
        <w:rFonts w:ascii="Arial" w:hAnsi="Arial" w:hint="default"/>
      </w:rPr>
    </w:lvl>
    <w:lvl w:ilvl="7" w:tplc="749296F6" w:tentative="1">
      <w:start w:val="1"/>
      <w:numFmt w:val="bullet"/>
      <w:lvlText w:val="•"/>
      <w:lvlJc w:val="left"/>
      <w:pPr>
        <w:tabs>
          <w:tab w:val="num" w:pos="5760"/>
        </w:tabs>
        <w:ind w:left="5760" w:hanging="360"/>
      </w:pPr>
      <w:rPr>
        <w:rFonts w:ascii="Arial" w:hAnsi="Arial" w:hint="default"/>
      </w:rPr>
    </w:lvl>
    <w:lvl w:ilvl="8" w:tplc="FCA4BB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6F48AF"/>
    <w:multiLevelType w:val="hybridMultilevel"/>
    <w:tmpl w:val="4330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6427B"/>
    <w:multiLevelType w:val="hybridMultilevel"/>
    <w:tmpl w:val="7AFCBBBA"/>
    <w:lvl w:ilvl="0" w:tplc="BC5CBA9C">
      <w:start w:val="1"/>
      <w:numFmt w:val="decimal"/>
      <w:lvlText w:val="%1."/>
      <w:lvlJc w:val="righ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24091"/>
    <w:multiLevelType w:val="hybridMultilevel"/>
    <w:tmpl w:val="7E945D38"/>
    <w:lvl w:ilvl="0" w:tplc="A5FE72B8">
      <w:start w:val="1"/>
      <w:numFmt w:val="bullet"/>
      <w:lvlText w:val="•"/>
      <w:lvlJc w:val="left"/>
      <w:pPr>
        <w:tabs>
          <w:tab w:val="num" w:pos="720"/>
        </w:tabs>
        <w:ind w:left="720" w:hanging="360"/>
      </w:pPr>
      <w:rPr>
        <w:rFonts w:ascii="Arial" w:hAnsi="Arial" w:hint="default"/>
      </w:rPr>
    </w:lvl>
    <w:lvl w:ilvl="1" w:tplc="7FA41ADE">
      <w:numFmt w:val="bullet"/>
      <w:lvlText w:val="–"/>
      <w:lvlJc w:val="left"/>
      <w:pPr>
        <w:tabs>
          <w:tab w:val="num" w:pos="1440"/>
        </w:tabs>
        <w:ind w:left="1440" w:hanging="360"/>
      </w:pPr>
      <w:rPr>
        <w:rFonts w:ascii="Arial" w:hAnsi="Arial" w:hint="default"/>
      </w:rPr>
    </w:lvl>
    <w:lvl w:ilvl="2" w:tplc="37C28DB2" w:tentative="1">
      <w:start w:val="1"/>
      <w:numFmt w:val="bullet"/>
      <w:lvlText w:val="•"/>
      <w:lvlJc w:val="left"/>
      <w:pPr>
        <w:tabs>
          <w:tab w:val="num" w:pos="2160"/>
        </w:tabs>
        <w:ind w:left="2160" w:hanging="360"/>
      </w:pPr>
      <w:rPr>
        <w:rFonts w:ascii="Arial" w:hAnsi="Arial" w:hint="default"/>
      </w:rPr>
    </w:lvl>
    <w:lvl w:ilvl="3" w:tplc="61ECEEE8" w:tentative="1">
      <w:start w:val="1"/>
      <w:numFmt w:val="bullet"/>
      <w:lvlText w:val="•"/>
      <w:lvlJc w:val="left"/>
      <w:pPr>
        <w:tabs>
          <w:tab w:val="num" w:pos="2880"/>
        </w:tabs>
        <w:ind w:left="2880" w:hanging="360"/>
      </w:pPr>
      <w:rPr>
        <w:rFonts w:ascii="Arial" w:hAnsi="Arial" w:hint="default"/>
      </w:rPr>
    </w:lvl>
    <w:lvl w:ilvl="4" w:tplc="E354A70A" w:tentative="1">
      <w:start w:val="1"/>
      <w:numFmt w:val="bullet"/>
      <w:lvlText w:val="•"/>
      <w:lvlJc w:val="left"/>
      <w:pPr>
        <w:tabs>
          <w:tab w:val="num" w:pos="3600"/>
        </w:tabs>
        <w:ind w:left="3600" w:hanging="360"/>
      </w:pPr>
      <w:rPr>
        <w:rFonts w:ascii="Arial" w:hAnsi="Arial" w:hint="default"/>
      </w:rPr>
    </w:lvl>
    <w:lvl w:ilvl="5" w:tplc="D8361EA2" w:tentative="1">
      <w:start w:val="1"/>
      <w:numFmt w:val="bullet"/>
      <w:lvlText w:val="•"/>
      <w:lvlJc w:val="left"/>
      <w:pPr>
        <w:tabs>
          <w:tab w:val="num" w:pos="4320"/>
        </w:tabs>
        <w:ind w:left="4320" w:hanging="360"/>
      </w:pPr>
      <w:rPr>
        <w:rFonts w:ascii="Arial" w:hAnsi="Arial" w:hint="default"/>
      </w:rPr>
    </w:lvl>
    <w:lvl w:ilvl="6" w:tplc="99E69EA4" w:tentative="1">
      <w:start w:val="1"/>
      <w:numFmt w:val="bullet"/>
      <w:lvlText w:val="•"/>
      <w:lvlJc w:val="left"/>
      <w:pPr>
        <w:tabs>
          <w:tab w:val="num" w:pos="5040"/>
        </w:tabs>
        <w:ind w:left="5040" w:hanging="360"/>
      </w:pPr>
      <w:rPr>
        <w:rFonts w:ascii="Arial" w:hAnsi="Arial" w:hint="default"/>
      </w:rPr>
    </w:lvl>
    <w:lvl w:ilvl="7" w:tplc="857C642A" w:tentative="1">
      <w:start w:val="1"/>
      <w:numFmt w:val="bullet"/>
      <w:lvlText w:val="•"/>
      <w:lvlJc w:val="left"/>
      <w:pPr>
        <w:tabs>
          <w:tab w:val="num" w:pos="5760"/>
        </w:tabs>
        <w:ind w:left="5760" w:hanging="360"/>
      </w:pPr>
      <w:rPr>
        <w:rFonts w:ascii="Arial" w:hAnsi="Arial" w:hint="default"/>
      </w:rPr>
    </w:lvl>
    <w:lvl w:ilvl="8" w:tplc="062C08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6139C5"/>
    <w:multiLevelType w:val="hybridMultilevel"/>
    <w:tmpl w:val="FB5802DA"/>
    <w:lvl w:ilvl="0" w:tplc="C4824EC6">
      <w:start w:val="1"/>
      <w:numFmt w:val="bullet"/>
      <w:lvlText w:val="•"/>
      <w:lvlJc w:val="left"/>
      <w:pPr>
        <w:tabs>
          <w:tab w:val="num" w:pos="720"/>
        </w:tabs>
        <w:ind w:left="720" w:hanging="360"/>
      </w:pPr>
      <w:rPr>
        <w:rFonts w:ascii="Arial" w:hAnsi="Arial" w:hint="default"/>
      </w:rPr>
    </w:lvl>
    <w:lvl w:ilvl="1" w:tplc="8D9AD758" w:tentative="1">
      <w:start w:val="1"/>
      <w:numFmt w:val="bullet"/>
      <w:lvlText w:val="•"/>
      <w:lvlJc w:val="left"/>
      <w:pPr>
        <w:tabs>
          <w:tab w:val="num" w:pos="1440"/>
        </w:tabs>
        <w:ind w:left="1440" w:hanging="360"/>
      </w:pPr>
      <w:rPr>
        <w:rFonts w:ascii="Arial" w:hAnsi="Arial" w:hint="default"/>
      </w:rPr>
    </w:lvl>
    <w:lvl w:ilvl="2" w:tplc="CEEA998E" w:tentative="1">
      <w:start w:val="1"/>
      <w:numFmt w:val="bullet"/>
      <w:lvlText w:val="•"/>
      <w:lvlJc w:val="left"/>
      <w:pPr>
        <w:tabs>
          <w:tab w:val="num" w:pos="2160"/>
        </w:tabs>
        <w:ind w:left="2160" w:hanging="360"/>
      </w:pPr>
      <w:rPr>
        <w:rFonts w:ascii="Arial" w:hAnsi="Arial" w:hint="default"/>
      </w:rPr>
    </w:lvl>
    <w:lvl w:ilvl="3" w:tplc="5582CA58" w:tentative="1">
      <w:start w:val="1"/>
      <w:numFmt w:val="bullet"/>
      <w:lvlText w:val="•"/>
      <w:lvlJc w:val="left"/>
      <w:pPr>
        <w:tabs>
          <w:tab w:val="num" w:pos="2880"/>
        </w:tabs>
        <w:ind w:left="2880" w:hanging="360"/>
      </w:pPr>
      <w:rPr>
        <w:rFonts w:ascii="Arial" w:hAnsi="Arial" w:hint="default"/>
      </w:rPr>
    </w:lvl>
    <w:lvl w:ilvl="4" w:tplc="3E3252C0" w:tentative="1">
      <w:start w:val="1"/>
      <w:numFmt w:val="bullet"/>
      <w:lvlText w:val="•"/>
      <w:lvlJc w:val="left"/>
      <w:pPr>
        <w:tabs>
          <w:tab w:val="num" w:pos="3600"/>
        </w:tabs>
        <w:ind w:left="3600" w:hanging="360"/>
      </w:pPr>
      <w:rPr>
        <w:rFonts w:ascii="Arial" w:hAnsi="Arial" w:hint="default"/>
      </w:rPr>
    </w:lvl>
    <w:lvl w:ilvl="5" w:tplc="E39A1B22" w:tentative="1">
      <w:start w:val="1"/>
      <w:numFmt w:val="bullet"/>
      <w:lvlText w:val="•"/>
      <w:lvlJc w:val="left"/>
      <w:pPr>
        <w:tabs>
          <w:tab w:val="num" w:pos="4320"/>
        </w:tabs>
        <w:ind w:left="4320" w:hanging="360"/>
      </w:pPr>
      <w:rPr>
        <w:rFonts w:ascii="Arial" w:hAnsi="Arial" w:hint="default"/>
      </w:rPr>
    </w:lvl>
    <w:lvl w:ilvl="6" w:tplc="26C0D958" w:tentative="1">
      <w:start w:val="1"/>
      <w:numFmt w:val="bullet"/>
      <w:lvlText w:val="•"/>
      <w:lvlJc w:val="left"/>
      <w:pPr>
        <w:tabs>
          <w:tab w:val="num" w:pos="5040"/>
        </w:tabs>
        <w:ind w:left="5040" w:hanging="360"/>
      </w:pPr>
      <w:rPr>
        <w:rFonts w:ascii="Arial" w:hAnsi="Arial" w:hint="default"/>
      </w:rPr>
    </w:lvl>
    <w:lvl w:ilvl="7" w:tplc="8DE8A496" w:tentative="1">
      <w:start w:val="1"/>
      <w:numFmt w:val="bullet"/>
      <w:lvlText w:val="•"/>
      <w:lvlJc w:val="left"/>
      <w:pPr>
        <w:tabs>
          <w:tab w:val="num" w:pos="5760"/>
        </w:tabs>
        <w:ind w:left="5760" w:hanging="360"/>
      </w:pPr>
      <w:rPr>
        <w:rFonts w:ascii="Arial" w:hAnsi="Arial" w:hint="default"/>
      </w:rPr>
    </w:lvl>
    <w:lvl w:ilvl="8" w:tplc="84E4C7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050F50"/>
    <w:multiLevelType w:val="hybridMultilevel"/>
    <w:tmpl w:val="6104575E"/>
    <w:lvl w:ilvl="0" w:tplc="0BD2E988">
      <w:start w:val="1"/>
      <w:numFmt w:val="bullet"/>
      <w:lvlText w:val="•"/>
      <w:lvlJc w:val="left"/>
      <w:pPr>
        <w:tabs>
          <w:tab w:val="num" w:pos="720"/>
        </w:tabs>
        <w:ind w:left="720" w:hanging="360"/>
      </w:pPr>
      <w:rPr>
        <w:rFonts w:ascii="Arial" w:hAnsi="Arial" w:hint="default"/>
      </w:rPr>
    </w:lvl>
    <w:lvl w:ilvl="1" w:tplc="92E01162" w:tentative="1">
      <w:start w:val="1"/>
      <w:numFmt w:val="bullet"/>
      <w:lvlText w:val="•"/>
      <w:lvlJc w:val="left"/>
      <w:pPr>
        <w:tabs>
          <w:tab w:val="num" w:pos="1440"/>
        </w:tabs>
        <w:ind w:left="1440" w:hanging="360"/>
      </w:pPr>
      <w:rPr>
        <w:rFonts w:ascii="Arial" w:hAnsi="Arial" w:hint="default"/>
      </w:rPr>
    </w:lvl>
    <w:lvl w:ilvl="2" w:tplc="2982DFD4" w:tentative="1">
      <w:start w:val="1"/>
      <w:numFmt w:val="bullet"/>
      <w:lvlText w:val="•"/>
      <w:lvlJc w:val="left"/>
      <w:pPr>
        <w:tabs>
          <w:tab w:val="num" w:pos="2160"/>
        </w:tabs>
        <w:ind w:left="2160" w:hanging="360"/>
      </w:pPr>
      <w:rPr>
        <w:rFonts w:ascii="Arial" w:hAnsi="Arial" w:hint="default"/>
      </w:rPr>
    </w:lvl>
    <w:lvl w:ilvl="3" w:tplc="4378E00C" w:tentative="1">
      <w:start w:val="1"/>
      <w:numFmt w:val="bullet"/>
      <w:lvlText w:val="•"/>
      <w:lvlJc w:val="left"/>
      <w:pPr>
        <w:tabs>
          <w:tab w:val="num" w:pos="2880"/>
        </w:tabs>
        <w:ind w:left="2880" w:hanging="360"/>
      </w:pPr>
      <w:rPr>
        <w:rFonts w:ascii="Arial" w:hAnsi="Arial" w:hint="default"/>
      </w:rPr>
    </w:lvl>
    <w:lvl w:ilvl="4" w:tplc="F154A9CE" w:tentative="1">
      <w:start w:val="1"/>
      <w:numFmt w:val="bullet"/>
      <w:lvlText w:val="•"/>
      <w:lvlJc w:val="left"/>
      <w:pPr>
        <w:tabs>
          <w:tab w:val="num" w:pos="3600"/>
        </w:tabs>
        <w:ind w:left="3600" w:hanging="360"/>
      </w:pPr>
      <w:rPr>
        <w:rFonts w:ascii="Arial" w:hAnsi="Arial" w:hint="default"/>
      </w:rPr>
    </w:lvl>
    <w:lvl w:ilvl="5" w:tplc="D2C8EBB8" w:tentative="1">
      <w:start w:val="1"/>
      <w:numFmt w:val="bullet"/>
      <w:lvlText w:val="•"/>
      <w:lvlJc w:val="left"/>
      <w:pPr>
        <w:tabs>
          <w:tab w:val="num" w:pos="4320"/>
        </w:tabs>
        <w:ind w:left="4320" w:hanging="360"/>
      </w:pPr>
      <w:rPr>
        <w:rFonts w:ascii="Arial" w:hAnsi="Arial" w:hint="default"/>
      </w:rPr>
    </w:lvl>
    <w:lvl w:ilvl="6" w:tplc="75465924" w:tentative="1">
      <w:start w:val="1"/>
      <w:numFmt w:val="bullet"/>
      <w:lvlText w:val="•"/>
      <w:lvlJc w:val="left"/>
      <w:pPr>
        <w:tabs>
          <w:tab w:val="num" w:pos="5040"/>
        </w:tabs>
        <w:ind w:left="5040" w:hanging="360"/>
      </w:pPr>
      <w:rPr>
        <w:rFonts w:ascii="Arial" w:hAnsi="Arial" w:hint="default"/>
      </w:rPr>
    </w:lvl>
    <w:lvl w:ilvl="7" w:tplc="211EEB5E" w:tentative="1">
      <w:start w:val="1"/>
      <w:numFmt w:val="bullet"/>
      <w:lvlText w:val="•"/>
      <w:lvlJc w:val="left"/>
      <w:pPr>
        <w:tabs>
          <w:tab w:val="num" w:pos="5760"/>
        </w:tabs>
        <w:ind w:left="5760" w:hanging="360"/>
      </w:pPr>
      <w:rPr>
        <w:rFonts w:ascii="Arial" w:hAnsi="Arial" w:hint="default"/>
      </w:rPr>
    </w:lvl>
    <w:lvl w:ilvl="8" w:tplc="2320004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975B26"/>
    <w:multiLevelType w:val="hybridMultilevel"/>
    <w:tmpl w:val="18805746"/>
    <w:lvl w:ilvl="0" w:tplc="9668B4FC">
      <w:start w:val="1"/>
      <w:numFmt w:val="bullet"/>
      <w:lvlText w:val="•"/>
      <w:lvlJc w:val="left"/>
      <w:pPr>
        <w:tabs>
          <w:tab w:val="num" w:pos="720"/>
        </w:tabs>
        <w:ind w:left="720" w:hanging="360"/>
      </w:pPr>
      <w:rPr>
        <w:rFonts w:ascii="Arial" w:hAnsi="Arial" w:hint="default"/>
      </w:rPr>
    </w:lvl>
    <w:lvl w:ilvl="1" w:tplc="9AC282F2">
      <w:numFmt w:val="bullet"/>
      <w:lvlText w:val="–"/>
      <w:lvlJc w:val="left"/>
      <w:pPr>
        <w:tabs>
          <w:tab w:val="num" w:pos="1440"/>
        </w:tabs>
        <w:ind w:left="1440" w:hanging="360"/>
      </w:pPr>
      <w:rPr>
        <w:rFonts w:ascii="Arial" w:hAnsi="Arial" w:hint="default"/>
      </w:rPr>
    </w:lvl>
    <w:lvl w:ilvl="2" w:tplc="ED82413A" w:tentative="1">
      <w:start w:val="1"/>
      <w:numFmt w:val="bullet"/>
      <w:lvlText w:val="•"/>
      <w:lvlJc w:val="left"/>
      <w:pPr>
        <w:tabs>
          <w:tab w:val="num" w:pos="2160"/>
        </w:tabs>
        <w:ind w:left="2160" w:hanging="360"/>
      </w:pPr>
      <w:rPr>
        <w:rFonts w:ascii="Arial" w:hAnsi="Arial" w:hint="default"/>
      </w:rPr>
    </w:lvl>
    <w:lvl w:ilvl="3" w:tplc="B15243C2" w:tentative="1">
      <w:start w:val="1"/>
      <w:numFmt w:val="bullet"/>
      <w:lvlText w:val="•"/>
      <w:lvlJc w:val="left"/>
      <w:pPr>
        <w:tabs>
          <w:tab w:val="num" w:pos="2880"/>
        </w:tabs>
        <w:ind w:left="2880" w:hanging="360"/>
      </w:pPr>
      <w:rPr>
        <w:rFonts w:ascii="Arial" w:hAnsi="Arial" w:hint="default"/>
      </w:rPr>
    </w:lvl>
    <w:lvl w:ilvl="4" w:tplc="BF2CA4CC" w:tentative="1">
      <w:start w:val="1"/>
      <w:numFmt w:val="bullet"/>
      <w:lvlText w:val="•"/>
      <w:lvlJc w:val="left"/>
      <w:pPr>
        <w:tabs>
          <w:tab w:val="num" w:pos="3600"/>
        </w:tabs>
        <w:ind w:left="3600" w:hanging="360"/>
      </w:pPr>
      <w:rPr>
        <w:rFonts w:ascii="Arial" w:hAnsi="Arial" w:hint="default"/>
      </w:rPr>
    </w:lvl>
    <w:lvl w:ilvl="5" w:tplc="9C40B910" w:tentative="1">
      <w:start w:val="1"/>
      <w:numFmt w:val="bullet"/>
      <w:lvlText w:val="•"/>
      <w:lvlJc w:val="left"/>
      <w:pPr>
        <w:tabs>
          <w:tab w:val="num" w:pos="4320"/>
        </w:tabs>
        <w:ind w:left="4320" w:hanging="360"/>
      </w:pPr>
      <w:rPr>
        <w:rFonts w:ascii="Arial" w:hAnsi="Arial" w:hint="default"/>
      </w:rPr>
    </w:lvl>
    <w:lvl w:ilvl="6" w:tplc="53045BC4" w:tentative="1">
      <w:start w:val="1"/>
      <w:numFmt w:val="bullet"/>
      <w:lvlText w:val="•"/>
      <w:lvlJc w:val="left"/>
      <w:pPr>
        <w:tabs>
          <w:tab w:val="num" w:pos="5040"/>
        </w:tabs>
        <w:ind w:left="5040" w:hanging="360"/>
      </w:pPr>
      <w:rPr>
        <w:rFonts w:ascii="Arial" w:hAnsi="Arial" w:hint="default"/>
      </w:rPr>
    </w:lvl>
    <w:lvl w:ilvl="7" w:tplc="D14263B0" w:tentative="1">
      <w:start w:val="1"/>
      <w:numFmt w:val="bullet"/>
      <w:lvlText w:val="•"/>
      <w:lvlJc w:val="left"/>
      <w:pPr>
        <w:tabs>
          <w:tab w:val="num" w:pos="5760"/>
        </w:tabs>
        <w:ind w:left="5760" w:hanging="360"/>
      </w:pPr>
      <w:rPr>
        <w:rFonts w:ascii="Arial" w:hAnsi="Arial" w:hint="default"/>
      </w:rPr>
    </w:lvl>
    <w:lvl w:ilvl="8" w:tplc="E572E0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9809E1"/>
    <w:multiLevelType w:val="hybridMultilevel"/>
    <w:tmpl w:val="7B20E368"/>
    <w:lvl w:ilvl="0" w:tplc="BD7849D2">
      <w:start w:val="1"/>
      <w:numFmt w:val="bullet"/>
      <w:lvlText w:val="•"/>
      <w:lvlJc w:val="left"/>
      <w:pPr>
        <w:tabs>
          <w:tab w:val="num" w:pos="720"/>
        </w:tabs>
        <w:ind w:left="720" w:hanging="360"/>
      </w:pPr>
      <w:rPr>
        <w:rFonts w:ascii="Arial" w:hAnsi="Arial" w:hint="default"/>
      </w:rPr>
    </w:lvl>
    <w:lvl w:ilvl="1" w:tplc="6E86653C">
      <w:numFmt w:val="bullet"/>
      <w:lvlText w:val="–"/>
      <w:lvlJc w:val="left"/>
      <w:pPr>
        <w:tabs>
          <w:tab w:val="num" w:pos="1440"/>
        </w:tabs>
        <w:ind w:left="1440" w:hanging="360"/>
      </w:pPr>
      <w:rPr>
        <w:rFonts w:ascii="Arial" w:hAnsi="Arial" w:hint="default"/>
      </w:rPr>
    </w:lvl>
    <w:lvl w:ilvl="2" w:tplc="39FE316A" w:tentative="1">
      <w:start w:val="1"/>
      <w:numFmt w:val="bullet"/>
      <w:lvlText w:val="•"/>
      <w:lvlJc w:val="left"/>
      <w:pPr>
        <w:tabs>
          <w:tab w:val="num" w:pos="2160"/>
        </w:tabs>
        <w:ind w:left="2160" w:hanging="360"/>
      </w:pPr>
      <w:rPr>
        <w:rFonts w:ascii="Arial" w:hAnsi="Arial" w:hint="default"/>
      </w:rPr>
    </w:lvl>
    <w:lvl w:ilvl="3" w:tplc="30E2A77C" w:tentative="1">
      <w:start w:val="1"/>
      <w:numFmt w:val="bullet"/>
      <w:lvlText w:val="•"/>
      <w:lvlJc w:val="left"/>
      <w:pPr>
        <w:tabs>
          <w:tab w:val="num" w:pos="2880"/>
        </w:tabs>
        <w:ind w:left="2880" w:hanging="360"/>
      </w:pPr>
      <w:rPr>
        <w:rFonts w:ascii="Arial" w:hAnsi="Arial" w:hint="default"/>
      </w:rPr>
    </w:lvl>
    <w:lvl w:ilvl="4" w:tplc="AE183F14" w:tentative="1">
      <w:start w:val="1"/>
      <w:numFmt w:val="bullet"/>
      <w:lvlText w:val="•"/>
      <w:lvlJc w:val="left"/>
      <w:pPr>
        <w:tabs>
          <w:tab w:val="num" w:pos="3600"/>
        </w:tabs>
        <w:ind w:left="3600" w:hanging="360"/>
      </w:pPr>
      <w:rPr>
        <w:rFonts w:ascii="Arial" w:hAnsi="Arial" w:hint="default"/>
      </w:rPr>
    </w:lvl>
    <w:lvl w:ilvl="5" w:tplc="6AD26AC4" w:tentative="1">
      <w:start w:val="1"/>
      <w:numFmt w:val="bullet"/>
      <w:lvlText w:val="•"/>
      <w:lvlJc w:val="left"/>
      <w:pPr>
        <w:tabs>
          <w:tab w:val="num" w:pos="4320"/>
        </w:tabs>
        <w:ind w:left="4320" w:hanging="360"/>
      </w:pPr>
      <w:rPr>
        <w:rFonts w:ascii="Arial" w:hAnsi="Arial" w:hint="default"/>
      </w:rPr>
    </w:lvl>
    <w:lvl w:ilvl="6" w:tplc="3F34105C" w:tentative="1">
      <w:start w:val="1"/>
      <w:numFmt w:val="bullet"/>
      <w:lvlText w:val="•"/>
      <w:lvlJc w:val="left"/>
      <w:pPr>
        <w:tabs>
          <w:tab w:val="num" w:pos="5040"/>
        </w:tabs>
        <w:ind w:left="5040" w:hanging="360"/>
      </w:pPr>
      <w:rPr>
        <w:rFonts w:ascii="Arial" w:hAnsi="Arial" w:hint="default"/>
      </w:rPr>
    </w:lvl>
    <w:lvl w:ilvl="7" w:tplc="D5C8196E" w:tentative="1">
      <w:start w:val="1"/>
      <w:numFmt w:val="bullet"/>
      <w:lvlText w:val="•"/>
      <w:lvlJc w:val="left"/>
      <w:pPr>
        <w:tabs>
          <w:tab w:val="num" w:pos="5760"/>
        </w:tabs>
        <w:ind w:left="5760" w:hanging="360"/>
      </w:pPr>
      <w:rPr>
        <w:rFonts w:ascii="Arial" w:hAnsi="Arial" w:hint="default"/>
      </w:rPr>
    </w:lvl>
    <w:lvl w:ilvl="8" w:tplc="09B257B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5"/>
  </w:num>
  <w:num w:numId="3">
    <w:abstractNumId w:val="11"/>
  </w:num>
  <w:num w:numId="4">
    <w:abstractNumId w:val="9"/>
  </w:num>
  <w:num w:numId="5">
    <w:abstractNumId w:val="12"/>
  </w:num>
  <w:num w:numId="6">
    <w:abstractNumId w:val="14"/>
  </w:num>
  <w:num w:numId="7">
    <w:abstractNumId w:val="15"/>
  </w:num>
  <w:num w:numId="8">
    <w:abstractNumId w:val="13"/>
  </w:num>
  <w:num w:numId="9">
    <w:abstractNumId w:val="2"/>
  </w:num>
  <w:num w:numId="10">
    <w:abstractNumId w:val="18"/>
  </w:num>
  <w:num w:numId="11">
    <w:abstractNumId w:val="22"/>
  </w:num>
  <w:num w:numId="12">
    <w:abstractNumId w:val="24"/>
  </w:num>
  <w:num w:numId="13">
    <w:abstractNumId w:val="4"/>
  </w:num>
  <w:num w:numId="14">
    <w:abstractNumId w:val="3"/>
  </w:num>
  <w:num w:numId="15">
    <w:abstractNumId w:val="0"/>
  </w:num>
  <w:num w:numId="16">
    <w:abstractNumId w:val="10"/>
  </w:num>
  <w:num w:numId="17">
    <w:abstractNumId w:val="20"/>
  </w:num>
  <w:num w:numId="18">
    <w:abstractNumId w:val="7"/>
  </w:num>
  <w:num w:numId="19">
    <w:abstractNumId w:val="19"/>
  </w:num>
  <w:num w:numId="20">
    <w:abstractNumId w:val="28"/>
  </w:num>
  <w:num w:numId="21">
    <w:abstractNumId w:val="29"/>
  </w:num>
  <w:num w:numId="22">
    <w:abstractNumId w:val="16"/>
  </w:num>
  <w:num w:numId="23">
    <w:abstractNumId w:val="23"/>
  </w:num>
  <w:num w:numId="24">
    <w:abstractNumId w:val="1"/>
  </w:num>
  <w:num w:numId="25">
    <w:abstractNumId w:val="17"/>
  </w:num>
  <w:num w:numId="26">
    <w:abstractNumId w:val="8"/>
  </w:num>
  <w:num w:numId="27">
    <w:abstractNumId w:val="6"/>
  </w:num>
  <w:num w:numId="28">
    <w:abstractNumId w:val="30"/>
  </w:num>
  <w:num w:numId="29">
    <w:abstractNumId w:val="27"/>
  </w:num>
  <w:num w:numId="30">
    <w:abstractNumId w:val="21"/>
  </w:num>
  <w:num w:numId="3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3"/>
    <o:shapelayout v:ext="edit">
      <o:idmap v:ext="edit" data="20"/>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42"/>
    <w:rsid w:val="00000019"/>
    <w:rsid w:val="00001279"/>
    <w:rsid w:val="00001742"/>
    <w:rsid w:val="00007419"/>
    <w:rsid w:val="00011DD6"/>
    <w:rsid w:val="000135BE"/>
    <w:rsid w:val="000152AC"/>
    <w:rsid w:val="00016418"/>
    <w:rsid w:val="00016659"/>
    <w:rsid w:val="00024CA9"/>
    <w:rsid w:val="00024D69"/>
    <w:rsid w:val="0002586B"/>
    <w:rsid w:val="0002687B"/>
    <w:rsid w:val="00027CCC"/>
    <w:rsid w:val="00027F4F"/>
    <w:rsid w:val="00030911"/>
    <w:rsid w:val="000315E8"/>
    <w:rsid w:val="00034093"/>
    <w:rsid w:val="00035C88"/>
    <w:rsid w:val="00035E1C"/>
    <w:rsid w:val="00036376"/>
    <w:rsid w:val="00036C4B"/>
    <w:rsid w:val="000401E5"/>
    <w:rsid w:val="00042A2C"/>
    <w:rsid w:val="000446BF"/>
    <w:rsid w:val="00046577"/>
    <w:rsid w:val="000533D2"/>
    <w:rsid w:val="00054F71"/>
    <w:rsid w:val="0006054B"/>
    <w:rsid w:val="00062409"/>
    <w:rsid w:val="00063D58"/>
    <w:rsid w:val="00065242"/>
    <w:rsid w:val="00073E44"/>
    <w:rsid w:val="00077521"/>
    <w:rsid w:val="00083880"/>
    <w:rsid w:val="0009049E"/>
    <w:rsid w:val="0009069F"/>
    <w:rsid w:val="000942D4"/>
    <w:rsid w:val="00095459"/>
    <w:rsid w:val="000A2FE6"/>
    <w:rsid w:val="000B25BA"/>
    <w:rsid w:val="000B73E6"/>
    <w:rsid w:val="000C30F5"/>
    <w:rsid w:val="000C6062"/>
    <w:rsid w:val="000C73B9"/>
    <w:rsid w:val="000D0578"/>
    <w:rsid w:val="000E14ED"/>
    <w:rsid w:val="000E5B0C"/>
    <w:rsid w:val="000E645C"/>
    <w:rsid w:val="00100ED1"/>
    <w:rsid w:val="00104036"/>
    <w:rsid w:val="0010409C"/>
    <w:rsid w:val="001049F7"/>
    <w:rsid w:val="00105281"/>
    <w:rsid w:val="0010552B"/>
    <w:rsid w:val="0010783F"/>
    <w:rsid w:val="00115656"/>
    <w:rsid w:val="00115965"/>
    <w:rsid w:val="0011623D"/>
    <w:rsid w:val="0011623E"/>
    <w:rsid w:val="00124426"/>
    <w:rsid w:val="00130026"/>
    <w:rsid w:val="00130D0C"/>
    <w:rsid w:val="00136114"/>
    <w:rsid w:val="00136E7F"/>
    <w:rsid w:val="00136F49"/>
    <w:rsid w:val="001425C9"/>
    <w:rsid w:val="00145432"/>
    <w:rsid w:val="00147233"/>
    <w:rsid w:val="00150B86"/>
    <w:rsid w:val="0015252F"/>
    <w:rsid w:val="0016065D"/>
    <w:rsid w:val="00160DCA"/>
    <w:rsid w:val="00163AB5"/>
    <w:rsid w:val="00164012"/>
    <w:rsid w:val="00173711"/>
    <w:rsid w:val="0017456D"/>
    <w:rsid w:val="00176526"/>
    <w:rsid w:val="0018100A"/>
    <w:rsid w:val="0018450F"/>
    <w:rsid w:val="00184E6D"/>
    <w:rsid w:val="00192032"/>
    <w:rsid w:val="00194235"/>
    <w:rsid w:val="001942BB"/>
    <w:rsid w:val="001944E2"/>
    <w:rsid w:val="001A455E"/>
    <w:rsid w:val="001A4AD9"/>
    <w:rsid w:val="001B5080"/>
    <w:rsid w:val="001B5D3E"/>
    <w:rsid w:val="001C1F2C"/>
    <w:rsid w:val="001C27DE"/>
    <w:rsid w:val="001C31A4"/>
    <w:rsid w:val="001C5812"/>
    <w:rsid w:val="001C7BE4"/>
    <w:rsid w:val="001D0053"/>
    <w:rsid w:val="001D0944"/>
    <w:rsid w:val="001D2493"/>
    <w:rsid w:val="001D2B06"/>
    <w:rsid w:val="001D43B4"/>
    <w:rsid w:val="001D4D7F"/>
    <w:rsid w:val="001D73D7"/>
    <w:rsid w:val="001E00D5"/>
    <w:rsid w:val="001E2D64"/>
    <w:rsid w:val="001E3854"/>
    <w:rsid w:val="001E59E9"/>
    <w:rsid w:val="001E6300"/>
    <w:rsid w:val="001E69E5"/>
    <w:rsid w:val="001F0701"/>
    <w:rsid w:val="001F3BAA"/>
    <w:rsid w:val="001F4896"/>
    <w:rsid w:val="001F4929"/>
    <w:rsid w:val="001F6ED8"/>
    <w:rsid w:val="00201513"/>
    <w:rsid w:val="002050C7"/>
    <w:rsid w:val="00211ECA"/>
    <w:rsid w:val="002142B4"/>
    <w:rsid w:val="002147DF"/>
    <w:rsid w:val="00216021"/>
    <w:rsid w:val="00225555"/>
    <w:rsid w:val="00226646"/>
    <w:rsid w:val="002332D0"/>
    <w:rsid w:val="00233B03"/>
    <w:rsid w:val="00234223"/>
    <w:rsid w:val="00234DB1"/>
    <w:rsid w:val="00235EA8"/>
    <w:rsid w:val="00241352"/>
    <w:rsid w:val="00241E31"/>
    <w:rsid w:val="002445AE"/>
    <w:rsid w:val="00250AD4"/>
    <w:rsid w:val="0025114D"/>
    <w:rsid w:val="00251366"/>
    <w:rsid w:val="00253495"/>
    <w:rsid w:val="00262CE3"/>
    <w:rsid w:val="00270CB0"/>
    <w:rsid w:val="002721F9"/>
    <w:rsid w:val="00274F37"/>
    <w:rsid w:val="00275B74"/>
    <w:rsid w:val="0027643E"/>
    <w:rsid w:val="002824CB"/>
    <w:rsid w:val="00283768"/>
    <w:rsid w:val="00284175"/>
    <w:rsid w:val="00284B54"/>
    <w:rsid w:val="0029185A"/>
    <w:rsid w:val="00293697"/>
    <w:rsid w:val="00297DB0"/>
    <w:rsid w:val="002A0578"/>
    <w:rsid w:val="002A4864"/>
    <w:rsid w:val="002A505A"/>
    <w:rsid w:val="002B4B64"/>
    <w:rsid w:val="002B58C2"/>
    <w:rsid w:val="002B69FB"/>
    <w:rsid w:val="002C1B43"/>
    <w:rsid w:val="002C387B"/>
    <w:rsid w:val="002C5FE8"/>
    <w:rsid w:val="002E0D94"/>
    <w:rsid w:val="002E231B"/>
    <w:rsid w:val="002E3852"/>
    <w:rsid w:val="002E41D5"/>
    <w:rsid w:val="002E6BE7"/>
    <w:rsid w:val="002F3511"/>
    <w:rsid w:val="00302317"/>
    <w:rsid w:val="00306570"/>
    <w:rsid w:val="003156E7"/>
    <w:rsid w:val="003212B1"/>
    <w:rsid w:val="00323662"/>
    <w:rsid w:val="00326EDD"/>
    <w:rsid w:val="00327294"/>
    <w:rsid w:val="00335C77"/>
    <w:rsid w:val="00337904"/>
    <w:rsid w:val="00341946"/>
    <w:rsid w:val="003419A3"/>
    <w:rsid w:val="00347DE9"/>
    <w:rsid w:val="003509B6"/>
    <w:rsid w:val="003538F5"/>
    <w:rsid w:val="00356873"/>
    <w:rsid w:val="003569C2"/>
    <w:rsid w:val="00356DF5"/>
    <w:rsid w:val="003575EF"/>
    <w:rsid w:val="003645CA"/>
    <w:rsid w:val="00370F50"/>
    <w:rsid w:val="00371A46"/>
    <w:rsid w:val="00373B96"/>
    <w:rsid w:val="00374069"/>
    <w:rsid w:val="00381284"/>
    <w:rsid w:val="003818D2"/>
    <w:rsid w:val="00383E03"/>
    <w:rsid w:val="0039057E"/>
    <w:rsid w:val="00392FC2"/>
    <w:rsid w:val="003941E0"/>
    <w:rsid w:val="003973BF"/>
    <w:rsid w:val="003A6B66"/>
    <w:rsid w:val="003A6F33"/>
    <w:rsid w:val="003B62B5"/>
    <w:rsid w:val="003B6485"/>
    <w:rsid w:val="003C1C6A"/>
    <w:rsid w:val="003D079F"/>
    <w:rsid w:val="003D1121"/>
    <w:rsid w:val="003D1DE8"/>
    <w:rsid w:val="003D4261"/>
    <w:rsid w:val="003E3980"/>
    <w:rsid w:val="003E49E6"/>
    <w:rsid w:val="003E555C"/>
    <w:rsid w:val="003E5984"/>
    <w:rsid w:val="003E6210"/>
    <w:rsid w:val="003E6A98"/>
    <w:rsid w:val="003E71D4"/>
    <w:rsid w:val="003F2B3D"/>
    <w:rsid w:val="003F4C34"/>
    <w:rsid w:val="003F7C7D"/>
    <w:rsid w:val="00402135"/>
    <w:rsid w:val="004026CC"/>
    <w:rsid w:val="00403E1C"/>
    <w:rsid w:val="00410CF0"/>
    <w:rsid w:val="004130F3"/>
    <w:rsid w:val="004135B3"/>
    <w:rsid w:val="004141E3"/>
    <w:rsid w:val="004157EF"/>
    <w:rsid w:val="0041662E"/>
    <w:rsid w:val="004208D9"/>
    <w:rsid w:val="00421D8E"/>
    <w:rsid w:val="00423437"/>
    <w:rsid w:val="0042396B"/>
    <w:rsid w:val="00424444"/>
    <w:rsid w:val="00426919"/>
    <w:rsid w:val="0043073B"/>
    <w:rsid w:val="0043347C"/>
    <w:rsid w:val="00433D1C"/>
    <w:rsid w:val="00440D6F"/>
    <w:rsid w:val="004470B2"/>
    <w:rsid w:val="00447C1A"/>
    <w:rsid w:val="00454FBC"/>
    <w:rsid w:val="00456214"/>
    <w:rsid w:val="00462687"/>
    <w:rsid w:val="004657A7"/>
    <w:rsid w:val="00466D0B"/>
    <w:rsid w:val="00467E1E"/>
    <w:rsid w:val="00471D6E"/>
    <w:rsid w:val="00475887"/>
    <w:rsid w:val="0047617F"/>
    <w:rsid w:val="00476A13"/>
    <w:rsid w:val="0047746F"/>
    <w:rsid w:val="004810BB"/>
    <w:rsid w:val="00482A77"/>
    <w:rsid w:val="00491032"/>
    <w:rsid w:val="00496BF5"/>
    <w:rsid w:val="004A1530"/>
    <w:rsid w:val="004A1810"/>
    <w:rsid w:val="004A538A"/>
    <w:rsid w:val="004B02CA"/>
    <w:rsid w:val="004B4219"/>
    <w:rsid w:val="004B435E"/>
    <w:rsid w:val="004B4396"/>
    <w:rsid w:val="004B73F2"/>
    <w:rsid w:val="004C20EB"/>
    <w:rsid w:val="004C7D42"/>
    <w:rsid w:val="004D0829"/>
    <w:rsid w:val="004D110F"/>
    <w:rsid w:val="004D5ED2"/>
    <w:rsid w:val="004E15BB"/>
    <w:rsid w:val="004E51DC"/>
    <w:rsid w:val="004F61D4"/>
    <w:rsid w:val="004F76B3"/>
    <w:rsid w:val="0050129D"/>
    <w:rsid w:val="005056B5"/>
    <w:rsid w:val="005062E8"/>
    <w:rsid w:val="00512481"/>
    <w:rsid w:val="00512EED"/>
    <w:rsid w:val="00523604"/>
    <w:rsid w:val="005303B6"/>
    <w:rsid w:val="0053232D"/>
    <w:rsid w:val="00535835"/>
    <w:rsid w:val="00535E8C"/>
    <w:rsid w:val="00544378"/>
    <w:rsid w:val="00546EFE"/>
    <w:rsid w:val="00551097"/>
    <w:rsid w:val="00552201"/>
    <w:rsid w:val="00554A19"/>
    <w:rsid w:val="00561554"/>
    <w:rsid w:val="00576267"/>
    <w:rsid w:val="0057626D"/>
    <w:rsid w:val="00576DDF"/>
    <w:rsid w:val="00584F4E"/>
    <w:rsid w:val="00586A7F"/>
    <w:rsid w:val="00587E39"/>
    <w:rsid w:val="00597DFD"/>
    <w:rsid w:val="005A23DB"/>
    <w:rsid w:val="005B35A7"/>
    <w:rsid w:val="005B674C"/>
    <w:rsid w:val="005B7D1A"/>
    <w:rsid w:val="005B7F5E"/>
    <w:rsid w:val="005C0AB0"/>
    <w:rsid w:val="005C1B79"/>
    <w:rsid w:val="005C37F1"/>
    <w:rsid w:val="005D10FB"/>
    <w:rsid w:val="005D1295"/>
    <w:rsid w:val="005D4475"/>
    <w:rsid w:val="005D5F67"/>
    <w:rsid w:val="005D7069"/>
    <w:rsid w:val="005E223E"/>
    <w:rsid w:val="005E2FE1"/>
    <w:rsid w:val="005F059D"/>
    <w:rsid w:val="005F1414"/>
    <w:rsid w:val="005F29C0"/>
    <w:rsid w:val="005F3554"/>
    <w:rsid w:val="005F547E"/>
    <w:rsid w:val="005F7E7A"/>
    <w:rsid w:val="00600CD7"/>
    <w:rsid w:val="0060175F"/>
    <w:rsid w:val="00607DF8"/>
    <w:rsid w:val="006103AB"/>
    <w:rsid w:val="00610F39"/>
    <w:rsid w:val="006117EB"/>
    <w:rsid w:val="00612545"/>
    <w:rsid w:val="0061370B"/>
    <w:rsid w:val="006154D4"/>
    <w:rsid w:val="0062259C"/>
    <w:rsid w:val="00623A05"/>
    <w:rsid w:val="00625BC7"/>
    <w:rsid w:val="00627094"/>
    <w:rsid w:val="00633B7F"/>
    <w:rsid w:val="00641A69"/>
    <w:rsid w:val="00643AD3"/>
    <w:rsid w:val="00646788"/>
    <w:rsid w:val="006478B3"/>
    <w:rsid w:val="00653A83"/>
    <w:rsid w:val="00661FA0"/>
    <w:rsid w:val="00662079"/>
    <w:rsid w:val="00665F82"/>
    <w:rsid w:val="00676BE1"/>
    <w:rsid w:val="00685774"/>
    <w:rsid w:val="00691001"/>
    <w:rsid w:val="006A2CE8"/>
    <w:rsid w:val="006A455D"/>
    <w:rsid w:val="006A64C8"/>
    <w:rsid w:val="006A7E95"/>
    <w:rsid w:val="006B2F33"/>
    <w:rsid w:val="006B4449"/>
    <w:rsid w:val="006C03F9"/>
    <w:rsid w:val="006C1F0A"/>
    <w:rsid w:val="006C2A45"/>
    <w:rsid w:val="006C3F9B"/>
    <w:rsid w:val="006C41D5"/>
    <w:rsid w:val="006D29DE"/>
    <w:rsid w:val="006D2BA3"/>
    <w:rsid w:val="006D512A"/>
    <w:rsid w:val="006D7D80"/>
    <w:rsid w:val="006E03C1"/>
    <w:rsid w:val="006E1A2C"/>
    <w:rsid w:val="006E1FA3"/>
    <w:rsid w:val="006E6C0B"/>
    <w:rsid w:val="006E7314"/>
    <w:rsid w:val="006F2B47"/>
    <w:rsid w:val="006F58A7"/>
    <w:rsid w:val="0070217F"/>
    <w:rsid w:val="007063B6"/>
    <w:rsid w:val="00707275"/>
    <w:rsid w:val="007123DB"/>
    <w:rsid w:val="00712AA8"/>
    <w:rsid w:val="00714219"/>
    <w:rsid w:val="007145A4"/>
    <w:rsid w:val="007247BA"/>
    <w:rsid w:val="00724C12"/>
    <w:rsid w:val="00724ED4"/>
    <w:rsid w:val="00730959"/>
    <w:rsid w:val="00732575"/>
    <w:rsid w:val="00732C09"/>
    <w:rsid w:val="00736E52"/>
    <w:rsid w:val="0074147D"/>
    <w:rsid w:val="00745AC9"/>
    <w:rsid w:val="007535B3"/>
    <w:rsid w:val="00756A88"/>
    <w:rsid w:val="0075724E"/>
    <w:rsid w:val="00757CA1"/>
    <w:rsid w:val="007617D5"/>
    <w:rsid w:val="00762257"/>
    <w:rsid w:val="00764E44"/>
    <w:rsid w:val="00775F7D"/>
    <w:rsid w:val="00782AF9"/>
    <w:rsid w:val="00790C55"/>
    <w:rsid w:val="007936AA"/>
    <w:rsid w:val="007945B9"/>
    <w:rsid w:val="007A17FB"/>
    <w:rsid w:val="007A59FF"/>
    <w:rsid w:val="007B069B"/>
    <w:rsid w:val="007B3894"/>
    <w:rsid w:val="007B4188"/>
    <w:rsid w:val="007B79F4"/>
    <w:rsid w:val="007B7E96"/>
    <w:rsid w:val="007C10C2"/>
    <w:rsid w:val="007C1F69"/>
    <w:rsid w:val="007D0237"/>
    <w:rsid w:val="007D0F01"/>
    <w:rsid w:val="007D190B"/>
    <w:rsid w:val="007D1A42"/>
    <w:rsid w:val="007D1C79"/>
    <w:rsid w:val="007D6A1F"/>
    <w:rsid w:val="007E734F"/>
    <w:rsid w:val="007E7805"/>
    <w:rsid w:val="007F302A"/>
    <w:rsid w:val="00802D8A"/>
    <w:rsid w:val="008043D2"/>
    <w:rsid w:val="00805501"/>
    <w:rsid w:val="00805E5D"/>
    <w:rsid w:val="00806603"/>
    <w:rsid w:val="008076D4"/>
    <w:rsid w:val="008204AD"/>
    <w:rsid w:val="00823A98"/>
    <w:rsid w:val="00827871"/>
    <w:rsid w:val="00830520"/>
    <w:rsid w:val="00830653"/>
    <w:rsid w:val="00831CA3"/>
    <w:rsid w:val="00833FDD"/>
    <w:rsid w:val="00835FB5"/>
    <w:rsid w:val="00837575"/>
    <w:rsid w:val="008379B9"/>
    <w:rsid w:val="00840A6A"/>
    <w:rsid w:val="00841B13"/>
    <w:rsid w:val="00843E02"/>
    <w:rsid w:val="00844E3A"/>
    <w:rsid w:val="00847ACB"/>
    <w:rsid w:val="00847CC4"/>
    <w:rsid w:val="00850BF2"/>
    <w:rsid w:val="00852AFD"/>
    <w:rsid w:val="00854E3D"/>
    <w:rsid w:val="008611AF"/>
    <w:rsid w:val="00866CAD"/>
    <w:rsid w:val="008671F8"/>
    <w:rsid w:val="008701F2"/>
    <w:rsid w:val="00870F99"/>
    <w:rsid w:val="00876F2A"/>
    <w:rsid w:val="008805E1"/>
    <w:rsid w:val="00880B4E"/>
    <w:rsid w:val="00882C5A"/>
    <w:rsid w:val="00882EFC"/>
    <w:rsid w:val="00892840"/>
    <w:rsid w:val="00892950"/>
    <w:rsid w:val="0089344F"/>
    <w:rsid w:val="008945E3"/>
    <w:rsid w:val="00895A5B"/>
    <w:rsid w:val="00896DA7"/>
    <w:rsid w:val="008B55AA"/>
    <w:rsid w:val="008B77A0"/>
    <w:rsid w:val="008B7929"/>
    <w:rsid w:val="008C445E"/>
    <w:rsid w:val="008C4CE7"/>
    <w:rsid w:val="008C6AF0"/>
    <w:rsid w:val="008D0C64"/>
    <w:rsid w:val="008D2279"/>
    <w:rsid w:val="008D3140"/>
    <w:rsid w:val="008D337B"/>
    <w:rsid w:val="008D5BDA"/>
    <w:rsid w:val="008E14A6"/>
    <w:rsid w:val="008E44C0"/>
    <w:rsid w:val="008F5407"/>
    <w:rsid w:val="008F59ED"/>
    <w:rsid w:val="008F5F98"/>
    <w:rsid w:val="008F6570"/>
    <w:rsid w:val="0090204D"/>
    <w:rsid w:val="009074B2"/>
    <w:rsid w:val="00913FD2"/>
    <w:rsid w:val="009146BD"/>
    <w:rsid w:val="00916A80"/>
    <w:rsid w:val="009214C6"/>
    <w:rsid w:val="009222EF"/>
    <w:rsid w:val="009228A6"/>
    <w:rsid w:val="00922E37"/>
    <w:rsid w:val="009232B6"/>
    <w:rsid w:val="009251E4"/>
    <w:rsid w:val="00925D09"/>
    <w:rsid w:val="00930BC8"/>
    <w:rsid w:val="0093277A"/>
    <w:rsid w:val="00932D7F"/>
    <w:rsid w:val="00933A91"/>
    <w:rsid w:val="0093421C"/>
    <w:rsid w:val="00935C58"/>
    <w:rsid w:val="009379FC"/>
    <w:rsid w:val="0094102C"/>
    <w:rsid w:val="00943D87"/>
    <w:rsid w:val="009450DE"/>
    <w:rsid w:val="00945422"/>
    <w:rsid w:val="00945CE6"/>
    <w:rsid w:val="009466B3"/>
    <w:rsid w:val="00947D45"/>
    <w:rsid w:val="0095737B"/>
    <w:rsid w:val="00964A44"/>
    <w:rsid w:val="00967E9A"/>
    <w:rsid w:val="00972498"/>
    <w:rsid w:val="00976A51"/>
    <w:rsid w:val="009775F3"/>
    <w:rsid w:val="009857D4"/>
    <w:rsid w:val="0099058E"/>
    <w:rsid w:val="009921B3"/>
    <w:rsid w:val="009924BA"/>
    <w:rsid w:val="00993FA0"/>
    <w:rsid w:val="00995B18"/>
    <w:rsid w:val="009A3D7C"/>
    <w:rsid w:val="009A71AD"/>
    <w:rsid w:val="009B3892"/>
    <w:rsid w:val="009B4065"/>
    <w:rsid w:val="009B6043"/>
    <w:rsid w:val="009C659F"/>
    <w:rsid w:val="009C67CB"/>
    <w:rsid w:val="009C71B9"/>
    <w:rsid w:val="009C7C6B"/>
    <w:rsid w:val="009D54DA"/>
    <w:rsid w:val="009D590D"/>
    <w:rsid w:val="009D6255"/>
    <w:rsid w:val="009E2487"/>
    <w:rsid w:val="009E356D"/>
    <w:rsid w:val="009E3CAC"/>
    <w:rsid w:val="009E42D4"/>
    <w:rsid w:val="009E47D2"/>
    <w:rsid w:val="009E5546"/>
    <w:rsid w:val="009E69CD"/>
    <w:rsid w:val="009F1026"/>
    <w:rsid w:val="009F1D96"/>
    <w:rsid w:val="009F3E83"/>
    <w:rsid w:val="009F74B9"/>
    <w:rsid w:val="00A0447F"/>
    <w:rsid w:val="00A0722A"/>
    <w:rsid w:val="00A0782A"/>
    <w:rsid w:val="00A12B03"/>
    <w:rsid w:val="00A12FFC"/>
    <w:rsid w:val="00A1464A"/>
    <w:rsid w:val="00A14919"/>
    <w:rsid w:val="00A17170"/>
    <w:rsid w:val="00A22707"/>
    <w:rsid w:val="00A273AA"/>
    <w:rsid w:val="00A30D16"/>
    <w:rsid w:val="00A31A52"/>
    <w:rsid w:val="00A34AB5"/>
    <w:rsid w:val="00A36482"/>
    <w:rsid w:val="00A370B9"/>
    <w:rsid w:val="00A37F8E"/>
    <w:rsid w:val="00A37FAC"/>
    <w:rsid w:val="00A42120"/>
    <w:rsid w:val="00A442FB"/>
    <w:rsid w:val="00A4441C"/>
    <w:rsid w:val="00A55048"/>
    <w:rsid w:val="00A57336"/>
    <w:rsid w:val="00A61F18"/>
    <w:rsid w:val="00A62D83"/>
    <w:rsid w:val="00A635DB"/>
    <w:rsid w:val="00A65618"/>
    <w:rsid w:val="00A707EE"/>
    <w:rsid w:val="00A74C97"/>
    <w:rsid w:val="00A80864"/>
    <w:rsid w:val="00A81D36"/>
    <w:rsid w:val="00A829D7"/>
    <w:rsid w:val="00A841D3"/>
    <w:rsid w:val="00A84288"/>
    <w:rsid w:val="00A8466D"/>
    <w:rsid w:val="00A85395"/>
    <w:rsid w:val="00A92093"/>
    <w:rsid w:val="00A93B4D"/>
    <w:rsid w:val="00A955BC"/>
    <w:rsid w:val="00AA01AB"/>
    <w:rsid w:val="00AA0A40"/>
    <w:rsid w:val="00AC03AA"/>
    <w:rsid w:val="00AC0E3A"/>
    <w:rsid w:val="00AC53BA"/>
    <w:rsid w:val="00AC592B"/>
    <w:rsid w:val="00AC674E"/>
    <w:rsid w:val="00AC6B72"/>
    <w:rsid w:val="00AD6DCD"/>
    <w:rsid w:val="00AE24B0"/>
    <w:rsid w:val="00AE5771"/>
    <w:rsid w:val="00AE5943"/>
    <w:rsid w:val="00AF37B5"/>
    <w:rsid w:val="00B010A5"/>
    <w:rsid w:val="00B029A1"/>
    <w:rsid w:val="00B0349A"/>
    <w:rsid w:val="00B04191"/>
    <w:rsid w:val="00B04D88"/>
    <w:rsid w:val="00B064D5"/>
    <w:rsid w:val="00B219F9"/>
    <w:rsid w:val="00B21A05"/>
    <w:rsid w:val="00B22ECF"/>
    <w:rsid w:val="00B24DC2"/>
    <w:rsid w:val="00B2545C"/>
    <w:rsid w:val="00B30CDE"/>
    <w:rsid w:val="00B3157B"/>
    <w:rsid w:val="00B317FC"/>
    <w:rsid w:val="00B34195"/>
    <w:rsid w:val="00B42D55"/>
    <w:rsid w:val="00B46532"/>
    <w:rsid w:val="00B50A77"/>
    <w:rsid w:val="00B51CA5"/>
    <w:rsid w:val="00B63C41"/>
    <w:rsid w:val="00B64BC1"/>
    <w:rsid w:val="00B67597"/>
    <w:rsid w:val="00B71192"/>
    <w:rsid w:val="00B71C22"/>
    <w:rsid w:val="00B7488D"/>
    <w:rsid w:val="00B77098"/>
    <w:rsid w:val="00B82B24"/>
    <w:rsid w:val="00B875E2"/>
    <w:rsid w:val="00B9288C"/>
    <w:rsid w:val="00B93332"/>
    <w:rsid w:val="00B94040"/>
    <w:rsid w:val="00B9533B"/>
    <w:rsid w:val="00BB1885"/>
    <w:rsid w:val="00BB6919"/>
    <w:rsid w:val="00BC0243"/>
    <w:rsid w:val="00BC525B"/>
    <w:rsid w:val="00BD12C7"/>
    <w:rsid w:val="00BD665B"/>
    <w:rsid w:val="00BD67FE"/>
    <w:rsid w:val="00BD7D6E"/>
    <w:rsid w:val="00BE077B"/>
    <w:rsid w:val="00BE0800"/>
    <w:rsid w:val="00BE3395"/>
    <w:rsid w:val="00BE421D"/>
    <w:rsid w:val="00BF6054"/>
    <w:rsid w:val="00BF60E3"/>
    <w:rsid w:val="00BF79E3"/>
    <w:rsid w:val="00C06AA2"/>
    <w:rsid w:val="00C07B20"/>
    <w:rsid w:val="00C14AB6"/>
    <w:rsid w:val="00C21632"/>
    <w:rsid w:val="00C21738"/>
    <w:rsid w:val="00C23791"/>
    <w:rsid w:val="00C2428E"/>
    <w:rsid w:val="00C24F25"/>
    <w:rsid w:val="00C26EA4"/>
    <w:rsid w:val="00C3029F"/>
    <w:rsid w:val="00C402A6"/>
    <w:rsid w:val="00C427A8"/>
    <w:rsid w:val="00C461BA"/>
    <w:rsid w:val="00C4729C"/>
    <w:rsid w:val="00C52843"/>
    <w:rsid w:val="00C637BC"/>
    <w:rsid w:val="00C65F4A"/>
    <w:rsid w:val="00C66CED"/>
    <w:rsid w:val="00C75309"/>
    <w:rsid w:val="00C75344"/>
    <w:rsid w:val="00C771BB"/>
    <w:rsid w:val="00C817BC"/>
    <w:rsid w:val="00C82CF9"/>
    <w:rsid w:val="00C91D66"/>
    <w:rsid w:val="00C93AA2"/>
    <w:rsid w:val="00C954EE"/>
    <w:rsid w:val="00CA0B0F"/>
    <w:rsid w:val="00CA353A"/>
    <w:rsid w:val="00CA3DBA"/>
    <w:rsid w:val="00CA7047"/>
    <w:rsid w:val="00CB188D"/>
    <w:rsid w:val="00CB2B3D"/>
    <w:rsid w:val="00CB2E3C"/>
    <w:rsid w:val="00CB7A36"/>
    <w:rsid w:val="00CC3D5A"/>
    <w:rsid w:val="00CC417B"/>
    <w:rsid w:val="00CC7682"/>
    <w:rsid w:val="00CD723B"/>
    <w:rsid w:val="00CE23C4"/>
    <w:rsid w:val="00CE36C8"/>
    <w:rsid w:val="00CE39ED"/>
    <w:rsid w:val="00CE3CED"/>
    <w:rsid w:val="00CE47C4"/>
    <w:rsid w:val="00CE4D0B"/>
    <w:rsid w:val="00CE5358"/>
    <w:rsid w:val="00CE5D5D"/>
    <w:rsid w:val="00CE67AD"/>
    <w:rsid w:val="00CE6826"/>
    <w:rsid w:val="00CF2B08"/>
    <w:rsid w:val="00CF5AE8"/>
    <w:rsid w:val="00D0031B"/>
    <w:rsid w:val="00D01916"/>
    <w:rsid w:val="00D01E42"/>
    <w:rsid w:val="00D023E4"/>
    <w:rsid w:val="00D113A7"/>
    <w:rsid w:val="00D142F7"/>
    <w:rsid w:val="00D14AFD"/>
    <w:rsid w:val="00D15A47"/>
    <w:rsid w:val="00D1740A"/>
    <w:rsid w:val="00D26EF4"/>
    <w:rsid w:val="00D30ED1"/>
    <w:rsid w:val="00D3237C"/>
    <w:rsid w:val="00D366B1"/>
    <w:rsid w:val="00D36B8C"/>
    <w:rsid w:val="00D40065"/>
    <w:rsid w:val="00D44D1A"/>
    <w:rsid w:val="00D468DB"/>
    <w:rsid w:val="00D51884"/>
    <w:rsid w:val="00D539AE"/>
    <w:rsid w:val="00D55079"/>
    <w:rsid w:val="00D605C4"/>
    <w:rsid w:val="00D60CDD"/>
    <w:rsid w:val="00D661DC"/>
    <w:rsid w:val="00D67183"/>
    <w:rsid w:val="00D70A73"/>
    <w:rsid w:val="00D72BB3"/>
    <w:rsid w:val="00D86367"/>
    <w:rsid w:val="00D90D72"/>
    <w:rsid w:val="00D910E4"/>
    <w:rsid w:val="00D97EA2"/>
    <w:rsid w:val="00DA1090"/>
    <w:rsid w:val="00DA680F"/>
    <w:rsid w:val="00DB0075"/>
    <w:rsid w:val="00DC77A3"/>
    <w:rsid w:val="00DE04B6"/>
    <w:rsid w:val="00DE1B0B"/>
    <w:rsid w:val="00DE2B1E"/>
    <w:rsid w:val="00DE2B79"/>
    <w:rsid w:val="00DE2DBB"/>
    <w:rsid w:val="00DE3B08"/>
    <w:rsid w:val="00DE4F4D"/>
    <w:rsid w:val="00DE6BF7"/>
    <w:rsid w:val="00DF13C6"/>
    <w:rsid w:val="00E01EAC"/>
    <w:rsid w:val="00E04EFF"/>
    <w:rsid w:val="00E0529D"/>
    <w:rsid w:val="00E0696B"/>
    <w:rsid w:val="00E11135"/>
    <w:rsid w:val="00E1114C"/>
    <w:rsid w:val="00E12697"/>
    <w:rsid w:val="00E170BD"/>
    <w:rsid w:val="00E20129"/>
    <w:rsid w:val="00E23DEF"/>
    <w:rsid w:val="00E252A2"/>
    <w:rsid w:val="00E321C4"/>
    <w:rsid w:val="00E35DF5"/>
    <w:rsid w:val="00E41AB0"/>
    <w:rsid w:val="00E43A6E"/>
    <w:rsid w:val="00E44902"/>
    <w:rsid w:val="00E60F54"/>
    <w:rsid w:val="00E658D2"/>
    <w:rsid w:val="00E65BD8"/>
    <w:rsid w:val="00E67410"/>
    <w:rsid w:val="00E70CE6"/>
    <w:rsid w:val="00E90656"/>
    <w:rsid w:val="00E920DB"/>
    <w:rsid w:val="00E939F0"/>
    <w:rsid w:val="00EA12D3"/>
    <w:rsid w:val="00EA582C"/>
    <w:rsid w:val="00EA630B"/>
    <w:rsid w:val="00EA7F48"/>
    <w:rsid w:val="00EA7F6A"/>
    <w:rsid w:val="00EB51F2"/>
    <w:rsid w:val="00EB6782"/>
    <w:rsid w:val="00EB6842"/>
    <w:rsid w:val="00EC0FB2"/>
    <w:rsid w:val="00ED0D50"/>
    <w:rsid w:val="00ED462C"/>
    <w:rsid w:val="00ED6D14"/>
    <w:rsid w:val="00EE207A"/>
    <w:rsid w:val="00EF029D"/>
    <w:rsid w:val="00EF6BA2"/>
    <w:rsid w:val="00EF7CA9"/>
    <w:rsid w:val="00F0099C"/>
    <w:rsid w:val="00F02B82"/>
    <w:rsid w:val="00F044E8"/>
    <w:rsid w:val="00F05054"/>
    <w:rsid w:val="00F057FC"/>
    <w:rsid w:val="00F07C50"/>
    <w:rsid w:val="00F12D3E"/>
    <w:rsid w:val="00F16C5E"/>
    <w:rsid w:val="00F200F6"/>
    <w:rsid w:val="00F2305D"/>
    <w:rsid w:val="00F24E67"/>
    <w:rsid w:val="00F25754"/>
    <w:rsid w:val="00F27A0A"/>
    <w:rsid w:val="00F32947"/>
    <w:rsid w:val="00F35FDB"/>
    <w:rsid w:val="00F373D1"/>
    <w:rsid w:val="00F40B3E"/>
    <w:rsid w:val="00F40BB5"/>
    <w:rsid w:val="00F441B8"/>
    <w:rsid w:val="00F44D54"/>
    <w:rsid w:val="00F453E5"/>
    <w:rsid w:val="00F51C52"/>
    <w:rsid w:val="00F51D0E"/>
    <w:rsid w:val="00F529EA"/>
    <w:rsid w:val="00F52E42"/>
    <w:rsid w:val="00F52F58"/>
    <w:rsid w:val="00F54BBC"/>
    <w:rsid w:val="00F560BA"/>
    <w:rsid w:val="00F560C5"/>
    <w:rsid w:val="00F56173"/>
    <w:rsid w:val="00F612CE"/>
    <w:rsid w:val="00F62EEA"/>
    <w:rsid w:val="00F63179"/>
    <w:rsid w:val="00F645A8"/>
    <w:rsid w:val="00F6739F"/>
    <w:rsid w:val="00F71590"/>
    <w:rsid w:val="00F73BC5"/>
    <w:rsid w:val="00F75074"/>
    <w:rsid w:val="00F75165"/>
    <w:rsid w:val="00F75E97"/>
    <w:rsid w:val="00F762C5"/>
    <w:rsid w:val="00F76C26"/>
    <w:rsid w:val="00F80BA2"/>
    <w:rsid w:val="00F82E2E"/>
    <w:rsid w:val="00F90675"/>
    <w:rsid w:val="00F9070E"/>
    <w:rsid w:val="00F910BB"/>
    <w:rsid w:val="00F9246A"/>
    <w:rsid w:val="00F92810"/>
    <w:rsid w:val="00F92F46"/>
    <w:rsid w:val="00F933AF"/>
    <w:rsid w:val="00F976AC"/>
    <w:rsid w:val="00F97DDC"/>
    <w:rsid w:val="00FA0C63"/>
    <w:rsid w:val="00FA22B1"/>
    <w:rsid w:val="00FA5166"/>
    <w:rsid w:val="00FB7819"/>
    <w:rsid w:val="00FC2D6C"/>
    <w:rsid w:val="00FC3454"/>
    <w:rsid w:val="00FC582A"/>
    <w:rsid w:val="00FD7EF3"/>
    <w:rsid w:val="00FE0797"/>
    <w:rsid w:val="00FE32CA"/>
    <w:rsid w:val="00FF1DDF"/>
    <w:rsid w:val="00FF401B"/>
    <w:rsid w:val="00FF44BB"/>
    <w:rsid w:val="00FF5BFA"/>
    <w:rsid w:val="00FF71BA"/>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4:docId w14:val="27309EB7"/>
  <w15:docId w15:val="{569CA06F-0EC0-48D9-B205-C41FEBF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44E8"/>
    <w:rPr>
      <w:rFonts w:ascii="Arial" w:hAnsi="Arial"/>
      <w:sz w:val="22"/>
    </w:rPr>
  </w:style>
  <w:style w:type="paragraph" w:styleId="Heading1">
    <w:name w:val="heading 1"/>
    <w:basedOn w:val="Normal"/>
    <w:next w:val="Normal"/>
    <w:link w:val="Heading1Char"/>
    <w:uiPriority w:val="9"/>
    <w:qFormat/>
    <w:rsid w:val="00F044E8"/>
    <w:pPr>
      <w:jc w:val="both"/>
      <w:outlineLvl w:val="0"/>
    </w:pPr>
    <w:rPr>
      <w:rFonts w:cs="Arial"/>
      <w:b/>
      <w:szCs w:val="22"/>
      <w:u w:val="single"/>
    </w:rPr>
  </w:style>
  <w:style w:type="paragraph" w:styleId="Heading2">
    <w:name w:val="heading 2"/>
    <w:basedOn w:val="Normal"/>
    <w:next w:val="Normal"/>
    <w:qFormat/>
    <w:rsid w:val="0025114D"/>
    <w:pPr>
      <w:keepNext/>
      <w:jc w:val="both"/>
      <w:outlineLvl w:val="1"/>
    </w:pPr>
    <w:rPr>
      <w:b/>
      <w:u w:val="single"/>
    </w:rPr>
  </w:style>
  <w:style w:type="paragraph" w:styleId="Heading3">
    <w:name w:val="heading 3"/>
    <w:basedOn w:val="Normal"/>
    <w:next w:val="Normal"/>
    <w:qFormat/>
    <w:rsid w:val="00F453E5"/>
    <w:pPr>
      <w:keepNext/>
      <w:ind w:left="720"/>
      <w:outlineLvl w:val="2"/>
    </w:pPr>
    <w:rPr>
      <w:b/>
    </w:rPr>
  </w:style>
  <w:style w:type="paragraph" w:styleId="Heading4">
    <w:name w:val="heading 4"/>
    <w:basedOn w:val="Normal"/>
    <w:next w:val="Normal"/>
    <w:pPr>
      <w:keepNext/>
      <w:suppressAutoHyphens/>
      <w:jc w:val="both"/>
      <w:outlineLvl w:val="3"/>
    </w:pPr>
    <w:rPr>
      <w:b/>
      <w:spacing w:val="-3"/>
      <w:sz w:val="28"/>
    </w:rPr>
  </w:style>
  <w:style w:type="paragraph" w:styleId="Heading5">
    <w:name w:val="heading 5"/>
    <w:basedOn w:val="Normal"/>
    <w:next w:val="Normal"/>
    <w:pPr>
      <w:keepNext/>
      <w:outlineLvl w:val="4"/>
    </w:pPr>
    <w:rPr>
      <w:b/>
      <w:color w:val="FF0000"/>
    </w:rPr>
  </w:style>
  <w:style w:type="paragraph" w:styleId="Heading6">
    <w:name w:val="heading 6"/>
    <w:basedOn w:val="Normal"/>
    <w:next w:val="Normal"/>
    <w:pPr>
      <w:keepNext/>
      <w:jc w:val="center"/>
      <w:outlineLvl w:val="5"/>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pPr>
      <w:jc w:val="both"/>
    </w:pPr>
  </w:style>
  <w:style w:type="character" w:styleId="Hyperlink">
    <w:name w:val="Hyperlink"/>
    <w:rPr>
      <w:color w:val="0000FF"/>
      <w:u w:val="single"/>
    </w:rPr>
  </w:style>
  <w:style w:type="paragraph" w:styleId="BodyText2">
    <w:name w:val="Body Text 2"/>
    <w:basedOn w:val="Normal"/>
    <w:link w:val="BodyText2Cha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
    <w:basedOn w:val="Normal"/>
    <w:link w:val="FootnoteTextChar"/>
    <w:rPr>
      <w:sz w:val="20"/>
    </w:rPr>
  </w:style>
  <w:style w:type="character" w:styleId="FootnoteReference">
    <w:name w:val="footnote reference"/>
    <w:aliases w:val="o"/>
    <w:rPr>
      <w:vertAlign w:val="superscript"/>
    </w:rPr>
  </w:style>
  <w:style w:type="paragraph" w:styleId="BodyTextIndent">
    <w:name w:val="Body Text Indent"/>
    <w:basedOn w:val="Normal"/>
    <w:link w:val="BodyTextIndentChar"/>
    <w:pPr>
      <w:ind w:left="1440" w:hanging="1440"/>
    </w:pPr>
    <w:rPr>
      <w:b/>
    </w:rPr>
  </w:style>
  <w:style w:type="character" w:styleId="FollowedHyperlink">
    <w:name w:val="FollowedHyperlink"/>
    <w:rPr>
      <w:color w:val="800080"/>
      <w:u w:val="single"/>
    </w:rPr>
  </w:style>
  <w:style w:type="paragraph" w:styleId="BalloonText">
    <w:name w:val="Balloon Text"/>
    <w:basedOn w:val="Normal"/>
    <w:semiHidden/>
    <w:rsid w:val="00065242"/>
    <w:rPr>
      <w:rFonts w:ascii="Tahoma" w:hAnsi="Tahoma" w:cs="Tahoma"/>
      <w:sz w:val="16"/>
      <w:szCs w:val="16"/>
    </w:rPr>
  </w:style>
  <w:style w:type="paragraph" w:styleId="NormalWeb">
    <w:name w:val="Normal (Web)"/>
    <w:basedOn w:val="Normal"/>
    <w:rsid w:val="00EB6842"/>
    <w:pPr>
      <w:spacing w:before="100" w:beforeAutospacing="1" w:after="100" w:afterAutospacing="1"/>
    </w:pPr>
    <w:rPr>
      <w:rFonts w:ascii="Times New Roman" w:hAnsi="Times New Roman"/>
      <w:szCs w:val="24"/>
    </w:rPr>
  </w:style>
  <w:style w:type="paragraph" w:styleId="BlockText">
    <w:name w:val="Block Text"/>
    <w:basedOn w:val="Normal"/>
    <w:rsid w:val="008D0C64"/>
    <w:rPr>
      <w:rFonts w:ascii="Times New Roman" w:hAnsi="Times New Roman"/>
    </w:rPr>
  </w:style>
  <w:style w:type="character" w:styleId="CommentReference">
    <w:name w:val="annotation reference"/>
    <w:uiPriority w:val="99"/>
    <w:semiHidden/>
    <w:rsid w:val="00EE207A"/>
    <w:rPr>
      <w:sz w:val="16"/>
      <w:szCs w:val="16"/>
    </w:rPr>
  </w:style>
  <w:style w:type="paragraph" w:styleId="CommentText">
    <w:name w:val="annotation text"/>
    <w:basedOn w:val="Normal"/>
    <w:link w:val="CommentTextChar"/>
    <w:uiPriority w:val="99"/>
    <w:semiHidden/>
    <w:rsid w:val="00EE207A"/>
    <w:rPr>
      <w:sz w:val="20"/>
    </w:rPr>
  </w:style>
  <w:style w:type="paragraph" w:styleId="CommentSubject">
    <w:name w:val="annotation subject"/>
    <w:basedOn w:val="CommentText"/>
    <w:next w:val="CommentText"/>
    <w:semiHidden/>
    <w:rsid w:val="00EE207A"/>
    <w:rPr>
      <w:b/>
      <w:bCs/>
    </w:rPr>
  </w:style>
  <w:style w:type="paragraph" w:customStyle="1" w:styleId="sub2">
    <w:name w:val="sub2"/>
    <w:basedOn w:val="Normal"/>
    <w:rsid w:val="00C4729C"/>
    <w:pPr>
      <w:spacing w:line="360" w:lineRule="auto"/>
      <w:ind w:firstLine="2160"/>
    </w:pPr>
    <w:rPr>
      <w:rFonts w:ascii="Palatino" w:hAnsi="Palatino"/>
      <w:sz w:val="26"/>
    </w:rPr>
  </w:style>
  <w:style w:type="character" w:styleId="Emphasis">
    <w:name w:val="Emphasis"/>
    <w:rsid w:val="00073E44"/>
    <w:rPr>
      <w:i/>
      <w:iCs/>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
    <w:link w:val="FootnoteText"/>
    <w:uiPriority w:val="99"/>
    <w:locked/>
    <w:rsid w:val="00F80BA2"/>
    <w:rPr>
      <w:rFonts w:ascii="Courier New" w:hAnsi="Courier New"/>
      <w:lang w:val="en-US" w:eastAsia="en-US" w:bidi="ar-SA"/>
    </w:rPr>
  </w:style>
  <w:style w:type="character" w:customStyle="1" w:styleId="BodyText2Char">
    <w:name w:val="Body Text 2 Char"/>
    <w:link w:val="BodyText2"/>
    <w:locked/>
    <w:rsid w:val="00F80BA2"/>
    <w:rPr>
      <w:rFonts w:ascii="Arial" w:hAnsi="Arial"/>
      <w:sz w:val="22"/>
      <w:lang w:val="en-US" w:eastAsia="en-US" w:bidi="ar-SA"/>
    </w:rPr>
  </w:style>
  <w:style w:type="paragraph" w:styleId="ListParagraph">
    <w:name w:val="List Paragraph"/>
    <w:basedOn w:val="Normal"/>
    <w:link w:val="ListParagraphChar"/>
    <w:uiPriority w:val="34"/>
    <w:qFormat/>
    <w:rsid w:val="00F044E8"/>
    <w:pPr>
      <w:spacing w:after="200" w:line="276" w:lineRule="auto"/>
      <w:ind w:left="720"/>
      <w:contextualSpacing/>
    </w:pPr>
    <w:rPr>
      <w:szCs w:val="22"/>
    </w:rPr>
  </w:style>
  <w:style w:type="paragraph" w:styleId="BodyText3">
    <w:name w:val="Body Text 3"/>
    <w:basedOn w:val="Normal"/>
    <w:link w:val="BodyText3Char"/>
    <w:rsid w:val="00BC0243"/>
    <w:pPr>
      <w:spacing w:after="120"/>
    </w:pPr>
    <w:rPr>
      <w:sz w:val="16"/>
      <w:szCs w:val="16"/>
    </w:rPr>
  </w:style>
  <w:style w:type="character" w:customStyle="1" w:styleId="BodyText3Char">
    <w:name w:val="Body Text 3 Char"/>
    <w:link w:val="BodyText3"/>
    <w:rsid w:val="00BC0243"/>
    <w:rPr>
      <w:rFonts w:ascii="Courier New" w:hAnsi="Courier New"/>
      <w:sz w:val="16"/>
      <w:szCs w:val="16"/>
    </w:rPr>
  </w:style>
  <w:style w:type="paragraph" w:styleId="BodyTextIndent2">
    <w:name w:val="Body Text Indent 2"/>
    <w:basedOn w:val="Normal"/>
    <w:link w:val="BodyTextIndent2Char"/>
    <w:rsid w:val="00BC0243"/>
    <w:pPr>
      <w:spacing w:after="120" w:line="480" w:lineRule="auto"/>
      <w:ind w:left="360"/>
    </w:pPr>
  </w:style>
  <w:style w:type="character" w:customStyle="1" w:styleId="BodyTextIndent2Char">
    <w:name w:val="Body Text Indent 2 Char"/>
    <w:link w:val="BodyTextIndent2"/>
    <w:rsid w:val="00BC0243"/>
    <w:rPr>
      <w:rFonts w:ascii="Courier New" w:hAnsi="Courier New"/>
      <w:sz w:val="24"/>
    </w:rPr>
  </w:style>
  <w:style w:type="paragraph" w:customStyle="1" w:styleId="NormalPalatino">
    <w:name w:val="Normal + Palatino"/>
    <w:aliases w:val="13 pt,Line spacing:  1.5 lines"/>
    <w:basedOn w:val="Normal"/>
    <w:rsid w:val="00BC0243"/>
    <w:pPr>
      <w:spacing w:line="360" w:lineRule="auto"/>
    </w:pPr>
    <w:rPr>
      <w:rFonts w:ascii="Palatino" w:hAnsi="Palatino"/>
      <w:sz w:val="26"/>
      <w:szCs w:val="26"/>
    </w:rPr>
  </w:style>
  <w:style w:type="character" w:customStyle="1" w:styleId="CommentTextChar">
    <w:name w:val="Comment Text Char"/>
    <w:link w:val="CommentText"/>
    <w:uiPriority w:val="99"/>
    <w:semiHidden/>
    <w:rsid w:val="001D0944"/>
    <w:rPr>
      <w:rFonts w:ascii="Courier New" w:hAnsi="Courier New"/>
    </w:rPr>
  </w:style>
  <w:style w:type="paragraph" w:customStyle="1" w:styleId="Default">
    <w:name w:val="Default"/>
    <w:rsid w:val="00A92093"/>
    <w:pPr>
      <w:autoSpaceDE w:val="0"/>
      <w:autoSpaceDN w:val="0"/>
      <w:adjustRightInd w:val="0"/>
    </w:pPr>
    <w:rPr>
      <w:rFonts w:ascii="Book Antiqua" w:hAnsi="Book Antiqua" w:cs="Book Antiqua"/>
      <w:color w:val="000000"/>
      <w:sz w:val="24"/>
      <w:szCs w:val="24"/>
    </w:rPr>
  </w:style>
  <w:style w:type="table" w:styleId="TableGrid">
    <w:name w:val="Table Grid"/>
    <w:basedOn w:val="TableNormal"/>
    <w:uiPriority w:val="59"/>
    <w:rsid w:val="00A044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F044E8"/>
    <w:rPr>
      <w:rFonts w:ascii="Arial" w:hAnsi="Arial"/>
      <w:sz w:val="24"/>
      <w:szCs w:val="22"/>
    </w:rPr>
  </w:style>
  <w:style w:type="character" w:customStyle="1" w:styleId="HeaderChar">
    <w:name w:val="Header Char"/>
    <w:link w:val="Header"/>
    <w:rsid w:val="004B4219"/>
    <w:rPr>
      <w:rFonts w:ascii="Courier New" w:hAnsi="Courier New"/>
      <w:sz w:val="24"/>
    </w:rPr>
  </w:style>
  <w:style w:type="character" w:customStyle="1" w:styleId="FooterChar">
    <w:name w:val="Footer Char"/>
    <w:link w:val="Footer"/>
    <w:uiPriority w:val="99"/>
    <w:rsid w:val="004B4219"/>
    <w:rPr>
      <w:rFonts w:ascii="Courier New" w:hAnsi="Courier New"/>
      <w:sz w:val="24"/>
    </w:rPr>
  </w:style>
  <w:style w:type="paragraph" w:styleId="NoSpacing">
    <w:name w:val="No Spacing"/>
    <w:uiPriority w:val="1"/>
    <w:rsid w:val="007535B3"/>
    <w:rPr>
      <w:rFonts w:ascii="Calibri" w:eastAsia="Calibri" w:hAnsi="Calibri"/>
      <w:sz w:val="22"/>
      <w:szCs w:val="22"/>
    </w:rPr>
  </w:style>
  <w:style w:type="character" w:customStyle="1" w:styleId="BodyTextIndentChar">
    <w:name w:val="Body Text Indent Char"/>
    <w:link w:val="BodyTextIndent"/>
    <w:rsid w:val="00A65618"/>
    <w:rPr>
      <w:rFonts w:ascii="Arial" w:hAnsi="Arial"/>
      <w:b/>
      <w:sz w:val="22"/>
    </w:rPr>
  </w:style>
  <w:style w:type="paragraph" w:customStyle="1" w:styleId="Bullet1">
    <w:name w:val="Bullet1"/>
    <w:basedOn w:val="Normal"/>
    <w:rsid w:val="00A65618"/>
    <w:pPr>
      <w:numPr>
        <w:numId w:val="1"/>
      </w:numPr>
    </w:pPr>
    <w:rPr>
      <w:rFonts w:ascii="Times New Roman" w:hAnsi="Times New Roman"/>
      <w:sz w:val="20"/>
    </w:rPr>
  </w:style>
  <w:style w:type="character" w:customStyle="1" w:styleId="BodyTextChar">
    <w:name w:val="Body Text Char"/>
    <w:link w:val="BodyText"/>
    <w:uiPriority w:val="99"/>
    <w:rsid w:val="00A65618"/>
    <w:rPr>
      <w:rFonts w:ascii="Arial" w:hAnsi="Arial"/>
      <w:sz w:val="22"/>
    </w:rPr>
  </w:style>
  <w:style w:type="character" w:customStyle="1" w:styleId="Heading1Char">
    <w:name w:val="Heading 1 Char"/>
    <w:link w:val="Heading1"/>
    <w:uiPriority w:val="9"/>
    <w:rsid w:val="00F044E8"/>
    <w:rPr>
      <w:rFonts w:ascii="Arial" w:hAnsi="Arial" w:cs="Arial"/>
      <w:b/>
      <w:sz w:val="22"/>
      <w:szCs w:val="22"/>
      <w:u w:val="single"/>
    </w:rPr>
  </w:style>
  <w:style w:type="table" w:customStyle="1" w:styleId="TableGrid1">
    <w:name w:val="Table Grid1"/>
    <w:basedOn w:val="TableNormal"/>
    <w:next w:val="TableGrid"/>
    <w:uiPriority w:val="59"/>
    <w:rsid w:val="008E14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0237"/>
    <w:rPr>
      <w:rFonts w:ascii="Arial" w:hAnsi="Arial"/>
      <w:sz w:val="24"/>
    </w:rPr>
  </w:style>
  <w:style w:type="character" w:customStyle="1" w:styleId="Mention1">
    <w:name w:val="Mention1"/>
    <w:uiPriority w:val="99"/>
    <w:semiHidden/>
    <w:unhideWhenUsed/>
    <w:rsid w:val="00C66C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9323">
      <w:bodyDiv w:val="1"/>
      <w:marLeft w:val="0"/>
      <w:marRight w:val="0"/>
      <w:marTop w:val="0"/>
      <w:marBottom w:val="0"/>
      <w:divBdr>
        <w:top w:val="none" w:sz="0" w:space="0" w:color="auto"/>
        <w:left w:val="none" w:sz="0" w:space="0" w:color="auto"/>
        <w:bottom w:val="none" w:sz="0" w:space="0" w:color="auto"/>
        <w:right w:val="none" w:sz="0" w:space="0" w:color="auto"/>
      </w:divBdr>
    </w:div>
    <w:div w:id="118035685">
      <w:bodyDiv w:val="1"/>
      <w:marLeft w:val="0"/>
      <w:marRight w:val="0"/>
      <w:marTop w:val="0"/>
      <w:marBottom w:val="0"/>
      <w:divBdr>
        <w:top w:val="none" w:sz="0" w:space="0" w:color="auto"/>
        <w:left w:val="none" w:sz="0" w:space="0" w:color="auto"/>
        <w:bottom w:val="none" w:sz="0" w:space="0" w:color="auto"/>
        <w:right w:val="none" w:sz="0" w:space="0" w:color="auto"/>
      </w:divBdr>
      <w:divsChild>
        <w:div w:id="1538856928">
          <w:marLeft w:val="259"/>
          <w:marRight w:val="0"/>
          <w:marTop w:val="77"/>
          <w:marBottom w:val="240"/>
          <w:divBdr>
            <w:top w:val="none" w:sz="0" w:space="0" w:color="auto"/>
            <w:left w:val="none" w:sz="0" w:space="0" w:color="auto"/>
            <w:bottom w:val="none" w:sz="0" w:space="0" w:color="auto"/>
            <w:right w:val="none" w:sz="0" w:space="0" w:color="auto"/>
          </w:divBdr>
        </w:div>
        <w:div w:id="1844472885">
          <w:marLeft w:val="1166"/>
          <w:marRight w:val="0"/>
          <w:marTop w:val="67"/>
          <w:marBottom w:val="240"/>
          <w:divBdr>
            <w:top w:val="none" w:sz="0" w:space="0" w:color="auto"/>
            <w:left w:val="none" w:sz="0" w:space="0" w:color="auto"/>
            <w:bottom w:val="none" w:sz="0" w:space="0" w:color="auto"/>
            <w:right w:val="none" w:sz="0" w:space="0" w:color="auto"/>
          </w:divBdr>
        </w:div>
        <w:div w:id="263920332">
          <w:marLeft w:val="1166"/>
          <w:marRight w:val="0"/>
          <w:marTop w:val="67"/>
          <w:marBottom w:val="240"/>
          <w:divBdr>
            <w:top w:val="none" w:sz="0" w:space="0" w:color="auto"/>
            <w:left w:val="none" w:sz="0" w:space="0" w:color="auto"/>
            <w:bottom w:val="none" w:sz="0" w:space="0" w:color="auto"/>
            <w:right w:val="none" w:sz="0" w:space="0" w:color="auto"/>
          </w:divBdr>
        </w:div>
      </w:divsChild>
    </w:div>
    <w:div w:id="206383117">
      <w:bodyDiv w:val="1"/>
      <w:marLeft w:val="0"/>
      <w:marRight w:val="0"/>
      <w:marTop w:val="0"/>
      <w:marBottom w:val="0"/>
      <w:divBdr>
        <w:top w:val="none" w:sz="0" w:space="0" w:color="auto"/>
        <w:left w:val="none" w:sz="0" w:space="0" w:color="auto"/>
        <w:bottom w:val="none" w:sz="0" w:space="0" w:color="auto"/>
        <w:right w:val="none" w:sz="0" w:space="0" w:color="auto"/>
      </w:divBdr>
    </w:div>
    <w:div w:id="215969983">
      <w:bodyDiv w:val="1"/>
      <w:marLeft w:val="0"/>
      <w:marRight w:val="0"/>
      <w:marTop w:val="0"/>
      <w:marBottom w:val="0"/>
      <w:divBdr>
        <w:top w:val="none" w:sz="0" w:space="0" w:color="auto"/>
        <w:left w:val="none" w:sz="0" w:space="0" w:color="auto"/>
        <w:bottom w:val="none" w:sz="0" w:space="0" w:color="auto"/>
        <w:right w:val="none" w:sz="0" w:space="0" w:color="auto"/>
      </w:divBdr>
    </w:div>
    <w:div w:id="369107367">
      <w:bodyDiv w:val="1"/>
      <w:marLeft w:val="0"/>
      <w:marRight w:val="0"/>
      <w:marTop w:val="0"/>
      <w:marBottom w:val="0"/>
      <w:divBdr>
        <w:top w:val="none" w:sz="0" w:space="0" w:color="auto"/>
        <w:left w:val="none" w:sz="0" w:space="0" w:color="auto"/>
        <w:bottom w:val="none" w:sz="0" w:space="0" w:color="auto"/>
        <w:right w:val="none" w:sz="0" w:space="0" w:color="auto"/>
      </w:divBdr>
      <w:divsChild>
        <w:div w:id="1720855579">
          <w:marLeft w:val="0"/>
          <w:marRight w:val="0"/>
          <w:marTop w:val="0"/>
          <w:marBottom w:val="0"/>
          <w:divBdr>
            <w:top w:val="none" w:sz="0" w:space="0" w:color="auto"/>
            <w:left w:val="none" w:sz="0" w:space="0" w:color="auto"/>
            <w:bottom w:val="none" w:sz="0" w:space="0" w:color="auto"/>
            <w:right w:val="none" w:sz="0" w:space="0" w:color="auto"/>
          </w:divBdr>
          <w:divsChild>
            <w:div w:id="1678070198">
              <w:marLeft w:val="0"/>
              <w:marRight w:val="0"/>
              <w:marTop w:val="0"/>
              <w:marBottom w:val="0"/>
              <w:divBdr>
                <w:top w:val="none" w:sz="0" w:space="0" w:color="auto"/>
                <w:left w:val="none" w:sz="0" w:space="0" w:color="auto"/>
                <w:bottom w:val="none" w:sz="0" w:space="0" w:color="auto"/>
                <w:right w:val="none" w:sz="0" w:space="0" w:color="auto"/>
              </w:divBdr>
              <w:divsChild>
                <w:div w:id="356783258">
                  <w:marLeft w:val="0"/>
                  <w:marRight w:val="0"/>
                  <w:marTop w:val="0"/>
                  <w:marBottom w:val="0"/>
                  <w:divBdr>
                    <w:top w:val="none" w:sz="0" w:space="0" w:color="auto"/>
                    <w:left w:val="none" w:sz="0" w:space="0" w:color="auto"/>
                    <w:bottom w:val="none" w:sz="0" w:space="0" w:color="auto"/>
                    <w:right w:val="none" w:sz="0" w:space="0" w:color="auto"/>
                  </w:divBdr>
                  <w:divsChild>
                    <w:div w:id="232619201">
                      <w:marLeft w:val="0"/>
                      <w:marRight w:val="0"/>
                      <w:marTop w:val="0"/>
                      <w:marBottom w:val="0"/>
                      <w:divBdr>
                        <w:top w:val="none" w:sz="0" w:space="0" w:color="auto"/>
                        <w:left w:val="none" w:sz="0" w:space="0" w:color="auto"/>
                        <w:bottom w:val="none" w:sz="0" w:space="0" w:color="auto"/>
                        <w:right w:val="none" w:sz="0" w:space="0" w:color="auto"/>
                      </w:divBdr>
                      <w:divsChild>
                        <w:div w:id="283922144">
                          <w:marLeft w:val="0"/>
                          <w:marRight w:val="0"/>
                          <w:marTop w:val="0"/>
                          <w:marBottom w:val="0"/>
                          <w:divBdr>
                            <w:top w:val="none" w:sz="0" w:space="0" w:color="auto"/>
                            <w:left w:val="none" w:sz="0" w:space="0" w:color="auto"/>
                            <w:bottom w:val="none" w:sz="0" w:space="0" w:color="auto"/>
                            <w:right w:val="none" w:sz="0" w:space="0" w:color="auto"/>
                          </w:divBdr>
                          <w:divsChild>
                            <w:div w:id="18031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91471">
      <w:bodyDiv w:val="1"/>
      <w:marLeft w:val="0"/>
      <w:marRight w:val="0"/>
      <w:marTop w:val="0"/>
      <w:marBottom w:val="0"/>
      <w:divBdr>
        <w:top w:val="none" w:sz="0" w:space="0" w:color="auto"/>
        <w:left w:val="none" w:sz="0" w:space="0" w:color="auto"/>
        <w:bottom w:val="none" w:sz="0" w:space="0" w:color="auto"/>
        <w:right w:val="none" w:sz="0" w:space="0" w:color="auto"/>
      </w:divBdr>
    </w:div>
    <w:div w:id="410198761">
      <w:bodyDiv w:val="1"/>
      <w:marLeft w:val="0"/>
      <w:marRight w:val="0"/>
      <w:marTop w:val="0"/>
      <w:marBottom w:val="0"/>
      <w:divBdr>
        <w:top w:val="none" w:sz="0" w:space="0" w:color="auto"/>
        <w:left w:val="none" w:sz="0" w:space="0" w:color="auto"/>
        <w:bottom w:val="none" w:sz="0" w:space="0" w:color="auto"/>
        <w:right w:val="none" w:sz="0" w:space="0" w:color="auto"/>
      </w:divBdr>
    </w:div>
    <w:div w:id="416827283">
      <w:bodyDiv w:val="1"/>
      <w:marLeft w:val="0"/>
      <w:marRight w:val="0"/>
      <w:marTop w:val="0"/>
      <w:marBottom w:val="0"/>
      <w:divBdr>
        <w:top w:val="none" w:sz="0" w:space="0" w:color="auto"/>
        <w:left w:val="none" w:sz="0" w:space="0" w:color="auto"/>
        <w:bottom w:val="none" w:sz="0" w:space="0" w:color="auto"/>
        <w:right w:val="none" w:sz="0" w:space="0" w:color="auto"/>
      </w:divBdr>
    </w:div>
    <w:div w:id="435443790">
      <w:bodyDiv w:val="1"/>
      <w:marLeft w:val="0"/>
      <w:marRight w:val="0"/>
      <w:marTop w:val="0"/>
      <w:marBottom w:val="0"/>
      <w:divBdr>
        <w:top w:val="none" w:sz="0" w:space="0" w:color="auto"/>
        <w:left w:val="none" w:sz="0" w:space="0" w:color="auto"/>
        <w:bottom w:val="none" w:sz="0" w:space="0" w:color="auto"/>
        <w:right w:val="none" w:sz="0" w:space="0" w:color="auto"/>
      </w:divBdr>
    </w:div>
    <w:div w:id="468594884">
      <w:bodyDiv w:val="1"/>
      <w:marLeft w:val="0"/>
      <w:marRight w:val="0"/>
      <w:marTop w:val="0"/>
      <w:marBottom w:val="0"/>
      <w:divBdr>
        <w:top w:val="none" w:sz="0" w:space="0" w:color="auto"/>
        <w:left w:val="none" w:sz="0" w:space="0" w:color="auto"/>
        <w:bottom w:val="none" w:sz="0" w:space="0" w:color="auto"/>
        <w:right w:val="none" w:sz="0" w:space="0" w:color="auto"/>
      </w:divBdr>
    </w:div>
    <w:div w:id="504440230">
      <w:bodyDiv w:val="1"/>
      <w:marLeft w:val="0"/>
      <w:marRight w:val="0"/>
      <w:marTop w:val="0"/>
      <w:marBottom w:val="0"/>
      <w:divBdr>
        <w:top w:val="none" w:sz="0" w:space="0" w:color="auto"/>
        <w:left w:val="none" w:sz="0" w:space="0" w:color="auto"/>
        <w:bottom w:val="none" w:sz="0" w:space="0" w:color="auto"/>
        <w:right w:val="none" w:sz="0" w:space="0" w:color="auto"/>
      </w:divBdr>
      <w:divsChild>
        <w:div w:id="1953123328">
          <w:marLeft w:val="259"/>
          <w:marRight w:val="0"/>
          <w:marTop w:val="77"/>
          <w:marBottom w:val="240"/>
          <w:divBdr>
            <w:top w:val="none" w:sz="0" w:space="0" w:color="auto"/>
            <w:left w:val="none" w:sz="0" w:space="0" w:color="auto"/>
            <w:bottom w:val="none" w:sz="0" w:space="0" w:color="auto"/>
            <w:right w:val="none" w:sz="0" w:space="0" w:color="auto"/>
          </w:divBdr>
        </w:div>
        <w:div w:id="547180240">
          <w:marLeft w:val="259"/>
          <w:marRight w:val="0"/>
          <w:marTop w:val="77"/>
          <w:marBottom w:val="240"/>
          <w:divBdr>
            <w:top w:val="none" w:sz="0" w:space="0" w:color="auto"/>
            <w:left w:val="none" w:sz="0" w:space="0" w:color="auto"/>
            <w:bottom w:val="none" w:sz="0" w:space="0" w:color="auto"/>
            <w:right w:val="none" w:sz="0" w:space="0" w:color="auto"/>
          </w:divBdr>
        </w:div>
        <w:div w:id="1278755243">
          <w:marLeft w:val="259"/>
          <w:marRight w:val="0"/>
          <w:marTop w:val="77"/>
          <w:marBottom w:val="240"/>
          <w:divBdr>
            <w:top w:val="none" w:sz="0" w:space="0" w:color="auto"/>
            <w:left w:val="none" w:sz="0" w:space="0" w:color="auto"/>
            <w:bottom w:val="none" w:sz="0" w:space="0" w:color="auto"/>
            <w:right w:val="none" w:sz="0" w:space="0" w:color="auto"/>
          </w:divBdr>
        </w:div>
        <w:div w:id="330646690">
          <w:marLeft w:val="1166"/>
          <w:marRight w:val="0"/>
          <w:marTop w:val="67"/>
          <w:marBottom w:val="240"/>
          <w:divBdr>
            <w:top w:val="none" w:sz="0" w:space="0" w:color="auto"/>
            <w:left w:val="none" w:sz="0" w:space="0" w:color="auto"/>
            <w:bottom w:val="none" w:sz="0" w:space="0" w:color="auto"/>
            <w:right w:val="none" w:sz="0" w:space="0" w:color="auto"/>
          </w:divBdr>
        </w:div>
        <w:div w:id="462313258">
          <w:marLeft w:val="1166"/>
          <w:marRight w:val="0"/>
          <w:marTop w:val="67"/>
          <w:marBottom w:val="240"/>
          <w:divBdr>
            <w:top w:val="none" w:sz="0" w:space="0" w:color="auto"/>
            <w:left w:val="none" w:sz="0" w:space="0" w:color="auto"/>
            <w:bottom w:val="none" w:sz="0" w:space="0" w:color="auto"/>
            <w:right w:val="none" w:sz="0" w:space="0" w:color="auto"/>
          </w:divBdr>
        </w:div>
        <w:div w:id="1701852028">
          <w:marLeft w:val="259"/>
          <w:marRight w:val="0"/>
          <w:marTop w:val="77"/>
          <w:marBottom w:val="240"/>
          <w:divBdr>
            <w:top w:val="none" w:sz="0" w:space="0" w:color="auto"/>
            <w:left w:val="none" w:sz="0" w:space="0" w:color="auto"/>
            <w:bottom w:val="none" w:sz="0" w:space="0" w:color="auto"/>
            <w:right w:val="none" w:sz="0" w:space="0" w:color="auto"/>
          </w:divBdr>
        </w:div>
        <w:div w:id="421145724">
          <w:marLeft w:val="1166"/>
          <w:marRight w:val="0"/>
          <w:marTop w:val="67"/>
          <w:marBottom w:val="240"/>
          <w:divBdr>
            <w:top w:val="none" w:sz="0" w:space="0" w:color="auto"/>
            <w:left w:val="none" w:sz="0" w:space="0" w:color="auto"/>
            <w:bottom w:val="none" w:sz="0" w:space="0" w:color="auto"/>
            <w:right w:val="none" w:sz="0" w:space="0" w:color="auto"/>
          </w:divBdr>
        </w:div>
      </w:divsChild>
    </w:div>
    <w:div w:id="554051011">
      <w:bodyDiv w:val="1"/>
      <w:marLeft w:val="0"/>
      <w:marRight w:val="0"/>
      <w:marTop w:val="0"/>
      <w:marBottom w:val="0"/>
      <w:divBdr>
        <w:top w:val="none" w:sz="0" w:space="0" w:color="auto"/>
        <w:left w:val="none" w:sz="0" w:space="0" w:color="auto"/>
        <w:bottom w:val="none" w:sz="0" w:space="0" w:color="auto"/>
        <w:right w:val="none" w:sz="0" w:space="0" w:color="auto"/>
      </w:divBdr>
      <w:divsChild>
        <w:div w:id="248664364">
          <w:marLeft w:val="259"/>
          <w:marRight w:val="0"/>
          <w:marTop w:val="77"/>
          <w:marBottom w:val="240"/>
          <w:divBdr>
            <w:top w:val="none" w:sz="0" w:space="0" w:color="auto"/>
            <w:left w:val="none" w:sz="0" w:space="0" w:color="auto"/>
            <w:bottom w:val="none" w:sz="0" w:space="0" w:color="auto"/>
            <w:right w:val="none" w:sz="0" w:space="0" w:color="auto"/>
          </w:divBdr>
        </w:div>
        <w:div w:id="591865331">
          <w:marLeft w:val="259"/>
          <w:marRight w:val="0"/>
          <w:marTop w:val="77"/>
          <w:marBottom w:val="240"/>
          <w:divBdr>
            <w:top w:val="none" w:sz="0" w:space="0" w:color="auto"/>
            <w:left w:val="none" w:sz="0" w:space="0" w:color="auto"/>
            <w:bottom w:val="none" w:sz="0" w:space="0" w:color="auto"/>
            <w:right w:val="none" w:sz="0" w:space="0" w:color="auto"/>
          </w:divBdr>
        </w:div>
        <w:div w:id="1344817977">
          <w:marLeft w:val="259"/>
          <w:marRight w:val="0"/>
          <w:marTop w:val="77"/>
          <w:marBottom w:val="240"/>
          <w:divBdr>
            <w:top w:val="none" w:sz="0" w:space="0" w:color="auto"/>
            <w:left w:val="none" w:sz="0" w:space="0" w:color="auto"/>
            <w:bottom w:val="none" w:sz="0" w:space="0" w:color="auto"/>
            <w:right w:val="none" w:sz="0" w:space="0" w:color="auto"/>
          </w:divBdr>
        </w:div>
        <w:div w:id="1971545927">
          <w:marLeft w:val="1166"/>
          <w:marRight w:val="0"/>
          <w:marTop w:val="67"/>
          <w:marBottom w:val="240"/>
          <w:divBdr>
            <w:top w:val="none" w:sz="0" w:space="0" w:color="auto"/>
            <w:left w:val="none" w:sz="0" w:space="0" w:color="auto"/>
            <w:bottom w:val="none" w:sz="0" w:space="0" w:color="auto"/>
            <w:right w:val="none" w:sz="0" w:space="0" w:color="auto"/>
          </w:divBdr>
        </w:div>
        <w:div w:id="2072462190">
          <w:marLeft w:val="1166"/>
          <w:marRight w:val="0"/>
          <w:marTop w:val="67"/>
          <w:marBottom w:val="240"/>
          <w:divBdr>
            <w:top w:val="none" w:sz="0" w:space="0" w:color="auto"/>
            <w:left w:val="none" w:sz="0" w:space="0" w:color="auto"/>
            <w:bottom w:val="none" w:sz="0" w:space="0" w:color="auto"/>
            <w:right w:val="none" w:sz="0" w:space="0" w:color="auto"/>
          </w:divBdr>
        </w:div>
        <w:div w:id="1674260803">
          <w:marLeft w:val="1166"/>
          <w:marRight w:val="0"/>
          <w:marTop w:val="67"/>
          <w:marBottom w:val="240"/>
          <w:divBdr>
            <w:top w:val="none" w:sz="0" w:space="0" w:color="auto"/>
            <w:left w:val="none" w:sz="0" w:space="0" w:color="auto"/>
            <w:bottom w:val="none" w:sz="0" w:space="0" w:color="auto"/>
            <w:right w:val="none" w:sz="0" w:space="0" w:color="auto"/>
          </w:divBdr>
        </w:div>
        <w:div w:id="1208764318">
          <w:marLeft w:val="259"/>
          <w:marRight w:val="0"/>
          <w:marTop w:val="77"/>
          <w:marBottom w:val="240"/>
          <w:divBdr>
            <w:top w:val="none" w:sz="0" w:space="0" w:color="auto"/>
            <w:left w:val="none" w:sz="0" w:space="0" w:color="auto"/>
            <w:bottom w:val="none" w:sz="0" w:space="0" w:color="auto"/>
            <w:right w:val="none" w:sz="0" w:space="0" w:color="auto"/>
          </w:divBdr>
        </w:div>
      </w:divsChild>
    </w:div>
    <w:div w:id="581380328">
      <w:bodyDiv w:val="1"/>
      <w:marLeft w:val="0"/>
      <w:marRight w:val="0"/>
      <w:marTop w:val="0"/>
      <w:marBottom w:val="0"/>
      <w:divBdr>
        <w:top w:val="none" w:sz="0" w:space="0" w:color="auto"/>
        <w:left w:val="none" w:sz="0" w:space="0" w:color="auto"/>
        <w:bottom w:val="none" w:sz="0" w:space="0" w:color="auto"/>
        <w:right w:val="none" w:sz="0" w:space="0" w:color="auto"/>
      </w:divBdr>
      <w:divsChild>
        <w:div w:id="289554917">
          <w:marLeft w:val="259"/>
          <w:marRight w:val="0"/>
          <w:marTop w:val="77"/>
          <w:marBottom w:val="240"/>
          <w:divBdr>
            <w:top w:val="none" w:sz="0" w:space="0" w:color="auto"/>
            <w:left w:val="none" w:sz="0" w:space="0" w:color="auto"/>
            <w:bottom w:val="none" w:sz="0" w:space="0" w:color="auto"/>
            <w:right w:val="none" w:sz="0" w:space="0" w:color="auto"/>
          </w:divBdr>
        </w:div>
        <w:div w:id="165439144">
          <w:marLeft w:val="1166"/>
          <w:marRight w:val="0"/>
          <w:marTop w:val="67"/>
          <w:marBottom w:val="240"/>
          <w:divBdr>
            <w:top w:val="none" w:sz="0" w:space="0" w:color="auto"/>
            <w:left w:val="none" w:sz="0" w:space="0" w:color="auto"/>
            <w:bottom w:val="none" w:sz="0" w:space="0" w:color="auto"/>
            <w:right w:val="none" w:sz="0" w:space="0" w:color="auto"/>
          </w:divBdr>
        </w:div>
        <w:div w:id="1745451499">
          <w:marLeft w:val="1166"/>
          <w:marRight w:val="0"/>
          <w:marTop w:val="67"/>
          <w:marBottom w:val="240"/>
          <w:divBdr>
            <w:top w:val="none" w:sz="0" w:space="0" w:color="auto"/>
            <w:left w:val="none" w:sz="0" w:space="0" w:color="auto"/>
            <w:bottom w:val="none" w:sz="0" w:space="0" w:color="auto"/>
            <w:right w:val="none" w:sz="0" w:space="0" w:color="auto"/>
          </w:divBdr>
        </w:div>
        <w:div w:id="98841813">
          <w:marLeft w:val="259"/>
          <w:marRight w:val="0"/>
          <w:marTop w:val="77"/>
          <w:marBottom w:val="240"/>
          <w:divBdr>
            <w:top w:val="none" w:sz="0" w:space="0" w:color="auto"/>
            <w:left w:val="none" w:sz="0" w:space="0" w:color="auto"/>
            <w:bottom w:val="none" w:sz="0" w:space="0" w:color="auto"/>
            <w:right w:val="none" w:sz="0" w:space="0" w:color="auto"/>
          </w:divBdr>
        </w:div>
        <w:div w:id="1169638448">
          <w:marLeft w:val="1166"/>
          <w:marRight w:val="0"/>
          <w:marTop w:val="67"/>
          <w:marBottom w:val="240"/>
          <w:divBdr>
            <w:top w:val="none" w:sz="0" w:space="0" w:color="auto"/>
            <w:left w:val="none" w:sz="0" w:space="0" w:color="auto"/>
            <w:bottom w:val="none" w:sz="0" w:space="0" w:color="auto"/>
            <w:right w:val="none" w:sz="0" w:space="0" w:color="auto"/>
          </w:divBdr>
        </w:div>
        <w:div w:id="414322693">
          <w:marLeft w:val="259"/>
          <w:marRight w:val="0"/>
          <w:marTop w:val="77"/>
          <w:marBottom w:val="240"/>
          <w:divBdr>
            <w:top w:val="none" w:sz="0" w:space="0" w:color="auto"/>
            <w:left w:val="none" w:sz="0" w:space="0" w:color="auto"/>
            <w:bottom w:val="none" w:sz="0" w:space="0" w:color="auto"/>
            <w:right w:val="none" w:sz="0" w:space="0" w:color="auto"/>
          </w:divBdr>
        </w:div>
      </w:divsChild>
    </w:div>
    <w:div w:id="752439059">
      <w:bodyDiv w:val="1"/>
      <w:marLeft w:val="0"/>
      <w:marRight w:val="0"/>
      <w:marTop w:val="0"/>
      <w:marBottom w:val="0"/>
      <w:divBdr>
        <w:top w:val="none" w:sz="0" w:space="0" w:color="auto"/>
        <w:left w:val="none" w:sz="0" w:space="0" w:color="auto"/>
        <w:bottom w:val="none" w:sz="0" w:space="0" w:color="auto"/>
        <w:right w:val="none" w:sz="0" w:space="0" w:color="auto"/>
      </w:divBdr>
      <w:divsChild>
        <w:div w:id="1131048192">
          <w:marLeft w:val="259"/>
          <w:marRight w:val="0"/>
          <w:marTop w:val="77"/>
          <w:marBottom w:val="240"/>
          <w:divBdr>
            <w:top w:val="none" w:sz="0" w:space="0" w:color="auto"/>
            <w:left w:val="none" w:sz="0" w:space="0" w:color="auto"/>
            <w:bottom w:val="none" w:sz="0" w:space="0" w:color="auto"/>
            <w:right w:val="none" w:sz="0" w:space="0" w:color="auto"/>
          </w:divBdr>
        </w:div>
        <w:div w:id="1861431064">
          <w:marLeft w:val="259"/>
          <w:marRight w:val="0"/>
          <w:marTop w:val="77"/>
          <w:marBottom w:val="240"/>
          <w:divBdr>
            <w:top w:val="none" w:sz="0" w:space="0" w:color="auto"/>
            <w:left w:val="none" w:sz="0" w:space="0" w:color="auto"/>
            <w:bottom w:val="none" w:sz="0" w:space="0" w:color="auto"/>
            <w:right w:val="none" w:sz="0" w:space="0" w:color="auto"/>
          </w:divBdr>
        </w:div>
        <w:div w:id="110904034">
          <w:marLeft w:val="259"/>
          <w:marRight w:val="0"/>
          <w:marTop w:val="77"/>
          <w:marBottom w:val="240"/>
          <w:divBdr>
            <w:top w:val="none" w:sz="0" w:space="0" w:color="auto"/>
            <w:left w:val="none" w:sz="0" w:space="0" w:color="auto"/>
            <w:bottom w:val="none" w:sz="0" w:space="0" w:color="auto"/>
            <w:right w:val="none" w:sz="0" w:space="0" w:color="auto"/>
          </w:divBdr>
        </w:div>
        <w:div w:id="298189922">
          <w:marLeft w:val="259"/>
          <w:marRight w:val="0"/>
          <w:marTop w:val="77"/>
          <w:marBottom w:val="240"/>
          <w:divBdr>
            <w:top w:val="none" w:sz="0" w:space="0" w:color="auto"/>
            <w:left w:val="none" w:sz="0" w:space="0" w:color="auto"/>
            <w:bottom w:val="none" w:sz="0" w:space="0" w:color="auto"/>
            <w:right w:val="none" w:sz="0" w:space="0" w:color="auto"/>
          </w:divBdr>
        </w:div>
      </w:divsChild>
    </w:div>
    <w:div w:id="765463549">
      <w:bodyDiv w:val="1"/>
      <w:marLeft w:val="0"/>
      <w:marRight w:val="0"/>
      <w:marTop w:val="0"/>
      <w:marBottom w:val="0"/>
      <w:divBdr>
        <w:top w:val="none" w:sz="0" w:space="0" w:color="auto"/>
        <w:left w:val="none" w:sz="0" w:space="0" w:color="auto"/>
        <w:bottom w:val="none" w:sz="0" w:space="0" w:color="auto"/>
        <w:right w:val="none" w:sz="0" w:space="0" w:color="auto"/>
      </w:divBdr>
    </w:div>
    <w:div w:id="791745967">
      <w:bodyDiv w:val="1"/>
      <w:marLeft w:val="0"/>
      <w:marRight w:val="0"/>
      <w:marTop w:val="0"/>
      <w:marBottom w:val="0"/>
      <w:divBdr>
        <w:top w:val="none" w:sz="0" w:space="0" w:color="auto"/>
        <w:left w:val="none" w:sz="0" w:space="0" w:color="auto"/>
        <w:bottom w:val="none" w:sz="0" w:space="0" w:color="auto"/>
        <w:right w:val="none" w:sz="0" w:space="0" w:color="auto"/>
      </w:divBdr>
      <w:divsChild>
        <w:div w:id="1997029473">
          <w:marLeft w:val="259"/>
          <w:marRight w:val="0"/>
          <w:marTop w:val="77"/>
          <w:marBottom w:val="240"/>
          <w:divBdr>
            <w:top w:val="none" w:sz="0" w:space="0" w:color="auto"/>
            <w:left w:val="none" w:sz="0" w:space="0" w:color="auto"/>
            <w:bottom w:val="none" w:sz="0" w:space="0" w:color="auto"/>
            <w:right w:val="none" w:sz="0" w:space="0" w:color="auto"/>
          </w:divBdr>
        </w:div>
        <w:div w:id="707996655">
          <w:marLeft w:val="259"/>
          <w:marRight w:val="0"/>
          <w:marTop w:val="77"/>
          <w:marBottom w:val="240"/>
          <w:divBdr>
            <w:top w:val="none" w:sz="0" w:space="0" w:color="auto"/>
            <w:left w:val="none" w:sz="0" w:space="0" w:color="auto"/>
            <w:bottom w:val="none" w:sz="0" w:space="0" w:color="auto"/>
            <w:right w:val="none" w:sz="0" w:space="0" w:color="auto"/>
          </w:divBdr>
        </w:div>
        <w:div w:id="1156799232">
          <w:marLeft w:val="1166"/>
          <w:marRight w:val="0"/>
          <w:marTop w:val="67"/>
          <w:marBottom w:val="240"/>
          <w:divBdr>
            <w:top w:val="none" w:sz="0" w:space="0" w:color="auto"/>
            <w:left w:val="none" w:sz="0" w:space="0" w:color="auto"/>
            <w:bottom w:val="none" w:sz="0" w:space="0" w:color="auto"/>
            <w:right w:val="none" w:sz="0" w:space="0" w:color="auto"/>
          </w:divBdr>
        </w:div>
        <w:div w:id="1678771339">
          <w:marLeft w:val="1166"/>
          <w:marRight w:val="0"/>
          <w:marTop w:val="67"/>
          <w:marBottom w:val="240"/>
          <w:divBdr>
            <w:top w:val="none" w:sz="0" w:space="0" w:color="auto"/>
            <w:left w:val="none" w:sz="0" w:space="0" w:color="auto"/>
            <w:bottom w:val="none" w:sz="0" w:space="0" w:color="auto"/>
            <w:right w:val="none" w:sz="0" w:space="0" w:color="auto"/>
          </w:divBdr>
        </w:div>
        <w:div w:id="502404775">
          <w:marLeft w:val="1166"/>
          <w:marRight w:val="0"/>
          <w:marTop w:val="67"/>
          <w:marBottom w:val="240"/>
          <w:divBdr>
            <w:top w:val="none" w:sz="0" w:space="0" w:color="auto"/>
            <w:left w:val="none" w:sz="0" w:space="0" w:color="auto"/>
            <w:bottom w:val="none" w:sz="0" w:space="0" w:color="auto"/>
            <w:right w:val="none" w:sz="0" w:space="0" w:color="auto"/>
          </w:divBdr>
        </w:div>
        <w:div w:id="1702439433">
          <w:marLeft w:val="1166"/>
          <w:marRight w:val="0"/>
          <w:marTop w:val="67"/>
          <w:marBottom w:val="240"/>
          <w:divBdr>
            <w:top w:val="none" w:sz="0" w:space="0" w:color="auto"/>
            <w:left w:val="none" w:sz="0" w:space="0" w:color="auto"/>
            <w:bottom w:val="none" w:sz="0" w:space="0" w:color="auto"/>
            <w:right w:val="none" w:sz="0" w:space="0" w:color="auto"/>
          </w:divBdr>
        </w:div>
        <w:div w:id="339284800">
          <w:marLeft w:val="259"/>
          <w:marRight w:val="0"/>
          <w:marTop w:val="77"/>
          <w:marBottom w:val="240"/>
          <w:divBdr>
            <w:top w:val="none" w:sz="0" w:space="0" w:color="auto"/>
            <w:left w:val="none" w:sz="0" w:space="0" w:color="auto"/>
            <w:bottom w:val="none" w:sz="0" w:space="0" w:color="auto"/>
            <w:right w:val="none" w:sz="0" w:space="0" w:color="auto"/>
          </w:divBdr>
        </w:div>
        <w:div w:id="1540823314">
          <w:marLeft w:val="259"/>
          <w:marRight w:val="0"/>
          <w:marTop w:val="77"/>
          <w:marBottom w:val="240"/>
          <w:divBdr>
            <w:top w:val="none" w:sz="0" w:space="0" w:color="auto"/>
            <w:left w:val="none" w:sz="0" w:space="0" w:color="auto"/>
            <w:bottom w:val="none" w:sz="0" w:space="0" w:color="auto"/>
            <w:right w:val="none" w:sz="0" w:space="0" w:color="auto"/>
          </w:divBdr>
        </w:div>
        <w:div w:id="361974270">
          <w:marLeft w:val="259"/>
          <w:marRight w:val="0"/>
          <w:marTop w:val="77"/>
          <w:marBottom w:val="240"/>
          <w:divBdr>
            <w:top w:val="none" w:sz="0" w:space="0" w:color="auto"/>
            <w:left w:val="none" w:sz="0" w:space="0" w:color="auto"/>
            <w:bottom w:val="none" w:sz="0" w:space="0" w:color="auto"/>
            <w:right w:val="none" w:sz="0" w:space="0" w:color="auto"/>
          </w:divBdr>
        </w:div>
        <w:div w:id="2091190387">
          <w:marLeft w:val="259"/>
          <w:marRight w:val="0"/>
          <w:marTop w:val="77"/>
          <w:marBottom w:val="240"/>
          <w:divBdr>
            <w:top w:val="none" w:sz="0" w:space="0" w:color="auto"/>
            <w:left w:val="none" w:sz="0" w:space="0" w:color="auto"/>
            <w:bottom w:val="none" w:sz="0" w:space="0" w:color="auto"/>
            <w:right w:val="none" w:sz="0" w:space="0" w:color="auto"/>
          </w:divBdr>
        </w:div>
      </w:divsChild>
    </w:div>
    <w:div w:id="810563253">
      <w:bodyDiv w:val="1"/>
      <w:marLeft w:val="0"/>
      <w:marRight w:val="0"/>
      <w:marTop w:val="0"/>
      <w:marBottom w:val="0"/>
      <w:divBdr>
        <w:top w:val="none" w:sz="0" w:space="0" w:color="auto"/>
        <w:left w:val="none" w:sz="0" w:space="0" w:color="auto"/>
        <w:bottom w:val="none" w:sz="0" w:space="0" w:color="auto"/>
        <w:right w:val="none" w:sz="0" w:space="0" w:color="auto"/>
      </w:divBdr>
      <w:divsChild>
        <w:div w:id="334505100">
          <w:marLeft w:val="0"/>
          <w:marRight w:val="0"/>
          <w:marTop w:val="0"/>
          <w:marBottom w:val="0"/>
          <w:divBdr>
            <w:top w:val="none" w:sz="0" w:space="0" w:color="auto"/>
            <w:left w:val="none" w:sz="0" w:space="0" w:color="auto"/>
            <w:bottom w:val="none" w:sz="0" w:space="0" w:color="auto"/>
            <w:right w:val="none" w:sz="0" w:space="0" w:color="auto"/>
          </w:divBdr>
          <w:divsChild>
            <w:div w:id="3880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9897">
      <w:bodyDiv w:val="1"/>
      <w:marLeft w:val="0"/>
      <w:marRight w:val="0"/>
      <w:marTop w:val="0"/>
      <w:marBottom w:val="0"/>
      <w:divBdr>
        <w:top w:val="none" w:sz="0" w:space="0" w:color="auto"/>
        <w:left w:val="none" w:sz="0" w:space="0" w:color="auto"/>
        <w:bottom w:val="none" w:sz="0" w:space="0" w:color="auto"/>
        <w:right w:val="none" w:sz="0" w:space="0" w:color="auto"/>
      </w:divBdr>
    </w:div>
    <w:div w:id="992442396">
      <w:bodyDiv w:val="1"/>
      <w:marLeft w:val="0"/>
      <w:marRight w:val="0"/>
      <w:marTop w:val="0"/>
      <w:marBottom w:val="0"/>
      <w:divBdr>
        <w:top w:val="none" w:sz="0" w:space="0" w:color="auto"/>
        <w:left w:val="none" w:sz="0" w:space="0" w:color="auto"/>
        <w:bottom w:val="none" w:sz="0" w:space="0" w:color="auto"/>
        <w:right w:val="none" w:sz="0" w:space="0" w:color="auto"/>
      </w:divBdr>
      <w:divsChild>
        <w:div w:id="212811074">
          <w:marLeft w:val="259"/>
          <w:marRight w:val="0"/>
          <w:marTop w:val="77"/>
          <w:marBottom w:val="240"/>
          <w:divBdr>
            <w:top w:val="none" w:sz="0" w:space="0" w:color="auto"/>
            <w:left w:val="none" w:sz="0" w:space="0" w:color="auto"/>
            <w:bottom w:val="none" w:sz="0" w:space="0" w:color="auto"/>
            <w:right w:val="none" w:sz="0" w:space="0" w:color="auto"/>
          </w:divBdr>
        </w:div>
        <w:div w:id="501430696">
          <w:marLeft w:val="1166"/>
          <w:marRight w:val="0"/>
          <w:marTop w:val="67"/>
          <w:marBottom w:val="240"/>
          <w:divBdr>
            <w:top w:val="none" w:sz="0" w:space="0" w:color="auto"/>
            <w:left w:val="none" w:sz="0" w:space="0" w:color="auto"/>
            <w:bottom w:val="none" w:sz="0" w:space="0" w:color="auto"/>
            <w:right w:val="none" w:sz="0" w:space="0" w:color="auto"/>
          </w:divBdr>
        </w:div>
        <w:div w:id="1970431077">
          <w:marLeft w:val="1166"/>
          <w:marRight w:val="0"/>
          <w:marTop w:val="67"/>
          <w:marBottom w:val="240"/>
          <w:divBdr>
            <w:top w:val="none" w:sz="0" w:space="0" w:color="auto"/>
            <w:left w:val="none" w:sz="0" w:space="0" w:color="auto"/>
            <w:bottom w:val="none" w:sz="0" w:space="0" w:color="auto"/>
            <w:right w:val="none" w:sz="0" w:space="0" w:color="auto"/>
          </w:divBdr>
        </w:div>
        <w:div w:id="411705110">
          <w:marLeft w:val="1166"/>
          <w:marRight w:val="0"/>
          <w:marTop w:val="67"/>
          <w:marBottom w:val="240"/>
          <w:divBdr>
            <w:top w:val="none" w:sz="0" w:space="0" w:color="auto"/>
            <w:left w:val="none" w:sz="0" w:space="0" w:color="auto"/>
            <w:bottom w:val="none" w:sz="0" w:space="0" w:color="auto"/>
            <w:right w:val="none" w:sz="0" w:space="0" w:color="auto"/>
          </w:divBdr>
        </w:div>
        <w:div w:id="2123499192">
          <w:marLeft w:val="1166"/>
          <w:marRight w:val="0"/>
          <w:marTop w:val="67"/>
          <w:marBottom w:val="240"/>
          <w:divBdr>
            <w:top w:val="none" w:sz="0" w:space="0" w:color="auto"/>
            <w:left w:val="none" w:sz="0" w:space="0" w:color="auto"/>
            <w:bottom w:val="none" w:sz="0" w:space="0" w:color="auto"/>
            <w:right w:val="none" w:sz="0" w:space="0" w:color="auto"/>
          </w:divBdr>
        </w:div>
        <w:div w:id="578251304">
          <w:marLeft w:val="1166"/>
          <w:marRight w:val="0"/>
          <w:marTop w:val="67"/>
          <w:marBottom w:val="240"/>
          <w:divBdr>
            <w:top w:val="none" w:sz="0" w:space="0" w:color="auto"/>
            <w:left w:val="none" w:sz="0" w:space="0" w:color="auto"/>
            <w:bottom w:val="none" w:sz="0" w:space="0" w:color="auto"/>
            <w:right w:val="none" w:sz="0" w:space="0" w:color="auto"/>
          </w:divBdr>
        </w:div>
      </w:divsChild>
    </w:div>
    <w:div w:id="1018121073">
      <w:bodyDiv w:val="1"/>
      <w:marLeft w:val="0"/>
      <w:marRight w:val="0"/>
      <w:marTop w:val="0"/>
      <w:marBottom w:val="0"/>
      <w:divBdr>
        <w:top w:val="none" w:sz="0" w:space="0" w:color="auto"/>
        <w:left w:val="none" w:sz="0" w:space="0" w:color="auto"/>
        <w:bottom w:val="none" w:sz="0" w:space="0" w:color="auto"/>
        <w:right w:val="none" w:sz="0" w:space="0" w:color="auto"/>
      </w:divBdr>
      <w:divsChild>
        <w:div w:id="999389854">
          <w:marLeft w:val="0"/>
          <w:marRight w:val="0"/>
          <w:marTop w:val="0"/>
          <w:marBottom w:val="0"/>
          <w:divBdr>
            <w:top w:val="none" w:sz="0" w:space="0" w:color="auto"/>
            <w:left w:val="none" w:sz="0" w:space="0" w:color="auto"/>
            <w:bottom w:val="none" w:sz="0" w:space="0" w:color="auto"/>
            <w:right w:val="none" w:sz="0" w:space="0" w:color="auto"/>
          </w:divBdr>
          <w:divsChild>
            <w:div w:id="1261640100">
              <w:marLeft w:val="0"/>
              <w:marRight w:val="0"/>
              <w:marTop w:val="0"/>
              <w:marBottom w:val="0"/>
              <w:divBdr>
                <w:top w:val="none" w:sz="0" w:space="0" w:color="auto"/>
                <w:left w:val="none" w:sz="0" w:space="0" w:color="auto"/>
                <w:bottom w:val="none" w:sz="0" w:space="0" w:color="auto"/>
                <w:right w:val="none" w:sz="0" w:space="0" w:color="auto"/>
              </w:divBdr>
              <w:divsChild>
                <w:div w:id="2012486633">
                  <w:marLeft w:val="0"/>
                  <w:marRight w:val="0"/>
                  <w:marTop w:val="0"/>
                  <w:marBottom w:val="0"/>
                  <w:divBdr>
                    <w:top w:val="none" w:sz="0" w:space="0" w:color="auto"/>
                    <w:left w:val="none" w:sz="0" w:space="0" w:color="auto"/>
                    <w:bottom w:val="none" w:sz="0" w:space="0" w:color="auto"/>
                    <w:right w:val="none" w:sz="0" w:space="0" w:color="auto"/>
                  </w:divBdr>
                  <w:divsChild>
                    <w:div w:id="1800293941">
                      <w:marLeft w:val="0"/>
                      <w:marRight w:val="0"/>
                      <w:marTop w:val="0"/>
                      <w:marBottom w:val="0"/>
                      <w:divBdr>
                        <w:top w:val="none" w:sz="0" w:space="0" w:color="auto"/>
                        <w:left w:val="none" w:sz="0" w:space="0" w:color="auto"/>
                        <w:bottom w:val="none" w:sz="0" w:space="0" w:color="auto"/>
                        <w:right w:val="none" w:sz="0" w:space="0" w:color="auto"/>
                      </w:divBdr>
                      <w:divsChild>
                        <w:div w:id="1850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67676">
      <w:bodyDiv w:val="1"/>
      <w:marLeft w:val="0"/>
      <w:marRight w:val="0"/>
      <w:marTop w:val="0"/>
      <w:marBottom w:val="0"/>
      <w:divBdr>
        <w:top w:val="none" w:sz="0" w:space="0" w:color="auto"/>
        <w:left w:val="none" w:sz="0" w:space="0" w:color="auto"/>
        <w:bottom w:val="none" w:sz="0" w:space="0" w:color="auto"/>
        <w:right w:val="none" w:sz="0" w:space="0" w:color="auto"/>
      </w:divBdr>
      <w:divsChild>
        <w:div w:id="722556986">
          <w:marLeft w:val="0"/>
          <w:marRight w:val="0"/>
          <w:marTop w:val="0"/>
          <w:marBottom w:val="0"/>
          <w:divBdr>
            <w:top w:val="none" w:sz="0" w:space="0" w:color="auto"/>
            <w:left w:val="none" w:sz="0" w:space="0" w:color="auto"/>
            <w:bottom w:val="none" w:sz="0" w:space="0" w:color="auto"/>
            <w:right w:val="none" w:sz="0" w:space="0" w:color="auto"/>
          </w:divBdr>
          <w:divsChild>
            <w:div w:id="10701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482">
      <w:bodyDiv w:val="1"/>
      <w:marLeft w:val="0"/>
      <w:marRight w:val="0"/>
      <w:marTop w:val="0"/>
      <w:marBottom w:val="0"/>
      <w:divBdr>
        <w:top w:val="none" w:sz="0" w:space="0" w:color="auto"/>
        <w:left w:val="none" w:sz="0" w:space="0" w:color="auto"/>
        <w:bottom w:val="none" w:sz="0" w:space="0" w:color="auto"/>
        <w:right w:val="none" w:sz="0" w:space="0" w:color="auto"/>
      </w:divBdr>
      <w:divsChild>
        <w:div w:id="410322809">
          <w:marLeft w:val="0"/>
          <w:marRight w:val="0"/>
          <w:marTop w:val="0"/>
          <w:marBottom w:val="0"/>
          <w:divBdr>
            <w:top w:val="none" w:sz="0" w:space="0" w:color="auto"/>
            <w:left w:val="none" w:sz="0" w:space="0" w:color="auto"/>
            <w:bottom w:val="none" w:sz="0" w:space="0" w:color="auto"/>
            <w:right w:val="none" w:sz="0" w:space="0" w:color="auto"/>
          </w:divBdr>
          <w:divsChild>
            <w:div w:id="407964146">
              <w:marLeft w:val="0"/>
              <w:marRight w:val="0"/>
              <w:marTop w:val="0"/>
              <w:marBottom w:val="0"/>
              <w:divBdr>
                <w:top w:val="none" w:sz="0" w:space="0" w:color="auto"/>
                <w:left w:val="none" w:sz="0" w:space="0" w:color="auto"/>
                <w:bottom w:val="none" w:sz="0" w:space="0" w:color="auto"/>
                <w:right w:val="none" w:sz="0" w:space="0" w:color="auto"/>
              </w:divBdr>
              <w:divsChild>
                <w:div w:id="1498299470">
                  <w:marLeft w:val="0"/>
                  <w:marRight w:val="0"/>
                  <w:marTop w:val="0"/>
                  <w:marBottom w:val="0"/>
                  <w:divBdr>
                    <w:top w:val="none" w:sz="0" w:space="0" w:color="auto"/>
                    <w:left w:val="none" w:sz="0" w:space="0" w:color="auto"/>
                    <w:bottom w:val="none" w:sz="0" w:space="0" w:color="auto"/>
                    <w:right w:val="none" w:sz="0" w:space="0" w:color="auto"/>
                  </w:divBdr>
                  <w:divsChild>
                    <w:div w:id="1075972933">
                      <w:marLeft w:val="0"/>
                      <w:marRight w:val="0"/>
                      <w:marTop w:val="0"/>
                      <w:marBottom w:val="0"/>
                      <w:divBdr>
                        <w:top w:val="none" w:sz="0" w:space="0" w:color="auto"/>
                        <w:left w:val="none" w:sz="0" w:space="0" w:color="auto"/>
                        <w:bottom w:val="none" w:sz="0" w:space="0" w:color="auto"/>
                        <w:right w:val="none" w:sz="0" w:space="0" w:color="auto"/>
                      </w:divBdr>
                      <w:divsChild>
                        <w:div w:id="9995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22953">
      <w:bodyDiv w:val="1"/>
      <w:marLeft w:val="0"/>
      <w:marRight w:val="0"/>
      <w:marTop w:val="0"/>
      <w:marBottom w:val="0"/>
      <w:divBdr>
        <w:top w:val="none" w:sz="0" w:space="0" w:color="auto"/>
        <w:left w:val="none" w:sz="0" w:space="0" w:color="auto"/>
        <w:bottom w:val="none" w:sz="0" w:space="0" w:color="auto"/>
        <w:right w:val="none" w:sz="0" w:space="0" w:color="auto"/>
      </w:divBdr>
      <w:divsChild>
        <w:div w:id="2121753808">
          <w:marLeft w:val="1166"/>
          <w:marRight w:val="0"/>
          <w:marTop w:val="67"/>
          <w:marBottom w:val="240"/>
          <w:divBdr>
            <w:top w:val="none" w:sz="0" w:space="0" w:color="auto"/>
            <w:left w:val="none" w:sz="0" w:space="0" w:color="auto"/>
            <w:bottom w:val="none" w:sz="0" w:space="0" w:color="auto"/>
            <w:right w:val="none" w:sz="0" w:space="0" w:color="auto"/>
          </w:divBdr>
        </w:div>
        <w:div w:id="552544798">
          <w:marLeft w:val="1166"/>
          <w:marRight w:val="0"/>
          <w:marTop w:val="67"/>
          <w:marBottom w:val="240"/>
          <w:divBdr>
            <w:top w:val="none" w:sz="0" w:space="0" w:color="auto"/>
            <w:left w:val="none" w:sz="0" w:space="0" w:color="auto"/>
            <w:bottom w:val="none" w:sz="0" w:space="0" w:color="auto"/>
            <w:right w:val="none" w:sz="0" w:space="0" w:color="auto"/>
          </w:divBdr>
        </w:div>
      </w:divsChild>
    </w:div>
    <w:div w:id="1246108052">
      <w:bodyDiv w:val="1"/>
      <w:marLeft w:val="0"/>
      <w:marRight w:val="0"/>
      <w:marTop w:val="0"/>
      <w:marBottom w:val="0"/>
      <w:divBdr>
        <w:top w:val="none" w:sz="0" w:space="0" w:color="auto"/>
        <w:left w:val="none" w:sz="0" w:space="0" w:color="auto"/>
        <w:bottom w:val="none" w:sz="0" w:space="0" w:color="auto"/>
        <w:right w:val="none" w:sz="0" w:space="0" w:color="auto"/>
      </w:divBdr>
      <w:divsChild>
        <w:div w:id="1359044937">
          <w:marLeft w:val="259"/>
          <w:marRight w:val="0"/>
          <w:marTop w:val="77"/>
          <w:marBottom w:val="240"/>
          <w:divBdr>
            <w:top w:val="none" w:sz="0" w:space="0" w:color="auto"/>
            <w:left w:val="none" w:sz="0" w:space="0" w:color="auto"/>
            <w:bottom w:val="none" w:sz="0" w:space="0" w:color="auto"/>
            <w:right w:val="none" w:sz="0" w:space="0" w:color="auto"/>
          </w:divBdr>
        </w:div>
        <w:div w:id="1852907839">
          <w:marLeft w:val="259"/>
          <w:marRight w:val="0"/>
          <w:marTop w:val="77"/>
          <w:marBottom w:val="240"/>
          <w:divBdr>
            <w:top w:val="none" w:sz="0" w:space="0" w:color="auto"/>
            <w:left w:val="none" w:sz="0" w:space="0" w:color="auto"/>
            <w:bottom w:val="none" w:sz="0" w:space="0" w:color="auto"/>
            <w:right w:val="none" w:sz="0" w:space="0" w:color="auto"/>
          </w:divBdr>
        </w:div>
        <w:div w:id="424888151">
          <w:marLeft w:val="259"/>
          <w:marRight w:val="0"/>
          <w:marTop w:val="77"/>
          <w:marBottom w:val="240"/>
          <w:divBdr>
            <w:top w:val="none" w:sz="0" w:space="0" w:color="auto"/>
            <w:left w:val="none" w:sz="0" w:space="0" w:color="auto"/>
            <w:bottom w:val="none" w:sz="0" w:space="0" w:color="auto"/>
            <w:right w:val="none" w:sz="0" w:space="0" w:color="auto"/>
          </w:divBdr>
        </w:div>
        <w:div w:id="27226421">
          <w:marLeft w:val="1166"/>
          <w:marRight w:val="0"/>
          <w:marTop w:val="67"/>
          <w:marBottom w:val="240"/>
          <w:divBdr>
            <w:top w:val="none" w:sz="0" w:space="0" w:color="auto"/>
            <w:left w:val="none" w:sz="0" w:space="0" w:color="auto"/>
            <w:bottom w:val="none" w:sz="0" w:space="0" w:color="auto"/>
            <w:right w:val="none" w:sz="0" w:space="0" w:color="auto"/>
          </w:divBdr>
        </w:div>
        <w:div w:id="211423503">
          <w:marLeft w:val="1166"/>
          <w:marRight w:val="0"/>
          <w:marTop w:val="67"/>
          <w:marBottom w:val="240"/>
          <w:divBdr>
            <w:top w:val="none" w:sz="0" w:space="0" w:color="auto"/>
            <w:left w:val="none" w:sz="0" w:space="0" w:color="auto"/>
            <w:bottom w:val="none" w:sz="0" w:space="0" w:color="auto"/>
            <w:right w:val="none" w:sz="0" w:space="0" w:color="auto"/>
          </w:divBdr>
        </w:div>
        <w:div w:id="568538911">
          <w:marLeft w:val="1166"/>
          <w:marRight w:val="0"/>
          <w:marTop w:val="67"/>
          <w:marBottom w:val="240"/>
          <w:divBdr>
            <w:top w:val="none" w:sz="0" w:space="0" w:color="auto"/>
            <w:left w:val="none" w:sz="0" w:space="0" w:color="auto"/>
            <w:bottom w:val="none" w:sz="0" w:space="0" w:color="auto"/>
            <w:right w:val="none" w:sz="0" w:space="0" w:color="auto"/>
          </w:divBdr>
        </w:div>
      </w:divsChild>
    </w:div>
    <w:div w:id="1269852527">
      <w:bodyDiv w:val="1"/>
      <w:marLeft w:val="0"/>
      <w:marRight w:val="0"/>
      <w:marTop w:val="0"/>
      <w:marBottom w:val="0"/>
      <w:divBdr>
        <w:top w:val="none" w:sz="0" w:space="0" w:color="auto"/>
        <w:left w:val="none" w:sz="0" w:space="0" w:color="auto"/>
        <w:bottom w:val="none" w:sz="0" w:space="0" w:color="auto"/>
        <w:right w:val="none" w:sz="0" w:space="0" w:color="auto"/>
      </w:divBdr>
      <w:divsChild>
        <w:div w:id="348526862">
          <w:marLeft w:val="0"/>
          <w:marRight w:val="0"/>
          <w:marTop w:val="0"/>
          <w:marBottom w:val="0"/>
          <w:divBdr>
            <w:top w:val="none" w:sz="0" w:space="0" w:color="auto"/>
            <w:left w:val="none" w:sz="0" w:space="0" w:color="auto"/>
            <w:bottom w:val="none" w:sz="0" w:space="0" w:color="auto"/>
            <w:right w:val="none" w:sz="0" w:space="0" w:color="auto"/>
          </w:divBdr>
          <w:divsChild>
            <w:div w:id="1162311065">
              <w:marLeft w:val="0"/>
              <w:marRight w:val="0"/>
              <w:marTop w:val="0"/>
              <w:marBottom w:val="0"/>
              <w:divBdr>
                <w:top w:val="none" w:sz="0" w:space="0" w:color="auto"/>
                <w:left w:val="none" w:sz="0" w:space="0" w:color="auto"/>
                <w:bottom w:val="none" w:sz="0" w:space="0" w:color="auto"/>
                <w:right w:val="none" w:sz="0" w:space="0" w:color="auto"/>
              </w:divBdr>
              <w:divsChild>
                <w:div w:id="362562913">
                  <w:marLeft w:val="0"/>
                  <w:marRight w:val="0"/>
                  <w:marTop w:val="0"/>
                  <w:marBottom w:val="0"/>
                  <w:divBdr>
                    <w:top w:val="none" w:sz="0" w:space="0" w:color="auto"/>
                    <w:left w:val="none" w:sz="0" w:space="0" w:color="auto"/>
                    <w:bottom w:val="none" w:sz="0" w:space="0" w:color="auto"/>
                    <w:right w:val="none" w:sz="0" w:space="0" w:color="auto"/>
                  </w:divBdr>
                  <w:divsChild>
                    <w:div w:id="1274947364">
                      <w:marLeft w:val="0"/>
                      <w:marRight w:val="0"/>
                      <w:marTop w:val="0"/>
                      <w:marBottom w:val="0"/>
                      <w:divBdr>
                        <w:top w:val="none" w:sz="0" w:space="0" w:color="auto"/>
                        <w:left w:val="none" w:sz="0" w:space="0" w:color="auto"/>
                        <w:bottom w:val="none" w:sz="0" w:space="0" w:color="auto"/>
                        <w:right w:val="none" w:sz="0" w:space="0" w:color="auto"/>
                      </w:divBdr>
                      <w:divsChild>
                        <w:div w:id="16682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789796">
      <w:bodyDiv w:val="1"/>
      <w:marLeft w:val="0"/>
      <w:marRight w:val="0"/>
      <w:marTop w:val="0"/>
      <w:marBottom w:val="0"/>
      <w:divBdr>
        <w:top w:val="none" w:sz="0" w:space="0" w:color="auto"/>
        <w:left w:val="none" w:sz="0" w:space="0" w:color="auto"/>
        <w:bottom w:val="none" w:sz="0" w:space="0" w:color="auto"/>
        <w:right w:val="none" w:sz="0" w:space="0" w:color="auto"/>
      </w:divBdr>
    </w:div>
    <w:div w:id="1341545178">
      <w:bodyDiv w:val="1"/>
      <w:marLeft w:val="0"/>
      <w:marRight w:val="0"/>
      <w:marTop w:val="0"/>
      <w:marBottom w:val="0"/>
      <w:divBdr>
        <w:top w:val="none" w:sz="0" w:space="0" w:color="auto"/>
        <w:left w:val="none" w:sz="0" w:space="0" w:color="auto"/>
        <w:bottom w:val="none" w:sz="0" w:space="0" w:color="auto"/>
        <w:right w:val="none" w:sz="0" w:space="0" w:color="auto"/>
      </w:divBdr>
    </w:div>
    <w:div w:id="1404178204">
      <w:bodyDiv w:val="1"/>
      <w:marLeft w:val="0"/>
      <w:marRight w:val="0"/>
      <w:marTop w:val="0"/>
      <w:marBottom w:val="0"/>
      <w:divBdr>
        <w:top w:val="none" w:sz="0" w:space="0" w:color="auto"/>
        <w:left w:val="none" w:sz="0" w:space="0" w:color="auto"/>
        <w:bottom w:val="none" w:sz="0" w:space="0" w:color="auto"/>
        <w:right w:val="none" w:sz="0" w:space="0" w:color="auto"/>
      </w:divBdr>
      <w:divsChild>
        <w:div w:id="839152466">
          <w:marLeft w:val="259"/>
          <w:marRight w:val="0"/>
          <w:marTop w:val="77"/>
          <w:marBottom w:val="240"/>
          <w:divBdr>
            <w:top w:val="none" w:sz="0" w:space="0" w:color="auto"/>
            <w:left w:val="none" w:sz="0" w:space="0" w:color="auto"/>
            <w:bottom w:val="none" w:sz="0" w:space="0" w:color="auto"/>
            <w:right w:val="none" w:sz="0" w:space="0" w:color="auto"/>
          </w:divBdr>
        </w:div>
        <w:div w:id="916666381">
          <w:marLeft w:val="259"/>
          <w:marRight w:val="0"/>
          <w:marTop w:val="77"/>
          <w:marBottom w:val="240"/>
          <w:divBdr>
            <w:top w:val="none" w:sz="0" w:space="0" w:color="auto"/>
            <w:left w:val="none" w:sz="0" w:space="0" w:color="auto"/>
            <w:bottom w:val="none" w:sz="0" w:space="0" w:color="auto"/>
            <w:right w:val="none" w:sz="0" w:space="0" w:color="auto"/>
          </w:divBdr>
        </w:div>
      </w:divsChild>
    </w:div>
    <w:div w:id="1422485956">
      <w:bodyDiv w:val="1"/>
      <w:marLeft w:val="0"/>
      <w:marRight w:val="0"/>
      <w:marTop w:val="0"/>
      <w:marBottom w:val="0"/>
      <w:divBdr>
        <w:top w:val="none" w:sz="0" w:space="0" w:color="auto"/>
        <w:left w:val="none" w:sz="0" w:space="0" w:color="auto"/>
        <w:bottom w:val="none" w:sz="0" w:space="0" w:color="auto"/>
        <w:right w:val="none" w:sz="0" w:space="0" w:color="auto"/>
      </w:divBdr>
      <w:divsChild>
        <w:div w:id="1826975222">
          <w:marLeft w:val="259"/>
          <w:marRight w:val="0"/>
          <w:marTop w:val="77"/>
          <w:marBottom w:val="240"/>
          <w:divBdr>
            <w:top w:val="none" w:sz="0" w:space="0" w:color="auto"/>
            <w:left w:val="none" w:sz="0" w:space="0" w:color="auto"/>
            <w:bottom w:val="none" w:sz="0" w:space="0" w:color="auto"/>
            <w:right w:val="none" w:sz="0" w:space="0" w:color="auto"/>
          </w:divBdr>
        </w:div>
        <w:div w:id="549808856">
          <w:marLeft w:val="1166"/>
          <w:marRight w:val="0"/>
          <w:marTop w:val="67"/>
          <w:marBottom w:val="240"/>
          <w:divBdr>
            <w:top w:val="none" w:sz="0" w:space="0" w:color="auto"/>
            <w:left w:val="none" w:sz="0" w:space="0" w:color="auto"/>
            <w:bottom w:val="none" w:sz="0" w:space="0" w:color="auto"/>
            <w:right w:val="none" w:sz="0" w:space="0" w:color="auto"/>
          </w:divBdr>
        </w:div>
        <w:div w:id="364328041">
          <w:marLeft w:val="1166"/>
          <w:marRight w:val="0"/>
          <w:marTop w:val="67"/>
          <w:marBottom w:val="240"/>
          <w:divBdr>
            <w:top w:val="none" w:sz="0" w:space="0" w:color="auto"/>
            <w:left w:val="none" w:sz="0" w:space="0" w:color="auto"/>
            <w:bottom w:val="none" w:sz="0" w:space="0" w:color="auto"/>
            <w:right w:val="none" w:sz="0" w:space="0" w:color="auto"/>
          </w:divBdr>
        </w:div>
        <w:div w:id="224418413">
          <w:marLeft w:val="1166"/>
          <w:marRight w:val="0"/>
          <w:marTop w:val="67"/>
          <w:marBottom w:val="240"/>
          <w:divBdr>
            <w:top w:val="none" w:sz="0" w:space="0" w:color="auto"/>
            <w:left w:val="none" w:sz="0" w:space="0" w:color="auto"/>
            <w:bottom w:val="none" w:sz="0" w:space="0" w:color="auto"/>
            <w:right w:val="none" w:sz="0" w:space="0" w:color="auto"/>
          </w:divBdr>
        </w:div>
        <w:div w:id="1208759113">
          <w:marLeft w:val="259"/>
          <w:marRight w:val="0"/>
          <w:marTop w:val="77"/>
          <w:marBottom w:val="240"/>
          <w:divBdr>
            <w:top w:val="none" w:sz="0" w:space="0" w:color="auto"/>
            <w:left w:val="none" w:sz="0" w:space="0" w:color="auto"/>
            <w:bottom w:val="none" w:sz="0" w:space="0" w:color="auto"/>
            <w:right w:val="none" w:sz="0" w:space="0" w:color="auto"/>
          </w:divBdr>
        </w:div>
        <w:div w:id="1183277472">
          <w:marLeft w:val="1166"/>
          <w:marRight w:val="0"/>
          <w:marTop w:val="67"/>
          <w:marBottom w:val="240"/>
          <w:divBdr>
            <w:top w:val="none" w:sz="0" w:space="0" w:color="auto"/>
            <w:left w:val="none" w:sz="0" w:space="0" w:color="auto"/>
            <w:bottom w:val="none" w:sz="0" w:space="0" w:color="auto"/>
            <w:right w:val="none" w:sz="0" w:space="0" w:color="auto"/>
          </w:divBdr>
        </w:div>
        <w:div w:id="1858930257">
          <w:marLeft w:val="1166"/>
          <w:marRight w:val="0"/>
          <w:marTop w:val="67"/>
          <w:marBottom w:val="240"/>
          <w:divBdr>
            <w:top w:val="none" w:sz="0" w:space="0" w:color="auto"/>
            <w:left w:val="none" w:sz="0" w:space="0" w:color="auto"/>
            <w:bottom w:val="none" w:sz="0" w:space="0" w:color="auto"/>
            <w:right w:val="none" w:sz="0" w:space="0" w:color="auto"/>
          </w:divBdr>
        </w:div>
      </w:divsChild>
    </w:div>
    <w:div w:id="1435781720">
      <w:bodyDiv w:val="1"/>
      <w:marLeft w:val="0"/>
      <w:marRight w:val="0"/>
      <w:marTop w:val="0"/>
      <w:marBottom w:val="0"/>
      <w:divBdr>
        <w:top w:val="none" w:sz="0" w:space="0" w:color="auto"/>
        <w:left w:val="none" w:sz="0" w:space="0" w:color="auto"/>
        <w:bottom w:val="none" w:sz="0" w:space="0" w:color="auto"/>
        <w:right w:val="none" w:sz="0" w:space="0" w:color="auto"/>
      </w:divBdr>
    </w:div>
    <w:div w:id="1474177536">
      <w:bodyDiv w:val="1"/>
      <w:marLeft w:val="0"/>
      <w:marRight w:val="0"/>
      <w:marTop w:val="0"/>
      <w:marBottom w:val="0"/>
      <w:divBdr>
        <w:top w:val="none" w:sz="0" w:space="0" w:color="auto"/>
        <w:left w:val="none" w:sz="0" w:space="0" w:color="auto"/>
        <w:bottom w:val="none" w:sz="0" w:space="0" w:color="auto"/>
        <w:right w:val="none" w:sz="0" w:space="0" w:color="auto"/>
      </w:divBdr>
    </w:div>
    <w:div w:id="1489251334">
      <w:bodyDiv w:val="1"/>
      <w:marLeft w:val="0"/>
      <w:marRight w:val="0"/>
      <w:marTop w:val="0"/>
      <w:marBottom w:val="0"/>
      <w:divBdr>
        <w:top w:val="none" w:sz="0" w:space="0" w:color="auto"/>
        <w:left w:val="none" w:sz="0" w:space="0" w:color="auto"/>
        <w:bottom w:val="none" w:sz="0" w:space="0" w:color="auto"/>
        <w:right w:val="none" w:sz="0" w:space="0" w:color="auto"/>
      </w:divBdr>
    </w:div>
    <w:div w:id="1542596355">
      <w:bodyDiv w:val="1"/>
      <w:marLeft w:val="0"/>
      <w:marRight w:val="0"/>
      <w:marTop w:val="0"/>
      <w:marBottom w:val="0"/>
      <w:divBdr>
        <w:top w:val="none" w:sz="0" w:space="0" w:color="auto"/>
        <w:left w:val="none" w:sz="0" w:space="0" w:color="auto"/>
        <w:bottom w:val="none" w:sz="0" w:space="0" w:color="auto"/>
        <w:right w:val="none" w:sz="0" w:space="0" w:color="auto"/>
      </w:divBdr>
    </w:div>
    <w:div w:id="1606233051">
      <w:bodyDiv w:val="1"/>
      <w:marLeft w:val="0"/>
      <w:marRight w:val="0"/>
      <w:marTop w:val="0"/>
      <w:marBottom w:val="0"/>
      <w:divBdr>
        <w:top w:val="none" w:sz="0" w:space="0" w:color="auto"/>
        <w:left w:val="none" w:sz="0" w:space="0" w:color="auto"/>
        <w:bottom w:val="none" w:sz="0" w:space="0" w:color="auto"/>
        <w:right w:val="none" w:sz="0" w:space="0" w:color="auto"/>
      </w:divBdr>
    </w:div>
    <w:div w:id="1724056466">
      <w:bodyDiv w:val="1"/>
      <w:marLeft w:val="0"/>
      <w:marRight w:val="0"/>
      <w:marTop w:val="0"/>
      <w:marBottom w:val="0"/>
      <w:divBdr>
        <w:top w:val="none" w:sz="0" w:space="0" w:color="auto"/>
        <w:left w:val="none" w:sz="0" w:space="0" w:color="auto"/>
        <w:bottom w:val="none" w:sz="0" w:space="0" w:color="auto"/>
        <w:right w:val="none" w:sz="0" w:space="0" w:color="auto"/>
      </w:divBdr>
      <w:divsChild>
        <w:div w:id="785929305">
          <w:marLeft w:val="259"/>
          <w:marRight w:val="0"/>
          <w:marTop w:val="77"/>
          <w:marBottom w:val="240"/>
          <w:divBdr>
            <w:top w:val="none" w:sz="0" w:space="0" w:color="auto"/>
            <w:left w:val="none" w:sz="0" w:space="0" w:color="auto"/>
            <w:bottom w:val="none" w:sz="0" w:space="0" w:color="auto"/>
            <w:right w:val="none" w:sz="0" w:space="0" w:color="auto"/>
          </w:divBdr>
        </w:div>
        <w:div w:id="714236345">
          <w:marLeft w:val="259"/>
          <w:marRight w:val="0"/>
          <w:marTop w:val="77"/>
          <w:marBottom w:val="240"/>
          <w:divBdr>
            <w:top w:val="none" w:sz="0" w:space="0" w:color="auto"/>
            <w:left w:val="none" w:sz="0" w:space="0" w:color="auto"/>
            <w:bottom w:val="none" w:sz="0" w:space="0" w:color="auto"/>
            <w:right w:val="none" w:sz="0" w:space="0" w:color="auto"/>
          </w:divBdr>
        </w:div>
        <w:div w:id="1233857555">
          <w:marLeft w:val="259"/>
          <w:marRight w:val="0"/>
          <w:marTop w:val="77"/>
          <w:marBottom w:val="240"/>
          <w:divBdr>
            <w:top w:val="none" w:sz="0" w:space="0" w:color="auto"/>
            <w:left w:val="none" w:sz="0" w:space="0" w:color="auto"/>
            <w:bottom w:val="none" w:sz="0" w:space="0" w:color="auto"/>
            <w:right w:val="none" w:sz="0" w:space="0" w:color="auto"/>
          </w:divBdr>
        </w:div>
      </w:divsChild>
    </w:div>
    <w:div w:id="1764373487">
      <w:bodyDiv w:val="1"/>
      <w:marLeft w:val="0"/>
      <w:marRight w:val="0"/>
      <w:marTop w:val="0"/>
      <w:marBottom w:val="0"/>
      <w:divBdr>
        <w:top w:val="none" w:sz="0" w:space="0" w:color="auto"/>
        <w:left w:val="none" w:sz="0" w:space="0" w:color="auto"/>
        <w:bottom w:val="none" w:sz="0" w:space="0" w:color="auto"/>
        <w:right w:val="none" w:sz="0" w:space="0" w:color="auto"/>
      </w:divBdr>
      <w:divsChild>
        <w:div w:id="299919508">
          <w:marLeft w:val="259"/>
          <w:marRight w:val="0"/>
          <w:marTop w:val="77"/>
          <w:marBottom w:val="240"/>
          <w:divBdr>
            <w:top w:val="none" w:sz="0" w:space="0" w:color="auto"/>
            <w:left w:val="none" w:sz="0" w:space="0" w:color="auto"/>
            <w:bottom w:val="none" w:sz="0" w:space="0" w:color="auto"/>
            <w:right w:val="none" w:sz="0" w:space="0" w:color="auto"/>
          </w:divBdr>
        </w:div>
        <w:div w:id="1896626640">
          <w:marLeft w:val="259"/>
          <w:marRight w:val="0"/>
          <w:marTop w:val="77"/>
          <w:marBottom w:val="240"/>
          <w:divBdr>
            <w:top w:val="none" w:sz="0" w:space="0" w:color="auto"/>
            <w:left w:val="none" w:sz="0" w:space="0" w:color="auto"/>
            <w:bottom w:val="none" w:sz="0" w:space="0" w:color="auto"/>
            <w:right w:val="none" w:sz="0" w:space="0" w:color="auto"/>
          </w:divBdr>
        </w:div>
      </w:divsChild>
    </w:div>
    <w:div w:id="1806584554">
      <w:bodyDiv w:val="1"/>
      <w:marLeft w:val="0"/>
      <w:marRight w:val="0"/>
      <w:marTop w:val="0"/>
      <w:marBottom w:val="0"/>
      <w:divBdr>
        <w:top w:val="none" w:sz="0" w:space="0" w:color="auto"/>
        <w:left w:val="none" w:sz="0" w:space="0" w:color="auto"/>
        <w:bottom w:val="none" w:sz="0" w:space="0" w:color="auto"/>
        <w:right w:val="none" w:sz="0" w:space="0" w:color="auto"/>
      </w:divBdr>
    </w:div>
    <w:div w:id="1815831014">
      <w:bodyDiv w:val="1"/>
      <w:marLeft w:val="0"/>
      <w:marRight w:val="0"/>
      <w:marTop w:val="0"/>
      <w:marBottom w:val="0"/>
      <w:divBdr>
        <w:top w:val="none" w:sz="0" w:space="0" w:color="auto"/>
        <w:left w:val="none" w:sz="0" w:space="0" w:color="auto"/>
        <w:bottom w:val="none" w:sz="0" w:space="0" w:color="auto"/>
        <w:right w:val="none" w:sz="0" w:space="0" w:color="auto"/>
      </w:divBdr>
      <w:divsChild>
        <w:div w:id="787161936">
          <w:marLeft w:val="259"/>
          <w:marRight w:val="0"/>
          <w:marTop w:val="77"/>
          <w:marBottom w:val="240"/>
          <w:divBdr>
            <w:top w:val="none" w:sz="0" w:space="0" w:color="auto"/>
            <w:left w:val="none" w:sz="0" w:space="0" w:color="auto"/>
            <w:bottom w:val="none" w:sz="0" w:space="0" w:color="auto"/>
            <w:right w:val="none" w:sz="0" w:space="0" w:color="auto"/>
          </w:divBdr>
        </w:div>
        <w:div w:id="1775049346">
          <w:marLeft w:val="259"/>
          <w:marRight w:val="0"/>
          <w:marTop w:val="77"/>
          <w:marBottom w:val="240"/>
          <w:divBdr>
            <w:top w:val="none" w:sz="0" w:space="0" w:color="auto"/>
            <w:left w:val="none" w:sz="0" w:space="0" w:color="auto"/>
            <w:bottom w:val="none" w:sz="0" w:space="0" w:color="auto"/>
            <w:right w:val="none" w:sz="0" w:space="0" w:color="auto"/>
          </w:divBdr>
        </w:div>
      </w:divsChild>
    </w:div>
    <w:div w:id="1859781242">
      <w:bodyDiv w:val="1"/>
      <w:marLeft w:val="0"/>
      <w:marRight w:val="0"/>
      <w:marTop w:val="0"/>
      <w:marBottom w:val="0"/>
      <w:divBdr>
        <w:top w:val="none" w:sz="0" w:space="0" w:color="auto"/>
        <w:left w:val="none" w:sz="0" w:space="0" w:color="auto"/>
        <w:bottom w:val="none" w:sz="0" w:space="0" w:color="auto"/>
        <w:right w:val="none" w:sz="0" w:space="0" w:color="auto"/>
      </w:divBdr>
      <w:divsChild>
        <w:div w:id="611667763">
          <w:marLeft w:val="259"/>
          <w:marRight w:val="0"/>
          <w:marTop w:val="77"/>
          <w:marBottom w:val="240"/>
          <w:divBdr>
            <w:top w:val="none" w:sz="0" w:space="0" w:color="auto"/>
            <w:left w:val="none" w:sz="0" w:space="0" w:color="auto"/>
            <w:bottom w:val="none" w:sz="0" w:space="0" w:color="auto"/>
            <w:right w:val="none" w:sz="0" w:space="0" w:color="auto"/>
          </w:divBdr>
        </w:div>
      </w:divsChild>
    </w:div>
    <w:div w:id="1993946433">
      <w:bodyDiv w:val="1"/>
      <w:marLeft w:val="0"/>
      <w:marRight w:val="0"/>
      <w:marTop w:val="0"/>
      <w:marBottom w:val="0"/>
      <w:divBdr>
        <w:top w:val="none" w:sz="0" w:space="0" w:color="auto"/>
        <w:left w:val="none" w:sz="0" w:space="0" w:color="auto"/>
        <w:bottom w:val="none" w:sz="0" w:space="0" w:color="auto"/>
        <w:right w:val="none" w:sz="0" w:space="0" w:color="auto"/>
      </w:divBdr>
    </w:div>
    <w:div w:id="2069719704">
      <w:bodyDiv w:val="1"/>
      <w:marLeft w:val="0"/>
      <w:marRight w:val="0"/>
      <w:marTop w:val="0"/>
      <w:marBottom w:val="0"/>
      <w:divBdr>
        <w:top w:val="none" w:sz="0" w:space="0" w:color="auto"/>
        <w:left w:val="none" w:sz="0" w:space="0" w:color="auto"/>
        <w:bottom w:val="none" w:sz="0" w:space="0" w:color="auto"/>
        <w:right w:val="none" w:sz="0" w:space="0" w:color="auto"/>
      </w:divBdr>
      <w:divsChild>
        <w:div w:id="193035378">
          <w:marLeft w:val="259"/>
          <w:marRight w:val="0"/>
          <w:marTop w:val="77"/>
          <w:marBottom w:val="240"/>
          <w:divBdr>
            <w:top w:val="none" w:sz="0" w:space="0" w:color="auto"/>
            <w:left w:val="none" w:sz="0" w:space="0" w:color="auto"/>
            <w:bottom w:val="none" w:sz="0" w:space="0" w:color="auto"/>
            <w:right w:val="none" w:sz="0" w:space="0" w:color="auto"/>
          </w:divBdr>
        </w:div>
        <w:div w:id="1843736627">
          <w:marLeft w:val="259"/>
          <w:marRight w:val="0"/>
          <w:marTop w:val="77"/>
          <w:marBottom w:val="240"/>
          <w:divBdr>
            <w:top w:val="none" w:sz="0" w:space="0" w:color="auto"/>
            <w:left w:val="none" w:sz="0" w:space="0" w:color="auto"/>
            <w:bottom w:val="none" w:sz="0" w:space="0" w:color="auto"/>
            <w:right w:val="none" w:sz="0" w:space="0" w:color="auto"/>
          </w:divBdr>
        </w:div>
        <w:div w:id="1350763827">
          <w:marLeft w:val="259"/>
          <w:marRight w:val="0"/>
          <w:marTop w:val="77"/>
          <w:marBottom w:val="240"/>
          <w:divBdr>
            <w:top w:val="none" w:sz="0" w:space="0" w:color="auto"/>
            <w:left w:val="none" w:sz="0" w:space="0" w:color="auto"/>
            <w:bottom w:val="none" w:sz="0" w:space="0" w:color="auto"/>
            <w:right w:val="none" w:sz="0" w:space="0" w:color="auto"/>
          </w:divBdr>
        </w:div>
        <w:div w:id="444085963">
          <w:marLeft w:val="259"/>
          <w:marRight w:val="0"/>
          <w:marTop w:val="77"/>
          <w:marBottom w:val="240"/>
          <w:divBdr>
            <w:top w:val="none" w:sz="0" w:space="0" w:color="auto"/>
            <w:left w:val="none" w:sz="0" w:space="0" w:color="auto"/>
            <w:bottom w:val="none" w:sz="0" w:space="0" w:color="auto"/>
            <w:right w:val="none" w:sz="0" w:space="0" w:color="auto"/>
          </w:divBdr>
        </w:div>
        <w:div w:id="1425414486">
          <w:marLeft w:val="259"/>
          <w:marRight w:val="0"/>
          <w:marTop w:val="77"/>
          <w:marBottom w:val="240"/>
          <w:divBdr>
            <w:top w:val="none" w:sz="0" w:space="0" w:color="auto"/>
            <w:left w:val="none" w:sz="0" w:space="0" w:color="auto"/>
            <w:bottom w:val="none" w:sz="0" w:space="0" w:color="auto"/>
            <w:right w:val="none" w:sz="0" w:space="0" w:color="auto"/>
          </w:divBdr>
        </w:div>
      </w:divsChild>
    </w:div>
    <w:div w:id="20884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aulson@semprautilities.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edars.sound-data.com/" TargetMode="External"/><Relationship Id="rId1" Type="http://schemas.openxmlformats.org/officeDocument/2006/relationships/hyperlink" Target="https://cedars.sound-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0501561ABBFB4B96913DDE7E2832A3" ma:contentTypeVersion="0" ma:contentTypeDescription="Create a new document." ma:contentTypeScope="" ma:versionID="c5ca54e99cde24efb5ba88f58dade7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13AD-0E45-4EF2-8F60-48BE2936F5A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08D558E-B6DB-44AB-B840-6FE647F6BB59}">
  <ds:schemaRefs>
    <ds:schemaRef ds:uri="http://schemas.microsoft.com/sharepoint/v3/contenttype/forms"/>
  </ds:schemaRefs>
</ds:datastoreItem>
</file>

<file path=customXml/itemProps3.xml><?xml version="1.0" encoding="utf-8"?>
<ds:datastoreItem xmlns:ds="http://schemas.openxmlformats.org/officeDocument/2006/customXml" ds:itemID="{008487E9-DE5F-4C3D-A005-DE401563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254D6A-3505-43D3-89A0-16B41293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2379</Words>
  <Characters>14098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January 6, 1997 				    PUC 120</vt:lpstr>
    </vt:vector>
  </TitlesOfParts>
  <Company>Sempra</Company>
  <LinksUpToDate>false</LinksUpToDate>
  <CharactersWithSpaces>16445</CharactersWithSpaces>
  <SharedDoc>false</SharedDoc>
  <HLinks>
    <vt:vector size="24" baseType="variant">
      <vt:variant>
        <vt:i4>1114145</vt:i4>
      </vt:variant>
      <vt:variant>
        <vt:i4>3</vt:i4>
      </vt:variant>
      <vt:variant>
        <vt:i4>0</vt:i4>
      </vt:variant>
      <vt:variant>
        <vt:i4>5</vt:i4>
      </vt:variant>
      <vt:variant>
        <vt:lpwstr>mailto:mcaulson@semprautilities.com</vt:lpwstr>
      </vt:variant>
      <vt:variant>
        <vt:lpwstr/>
      </vt:variant>
      <vt:variant>
        <vt:i4>7995449</vt:i4>
      </vt:variant>
      <vt:variant>
        <vt:i4>0</vt:i4>
      </vt:variant>
      <vt:variant>
        <vt:i4>0</vt:i4>
      </vt:variant>
      <vt:variant>
        <vt:i4>5</vt:i4>
      </vt:variant>
      <vt:variant>
        <vt:lpwstr>https://cedars.sound-data.com/</vt:lpwstr>
      </vt:variant>
      <vt:variant>
        <vt:lpwstr/>
      </vt:variant>
      <vt:variant>
        <vt:i4>7995449</vt:i4>
      </vt:variant>
      <vt:variant>
        <vt:i4>3</vt:i4>
      </vt:variant>
      <vt:variant>
        <vt:i4>0</vt:i4>
      </vt:variant>
      <vt:variant>
        <vt:i4>5</vt:i4>
      </vt:variant>
      <vt:variant>
        <vt:lpwstr>https://cedars.sound-data.com/</vt:lpwstr>
      </vt:variant>
      <vt:variant>
        <vt:lpwstr/>
      </vt:variant>
      <vt:variant>
        <vt:i4>7995449</vt:i4>
      </vt:variant>
      <vt:variant>
        <vt:i4>0</vt:i4>
      </vt:variant>
      <vt:variant>
        <vt:i4>0</vt:i4>
      </vt:variant>
      <vt:variant>
        <vt:i4>5</vt:i4>
      </vt:variant>
      <vt:variant>
        <vt:lpwstr>https://cedars.sound-data.com/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6, 1997 				    PUC 120</dc:title>
  <dc:creator>SDGE</dc:creator>
  <cp:lastModifiedBy>Besa, Athena</cp:lastModifiedBy>
  <cp:revision>21</cp:revision>
  <cp:lastPrinted>2014-02-20T17:45:00Z</cp:lastPrinted>
  <dcterms:created xsi:type="dcterms:W3CDTF">2018-07-31T18:23:00Z</dcterms:created>
  <dcterms:modified xsi:type="dcterms:W3CDTF">2018-07-31T20:55:00Z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0x010100C00501561ABBFB4B96913DDE7E2832A3</vt:lpwstr>
  </property>
</Properties>
</file>