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7DAB1" w14:textId="77777777" w:rsidR="00E02D1B" w:rsidRDefault="00000000">
      <w:pPr>
        <w:pStyle w:val="Title"/>
      </w:pPr>
      <w:bookmarkStart w:id="0" w:name="_heading=h.gjdgxs" w:colFirst="0" w:colLast="0"/>
      <w:bookmarkEnd w:id="0"/>
      <w:r>
        <w:t>Full Quarterly CAEECC Meeting #41 Summary</w:t>
      </w:r>
    </w:p>
    <w:p w14:paraId="188D924B" w14:textId="77777777" w:rsidR="00E02D1B" w:rsidRDefault="00000000">
      <w:pPr>
        <w:pStyle w:val="Subtitle"/>
        <w:spacing w:after="0"/>
      </w:pPr>
      <w:bookmarkStart w:id="1" w:name="_heading=h.30j0zll" w:colFirst="0" w:colLast="0"/>
      <w:bookmarkEnd w:id="1"/>
      <w:r>
        <w:t>Date: Thursday March 14, 2024</w:t>
      </w:r>
    </w:p>
    <w:p w14:paraId="0A32007F" w14:textId="77777777" w:rsidR="00E02D1B" w:rsidRDefault="00000000">
      <w:pPr>
        <w:pStyle w:val="Subtitle"/>
        <w:spacing w:after="0"/>
      </w:pPr>
      <w:bookmarkStart w:id="2" w:name="_heading=h.1fob9te" w:colFirst="0" w:colLast="0"/>
      <w:bookmarkEnd w:id="2"/>
      <w:r>
        <w:t>Time: 9:30am - 12:30pm PT</w:t>
      </w:r>
    </w:p>
    <w:p w14:paraId="3B49B2EC" w14:textId="77777777" w:rsidR="00E02D1B" w:rsidRDefault="00000000">
      <w:pPr>
        <w:rPr>
          <w:color w:val="434343"/>
        </w:rPr>
      </w:pPr>
      <w:r>
        <w:rPr>
          <w:color w:val="434343"/>
        </w:rPr>
        <w:t xml:space="preserve">On March 14, 2024, </w:t>
      </w:r>
      <w:r>
        <w:t>the California Energy Efficiency Coordinating Committee met for its forty-first quarterly meeting</w:t>
      </w:r>
      <w:r>
        <w:rPr>
          <w:color w:val="434343"/>
        </w:rPr>
        <w:t xml:space="preserve"> via Zoom. There were over 70 attendees, including representatives from 15 CAEECC Member organizations and 2 CAEECC Ex-Officio agencies as well as over 53 Members of the Public </w:t>
      </w:r>
      <w:r>
        <w:rPr>
          <w:i/>
          <w:color w:val="434343"/>
        </w:rPr>
        <w:t xml:space="preserve">(see </w:t>
      </w:r>
      <w:hyperlink w:anchor="_heading=h.1ci93xb">
        <w:r>
          <w:rPr>
            <w:i/>
            <w:color w:val="1155CC"/>
            <w:u w:val="single"/>
          </w:rPr>
          <w:t>Appendix A</w:t>
        </w:r>
      </w:hyperlink>
      <w:r>
        <w:rPr>
          <w:i/>
          <w:color w:val="434343"/>
        </w:rPr>
        <w:t xml:space="preserve"> for a full list of meeting attendees)</w:t>
      </w:r>
      <w:r>
        <w:rPr>
          <w:color w:val="434343"/>
        </w:rPr>
        <w:t xml:space="preserve">. This meeting was facilitated by Katie Abrams (Birch Road Consulting) and supported by Michelle Vigen Ralston (Ralston), Katie Wu (Wu), and Suhaila Sikand (Sikand) of Common Spark Consulting, and Susan Rivo (Rivo) of Raab Associates. Additional presenters included CAEECC Co-Chairs Lara Ettenson (NRDC) and Lujuana Medina (SoCalREN), Stephanie Gutierrez (SDG&amp;E), Stacie </w:t>
      </w:r>
      <w:proofErr w:type="spellStart"/>
      <w:r>
        <w:rPr>
          <w:color w:val="434343"/>
        </w:rPr>
        <w:t>Risley</w:t>
      </w:r>
      <w:proofErr w:type="spellEnd"/>
      <w:r>
        <w:rPr>
          <w:color w:val="434343"/>
        </w:rPr>
        <w:t xml:space="preserve"> (SDG&amp;E), </w:t>
      </w:r>
      <w:proofErr w:type="spellStart"/>
      <w:r>
        <w:rPr>
          <w:color w:val="434343"/>
        </w:rPr>
        <w:t>Aaiysha</w:t>
      </w:r>
      <w:proofErr w:type="spellEnd"/>
      <w:r>
        <w:rPr>
          <w:color w:val="434343"/>
        </w:rPr>
        <w:t xml:space="preserve"> Khursheed (SCE), and Nils Strindberg (</w:t>
      </w:r>
      <w:proofErr w:type="spellStart"/>
      <w:r>
        <w:rPr>
          <w:color w:val="434343"/>
        </w:rPr>
        <w:t>CalMTA</w:t>
      </w:r>
      <w:proofErr w:type="spellEnd"/>
      <w:r>
        <w:rPr>
          <w:color w:val="434343"/>
        </w:rPr>
        <w:t>).</w:t>
      </w:r>
    </w:p>
    <w:p w14:paraId="1561D6B6" w14:textId="77777777" w:rsidR="00E02D1B" w:rsidRDefault="00000000">
      <w:r>
        <w:t xml:space="preserve">Supporting meeting materials are available at: </w:t>
      </w:r>
      <w:hyperlink r:id="rId8">
        <w:r>
          <w:rPr>
            <w:color w:val="1155CC"/>
            <w:u w:val="single"/>
          </w:rPr>
          <w:t>https://www.caeecc.org/3-14-2024-full-caeecc-mtg</w:t>
        </w:r>
      </w:hyperlink>
      <w:r>
        <w:t xml:space="preserve">. Relevant materials include the </w:t>
      </w:r>
      <w:proofErr w:type="spellStart"/>
      <w:proofErr w:type="gramStart"/>
      <w:r>
        <w:t>Agenda,the</w:t>
      </w:r>
      <w:proofErr w:type="spellEnd"/>
      <w:proofErr w:type="gramEnd"/>
      <w:r>
        <w:t xml:space="preserve"> Slide Deck, Draft PA Portfolio Performance Report Review Template, and NRDC Motion re CAEECC Consensus EE Filing Process Proposal.</w:t>
      </w:r>
    </w:p>
    <w:p w14:paraId="6576C8D3" w14:textId="77777777" w:rsidR="00E02D1B" w:rsidRDefault="00000000">
      <w:pPr>
        <w:pStyle w:val="Heading1"/>
        <w:rPr>
          <w:sz w:val="40"/>
          <w:szCs w:val="40"/>
        </w:rPr>
      </w:pPr>
      <w:bookmarkStart w:id="3" w:name="_heading=h.3znysh7" w:colFirst="0" w:colLast="0"/>
      <w:bookmarkEnd w:id="3"/>
      <w:r>
        <w:t>Overview</w:t>
      </w:r>
    </w:p>
    <w:p w14:paraId="19033626" w14:textId="77777777" w:rsidR="00E02D1B" w:rsidRDefault="00000000">
      <w:r>
        <w:t>Key Meeting Takeaways:</w:t>
      </w:r>
    </w:p>
    <w:p w14:paraId="2B410E12" w14:textId="77777777" w:rsidR="00E02D1B" w:rsidRDefault="00000000">
      <w:pPr>
        <w:numPr>
          <w:ilvl w:val="0"/>
          <w:numId w:val="9"/>
        </w:numPr>
      </w:pPr>
      <w:r>
        <w:t xml:space="preserve">Members voted that the format of the Q2 Meeting would be Virtual on May 14 and Hybrid (in person with an option for Members and stakeholders to be virtual) on May 15. Each day will include a mix of both CAEECC and Portfolio Performance Report Reviews. </w:t>
      </w:r>
    </w:p>
    <w:p w14:paraId="79C5A034" w14:textId="77777777" w:rsidR="00E02D1B" w:rsidRDefault="00000000">
      <w:pPr>
        <w:numPr>
          <w:ilvl w:val="0"/>
          <w:numId w:val="9"/>
        </w:numPr>
        <w:spacing w:before="0"/>
      </w:pPr>
      <w:r>
        <w:t xml:space="preserve">Members voted to select specific changes to the CAEECC Membership Application Process now, and revisit this in Q2. </w:t>
      </w:r>
    </w:p>
    <w:p w14:paraId="2D9FD8A9" w14:textId="77777777" w:rsidR="00E02D1B" w:rsidRDefault="00000000">
      <w:pPr>
        <w:numPr>
          <w:ilvl w:val="0"/>
          <w:numId w:val="9"/>
        </w:numPr>
        <w:spacing w:before="0"/>
      </w:pPr>
      <w:r>
        <w:t>Members ran out of time to conduct a vote on the specific changes to CAEECC Membership now, so the Facilitation Team sent out a survey to collect this information. CAEECC Members (“Members”) and Members of the Public (“Public”) provided many suggestions and options for interim changes.</w:t>
      </w:r>
    </w:p>
    <w:p w14:paraId="6847A947" w14:textId="77777777" w:rsidR="00E02D1B" w:rsidRDefault="00000000">
      <w:pPr>
        <w:numPr>
          <w:ilvl w:val="0"/>
          <w:numId w:val="9"/>
        </w:numPr>
        <w:spacing w:before="0"/>
      </w:pPr>
      <w:r>
        <w:t>Members and the Public provided specific suggestions for the improvement of the Draft PA Portfolio Performance Report Review Template.</w:t>
      </w:r>
    </w:p>
    <w:p w14:paraId="2035F97D" w14:textId="77777777" w:rsidR="00E02D1B" w:rsidRDefault="00000000">
      <w:pPr>
        <w:numPr>
          <w:ilvl w:val="0"/>
          <w:numId w:val="9"/>
        </w:numPr>
        <w:spacing w:before="0"/>
        <w:rPr>
          <w:i/>
        </w:rPr>
      </w:pPr>
      <w:r>
        <w:rPr>
          <w:i/>
        </w:rPr>
        <w:t xml:space="preserve">Throughout the Meeting, Members of the Public raised both technical and process concerns, which are captured at the </w:t>
      </w:r>
      <w:hyperlink w:anchor="_heading=h.9y7htp7lewl3">
        <w:r>
          <w:rPr>
            <w:i/>
            <w:color w:val="1155CC"/>
            <w:u w:val="single"/>
          </w:rPr>
          <w:t>end</w:t>
        </w:r>
      </w:hyperlink>
      <w:r>
        <w:rPr>
          <w:i/>
        </w:rPr>
        <w:t xml:space="preserve"> of this document.</w:t>
      </w:r>
    </w:p>
    <w:p w14:paraId="51B0EB14" w14:textId="77777777" w:rsidR="00E02D1B" w:rsidRDefault="00000000">
      <w:pPr>
        <w:rPr>
          <w:i/>
        </w:rPr>
      </w:pPr>
      <w:r>
        <w:rPr>
          <w:i/>
        </w:rPr>
        <w:lastRenderedPageBreak/>
        <w:t xml:space="preserve">This meeting summary is intended to capture the overarching discussion of ideas, concerns, alternative options for proposals and consensus; it is a high-level summary and not a transcript. For more detailed discussion, please reach out to the </w:t>
      </w:r>
      <w:hyperlink r:id="rId9">
        <w:r>
          <w:rPr>
            <w:i/>
            <w:color w:val="1155CC"/>
            <w:u w:val="single"/>
          </w:rPr>
          <w:t>Facilitation Team</w:t>
        </w:r>
      </w:hyperlink>
      <w:r>
        <w:rPr>
          <w:i/>
        </w:rPr>
        <w:t>.</w:t>
      </w:r>
    </w:p>
    <w:p w14:paraId="0B3740BA" w14:textId="77777777" w:rsidR="00E02D1B" w:rsidRDefault="00000000">
      <w:pPr>
        <w:rPr>
          <w:strike/>
        </w:rPr>
      </w:pPr>
      <w:r>
        <w:t xml:space="preserve">Key acronyms used in this document include California Energy Efficiency Coordinating Committee (CAEECC), California Public Utilities Commission (CPUC), Energy Division (ED), energy efficiency (EE), working group (WG), disadvantaged communities (DAC) and hard-to-reach (HTR) communities, justice equity diversity and inclusion (JEDI), CPUC’s Environmental and Social Justice Action Plan (ESJ Action Plan), Program Administrator (PA), Investor-owned utilities (IOU), Regional Energy Network (REN), community-based organization (CBO), market transformation (MT), Equity Metrics Working Group (EMWG), Market Support Metrics Working Group (MSMWG), Disadvantaged Communities Advisory Group (DACAG), Evolving CAEECC Working Group (ECWG), and Compensation Task Force (Compensation TF). </w:t>
      </w:r>
    </w:p>
    <w:p w14:paraId="61BAC69B" w14:textId="77777777" w:rsidR="00E02D1B" w:rsidRDefault="00000000">
      <w:pPr>
        <w:pStyle w:val="Heading1"/>
      </w:pPr>
      <w:bookmarkStart w:id="4" w:name="_heading=h.2et92p0" w:colFirst="0" w:colLast="0"/>
      <w:bookmarkEnd w:id="4"/>
      <w:r>
        <w:t>Introductions and Background</w:t>
      </w:r>
    </w:p>
    <w:p w14:paraId="55621A80" w14:textId="77777777" w:rsidR="00E02D1B" w:rsidRDefault="00000000">
      <w:pPr>
        <w:spacing w:before="0"/>
      </w:pPr>
      <w:r>
        <w:rPr>
          <w:i/>
          <w:sz w:val="20"/>
          <w:szCs w:val="20"/>
        </w:rPr>
        <w:t>Slides 2 - 10</w:t>
      </w:r>
    </w:p>
    <w:p w14:paraId="2F9F7372" w14:textId="77777777" w:rsidR="00E02D1B" w:rsidRDefault="00000000">
      <w:pPr>
        <w:spacing w:after="200"/>
      </w:pPr>
      <w:r>
        <w:t>Abrams presented the meeting objectives, which included:</w:t>
      </w:r>
    </w:p>
    <w:p w14:paraId="131CB92E" w14:textId="77777777" w:rsidR="00E02D1B" w:rsidRDefault="00000000">
      <w:pPr>
        <w:numPr>
          <w:ilvl w:val="0"/>
          <w:numId w:val="3"/>
        </w:numPr>
        <w:spacing w:before="0"/>
      </w:pPr>
      <w:r>
        <w:t>Decide process for 2024 CAEECC Membership Applications</w:t>
      </w:r>
    </w:p>
    <w:p w14:paraId="4FF8C83E" w14:textId="77777777" w:rsidR="00E02D1B" w:rsidRDefault="00000000">
      <w:pPr>
        <w:numPr>
          <w:ilvl w:val="0"/>
          <w:numId w:val="3"/>
        </w:numPr>
        <w:spacing w:before="0"/>
      </w:pPr>
      <w:r>
        <w:t>Prepare for Q2 Full CAEECC Meeting, Annual and Semi-Annual Portfolio Performance Report Review Presentations, and DEI Training</w:t>
      </w:r>
    </w:p>
    <w:p w14:paraId="1626C4A6" w14:textId="77777777" w:rsidR="00E02D1B" w:rsidRDefault="00000000">
      <w:r>
        <w:t>To achieve meeting objectives, the facilitation team, in consultation with Co-Chairs and Energy Division, and based on CAEECC Member feedback, developed the following agenda:</w:t>
      </w:r>
    </w:p>
    <w:p w14:paraId="6852CAC7" w14:textId="77777777" w:rsidR="00E02D1B" w:rsidRDefault="00000000">
      <w:pPr>
        <w:numPr>
          <w:ilvl w:val="0"/>
          <w:numId w:val="4"/>
        </w:numPr>
      </w:pPr>
      <w:r>
        <w:t>Introduction and Background</w:t>
      </w:r>
    </w:p>
    <w:p w14:paraId="4B3A1028" w14:textId="77777777" w:rsidR="00E02D1B" w:rsidRDefault="00000000">
      <w:pPr>
        <w:numPr>
          <w:ilvl w:val="0"/>
          <w:numId w:val="4"/>
        </w:numPr>
        <w:spacing w:before="0"/>
      </w:pPr>
      <w:hyperlink w:anchor="_heading=h.3dy6vkm">
        <w:r>
          <w:rPr>
            <w:color w:val="1155CC"/>
            <w:u w:val="single"/>
          </w:rPr>
          <w:t>Session 1</w:t>
        </w:r>
      </w:hyperlink>
      <w:r>
        <w:t xml:space="preserve">: CAEECC Business Items </w:t>
      </w:r>
    </w:p>
    <w:p w14:paraId="0D8A9C89" w14:textId="77777777" w:rsidR="00E02D1B" w:rsidRDefault="00000000">
      <w:pPr>
        <w:numPr>
          <w:ilvl w:val="0"/>
          <w:numId w:val="4"/>
        </w:numPr>
        <w:spacing w:before="0"/>
      </w:pPr>
      <w:hyperlink w:anchor="_heading=h.4d34og8">
        <w:r>
          <w:rPr>
            <w:color w:val="1155CC"/>
            <w:u w:val="single"/>
          </w:rPr>
          <w:t>Session 2</w:t>
        </w:r>
      </w:hyperlink>
      <w:r>
        <w:t>: Equity &amp; Market Support Working Group (EMSWG)</w:t>
      </w:r>
    </w:p>
    <w:p w14:paraId="19A3EA9F" w14:textId="77777777" w:rsidR="00E02D1B" w:rsidRDefault="00000000">
      <w:pPr>
        <w:numPr>
          <w:ilvl w:val="0"/>
          <w:numId w:val="4"/>
        </w:numPr>
        <w:spacing w:before="0"/>
      </w:pPr>
      <w:hyperlink w:anchor="_heading=h.z337ya">
        <w:r>
          <w:rPr>
            <w:color w:val="1155CC"/>
            <w:u w:val="single"/>
          </w:rPr>
          <w:t>Session 3</w:t>
        </w:r>
      </w:hyperlink>
      <w:r>
        <w:t>: Wrap-up</w:t>
      </w:r>
    </w:p>
    <w:p w14:paraId="406C87BD" w14:textId="77777777" w:rsidR="00E02D1B" w:rsidRDefault="00000000">
      <w:pPr>
        <w:numPr>
          <w:ilvl w:val="0"/>
          <w:numId w:val="4"/>
        </w:numPr>
        <w:spacing w:before="0"/>
      </w:pPr>
      <w:hyperlink w:anchor="_heading=h.yihi8fknm76i">
        <w:r>
          <w:rPr>
            <w:color w:val="1155CC"/>
            <w:u w:val="single"/>
          </w:rPr>
          <w:t>Optional Assembly</w:t>
        </w:r>
      </w:hyperlink>
    </w:p>
    <w:p w14:paraId="1EA03D6C" w14:textId="77777777" w:rsidR="00E02D1B" w:rsidRDefault="00000000">
      <w:r>
        <w:t>Sikand provided general reminders, Zoom etiquette, meeting logistics. To encourage a space of inclusion and diversity, Sikand reviewed Proposed Meeting Norms and CAEECC Groundrules (</w:t>
      </w:r>
      <w:r>
        <w:rPr>
          <w:i/>
        </w:rPr>
        <w:t xml:space="preserve">see </w:t>
      </w:r>
      <w:hyperlink w:anchor="_heading=h.3whwml4">
        <w:r>
          <w:rPr>
            <w:i/>
            <w:color w:val="1155CC"/>
            <w:u w:val="single"/>
          </w:rPr>
          <w:t>Appendix B</w:t>
        </w:r>
      </w:hyperlink>
      <w:r>
        <w:rPr>
          <w:i/>
        </w:rPr>
        <w:t xml:space="preserve"> for the full list</w:t>
      </w:r>
      <w:r>
        <w:t>). CAEECC Members were asked to introduce themselves through the chat.</w:t>
      </w:r>
    </w:p>
    <w:p w14:paraId="046110F6" w14:textId="77777777" w:rsidR="00E02D1B" w:rsidRDefault="00000000">
      <w:pPr>
        <w:pStyle w:val="Heading1"/>
      </w:pPr>
      <w:bookmarkStart w:id="5" w:name="_heading=h.3dy6vkm" w:colFirst="0" w:colLast="0"/>
      <w:bookmarkEnd w:id="5"/>
      <w:r>
        <w:t>Session 1: CAEECC Business Items</w:t>
      </w:r>
    </w:p>
    <w:p w14:paraId="1AD44DBD" w14:textId="77777777" w:rsidR="00E02D1B" w:rsidRDefault="00000000">
      <w:pPr>
        <w:spacing w:before="0"/>
        <w:rPr>
          <w:i/>
          <w:sz w:val="20"/>
          <w:szCs w:val="20"/>
        </w:rPr>
      </w:pPr>
      <w:r>
        <w:rPr>
          <w:i/>
          <w:sz w:val="20"/>
          <w:szCs w:val="20"/>
        </w:rPr>
        <w:t>Slides 11 - 54</w:t>
      </w:r>
    </w:p>
    <w:p w14:paraId="5DB7111E" w14:textId="77777777" w:rsidR="00E02D1B" w:rsidRDefault="00000000">
      <w:pPr>
        <w:pStyle w:val="Heading2"/>
      </w:pPr>
      <w:bookmarkStart w:id="6" w:name="_heading=h.tyjcwt" w:colFirst="0" w:colLast="0"/>
      <w:bookmarkEnd w:id="6"/>
      <w:r>
        <w:t>Membership Update</w:t>
      </w:r>
    </w:p>
    <w:p w14:paraId="53189459" w14:textId="77777777" w:rsidR="00E02D1B" w:rsidRDefault="00000000">
      <w:r>
        <w:t xml:space="preserve">Abrams provided updates on Membership, including new Member leads for PG&amp;E (Lisa Hunter) and SCE (Jessica Lau) as well as Jeorge Tagnipes, the new Energy Division </w:t>
      </w:r>
      <w:r>
        <w:lastRenderedPageBreak/>
        <w:t>manager overseeing Energy Efficiency. Abrams invited Hunter and Lau to introduce themselves.</w:t>
      </w:r>
    </w:p>
    <w:p w14:paraId="70FFFC1C" w14:textId="77777777" w:rsidR="00E02D1B" w:rsidRDefault="00000000">
      <w:r>
        <w:t xml:space="preserve">CAEECC has 23 total Members: 10 PAs, 5 government entities (3 of whom are Ex-Officio), 5 implementers, and 3 advocates (see image below). </w:t>
      </w:r>
    </w:p>
    <w:p w14:paraId="2777BFF3" w14:textId="77777777" w:rsidR="00E02D1B" w:rsidRDefault="00000000">
      <w:pPr>
        <w:rPr>
          <w:i/>
        </w:rPr>
      </w:pPr>
      <w:r>
        <w:rPr>
          <w:i/>
        </w:rPr>
        <w:t>No members had discussion about the Membership Update.</w:t>
      </w:r>
    </w:p>
    <w:p w14:paraId="380B97D5" w14:textId="77777777" w:rsidR="00E02D1B" w:rsidRDefault="00000000">
      <w:pPr>
        <w:spacing w:before="0"/>
        <w:jc w:val="center"/>
        <w:rPr>
          <w:i/>
        </w:rPr>
      </w:pPr>
      <w:r>
        <w:rPr>
          <w:i/>
          <w:noProof/>
          <w:color w:val="2B579A"/>
          <w:shd w:val="clear" w:color="auto" w:fill="E6E6E6"/>
        </w:rPr>
        <w:drawing>
          <wp:inline distT="114300" distB="114300" distL="114300" distR="114300" wp14:anchorId="7BFC202B" wp14:editId="126B08FC">
            <wp:extent cx="5805488" cy="34798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6889" r="4966" b="29487"/>
                    <a:stretch>
                      <a:fillRect/>
                    </a:stretch>
                  </pic:blipFill>
                  <pic:spPr>
                    <a:xfrm>
                      <a:off x="0" y="0"/>
                      <a:ext cx="5805488" cy="3479800"/>
                    </a:xfrm>
                    <a:prstGeom prst="rect">
                      <a:avLst/>
                    </a:prstGeom>
                    <a:ln/>
                  </pic:spPr>
                </pic:pic>
              </a:graphicData>
            </a:graphic>
          </wp:inline>
        </w:drawing>
      </w:r>
    </w:p>
    <w:p w14:paraId="2FCC95F4" w14:textId="77777777" w:rsidR="00E02D1B" w:rsidRDefault="00000000">
      <w:pPr>
        <w:rPr>
          <w:i/>
        </w:rPr>
      </w:pPr>
      <w:r>
        <w:rPr>
          <w:i/>
          <w:sz w:val="20"/>
          <w:szCs w:val="20"/>
        </w:rPr>
        <w:t>Image 1: Deconstruction the current structure and composition of CAEECC (no changes as of 11/29/23)</w:t>
      </w:r>
    </w:p>
    <w:p w14:paraId="56A187BB" w14:textId="77777777" w:rsidR="00E02D1B" w:rsidRDefault="00000000">
      <w:pPr>
        <w:pStyle w:val="Heading2"/>
        <w:spacing w:after="200"/>
      </w:pPr>
      <w:bookmarkStart w:id="7" w:name="_heading=h.zy670grn8fn" w:colFirst="0" w:colLast="0"/>
      <w:bookmarkEnd w:id="7"/>
      <w:r>
        <w:t>Potential Changes to CAEECC Membership Application Process &amp; Criteria</w:t>
      </w:r>
    </w:p>
    <w:p w14:paraId="0DE105D3" w14:textId="77777777" w:rsidR="00E02D1B" w:rsidRDefault="00000000">
      <w:pPr>
        <w:spacing w:after="200"/>
      </w:pPr>
      <w:r>
        <w:t xml:space="preserve">Abrams provided context to the conversation, discussing the CAEECC Groundrules and current process for CAEECC Membership Applications. She outlined the current criteria for adding a new Member organization and framed the conversation to discuss if high-level changes should be made to the CAEECC Membership Criteria. Medina proposed three options for CAEECC Membership changes and invited discussion first by Public Comment, then Member Comment. </w:t>
      </w:r>
    </w:p>
    <w:p w14:paraId="0CA930EB" w14:textId="77777777" w:rsidR="00E02D1B" w:rsidRDefault="00000000">
      <w:pPr>
        <w:spacing w:after="200"/>
      </w:pPr>
      <w:r>
        <w:t>The following options arose during discussion under each topic:</w:t>
      </w:r>
    </w:p>
    <w:p w14:paraId="51C662DD" w14:textId="77777777" w:rsidR="00E02D1B" w:rsidRDefault="00000000">
      <w:pPr>
        <w:numPr>
          <w:ilvl w:val="0"/>
          <w:numId w:val="15"/>
        </w:numPr>
      </w:pPr>
      <w:r>
        <w:t>Timing for making changes to Application process and opening Applications:</w:t>
      </w:r>
    </w:p>
    <w:p w14:paraId="42CB9AAB" w14:textId="77777777" w:rsidR="00E02D1B" w:rsidRDefault="00000000">
      <w:pPr>
        <w:numPr>
          <w:ilvl w:val="1"/>
          <w:numId w:val="15"/>
        </w:numPr>
        <w:spacing w:before="0"/>
      </w:pPr>
      <w:r>
        <w:t xml:space="preserve">Q1 2024 </w:t>
      </w:r>
    </w:p>
    <w:p w14:paraId="17F9588E" w14:textId="77777777" w:rsidR="00E02D1B" w:rsidRDefault="00000000">
      <w:pPr>
        <w:numPr>
          <w:ilvl w:val="1"/>
          <w:numId w:val="15"/>
        </w:numPr>
        <w:spacing w:before="0"/>
      </w:pPr>
      <w:r>
        <w:t>Q1 2024 and revisit again in Q2 2024</w:t>
      </w:r>
    </w:p>
    <w:p w14:paraId="53C70F89" w14:textId="77777777" w:rsidR="00E02D1B" w:rsidRDefault="00000000">
      <w:pPr>
        <w:numPr>
          <w:ilvl w:val="1"/>
          <w:numId w:val="15"/>
        </w:numPr>
        <w:spacing w:before="0"/>
      </w:pPr>
      <w:r>
        <w:t>Wait until Q2 2024</w:t>
      </w:r>
    </w:p>
    <w:p w14:paraId="16ABCD58" w14:textId="77777777" w:rsidR="00E02D1B" w:rsidRDefault="00000000">
      <w:pPr>
        <w:numPr>
          <w:ilvl w:val="0"/>
          <w:numId w:val="15"/>
        </w:numPr>
        <w:spacing w:before="0"/>
      </w:pPr>
      <w:r>
        <w:t xml:space="preserve">Experience </w:t>
      </w:r>
      <w:proofErr w:type="gramStart"/>
      <w:r>
        <w:t>requirement</w:t>
      </w:r>
      <w:proofErr w:type="gramEnd"/>
    </w:p>
    <w:p w14:paraId="57F162E3" w14:textId="77777777" w:rsidR="00E02D1B" w:rsidRDefault="00000000">
      <w:pPr>
        <w:numPr>
          <w:ilvl w:val="1"/>
          <w:numId w:val="15"/>
        </w:numPr>
        <w:spacing w:before="0"/>
      </w:pPr>
      <w:r>
        <w:t xml:space="preserve">Remain the same: Energy Efficiency </w:t>
      </w:r>
      <w:proofErr w:type="gramStart"/>
      <w:r>
        <w:t>expertise</w:t>
      </w:r>
      <w:proofErr w:type="gramEnd"/>
    </w:p>
    <w:p w14:paraId="626B87F6" w14:textId="77777777" w:rsidR="00E02D1B" w:rsidRDefault="00000000">
      <w:pPr>
        <w:numPr>
          <w:ilvl w:val="1"/>
          <w:numId w:val="15"/>
        </w:numPr>
        <w:spacing w:before="0"/>
      </w:pPr>
      <w:r>
        <w:lastRenderedPageBreak/>
        <w:t xml:space="preserve">Include Energy Efficiency </w:t>
      </w:r>
      <w:r>
        <w:rPr>
          <w:u w:val="single"/>
        </w:rPr>
        <w:t>and/or</w:t>
      </w:r>
      <w:r>
        <w:t xml:space="preserve"> Environmental and Social Justice / Equity </w:t>
      </w:r>
      <w:proofErr w:type="gramStart"/>
      <w:r>
        <w:t>expertise</w:t>
      </w:r>
      <w:proofErr w:type="gramEnd"/>
    </w:p>
    <w:p w14:paraId="524BDEFA" w14:textId="77777777" w:rsidR="00E02D1B" w:rsidRDefault="00000000">
      <w:pPr>
        <w:numPr>
          <w:ilvl w:val="1"/>
          <w:numId w:val="15"/>
        </w:numPr>
        <w:spacing w:before="0"/>
      </w:pPr>
      <w:r>
        <w:t xml:space="preserve">Include Energy Efficiency </w:t>
      </w:r>
      <w:r>
        <w:rPr>
          <w:u w:val="single"/>
        </w:rPr>
        <w:t>and</w:t>
      </w:r>
      <w:r>
        <w:t xml:space="preserve"> Environmental and Social Justice / Equity </w:t>
      </w:r>
      <w:proofErr w:type="gramStart"/>
      <w:r>
        <w:t>expertise</w:t>
      </w:r>
      <w:proofErr w:type="gramEnd"/>
    </w:p>
    <w:p w14:paraId="43B60B44" w14:textId="77777777" w:rsidR="00E02D1B" w:rsidRDefault="00000000">
      <w:pPr>
        <w:numPr>
          <w:ilvl w:val="0"/>
          <w:numId w:val="15"/>
        </w:numPr>
        <w:spacing w:before="0"/>
      </w:pPr>
      <w:r>
        <w:t>Documented Sponsorship Requirement</w:t>
      </w:r>
    </w:p>
    <w:p w14:paraId="39DAFF81" w14:textId="77777777" w:rsidR="00E02D1B" w:rsidRDefault="00000000">
      <w:pPr>
        <w:numPr>
          <w:ilvl w:val="1"/>
          <w:numId w:val="15"/>
        </w:numPr>
        <w:spacing w:before="0"/>
      </w:pPr>
      <w:r>
        <w:t xml:space="preserve">Remain the same: Keep the documented sponsorship </w:t>
      </w:r>
      <w:proofErr w:type="gramStart"/>
      <w:r>
        <w:t>requirement</w:t>
      </w:r>
      <w:proofErr w:type="gramEnd"/>
    </w:p>
    <w:p w14:paraId="2188BC80" w14:textId="77777777" w:rsidR="00E02D1B" w:rsidRDefault="00000000">
      <w:pPr>
        <w:numPr>
          <w:ilvl w:val="1"/>
          <w:numId w:val="15"/>
        </w:numPr>
        <w:spacing w:before="0"/>
      </w:pPr>
      <w:r>
        <w:t xml:space="preserve">Remove the documented sponsorship </w:t>
      </w:r>
      <w:proofErr w:type="gramStart"/>
      <w:r>
        <w:t>requirement</w:t>
      </w:r>
      <w:proofErr w:type="gramEnd"/>
    </w:p>
    <w:p w14:paraId="15B43CAA" w14:textId="77777777" w:rsidR="00E02D1B" w:rsidRDefault="00000000">
      <w:pPr>
        <w:numPr>
          <w:ilvl w:val="0"/>
          <w:numId w:val="15"/>
        </w:numPr>
        <w:spacing w:before="0"/>
      </w:pPr>
      <w:r>
        <w:t>Onboarding</w:t>
      </w:r>
    </w:p>
    <w:p w14:paraId="3E880825" w14:textId="77777777" w:rsidR="00E02D1B" w:rsidRDefault="00000000">
      <w:pPr>
        <w:numPr>
          <w:ilvl w:val="1"/>
          <w:numId w:val="15"/>
        </w:numPr>
        <w:spacing w:before="0"/>
      </w:pPr>
      <w:proofErr w:type="gramStart"/>
      <w:r>
        <w:t>1-1.5 hour</w:t>
      </w:r>
      <w:proofErr w:type="gramEnd"/>
      <w:r>
        <w:t xml:space="preserve"> onboarding (as is)</w:t>
      </w:r>
    </w:p>
    <w:p w14:paraId="03AD4ABD" w14:textId="77777777" w:rsidR="00E02D1B" w:rsidRDefault="00000000">
      <w:pPr>
        <w:numPr>
          <w:ilvl w:val="1"/>
          <w:numId w:val="15"/>
        </w:numPr>
        <w:spacing w:before="0"/>
      </w:pPr>
      <w:r>
        <w:t xml:space="preserve">Include enhanced onboarding training for energy efficiency and equity/environmental and social </w:t>
      </w:r>
      <w:proofErr w:type="gramStart"/>
      <w:r>
        <w:t>justice</w:t>
      </w:r>
      <w:proofErr w:type="gramEnd"/>
    </w:p>
    <w:p w14:paraId="2A18D93A" w14:textId="77777777" w:rsidR="00E02D1B" w:rsidRDefault="00000000">
      <w:pPr>
        <w:numPr>
          <w:ilvl w:val="1"/>
          <w:numId w:val="15"/>
        </w:numPr>
        <w:spacing w:before="0" w:after="200"/>
      </w:pPr>
      <w:r>
        <w:t xml:space="preserve">Include enhanced onboarding </w:t>
      </w:r>
      <w:r>
        <w:rPr>
          <w:u w:val="single"/>
        </w:rPr>
        <w:t>and</w:t>
      </w:r>
      <w:r>
        <w:t xml:space="preserve"> ongoing training for energy efficiency and equity/environmental and social </w:t>
      </w:r>
      <w:proofErr w:type="gramStart"/>
      <w:r>
        <w:t>justice</w:t>
      </w:r>
      <w:proofErr w:type="gramEnd"/>
    </w:p>
    <w:p w14:paraId="16525220" w14:textId="77777777" w:rsidR="00E02D1B" w:rsidRDefault="00000000">
      <w:pPr>
        <w:spacing w:after="200"/>
      </w:pPr>
      <w:r>
        <w:t xml:space="preserve">CAEECC Members sought and reached consensus that changes can and should be made in Q1 and to revisit the Application Process again in Q2. Consensus was sought on the other options, but for clarity and due to time constraints, Abrams noted that the specific topics for change would be polled via a survey sent after the CAEECC Meeting concluded.  </w:t>
      </w:r>
    </w:p>
    <w:p w14:paraId="6F25571C" w14:textId="77777777" w:rsidR="00E02D1B" w:rsidRDefault="00000000">
      <w:pPr>
        <w:pStyle w:val="Heading3"/>
        <w:spacing w:after="200"/>
      </w:pPr>
      <w:bookmarkStart w:id="8" w:name="_heading=h.1t3h5sf" w:colFirst="0" w:colLast="0"/>
      <w:bookmarkEnd w:id="8"/>
      <w:r>
        <w:t>Summary of Discussion on Potential Changes to CAEECC Membership Application Process &amp; Criteria</w:t>
      </w:r>
    </w:p>
    <w:p w14:paraId="068BC3F0" w14:textId="77777777" w:rsidR="00E02D1B" w:rsidRDefault="00000000">
      <w:r>
        <w:t>Member Comment</w:t>
      </w:r>
    </w:p>
    <w:p w14:paraId="3AE87DEB" w14:textId="77777777" w:rsidR="00E02D1B" w:rsidRDefault="00000000">
      <w:pPr>
        <w:numPr>
          <w:ilvl w:val="0"/>
          <w:numId w:val="14"/>
        </w:numPr>
        <w:spacing w:before="0" w:after="120"/>
      </w:pPr>
      <w:r>
        <w:t>A Co-Chair clarified the proposals for modifications discussed so far. Clarified there’s no set times for the Application process timeline, it’s flexible in the groundrules. Noted the attempt to balance upcoming Reflections from ECWG with the current exclusivity of the CAEECC Membership criteria. Embellished that perhaps opening CAEECC Membership prior to ECWG Reflections would allow for more critical thinking on them. Suggested an interim adjustment until the ECWG Reflections and a more formal adjustment after the ECWG Reflections are posted. Noted that the last time the Membership Criteria have been updated was over eight years ago.</w:t>
      </w:r>
    </w:p>
    <w:p w14:paraId="04336EE6" w14:textId="77777777" w:rsidR="00E02D1B" w:rsidRDefault="00000000">
      <w:pPr>
        <w:numPr>
          <w:ilvl w:val="0"/>
          <w:numId w:val="14"/>
        </w:numPr>
        <w:spacing w:before="0" w:after="120"/>
      </w:pPr>
      <w:r>
        <w:t xml:space="preserve">A Co-Chair asked ED to provide bigger context for this conversation if any. A Member of ED and the Co-Chair discussed when CAEECC Membership was last changed and noted that while the last application period was in 2019, Membership did not significantly change. A Member of ED provided their personal preference (not Commission </w:t>
      </w:r>
      <w:proofErr w:type="gramStart"/>
      <w:r>
        <w:t>guidance)  that</w:t>
      </w:r>
      <w:proofErr w:type="gramEnd"/>
      <w:r>
        <w:t xml:space="preserve"> CAEECC shouldn’t delay interim changes and should seek broader, more structural changes for new Membership openings in 2025. A Member of the Public, through the chat agreed. </w:t>
      </w:r>
    </w:p>
    <w:p w14:paraId="44322ED1" w14:textId="77777777" w:rsidR="00E02D1B" w:rsidRDefault="00000000">
      <w:pPr>
        <w:numPr>
          <w:ilvl w:val="0"/>
          <w:numId w:val="14"/>
        </w:numPr>
        <w:spacing w:before="0" w:after="120"/>
      </w:pPr>
      <w:r>
        <w:t xml:space="preserve">A Member asked if the proposed open membership period would only be for prospective members or also for everyone (aka current CAEECC Members would need to reapply with the intention of completely resetting CAEECC). Noted that if it’s the latter, suggested to revisit in Q2 2024 after ECWG Reflections.  A Co-Chair noted that the </w:t>
      </w:r>
      <w:proofErr w:type="gramStart"/>
      <w:r>
        <w:t>ultimate goal</w:t>
      </w:r>
      <w:proofErr w:type="gramEnd"/>
      <w:r>
        <w:t xml:space="preserve"> is to potentially do a whole new reset. Noted that the </w:t>
      </w:r>
      <w:r>
        <w:lastRenderedPageBreak/>
        <w:t xml:space="preserve">ECWG Reflections are individuals/groups doing creating recommendations and the process or mechanism for adding them to the record is still unknown (to find the best way to do it) and that the process to solidify and vet the recommendations could take a while. Noted that some recommendations may require a Commission Decision and could take a longer time while some recommendations are within CAEECC’s current purview to change. Clarified the intention is to change what is possible right now and think through a </w:t>
      </w:r>
      <w:proofErr w:type="gramStart"/>
      <w:r>
        <w:t>longer term</w:t>
      </w:r>
      <w:proofErr w:type="gramEnd"/>
      <w:r>
        <w:t xml:space="preserve"> membership solution.</w:t>
      </w:r>
    </w:p>
    <w:p w14:paraId="543AE9C8" w14:textId="77777777" w:rsidR="00E02D1B" w:rsidRDefault="00000000">
      <w:pPr>
        <w:numPr>
          <w:ilvl w:val="0"/>
          <w:numId w:val="14"/>
        </w:numPr>
        <w:spacing w:before="0" w:after="120"/>
      </w:pPr>
      <w:r>
        <w:t xml:space="preserve">A Member noted they weren’t a part of the last application cycle, and thus didn’t agree with that as justification for needing a change. Noted that CAEECC Members are held to high standards and the documented sponsorship requirement is baked into this. Agreed with a Public Member’s proposal to have expertise in both Energy Efficiency and Equity/Environmental Justice to further state goals. A Co-Chair clarified that the Application itself still has a verification process through written responses and clarified that the “document sponsorship requirement” felt exclusive because if prospective applicants don’t know </w:t>
      </w:r>
      <w:proofErr w:type="gramStart"/>
      <w:r>
        <w:t>current  CAEECC</w:t>
      </w:r>
      <w:proofErr w:type="gramEnd"/>
      <w:r>
        <w:t xml:space="preserve"> Members to vouch for them, they’re at a disadvantage. Another Co-Chair added that the word “sponsorship” also implies financial </w:t>
      </w:r>
      <w:proofErr w:type="gramStart"/>
      <w:r>
        <w:t>ties</w:t>
      </w:r>
      <w:proofErr w:type="gramEnd"/>
      <w:r>
        <w:t xml:space="preserve"> and that the removal of documented sponsorship wouldn’t hinder a CAEECC Member’s ability to recommend someone to Membership.</w:t>
      </w:r>
    </w:p>
    <w:p w14:paraId="73278009" w14:textId="77777777" w:rsidR="00E02D1B" w:rsidRDefault="00000000">
      <w:pPr>
        <w:numPr>
          <w:ilvl w:val="0"/>
          <w:numId w:val="14"/>
        </w:numPr>
        <w:spacing w:before="0" w:after="120"/>
      </w:pPr>
      <w:r>
        <w:t xml:space="preserve">A Member asked who determines what level of expertise suffices for the CAEECC Membership Criteria. A Co-Chair responded that this is still unknown and perhaps a good reason for changes to be made incrementally as details are flushed out. Recalled that the cost-effectiveness and Energy Efficiency expertise were not formally vetted in the original criteria because CAEECC stemmed from Parties of the EE proceeding needing to be in conversation with each other. Noted that inherently, Parties tend to have the knowledge of cost effectiveness and EE. Noted, however, that CAEECC has grown up and perhaps a reset of CAEECC is needed with a new set of criteria. </w:t>
      </w:r>
    </w:p>
    <w:p w14:paraId="4D67C611" w14:textId="77777777" w:rsidR="00E02D1B" w:rsidRDefault="00000000">
      <w:pPr>
        <w:numPr>
          <w:ilvl w:val="0"/>
          <w:numId w:val="14"/>
        </w:numPr>
        <w:spacing w:before="0" w:after="120"/>
      </w:pPr>
      <w:r>
        <w:t>A Member asked for clarification if CAEECC Members are compensated.</w:t>
      </w:r>
    </w:p>
    <w:p w14:paraId="21264A20" w14:textId="77777777" w:rsidR="00E02D1B" w:rsidRDefault="00000000">
      <w:pPr>
        <w:numPr>
          <w:ilvl w:val="0"/>
          <w:numId w:val="14"/>
        </w:numPr>
        <w:spacing w:before="0" w:after="120"/>
      </w:pPr>
      <w:r>
        <w:t xml:space="preserve">A Co-Chair agreed with the proposal for Energy Efficiency and Equity/Environmental and Social Justice expertise </w:t>
      </w:r>
      <w:proofErr w:type="gramStart"/>
      <w:r>
        <w:t>in the near future</w:t>
      </w:r>
      <w:proofErr w:type="gramEnd"/>
      <w:r>
        <w:t xml:space="preserve">. Agreed, instead, that in the interim, the proposal should remain and/or so prospective CAEECC Members who are willing and motivated can get that capacity </w:t>
      </w:r>
      <w:proofErr w:type="gramStart"/>
      <w:r>
        <w:t>in the near future</w:t>
      </w:r>
      <w:proofErr w:type="gramEnd"/>
      <w:r>
        <w:t xml:space="preserve"> and not be excluded. </w:t>
      </w:r>
    </w:p>
    <w:p w14:paraId="54F68032" w14:textId="77777777" w:rsidR="00E02D1B" w:rsidRDefault="00000000">
      <w:pPr>
        <w:numPr>
          <w:ilvl w:val="0"/>
          <w:numId w:val="14"/>
        </w:numPr>
        <w:spacing w:before="0" w:after="120"/>
      </w:pPr>
      <w:r>
        <w:t>A Member proposed including a series of onboarding training for Energy Efficiency and Equity/Environmental and Social Justice. Several Members agreed and requested clarification where this proposal is being added.</w:t>
      </w:r>
    </w:p>
    <w:p w14:paraId="0FA0DE73" w14:textId="77777777" w:rsidR="00E02D1B" w:rsidRDefault="00000000">
      <w:pPr>
        <w:numPr>
          <w:ilvl w:val="0"/>
          <w:numId w:val="14"/>
        </w:numPr>
        <w:spacing w:before="0" w:after="120"/>
      </w:pPr>
      <w:r>
        <w:t xml:space="preserve">A Member noted their preference to leave the current Membership processes as is. Several Members noted confusion on the voting process. Abrams noted to come back to this voting process. </w:t>
      </w:r>
    </w:p>
    <w:p w14:paraId="2982A4EA" w14:textId="77777777" w:rsidR="00E02D1B" w:rsidRDefault="00000000">
      <w:pPr>
        <w:spacing w:before="0" w:after="120"/>
      </w:pPr>
      <w:r>
        <w:t>Public Comment</w:t>
      </w:r>
    </w:p>
    <w:p w14:paraId="13FD7542" w14:textId="77777777" w:rsidR="00E02D1B" w:rsidRDefault="00000000">
      <w:pPr>
        <w:numPr>
          <w:ilvl w:val="0"/>
          <w:numId w:val="14"/>
        </w:numPr>
        <w:spacing w:before="0" w:after="120"/>
      </w:pPr>
      <w:r>
        <w:lastRenderedPageBreak/>
        <w:t>A Member of the Public and Evolving CAEECC Working Group (ECWG) Member asked for clarification on the proposals for modification. Noted that the Evolving CAEECC Working Group (ECWG) may have more suggestions regarding Application process and composition with their Reflections due April 12 and inquired about the timeline of the Application process changes. Suggested that the application criteria for Equity expertise should include a requirement for racial equity training, noting that those are necessary to achieve community agreements or working agreements. Requested that the Application process changes include consideration, understanding, and listening of other recommendations beyond CAEECC. The Member of the Public later asked if CAEECC is abdicating the composition and Application Process completely to ECWG as the decision makers. Suggested modifications to a proposal on timing to address and modify the Application Process for clarity.</w:t>
      </w:r>
    </w:p>
    <w:p w14:paraId="7D882D0E" w14:textId="77777777" w:rsidR="00E02D1B" w:rsidRDefault="00000000">
      <w:pPr>
        <w:numPr>
          <w:ilvl w:val="0"/>
          <w:numId w:val="14"/>
        </w:numPr>
        <w:spacing w:before="0" w:after="120"/>
      </w:pPr>
      <w:r>
        <w:t xml:space="preserve">A Member of the Public proposed an amendment for knowledge and expertise of both Energy Efficiency and Equity. Suggested that Equity be further elaborated to include Environmental and Social Justice, acknowledging that the CPUC ESJ Action Plan and framework should be included. Made a comparison that the framing to the ESJ Action Plan is to Equity expertise as the framing of cost-effectiveness is to Energy Efficiency expertise.  </w:t>
      </w:r>
    </w:p>
    <w:p w14:paraId="6C35683F" w14:textId="77777777" w:rsidR="00E02D1B" w:rsidRDefault="00000000">
      <w:pPr>
        <w:numPr>
          <w:ilvl w:val="0"/>
          <w:numId w:val="14"/>
        </w:numPr>
        <w:spacing w:before="0" w:after="120"/>
      </w:pPr>
      <w:r>
        <w:t xml:space="preserve">A Member of the Public asked when the last time CAEECC made significant Membership updates. Asked for the recording and slides to be shared. Facilitators noted the live edited slides and summary (including the chat) would be posted to the </w:t>
      </w:r>
      <w:hyperlink r:id="rId11">
        <w:r>
          <w:rPr>
            <w:color w:val="1155CC"/>
            <w:u w:val="single"/>
          </w:rPr>
          <w:t>CAEECC Meeting Webpage</w:t>
        </w:r>
      </w:hyperlink>
      <w:r>
        <w:t>, but not the recording.</w:t>
      </w:r>
    </w:p>
    <w:p w14:paraId="57ED23F5" w14:textId="77777777" w:rsidR="00E02D1B" w:rsidRDefault="00000000">
      <w:pPr>
        <w:numPr>
          <w:ilvl w:val="0"/>
          <w:numId w:val="14"/>
        </w:numPr>
        <w:spacing w:before="0" w:after="120"/>
      </w:pPr>
      <w:r>
        <w:t>A Member of the Public noted that Membership composition is a key piece of some ECWG group reflections.</w:t>
      </w:r>
    </w:p>
    <w:p w14:paraId="3F895D93" w14:textId="77777777" w:rsidR="00E02D1B" w:rsidRDefault="00000000">
      <w:pPr>
        <w:numPr>
          <w:ilvl w:val="0"/>
          <w:numId w:val="14"/>
        </w:numPr>
        <w:spacing w:before="0" w:after="120"/>
      </w:pPr>
      <w:r>
        <w:t>A Member of the Public noted that the definition of "experts"...is typically exclusive.</w:t>
      </w:r>
    </w:p>
    <w:p w14:paraId="13D795A4" w14:textId="77777777" w:rsidR="00E02D1B" w:rsidRDefault="00000000">
      <w:pPr>
        <w:numPr>
          <w:ilvl w:val="0"/>
          <w:numId w:val="14"/>
        </w:numPr>
        <w:spacing w:before="0" w:after="120"/>
      </w:pPr>
      <w:r>
        <w:t xml:space="preserve">A Member of the Public proposed onboarding and ongoing training for all to address internal trends as they </w:t>
      </w:r>
      <w:proofErr w:type="gramStart"/>
      <w:r>
        <w:t>arise</w:t>
      </w:r>
      <w:proofErr w:type="gramEnd"/>
    </w:p>
    <w:p w14:paraId="509461C2" w14:textId="77777777" w:rsidR="00E02D1B" w:rsidRDefault="00000000">
      <w:pPr>
        <w:numPr>
          <w:ilvl w:val="0"/>
          <w:numId w:val="14"/>
        </w:numPr>
        <w:spacing w:before="0" w:after="120"/>
      </w:pPr>
      <w:r>
        <w:t>A Member of the Public requested to include language to support competency and commitment to social justice first.</w:t>
      </w:r>
    </w:p>
    <w:p w14:paraId="67773D9E" w14:textId="77777777" w:rsidR="00E02D1B" w:rsidRDefault="00000000">
      <w:pPr>
        <w:pStyle w:val="Heading2"/>
        <w:spacing w:before="0" w:after="120"/>
      </w:pPr>
      <w:bookmarkStart w:id="9" w:name="_heading=h.agn170jkhv5w" w:colFirst="0" w:colLast="0"/>
      <w:bookmarkEnd w:id="9"/>
      <w:r>
        <w:t>Planning for Annual and Semi-Annual Portfolio Performance Report Review via CAEECC Sessions</w:t>
      </w:r>
    </w:p>
    <w:p w14:paraId="6483D70C" w14:textId="77777777" w:rsidR="00E02D1B" w:rsidRDefault="00000000">
      <w:r>
        <w:t xml:space="preserve">Co-Chair Lara Ettenson prefaced that CAEECC in 2024 and subsequent years will be receiving presentations from Portfolio Administrators (PAs) on their Annual and Semi-Annual Portfolio Performance Report Reviews. Ettenson provided the background and purpose from both the CPUC </w:t>
      </w:r>
      <w:hyperlink r:id="rId12">
        <w:r>
          <w:rPr>
            <w:color w:val="1155CC"/>
            <w:u w:val="single"/>
          </w:rPr>
          <w:t>Decision 23-06-055</w:t>
        </w:r>
      </w:hyperlink>
      <w:r>
        <w:t xml:space="preserve"> and the </w:t>
      </w:r>
      <w:r>
        <w:rPr>
          <w:i/>
        </w:rPr>
        <w:t>NRDC 2020 Motion Seeking Commission Ruling on CAEECC Proposal for Improvements to the EE Portfolio and Budget Approval Process WG Report</w:t>
      </w:r>
      <w:r>
        <w:t xml:space="preserve"> which the Decision referenced (Slides 25-37). Ettenson also presented the proposed timeline for the presentations to both provide clarity and aid planning for these presentations. </w:t>
      </w:r>
    </w:p>
    <w:p w14:paraId="30DDE2D8" w14:textId="77777777" w:rsidR="00E02D1B" w:rsidRDefault="00000000">
      <w:r>
        <w:lastRenderedPageBreak/>
        <w:t xml:space="preserve">Co-Chair Lujuana Medina then introduced the </w:t>
      </w:r>
      <w:hyperlink r:id="rId13">
        <w:r>
          <w:rPr>
            <w:color w:val="1155CC"/>
            <w:u w:val="single"/>
          </w:rPr>
          <w:t>Draft PA Portfolio Performance Report Review Template for CAEECC</w:t>
        </w:r>
      </w:hyperlink>
      <w:r>
        <w:t xml:space="preserve"> to use in the presentations of their Annual Portfolio Performance Report Reviews and invited feedback on the content and preference for segment- or sector-level report-backs. Medina noted this is the minimum information for PAs to present.</w:t>
      </w:r>
    </w:p>
    <w:p w14:paraId="4B543922" w14:textId="77777777" w:rsidR="00E02D1B" w:rsidRDefault="00000000">
      <w:r>
        <w:t xml:space="preserve">Abrams then introduced the three meeting format options for the Annual Portfolio Performance Report Reviews at the Q2 2024 CAEECC Meeting #42. Abrams noted that “Hybrid” means an option for in-person attendance with virtual conferencing. Abrams then invited a discussion. </w:t>
      </w:r>
    </w:p>
    <w:p w14:paraId="79209DD2" w14:textId="77777777" w:rsidR="00E02D1B" w:rsidRDefault="00000000">
      <w:r>
        <w:t>Due to time constraints, a vote by a raise of hands was conducted at the end of the CAEECC Meeting to determine the May 2024 Meeting Locations and Format. A majority of Members expressed a preference for Option #3: Virtual and Hybrid mix.</w:t>
      </w:r>
    </w:p>
    <w:p w14:paraId="735384A3" w14:textId="77777777" w:rsidR="00E02D1B" w:rsidRDefault="00000000">
      <w:pPr>
        <w:numPr>
          <w:ilvl w:val="0"/>
          <w:numId w:val="5"/>
        </w:numPr>
      </w:pPr>
      <w:r>
        <w:t xml:space="preserve">Option 1: All Hybrid </w:t>
      </w:r>
    </w:p>
    <w:p w14:paraId="66144B16" w14:textId="77777777" w:rsidR="00E02D1B" w:rsidRDefault="00000000">
      <w:pPr>
        <w:numPr>
          <w:ilvl w:val="0"/>
          <w:numId w:val="5"/>
        </w:numPr>
        <w:spacing w:before="0"/>
      </w:pPr>
      <w:r>
        <w:t>Option 2: Virtual Annual Report; Hybrid CAEECC agenda items</w:t>
      </w:r>
    </w:p>
    <w:p w14:paraId="33917E28" w14:textId="77777777" w:rsidR="00E02D1B" w:rsidRDefault="00000000">
      <w:pPr>
        <w:numPr>
          <w:ilvl w:val="0"/>
          <w:numId w:val="5"/>
        </w:numPr>
        <w:spacing w:before="0"/>
      </w:pPr>
      <w:r>
        <w:t>Option 3: Virtual + Hybrid mix</w:t>
      </w:r>
    </w:p>
    <w:p w14:paraId="6FA1A556" w14:textId="77777777" w:rsidR="00E02D1B" w:rsidRDefault="00000000">
      <w:r>
        <w:t xml:space="preserve">Abrams also proposed the meeting flow for the rest of 2024. Abrams invited Public Comment then Member Comment on the broad topic. </w:t>
      </w:r>
    </w:p>
    <w:p w14:paraId="2750C828" w14:textId="77777777" w:rsidR="00E02D1B" w:rsidRDefault="00000000">
      <w:pPr>
        <w:pStyle w:val="Heading3"/>
        <w:spacing w:after="200"/>
      </w:pPr>
      <w:bookmarkStart w:id="10" w:name="_heading=h.m5wvgygnwia2" w:colFirst="0" w:colLast="0"/>
      <w:bookmarkEnd w:id="10"/>
      <w:r>
        <w:t>Summary of Discussion on Planning for Annual and Semi-Annual Portfolio Performance Report Review via CAEECC Sessions</w:t>
      </w:r>
    </w:p>
    <w:p w14:paraId="611B805E" w14:textId="77777777" w:rsidR="00E02D1B" w:rsidRDefault="00000000">
      <w:r>
        <w:t>Member Comment</w:t>
      </w:r>
    </w:p>
    <w:p w14:paraId="77188E2E" w14:textId="77777777" w:rsidR="00E02D1B" w:rsidRDefault="00000000">
      <w:pPr>
        <w:numPr>
          <w:ilvl w:val="0"/>
          <w:numId w:val="14"/>
        </w:numPr>
        <w:spacing w:before="0" w:after="120"/>
      </w:pPr>
      <w:r>
        <w:t>Draft PA Template for Annual Portfolio Performance Report Review</w:t>
      </w:r>
    </w:p>
    <w:p w14:paraId="04137A78" w14:textId="77777777" w:rsidR="00E02D1B" w:rsidRDefault="00000000">
      <w:pPr>
        <w:numPr>
          <w:ilvl w:val="1"/>
          <w:numId w:val="14"/>
        </w:numPr>
        <w:spacing w:before="0" w:after="120"/>
      </w:pPr>
      <w:r>
        <w:t>A Member provided feedback on the Summary of Core Metrics (slide 39). Asked if the left table should say “with” or “without” Codes and Standards. A Co-Chair noted that this number wouldn’t be easy to review across PAs since non-IOU PAs don’t have the Codes and Standards TSB value which can extremely skew what IOU portfolios are contributing in comparison to non-IOU PAs. Noted that the separate left table is where IOUs can add in their Codes &amp; Standards reporting.</w:t>
      </w:r>
    </w:p>
    <w:p w14:paraId="7A4DF587" w14:textId="77777777" w:rsidR="00E02D1B" w:rsidRDefault="00000000">
      <w:pPr>
        <w:numPr>
          <w:ilvl w:val="1"/>
          <w:numId w:val="14"/>
        </w:numPr>
        <w:spacing w:before="0" w:after="120"/>
      </w:pPr>
      <w:r>
        <w:t xml:space="preserve">A Member requested clarification on the Total Portfolio Impact table if the data is meant to be lifetime or first year numbers. Requested the Template distinguishes which one it is. A Co-Chair noted that both could be included as they are reported in CEDARS. A Member of ED suggested to have both lifecycle and first year data as they tell two different stories. </w:t>
      </w:r>
    </w:p>
    <w:p w14:paraId="1BD13521" w14:textId="77777777" w:rsidR="00E02D1B" w:rsidRDefault="00000000">
      <w:pPr>
        <w:numPr>
          <w:ilvl w:val="1"/>
          <w:numId w:val="14"/>
        </w:numPr>
        <w:spacing w:before="0" w:after="120"/>
      </w:pPr>
      <w:r>
        <w:t>A Member requested that the REN value metrics be put at the beginning of the Template so the story can be set at the beginning.</w:t>
      </w:r>
    </w:p>
    <w:p w14:paraId="43EFFAD8" w14:textId="77777777" w:rsidR="00E02D1B" w:rsidRDefault="00000000">
      <w:pPr>
        <w:numPr>
          <w:ilvl w:val="1"/>
          <w:numId w:val="14"/>
        </w:numPr>
        <w:spacing w:before="0" w:after="120"/>
      </w:pPr>
      <w:r>
        <w:t xml:space="preserve">A Member of ED suggested the Summary of Core Metrics should have 2 small boxes, one with Codes &amp; Standards and one without. Suggested Codes &amp; Standards and EM&amp;V should be its own line item. Suggested to </w:t>
      </w:r>
      <w:r>
        <w:lastRenderedPageBreak/>
        <w:t xml:space="preserve">include the “Filed” and “EOY” (End of Year) for the Portfolio and Resource Acquisition. Noted that even though there won’t be fully final data by segment by indicators, a view from a segment lens is important. </w:t>
      </w:r>
    </w:p>
    <w:p w14:paraId="687711B9" w14:textId="77777777" w:rsidR="00E02D1B" w:rsidRDefault="00000000">
      <w:pPr>
        <w:numPr>
          <w:ilvl w:val="1"/>
          <w:numId w:val="14"/>
        </w:numPr>
        <w:spacing w:before="0" w:after="120"/>
      </w:pPr>
      <w:r>
        <w:t xml:space="preserve">A Member requested to break out Total Resource Cost (TRC) with and without Codes and Standards. </w:t>
      </w:r>
    </w:p>
    <w:p w14:paraId="3AEFDD92" w14:textId="77777777" w:rsidR="00E02D1B" w:rsidRDefault="00000000">
      <w:pPr>
        <w:numPr>
          <w:ilvl w:val="1"/>
          <w:numId w:val="14"/>
        </w:numPr>
        <w:spacing w:before="0" w:after="120"/>
      </w:pPr>
      <w:r>
        <w:t>A Member asked if the “C&amp;S” on the metrics slide means Codes and Standards and whether that should be removed. A Member of the Public supported this.</w:t>
      </w:r>
    </w:p>
    <w:p w14:paraId="1F13EB14" w14:textId="77777777" w:rsidR="00E02D1B" w:rsidRDefault="00000000">
      <w:pPr>
        <w:numPr>
          <w:ilvl w:val="0"/>
          <w:numId w:val="14"/>
        </w:numPr>
        <w:spacing w:before="0" w:after="120"/>
      </w:pPr>
      <w:r>
        <w:t>Q2 Meeting Format</w:t>
      </w:r>
    </w:p>
    <w:p w14:paraId="5A2E2B37" w14:textId="77777777" w:rsidR="00E02D1B" w:rsidRDefault="00000000">
      <w:pPr>
        <w:numPr>
          <w:ilvl w:val="1"/>
          <w:numId w:val="14"/>
        </w:numPr>
        <w:spacing w:before="0" w:after="120"/>
      </w:pPr>
      <w:r>
        <w:t xml:space="preserve">A Member noted that the Option 2 for the Q2 Meeting may provide barriers to participation, including the sheer length of the meeting. Noted that </w:t>
      </w:r>
      <w:proofErr w:type="gramStart"/>
      <w:r>
        <w:t>Public</w:t>
      </w:r>
      <w:proofErr w:type="gramEnd"/>
      <w:r>
        <w:t xml:space="preserve"> members likely can’t set out the amount of time needed in Option 2. </w:t>
      </w:r>
    </w:p>
    <w:p w14:paraId="383CCBBA" w14:textId="77777777" w:rsidR="00E02D1B" w:rsidRDefault="00000000">
      <w:pPr>
        <w:numPr>
          <w:ilvl w:val="1"/>
          <w:numId w:val="14"/>
        </w:numPr>
        <w:spacing w:before="0" w:after="120"/>
      </w:pPr>
      <w:r>
        <w:t xml:space="preserve">A Co-Chair proposed a meeting prior to the Q2 Meeting to level set about the key concepts including TSB, TRC, etc. A Member of ED requested to be involved in this. </w:t>
      </w:r>
    </w:p>
    <w:p w14:paraId="0F6063E2" w14:textId="77777777" w:rsidR="00E02D1B" w:rsidRDefault="00000000">
      <w:pPr>
        <w:numPr>
          <w:ilvl w:val="1"/>
          <w:numId w:val="14"/>
        </w:numPr>
        <w:spacing w:before="0" w:after="120"/>
      </w:pPr>
      <w:r>
        <w:t>Members expressed gratitude for the Cal Endowment building as the meeting location for May.</w:t>
      </w:r>
    </w:p>
    <w:p w14:paraId="7FE48940" w14:textId="77777777" w:rsidR="00E02D1B" w:rsidRDefault="00000000">
      <w:pPr>
        <w:numPr>
          <w:ilvl w:val="0"/>
          <w:numId w:val="14"/>
        </w:numPr>
        <w:spacing w:before="0" w:after="120"/>
      </w:pPr>
      <w:r>
        <w:t>General about Portfolio Performance Report Review Sessions</w:t>
      </w:r>
    </w:p>
    <w:p w14:paraId="7D724645" w14:textId="77777777" w:rsidR="00E02D1B" w:rsidRDefault="00000000">
      <w:pPr>
        <w:numPr>
          <w:ilvl w:val="1"/>
          <w:numId w:val="14"/>
        </w:numPr>
        <w:spacing w:before="0" w:after="120"/>
      </w:pPr>
      <w:r>
        <w:t>A Member asked if there is also a CAEECC requirement to ensure transparent review and tracking of portfolios to maximize equitable outcomes. A Co-Chair clarified that the presented process for the Annual Portfolio Report Review is the new CAEECC requirement for stakeholder review of program ensure tracking. Noted that the original guidance, however, is from 2020, and that future updates to the guidance are likely needed. Noted that for the 2023 Annual Portfolio Report Review, CAEECC will use the guidance presented.</w:t>
      </w:r>
    </w:p>
    <w:p w14:paraId="23FEC62B" w14:textId="77777777" w:rsidR="00E02D1B" w:rsidRDefault="00000000">
      <w:pPr>
        <w:numPr>
          <w:ilvl w:val="1"/>
          <w:numId w:val="14"/>
        </w:numPr>
        <w:spacing w:before="0" w:after="120"/>
      </w:pPr>
      <w:r>
        <w:t xml:space="preserve">A Member clarified that Sectors are residential, commercial, agricultural, and industrial and that Segments are resource acquisition, equity, and market support. </w:t>
      </w:r>
    </w:p>
    <w:p w14:paraId="00053844" w14:textId="77777777" w:rsidR="00E02D1B" w:rsidRDefault="00000000">
      <w:pPr>
        <w:numPr>
          <w:ilvl w:val="1"/>
          <w:numId w:val="14"/>
        </w:numPr>
        <w:spacing w:before="0" w:after="120"/>
      </w:pPr>
      <w:r>
        <w:t xml:space="preserve">A Member suggested that each PA should set the amount of time needed for the sessions as some PAs may bring in other team members to present. Cautioned that the timing may not match up as to when those team members can join and when a PA’s start time might be. A Co-Chair noted that the 90-minute session includes Q&amp;A which varies and is usually longer than expected. A Co-Chair also noted a desire to be fair with the amount of time allocated. The Member noted that they don’t believe their report-out will take the full 90-minutes. </w:t>
      </w:r>
    </w:p>
    <w:p w14:paraId="634C379B" w14:textId="77777777" w:rsidR="00E02D1B" w:rsidRDefault="00000000">
      <w:pPr>
        <w:numPr>
          <w:ilvl w:val="1"/>
          <w:numId w:val="14"/>
        </w:numPr>
        <w:spacing w:before="0" w:after="120"/>
      </w:pPr>
      <w:r>
        <w:t xml:space="preserve">A Co-Chair recommended a fact sheet or even a meeting prior to the Portfolio Performance Report Review sessions to answer general questions about the data. A Member of ED agreed and requested to be </w:t>
      </w:r>
      <w:r>
        <w:lastRenderedPageBreak/>
        <w:t>involved. A Member of the Public agreed and requested it be included in the CAEECC onboarding documents.</w:t>
      </w:r>
    </w:p>
    <w:p w14:paraId="7DFE2A45" w14:textId="77777777" w:rsidR="00E02D1B" w:rsidRDefault="00000000">
      <w:pPr>
        <w:spacing w:before="0" w:after="120"/>
      </w:pPr>
      <w:r>
        <w:t>Public Comment</w:t>
      </w:r>
    </w:p>
    <w:p w14:paraId="1AA89586" w14:textId="77777777" w:rsidR="00E02D1B" w:rsidRDefault="00000000">
      <w:pPr>
        <w:numPr>
          <w:ilvl w:val="0"/>
          <w:numId w:val="14"/>
        </w:numPr>
        <w:spacing w:before="0" w:after="120"/>
      </w:pPr>
      <w:r>
        <w:t>Draft PA Template for Annual Portfolio Performance Report Review</w:t>
      </w:r>
    </w:p>
    <w:p w14:paraId="507D0447" w14:textId="77777777" w:rsidR="00E02D1B" w:rsidRDefault="00000000">
      <w:pPr>
        <w:numPr>
          <w:ilvl w:val="1"/>
          <w:numId w:val="14"/>
        </w:numPr>
        <w:spacing w:before="0" w:after="120"/>
      </w:pPr>
      <w:r>
        <w:t xml:space="preserve">A Member of the Public demonstrated preference for PA reporting by Sector because Segments haven’t been tracked in 2023. </w:t>
      </w:r>
    </w:p>
    <w:p w14:paraId="671A0663" w14:textId="77777777" w:rsidR="00E02D1B" w:rsidRDefault="00000000">
      <w:pPr>
        <w:numPr>
          <w:ilvl w:val="1"/>
          <w:numId w:val="14"/>
        </w:numPr>
        <w:spacing w:before="0" w:after="120"/>
      </w:pPr>
      <w:r>
        <w:t>A Member of the Public asked if the new equity metrics would be included in the Portfolio Performance Report Review Template for 2024 Report Reviews in 2025. A Co-Chair responded that yes, CAEECC will have an opportunity to update the Template for future reports.</w:t>
      </w:r>
    </w:p>
    <w:p w14:paraId="6C73E1B3" w14:textId="77777777" w:rsidR="00E02D1B" w:rsidRDefault="00000000">
      <w:pPr>
        <w:numPr>
          <w:ilvl w:val="1"/>
          <w:numId w:val="14"/>
        </w:numPr>
        <w:spacing w:before="0" w:after="120"/>
      </w:pPr>
      <w:r>
        <w:t>A Member of the Public asked if there will be a breakdown of Equity and Market Support segments with the budget and the total system benefit (TSB) presented for the Portfolio Performance Report Reviews like there is for Resource Acquisition. A Co-Chair noted that Equity and Market Support segments don't have TSB, only the Resource Acquisition Segment does. The member asked if the budget column is only for the Resource Acquisition segment or inclusive of Equity and Market Support segments.</w:t>
      </w:r>
    </w:p>
    <w:p w14:paraId="34A672C9" w14:textId="77777777" w:rsidR="00E02D1B" w:rsidRDefault="00000000">
      <w:pPr>
        <w:numPr>
          <w:ilvl w:val="0"/>
          <w:numId w:val="14"/>
        </w:numPr>
        <w:spacing w:before="0" w:after="120"/>
      </w:pPr>
      <w:r>
        <w:t>Q2 Meeting Format</w:t>
      </w:r>
    </w:p>
    <w:p w14:paraId="708E4BEE" w14:textId="77777777" w:rsidR="00E02D1B" w:rsidRDefault="00000000">
      <w:pPr>
        <w:numPr>
          <w:ilvl w:val="1"/>
          <w:numId w:val="14"/>
        </w:numPr>
        <w:spacing w:before="0" w:after="120"/>
      </w:pPr>
      <w:r>
        <w:t xml:space="preserve">A Member of the Public asked for clarification on the Community Engagement Working Group. A Co-Chair responded that it will be soon </w:t>
      </w:r>
      <w:proofErr w:type="gramStart"/>
      <w:r>
        <w:t>discussed</w:t>
      </w:r>
      <w:proofErr w:type="gramEnd"/>
      <w:r>
        <w:t xml:space="preserve"> and nothing has been decided on it as of yet. </w:t>
      </w:r>
    </w:p>
    <w:p w14:paraId="1E03CB2B" w14:textId="77777777" w:rsidR="00E02D1B" w:rsidRDefault="00000000">
      <w:pPr>
        <w:numPr>
          <w:ilvl w:val="1"/>
          <w:numId w:val="14"/>
        </w:numPr>
        <w:spacing w:before="0" w:after="120"/>
      </w:pPr>
      <w:r>
        <w:t xml:space="preserve">A Member of the Public asked for clarification on opportunities for compensation (especially for travel), noting that the Compensation Pilot will have ended by these meetings. A Co-Chair noted they would follow up on compensation but noted that the meetings are </w:t>
      </w:r>
      <w:proofErr w:type="gramStart"/>
      <w:r>
        <w:t>Hybrid</w:t>
      </w:r>
      <w:proofErr w:type="gramEnd"/>
      <w:r>
        <w:t xml:space="preserve"> and one could join virtually if travel compensation is a barrier. Two Members of the Public requested to join the May meetings in person.</w:t>
      </w:r>
    </w:p>
    <w:p w14:paraId="12960512" w14:textId="77777777" w:rsidR="00E02D1B" w:rsidRDefault="00000000">
      <w:pPr>
        <w:numPr>
          <w:ilvl w:val="0"/>
          <w:numId w:val="14"/>
        </w:numPr>
        <w:spacing w:before="0" w:after="120"/>
      </w:pPr>
      <w:r>
        <w:t>General about Portfolio Performance Report Review Sessions</w:t>
      </w:r>
    </w:p>
    <w:p w14:paraId="204D2BDA" w14:textId="77777777" w:rsidR="00E02D1B" w:rsidRDefault="00000000">
      <w:pPr>
        <w:numPr>
          <w:ilvl w:val="1"/>
          <w:numId w:val="14"/>
        </w:numPr>
        <w:spacing w:before="0" w:after="120"/>
      </w:pPr>
      <w:r>
        <w:t xml:space="preserve">A Member of the Public asked what is being measured for the report review. A Member of ED noted that this is a complicated </w:t>
      </w:r>
      <w:proofErr w:type="gramStart"/>
      <w:r>
        <w:t>question</w:t>
      </w:r>
      <w:proofErr w:type="gramEnd"/>
      <w:r>
        <w:t xml:space="preserve"> and it depends on the requirements of the segment, the customers being served, and the program design culminating in various flavors of measurement. A Member of the Public asked how "savings" are measured and counted for sectors and segments.</w:t>
      </w:r>
    </w:p>
    <w:p w14:paraId="4B981965" w14:textId="77777777" w:rsidR="00E02D1B" w:rsidRDefault="00000000">
      <w:pPr>
        <w:numPr>
          <w:ilvl w:val="1"/>
          <w:numId w:val="14"/>
        </w:numPr>
        <w:spacing w:before="0" w:after="120"/>
      </w:pPr>
      <w:r>
        <w:t xml:space="preserve">A Member of the Public requested clarification of Codes and Standards and what is and isn’t included in the data to be reported at these sessions. </w:t>
      </w:r>
    </w:p>
    <w:p w14:paraId="2513114F" w14:textId="77777777" w:rsidR="00E02D1B" w:rsidRDefault="00000000">
      <w:pPr>
        <w:numPr>
          <w:ilvl w:val="1"/>
          <w:numId w:val="14"/>
        </w:numPr>
        <w:spacing w:before="0" w:after="120"/>
      </w:pPr>
      <w:r>
        <w:t xml:space="preserve">A Member of the Public Requested breakdowns of Energy Savings Assistance (ESA) and Low-income programs so Equity metrics can be surfaced. A Co-Chair responded that ESA and Low-Income programs are under a different proceeding and therefore not included in this reporting. </w:t>
      </w:r>
      <w:r>
        <w:lastRenderedPageBreak/>
        <w:t xml:space="preserve">The Member of the Public noted the approach of </w:t>
      </w:r>
      <w:proofErr w:type="spellStart"/>
      <w:r>
        <w:t>siloing</w:t>
      </w:r>
      <w:proofErr w:type="spellEnd"/>
      <w:r>
        <w:t xml:space="preserve"> programs by proceeding can mask and bury the data so no one can </w:t>
      </w:r>
      <w:proofErr w:type="gramStart"/>
      <w:r>
        <w:t>actually recognize</w:t>
      </w:r>
      <w:proofErr w:type="gramEnd"/>
      <w:r>
        <w:t xml:space="preserve"> what is happening. The Co-Chair noted that this is an ongoing problem outside CAEECC’s purview and offered the </w:t>
      </w:r>
      <w:hyperlink r:id="rId14">
        <w:r>
          <w:rPr>
            <w:color w:val="1155CC"/>
            <w:u w:val="single"/>
          </w:rPr>
          <w:t>Public Advocate’s Office petition for a joint proceeding</w:t>
        </w:r>
      </w:hyperlink>
      <w:r>
        <w:t xml:space="preserve"> to address this issue.</w:t>
      </w:r>
    </w:p>
    <w:p w14:paraId="678BC077" w14:textId="77777777" w:rsidR="00E02D1B" w:rsidRDefault="00000000">
      <w:pPr>
        <w:numPr>
          <w:ilvl w:val="1"/>
          <w:numId w:val="14"/>
        </w:numPr>
        <w:spacing w:before="0" w:after="120"/>
      </w:pPr>
      <w:r>
        <w:t xml:space="preserve">Members of the Public asked for clarification on certain acronyms and their meaning, including total system benefit (TSB), total resource benefit (TRB), and Program Administrator Cost (PAC). A Member of the Public shared other commonly used energy efficiency acronyms like end of useful life (EUL) and energy use intensity (EUI). </w:t>
      </w:r>
    </w:p>
    <w:p w14:paraId="77637AFB" w14:textId="77777777" w:rsidR="00E02D1B" w:rsidRDefault="00000000">
      <w:pPr>
        <w:pStyle w:val="Heading2"/>
        <w:spacing w:before="0" w:after="120"/>
      </w:pPr>
      <w:bookmarkStart w:id="11" w:name="_heading=h.rom1ni8zfskw" w:colFirst="0" w:colLast="0"/>
      <w:bookmarkEnd w:id="11"/>
      <w:r>
        <w:t>Evolving CAEECC Working Group (ECWG)</w:t>
      </w:r>
    </w:p>
    <w:p w14:paraId="3E71E2A6" w14:textId="77777777" w:rsidR="00E02D1B" w:rsidRDefault="00000000">
      <w:r>
        <w:t xml:space="preserve">Ettenson provided an update that the ECWG has until April 12, </w:t>
      </w:r>
      <w:proofErr w:type="gramStart"/>
      <w:r>
        <w:t>2024</w:t>
      </w:r>
      <w:proofErr w:type="gramEnd"/>
      <w:r>
        <w:t xml:space="preserve"> to submit reflections. Members are encouraged to read the reflections ahead of the Q2 CAEECC Meeting #42. </w:t>
      </w:r>
    </w:p>
    <w:p w14:paraId="3210D0B3" w14:textId="77777777" w:rsidR="00E02D1B" w:rsidRDefault="00000000">
      <w:pPr>
        <w:pStyle w:val="Heading1"/>
      </w:pPr>
      <w:bookmarkStart w:id="12" w:name="_heading=h.4d34og8" w:colFirst="0" w:colLast="0"/>
      <w:bookmarkEnd w:id="12"/>
      <w:r>
        <w:t>Session 2: Equity and Market Support Working Group (EMSWG)</w:t>
      </w:r>
    </w:p>
    <w:p w14:paraId="4A232710" w14:textId="77777777" w:rsidR="00E02D1B" w:rsidRDefault="00000000">
      <w:pPr>
        <w:spacing w:before="0"/>
      </w:pPr>
      <w:r>
        <w:rPr>
          <w:i/>
          <w:sz w:val="20"/>
          <w:szCs w:val="20"/>
        </w:rPr>
        <w:t>Slides 56 - 64</w:t>
      </w:r>
    </w:p>
    <w:p w14:paraId="419E67F4" w14:textId="77777777" w:rsidR="00E02D1B" w:rsidRDefault="00000000">
      <w:pPr>
        <w:rPr>
          <w:color w:val="212121"/>
        </w:rPr>
      </w:pPr>
      <w:r>
        <w:t xml:space="preserve">EMSWG Facilitator Katie Wu </w:t>
      </w:r>
      <w:r>
        <w:rPr>
          <w:color w:val="212121"/>
        </w:rPr>
        <w:t xml:space="preserve">provided updates on the EMSWG and background to its charge. Wu noted that the EMSWG did not address Common Metrics nor AKAB (awareness, knowledge, </w:t>
      </w:r>
      <w:proofErr w:type="gramStart"/>
      <w:r>
        <w:rPr>
          <w:color w:val="212121"/>
        </w:rPr>
        <w:t>attitude</w:t>
      </w:r>
      <w:proofErr w:type="gramEnd"/>
      <w:r>
        <w:rPr>
          <w:color w:val="212121"/>
        </w:rPr>
        <w:t xml:space="preserve"> and behavior) Indicators, both optional activities. She then presented the Working Group process and provided an outline of the Draft EMSWG Report that will be submitted to PAs by March 22 and highlighted the Table Summary of Indicators structure. </w:t>
      </w:r>
    </w:p>
    <w:p w14:paraId="7506DEFE" w14:textId="77777777" w:rsidR="00E02D1B" w:rsidRDefault="00000000">
      <w:pPr>
        <w:rPr>
          <w:color w:val="212121"/>
        </w:rPr>
      </w:pPr>
      <w:r>
        <w:rPr>
          <w:color w:val="212121"/>
        </w:rPr>
        <w:t xml:space="preserve">Stephanie Gutierrez (SDG&amp;E) provided an update on the next steps, which includes the PA Tier 2 Advice Letter to be submitted by May 1, </w:t>
      </w:r>
      <w:proofErr w:type="gramStart"/>
      <w:r>
        <w:rPr>
          <w:color w:val="212121"/>
        </w:rPr>
        <w:t>2024</w:t>
      </w:r>
      <w:proofErr w:type="gramEnd"/>
      <w:r>
        <w:rPr>
          <w:color w:val="212121"/>
        </w:rPr>
        <w:t xml:space="preserve"> to the CPUC. </w:t>
      </w:r>
    </w:p>
    <w:p w14:paraId="23A5B0EF" w14:textId="77777777" w:rsidR="00E02D1B" w:rsidRDefault="00000000">
      <w:pPr>
        <w:pStyle w:val="Heading3"/>
      </w:pPr>
      <w:bookmarkStart w:id="13" w:name="_heading=h.d0cwqevji3hr" w:colFirst="0" w:colLast="0"/>
      <w:bookmarkEnd w:id="13"/>
      <w:r>
        <w:t>Summary of Discussion on Equity and Market Support Working Group</w:t>
      </w:r>
    </w:p>
    <w:p w14:paraId="268181A4" w14:textId="77777777" w:rsidR="00E02D1B" w:rsidRDefault="00000000">
      <w:r>
        <w:t>Member Comment</w:t>
      </w:r>
    </w:p>
    <w:p w14:paraId="515728A0" w14:textId="77777777" w:rsidR="00E02D1B" w:rsidRDefault="00000000">
      <w:pPr>
        <w:numPr>
          <w:ilvl w:val="0"/>
          <w:numId w:val="14"/>
        </w:numPr>
        <w:spacing w:before="0" w:after="120"/>
      </w:pPr>
      <w:r>
        <w:t xml:space="preserve">A representative from ED asked for elaboration and highlights of the Common Metrics discussion, from Gutierrez’s presentation (slide 39). Gutierrez noted that the Common Metrics work is to determine if any metrics are no longer relevant or useful and that the PAs went through line in the Common Metrics spreadsheet to talk through which metrics </w:t>
      </w:r>
      <w:proofErr w:type="spellStart"/>
      <w:r>
        <w:t>thougld</w:t>
      </w:r>
      <w:proofErr w:type="spellEnd"/>
      <w:r>
        <w:t xml:space="preserve"> be suspended or removed. Gutierrez noted that a large portion of the Common Metrics are proposed to be removed and referenced a Grounded Research memo that elaborates on reasoning behind those proposals. </w:t>
      </w:r>
    </w:p>
    <w:p w14:paraId="17BE56DF" w14:textId="77777777" w:rsidR="00E02D1B" w:rsidRDefault="00000000">
      <w:pPr>
        <w:spacing w:before="0" w:after="120"/>
      </w:pPr>
      <w:r>
        <w:t>Public Comment</w:t>
      </w:r>
    </w:p>
    <w:p w14:paraId="7C176D31" w14:textId="77777777" w:rsidR="00E02D1B" w:rsidRDefault="00000000">
      <w:pPr>
        <w:numPr>
          <w:ilvl w:val="0"/>
          <w:numId w:val="14"/>
        </w:numPr>
        <w:spacing w:before="0" w:after="120"/>
      </w:pPr>
      <w:r>
        <w:t>A Member of the EMSWG noted that EMSWG could have benefited from more inclusive membership criteria and compensation.</w:t>
      </w:r>
    </w:p>
    <w:p w14:paraId="29C4FC3E" w14:textId="77777777" w:rsidR="00E02D1B" w:rsidRDefault="00000000">
      <w:pPr>
        <w:numPr>
          <w:ilvl w:val="0"/>
          <w:numId w:val="14"/>
        </w:numPr>
        <w:spacing w:before="0" w:after="120"/>
      </w:pPr>
      <w:r>
        <w:lastRenderedPageBreak/>
        <w:t>A Member of the EMSWG praised the hard and technical work of the WG.</w:t>
      </w:r>
    </w:p>
    <w:p w14:paraId="050DB1B7" w14:textId="77777777" w:rsidR="00E02D1B" w:rsidRDefault="00000000">
      <w:pPr>
        <w:numPr>
          <w:ilvl w:val="0"/>
          <w:numId w:val="14"/>
        </w:numPr>
        <w:spacing w:before="0" w:after="120"/>
      </w:pPr>
      <w:r>
        <w:t>A Member of the Public asked how these indicators would be adjusted if later evaluation determines additional or different indicators are required. A Member of the EMSWG noted their understanding that another set of members would have been invited to discuss and address gaps or changes to the indicators and metrics through another round of the WG. A Co-Chair noted to address this concern internally.</w:t>
      </w:r>
    </w:p>
    <w:p w14:paraId="79676F20" w14:textId="77777777" w:rsidR="00E02D1B" w:rsidRDefault="00000000">
      <w:pPr>
        <w:numPr>
          <w:ilvl w:val="0"/>
          <w:numId w:val="14"/>
        </w:numPr>
        <w:spacing w:before="0" w:after="120"/>
      </w:pPr>
      <w:r>
        <w:t xml:space="preserve">A Member of EMSWG offered praise for the WG and noted the WG covered a lot through rich discussion. </w:t>
      </w:r>
    </w:p>
    <w:p w14:paraId="101F20EE" w14:textId="77777777" w:rsidR="00E02D1B" w:rsidRDefault="00000000">
      <w:pPr>
        <w:pStyle w:val="Heading1"/>
      </w:pPr>
      <w:bookmarkStart w:id="14" w:name="_heading=h.z337ya" w:colFirst="0" w:colLast="0"/>
      <w:bookmarkEnd w:id="14"/>
      <w:r>
        <w:t xml:space="preserve">Session 3: Wrap Up </w:t>
      </w:r>
    </w:p>
    <w:p w14:paraId="153EF925" w14:textId="77777777" w:rsidR="00E02D1B" w:rsidRDefault="00000000">
      <w:pPr>
        <w:spacing w:before="0"/>
      </w:pPr>
      <w:r>
        <w:rPr>
          <w:i/>
          <w:sz w:val="20"/>
          <w:szCs w:val="20"/>
        </w:rPr>
        <w:t>Slides 65 - 79</w:t>
      </w:r>
    </w:p>
    <w:p w14:paraId="2BE8BA23" w14:textId="77777777" w:rsidR="00E02D1B" w:rsidRDefault="00000000">
      <w:pPr>
        <w:pStyle w:val="Heading2"/>
      </w:pPr>
      <w:bookmarkStart w:id="15" w:name="_heading=h.6o1by019ghny" w:colFirst="0" w:colLast="0"/>
      <w:bookmarkEnd w:id="15"/>
      <w:r>
        <w:t>DEI Phase III</w:t>
      </w:r>
    </w:p>
    <w:p w14:paraId="1A39A550" w14:textId="77777777" w:rsidR="00E02D1B" w:rsidRDefault="00000000">
      <w:r>
        <w:t xml:space="preserve">Sikand provided an update about the DEI Training Phase III, reminding CAEECC about the objectives set in Q4 of 2023. Sikand presented the three sessions for Phase III, noting the dates for each and next steps. </w:t>
      </w:r>
    </w:p>
    <w:p w14:paraId="3087A450" w14:textId="77777777" w:rsidR="00E02D1B" w:rsidRDefault="00000000">
      <w:pPr>
        <w:numPr>
          <w:ilvl w:val="0"/>
          <w:numId w:val="11"/>
        </w:numPr>
      </w:pPr>
      <w:r>
        <w:t xml:space="preserve">Members of the Public asked for details on the racial equity training to help assess any gaps, noting the ECWG is recommending similar trainings. Facilitator Ralston noted the outline of the trainings were presented at the </w:t>
      </w:r>
      <w:hyperlink r:id="rId15">
        <w:r>
          <w:rPr>
            <w:color w:val="1155CC"/>
            <w:u w:val="single"/>
          </w:rPr>
          <w:t>Q4 CAEECC Meeting</w:t>
        </w:r>
      </w:hyperlink>
      <w:r>
        <w:t xml:space="preserve"> and invited suggestions. A Member of the Public shared the </w:t>
      </w:r>
      <w:hyperlink r:id="rId16">
        <w:r>
          <w:rPr>
            <w:color w:val="1155CC"/>
            <w:u w:val="single"/>
          </w:rPr>
          <w:t>Energy Equity Project’s resource list</w:t>
        </w:r>
      </w:hyperlink>
      <w:r>
        <w:t>, which the Facilitators were familiar with.</w:t>
      </w:r>
    </w:p>
    <w:p w14:paraId="5EB75805" w14:textId="77777777" w:rsidR="00E02D1B" w:rsidRDefault="00000000">
      <w:pPr>
        <w:numPr>
          <w:ilvl w:val="0"/>
          <w:numId w:val="11"/>
        </w:numPr>
        <w:spacing w:before="0"/>
      </w:pPr>
      <w:r>
        <w:t>A Member of the Public requested a list of CAEECC members who have participated in which trainings. Facilitator Ralston noted that all CAEECC members were required to attend or view and discuss the recording.</w:t>
      </w:r>
    </w:p>
    <w:p w14:paraId="3AB8922E" w14:textId="77777777" w:rsidR="00E02D1B" w:rsidRDefault="00000000">
      <w:pPr>
        <w:numPr>
          <w:ilvl w:val="0"/>
          <w:numId w:val="11"/>
        </w:numPr>
        <w:spacing w:before="0"/>
      </w:pPr>
      <w:r>
        <w:t xml:space="preserve">A Member of the Public asked for clarification who the trainings are open to. Facilitators clarified the trainings are only for CAEECC Members and Ex-Officio. </w:t>
      </w:r>
    </w:p>
    <w:p w14:paraId="55CCCACC" w14:textId="77777777" w:rsidR="00E02D1B" w:rsidRDefault="00000000">
      <w:pPr>
        <w:pStyle w:val="Heading2"/>
      </w:pPr>
      <w:bookmarkStart w:id="16" w:name="_heading=h.3j2qqm3" w:colFirst="0" w:colLast="0"/>
      <w:bookmarkEnd w:id="16"/>
      <w:r>
        <w:t>Prep for Q2 Full CAEECC Meeting</w:t>
      </w:r>
    </w:p>
    <w:p w14:paraId="2C8CD704" w14:textId="77777777" w:rsidR="00E02D1B" w:rsidRDefault="00000000">
      <w:r>
        <w:t xml:space="preserve">Abrams outlined Proposed CAEECC Topics for the Q2 Meeting (split, in conjunction with Annual Portfolio Performance Review Sessions, May 14 and May 15), including Community Engagement Indicators Prospectus Development Process; Evolving CAEECC Working Group - reflections &amp; possible presentations; Compensation Pilot Final Report; SDREN updates (if applicable); </w:t>
      </w:r>
      <w:proofErr w:type="spellStart"/>
      <w:r>
        <w:t>CalMTA</w:t>
      </w:r>
      <w:proofErr w:type="spellEnd"/>
      <w:r>
        <w:t xml:space="preserve"> update (if applicable); and CEC update on Equitable Building Decarbonization program. Abrams also proposed a topic for Q3: goals and approach for the Semi-Annual Portfolio Performance Report Review sessions happening in Q4.</w:t>
      </w:r>
    </w:p>
    <w:p w14:paraId="3221854D" w14:textId="77777777" w:rsidR="00E02D1B" w:rsidRDefault="00000000">
      <w:r>
        <w:t>Abrams invited Public then Member comment.</w:t>
      </w:r>
    </w:p>
    <w:p w14:paraId="4B03B470" w14:textId="77777777" w:rsidR="00E02D1B" w:rsidRDefault="00000000">
      <w:pPr>
        <w:numPr>
          <w:ilvl w:val="0"/>
          <w:numId w:val="6"/>
        </w:numPr>
        <w:spacing w:before="0"/>
      </w:pPr>
      <w:r>
        <w:t xml:space="preserve">A Co-Chair noted that there may be a need for an update about </w:t>
      </w:r>
      <w:hyperlink r:id="rId17">
        <w:r>
          <w:rPr>
            <w:color w:val="1155CC"/>
            <w:u w:val="single"/>
          </w:rPr>
          <w:t>CA’s Public Advocate’s Petition for Rulemaking</w:t>
        </w:r>
      </w:hyperlink>
      <w:r>
        <w:t>.</w:t>
      </w:r>
    </w:p>
    <w:p w14:paraId="682E01E1" w14:textId="77777777" w:rsidR="00E02D1B" w:rsidRDefault="00000000">
      <w:pPr>
        <w:numPr>
          <w:ilvl w:val="0"/>
          <w:numId w:val="6"/>
        </w:numPr>
        <w:spacing w:before="0"/>
      </w:pPr>
      <w:r>
        <w:lastRenderedPageBreak/>
        <w:t>A Co-Chair sought clarification on the Compensation Pilot Final Report if that needs to be done in Q2 or if it can be a partial final report since Grantees may like to present to CAEECC and thus the Pilot would still be ongoing. Facilitator Ralston responded that the Compensation Pilot Final Report would occur after the Pilot is over and that the report would aim to include direct input and thoughts from participants about the experience.</w:t>
      </w:r>
    </w:p>
    <w:p w14:paraId="480B02BC" w14:textId="77777777" w:rsidR="00E02D1B" w:rsidRDefault="00000000">
      <w:pPr>
        <w:numPr>
          <w:ilvl w:val="0"/>
          <w:numId w:val="6"/>
        </w:numPr>
        <w:spacing w:before="0"/>
      </w:pPr>
      <w:r>
        <w:t xml:space="preserve">A Co-Chair elaborated on the Community Engagement Indicators Prospectus Development Process, noting it stems from the optional task for EMSWG and CAEECC that CAEECC decided to take it on as </w:t>
      </w:r>
      <w:proofErr w:type="spellStart"/>
      <w:proofErr w:type="gramStart"/>
      <w:r>
        <w:t>it’s</w:t>
      </w:r>
      <w:proofErr w:type="spellEnd"/>
      <w:proofErr w:type="gramEnd"/>
      <w:r>
        <w:t xml:space="preserve"> own entity apart from EMSWG. Noted that historically, prospectuses are developed by Co-Chairs and the Facilitation Team in consultation with ED. Suggested to rephrase “prospectus” with “Scope and Timeline” as it may be </w:t>
      </w:r>
      <w:proofErr w:type="gramStart"/>
      <w:r>
        <w:t>more clear</w:t>
      </w:r>
      <w:proofErr w:type="gramEnd"/>
      <w:r>
        <w:t xml:space="preserve">. Noted that the idea via this “Community Engagement Indicators Prospectus Development Process” is to implement a co-creative process through an initial discussion </w:t>
      </w:r>
      <w:proofErr w:type="gramStart"/>
      <w:r>
        <w:t>in an effort to</w:t>
      </w:r>
      <w:proofErr w:type="gramEnd"/>
      <w:r>
        <w:t xml:space="preserve"> emulate the ESJ Action Plan. Highlighted the desire to have this </w:t>
      </w:r>
      <w:proofErr w:type="gramStart"/>
      <w:r>
        <w:t>discussion  in</w:t>
      </w:r>
      <w:proofErr w:type="gramEnd"/>
      <w:r>
        <w:t xml:space="preserve"> person. </w:t>
      </w:r>
    </w:p>
    <w:p w14:paraId="6974B2A6" w14:textId="77777777" w:rsidR="00E02D1B" w:rsidRDefault="00000000">
      <w:pPr>
        <w:spacing w:before="0"/>
      </w:pPr>
      <w:r>
        <w:t>Public</w:t>
      </w:r>
    </w:p>
    <w:p w14:paraId="3CF667AA" w14:textId="77777777" w:rsidR="00E02D1B" w:rsidRDefault="00000000">
      <w:pPr>
        <w:numPr>
          <w:ilvl w:val="0"/>
          <w:numId w:val="6"/>
        </w:numPr>
        <w:spacing w:before="0"/>
      </w:pPr>
      <w:r>
        <w:t>A Member of the Public noted that there’s so much the ECWG is making recommendations on that’s already being mirrored in CAEECC. Asked how ECWG can best incorporate implementation of the recommendations. A Co-Chair asked for elaboration of when would be the best time for “dovetailing” (fitting together the recommendations and implementation with CAEECC practices). The Member of the Public noted to dovetail both now and after the recommendations so the ECWG can continue to work with CAEECC as best as possible. Another Member of the Public agreed. A Co-Chair requested to take the conversation offline, noting the limitations to funding.</w:t>
      </w:r>
    </w:p>
    <w:p w14:paraId="53F3CB09" w14:textId="77777777" w:rsidR="00E02D1B" w:rsidRDefault="00000000">
      <w:pPr>
        <w:numPr>
          <w:ilvl w:val="0"/>
          <w:numId w:val="6"/>
        </w:numPr>
        <w:spacing w:before="0"/>
      </w:pPr>
      <w:r>
        <w:t>A Member of the Public suggested that community members be involved in the development of the prospectus and noted a barrier to involvement is compensation.</w:t>
      </w:r>
    </w:p>
    <w:p w14:paraId="4AC0EFC9" w14:textId="77777777" w:rsidR="00E02D1B" w:rsidRDefault="00000000">
      <w:pPr>
        <w:numPr>
          <w:ilvl w:val="0"/>
          <w:numId w:val="6"/>
        </w:numPr>
        <w:spacing w:before="0"/>
      </w:pPr>
      <w:r>
        <w:t>A Member of the Public requested that CAEECC Meetings be planned in coordination with the Low-Income Oversight Board (LIOB</w:t>
      </w:r>
      <w:proofErr w:type="gramStart"/>
      <w:r>
        <w:t>)</w:t>
      </w:r>
      <w:proofErr w:type="gramEnd"/>
      <w:r>
        <w:t xml:space="preserve"> so they are not on the same day at the same time. A Co-Chair noted to revisit the LIOB schedule to try to reduce overlap between meetings. </w:t>
      </w:r>
      <w:r>
        <w:rPr>
          <w:i/>
        </w:rPr>
        <w:t>The Facilitation Team has noted after the meeting that the LIOB schedule is not yet released, but CAEECC Meetings are planned in Q4 the year prior; as such, CAEECC Facilitators will reach out to LIOB to let them know the CAEECC meeting dates.</w:t>
      </w:r>
    </w:p>
    <w:p w14:paraId="66BBD1DA" w14:textId="77777777" w:rsidR="00E02D1B" w:rsidRDefault="00000000">
      <w:pPr>
        <w:pStyle w:val="Heading2"/>
      </w:pPr>
      <w:bookmarkStart w:id="17" w:name="_heading=h.2xcytpi" w:colFirst="0" w:colLast="0"/>
      <w:bookmarkEnd w:id="17"/>
      <w:r>
        <w:t xml:space="preserve">Next Steps </w:t>
      </w:r>
    </w:p>
    <w:p w14:paraId="4E6E7E3F" w14:textId="77777777" w:rsidR="00E02D1B" w:rsidRDefault="00000000">
      <w:r>
        <w:t>Abrams summarized the next steps:</w:t>
      </w:r>
    </w:p>
    <w:p w14:paraId="7FEE1FDC" w14:textId="77777777" w:rsidR="00E02D1B" w:rsidRDefault="00000000">
      <w:pPr>
        <w:numPr>
          <w:ilvl w:val="0"/>
          <w:numId w:val="8"/>
        </w:numPr>
      </w:pPr>
      <w:r>
        <w:t xml:space="preserve">Meeting summary will be posted within 5 business </w:t>
      </w:r>
      <w:proofErr w:type="gramStart"/>
      <w:r>
        <w:t>days</w:t>
      </w:r>
      <w:proofErr w:type="gramEnd"/>
    </w:p>
    <w:p w14:paraId="6D49271E" w14:textId="77777777" w:rsidR="00E02D1B" w:rsidRDefault="00000000">
      <w:pPr>
        <w:numPr>
          <w:ilvl w:val="0"/>
          <w:numId w:val="8"/>
        </w:numPr>
      </w:pPr>
      <w:r>
        <w:t xml:space="preserve">Meeting Evaluation: due 3/21/24 (required for Members and encouraged for everyone else). Facilitators to incorporate feedback in meeting </w:t>
      </w:r>
      <w:proofErr w:type="gramStart"/>
      <w:r>
        <w:t>design</w:t>
      </w:r>
      <w:proofErr w:type="gramEnd"/>
    </w:p>
    <w:p w14:paraId="2A6E8ED4" w14:textId="77777777" w:rsidR="00E02D1B" w:rsidRDefault="00000000">
      <w:pPr>
        <w:pStyle w:val="Heading2"/>
      </w:pPr>
      <w:bookmarkStart w:id="18" w:name="_heading=h.68x33qguo4m8" w:colFirst="0" w:colLast="0"/>
      <w:bookmarkEnd w:id="18"/>
      <w:r>
        <w:lastRenderedPageBreak/>
        <w:t xml:space="preserve">Meeting Evaluation </w:t>
      </w:r>
    </w:p>
    <w:p w14:paraId="6E6A2844" w14:textId="77777777" w:rsidR="00E02D1B" w:rsidRDefault="00000000">
      <w:r>
        <w:t xml:space="preserve">Sikand provided a summary of the Evaluation Survey from the 11/29/23 Full Quarterly CAEECC Meeting. In general, participants felt the 11/29/23 meeting was slightly successful. Sikand reminded participants about this meeting’s evaluation survey, and invited submissions until 3/21/24. </w:t>
      </w:r>
    </w:p>
    <w:p w14:paraId="79979CF4" w14:textId="77777777" w:rsidR="00E02D1B" w:rsidRDefault="00000000">
      <w:r>
        <w:t>A live meeting evaluation was conducted among all participants who noted that the meeting was safe and relatively effective.</w:t>
      </w:r>
    </w:p>
    <w:p w14:paraId="486D3E31" w14:textId="77777777" w:rsidR="00E02D1B" w:rsidRDefault="00000000">
      <w:pPr>
        <w:jc w:val="center"/>
      </w:pPr>
      <w:r>
        <w:rPr>
          <w:noProof/>
        </w:rPr>
        <w:drawing>
          <wp:inline distT="114300" distB="114300" distL="114300" distR="114300" wp14:anchorId="2F446CA9" wp14:editId="6F096350">
            <wp:extent cx="2617143" cy="154173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2862" r="5231"/>
                    <a:stretch>
                      <a:fillRect/>
                    </a:stretch>
                  </pic:blipFill>
                  <pic:spPr>
                    <a:xfrm>
                      <a:off x="0" y="0"/>
                      <a:ext cx="2617143" cy="1541735"/>
                    </a:xfrm>
                    <a:prstGeom prst="rect">
                      <a:avLst/>
                    </a:prstGeom>
                    <a:ln/>
                  </pic:spPr>
                </pic:pic>
              </a:graphicData>
            </a:graphic>
          </wp:inline>
        </w:drawing>
      </w:r>
      <w:r>
        <w:t xml:space="preserve">  </w:t>
      </w:r>
      <w:r>
        <w:rPr>
          <w:noProof/>
        </w:rPr>
        <w:drawing>
          <wp:inline distT="114300" distB="114300" distL="114300" distR="114300" wp14:anchorId="5633DEAF" wp14:editId="1EF2CBB3">
            <wp:extent cx="2600325" cy="157162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2762" r="6198"/>
                    <a:stretch>
                      <a:fillRect/>
                    </a:stretch>
                  </pic:blipFill>
                  <pic:spPr>
                    <a:xfrm>
                      <a:off x="0" y="0"/>
                      <a:ext cx="2600325" cy="1571625"/>
                    </a:xfrm>
                    <a:prstGeom prst="rect">
                      <a:avLst/>
                    </a:prstGeom>
                    <a:ln/>
                  </pic:spPr>
                </pic:pic>
              </a:graphicData>
            </a:graphic>
          </wp:inline>
        </w:drawing>
      </w:r>
    </w:p>
    <w:p w14:paraId="21F7B9E4" w14:textId="77777777" w:rsidR="00E02D1B" w:rsidRDefault="00000000">
      <w:pPr>
        <w:pStyle w:val="Heading1"/>
      </w:pPr>
      <w:bookmarkStart w:id="19" w:name="_heading=h.yihi8fknm76i" w:colFirst="0" w:colLast="0"/>
      <w:bookmarkEnd w:id="19"/>
      <w:r>
        <w:t>Session 4: Optional Assembly</w:t>
      </w:r>
    </w:p>
    <w:p w14:paraId="37A31C5F" w14:textId="77777777" w:rsidR="00E02D1B" w:rsidRDefault="00000000">
      <w:pPr>
        <w:spacing w:before="0"/>
      </w:pPr>
      <w:r>
        <w:rPr>
          <w:i/>
          <w:sz w:val="20"/>
          <w:szCs w:val="20"/>
        </w:rPr>
        <w:t>Slides 81 - 108</w:t>
      </w:r>
    </w:p>
    <w:p w14:paraId="0784395D" w14:textId="77777777" w:rsidR="00E02D1B" w:rsidRDefault="00000000">
      <w:pPr>
        <w:pStyle w:val="Heading2"/>
      </w:pPr>
      <w:bookmarkStart w:id="20" w:name="_heading=h.1y810tw" w:colFirst="0" w:colLast="0"/>
      <w:bookmarkEnd w:id="20"/>
      <w:r>
        <w:t>Solicitation Updates</w:t>
      </w:r>
    </w:p>
    <w:p w14:paraId="769957E2" w14:textId="77777777" w:rsidR="00E02D1B" w:rsidRDefault="00000000">
      <w:r>
        <w:t xml:space="preserve">Stacie </w:t>
      </w:r>
      <w:proofErr w:type="spellStart"/>
      <w:r>
        <w:t>Risley</w:t>
      </w:r>
      <w:proofErr w:type="spellEnd"/>
      <w:r>
        <w:t xml:space="preserve">, SDG&amp;E, provided updates on the Solicitations from IOUs (slides 83 - 86). </w:t>
      </w:r>
    </w:p>
    <w:p w14:paraId="73CD74A8" w14:textId="77777777" w:rsidR="00E02D1B" w:rsidRDefault="00000000">
      <w:pPr>
        <w:pStyle w:val="Heading3"/>
      </w:pPr>
      <w:bookmarkStart w:id="21" w:name="_heading=h.8h16kumzagid" w:colFirst="0" w:colLast="0"/>
      <w:bookmarkEnd w:id="21"/>
      <w:r>
        <w:t>Summary of Discussion</w:t>
      </w:r>
    </w:p>
    <w:p w14:paraId="2C013F1A" w14:textId="77777777" w:rsidR="00E02D1B" w:rsidRDefault="00000000">
      <w:pPr>
        <w:numPr>
          <w:ilvl w:val="0"/>
          <w:numId w:val="10"/>
        </w:numPr>
      </w:pPr>
      <w:r>
        <w:t xml:space="preserve">A Co-Chair reminded participants that CAEECC has a dedicated page for </w:t>
      </w:r>
      <w:hyperlink r:id="rId20">
        <w:r>
          <w:rPr>
            <w:color w:val="1155CC"/>
            <w:u w:val="single"/>
          </w:rPr>
          <w:t>Third-Party Solicitations</w:t>
        </w:r>
      </w:hyperlink>
      <w:r>
        <w:t xml:space="preserve">. Noted there’s a </w:t>
      </w:r>
      <w:hyperlink r:id="rId21">
        <w:r>
          <w:rPr>
            <w:color w:val="1155CC"/>
            <w:u w:val="single"/>
          </w:rPr>
          <w:t>Low-Income Solicitation</w:t>
        </w:r>
      </w:hyperlink>
      <w:r>
        <w:t xml:space="preserve"> page for the ESA program as well.</w:t>
      </w:r>
    </w:p>
    <w:p w14:paraId="46DE9BD7" w14:textId="77777777" w:rsidR="00E02D1B" w:rsidRDefault="00000000">
      <w:pPr>
        <w:numPr>
          <w:ilvl w:val="0"/>
          <w:numId w:val="10"/>
        </w:numPr>
        <w:spacing w:before="0"/>
      </w:pPr>
      <w:r>
        <w:t>A Member appreciated the segmentations of programs.</w:t>
      </w:r>
    </w:p>
    <w:p w14:paraId="650D6750" w14:textId="77777777" w:rsidR="00E02D1B" w:rsidRDefault="00E02D1B">
      <w:pPr>
        <w:pStyle w:val="Heading2"/>
        <w:spacing w:before="0"/>
      </w:pPr>
      <w:bookmarkStart w:id="22" w:name="_heading=h.wiyau8bzg9r3" w:colFirst="0" w:colLast="0"/>
      <w:bookmarkEnd w:id="22"/>
    </w:p>
    <w:p w14:paraId="4E414A98" w14:textId="77777777" w:rsidR="00E02D1B" w:rsidRDefault="00000000">
      <w:pPr>
        <w:pStyle w:val="Heading2"/>
        <w:spacing w:before="0"/>
      </w:pPr>
      <w:bookmarkStart w:id="23" w:name="_heading=h.3bg2v1nty7ur" w:colFirst="0" w:colLast="0"/>
      <w:bookmarkEnd w:id="23"/>
      <w:r>
        <w:t>Non-Energy Benefits (NEBs) Working Group Updates</w:t>
      </w:r>
    </w:p>
    <w:p w14:paraId="39D77D97" w14:textId="77777777" w:rsidR="00E02D1B" w:rsidRDefault="00000000">
      <w:r>
        <w:t xml:space="preserve">Khursheed, SCE, presented an update on the NEBs Working Group that was formed through CPUC direction and with a goal to inform the Market Rate Equity Sector (ES) Non-Energy Benefits (NEBs) Study due in October 2026. Khursheed noted the WG has convened since November 2023 and will continue until July 2024. </w:t>
      </w:r>
    </w:p>
    <w:p w14:paraId="1AF9D190" w14:textId="77777777" w:rsidR="00E02D1B" w:rsidRDefault="00000000">
      <w:pPr>
        <w:pStyle w:val="Heading3"/>
      </w:pPr>
      <w:bookmarkStart w:id="24" w:name="_heading=h.4eweh5rlu70c" w:colFirst="0" w:colLast="0"/>
      <w:bookmarkEnd w:id="24"/>
      <w:r>
        <w:t>Summary of Discussion</w:t>
      </w:r>
    </w:p>
    <w:p w14:paraId="7CE954A1" w14:textId="77777777" w:rsidR="00E02D1B" w:rsidRDefault="00000000">
      <w:pPr>
        <w:numPr>
          <w:ilvl w:val="0"/>
          <w:numId w:val="13"/>
        </w:numPr>
      </w:pPr>
      <w:r>
        <w:t xml:space="preserve">Members of the Public requested clarification on the working group and if it’s under CAEECC. Facilitators and Members of ED noted that it’s a CPUC working group. A Member of ED noted that there’s no webpage for this working group. </w:t>
      </w:r>
      <w:r>
        <w:lastRenderedPageBreak/>
        <w:t>Members of the Public asked for meeting notes or minutes or a slide deck. A Member of ED clarified that the CPUC established the group and that PAs lead the group. A Member of ED recalled that emails were sent out to CAEECC in the fall and that the membership to the working group is now closed. A Member of ED noted that the recommendations will likely be sent via the proceeding listserv.</w:t>
      </w:r>
    </w:p>
    <w:p w14:paraId="1E60A418" w14:textId="77777777" w:rsidR="00E02D1B" w:rsidRDefault="00000000">
      <w:pPr>
        <w:numPr>
          <w:ilvl w:val="0"/>
          <w:numId w:val="13"/>
        </w:numPr>
        <w:spacing w:before="0"/>
      </w:pPr>
      <w:r>
        <w:t>A Co-Chair noted that ESA has its own process for NEBs and asked if there were any lessons learned from their approach into this consideration. Khursheed noted that there are several folks from that effort advising in this process. Khursheed noted the intention to be mindful about how to quantify the data as ESA noted an overestimation of NEBs as an issue.</w:t>
      </w:r>
    </w:p>
    <w:p w14:paraId="7C83ED14" w14:textId="77777777" w:rsidR="00E02D1B" w:rsidRDefault="00000000">
      <w:pPr>
        <w:numPr>
          <w:ilvl w:val="0"/>
          <w:numId w:val="13"/>
        </w:numPr>
        <w:spacing w:before="0"/>
      </w:pPr>
      <w:r>
        <w:t>A Member of the Public noted that the ESA program is doing a NEB study right now and a contractor was just hired for it.</w:t>
      </w:r>
    </w:p>
    <w:p w14:paraId="6C2B1997" w14:textId="77777777" w:rsidR="00E02D1B" w:rsidRDefault="00000000">
      <w:pPr>
        <w:numPr>
          <w:ilvl w:val="0"/>
          <w:numId w:val="13"/>
        </w:numPr>
        <w:spacing w:before="0"/>
      </w:pPr>
      <w:r>
        <w:t xml:space="preserve">A Member of ED noted several efforts looking at NEBs and concluded that the NEB Working Group is one avenue. Highlighted that ESA is providing useful information as well as CPUC and CEC. Acknowledged there’s not coordinated work, but that the work is being done which is good news. </w:t>
      </w:r>
    </w:p>
    <w:p w14:paraId="4C81A353" w14:textId="77777777" w:rsidR="00E02D1B" w:rsidRDefault="00000000">
      <w:pPr>
        <w:numPr>
          <w:ilvl w:val="0"/>
          <w:numId w:val="13"/>
        </w:numPr>
        <w:spacing w:before="0"/>
      </w:pPr>
      <w:r>
        <w:t xml:space="preserve">A Member noted that the California Energy Commission just approved an informational proceeding on NEBs during their </w:t>
      </w:r>
      <w:hyperlink r:id="rId22">
        <w:r>
          <w:rPr>
            <w:color w:val="1155CC"/>
            <w:u w:val="single"/>
          </w:rPr>
          <w:t>March business meeting</w:t>
        </w:r>
      </w:hyperlink>
      <w:r>
        <w:t xml:space="preserve">,  and noted many other efforts around NEBs/community benefits. </w:t>
      </w:r>
    </w:p>
    <w:p w14:paraId="24638F88" w14:textId="77777777" w:rsidR="00E02D1B" w:rsidRDefault="00000000">
      <w:pPr>
        <w:numPr>
          <w:ilvl w:val="0"/>
          <w:numId w:val="13"/>
        </w:numPr>
        <w:spacing w:before="0"/>
      </w:pPr>
      <w:r>
        <w:t xml:space="preserve">Members asked for clarification on how to find more clarification and information. Market Rate Non-Energy Benefits has no website. </w:t>
      </w:r>
    </w:p>
    <w:p w14:paraId="1A8608DC" w14:textId="77777777" w:rsidR="00E02D1B" w:rsidRDefault="00000000">
      <w:pPr>
        <w:numPr>
          <w:ilvl w:val="0"/>
          <w:numId w:val="13"/>
        </w:numPr>
        <w:spacing w:before="0"/>
      </w:pPr>
      <w:r>
        <w:t xml:space="preserve">A Member of the Public requested the composition of the WG. </w:t>
      </w:r>
      <w:proofErr w:type="spellStart"/>
      <w:r>
        <w:t>Khurseed</w:t>
      </w:r>
      <w:proofErr w:type="spellEnd"/>
      <w:r>
        <w:t xml:space="preserve"> provided the following list: includes members from BayREN, Rural REN, 3C REN, MCE, PG&amp;E, SoCalGas, IREN, SoCalREN, SD Community Power, </w:t>
      </w:r>
      <w:proofErr w:type="spellStart"/>
      <w:proofErr w:type="gramStart"/>
      <w:r>
        <w:t>SCE,and</w:t>
      </w:r>
      <w:proofErr w:type="spellEnd"/>
      <w:proofErr w:type="gramEnd"/>
      <w:r>
        <w:t xml:space="preserve"> SDG&amp;E/</w:t>
      </w:r>
    </w:p>
    <w:p w14:paraId="230E9918" w14:textId="77777777" w:rsidR="00E02D1B" w:rsidRDefault="00000000">
      <w:pPr>
        <w:numPr>
          <w:ilvl w:val="0"/>
          <w:numId w:val="13"/>
        </w:numPr>
        <w:spacing w:before="0"/>
      </w:pPr>
      <w:r>
        <w:t xml:space="preserve">A Member asked if the Tier 1 Advice Letter is due with recommendations 240 days after the service list announcement. </w:t>
      </w:r>
    </w:p>
    <w:p w14:paraId="0213F7E7" w14:textId="77777777" w:rsidR="00E02D1B" w:rsidRDefault="00000000">
      <w:pPr>
        <w:pStyle w:val="Heading2"/>
      </w:pPr>
      <w:bookmarkStart w:id="25" w:name="_heading=h.oexafa5yhxr7" w:colFirst="0" w:colLast="0"/>
      <w:bookmarkEnd w:id="25"/>
      <w:r>
        <w:t>California Market Transformation Administrator (</w:t>
      </w:r>
      <w:proofErr w:type="spellStart"/>
      <w:r>
        <w:t>CalMTA</w:t>
      </w:r>
      <w:proofErr w:type="spellEnd"/>
      <w:r>
        <w:t>)</w:t>
      </w:r>
    </w:p>
    <w:p w14:paraId="531A05A6" w14:textId="77777777" w:rsidR="00E02D1B" w:rsidRDefault="00000000">
      <w:r>
        <w:t xml:space="preserve">Nils Strindberg of </w:t>
      </w:r>
      <w:hyperlink r:id="rId23">
        <w:proofErr w:type="spellStart"/>
        <w:r>
          <w:rPr>
            <w:color w:val="1155CC"/>
            <w:u w:val="single"/>
          </w:rPr>
          <w:t>CalMTA</w:t>
        </w:r>
        <w:proofErr w:type="spellEnd"/>
      </w:hyperlink>
      <w:r>
        <w:t xml:space="preserve"> presented an update on the Market Transformation Initiatives (MTI) development process. He noted that the ideas are in Phase II, program development include the following ideas: portable/window heat pumps, induction cooktops and ranges, and efficient commercial rooftop units (ERTU). The first two will become Strategy Pilots to quickly inform and test the potential market interventions. </w:t>
      </w:r>
      <w:proofErr w:type="spellStart"/>
      <w:r>
        <w:t>Stindberg</w:t>
      </w:r>
      <w:proofErr w:type="spellEnd"/>
      <w:r>
        <w:t xml:space="preserve"> also noted that </w:t>
      </w:r>
      <w:proofErr w:type="spellStart"/>
      <w:r>
        <w:t>CalMTA</w:t>
      </w:r>
      <w:proofErr w:type="spellEnd"/>
      <w:r>
        <w:t xml:space="preserve"> developed </w:t>
      </w:r>
      <w:proofErr w:type="gramStart"/>
      <w:r>
        <w:t>a</w:t>
      </w:r>
      <w:proofErr w:type="gramEnd"/>
      <w:r>
        <w:t xml:space="preserve"> MTI evaluation framework and in Q4, an Evaluation Advisory Group will be formed.</w:t>
      </w:r>
    </w:p>
    <w:p w14:paraId="28579C02" w14:textId="77777777" w:rsidR="00E02D1B" w:rsidRDefault="00000000">
      <w:pPr>
        <w:pStyle w:val="Heading3"/>
      </w:pPr>
      <w:bookmarkStart w:id="26" w:name="_heading=h.vrn6c3vxmx35" w:colFirst="0" w:colLast="0"/>
      <w:bookmarkEnd w:id="26"/>
      <w:r>
        <w:t>Summary of Discussion</w:t>
      </w:r>
    </w:p>
    <w:p w14:paraId="4408B605" w14:textId="77777777" w:rsidR="00E02D1B" w:rsidRDefault="00000000">
      <w:pPr>
        <w:rPr>
          <w:i/>
        </w:rPr>
      </w:pPr>
      <w:proofErr w:type="spellStart"/>
      <w:r>
        <w:rPr>
          <w:i/>
        </w:rPr>
        <w:t>CalMTA</w:t>
      </w:r>
      <w:proofErr w:type="spellEnd"/>
      <w:r>
        <w:rPr>
          <w:i/>
        </w:rPr>
        <w:t xml:space="preserve"> provided additional responses to specific questions after the meeting and are depicted in italics.</w:t>
      </w:r>
    </w:p>
    <w:p w14:paraId="1D3BA7A0" w14:textId="77777777" w:rsidR="00E02D1B" w:rsidRDefault="00000000">
      <w:pPr>
        <w:numPr>
          <w:ilvl w:val="0"/>
          <w:numId w:val="1"/>
        </w:numPr>
      </w:pPr>
      <w:r>
        <w:t>Facilitator Abrams asked if meetings are open to the public. Strindberg noted that the Market Transformation Advisory Board meetings are open to the public.</w:t>
      </w:r>
    </w:p>
    <w:p w14:paraId="149A5562" w14:textId="77777777" w:rsidR="00E02D1B" w:rsidRDefault="00000000">
      <w:pPr>
        <w:numPr>
          <w:ilvl w:val="0"/>
          <w:numId w:val="1"/>
        </w:numPr>
        <w:spacing w:before="0"/>
      </w:pPr>
      <w:r>
        <w:t xml:space="preserve">A Member of the Public requested clarification on the purpose of </w:t>
      </w:r>
      <w:proofErr w:type="spellStart"/>
      <w:r>
        <w:t>CalMTA</w:t>
      </w:r>
      <w:proofErr w:type="spellEnd"/>
      <w:r>
        <w:t xml:space="preserve">. A Co-Chair responded that it is to solicit and assess initiatives that can advance </w:t>
      </w:r>
      <w:r>
        <w:lastRenderedPageBreak/>
        <w:t xml:space="preserve">market transformation in energy efficiency, summarizing that it’s to advance innovations that aren't currently ready for the market limited to energy efficiency (usually technologies but can be programs/approaches). </w:t>
      </w:r>
    </w:p>
    <w:p w14:paraId="7FCA432D" w14:textId="77777777" w:rsidR="00E02D1B" w:rsidRDefault="00000000">
      <w:pPr>
        <w:numPr>
          <w:ilvl w:val="1"/>
          <w:numId w:val="1"/>
        </w:numPr>
        <w:spacing w:before="0"/>
        <w:rPr>
          <w:i/>
        </w:rPr>
      </w:pPr>
      <w:proofErr w:type="spellStart"/>
      <w:r>
        <w:rPr>
          <w:i/>
        </w:rPr>
        <w:t>CalMTA</w:t>
      </w:r>
      <w:proofErr w:type="spellEnd"/>
      <w:r>
        <w:rPr>
          <w:i/>
        </w:rPr>
        <w:t xml:space="preserve"> develops and manages market transformation initiatives in the state to increase energy efficiency and reduce GHG emissions by driving market adoption of selected technologies and practices. </w:t>
      </w:r>
      <w:proofErr w:type="spellStart"/>
      <w:r>
        <w:rPr>
          <w:i/>
        </w:rPr>
        <w:t>CalMTA’s</w:t>
      </w:r>
      <w:proofErr w:type="spellEnd"/>
      <w:r>
        <w:rPr>
          <w:i/>
        </w:rPr>
        <w:t xml:space="preserve"> work also supports statewide goals for grid flexibility, workforce development, and equity. More information is available at </w:t>
      </w:r>
      <w:hyperlink r:id="rId24">
        <w:r>
          <w:rPr>
            <w:i/>
            <w:color w:val="1155CC"/>
            <w:u w:val="single"/>
          </w:rPr>
          <w:t>calmta.org</w:t>
        </w:r>
      </w:hyperlink>
      <w:r>
        <w:rPr>
          <w:i/>
        </w:rPr>
        <w:t>.</w:t>
      </w:r>
    </w:p>
    <w:p w14:paraId="0D80067E" w14:textId="77777777" w:rsidR="00E02D1B" w:rsidRDefault="00000000">
      <w:pPr>
        <w:numPr>
          <w:ilvl w:val="0"/>
          <w:numId w:val="1"/>
        </w:numPr>
        <w:spacing w:before="0"/>
      </w:pPr>
      <w:r>
        <w:t xml:space="preserve">A Member of the Public asked why it takes a year to arrive at a "decision".  A Member of ED noted that to arrive at a decision, there is a regulatory process which includes analysis and various rounds of public comment. Noted that the process can be </w:t>
      </w:r>
      <w:proofErr w:type="gramStart"/>
      <w:r>
        <w:t>more or less time-consuming</w:t>
      </w:r>
      <w:proofErr w:type="gramEnd"/>
      <w:r>
        <w:t xml:space="preserve"> depending on how complicated and controversial the application is. A Member clarified that most CPUC decisions, even beyond EE, can take up to a year because of the lengthy regulatory process.</w:t>
      </w:r>
    </w:p>
    <w:p w14:paraId="0385CDE5" w14:textId="77777777" w:rsidR="00E02D1B" w:rsidRDefault="00000000">
      <w:pPr>
        <w:numPr>
          <w:ilvl w:val="1"/>
          <w:numId w:val="1"/>
        </w:numPr>
        <w:spacing w:before="0"/>
      </w:pPr>
      <w:r>
        <w:rPr>
          <w:i/>
        </w:rPr>
        <w:t xml:space="preserve">The “decision” is made by the CPUC and must follow the CPUC’s processes. As a result, </w:t>
      </w:r>
      <w:proofErr w:type="spellStart"/>
      <w:r>
        <w:rPr>
          <w:i/>
        </w:rPr>
        <w:t>CalMTA</w:t>
      </w:r>
      <w:proofErr w:type="spellEnd"/>
      <w:r>
        <w:rPr>
          <w:i/>
        </w:rPr>
        <w:t xml:space="preserve"> estimates approximately one year from filing our market transformation initiative (MTI) application to receiving the CPUC Commission’s approval. This year-long estimate factors in the multiple stages of the application process, including public input, review by CPUC staff, the drafting of a proposed decision and additional public input on the proposed decision, and a vote by the CPUC Commissioners on the decision. While the CPUC Decision that resulted in </w:t>
      </w:r>
      <w:proofErr w:type="spellStart"/>
      <w:r>
        <w:rPr>
          <w:i/>
        </w:rPr>
        <w:t>CalMTA’s</w:t>
      </w:r>
      <w:proofErr w:type="spellEnd"/>
      <w:r>
        <w:rPr>
          <w:i/>
        </w:rPr>
        <w:t xml:space="preserve"> creation estimates 6-9 months for approval of the application, based on the experience of other energy efficiency applications, the entire process can take a year or more.</w:t>
      </w:r>
    </w:p>
    <w:p w14:paraId="3F386D8F" w14:textId="77777777" w:rsidR="00E02D1B" w:rsidRDefault="00000000">
      <w:pPr>
        <w:numPr>
          <w:ilvl w:val="0"/>
          <w:numId w:val="1"/>
        </w:numPr>
        <w:spacing w:before="0"/>
      </w:pPr>
      <w:r>
        <w:t xml:space="preserve">A Member of the public requested clarification if the composition of the decision-making bodies is inclusive, equitable, and diverse? A Member provided a link to the </w:t>
      </w:r>
      <w:hyperlink r:id="rId25">
        <w:r>
          <w:rPr>
            <w:color w:val="1155CC"/>
            <w:u w:val="single"/>
          </w:rPr>
          <w:t>Advisory Board</w:t>
        </w:r>
      </w:hyperlink>
      <w:r>
        <w:t xml:space="preserve">. Facilitator Sikand noted that the </w:t>
      </w:r>
      <w:proofErr w:type="spellStart"/>
      <w:r>
        <w:t>CalMTA</w:t>
      </w:r>
      <w:proofErr w:type="spellEnd"/>
      <w:r>
        <w:t xml:space="preserve"> when through an </w:t>
      </w:r>
      <w:hyperlink r:id="rId26">
        <w:r>
          <w:rPr>
            <w:color w:val="1155CC"/>
            <w:u w:val="single"/>
          </w:rPr>
          <w:t>engagement process</w:t>
        </w:r>
      </w:hyperlink>
      <w:r>
        <w:t xml:space="preserve"> for developing their recommendations.</w:t>
      </w:r>
    </w:p>
    <w:p w14:paraId="72CFD698" w14:textId="77777777" w:rsidR="00E02D1B" w:rsidRDefault="00000000">
      <w:pPr>
        <w:numPr>
          <w:ilvl w:val="1"/>
          <w:numId w:val="1"/>
        </w:numPr>
        <w:spacing w:before="0"/>
        <w:rPr>
          <w:i/>
        </w:rPr>
      </w:pPr>
      <w:r>
        <w:rPr>
          <w:i/>
        </w:rPr>
        <w:t xml:space="preserve">We don’t know the answer to this question. Decisions related to forming </w:t>
      </w:r>
      <w:proofErr w:type="spellStart"/>
      <w:r>
        <w:rPr>
          <w:i/>
        </w:rPr>
        <w:t>CalMTA</w:t>
      </w:r>
      <w:proofErr w:type="spellEnd"/>
      <w:r>
        <w:rPr>
          <w:i/>
        </w:rPr>
        <w:t xml:space="preserve"> and approving the application to be filed at the end of 2024 are made by the CPUC Commissioners. Questions about the CPUC’s composition will need to be directed to them.</w:t>
      </w:r>
    </w:p>
    <w:p w14:paraId="2A6888A5" w14:textId="77777777" w:rsidR="00E02D1B" w:rsidRDefault="00000000">
      <w:pPr>
        <w:numPr>
          <w:ilvl w:val="0"/>
          <w:numId w:val="1"/>
        </w:numPr>
        <w:spacing w:before="0"/>
      </w:pPr>
      <w:r>
        <w:t xml:space="preserve">A Member of the Public asked about the segment this work falls into and the source of funding. A Member of ED noted that while MTA focuses on EE, it is funded outside of the EE Portfolio and therefore, it is not included in any segment. A Member of ED elaborated that the segmentation (Resource Acquisition, Market Support, Equity) applies to energy efficiency programs administered by utilities or Regional Energy Networks and hence does not apply to </w:t>
      </w:r>
      <w:proofErr w:type="spellStart"/>
      <w:r>
        <w:t>CalMTA</w:t>
      </w:r>
      <w:proofErr w:type="spellEnd"/>
      <w:r>
        <w:t xml:space="preserve">.  </w:t>
      </w:r>
    </w:p>
    <w:p w14:paraId="074EEC59" w14:textId="77777777" w:rsidR="00E02D1B" w:rsidRDefault="00000000">
      <w:pPr>
        <w:numPr>
          <w:ilvl w:val="1"/>
          <w:numId w:val="1"/>
        </w:numPr>
        <w:spacing w:before="0"/>
        <w:rPr>
          <w:i/>
        </w:rPr>
      </w:pPr>
      <w:proofErr w:type="spellStart"/>
      <w:r>
        <w:rPr>
          <w:i/>
        </w:rPr>
        <w:t>CalMTA</w:t>
      </w:r>
      <w:proofErr w:type="spellEnd"/>
      <w:r>
        <w:rPr>
          <w:i/>
        </w:rPr>
        <w:t xml:space="preserve"> is not categorized in one of the three energy efficiency portfolio segments created in </w:t>
      </w:r>
      <w:hyperlink r:id="rId27">
        <w:r>
          <w:rPr>
            <w:i/>
            <w:color w:val="1155CC"/>
            <w:u w:val="single"/>
          </w:rPr>
          <w:t>Decision 21-05-031</w:t>
        </w:r>
      </w:hyperlink>
      <w:r>
        <w:rPr>
          <w:i/>
        </w:rPr>
        <w:t>. The CPUC may be able to answer any further questions you have on this.</w:t>
      </w:r>
    </w:p>
    <w:p w14:paraId="79CDD3F7" w14:textId="77777777" w:rsidR="00E02D1B" w:rsidRDefault="00000000">
      <w:pPr>
        <w:numPr>
          <w:ilvl w:val="1"/>
          <w:numId w:val="1"/>
        </w:numPr>
        <w:spacing w:before="0"/>
        <w:rPr>
          <w:i/>
        </w:rPr>
      </w:pPr>
      <w:proofErr w:type="spellStart"/>
      <w:r>
        <w:rPr>
          <w:i/>
        </w:rPr>
        <w:t>CalMTA</w:t>
      </w:r>
      <w:proofErr w:type="spellEnd"/>
      <w:r>
        <w:rPr>
          <w:i/>
        </w:rPr>
        <w:t xml:space="preserve"> is funded through the public purpose program surcharge.</w:t>
      </w:r>
    </w:p>
    <w:p w14:paraId="6849AF6D" w14:textId="77777777" w:rsidR="00E02D1B" w:rsidRDefault="00000000">
      <w:pPr>
        <w:numPr>
          <w:ilvl w:val="0"/>
          <w:numId w:val="1"/>
        </w:numPr>
        <w:spacing w:before="0"/>
      </w:pPr>
      <w:r>
        <w:t xml:space="preserve">A Member of the Public noted excitement that heat pump water heaters are being taken up by </w:t>
      </w:r>
      <w:proofErr w:type="spellStart"/>
      <w:r>
        <w:t>CalMTA</w:t>
      </w:r>
      <w:proofErr w:type="spellEnd"/>
      <w:r>
        <w:t xml:space="preserve">. </w:t>
      </w:r>
    </w:p>
    <w:p w14:paraId="6DDBDCCF" w14:textId="77777777" w:rsidR="00E02D1B" w:rsidRDefault="00000000">
      <w:pPr>
        <w:numPr>
          <w:ilvl w:val="0"/>
          <w:numId w:val="1"/>
        </w:numPr>
        <w:spacing w:before="0"/>
      </w:pPr>
      <w:r>
        <w:lastRenderedPageBreak/>
        <w:t xml:space="preserve">A Member of ED asked for the proceeding number and the application process. Strindberg noted that the market transformation framework in D.1912021 was adopted under the energy efficiency proceeding. Strindberg assumed that if </w:t>
      </w:r>
      <w:proofErr w:type="spellStart"/>
      <w:r>
        <w:t>CalMTA</w:t>
      </w:r>
      <w:proofErr w:type="spellEnd"/>
      <w:r>
        <w:t xml:space="preserve"> files an application, it could create a new application and thus a new proceeding. A Member of ED noted that this process would be </w:t>
      </w:r>
      <w:proofErr w:type="gramStart"/>
      <w:r>
        <w:t>similar to</w:t>
      </w:r>
      <w:proofErr w:type="gramEnd"/>
      <w:r>
        <w:t xml:space="preserve"> a PA requesting to use ratepayer funds but in a smaller-scoped proceeding. Strindberg agreed it would have all the same processes in any application proceeding including an Order Instituting Rulemaking, Application filings, Comments, Pre-hearing conference, Proposed Decision, and a Decision. Strindberg summarized that all of this could take a year and that the money has already been allocated. Noted the decision would likely approve the Market Transformation Initiatives, policy requests, and to ensure the budget is reasonable.</w:t>
      </w:r>
    </w:p>
    <w:p w14:paraId="26B2E6D7" w14:textId="77777777" w:rsidR="00E02D1B" w:rsidRDefault="00000000">
      <w:pPr>
        <w:numPr>
          <w:ilvl w:val="1"/>
          <w:numId w:val="1"/>
        </w:numPr>
        <w:spacing w:before="0"/>
        <w:rPr>
          <w:i/>
        </w:rPr>
      </w:pPr>
      <w:r>
        <w:rPr>
          <w:i/>
        </w:rPr>
        <w:t xml:space="preserve">The CPUC established a comprehensive market transformation framework in </w:t>
      </w:r>
      <w:hyperlink r:id="rId28">
        <w:r>
          <w:rPr>
            <w:i/>
            <w:color w:val="1155CC"/>
            <w:u w:val="single"/>
          </w:rPr>
          <w:t>Decision 19-12-021</w:t>
        </w:r>
      </w:hyperlink>
      <w:r>
        <w:rPr>
          <w:i/>
        </w:rPr>
        <w:t xml:space="preserve"> (issued on December 12, 2019) and also oversees the process used to review and approve applications. This Decision was adopted under the current energy efficiency proceeding, </w:t>
      </w:r>
      <w:hyperlink r:id="rId29">
        <w:r>
          <w:rPr>
            <w:i/>
            <w:color w:val="1155CC"/>
            <w:u w:val="single"/>
          </w:rPr>
          <w:t>R.13-11-005</w:t>
        </w:r>
      </w:hyperlink>
      <w:r>
        <w:rPr>
          <w:i/>
        </w:rPr>
        <w:t>.</w:t>
      </w:r>
    </w:p>
    <w:p w14:paraId="384E8053" w14:textId="77777777" w:rsidR="00E02D1B" w:rsidRDefault="00000000">
      <w:pPr>
        <w:numPr>
          <w:ilvl w:val="0"/>
          <w:numId w:val="1"/>
        </w:numPr>
        <w:spacing w:before="0"/>
      </w:pPr>
      <w:r>
        <w:t xml:space="preserve">A Member of the Public requested the budget for </w:t>
      </w:r>
      <w:proofErr w:type="spellStart"/>
      <w:r>
        <w:t>CalMTA</w:t>
      </w:r>
      <w:proofErr w:type="spellEnd"/>
      <w:r>
        <w:t xml:space="preserve">. A Member noted that the budget is already approved and noted the Application just approves the initiatives in hopes they will transform the market. The Member clarified this all comes from Public Purpose Program Surcharge funding via energy efficiency budgets. Strindberg clarified that </w:t>
      </w:r>
      <w:proofErr w:type="spellStart"/>
      <w:r>
        <w:t>CalMTA</w:t>
      </w:r>
      <w:proofErr w:type="spellEnd"/>
      <w:r>
        <w:t xml:space="preserve"> has about $300M over the course of eight years.</w:t>
      </w:r>
    </w:p>
    <w:p w14:paraId="369DCF2A" w14:textId="77777777" w:rsidR="00E02D1B" w:rsidRDefault="00000000">
      <w:pPr>
        <w:numPr>
          <w:ilvl w:val="1"/>
          <w:numId w:val="1"/>
        </w:numPr>
        <w:spacing w:before="0"/>
        <w:rPr>
          <w:i/>
        </w:rPr>
      </w:pPr>
      <w:r>
        <w:rPr>
          <w:i/>
        </w:rPr>
        <w:t xml:space="preserve">As approved in D.19-12-021, the CPUC allocated a start-up budget of $60M over three years and $250M over five years for </w:t>
      </w:r>
      <w:proofErr w:type="spellStart"/>
      <w:r>
        <w:rPr>
          <w:i/>
        </w:rPr>
        <w:t>CalMTA</w:t>
      </w:r>
      <w:proofErr w:type="spellEnd"/>
      <w:r>
        <w:rPr>
          <w:i/>
        </w:rPr>
        <w:t xml:space="preserve">. </w:t>
      </w:r>
      <w:proofErr w:type="spellStart"/>
      <w:r>
        <w:rPr>
          <w:i/>
        </w:rPr>
        <w:t>CalMTA’s</w:t>
      </w:r>
      <w:proofErr w:type="spellEnd"/>
      <w:r>
        <w:rPr>
          <w:i/>
        </w:rPr>
        <w:t xml:space="preserve"> CPUC-approved </w:t>
      </w:r>
      <w:hyperlink r:id="rId30">
        <w:r>
          <w:rPr>
            <w:i/>
            <w:color w:val="1155CC"/>
            <w:u w:val="single"/>
          </w:rPr>
          <w:t>2024 energy efficiency annual budget advice letter</w:t>
        </w:r>
      </w:hyperlink>
      <w:r>
        <w:rPr>
          <w:i/>
        </w:rPr>
        <w:t xml:space="preserve"> (ABAL) can be found on our website.</w:t>
      </w:r>
    </w:p>
    <w:p w14:paraId="5F213E05" w14:textId="77777777" w:rsidR="00E02D1B" w:rsidRDefault="00000000">
      <w:pPr>
        <w:numPr>
          <w:ilvl w:val="0"/>
          <w:numId w:val="1"/>
        </w:numPr>
        <w:spacing w:before="0"/>
      </w:pPr>
      <w:r>
        <w:t>A Member of the Public asked for the difference between ratepayer funding and the public purpose charge funds that come from ratepayers.</w:t>
      </w:r>
    </w:p>
    <w:p w14:paraId="195535C3" w14:textId="77777777" w:rsidR="00E02D1B" w:rsidRDefault="00000000">
      <w:pPr>
        <w:numPr>
          <w:ilvl w:val="1"/>
          <w:numId w:val="1"/>
        </w:numPr>
        <w:spacing w:before="0"/>
        <w:rPr>
          <w:i/>
        </w:rPr>
      </w:pPr>
      <w:r>
        <w:rPr>
          <w:i/>
        </w:rPr>
        <w:t>The public purpose program surcharge is ratepayer funding that is used to fund various public purpose programs.</w:t>
      </w:r>
    </w:p>
    <w:p w14:paraId="74FC3B8D" w14:textId="77777777" w:rsidR="00E02D1B" w:rsidRDefault="00000000">
      <w:pPr>
        <w:pStyle w:val="Heading2"/>
      </w:pPr>
      <w:bookmarkStart w:id="27" w:name="_heading=h.exr934huu8rp" w:colFirst="0" w:colLast="0"/>
      <w:bookmarkEnd w:id="27"/>
      <w:r>
        <w:t>Optional Assembly Evaluation</w:t>
      </w:r>
    </w:p>
    <w:p w14:paraId="0B857587" w14:textId="77777777" w:rsidR="00E02D1B" w:rsidRDefault="00000000">
      <w:r>
        <w:t>Abrams closed the meeting with a brief live-meeting evaluation of the Optional Assembly. Participants noted the Assembly felt both safe and effective.</w:t>
      </w:r>
    </w:p>
    <w:p w14:paraId="19FA85B3" w14:textId="77777777" w:rsidR="00E02D1B" w:rsidRDefault="00000000">
      <w:r>
        <w:rPr>
          <w:noProof/>
        </w:rPr>
        <w:drawing>
          <wp:inline distT="114300" distB="114300" distL="114300" distR="114300" wp14:anchorId="637D499F" wp14:editId="587E506C">
            <wp:extent cx="2555264" cy="1547813"/>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2555264" cy="1547813"/>
                    </a:xfrm>
                    <a:prstGeom prst="rect">
                      <a:avLst/>
                    </a:prstGeom>
                    <a:ln/>
                  </pic:spPr>
                </pic:pic>
              </a:graphicData>
            </a:graphic>
          </wp:inline>
        </w:drawing>
      </w:r>
      <w:r>
        <w:rPr>
          <w:noProof/>
        </w:rPr>
        <w:drawing>
          <wp:inline distT="114300" distB="114300" distL="114300" distR="114300" wp14:anchorId="00E01C26" wp14:editId="30A49A46">
            <wp:extent cx="2352395" cy="1481138"/>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352395" cy="1481138"/>
                    </a:xfrm>
                    <a:prstGeom prst="rect">
                      <a:avLst/>
                    </a:prstGeom>
                    <a:ln/>
                  </pic:spPr>
                </pic:pic>
              </a:graphicData>
            </a:graphic>
          </wp:inline>
        </w:drawing>
      </w:r>
    </w:p>
    <w:p w14:paraId="3AE7ECB5" w14:textId="77777777" w:rsidR="00E02D1B" w:rsidRDefault="00000000">
      <w:pPr>
        <w:pStyle w:val="Heading1"/>
        <w:spacing w:after="200"/>
      </w:pPr>
      <w:bookmarkStart w:id="28" w:name="_heading=h.9y7htp7lewl3" w:colFirst="0" w:colLast="0"/>
      <w:bookmarkEnd w:id="28"/>
      <w:r>
        <w:lastRenderedPageBreak/>
        <w:t>Notes</w:t>
      </w:r>
    </w:p>
    <w:p w14:paraId="6E70BCEF" w14:textId="77777777" w:rsidR="00E02D1B" w:rsidRDefault="00000000">
      <w:pPr>
        <w:spacing w:after="200"/>
      </w:pPr>
      <w:r>
        <w:t>Throughout the Meeting, Members of the Public raised both technical and process concerns, which are captured below.</w:t>
      </w:r>
    </w:p>
    <w:p w14:paraId="760D0D37" w14:textId="77777777" w:rsidR="00E02D1B" w:rsidRDefault="00000000">
      <w:pPr>
        <w:numPr>
          <w:ilvl w:val="0"/>
          <w:numId w:val="12"/>
        </w:numPr>
      </w:pPr>
      <w:r>
        <w:t xml:space="preserve">Members of the Public raised technical issues about certain access settings regarding the Chat and Video that were soon resolved and/or addressed. </w:t>
      </w:r>
    </w:p>
    <w:p w14:paraId="6DC0E280" w14:textId="77777777" w:rsidR="00E02D1B" w:rsidRDefault="00000000">
      <w:pPr>
        <w:numPr>
          <w:ilvl w:val="0"/>
          <w:numId w:val="12"/>
        </w:numPr>
        <w:spacing w:before="0"/>
      </w:pPr>
      <w:r>
        <w:t xml:space="preserve">Members of the Public requested that verbally answered chat questions be accessible to the Public. </w:t>
      </w:r>
      <w:r>
        <w:rPr>
          <w:i/>
        </w:rPr>
        <w:t>The Facilitation Team notes that chat question responses are captured in this Meeting Summary as they have been.</w:t>
      </w:r>
    </w:p>
    <w:p w14:paraId="1BBE3B84" w14:textId="77777777" w:rsidR="00E02D1B" w:rsidRDefault="00000000">
      <w:pPr>
        <w:numPr>
          <w:ilvl w:val="0"/>
          <w:numId w:val="12"/>
        </w:numPr>
        <w:spacing w:before="0"/>
      </w:pPr>
      <w:r>
        <w:t xml:space="preserve">Members of the Public raised concern about certain presentations and where those were located. </w:t>
      </w:r>
      <w:r>
        <w:rPr>
          <w:i/>
        </w:rPr>
        <w:t>All documents related to meetings are posted on the Meeting Webpage five days prior to the Meeting. Additionally, this Summary and the Live-edited Slide Deck will be posted to the Meeting Webpage. A Co-Chair also suggested adding references in the Slide Deck, which the Facilitation Team is exploring.</w:t>
      </w:r>
    </w:p>
    <w:p w14:paraId="6BFE09E5" w14:textId="77777777" w:rsidR="00E02D1B" w:rsidRDefault="00000000">
      <w:pPr>
        <w:numPr>
          <w:ilvl w:val="0"/>
          <w:numId w:val="12"/>
        </w:numPr>
        <w:spacing w:before="0"/>
      </w:pPr>
      <w:r>
        <w:t xml:space="preserve">Members of the Public requested CAEECC Members state their name and organization as their Zoom name. </w:t>
      </w:r>
      <w:r>
        <w:rPr>
          <w:i/>
        </w:rPr>
        <w:t xml:space="preserve">While the Facilitation Team requests each participant adds affiliation, the Facilitation Team will, moving forward, rename CAEECC Members who do not do so already.  </w:t>
      </w:r>
    </w:p>
    <w:p w14:paraId="0BCE9952" w14:textId="77777777" w:rsidR="00E02D1B" w:rsidRDefault="00000000">
      <w:pPr>
        <w:numPr>
          <w:ilvl w:val="0"/>
          <w:numId w:val="12"/>
        </w:numPr>
        <w:spacing w:before="0"/>
      </w:pPr>
      <w:r>
        <w:t xml:space="preserve">Members of the Public requested transparency in the meeting as it pertains to number of participants, participant names, videos, private-chatting, and voting. </w:t>
      </w:r>
      <w:r>
        <w:rPr>
          <w:i/>
        </w:rPr>
        <w:t xml:space="preserve">The Facilitation Team is limited by the Zoom Webinar platform on some of these </w:t>
      </w:r>
      <w:proofErr w:type="gramStart"/>
      <w:r>
        <w:rPr>
          <w:i/>
        </w:rPr>
        <w:t>requests, but</w:t>
      </w:r>
      <w:proofErr w:type="gramEnd"/>
      <w:r>
        <w:rPr>
          <w:i/>
        </w:rPr>
        <w:t xml:space="preserve"> will work to provide transparency where feasible.</w:t>
      </w:r>
    </w:p>
    <w:p w14:paraId="0FDC8D53" w14:textId="77777777" w:rsidR="00E02D1B" w:rsidRDefault="00000000">
      <w:pPr>
        <w:numPr>
          <w:ilvl w:val="0"/>
          <w:numId w:val="12"/>
        </w:numPr>
        <w:spacing w:before="0" w:after="200"/>
      </w:pPr>
      <w:r>
        <w:t xml:space="preserve">A Member of the Public asked for clarification when Full CAEECC Quarterly Meetings were turned from Zoom Meetings to Zoom Webinars. </w:t>
      </w:r>
      <w:r>
        <w:rPr>
          <w:i/>
        </w:rPr>
        <w:t xml:space="preserve">Full CAEECC Quarterly Meetings are conducted via Zoom Webinar with CAEECC Leads and Ex-officio as Panelists. Zoom Webinar functionality for Attendees allows Attendees to use the chat and see the video, however, does not allow for individual messaging. CAEECC has used Zoom Webinar or </w:t>
      </w:r>
      <w:proofErr w:type="spellStart"/>
      <w:r>
        <w:rPr>
          <w:i/>
        </w:rPr>
        <w:t>GoTo</w:t>
      </w:r>
      <w:proofErr w:type="spellEnd"/>
      <w:r>
        <w:rPr>
          <w:i/>
        </w:rPr>
        <w:t xml:space="preserve"> Webinar for all Full CAEECC Meetings since 2022, </w:t>
      </w:r>
      <w:proofErr w:type="gramStart"/>
      <w:r>
        <w:rPr>
          <w:i/>
        </w:rPr>
        <w:t>with the exception of</w:t>
      </w:r>
      <w:proofErr w:type="gramEnd"/>
      <w:r>
        <w:rPr>
          <w:i/>
        </w:rPr>
        <w:t xml:space="preserve"> the Q3 2023 Full CAEECC Meeting that was hybrid via Microsoft Teams due to the onsite location’s security protocol. </w:t>
      </w:r>
    </w:p>
    <w:p w14:paraId="1B2654EA" w14:textId="77777777" w:rsidR="00E02D1B" w:rsidRDefault="00000000">
      <w:pPr>
        <w:spacing w:after="200"/>
      </w:pPr>
      <w:r>
        <w:t>The CAEECC Co-Chairs and Facilitation Team will further explore CAEECC Meeting functionality.</w:t>
      </w:r>
      <w:r>
        <w:br w:type="page"/>
      </w:r>
    </w:p>
    <w:p w14:paraId="28944B7C" w14:textId="77777777" w:rsidR="00E02D1B" w:rsidRDefault="00000000">
      <w:pPr>
        <w:pStyle w:val="Heading1"/>
        <w:spacing w:after="200"/>
      </w:pPr>
      <w:bookmarkStart w:id="29" w:name="_heading=h.1ci93xb" w:colFirst="0" w:colLast="0"/>
      <w:bookmarkEnd w:id="29"/>
      <w:r>
        <w:lastRenderedPageBreak/>
        <w:t>Appendix A: Attendees</w:t>
      </w:r>
    </w:p>
    <w:tbl>
      <w:tblPr>
        <w:tblStyle w:val="a5"/>
        <w:tblW w:w="898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5310"/>
        <w:gridCol w:w="3675"/>
      </w:tblGrid>
      <w:tr w:rsidR="00E02D1B" w14:paraId="0BD40E23" w14:textId="77777777">
        <w:trPr>
          <w:trHeight w:val="320"/>
          <w:tblHeader/>
          <w:jc w:val="center"/>
        </w:trPr>
        <w:tc>
          <w:tcPr>
            <w:tcW w:w="5310"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5C20898B" w14:textId="77777777" w:rsidR="00E02D1B" w:rsidRDefault="00000000">
            <w:pPr>
              <w:spacing w:before="0"/>
              <w:ind w:left="90"/>
              <w:rPr>
                <w:b/>
                <w:color w:val="223053"/>
              </w:rPr>
            </w:pPr>
            <w:r>
              <w:rPr>
                <w:b/>
                <w:color w:val="223053"/>
              </w:rPr>
              <w:lastRenderedPageBreak/>
              <w:t>Organization</w:t>
            </w:r>
          </w:p>
        </w:tc>
        <w:tc>
          <w:tcPr>
            <w:tcW w:w="3675"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67498DDC" w14:textId="77777777" w:rsidR="00E02D1B" w:rsidRDefault="00000000">
            <w:pPr>
              <w:spacing w:before="0"/>
              <w:ind w:left="90"/>
              <w:rPr>
                <w:b/>
                <w:color w:val="223053"/>
              </w:rPr>
            </w:pPr>
            <w:r>
              <w:rPr>
                <w:b/>
                <w:color w:val="223053"/>
              </w:rPr>
              <w:t>Name</w:t>
            </w:r>
          </w:p>
        </w:tc>
      </w:tr>
      <w:tr w:rsidR="00E02D1B" w14:paraId="50DCE288" w14:textId="77777777">
        <w:trPr>
          <w:trHeight w:val="320"/>
          <w:tblHeader/>
          <w:jc w:val="center"/>
        </w:trPr>
        <w:tc>
          <w:tcPr>
            <w:tcW w:w="5310" w:type="dxa"/>
            <w:shd w:val="clear" w:color="auto" w:fill="B4C6E7"/>
            <w:vAlign w:val="bottom"/>
          </w:tcPr>
          <w:p w14:paraId="612F06B1" w14:textId="77777777" w:rsidR="00E02D1B" w:rsidRDefault="00000000">
            <w:pPr>
              <w:spacing w:before="0"/>
              <w:rPr>
                <w:b/>
                <w:color w:val="002060"/>
              </w:rPr>
            </w:pPr>
            <w:r>
              <w:rPr>
                <w:b/>
                <w:color w:val="002060"/>
              </w:rPr>
              <w:t xml:space="preserve">CAEECC Members  </w:t>
            </w:r>
          </w:p>
        </w:tc>
        <w:tc>
          <w:tcPr>
            <w:tcW w:w="3675" w:type="dxa"/>
            <w:shd w:val="clear" w:color="auto" w:fill="B4C6E7"/>
            <w:vAlign w:val="bottom"/>
          </w:tcPr>
          <w:p w14:paraId="6420940F" w14:textId="77777777" w:rsidR="00E02D1B" w:rsidRDefault="00E02D1B">
            <w:pPr>
              <w:spacing w:before="0"/>
              <w:rPr>
                <w:color w:val="002060"/>
              </w:rPr>
            </w:pPr>
          </w:p>
        </w:tc>
      </w:tr>
      <w:tr w:rsidR="00E02D1B" w14:paraId="3A3B4C3D" w14:textId="77777777">
        <w:trPr>
          <w:trHeight w:val="320"/>
          <w:tblHeader/>
          <w:jc w:val="center"/>
        </w:trPr>
        <w:tc>
          <w:tcPr>
            <w:tcW w:w="5310" w:type="dxa"/>
            <w:shd w:val="clear" w:color="auto" w:fill="auto"/>
            <w:vAlign w:val="bottom"/>
          </w:tcPr>
          <w:p w14:paraId="44EB6880" w14:textId="77777777" w:rsidR="00E02D1B" w:rsidRDefault="00000000">
            <w:pPr>
              <w:spacing w:before="0"/>
              <w:rPr>
                <w:color w:val="002060"/>
              </w:rPr>
            </w:pPr>
            <w:r>
              <w:rPr>
                <w:color w:val="002060"/>
              </w:rPr>
              <w:t>3C-REN</w:t>
            </w:r>
          </w:p>
        </w:tc>
        <w:tc>
          <w:tcPr>
            <w:tcW w:w="3675" w:type="dxa"/>
            <w:shd w:val="clear" w:color="auto" w:fill="auto"/>
            <w:vAlign w:val="bottom"/>
          </w:tcPr>
          <w:p w14:paraId="1614E253" w14:textId="77777777" w:rsidR="00E02D1B" w:rsidRDefault="00000000">
            <w:pPr>
              <w:spacing w:before="0"/>
              <w:rPr>
                <w:color w:val="002060"/>
              </w:rPr>
            </w:pPr>
            <w:r>
              <w:rPr>
                <w:color w:val="002060"/>
              </w:rPr>
              <w:t>Alejandra Tellez</w:t>
            </w:r>
          </w:p>
        </w:tc>
      </w:tr>
      <w:tr w:rsidR="00E02D1B" w14:paraId="1C4F4F49" w14:textId="77777777">
        <w:trPr>
          <w:trHeight w:val="320"/>
          <w:tblHeader/>
          <w:jc w:val="center"/>
        </w:trPr>
        <w:tc>
          <w:tcPr>
            <w:tcW w:w="5310" w:type="dxa"/>
            <w:shd w:val="clear" w:color="auto" w:fill="auto"/>
            <w:vAlign w:val="bottom"/>
          </w:tcPr>
          <w:p w14:paraId="0FE8A1F2" w14:textId="77777777" w:rsidR="00E02D1B" w:rsidRDefault="00000000">
            <w:pPr>
              <w:spacing w:before="0"/>
              <w:rPr>
                <w:color w:val="002060"/>
              </w:rPr>
            </w:pPr>
            <w:r>
              <w:rPr>
                <w:color w:val="002060"/>
              </w:rPr>
              <w:t>BayREN</w:t>
            </w:r>
          </w:p>
        </w:tc>
        <w:tc>
          <w:tcPr>
            <w:tcW w:w="3675" w:type="dxa"/>
            <w:shd w:val="clear" w:color="auto" w:fill="auto"/>
            <w:vAlign w:val="bottom"/>
          </w:tcPr>
          <w:p w14:paraId="6A9975F6" w14:textId="77777777" w:rsidR="00E02D1B" w:rsidRDefault="00000000">
            <w:pPr>
              <w:spacing w:before="0"/>
              <w:rPr>
                <w:color w:val="002060"/>
              </w:rPr>
            </w:pPr>
            <w:r>
              <w:rPr>
                <w:color w:val="002060"/>
              </w:rPr>
              <w:t>Jane Elias</w:t>
            </w:r>
          </w:p>
        </w:tc>
      </w:tr>
      <w:tr w:rsidR="00E02D1B" w14:paraId="0F223B17" w14:textId="77777777">
        <w:trPr>
          <w:trHeight w:val="320"/>
          <w:tblHeader/>
          <w:jc w:val="center"/>
        </w:trPr>
        <w:tc>
          <w:tcPr>
            <w:tcW w:w="5310" w:type="dxa"/>
            <w:shd w:val="clear" w:color="auto" w:fill="auto"/>
            <w:vAlign w:val="bottom"/>
          </w:tcPr>
          <w:p w14:paraId="29A17318" w14:textId="77777777" w:rsidR="00E02D1B" w:rsidRDefault="00000000">
            <w:pPr>
              <w:spacing w:before="0"/>
              <w:rPr>
                <w:color w:val="002060"/>
              </w:rPr>
            </w:pPr>
            <w:r>
              <w:rPr>
                <w:color w:val="002060"/>
              </w:rPr>
              <w:t>Code Cycle</w:t>
            </w:r>
          </w:p>
        </w:tc>
        <w:tc>
          <w:tcPr>
            <w:tcW w:w="3675" w:type="dxa"/>
            <w:shd w:val="clear" w:color="auto" w:fill="auto"/>
            <w:vAlign w:val="bottom"/>
          </w:tcPr>
          <w:p w14:paraId="31C935D0" w14:textId="77777777" w:rsidR="00E02D1B" w:rsidRDefault="00000000">
            <w:pPr>
              <w:spacing w:before="0"/>
              <w:rPr>
                <w:color w:val="002060"/>
              </w:rPr>
            </w:pPr>
            <w:r>
              <w:rPr>
                <w:color w:val="002060"/>
              </w:rPr>
              <w:t>Dan Suyeyasu</w:t>
            </w:r>
          </w:p>
        </w:tc>
      </w:tr>
      <w:tr w:rsidR="00E02D1B" w14:paraId="51BAC4FE" w14:textId="77777777">
        <w:trPr>
          <w:trHeight w:val="320"/>
          <w:tblHeader/>
          <w:jc w:val="center"/>
        </w:trPr>
        <w:tc>
          <w:tcPr>
            <w:tcW w:w="5310" w:type="dxa"/>
            <w:shd w:val="clear" w:color="auto" w:fill="auto"/>
            <w:vAlign w:val="bottom"/>
          </w:tcPr>
          <w:p w14:paraId="2F41A29F" w14:textId="77777777" w:rsidR="00E02D1B" w:rsidRDefault="00000000">
            <w:pPr>
              <w:spacing w:before="0"/>
              <w:rPr>
                <w:color w:val="002060"/>
              </w:rPr>
            </w:pPr>
            <w:r>
              <w:rPr>
                <w:color w:val="002060"/>
              </w:rPr>
              <w:t>CSE</w:t>
            </w:r>
          </w:p>
        </w:tc>
        <w:tc>
          <w:tcPr>
            <w:tcW w:w="3675" w:type="dxa"/>
            <w:shd w:val="clear" w:color="auto" w:fill="auto"/>
            <w:vAlign w:val="bottom"/>
          </w:tcPr>
          <w:p w14:paraId="04086942" w14:textId="77777777" w:rsidR="00E02D1B" w:rsidRDefault="00000000">
            <w:pPr>
              <w:spacing w:before="0"/>
              <w:rPr>
                <w:color w:val="002060"/>
              </w:rPr>
            </w:pPr>
            <w:r>
              <w:rPr>
                <w:color w:val="002060"/>
              </w:rPr>
              <w:t>Fabiola Lao</w:t>
            </w:r>
          </w:p>
        </w:tc>
      </w:tr>
      <w:tr w:rsidR="00E02D1B" w14:paraId="0DA540FC" w14:textId="77777777">
        <w:trPr>
          <w:trHeight w:val="320"/>
          <w:tblHeader/>
          <w:jc w:val="center"/>
        </w:trPr>
        <w:tc>
          <w:tcPr>
            <w:tcW w:w="5310" w:type="dxa"/>
            <w:shd w:val="clear" w:color="auto" w:fill="auto"/>
            <w:vAlign w:val="bottom"/>
          </w:tcPr>
          <w:p w14:paraId="05243113" w14:textId="77777777" w:rsidR="00E02D1B" w:rsidRDefault="00000000">
            <w:pPr>
              <w:spacing w:before="0"/>
              <w:rPr>
                <w:color w:val="002060"/>
              </w:rPr>
            </w:pPr>
            <w:r>
              <w:rPr>
                <w:color w:val="002060"/>
              </w:rPr>
              <w:t>IREN/WRCOG</w:t>
            </w:r>
          </w:p>
        </w:tc>
        <w:tc>
          <w:tcPr>
            <w:tcW w:w="3675" w:type="dxa"/>
            <w:shd w:val="clear" w:color="auto" w:fill="auto"/>
            <w:vAlign w:val="bottom"/>
          </w:tcPr>
          <w:p w14:paraId="587B4F7D" w14:textId="77777777" w:rsidR="00E02D1B" w:rsidRDefault="00000000">
            <w:pPr>
              <w:spacing w:before="0"/>
              <w:rPr>
                <w:color w:val="002060"/>
              </w:rPr>
            </w:pPr>
            <w:r>
              <w:rPr>
                <w:color w:val="002060"/>
              </w:rPr>
              <w:t>Benjamin Druyon</w:t>
            </w:r>
          </w:p>
        </w:tc>
      </w:tr>
      <w:tr w:rsidR="00E02D1B" w14:paraId="07AF4130" w14:textId="77777777">
        <w:trPr>
          <w:trHeight w:val="320"/>
          <w:tblHeader/>
          <w:jc w:val="center"/>
        </w:trPr>
        <w:tc>
          <w:tcPr>
            <w:tcW w:w="5310" w:type="dxa"/>
            <w:shd w:val="clear" w:color="auto" w:fill="auto"/>
            <w:vAlign w:val="bottom"/>
          </w:tcPr>
          <w:p w14:paraId="17BABD78" w14:textId="77777777" w:rsidR="00E02D1B" w:rsidRDefault="00000000">
            <w:pPr>
              <w:spacing w:before="0"/>
              <w:rPr>
                <w:color w:val="002060"/>
              </w:rPr>
            </w:pPr>
            <w:r>
              <w:rPr>
                <w:color w:val="002060"/>
              </w:rPr>
              <w:t>MCE</w:t>
            </w:r>
          </w:p>
        </w:tc>
        <w:tc>
          <w:tcPr>
            <w:tcW w:w="3675" w:type="dxa"/>
            <w:shd w:val="clear" w:color="auto" w:fill="auto"/>
            <w:vAlign w:val="bottom"/>
          </w:tcPr>
          <w:p w14:paraId="720367BA" w14:textId="77777777" w:rsidR="00E02D1B" w:rsidRDefault="00000000">
            <w:pPr>
              <w:spacing w:before="0"/>
              <w:rPr>
                <w:color w:val="002060"/>
              </w:rPr>
            </w:pPr>
            <w:r>
              <w:rPr>
                <w:color w:val="002060"/>
              </w:rPr>
              <w:t>Alice Havenar-Daughton</w:t>
            </w:r>
          </w:p>
        </w:tc>
      </w:tr>
      <w:tr w:rsidR="00E02D1B" w14:paraId="2054B168" w14:textId="77777777">
        <w:trPr>
          <w:trHeight w:val="320"/>
          <w:tblHeader/>
          <w:jc w:val="center"/>
        </w:trPr>
        <w:tc>
          <w:tcPr>
            <w:tcW w:w="5310" w:type="dxa"/>
            <w:shd w:val="clear" w:color="auto" w:fill="auto"/>
            <w:vAlign w:val="bottom"/>
          </w:tcPr>
          <w:p w14:paraId="6964703A" w14:textId="77777777" w:rsidR="00E02D1B" w:rsidRDefault="00000000">
            <w:pPr>
              <w:spacing w:before="0"/>
              <w:rPr>
                <w:color w:val="002060"/>
              </w:rPr>
            </w:pPr>
            <w:r>
              <w:rPr>
                <w:color w:val="002060"/>
              </w:rPr>
              <w:t>NRDC</w:t>
            </w:r>
          </w:p>
        </w:tc>
        <w:tc>
          <w:tcPr>
            <w:tcW w:w="3675" w:type="dxa"/>
            <w:shd w:val="clear" w:color="auto" w:fill="auto"/>
            <w:vAlign w:val="bottom"/>
          </w:tcPr>
          <w:p w14:paraId="4D325E33" w14:textId="77777777" w:rsidR="00E02D1B" w:rsidRDefault="00000000">
            <w:pPr>
              <w:spacing w:before="0"/>
              <w:rPr>
                <w:color w:val="002060"/>
              </w:rPr>
            </w:pPr>
            <w:r>
              <w:rPr>
                <w:color w:val="002060"/>
              </w:rPr>
              <w:t>Lara Ettenson</w:t>
            </w:r>
          </w:p>
        </w:tc>
      </w:tr>
      <w:tr w:rsidR="00E02D1B" w14:paraId="379664CB" w14:textId="77777777">
        <w:trPr>
          <w:trHeight w:val="320"/>
          <w:tblHeader/>
          <w:jc w:val="center"/>
        </w:trPr>
        <w:tc>
          <w:tcPr>
            <w:tcW w:w="5310" w:type="dxa"/>
            <w:shd w:val="clear" w:color="auto" w:fill="auto"/>
            <w:vAlign w:val="bottom"/>
          </w:tcPr>
          <w:p w14:paraId="6C26A551" w14:textId="77777777" w:rsidR="00E02D1B" w:rsidRDefault="00000000">
            <w:pPr>
              <w:spacing w:before="0"/>
              <w:rPr>
                <w:color w:val="002060"/>
              </w:rPr>
            </w:pPr>
            <w:r>
              <w:rPr>
                <w:color w:val="002060"/>
              </w:rPr>
              <w:t>PG&amp;E</w:t>
            </w:r>
          </w:p>
        </w:tc>
        <w:tc>
          <w:tcPr>
            <w:tcW w:w="3675" w:type="dxa"/>
            <w:shd w:val="clear" w:color="auto" w:fill="auto"/>
            <w:vAlign w:val="bottom"/>
          </w:tcPr>
          <w:p w14:paraId="21A0F9A8" w14:textId="77777777" w:rsidR="00E02D1B" w:rsidRDefault="00000000">
            <w:pPr>
              <w:spacing w:before="0"/>
              <w:rPr>
                <w:color w:val="002060"/>
              </w:rPr>
            </w:pPr>
            <w:r>
              <w:rPr>
                <w:color w:val="002060"/>
              </w:rPr>
              <w:t>Lisa Hunter</w:t>
            </w:r>
          </w:p>
        </w:tc>
      </w:tr>
      <w:tr w:rsidR="00E02D1B" w14:paraId="11E06082" w14:textId="77777777">
        <w:trPr>
          <w:trHeight w:val="320"/>
          <w:tblHeader/>
          <w:jc w:val="center"/>
        </w:trPr>
        <w:tc>
          <w:tcPr>
            <w:tcW w:w="5310" w:type="dxa"/>
            <w:shd w:val="clear" w:color="auto" w:fill="auto"/>
            <w:vAlign w:val="bottom"/>
          </w:tcPr>
          <w:p w14:paraId="1FA59385" w14:textId="77777777" w:rsidR="00E02D1B" w:rsidRDefault="00000000">
            <w:pPr>
              <w:spacing w:before="0"/>
              <w:rPr>
                <w:color w:val="002060"/>
                <w:highlight w:val="white"/>
              </w:rPr>
            </w:pPr>
            <w:r>
              <w:rPr>
                <w:color w:val="002060"/>
                <w:highlight w:val="white"/>
              </w:rPr>
              <w:t>Redwood Coast Energy Authority</w:t>
            </w:r>
          </w:p>
        </w:tc>
        <w:tc>
          <w:tcPr>
            <w:tcW w:w="3675" w:type="dxa"/>
            <w:shd w:val="clear" w:color="auto" w:fill="auto"/>
            <w:vAlign w:val="bottom"/>
          </w:tcPr>
          <w:p w14:paraId="2E190BA4" w14:textId="77777777" w:rsidR="00E02D1B" w:rsidRDefault="00000000">
            <w:pPr>
              <w:spacing w:before="0"/>
              <w:rPr>
                <w:color w:val="002060"/>
                <w:highlight w:val="white"/>
              </w:rPr>
            </w:pPr>
            <w:r>
              <w:rPr>
                <w:color w:val="002060"/>
                <w:highlight w:val="white"/>
              </w:rPr>
              <w:t>Stephen Kullmann</w:t>
            </w:r>
          </w:p>
        </w:tc>
      </w:tr>
      <w:tr w:rsidR="00E02D1B" w14:paraId="580E2173" w14:textId="77777777">
        <w:trPr>
          <w:trHeight w:val="320"/>
          <w:tblHeader/>
          <w:jc w:val="center"/>
        </w:trPr>
        <w:tc>
          <w:tcPr>
            <w:tcW w:w="5310" w:type="dxa"/>
            <w:shd w:val="clear" w:color="auto" w:fill="auto"/>
            <w:vAlign w:val="bottom"/>
          </w:tcPr>
          <w:p w14:paraId="67E30B1B" w14:textId="77777777" w:rsidR="00E02D1B" w:rsidRDefault="00000000">
            <w:pPr>
              <w:spacing w:before="0"/>
              <w:rPr>
                <w:color w:val="002060"/>
                <w:highlight w:val="white"/>
              </w:rPr>
            </w:pPr>
            <w:r>
              <w:rPr>
                <w:color w:val="002060"/>
                <w:highlight w:val="white"/>
              </w:rPr>
              <w:t>Small Business Utility Advocates</w:t>
            </w:r>
          </w:p>
        </w:tc>
        <w:tc>
          <w:tcPr>
            <w:tcW w:w="3675" w:type="dxa"/>
            <w:shd w:val="clear" w:color="auto" w:fill="auto"/>
            <w:vAlign w:val="bottom"/>
          </w:tcPr>
          <w:p w14:paraId="0C2DE746" w14:textId="77777777" w:rsidR="00E02D1B" w:rsidRDefault="00000000">
            <w:pPr>
              <w:spacing w:before="0"/>
              <w:rPr>
                <w:color w:val="002060"/>
                <w:highlight w:val="white"/>
              </w:rPr>
            </w:pPr>
            <w:r>
              <w:rPr>
                <w:color w:val="002060"/>
                <w:highlight w:val="white"/>
              </w:rPr>
              <w:t>Ted Howard</w:t>
            </w:r>
          </w:p>
        </w:tc>
      </w:tr>
      <w:tr w:rsidR="00E02D1B" w14:paraId="68883622" w14:textId="77777777">
        <w:trPr>
          <w:trHeight w:val="320"/>
          <w:tblHeader/>
          <w:jc w:val="center"/>
        </w:trPr>
        <w:tc>
          <w:tcPr>
            <w:tcW w:w="5310" w:type="dxa"/>
            <w:shd w:val="clear" w:color="auto" w:fill="auto"/>
            <w:vAlign w:val="bottom"/>
          </w:tcPr>
          <w:p w14:paraId="31261B62" w14:textId="77777777" w:rsidR="00E02D1B" w:rsidRDefault="00000000">
            <w:pPr>
              <w:pBdr>
                <w:top w:val="nil"/>
                <w:left w:val="nil"/>
                <w:bottom w:val="nil"/>
                <w:right w:val="nil"/>
                <w:between w:val="nil"/>
              </w:pBdr>
              <w:spacing w:before="0"/>
              <w:rPr>
                <w:color w:val="002060"/>
              </w:rPr>
            </w:pPr>
            <w:r>
              <w:rPr>
                <w:color w:val="002060"/>
              </w:rPr>
              <w:t>SCE</w:t>
            </w:r>
          </w:p>
        </w:tc>
        <w:tc>
          <w:tcPr>
            <w:tcW w:w="3675" w:type="dxa"/>
            <w:shd w:val="clear" w:color="auto" w:fill="auto"/>
            <w:vAlign w:val="bottom"/>
          </w:tcPr>
          <w:p w14:paraId="1DF559F1" w14:textId="77777777" w:rsidR="00E02D1B" w:rsidRDefault="00000000">
            <w:pPr>
              <w:pBdr>
                <w:top w:val="nil"/>
                <w:left w:val="nil"/>
                <w:bottom w:val="nil"/>
                <w:right w:val="nil"/>
                <w:between w:val="nil"/>
              </w:pBdr>
              <w:spacing w:before="0"/>
              <w:rPr>
                <w:color w:val="002060"/>
              </w:rPr>
            </w:pPr>
            <w:r>
              <w:rPr>
                <w:color w:val="002060"/>
              </w:rPr>
              <w:t>Jessica Lau</w:t>
            </w:r>
          </w:p>
        </w:tc>
      </w:tr>
      <w:tr w:rsidR="00E02D1B" w14:paraId="2F67CD55" w14:textId="77777777">
        <w:trPr>
          <w:trHeight w:val="320"/>
          <w:tblHeader/>
          <w:jc w:val="center"/>
        </w:trPr>
        <w:tc>
          <w:tcPr>
            <w:tcW w:w="5310" w:type="dxa"/>
            <w:shd w:val="clear" w:color="auto" w:fill="auto"/>
            <w:vAlign w:val="bottom"/>
          </w:tcPr>
          <w:p w14:paraId="4C91B069" w14:textId="77777777" w:rsidR="00E02D1B" w:rsidRDefault="00000000">
            <w:pPr>
              <w:pBdr>
                <w:top w:val="nil"/>
                <w:left w:val="nil"/>
                <w:bottom w:val="nil"/>
                <w:right w:val="nil"/>
                <w:between w:val="nil"/>
              </w:pBdr>
              <w:spacing w:before="0"/>
              <w:rPr>
                <w:color w:val="002060"/>
              </w:rPr>
            </w:pPr>
            <w:r>
              <w:rPr>
                <w:color w:val="002060"/>
              </w:rPr>
              <w:t>SDG&amp;E</w:t>
            </w:r>
          </w:p>
        </w:tc>
        <w:tc>
          <w:tcPr>
            <w:tcW w:w="3675" w:type="dxa"/>
            <w:shd w:val="clear" w:color="auto" w:fill="auto"/>
            <w:vAlign w:val="bottom"/>
          </w:tcPr>
          <w:p w14:paraId="0C2981DE" w14:textId="77777777" w:rsidR="00E02D1B" w:rsidRDefault="00000000">
            <w:pPr>
              <w:pBdr>
                <w:top w:val="nil"/>
                <w:left w:val="nil"/>
                <w:bottom w:val="nil"/>
                <w:right w:val="nil"/>
                <w:between w:val="nil"/>
              </w:pBdr>
              <w:spacing w:before="0"/>
              <w:rPr>
                <w:color w:val="002060"/>
              </w:rPr>
            </w:pPr>
            <w:r>
              <w:rPr>
                <w:color w:val="002060"/>
              </w:rPr>
              <w:t xml:space="preserve">Stacie </w:t>
            </w:r>
            <w:proofErr w:type="spellStart"/>
            <w:r>
              <w:rPr>
                <w:color w:val="002060"/>
              </w:rPr>
              <w:t>Risley</w:t>
            </w:r>
            <w:proofErr w:type="spellEnd"/>
          </w:p>
        </w:tc>
      </w:tr>
      <w:tr w:rsidR="00E02D1B" w14:paraId="3414D023" w14:textId="77777777">
        <w:trPr>
          <w:trHeight w:val="320"/>
          <w:tblHeader/>
          <w:jc w:val="center"/>
        </w:trPr>
        <w:tc>
          <w:tcPr>
            <w:tcW w:w="5310" w:type="dxa"/>
            <w:shd w:val="clear" w:color="auto" w:fill="auto"/>
            <w:vAlign w:val="bottom"/>
          </w:tcPr>
          <w:p w14:paraId="3C3D0BBF" w14:textId="77777777" w:rsidR="00E02D1B" w:rsidRDefault="00000000">
            <w:pPr>
              <w:pBdr>
                <w:top w:val="nil"/>
                <w:left w:val="nil"/>
                <w:bottom w:val="nil"/>
                <w:right w:val="nil"/>
                <w:between w:val="nil"/>
              </w:pBdr>
              <w:spacing w:before="0"/>
              <w:rPr>
                <w:color w:val="002060"/>
              </w:rPr>
            </w:pPr>
            <w:r>
              <w:rPr>
                <w:color w:val="002060"/>
              </w:rPr>
              <w:t>SoCalGas</w:t>
            </w:r>
          </w:p>
        </w:tc>
        <w:tc>
          <w:tcPr>
            <w:tcW w:w="3675" w:type="dxa"/>
            <w:shd w:val="clear" w:color="auto" w:fill="auto"/>
            <w:vAlign w:val="bottom"/>
          </w:tcPr>
          <w:p w14:paraId="0CF87E60" w14:textId="77777777" w:rsidR="00E02D1B" w:rsidRDefault="00000000">
            <w:pPr>
              <w:pBdr>
                <w:top w:val="nil"/>
                <w:left w:val="nil"/>
                <w:bottom w:val="nil"/>
                <w:right w:val="nil"/>
                <w:between w:val="nil"/>
              </w:pBdr>
              <w:spacing w:before="0"/>
              <w:rPr>
                <w:color w:val="002060"/>
              </w:rPr>
            </w:pPr>
            <w:r>
              <w:rPr>
                <w:color w:val="002060"/>
              </w:rPr>
              <w:t>Sandra Gonzalez</w:t>
            </w:r>
          </w:p>
        </w:tc>
      </w:tr>
      <w:tr w:rsidR="00E02D1B" w14:paraId="6352C84E" w14:textId="77777777">
        <w:trPr>
          <w:trHeight w:val="320"/>
          <w:tblHeader/>
          <w:jc w:val="center"/>
        </w:trPr>
        <w:tc>
          <w:tcPr>
            <w:tcW w:w="5310" w:type="dxa"/>
            <w:shd w:val="clear" w:color="auto" w:fill="auto"/>
            <w:vAlign w:val="bottom"/>
          </w:tcPr>
          <w:p w14:paraId="1D81AF73" w14:textId="77777777" w:rsidR="00E02D1B" w:rsidRDefault="00000000">
            <w:pPr>
              <w:pBdr>
                <w:top w:val="nil"/>
                <w:left w:val="nil"/>
                <w:bottom w:val="nil"/>
                <w:right w:val="nil"/>
                <w:between w:val="nil"/>
              </w:pBdr>
              <w:spacing w:before="0"/>
              <w:rPr>
                <w:color w:val="002060"/>
              </w:rPr>
            </w:pPr>
            <w:r>
              <w:rPr>
                <w:color w:val="002060"/>
              </w:rPr>
              <w:t>SoCalREN</w:t>
            </w:r>
          </w:p>
        </w:tc>
        <w:tc>
          <w:tcPr>
            <w:tcW w:w="3675" w:type="dxa"/>
            <w:shd w:val="clear" w:color="auto" w:fill="auto"/>
            <w:vAlign w:val="bottom"/>
          </w:tcPr>
          <w:p w14:paraId="1334955D" w14:textId="77777777" w:rsidR="00E02D1B" w:rsidRDefault="00000000">
            <w:pPr>
              <w:pBdr>
                <w:top w:val="nil"/>
                <w:left w:val="nil"/>
                <w:bottom w:val="nil"/>
                <w:right w:val="nil"/>
                <w:between w:val="nil"/>
              </w:pBdr>
              <w:spacing w:before="0"/>
              <w:rPr>
                <w:color w:val="002060"/>
              </w:rPr>
            </w:pPr>
            <w:r>
              <w:rPr>
                <w:color w:val="002060"/>
              </w:rPr>
              <w:t>Lujuana Medina</w:t>
            </w:r>
          </w:p>
        </w:tc>
      </w:tr>
      <w:tr w:rsidR="00E02D1B" w14:paraId="097153F0" w14:textId="77777777">
        <w:trPr>
          <w:trHeight w:val="320"/>
          <w:tblHeader/>
          <w:jc w:val="center"/>
        </w:trPr>
        <w:tc>
          <w:tcPr>
            <w:tcW w:w="5310" w:type="dxa"/>
            <w:shd w:val="clear" w:color="auto" w:fill="auto"/>
            <w:vAlign w:val="bottom"/>
          </w:tcPr>
          <w:p w14:paraId="79DB4906" w14:textId="77777777" w:rsidR="00E02D1B" w:rsidRDefault="00000000">
            <w:pPr>
              <w:pBdr>
                <w:top w:val="nil"/>
                <w:left w:val="nil"/>
                <w:bottom w:val="nil"/>
                <w:right w:val="nil"/>
                <w:between w:val="nil"/>
              </w:pBdr>
              <w:spacing w:before="0"/>
              <w:rPr>
                <w:color w:val="002060"/>
              </w:rPr>
            </w:pPr>
            <w:r>
              <w:rPr>
                <w:color w:val="002060"/>
              </w:rPr>
              <w:t>The Energy Coalition</w:t>
            </w:r>
          </w:p>
        </w:tc>
        <w:tc>
          <w:tcPr>
            <w:tcW w:w="3675" w:type="dxa"/>
            <w:shd w:val="clear" w:color="auto" w:fill="auto"/>
            <w:vAlign w:val="bottom"/>
          </w:tcPr>
          <w:p w14:paraId="6C8D7293" w14:textId="77777777" w:rsidR="00E02D1B" w:rsidRDefault="00000000">
            <w:pPr>
              <w:pBdr>
                <w:top w:val="nil"/>
                <w:left w:val="nil"/>
                <w:bottom w:val="nil"/>
                <w:right w:val="nil"/>
                <w:between w:val="nil"/>
              </w:pBdr>
              <w:spacing w:before="0"/>
              <w:rPr>
                <w:color w:val="002060"/>
              </w:rPr>
            </w:pPr>
            <w:r>
              <w:rPr>
                <w:color w:val="002060"/>
              </w:rPr>
              <w:t>Laurel Rothschild</w:t>
            </w:r>
          </w:p>
        </w:tc>
      </w:tr>
      <w:tr w:rsidR="00E02D1B" w14:paraId="6120E539" w14:textId="77777777">
        <w:trPr>
          <w:trHeight w:val="320"/>
          <w:tblHeader/>
          <w:jc w:val="center"/>
        </w:trPr>
        <w:tc>
          <w:tcPr>
            <w:tcW w:w="5310" w:type="dxa"/>
            <w:shd w:val="clear" w:color="auto" w:fill="B4C6E7"/>
            <w:vAlign w:val="bottom"/>
          </w:tcPr>
          <w:p w14:paraId="5BADCC44" w14:textId="77777777" w:rsidR="00E02D1B" w:rsidRDefault="00000000">
            <w:pPr>
              <w:spacing w:before="0"/>
              <w:rPr>
                <w:b/>
                <w:color w:val="002060"/>
              </w:rPr>
            </w:pPr>
            <w:r>
              <w:rPr>
                <w:b/>
                <w:color w:val="002060"/>
              </w:rPr>
              <w:t xml:space="preserve">Ex-Officio </w:t>
            </w:r>
          </w:p>
        </w:tc>
        <w:tc>
          <w:tcPr>
            <w:tcW w:w="3675" w:type="dxa"/>
            <w:shd w:val="clear" w:color="auto" w:fill="B4C6E7"/>
            <w:vAlign w:val="bottom"/>
          </w:tcPr>
          <w:p w14:paraId="358241BE" w14:textId="77777777" w:rsidR="00E02D1B" w:rsidRDefault="00E02D1B">
            <w:pPr>
              <w:spacing w:before="0"/>
              <w:rPr>
                <w:color w:val="002060"/>
                <w:highlight w:val="yellow"/>
              </w:rPr>
            </w:pPr>
          </w:p>
        </w:tc>
      </w:tr>
      <w:tr w:rsidR="00E02D1B" w14:paraId="32091620" w14:textId="77777777">
        <w:trPr>
          <w:trHeight w:val="320"/>
          <w:tblHeader/>
          <w:jc w:val="center"/>
        </w:trPr>
        <w:tc>
          <w:tcPr>
            <w:tcW w:w="5310" w:type="dxa"/>
            <w:shd w:val="clear" w:color="auto" w:fill="auto"/>
            <w:vAlign w:val="bottom"/>
          </w:tcPr>
          <w:p w14:paraId="46069552" w14:textId="77777777" w:rsidR="00E02D1B" w:rsidRDefault="00000000">
            <w:pPr>
              <w:spacing w:before="0"/>
              <w:rPr>
                <w:color w:val="002060"/>
              </w:rPr>
            </w:pPr>
            <w:r>
              <w:rPr>
                <w:color w:val="002060"/>
              </w:rPr>
              <w:t>CEC</w:t>
            </w:r>
          </w:p>
        </w:tc>
        <w:tc>
          <w:tcPr>
            <w:tcW w:w="3675" w:type="dxa"/>
            <w:shd w:val="clear" w:color="auto" w:fill="auto"/>
            <w:vAlign w:val="bottom"/>
          </w:tcPr>
          <w:p w14:paraId="059B4DEC" w14:textId="77777777" w:rsidR="00E02D1B" w:rsidRDefault="00000000">
            <w:pPr>
              <w:spacing w:before="0"/>
              <w:rPr>
                <w:color w:val="002060"/>
              </w:rPr>
            </w:pPr>
            <w:r>
              <w:rPr>
                <w:color w:val="002060"/>
              </w:rPr>
              <w:t xml:space="preserve">Kristina </w:t>
            </w:r>
            <w:proofErr w:type="spellStart"/>
            <w:r>
              <w:rPr>
                <w:color w:val="002060"/>
              </w:rPr>
              <w:t>Duloglo</w:t>
            </w:r>
            <w:proofErr w:type="spellEnd"/>
            <w:r>
              <w:rPr>
                <w:color w:val="002060"/>
              </w:rPr>
              <w:t xml:space="preserve"> </w:t>
            </w:r>
          </w:p>
        </w:tc>
      </w:tr>
      <w:tr w:rsidR="00E02D1B" w14:paraId="5F3C6EE5" w14:textId="77777777">
        <w:trPr>
          <w:trHeight w:val="320"/>
          <w:tblHeader/>
          <w:jc w:val="center"/>
        </w:trPr>
        <w:tc>
          <w:tcPr>
            <w:tcW w:w="5310" w:type="dxa"/>
            <w:shd w:val="clear" w:color="auto" w:fill="auto"/>
            <w:vAlign w:val="bottom"/>
          </w:tcPr>
          <w:p w14:paraId="21A296BA" w14:textId="77777777" w:rsidR="00E02D1B" w:rsidRDefault="00000000">
            <w:pPr>
              <w:spacing w:before="0"/>
              <w:rPr>
                <w:color w:val="002060"/>
              </w:rPr>
            </w:pPr>
            <w:r>
              <w:rPr>
                <w:color w:val="002060"/>
              </w:rPr>
              <w:t>CPUC Energy Division</w:t>
            </w:r>
          </w:p>
        </w:tc>
        <w:tc>
          <w:tcPr>
            <w:tcW w:w="3675" w:type="dxa"/>
            <w:shd w:val="clear" w:color="auto" w:fill="auto"/>
            <w:vAlign w:val="bottom"/>
          </w:tcPr>
          <w:p w14:paraId="757D33E3" w14:textId="77777777" w:rsidR="00E02D1B" w:rsidRDefault="00000000">
            <w:pPr>
              <w:spacing w:before="0"/>
              <w:rPr>
                <w:color w:val="002060"/>
              </w:rPr>
            </w:pPr>
            <w:r>
              <w:rPr>
                <w:color w:val="002060"/>
              </w:rPr>
              <w:t>Ely Jacobsohn</w:t>
            </w:r>
          </w:p>
        </w:tc>
      </w:tr>
      <w:tr w:rsidR="00E02D1B" w14:paraId="1D38A9F9" w14:textId="77777777">
        <w:trPr>
          <w:trHeight w:val="320"/>
          <w:tblHeader/>
          <w:jc w:val="center"/>
        </w:trPr>
        <w:tc>
          <w:tcPr>
            <w:tcW w:w="5310" w:type="dxa"/>
            <w:shd w:val="clear" w:color="auto" w:fill="auto"/>
            <w:vAlign w:val="bottom"/>
          </w:tcPr>
          <w:p w14:paraId="2C772288" w14:textId="77777777" w:rsidR="00E02D1B" w:rsidRDefault="00000000">
            <w:pPr>
              <w:spacing w:before="0"/>
              <w:rPr>
                <w:color w:val="002060"/>
              </w:rPr>
            </w:pPr>
            <w:r>
              <w:rPr>
                <w:color w:val="002060"/>
              </w:rPr>
              <w:t>CPUC Energy Division</w:t>
            </w:r>
          </w:p>
        </w:tc>
        <w:tc>
          <w:tcPr>
            <w:tcW w:w="3675" w:type="dxa"/>
            <w:shd w:val="clear" w:color="auto" w:fill="auto"/>
            <w:vAlign w:val="bottom"/>
          </w:tcPr>
          <w:p w14:paraId="71747EFD" w14:textId="77777777" w:rsidR="00E02D1B" w:rsidRDefault="00000000">
            <w:pPr>
              <w:spacing w:before="0"/>
              <w:rPr>
                <w:color w:val="002060"/>
              </w:rPr>
            </w:pPr>
            <w:r>
              <w:rPr>
                <w:color w:val="002060"/>
              </w:rPr>
              <w:t xml:space="preserve">Pamela </w:t>
            </w:r>
            <w:proofErr w:type="spellStart"/>
            <w:r>
              <w:rPr>
                <w:color w:val="002060"/>
              </w:rPr>
              <w:t>Rittelmeyer</w:t>
            </w:r>
            <w:proofErr w:type="spellEnd"/>
          </w:p>
        </w:tc>
      </w:tr>
      <w:tr w:rsidR="00E02D1B" w14:paraId="159B0D6F" w14:textId="77777777">
        <w:trPr>
          <w:trHeight w:val="320"/>
          <w:tblHeader/>
          <w:jc w:val="center"/>
        </w:trPr>
        <w:tc>
          <w:tcPr>
            <w:tcW w:w="5310" w:type="dxa"/>
            <w:shd w:val="clear" w:color="auto" w:fill="B4C6E7"/>
            <w:vAlign w:val="bottom"/>
          </w:tcPr>
          <w:p w14:paraId="21DD64E4" w14:textId="77777777" w:rsidR="00E02D1B" w:rsidRDefault="00000000">
            <w:pPr>
              <w:spacing w:before="0"/>
              <w:rPr>
                <w:b/>
                <w:color w:val="002060"/>
              </w:rPr>
            </w:pPr>
            <w:r>
              <w:rPr>
                <w:b/>
                <w:color w:val="002060"/>
              </w:rPr>
              <w:t>Other Interested Stakeholders</w:t>
            </w:r>
          </w:p>
        </w:tc>
        <w:tc>
          <w:tcPr>
            <w:tcW w:w="3675" w:type="dxa"/>
            <w:shd w:val="clear" w:color="auto" w:fill="B4C6E7"/>
            <w:vAlign w:val="bottom"/>
          </w:tcPr>
          <w:p w14:paraId="4574317B" w14:textId="77777777" w:rsidR="00E02D1B" w:rsidRDefault="00E02D1B">
            <w:pPr>
              <w:spacing w:before="0"/>
              <w:rPr>
                <w:color w:val="002060"/>
                <w:highlight w:val="yellow"/>
              </w:rPr>
            </w:pPr>
          </w:p>
        </w:tc>
      </w:tr>
      <w:tr w:rsidR="00E02D1B" w14:paraId="0C458166" w14:textId="77777777">
        <w:trPr>
          <w:trHeight w:val="320"/>
          <w:tblHeader/>
          <w:jc w:val="center"/>
        </w:trPr>
        <w:tc>
          <w:tcPr>
            <w:tcW w:w="5310" w:type="dxa"/>
            <w:shd w:val="clear" w:color="auto" w:fill="auto"/>
            <w:vAlign w:val="bottom"/>
          </w:tcPr>
          <w:p w14:paraId="785F1551" w14:textId="77777777" w:rsidR="00E02D1B" w:rsidRDefault="00000000">
            <w:pPr>
              <w:spacing w:before="0"/>
              <w:rPr>
                <w:color w:val="002060"/>
              </w:rPr>
            </w:pPr>
            <w:r>
              <w:rPr>
                <w:color w:val="002060"/>
              </w:rPr>
              <w:t>3C-REN</w:t>
            </w:r>
          </w:p>
        </w:tc>
        <w:tc>
          <w:tcPr>
            <w:tcW w:w="3675" w:type="dxa"/>
            <w:shd w:val="clear" w:color="auto" w:fill="auto"/>
            <w:vAlign w:val="bottom"/>
          </w:tcPr>
          <w:p w14:paraId="72C1B4E4" w14:textId="77777777" w:rsidR="00E02D1B" w:rsidRDefault="00000000">
            <w:pPr>
              <w:spacing w:before="0"/>
              <w:rPr>
                <w:color w:val="002060"/>
              </w:rPr>
            </w:pPr>
            <w:r>
              <w:rPr>
                <w:color w:val="002060"/>
              </w:rPr>
              <w:t>Erica Helson</w:t>
            </w:r>
          </w:p>
        </w:tc>
      </w:tr>
      <w:tr w:rsidR="00E02D1B" w14:paraId="44E4ABBE" w14:textId="77777777">
        <w:trPr>
          <w:trHeight w:val="320"/>
          <w:tblHeader/>
          <w:jc w:val="center"/>
        </w:trPr>
        <w:tc>
          <w:tcPr>
            <w:tcW w:w="5310" w:type="dxa"/>
            <w:shd w:val="clear" w:color="auto" w:fill="auto"/>
            <w:vAlign w:val="bottom"/>
          </w:tcPr>
          <w:p w14:paraId="6181CF30" w14:textId="77777777" w:rsidR="00E02D1B" w:rsidRDefault="00000000">
            <w:pPr>
              <w:spacing w:before="0"/>
              <w:rPr>
                <w:color w:val="002060"/>
              </w:rPr>
            </w:pPr>
            <w:r>
              <w:rPr>
                <w:color w:val="002060"/>
              </w:rPr>
              <w:t>AMBAG</w:t>
            </w:r>
          </w:p>
        </w:tc>
        <w:tc>
          <w:tcPr>
            <w:tcW w:w="3675" w:type="dxa"/>
            <w:shd w:val="clear" w:color="auto" w:fill="auto"/>
            <w:vAlign w:val="bottom"/>
          </w:tcPr>
          <w:p w14:paraId="4BF659ED" w14:textId="77777777" w:rsidR="00E02D1B" w:rsidRDefault="00000000">
            <w:pPr>
              <w:spacing w:before="0"/>
              <w:rPr>
                <w:color w:val="002060"/>
              </w:rPr>
            </w:pPr>
            <w:r>
              <w:rPr>
                <w:color w:val="002060"/>
              </w:rPr>
              <w:t xml:space="preserve">Amaury </w:t>
            </w:r>
            <w:proofErr w:type="spellStart"/>
            <w:r>
              <w:rPr>
                <w:color w:val="002060"/>
              </w:rPr>
              <w:t>Berteaud</w:t>
            </w:r>
            <w:proofErr w:type="spellEnd"/>
            <w:r>
              <w:rPr>
                <w:color w:val="002060"/>
              </w:rPr>
              <w:t xml:space="preserve"> </w:t>
            </w:r>
          </w:p>
        </w:tc>
      </w:tr>
      <w:tr w:rsidR="00E02D1B" w14:paraId="59A226D2" w14:textId="77777777">
        <w:trPr>
          <w:trHeight w:val="320"/>
          <w:tblHeader/>
          <w:jc w:val="center"/>
        </w:trPr>
        <w:tc>
          <w:tcPr>
            <w:tcW w:w="5310" w:type="dxa"/>
            <w:shd w:val="clear" w:color="auto" w:fill="auto"/>
            <w:vAlign w:val="bottom"/>
          </w:tcPr>
          <w:p w14:paraId="139D7F47" w14:textId="77777777" w:rsidR="00E02D1B" w:rsidRDefault="00000000">
            <w:pPr>
              <w:spacing w:before="0"/>
              <w:rPr>
                <w:color w:val="002060"/>
                <w:highlight w:val="white"/>
              </w:rPr>
            </w:pPr>
            <w:r>
              <w:rPr>
                <w:color w:val="002060"/>
                <w:highlight w:val="white"/>
              </w:rPr>
              <w:t>American Eco Services</w:t>
            </w:r>
          </w:p>
        </w:tc>
        <w:tc>
          <w:tcPr>
            <w:tcW w:w="3675" w:type="dxa"/>
            <w:shd w:val="clear" w:color="auto" w:fill="auto"/>
            <w:vAlign w:val="bottom"/>
          </w:tcPr>
          <w:p w14:paraId="1C2885CF" w14:textId="77777777" w:rsidR="00E02D1B" w:rsidRDefault="00000000">
            <w:pPr>
              <w:spacing w:before="0"/>
              <w:rPr>
                <w:color w:val="002060"/>
                <w:highlight w:val="white"/>
              </w:rPr>
            </w:pPr>
            <w:r>
              <w:rPr>
                <w:color w:val="002060"/>
                <w:highlight w:val="white"/>
              </w:rPr>
              <w:t xml:space="preserve">Nicole Milner </w:t>
            </w:r>
          </w:p>
        </w:tc>
      </w:tr>
      <w:tr w:rsidR="00E02D1B" w14:paraId="467372DB" w14:textId="77777777">
        <w:trPr>
          <w:trHeight w:val="320"/>
          <w:tblHeader/>
          <w:jc w:val="center"/>
        </w:trPr>
        <w:tc>
          <w:tcPr>
            <w:tcW w:w="5310" w:type="dxa"/>
            <w:shd w:val="clear" w:color="auto" w:fill="auto"/>
            <w:vAlign w:val="bottom"/>
          </w:tcPr>
          <w:p w14:paraId="3CB83136" w14:textId="77777777" w:rsidR="00E02D1B" w:rsidRDefault="00000000">
            <w:pPr>
              <w:spacing w:before="0"/>
              <w:rPr>
                <w:color w:val="002060"/>
              </w:rPr>
            </w:pPr>
            <w:proofErr w:type="spellStart"/>
            <w:r>
              <w:rPr>
                <w:color w:val="002060"/>
              </w:rPr>
              <w:t>CalMTA</w:t>
            </w:r>
            <w:proofErr w:type="spellEnd"/>
            <w:r>
              <w:rPr>
                <w:color w:val="002060"/>
              </w:rPr>
              <w:t>/RI</w:t>
            </w:r>
          </w:p>
        </w:tc>
        <w:tc>
          <w:tcPr>
            <w:tcW w:w="3675" w:type="dxa"/>
            <w:shd w:val="clear" w:color="auto" w:fill="auto"/>
            <w:vAlign w:val="bottom"/>
          </w:tcPr>
          <w:p w14:paraId="0144C62E" w14:textId="77777777" w:rsidR="00E02D1B" w:rsidRDefault="00000000">
            <w:pPr>
              <w:spacing w:before="0"/>
              <w:rPr>
                <w:color w:val="002060"/>
              </w:rPr>
            </w:pPr>
            <w:r>
              <w:rPr>
                <w:color w:val="002060"/>
              </w:rPr>
              <w:t>Nils Strindberg</w:t>
            </w:r>
          </w:p>
        </w:tc>
      </w:tr>
      <w:tr w:rsidR="00E02D1B" w14:paraId="7FA3526F" w14:textId="77777777">
        <w:trPr>
          <w:trHeight w:val="320"/>
          <w:tblHeader/>
          <w:jc w:val="center"/>
        </w:trPr>
        <w:tc>
          <w:tcPr>
            <w:tcW w:w="5310" w:type="dxa"/>
            <w:shd w:val="clear" w:color="auto" w:fill="auto"/>
            <w:vAlign w:val="bottom"/>
          </w:tcPr>
          <w:p w14:paraId="560A127A" w14:textId="77777777" w:rsidR="00E02D1B" w:rsidRDefault="00000000">
            <w:pPr>
              <w:spacing w:before="0"/>
              <w:rPr>
                <w:color w:val="002060"/>
              </w:rPr>
            </w:pPr>
            <w:r>
              <w:rPr>
                <w:color w:val="002060"/>
              </w:rPr>
              <w:t>County of San Luis Obispo</w:t>
            </w:r>
          </w:p>
        </w:tc>
        <w:tc>
          <w:tcPr>
            <w:tcW w:w="3675" w:type="dxa"/>
            <w:shd w:val="clear" w:color="auto" w:fill="auto"/>
            <w:vAlign w:val="bottom"/>
          </w:tcPr>
          <w:p w14:paraId="5B73AC3C" w14:textId="77777777" w:rsidR="00E02D1B" w:rsidRDefault="00000000">
            <w:pPr>
              <w:spacing w:before="0"/>
              <w:rPr>
                <w:color w:val="002060"/>
              </w:rPr>
            </w:pPr>
            <w:r>
              <w:rPr>
                <w:color w:val="002060"/>
              </w:rPr>
              <w:t xml:space="preserve">Jordan </w:t>
            </w:r>
            <w:proofErr w:type="spellStart"/>
            <w:r>
              <w:rPr>
                <w:color w:val="002060"/>
              </w:rPr>
              <w:t>Garbayo</w:t>
            </w:r>
            <w:proofErr w:type="spellEnd"/>
          </w:p>
        </w:tc>
      </w:tr>
      <w:tr w:rsidR="00E02D1B" w14:paraId="4C49328A" w14:textId="77777777">
        <w:trPr>
          <w:trHeight w:val="320"/>
          <w:tblHeader/>
          <w:jc w:val="center"/>
        </w:trPr>
        <w:tc>
          <w:tcPr>
            <w:tcW w:w="5310" w:type="dxa"/>
            <w:shd w:val="clear" w:color="auto" w:fill="auto"/>
            <w:vAlign w:val="bottom"/>
          </w:tcPr>
          <w:p w14:paraId="379E67F5" w14:textId="77777777" w:rsidR="00E02D1B" w:rsidRDefault="00000000">
            <w:pPr>
              <w:spacing w:before="0"/>
              <w:rPr>
                <w:color w:val="002060"/>
              </w:rPr>
            </w:pPr>
            <w:r>
              <w:rPr>
                <w:color w:val="002060"/>
              </w:rPr>
              <w:t>CPUC</w:t>
            </w:r>
          </w:p>
        </w:tc>
        <w:tc>
          <w:tcPr>
            <w:tcW w:w="3675" w:type="dxa"/>
            <w:shd w:val="clear" w:color="auto" w:fill="auto"/>
            <w:vAlign w:val="bottom"/>
          </w:tcPr>
          <w:p w14:paraId="5306F09A" w14:textId="77777777" w:rsidR="00E02D1B" w:rsidRDefault="00000000">
            <w:pPr>
              <w:spacing w:before="0"/>
              <w:rPr>
                <w:color w:val="002060"/>
              </w:rPr>
            </w:pPr>
            <w:r>
              <w:rPr>
                <w:color w:val="002060"/>
              </w:rPr>
              <w:t>Yeshi Lemma</w:t>
            </w:r>
          </w:p>
        </w:tc>
      </w:tr>
      <w:tr w:rsidR="00E02D1B" w14:paraId="7D1DA0B0" w14:textId="77777777">
        <w:trPr>
          <w:trHeight w:val="320"/>
          <w:tblHeader/>
          <w:jc w:val="center"/>
        </w:trPr>
        <w:tc>
          <w:tcPr>
            <w:tcW w:w="5310" w:type="dxa"/>
            <w:shd w:val="clear" w:color="auto" w:fill="auto"/>
            <w:vAlign w:val="bottom"/>
          </w:tcPr>
          <w:p w14:paraId="2F24B5DF" w14:textId="77777777" w:rsidR="00E02D1B" w:rsidRDefault="00000000">
            <w:pPr>
              <w:spacing w:before="0"/>
              <w:rPr>
                <w:color w:val="002060"/>
              </w:rPr>
            </w:pPr>
            <w:r>
              <w:rPr>
                <w:color w:val="002060"/>
              </w:rPr>
              <w:t>CPUC</w:t>
            </w:r>
          </w:p>
        </w:tc>
        <w:tc>
          <w:tcPr>
            <w:tcW w:w="3675" w:type="dxa"/>
            <w:shd w:val="clear" w:color="auto" w:fill="auto"/>
            <w:vAlign w:val="bottom"/>
          </w:tcPr>
          <w:p w14:paraId="2E61E868" w14:textId="77777777" w:rsidR="00E02D1B" w:rsidRDefault="00000000">
            <w:pPr>
              <w:spacing w:before="0"/>
              <w:rPr>
                <w:color w:val="002060"/>
              </w:rPr>
            </w:pPr>
            <w:r>
              <w:rPr>
                <w:color w:val="002060"/>
              </w:rPr>
              <w:t>Jeorge Tagnipes</w:t>
            </w:r>
          </w:p>
        </w:tc>
      </w:tr>
      <w:tr w:rsidR="00E02D1B" w14:paraId="5A0B2BBC" w14:textId="77777777">
        <w:trPr>
          <w:trHeight w:val="320"/>
          <w:tblHeader/>
          <w:jc w:val="center"/>
        </w:trPr>
        <w:tc>
          <w:tcPr>
            <w:tcW w:w="5310" w:type="dxa"/>
            <w:shd w:val="clear" w:color="auto" w:fill="auto"/>
            <w:vAlign w:val="bottom"/>
          </w:tcPr>
          <w:p w14:paraId="74AA8801" w14:textId="77777777" w:rsidR="00E02D1B" w:rsidRDefault="00000000">
            <w:pPr>
              <w:spacing w:before="0"/>
              <w:rPr>
                <w:color w:val="002060"/>
              </w:rPr>
            </w:pPr>
            <w:r>
              <w:rPr>
                <w:color w:val="002060"/>
              </w:rPr>
              <w:t>CPUC</w:t>
            </w:r>
          </w:p>
        </w:tc>
        <w:tc>
          <w:tcPr>
            <w:tcW w:w="3675" w:type="dxa"/>
            <w:shd w:val="clear" w:color="auto" w:fill="auto"/>
            <w:vAlign w:val="bottom"/>
          </w:tcPr>
          <w:p w14:paraId="4D30892C" w14:textId="77777777" w:rsidR="00E02D1B" w:rsidRDefault="00000000">
            <w:pPr>
              <w:spacing w:before="0"/>
              <w:rPr>
                <w:color w:val="002060"/>
              </w:rPr>
            </w:pPr>
            <w:r>
              <w:rPr>
                <w:color w:val="002060"/>
              </w:rPr>
              <w:t>Jesus Torres</w:t>
            </w:r>
          </w:p>
        </w:tc>
      </w:tr>
      <w:tr w:rsidR="00E02D1B" w14:paraId="0704C7CA" w14:textId="77777777">
        <w:trPr>
          <w:trHeight w:val="320"/>
          <w:tblHeader/>
          <w:jc w:val="center"/>
        </w:trPr>
        <w:tc>
          <w:tcPr>
            <w:tcW w:w="5310" w:type="dxa"/>
            <w:shd w:val="clear" w:color="auto" w:fill="auto"/>
            <w:vAlign w:val="bottom"/>
          </w:tcPr>
          <w:p w14:paraId="7999A176" w14:textId="77777777" w:rsidR="00E02D1B" w:rsidRDefault="00000000">
            <w:pPr>
              <w:spacing w:before="0"/>
              <w:rPr>
                <w:color w:val="002060"/>
              </w:rPr>
            </w:pPr>
            <w:r>
              <w:rPr>
                <w:color w:val="002060"/>
              </w:rPr>
              <w:t>Don Arambula Consulting</w:t>
            </w:r>
          </w:p>
        </w:tc>
        <w:tc>
          <w:tcPr>
            <w:tcW w:w="3675" w:type="dxa"/>
            <w:shd w:val="clear" w:color="auto" w:fill="auto"/>
            <w:vAlign w:val="bottom"/>
          </w:tcPr>
          <w:p w14:paraId="15D427BA" w14:textId="77777777" w:rsidR="00E02D1B" w:rsidRDefault="00000000">
            <w:pPr>
              <w:spacing w:before="0"/>
              <w:rPr>
                <w:color w:val="002060"/>
              </w:rPr>
            </w:pPr>
            <w:r>
              <w:rPr>
                <w:color w:val="002060"/>
              </w:rPr>
              <w:t>Don Arambula</w:t>
            </w:r>
          </w:p>
        </w:tc>
      </w:tr>
      <w:tr w:rsidR="00E02D1B" w14:paraId="0E630C33" w14:textId="77777777">
        <w:trPr>
          <w:trHeight w:val="320"/>
          <w:tblHeader/>
          <w:jc w:val="center"/>
        </w:trPr>
        <w:tc>
          <w:tcPr>
            <w:tcW w:w="5310" w:type="dxa"/>
            <w:shd w:val="clear" w:color="auto" w:fill="auto"/>
            <w:vAlign w:val="bottom"/>
          </w:tcPr>
          <w:p w14:paraId="5D715338" w14:textId="77777777" w:rsidR="00E02D1B" w:rsidRDefault="00000000">
            <w:pPr>
              <w:spacing w:before="0"/>
              <w:rPr>
                <w:color w:val="002060"/>
              </w:rPr>
            </w:pPr>
            <w:r>
              <w:rPr>
                <w:color w:val="002060"/>
              </w:rPr>
              <w:t>ECWG Member/Individual</w:t>
            </w:r>
          </w:p>
        </w:tc>
        <w:tc>
          <w:tcPr>
            <w:tcW w:w="3675" w:type="dxa"/>
            <w:shd w:val="clear" w:color="auto" w:fill="auto"/>
            <w:vAlign w:val="bottom"/>
          </w:tcPr>
          <w:p w14:paraId="5F926615" w14:textId="77777777" w:rsidR="00E02D1B" w:rsidRDefault="00000000">
            <w:pPr>
              <w:spacing w:before="0"/>
              <w:rPr>
                <w:color w:val="002060"/>
              </w:rPr>
            </w:pPr>
            <w:proofErr w:type="spellStart"/>
            <w:r>
              <w:rPr>
                <w:color w:val="002060"/>
              </w:rPr>
              <w:t>Aislyn</w:t>
            </w:r>
            <w:proofErr w:type="spellEnd"/>
            <w:r>
              <w:rPr>
                <w:color w:val="002060"/>
              </w:rPr>
              <w:t xml:space="preserve"> Colgan</w:t>
            </w:r>
          </w:p>
        </w:tc>
      </w:tr>
      <w:tr w:rsidR="00E02D1B" w14:paraId="0278EB80" w14:textId="77777777">
        <w:trPr>
          <w:trHeight w:val="320"/>
          <w:tblHeader/>
          <w:jc w:val="center"/>
        </w:trPr>
        <w:tc>
          <w:tcPr>
            <w:tcW w:w="5310" w:type="dxa"/>
            <w:shd w:val="clear" w:color="auto" w:fill="auto"/>
            <w:vAlign w:val="bottom"/>
          </w:tcPr>
          <w:p w14:paraId="08D7A878" w14:textId="77777777" w:rsidR="00E02D1B" w:rsidRDefault="00000000">
            <w:pPr>
              <w:spacing w:before="0"/>
              <w:rPr>
                <w:color w:val="002060"/>
              </w:rPr>
            </w:pPr>
            <w:r>
              <w:rPr>
                <w:color w:val="002060"/>
              </w:rPr>
              <w:t>ECWG Member/SDUSC</w:t>
            </w:r>
          </w:p>
        </w:tc>
        <w:tc>
          <w:tcPr>
            <w:tcW w:w="3675" w:type="dxa"/>
            <w:shd w:val="clear" w:color="auto" w:fill="auto"/>
            <w:vAlign w:val="bottom"/>
          </w:tcPr>
          <w:p w14:paraId="5466AFF3" w14:textId="77777777" w:rsidR="00E02D1B" w:rsidRDefault="00000000">
            <w:pPr>
              <w:spacing w:before="0"/>
              <w:rPr>
                <w:color w:val="002060"/>
              </w:rPr>
            </w:pPr>
            <w:r>
              <w:rPr>
                <w:color w:val="002060"/>
              </w:rPr>
              <w:t>Tanisha-Jean Martin</w:t>
            </w:r>
          </w:p>
        </w:tc>
      </w:tr>
      <w:tr w:rsidR="00E02D1B" w14:paraId="01682D58" w14:textId="77777777">
        <w:trPr>
          <w:trHeight w:val="320"/>
          <w:tblHeader/>
          <w:jc w:val="center"/>
        </w:trPr>
        <w:tc>
          <w:tcPr>
            <w:tcW w:w="5310" w:type="dxa"/>
            <w:shd w:val="clear" w:color="auto" w:fill="auto"/>
            <w:vAlign w:val="bottom"/>
          </w:tcPr>
          <w:p w14:paraId="73EF4864" w14:textId="77777777" w:rsidR="00E02D1B" w:rsidRDefault="00000000">
            <w:pPr>
              <w:spacing w:before="0"/>
              <w:rPr>
                <w:color w:val="002060"/>
              </w:rPr>
            </w:pPr>
            <w:r>
              <w:rPr>
                <w:color w:val="002060"/>
              </w:rPr>
              <w:t xml:space="preserve">ECWG Member /Nevada County Energy Action  </w:t>
            </w:r>
          </w:p>
        </w:tc>
        <w:tc>
          <w:tcPr>
            <w:tcW w:w="3675" w:type="dxa"/>
            <w:shd w:val="clear" w:color="auto" w:fill="auto"/>
            <w:vAlign w:val="bottom"/>
          </w:tcPr>
          <w:p w14:paraId="3DB91BB1" w14:textId="77777777" w:rsidR="00E02D1B" w:rsidRDefault="00000000">
            <w:pPr>
              <w:spacing w:before="0"/>
              <w:rPr>
                <w:color w:val="002060"/>
              </w:rPr>
            </w:pPr>
            <w:r>
              <w:rPr>
                <w:color w:val="002060"/>
              </w:rPr>
              <w:t xml:space="preserve">Jan </w:t>
            </w:r>
            <w:proofErr w:type="spellStart"/>
            <w:r>
              <w:rPr>
                <w:color w:val="002060"/>
              </w:rPr>
              <w:t>Maes</w:t>
            </w:r>
            <w:proofErr w:type="spellEnd"/>
          </w:p>
        </w:tc>
      </w:tr>
      <w:tr w:rsidR="00E02D1B" w14:paraId="7D8ECDEF" w14:textId="77777777">
        <w:trPr>
          <w:trHeight w:val="320"/>
          <w:tblHeader/>
          <w:jc w:val="center"/>
        </w:trPr>
        <w:tc>
          <w:tcPr>
            <w:tcW w:w="5310" w:type="dxa"/>
            <w:shd w:val="clear" w:color="auto" w:fill="auto"/>
            <w:vAlign w:val="bottom"/>
          </w:tcPr>
          <w:p w14:paraId="14A04CDB" w14:textId="77777777" w:rsidR="00E02D1B" w:rsidRDefault="00000000">
            <w:pPr>
              <w:spacing w:before="0"/>
              <w:rPr>
                <w:color w:val="002060"/>
              </w:rPr>
            </w:pPr>
            <w:r>
              <w:rPr>
                <w:color w:val="002060"/>
              </w:rPr>
              <w:t>ECWG Member/Lifers Leaving a Legacy</w:t>
            </w:r>
          </w:p>
        </w:tc>
        <w:tc>
          <w:tcPr>
            <w:tcW w:w="3675" w:type="dxa"/>
            <w:shd w:val="clear" w:color="auto" w:fill="auto"/>
            <w:vAlign w:val="bottom"/>
          </w:tcPr>
          <w:p w14:paraId="64B136C3" w14:textId="77777777" w:rsidR="00E02D1B" w:rsidRDefault="00000000">
            <w:pPr>
              <w:spacing w:before="0"/>
              <w:rPr>
                <w:color w:val="002060"/>
              </w:rPr>
            </w:pPr>
            <w:r>
              <w:rPr>
                <w:color w:val="002060"/>
              </w:rPr>
              <w:t>Charles Reed</w:t>
            </w:r>
          </w:p>
        </w:tc>
      </w:tr>
      <w:tr w:rsidR="00E02D1B" w14:paraId="0A770B00" w14:textId="77777777">
        <w:trPr>
          <w:trHeight w:val="320"/>
          <w:tblHeader/>
          <w:jc w:val="center"/>
        </w:trPr>
        <w:tc>
          <w:tcPr>
            <w:tcW w:w="5310" w:type="dxa"/>
            <w:shd w:val="clear" w:color="auto" w:fill="auto"/>
            <w:vAlign w:val="bottom"/>
          </w:tcPr>
          <w:p w14:paraId="6A7F526B" w14:textId="77777777" w:rsidR="00E02D1B" w:rsidRDefault="00000000">
            <w:pPr>
              <w:spacing w:before="0"/>
              <w:rPr>
                <w:color w:val="002060"/>
              </w:rPr>
            </w:pPr>
            <w:r>
              <w:rPr>
                <w:color w:val="002060"/>
              </w:rPr>
              <w:t>ECWG Member/Greenbank Associates</w:t>
            </w:r>
          </w:p>
        </w:tc>
        <w:tc>
          <w:tcPr>
            <w:tcW w:w="3675" w:type="dxa"/>
            <w:shd w:val="clear" w:color="auto" w:fill="auto"/>
            <w:vAlign w:val="bottom"/>
          </w:tcPr>
          <w:p w14:paraId="3189B1CE" w14:textId="77777777" w:rsidR="00E02D1B" w:rsidRDefault="00000000">
            <w:pPr>
              <w:spacing w:before="0"/>
              <w:rPr>
                <w:color w:val="002060"/>
              </w:rPr>
            </w:pPr>
            <w:r>
              <w:rPr>
                <w:color w:val="002060"/>
              </w:rPr>
              <w:t>Alice Sung</w:t>
            </w:r>
          </w:p>
        </w:tc>
      </w:tr>
      <w:tr w:rsidR="00E02D1B" w14:paraId="3AB0BE60" w14:textId="77777777">
        <w:trPr>
          <w:trHeight w:val="246"/>
          <w:tblHeader/>
          <w:jc w:val="center"/>
        </w:trPr>
        <w:tc>
          <w:tcPr>
            <w:tcW w:w="5310" w:type="dxa"/>
            <w:shd w:val="clear" w:color="auto" w:fill="auto"/>
            <w:vAlign w:val="bottom"/>
          </w:tcPr>
          <w:p w14:paraId="13EDA657" w14:textId="77777777" w:rsidR="00E02D1B" w:rsidRDefault="00000000">
            <w:pPr>
              <w:spacing w:before="0"/>
              <w:rPr>
                <w:color w:val="002060"/>
              </w:rPr>
            </w:pPr>
            <w:r>
              <w:rPr>
                <w:color w:val="002060"/>
              </w:rPr>
              <w:t xml:space="preserve">ECWG Member/CFAT </w:t>
            </w:r>
          </w:p>
        </w:tc>
        <w:tc>
          <w:tcPr>
            <w:tcW w:w="3675" w:type="dxa"/>
            <w:shd w:val="clear" w:color="auto" w:fill="auto"/>
            <w:vAlign w:val="bottom"/>
          </w:tcPr>
          <w:p w14:paraId="1F1318F2" w14:textId="77777777" w:rsidR="00E02D1B" w:rsidRDefault="00000000">
            <w:pPr>
              <w:spacing w:before="0"/>
              <w:rPr>
                <w:color w:val="002060"/>
              </w:rPr>
            </w:pPr>
            <w:r>
              <w:rPr>
                <w:color w:val="002060"/>
              </w:rPr>
              <w:t>Kate Woodford</w:t>
            </w:r>
          </w:p>
        </w:tc>
      </w:tr>
      <w:tr w:rsidR="00E02D1B" w14:paraId="57B1711B" w14:textId="77777777">
        <w:trPr>
          <w:trHeight w:val="320"/>
          <w:tblHeader/>
          <w:jc w:val="center"/>
        </w:trPr>
        <w:tc>
          <w:tcPr>
            <w:tcW w:w="5310" w:type="dxa"/>
            <w:shd w:val="clear" w:color="auto" w:fill="auto"/>
            <w:vAlign w:val="bottom"/>
          </w:tcPr>
          <w:p w14:paraId="29844723" w14:textId="77777777" w:rsidR="00E02D1B" w:rsidRDefault="00000000">
            <w:pPr>
              <w:spacing w:before="0"/>
              <w:rPr>
                <w:color w:val="002060"/>
              </w:rPr>
            </w:pPr>
            <w:proofErr w:type="spellStart"/>
            <w:r>
              <w:rPr>
                <w:color w:val="002060"/>
              </w:rPr>
              <w:t>Embertec</w:t>
            </w:r>
            <w:proofErr w:type="spellEnd"/>
          </w:p>
        </w:tc>
        <w:tc>
          <w:tcPr>
            <w:tcW w:w="3675" w:type="dxa"/>
            <w:shd w:val="clear" w:color="auto" w:fill="auto"/>
            <w:vAlign w:val="bottom"/>
          </w:tcPr>
          <w:p w14:paraId="52A9D085" w14:textId="77777777" w:rsidR="00E02D1B" w:rsidRDefault="00000000">
            <w:pPr>
              <w:spacing w:before="0"/>
              <w:rPr>
                <w:color w:val="002060"/>
              </w:rPr>
            </w:pPr>
            <w:r>
              <w:rPr>
                <w:color w:val="002060"/>
              </w:rPr>
              <w:t>Rod Williams</w:t>
            </w:r>
          </w:p>
        </w:tc>
      </w:tr>
      <w:tr w:rsidR="00E02D1B" w14:paraId="6CBF87E6" w14:textId="77777777">
        <w:trPr>
          <w:trHeight w:val="320"/>
          <w:tblHeader/>
          <w:jc w:val="center"/>
        </w:trPr>
        <w:tc>
          <w:tcPr>
            <w:tcW w:w="5310" w:type="dxa"/>
            <w:shd w:val="clear" w:color="auto" w:fill="auto"/>
            <w:vAlign w:val="bottom"/>
          </w:tcPr>
          <w:p w14:paraId="4D4CFD23" w14:textId="77777777" w:rsidR="00E02D1B" w:rsidRDefault="00000000">
            <w:pPr>
              <w:spacing w:before="0"/>
              <w:rPr>
                <w:color w:val="002060"/>
              </w:rPr>
            </w:pPr>
            <w:r>
              <w:rPr>
                <w:color w:val="002060"/>
              </w:rPr>
              <w:t>ESP Labs</w:t>
            </w:r>
          </w:p>
        </w:tc>
        <w:tc>
          <w:tcPr>
            <w:tcW w:w="3675" w:type="dxa"/>
            <w:shd w:val="clear" w:color="auto" w:fill="auto"/>
            <w:vAlign w:val="bottom"/>
          </w:tcPr>
          <w:p w14:paraId="1D9809E0" w14:textId="77777777" w:rsidR="00E02D1B" w:rsidRDefault="00000000">
            <w:pPr>
              <w:spacing w:before="0"/>
              <w:rPr>
                <w:color w:val="002060"/>
              </w:rPr>
            </w:pPr>
            <w:r>
              <w:rPr>
                <w:color w:val="002060"/>
              </w:rPr>
              <w:t xml:space="preserve">Mike </w:t>
            </w:r>
            <w:proofErr w:type="spellStart"/>
            <w:r>
              <w:rPr>
                <w:color w:val="002060"/>
              </w:rPr>
              <w:t>Myser</w:t>
            </w:r>
            <w:proofErr w:type="spellEnd"/>
          </w:p>
        </w:tc>
      </w:tr>
      <w:tr w:rsidR="00E02D1B" w14:paraId="1A8B1797" w14:textId="77777777">
        <w:trPr>
          <w:trHeight w:val="320"/>
          <w:tblHeader/>
          <w:jc w:val="center"/>
        </w:trPr>
        <w:tc>
          <w:tcPr>
            <w:tcW w:w="5310" w:type="dxa"/>
            <w:shd w:val="clear" w:color="auto" w:fill="auto"/>
            <w:vAlign w:val="bottom"/>
          </w:tcPr>
          <w:p w14:paraId="0ACD853C" w14:textId="77777777" w:rsidR="00E02D1B" w:rsidRDefault="00000000">
            <w:pPr>
              <w:spacing w:before="0"/>
              <w:rPr>
                <w:color w:val="002060"/>
              </w:rPr>
            </w:pPr>
            <w:r>
              <w:rPr>
                <w:color w:val="002060"/>
              </w:rPr>
              <w:lastRenderedPageBreak/>
              <w:t>Frontier Energy</w:t>
            </w:r>
          </w:p>
        </w:tc>
        <w:tc>
          <w:tcPr>
            <w:tcW w:w="3675" w:type="dxa"/>
            <w:shd w:val="clear" w:color="auto" w:fill="auto"/>
            <w:vAlign w:val="bottom"/>
          </w:tcPr>
          <w:p w14:paraId="097CF9E2" w14:textId="77777777" w:rsidR="00E02D1B" w:rsidRDefault="00000000">
            <w:pPr>
              <w:spacing w:before="0"/>
              <w:rPr>
                <w:color w:val="002060"/>
              </w:rPr>
            </w:pPr>
            <w:r>
              <w:rPr>
                <w:color w:val="002060"/>
              </w:rPr>
              <w:t>Nancy Barba</w:t>
            </w:r>
          </w:p>
        </w:tc>
      </w:tr>
      <w:tr w:rsidR="00E02D1B" w14:paraId="40AF1A85" w14:textId="77777777">
        <w:trPr>
          <w:trHeight w:val="320"/>
          <w:tblHeader/>
          <w:jc w:val="center"/>
        </w:trPr>
        <w:tc>
          <w:tcPr>
            <w:tcW w:w="5310" w:type="dxa"/>
            <w:shd w:val="clear" w:color="auto" w:fill="auto"/>
            <w:vAlign w:val="bottom"/>
          </w:tcPr>
          <w:p w14:paraId="6514B014" w14:textId="77777777" w:rsidR="00E02D1B" w:rsidRDefault="00000000">
            <w:pPr>
              <w:spacing w:before="0"/>
              <w:rPr>
                <w:color w:val="002060"/>
              </w:rPr>
            </w:pPr>
            <w:r>
              <w:rPr>
                <w:color w:val="002060"/>
              </w:rPr>
              <w:t>Frontier Energy</w:t>
            </w:r>
          </w:p>
        </w:tc>
        <w:tc>
          <w:tcPr>
            <w:tcW w:w="3675" w:type="dxa"/>
            <w:shd w:val="clear" w:color="auto" w:fill="auto"/>
            <w:vAlign w:val="bottom"/>
          </w:tcPr>
          <w:p w14:paraId="65B3E041" w14:textId="77777777" w:rsidR="00E02D1B" w:rsidRDefault="00000000">
            <w:pPr>
              <w:spacing w:before="0"/>
              <w:rPr>
                <w:color w:val="002060"/>
              </w:rPr>
            </w:pPr>
            <w:r>
              <w:rPr>
                <w:color w:val="002060"/>
              </w:rPr>
              <w:t>Casey Carnes</w:t>
            </w:r>
          </w:p>
        </w:tc>
      </w:tr>
      <w:tr w:rsidR="00E02D1B" w14:paraId="37094FC3" w14:textId="77777777">
        <w:trPr>
          <w:trHeight w:val="320"/>
          <w:tblHeader/>
          <w:jc w:val="center"/>
        </w:trPr>
        <w:tc>
          <w:tcPr>
            <w:tcW w:w="5310" w:type="dxa"/>
            <w:shd w:val="clear" w:color="auto" w:fill="auto"/>
            <w:vAlign w:val="bottom"/>
          </w:tcPr>
          <w:p w14:paraId="1899324A" w14:textId="77777777" w:rsidR="00E02D1B" w:rsidRDefault="00000000">
            <w:pPr>
              <w:spacing w:before="0"/>
              <w:rPr>
                <w:color w:val="002060"/>
              </w:rPr>
            </w:pPr>
            <w:r>
              <w:rPr>
                <w:color w:val="002060"/>
              </w:rPr>
              <w:t>Frontier Energy</w:t>
            </w:r>
          </w:p>
        </w:tc>
        <w:tc>
          <w:tcPr>
            <w:tcW w:w="3675" w:type="dxa"/>
            <w:shd w:val="clear" w:color="auto" w:fill="auto"/>
            <w:vAlign w:val="bottom"/>
          </w:tcPr>
          <w:p w14:paraId="482B0FC8" w14:textId="77777777" w:rsidR="00E02D1B" w:rsidRDefault="00000000">
            <w:pPr>
              <w:spacing w:before="0"/>
              <w:rPr>
                <w:color w:val="002060"/>
              </w:rPr>
            </w:pPr>
            <w:r>
              <w:rPr>
                <w:color w:val="002060"/>
              </w:rPr>
              <w:t>Jesse Farber-Eger</w:t>
            </w:r>
          </w:p>
        </w:tc>
      </w:tr>
      <w:tr w:rsidR="00E02D1B" w14:paraId="272ABADD" w14:textId="77777777">
        <w:trPr>
          <w:trHeight w:val="320"/>
          <w:tblHeader/>
          <w:jc w:val="center"/>
        </w:trPr>
        <w:tc>
          <w:tcPr>
            <w:tcW w:w="5310" w:type="dxa"/>
            <w:shd w:val="clear" w:color="auto" w:fill="auto"/>
            <w:vAlign w:val="bottom"/>
          </w:tcPr>
          <w:p w14:paraId="7B45B916" w14:textId="77777777" w:rsidR="00E02D1B" w:rsidRDefault="00000000">
            <w:pPr>
              <w:spacing w:before="0"/>
              <w:rPr>
                <w:color w:val="002060"/>
              </w:rPr>
            </w:pPr>
            <w:r>
              <w:rPr>
                <w:color w:val="002060"/>
              </w:rPr>
              <w:t>Frontier Energy</w:t>
            </w:r>
          </w:p>
        </w:tc>
        <w:tc>
          <w:tcPr>
            <w:tcW w:w="3675" w:type="dxa"/>
            <w:shd w:val="clear" w:color="auto" w:fill="auto"/>
            <w:vAlign w:val="bottom"/>
          </w:tcPr>
          <w:p w14:paraId="3CDA8B9C" w14:textId="77777777" w:rsidR="00E02D1B" w:rsidRDefault="00000000">
            <w:pPr>
              <w:spacing w:before="0"/>
              <w:rPr>
                <w:color w:val="002060"/>
              </w:rPr>
            </w:pPr>
            <w:r>
              <w:rPr>
                <w:color w:val="002060"/>
              </w:rPr>
              <w:t>Aaron Jones</w:t>
            </w:r>
          </w:p>
        </w:tc>
      </w:tr>
      <w:tr w:rsidR="00E02D1B" w14:paraId="4147D6CF" w14:textId="77777777">
        <w:trPr>
          <w:trHeight w:val="320"/>
          <w:tblHeader/>
          <w:jc w:val="center"/>
        </w:trPr>
        <w:tc>
          <w:tcPr>
            <w:tcW w:w="5310" w:type="dxa"/>
            <w:shd w:val="clear" w:color="auto" w:fill="auto"/>
            <w:vAlign w:val="bottom"/>
          </w:tcPr>
          <w:p w14:paraId="2D4F65EF" w14:textId="77777777" w:rsidR="00E02D1B" w:rsidRDefault="00000000">
            <w:pPr>
              <w:spacing w:before="0"/>
              <w:rPr>
                <w:color w:val="002060"/>
              </w:rPr>
            </w:pPr>
            <w:r>
              <w:rPr>
                <w:color w:val="002060"/>
              </w:rPr>
              <w:t>Frontier Energy</w:t>
            </w:r>
          </w:p>
        </w:tc>
        <w:tc>
          <w:tcPr>
            <w:tcW w:w="3675" w:type="dxa"/>
            <w:shd w:val="clear" w:color="auto" w:fill="auto"/>
            <w:vAlign w:val="bottom"/>
          </w:tcPr>
          <w:p w14:paraId="5A065DC3" w14:textId="77777777" w:rsidR="00E02D1B" w:rsidRDefault="00000000">
            <w:pPr>
              <w:spacing w:before="0"/>
              <w:rPr>
                <w:color w:val="002060"/>
              </w:rPr>
            </w:pPr>
            <w:r>
              <w:rPr>
                <w:color w:val="002060"/>
              </w:rPr>
              <w:t>Margaret Marchant</w:t>
            </w:r>
          </w:p>
        </w:tc>
      </w:tr>
      <w:tr w:rsidR="00E02D1B" w14:paraId="223E18D2" w14:textId="77777777">
        <w:trPr>
          <w:trHeight w:val="320"/>
          <w:tblHeader/>
          <w:jc w:val="center"/>
        </w:trPr>
        <w:tc>
          <w:tcPr>
            <w:tcW w:w="5310" w:type="dxa"/>
            <w:shd w:val="clear" w:color="auto" w:fill="auto"/>
            <w:vAlign w:val="bottom"/>
          </w:tcPr>
          <w:p w14:paraId="7C089C49" w14:textId="77777777" w:rsidR="00E02D1B" w:rsidRDefault="00000000">
            <w:pPr>
              <w:spacing w:before="0"/>
              <w:rPr>
                <w:color w:val="002060"/>
              </w:rPr>
            </w:pPr>
            <w:r>
              <w:rPr>
                <w:color w:val="002060"/>
              </w:rPr>
              <w:t>Frontier Energy</w:t>
            </w:r>
          </w:p>
        </w:tc>
        <w:tc>
          <w:tcPr>
            <w:tcW w:w="3675" w:type="dxa"/>
            <w:shd w:val="clear" w:color="auto" w:fill="auto"/>
            <w:vAlign w:val="bottom"/>
          </w:tcPr>
          <w:p w14:paraId="71609B98" w14:textId="77777777" w:rsidR="00E02D1B" w:rsidRDefault="00000000">
            <w:pPr>
              <w:spacing w:before="0"/>
              <w:rPr>
                <w:color w:val="002060"/>
              </w:rPr>
            </w:pPr>
            <w:proofErr w:type="spellStart"/>
            <w:r>
              <w:rPr>
                <w:color w:val="002060"/>
              </w:rPr>
              <w:t>Timaree</w:t>
            </w:r>
            <w:proofErr w:type="spellEnd"/>
            <w:r>
              <w:rPr>
                <w:color w:val="002060"/>
              </w:rPr>
              <w:t xml:space="preserve"> Nelson</w:t>
            </w:r>
          </w:p>
        </w:tc>
      </w:tr>
      <w:tr w:rsidR="00E02D1B" w14:paraId="65BC7C16" w14:textId="77777777">
        <w:trPr>
          <w:trHeight w:val="320"/>
          <w:tblHeader/>
          <w:jc w:val="center"/>
        </w:trPr>
        <w:tc>
          <w:tcPr>
            <w:tcW w:w="5310" w:type="dxa"/>
            <w:shd w:val="clear" w:color="auto" w:fill="auto"/>
            <w:vAlign w:val="bottom"/>
          </w:tcPr>
          <w:p w14:paraId="434AFAD8" w14:textId="77777777" w:rsidR="00E02D1B" w:rsidRDefault="00000000">
            <w:pPr>
              <w:spacing w:before="0"/>
              <w:rPr>
                <w:color w:val="002060"/>
              </w:rPr>
            </w:pPr>
            <w:r>
              <w:rPr>
                <w:color w:val="002060"/>
              </w:rPr>
              <w:t>FS Consulting</w:t>
            </w:r>
          </w:p>
        </w:tc>
        <w:tc>
          <w:tcPr>
            <w:tcW w:w="3675" w:type="dxa"/>
            <w:shd w:val="clear" w:color="auto" w:fill="auto"/>
            <w:vAlign w:val="bottom"/>
          </w:tcPr>
          <w:p w14:paraId="2E86000B" w14:textId="77777777" w:rsidR="00E02D1B" w:rsidRDefault="00000000">
            <w:pPr>
              <w:spacing w:before="0"/>
              <w:rPr>
                <w:color w:val="002060"/>
              </w:rPr>
            </w:pPr>
            <w:r>
              <w:rPr>
                <w:color w:val="002060"/>
              </w:rPr>
              <w:t>Frank Spasaro</w:t>
            </w:r>
          </w:p>
        </w:tc>
      </w:tr>
      <w:tr w:rsidR="00E02D1B" w14:paraId="573540A4" w14:textId="77777777">
        <w:trPr>
          <w:trHeight w:val="320"/>
          <w:tblHeader/>
          <w:jc w:val="center"/>
        </w:trPr>
        <w:tc>
          <w:tcPr>
            <w:tcW w:w="5310" w:type="dxa"/>
            <w:shd w:val="clear" w:color="auto" w:fill="auto"/>
            <w:vAlign w:val="bottom"/>
          </w:tcPr>
          <w:p w14:paraId="0AF14CE2" w14:textId="77777777" w:rsidR="00E02D1B" w:rsidRDefault="00000000">
            <w:pPr>
              <w:spacing w:before="0"/>
              <w:rPr>
                <w:color w:val="002060"/>
              </w:rPr>
            </w:pPr>
            <w:r>
              <w:rPr>
                <w:color w:val="002060"/>
              </w:rPr>
              <w:t>Google</w:t>
            </w:r>
          </w:p>
        </w:tc>
        <w:tc>
          <w:tcPr>
            <w:tcW w:w="3675" w:type="dxa"/>
            <w:shd w:val="clear" w:color="auto" w:fill="auto"/>
            <w:vAlign w:val="bottom"/>
          </w:tcPr>
          <w:p w14:paraId="661F3B5D" w14:textId="77777777" w:rsidR="00E02D1B" w:rsidRDefault="00000000">
            <w:pPr>
              <w:spacing w:before="0"/>
              <w:rPr>
                <w:color w:val="002060"/>
              </w:rPr>
            </w:pPr>
            <w:r>
              <w:rPr>
                <w:color w:val="002060"/>
              </w:rPr>
              <w:t>Chad Ihrig</w:t>
            </w:r>
          </w:p>
        </w:tc>
      </w:tr>
      <w:tr w:rsidR="00E02D1B" w14:paraId="2B39DC6C" w14:textId="77777777">
        <w:trPr>
          <w:trHeight w:val="320"/>
          <w:tblHeader/>
          <w:jc w:val="center"/>
        </w:trPr>
        <w:tc>
          <w:tcPr>
            <w:tcW w:w="5310" w:type="dxa"/>
            <w:shd w:val="clear" w:color="auto" w:fill="auto"/>
            <w:vAlign w:val="bottom"/>
          </w:tcPr>
          <w:p w14:paraId="30FDB5F6" w14:textId="77777777" w:rsidR="00E02D1B" w:rsidRDefault="00000000">
            <w:pPr>
              <w:spacing w:before="0"/>
              <w:rPr>
                <w:color w:val="002060"/>
              </w:rPr>
            </w:pPr>
            <w:r>
              <w:rPr>
                <w:color w:val="002060"/>
              </w:rPr>
              <w:t>Lincus</w:t>
            </w:r>
          </w:p>
        </w:tc>
        <w:tc>
          <w:tcPr>
            <w:tcW w:w="3675" w:type="dxa"/>
            <w:shd w:val="clear" w:color="auto" w:fill="auto"/>
            <w:vAlign w:val="bottom"/>
          </w:tcPr>
          <w:p w14:paraId="103A64CE" w14:textId="77777777" w:rsidR="00E02D1B" w:rsidRDefault="00000000">
            <w:pPr>
              <w:spacing w:before="0"/>
              <w:rPr>
                <w:color w:val="002060"/>
              </w:rPr>
            </w:pPr>
            <w:r>
              <w:rPr>
                <w:color w:val="002060"/>
              </w:rPr>
              <w:t>Patrick Ngo</w:t>
            </w:r>
          </w:p>
        </w:tc>
      </w:tr>
      <w:tr w:rsidR="00E02D1B" w14:paraId="4AD3E066" w14:textId="77777777">
        <w:trPr>
          <w:trHeight w:val="320"/>
          <w:tblHeader/>
          <w:jc w:val="center"/>
        </w:trPr>
        <w:tc>
          <w:tcPr>
            <w:tcW w:w="5310" w:type="dxa"/>
            <w:shd w:val="clear" w:color="auto" w:fill="auto"/>
            <w:vAlign w:val="bottom"/>
          </w:tcPr>
          <w:p w14:paraId="65C9EDCE" w14:textId="77777777" w:rsidR="00E02D1B" w:rsidRDefault="00000000">
            <w:pPr>
              <w:spacing w:before="0"/>
              <w:rPr>
                <w:color w:val="002060"/>
              </w:rPr>
            </w:pPr>
            <w:r>
              <w:rPr>
                <w:color w:val="002060"/>
              </w:rPr>
              <w:t>Lincus</w:t>
            </w:r>
          </w:p>
        </w:tc>
        <w:tc>
          <w:tcPr>
            <w:tcW w:w="3675" w:type="dxa"/>
            <w:shd w:val="clear" w:color="auto" w:fill="auto"/>
            <w:vAlign w:val="bottom"/>
          </w:tcPr>
          <w:p w14:paraId="0EB4D81F" w14:textId="77777777" w:rsidR="00E02D1B" w:rsidRDefault="00000000">
            <w:pPr>
              <w:spacing w:before="0"/>
              <w:rPr>
                <w:color w:val="002060"/>
              </w:rPr>
            </w:pPr>
            <w:r>
              <w:rPr>
                <w:color w:val="002060"/>
              </w:rPr>
              <w:t>Hob Issa</w:t>
            </w:r>
          </w:p>
        </w:tc>
      </w:tr>
      <w:tr w:rsidR="00E02D1B" w14:paraId="607871AB" w14:textId="77777777">
        <w:trPr>
          <w:trHeight w:val="320"/>
          <w:tblHeader/>
          <w:jc w:val="center"/>
        </w:trPr>
        <w:tc>
          <w:tcPr>
            <w:tcW w:w="5310" w:type="dxa"/>
            <w:shd w:val="clear" w:color="auto" w:fill="auto"/>
            <w:vAlign w:val="bottom"/>
          </w:tcPr>
          <w:p w14:paraId="3D54794E" w14:textId="77777777" w:rsidR="00E02D1B" w:rsidRDefault="00000000">
            <w:pPr>
              <w:spacing w:before="0"/>
              <w:rPr>
                <w:color w:val="002060"/>
              </w:rPr>
            </w:pPr>
            <w:r>
              <w:rPr>
                <w:color w:val="002060"/>
              </w:rPr>
              <w:t>Mark Wallenrod Consulting</w:t>
            </w:r>
          </w:p>
        </w:tc>
        <w:tc>
          <w:tcPr>
            <w:tcW w:w="3675" w:type="dxa"/>
            <w:shd w:val="clear" w:color="auto" w:fill="auto"/>
            <w:vAlign w:val="bottom"/>
          </w:tcPr>
          <w:p w14:paraId="6CBE6D6A" w14:textId="77777777" w:rsidR="00E02D1B" w:rsidRDefault="00000000">
            <w:pPr>
              <w:spacing w:before="0"/>
              <w:rPr>
                <w:color w:val="002060"/>
              </w:rPr>
            </w:pPr>
            <w:r>
              <w:rPr>
                <w:color w:val="002060"/>
              </w:rPr>
              <w:t>Mark Wallenrod</w:t>
            </w:r>
          </w:p>
        </w:tc>
      </w:tr>
      <w:tr w:rsidR="00E02D1B" w14:paraId="0C8444E1" w14:textId="77777777">
        <w:trPr>
          <w:trHeight w:val="320"/>
          <w:tblHeader/>
          <w:jc w:val="center"/>
        </w:trPr>
        <w:tc>
          <w:tcPr>
            <w:tcW w:w="5310" w:type="dxa"/>
            <w:shd w:val="clear" w:color="auto" w:fill="auto"/>
            <w:vAlign w:val="bottom"/>
          </w:tcPr>
          <w:p w14:paraId="07AD9833" w14:textId="77777777" w:rsidR="00E02D1B" w:rsidRDefault="00000000">
            <w:pPr>
              <w:spacing w:before="0"/>
              <w:rPr>
                <w:color w:val="002060"/>
              </w:rPr>
            </w:pPr>
            <w:r>
              <w:rPr>
                <w:color w:val="002060"/>
              </w:rPr>
              <w:t>Okapia Architecture</w:t>
            </w:r>
          </w:p>
        </w:tc>
        <w:tc>
          <w:tcPr>
            <w:tcW w:w="3675" w:type="dxa"/>
            <w:shd w:val="clear" w:color="auto" w:fill="auto"/>
            <w:vAlign w:val="bottom"/>
          </w:tcPr>
          <w:p w14:paraId="29B47F4C" w14:textId="77777777" w:rsidR="00E02D1B" w:rsidRDefault="00000000">
            <w:pPr>
              <w:spacing w:before="0"/>
              <w:rPr>
                <w:color w:val="002060"/>
              </w:rPr>
            </w:pPr>
            <w:r>
              <w:rPr>
                <w:color w:val="002060"/>
              </w:rPr>
              <w:t>David Holly</w:t>
            </w:r>
          </w:p>
        </w:tc>
      </w:tr>
      <w:tr w:rsidR="00E02D1B" w14:paraId="2532AB3B" w14:textId="77777777">
        <w:trPr>
          <w:trHeight w:val="320"/>
          <w:tblHeader/>
          <w:jc w:val="center"/>
        </w:trPr>
        <w:tc>
          <w:tcPr>
            <w:tcW w:w="5310" w:type="dxa"/>
            <w:shd w:val="clear" w:color="auto" w:fill="auto"/>
            <w:vAlign w:val="bottom"/>
          </w:tcPr>
          <w:p w14:paraId="49531D0A" w14:textId="77777777" w:rsidR="00E02D1B" w:rsidRDefault="00000000">
            <w:pPr>
              <w:spacing w:before="0"/>
              <w:rPr>
                <w:color w:val="002060"/>
                <w:highlight w:val="yellow"/>
              </w:rPr>
            </w:pPr>
            <w:r>
              <w:rPr>
                <w:color w:val="002060"/>
              </w:rPr>
              <w:t>Okapia Architecture</w:t>
            </w:r>
          </w:p>
        </w:tc>
        <w:tc>
          <w:tcPr>
            <w:tcW w:w="3675" w:type="dxa"/>
            <w:shd w:val="clear" w:color="auto" w:fill="auto"/>
            <w:vAlign w:val="bottom"/>
          </w:tcPr>
          <w:p w14:paraId="148DF668" w14:textId="77777777" w:rsidR="00E02D1B" w:rsidRDefault="00000000">
            <w:pPr>
              <w:spacing w:before="0"/>
              <w:rPr>
                <w:color w:val="002060"/>
                <w:highlight w:val="yellow"/>
              </w:rPr>
            </w:pPr>
            <w:r>
              <w:rPr>
                <w:color w:val="002060"/>
              </w:rPr>
              <w:t>Ying Wang</w:t>
            </w:r>
          </w:p>
        </w:tc>
      </w:tr>
      <w:tr w:rsidR="00E02D1B" w14:paraId="4508AAA3" w14:textId="77777777">
        <w:trPr>
          <w:trHeight w:val="320"/>
          <w:tblHeader/>
          <w:jc w:val="center"/>
        </w:trPr>
        <w:tc>
          <w:tcPr>
            <w:tcW w:w="5310" w:type="dxa"/>
            <w:shd w:val="clear" w:color="auto" w:fill="auto"/>
            <w:vAlign w:val="bottom"/>
          </w:tcPr>
          <w:p w14:paraId="23DFB9CC" w14:textId="77777777" w:rsidR="00E02D1B" w:rsidRDefault="00000000">
            <w:pPr>
              <w:spacing w:before="0"/>
              <w:rPr>
                <w:color w:val="002060"/>
              </w:rPr>
            </w:pPr>
            <w:r>
              <w:rPr>
                <w:color w:val="002060"/>
              </w:rPr>
              <w:t>PG&amp;E</w:t>
            </w:r>
          </w:p>
        </w:tc>
        <w:tc>
          <w:tcPr>
            <w:tcW w:w="3675" w:type="dxa"/>
            <w:shd w:val="clear" w:color="auto" w:fill="auto"/>
            <w:vAlign w:val="bottom"/>
          </w:tcPr>
          <w:p w14:paraId="58E785E6" w14:textId="77777777" w:rsidR="00E02D1B" w:rsidRDefault="00000000">
            <w:pPr>
              <w:spacing w:before="0"/>
              <w:rPr>
                <w:color w:val="002060"/>
              </w:rPr>
            </w:pPr>
            <w:r>
              <w:rPr>
                <w:color w:val="002060"/>
              </w:rPr>
              <w:t xml:space="preserve">Sebastien </w:t>
            </w:r>
            <w:proofErr w:type="spellStart"/>
            <w:r>
              <w:rPr>
                <w:color w:val="002060"/>
              </w:rPr>
              <w:t>Csapo</w:t>
            </w:r>
            <w:proofErr w:type="spellEnd"/>
          </w:p>
        </w:tc>
      </w:tr>
      <w:tr w:rsidR="00E02D1B" w14:paraId="6E40C5F3" w14:textId="77777777">
        <w:trPr>
          <w:trHeight w:val="320"/>
          <w:tblHeader/>
          <w:jc w:val="center"/>
        </w:trPr>
        <w:tc>
          <w:tcPr>
            <w:tcW w:w="5310" w:type="dxa"/>
            <w:shd w:val="clear" w:color="auto" w:fill="auto"/>
            <w:vAlign w:val="bottom"/>
          </w:tcPr>
          <w:p w14:paraId="78870022" w14:textId="77777777" w:rsidR="00E02D1B" w:rsidRDefault="00000000">
            <w:pPr>
              <w:spacing w:before="0"/>
              <w:rPr>
                <w:color w:val="002060"/>
              </w:rPr>
            </w:pPr>
            <w:r>
              <w:rPr>
                <w:color w:val="002060"/>
              </w:rPr>
              <w:t>PG&amp;E</w:t>
            </w:r>
          </w:p>
        </w:tc>
        <w:tc>
          <w:tcPr>
            <w:tcW w:w="3675" w:type="dxa"/>
            <w:shd w:val="clear" w:color="auto" w:fill="auto"/>
            <w:vAlign w:val="bottom"/>
          </w:tcPr>
          <w:p w14:paraId="6E1D1F25" w14:textId="77777777" w:rsidR="00E02D1B" w:rsidRDefault="00000000">
            <w:pPr>
              <w:spacing w:before="0"/>
              <w:rPr>
                <w:color w:val="002060"/>
              </w:rPr>
            </w:pPr>
            <w:r>
              <w:rPr>
                <w:color w:val="002060"/>
              </w:rPr>
              <w:t xml:space="preserve">Charles </w:t>
            </w:r>
            <w:proofErr w:type="spellStart"/>
            <w:r>
              <w:rPr>
                <w:color w:val="002060"/>
              </w:rPr>
              <w:t>Erlich</w:t>
            </w:r>
            <w:proofErr w:type="spellEnd"/>
          </w:p>
        </w:tc>
      </w:tr>
      <w:tr w:rsidR="00E02D1B" w14:paraId="1C961F11" w14:textId="77777777">
        <w:trPr>
          <w:trHeight w:val="320"/>
          <w:tblHeader/>
          <w:jc w:val="center"/>
        </w:trPr>
        <w:tc>
          <w:tcPr>
            <w:tcW w:w="5310" w:type="dxa"/>
            <w:shd w:val="clear" w:color="auto" w:fill="auto"/>
            <w:vAlign w:val="bottom"/>
          </w:tcPr>
          <w:p w14:paraId="45F6F0B1" w14:textId="77777777" w:rsidR="00E02D1B" w:rsidRDefault="00000000">
            <w:pPr>
              <w:spacing w:before="0"/>
              <w:rPr>
                <w:color w:val="002060"/>
              </w:rPr>
            </w:pPr>
            <w:r>
              <w:rPr>
                <w:color w:val="002060"/>
              </w:rPr>
              <w:t>PG&amp;E</w:t>
            </w:r>
          </w:p>
        </w:tc>
        <w:tc>
          <w:tcPr>
            <w:tcW w:w="3675" w:type="dxa"/>
            <w:shd w:val="clear" w:color="auto" w:fill="auto"/>
            <w:vAlign w:val="bottom"/>
          </w:tcPr>
          <w:p w14:paraId="2D7C820E" w14:textId="77777777" w:rsidR="00E02D1B" w:rsidRDefault="00000000">
            <w:pPr>
              <w:spacing w:before="0"/>
              <w:rPr>
                <w:color w:val="002060"/>
              </w:rPr>
            </w:pPr>
            <w:r>
              <w:rPr>
                <w:color w:val="002060"/>
              </w:rPr>
              <w:t xml:space="preserve">Lindsay </w:t>
            </w:r>
            <w:proofErr w:type="spellStart"/>
            <w:r>
              <w:rPr>
                <w:color w:val="002060"/>
              </w:rPr>
              <w:t>Tillisch</w:t>
            </w:r>
            <w:proofErr w:type="spellEnd"/>
          </w:p>
        </w:tc>
      </w:tr>
      <w:tr w:rsidR="00E02D1B" w14:paraId="79664EB7" w14:textId="77777777">
        <w:trPr>
          <w:trHeight w:val="320"/>
          <w:tblHeader/>
          <w:jc w:val="center"/>
        </w:trPr>
        <w:tc>
          <w:tcPr>
            <w:tcW w:w="5310" w:type="dxa"/>
            <w:shd w:val="clear" w:color="auto" w:fill="auto"/>
            <w:vAlign w:val="bottom"/>
          </w:tcPr>
          <w:p w14:paraId="463289B2" w14:textId="77777777" w:rsidR="00E02D1B" w:rsidRDefault="00000000">
            <w:pPr>
              <w:spacing w:before="0"/>
              <w:rPr>
                <w:color w:val="002060"/>
              </w:rPr>
            </w:pPr>
            <w:r>
              <w:rPr>
                <w:color w:val="002060"/>
              </w:rPr>
              <w:t>RCEA</w:t>
            </w:r>
          </w:p>
        </w:tc>
        <w:tc>
          <w:tcPr>
            <w:tcW w:w="3675" w:type="dxa"/>
            <w:shd w:val="clear" w:color="auto" w:fill="auto"/>
            <w:vAlign w:val="bottom"/>
          </w:tcPr>
          <w:p w14:paraId="1BD94630" w14:textId="77777777" w:rsidR="00E02D1B" w:rsidRDefault="00000000">
            <w:pPr>
              <w:spacing w:before="0"/>
              <w:rPr>
                <w:color w:val="002060"/>
              </w:rPr>
            </w:pPr>
            <w:r>
              <w:rPr>
                <w:color w:val="002060"/>
              </w:rPr>
              <w:t xml:space="preserve">Faith </w:t>
            </w:r>
            <w:proofErr w:type="spellStart"/>
            <w:r>
              <w:rPr>
                <w:color w:val="002060"/>
              </w:rPr>
              <w:t>Yakovleva</w:t>
            </w:r>
            <w:proofErr w:type="spellEnd"/>
          </w:p>
        </w:tc>
      </w:tr>
      <w:tr w:rsidR="00E02D1B" w14:paraId="3C201ED1" w14:textId="77777777">
        <w:trPr>
          <w:trHeight w:val="320"/>
          <w:tblHeader/>
          <w:jc w:val="center"/>
        </w:trPr>
        <w:tc>
          <w:tcPr>
            <w:tcW w:w="5310" w:type="dxa"/>
            <w:shd w:val="clear" w:color="auto" w:fill="auto"/>
            <w:vAlign w:val="bottom"/>
          </w:tcPr>
          <w:p w14:paraId="64E6B3EC" w14:textId="77777777" w:rsidR="00E02D1B" w:rsidRDefault="00000000">
            <w:pPr>
              <w:spacing w:before="0"/>
              <w:rPr>
                <w:color w:val="002060"/>
              </w:rPr>
            </w:pPr>
            <w:r>
              <w:rPr>
                <w:color w:val="002060"/>
              </w:rPr>
              <w:t>RCEA</w:t>
            </w:r>
          </w:p>
        </w:tc>
        <w:tc>
          <w:tcPr>
            <w:tcW w:w="3675" w:type="dxa"/>
            <w:shd w:val="clear" w:color="auto" w:fill="auto"/>
            <w:vAlign w:val="bottom"/>
          </w:tcPr>
          <w:p w14:paraId="01913EBA" w14:textId="77777777" w:rsidR="00E02D1B" w:rsidRDefault="00000000">
            <w:pPr>
              <w:spacing w:before="0"/>
              <w:rPr>
                <w:color w:val="002060"/>
              </w:rPr>
            </w:pPr>
            <w:r>
              <w:rPr>
                <w:color w:val="002060"/>
              </w:rPr>
              <w:t>Patricia Terry</w:t>
            </w:r>
          </w:p>
        </w:tc>
      </w:tr>
      <w:tr w:rsidR="00E02D1B" w14:paraId="4AEF04A9" w14:textId="77777777">
        <w:trPr>
          <w:trHeight w:val="320"/>
          <w:tblHeader/>
          <w:jc w:val="center"/>
        </w:trPr>
        <w:tc>
          <w:tcPr>
            <w:tcW w:w="5310" w:type="dxa"/>
            <w:shd w:val="clear" w:color="auto" w:fill="auto"/>
            <w:vAlign w:val="bottom"/>
          </w:tcPr>
          <w:p w14:paraId="374B0913" w14:textId="77777777" w:rsidR="00E02D1B" w:rsidRDefault="00000000">
            <w:pPr>
              <w:spacing w:before="0"/>
              <w:rPr>
                <w:color w:val="002060"/>
              </w:rPr>
            </w:pPr>
            <w:r>
              <w:rPr>
                <w:color w:val="002060"/>
              </w:rPr>
              <w:t>Resource Innovations/</w:t>
            </w:r>
            <w:proofErr w:type="spellStart"/>
            <w:r>
              <w:rPr>
                <w:color w:val="002060"/>
              </w:rPr>
              <w:t>CalMTA</w:t>
            </w:r>
            <w:proofErr w:type="spellEnd"/>
          </w:p>
        </w:tc>
        <w:tc>
          <w:tcPr>
            <w:tcW w:w="3675" w:type="dxa"/>
            <w:shd w:val="clear" w:color="auto" w:fill="auto"/>
            <w:vAlign w:val="bottom"/>
          </w:tcPr>
          <w:p w14:paraId="54A7F857" w14:textId="77777777" w:rsidR="00E02D1B" w:rsidRDefault="00000000">
            <w:pPr>
              <w:spacing w:before="0"/>
              <w:rPr>
                <w:color w:val="002060"/>
              </w:rPr>
            </w:pPr>
            <w:r>
              <w:rPr>
                <w:color w:val="002060"/>
              </w:rPr>
              <w:t>Nils Strindberg</w:t>
            </w:r>
          </w:p>
        </w:tc>
      </w:tr>
      <w:tr w:rsidR="00E02D1B" w14:paraId="2DE9BDC5" w14:textId="77777777">
        <w:trPr>
          <w:trHeight w:val="320"/>
          <w:tblHeader/>
          <w:jc w:val="center"/>
        </w:trPr>
        <w:tc>
          <w:tcPr>
            <w:tcW w:w="5310" w:type="dxa"/>
            <w:shd w:val="clear" w:color="auto" w:fill="auto"/>
            <w:vAlign w:val="bottom"/>
          </w:tcPr>
          <w:p w14:paraId="4E92A62E" w14:textId="77777777" w:rsidR="00E02D1B" w:rsidRDefault="00000000">
            <w:pPr>
              <w:spacing w:before="0"/>
              <w:rPr>
                <w:color w:val="002060"/>
              </w:rPr>
            </w:pPr>
            <w:r>
              <w:rPr>
                <w:color w:val="002060"/>
              </w:rPr>
              <w:t>SCE</w:t>
            </w:r>
          </w:p>
        </w:tc>
        <w:tc>
          <w:tcPr>
            <w:tcW w:w="3675" w:type="dxa"/>
            <w:shd w:val="clear" w:color="auto" w:fill="auto"/>
            <w:vAlign w:val="bottom"/>
          </w:tcPr>
          <w:p w14:paraId="6AFE03EE" w14:textId="77777777" w:rsidR="00E02D1B" w:rsidRDefault="00000000">
            <w:pPr>
              <w:spacing w:before="0"/>
              <w:rPr>
                <w:color w:val="002060"/>
              </w:rPr>
            </w:pPr>
            <w:r>
              <w:rPr>
                <w:color w:val="002060"/>
              </w:rPr>
              <w:t xml:space="preserve">Carlo </w:t>
            </w:r>
            <w:proofErr w:type="spellStart"/>
            <w:r>
              <w:rPr>
                <w:color w:val="002060"/>
              </w:rPr>
              <w:t>Gavina</w:t>
            </w:r>
            <w:proofErr w:type="spellEnd"/>
          </w:p>
        </w:tc>
      </w:tr>
      <w:tr w:rsidR="00E02D1B" w14:paraId="34EEF345" w14:textId="77777777">
        <w:trPr>
          <w:trHeight w:val="320"/>
          <w:tblHeader/>
          <w:jc w:val="center"/>
        </w:trPr>
        <w:tc>
          <w:tcPr>
            <w:tcW w:w="5310" w:type="dxa"/>
            <w:shd w:val="clear" w:color="auto" w:fill="auto"/>
            <w:vAlign w:val="bottom"/>
          </w:tcPr>
          <w:p w14:paraId="7B21EF3A" w14:textId="77777777" w:rsidR="00E02D1B" w:rsidRDefault="00000000">
            <w:pPr>
              <w:spacing w:before="0"/>
              <w:rPr>
                <w:color w:val="002060"/>
              </w:rPr>
            </w:pPr>
            <w:r>
              <w:rPr>
                <w:color w:val="002060"/>
              </w:rPr>
              <w:t>SCE</w:t>
            </w:r>
          </w:p>
        </w:tc>
        <w:tc>
          <w:tcPr>
            <w:tcW w:w="3675" w:type="dxa"/>
            <w:shd w:val="clear" w:color="auto" w:fill="auto"/>
            <w:vAlign w:val="bottom"/>
          </w:tcPr>
          <w:p w14:paraId="5FE37AE8" w14:textId="77777777" w:rsidR="00E02D1B" w:rsidRDefault="00000000">
            <w:pPr>
              <w:spacing w:before="0"/>
              <w:rPr>
                <w:color w:val="002060"/>
              </w:rPr>
            </w:pPr>
            <w:r>
              <w:rPr>
                <w:color w:val="002060"/>
              </w:rPr>
              <w:t>Randall Higa</w:t>
            </w:r>
          </w:p>
        </w:tc>
      </w:tr>
      <w:tr w:rsidR="00E02D1B" w14:paraId="72824CB8" w14:textId="77777777">
        <w:trPr>
          <w:trHeight w:val="320"/>
          <w:tblHeader/>
          <w:jc w:val="center"/>
        </w:trPr>
        <w:tc>
          <w:tcPr>
            <w:tcW w:w="5310" w:type="dxa"/>
            <w:shd w:val="clear" w:color="auto" w:fill="auto"/>
            <w:vAlign w:val="bottom"/>
          </w:tcPr>
          <w:p w14:paraId="4DF76180" w14:textId="77777777" w:rsidR="00E02D1B" w:rsidRDefault="00000000">
            <w:pPr>
              <w:spacing w:before="0"/>
              <w:rPr>
                <w:color w:val="002060"/>
              </w:rPr>
            </w:pPr>
            <w:r>
              <w:rPr>
                <w:color w:val="002060"/>
              </w:rPr>
              <w:t>SCE</w:t>
            </w:r>
          </w:p>
        </w:tc>
        <w:tc>
          <w:tcPr>
            <w:tcW w:w="3675" w:type="dxa"/>
            <w:shd w:val="clear" w:color="auto" w:fill="auto"/>
            <w:vAlign w:val="bottom"/>
          </w:tcPr>
          <w:p w14:paraId="266457A0" w14:textId="77777777" w:rsidR="00E02D1B" w:rsidRDefault="00000000">
            <w:pPr>
              <w:spacing w:before="0"/>
              <w:rPr>
                <w:color w:val="002060"/>
              </w:rPr>
            </w:pPr>
            <w:proofErr w:type="spellStart"/>
            <w:r>
              <w:rPr>
                <w:color w:val="002060"/>
              </w:rPr>
              <w:t>Aaiysha</w:t>
            </w:r>
            <w:proofErr w:type="spellEnd"/>
            <w:r>
              <w:rPr>
                <w:color w:val="002060"/>
              </w:rPr>
              <w:t xml:space="preserve"> Khursheed</w:t>
            </w:r>
          </w:p>
        </w:tc>
      </w:tr>
      <w:tr w:rsidR="00E02D1B" w14:paraId="1FC711A2" w14:textId="77777777">
        <w:trPr>
          <w:trHeight w:val="320"/>
          <w:tblHeader/>
          <w:jc w:val="center"/>
        </w:trPr>
        <w:tc>
          <w:tcPr>
            <w:tcW w:w="5310" w:type="dxa"/>
            <w:shd w:val="clear" w:color="auto" w:fill="auto"/>
            <w:vAlign w:val="bottom"/>
          </w:tcPr>
          <w:p w14:paraId="0BC62682" w14:textId="77777777" w:rsidR="00E02D1B" w:rsidRDefault="00000000">
            <w:pPr>
              <w:spacing w:before="0"/>
              <w:rPr>
                <w:color w:val="002060"/>
              </w:rPr>
            </w:pPr>
            <w:r>
              <w:rPr>
                <w:color w:val="002060"/>
              </w:rPr>
              <w:t>SCE</w:t>
            </w:r>
          </w:p>
        </w:tc>
        <w:tc>
          <w:tcPr>
            <w:tcW w:w="3675" w:type="dxa"/>
            <w:shd w:val="clear" w:color="auto" w:fill="auto"/>
            <w:vAlign w:val="bottom"/>
          </w:tcPr>
          <w:p w14:paraId="4BBFFFD9" w14:textId="77777777" w:rsidR="00E02D1B" w:rsidRDefault="00000000">
            <w:pPr>
              <w:spacing w:before="0"/>
              <w:rPr>
                <w:color w:val="002060"/>
              </w:rPr>
            </w:pPr>
            <w:r>
              <w:rPr>
                <w:color w:val="002060"/>
              </w:rPr>
              <w:t xml:space="preserve">Nataly Morales  </w:t>
            </w:r>
          </w:p>
        </w:tc>
      </w:tr>
      <w:tr w:rsidR="00E02D1B" w14:paraId="1DA15F27" w14:textId="77777777">
        <w:trPr>
          <w:trHeight w:val="320"/>
          <w:tblHeader/>
          <w:jc w:val="center"/>
        </w:trPr>
        <w:tc>
          <w:tcPr>
            <w:tcW w:w="5310" w:type="dxa"/>
            <w:shd w:val="clear" w:color="auto" w:fill="auto"/>
            <w:vAlign w:val="bottom"/>
          </w:tcPr>
          <w:p w14:paraId="32FC399C" w14:textId="77777777" w:rsidR="00E02D1B" w:rsidRDefault="00000000">
            <w:pPr>
              <w:spacing w:before="0"/>
              <w:rPr>
                <w:color w:val="002060"/>
              </w:rPr>
            </w:pPr>
            <w:r>
              <w:rPr>
                <w:color w:val="002060"/>
              </w:rPr>
              <w:t>SCE</w:t>
            </w:r>
          </w:p>
        </w:tc>
        <w:tc>
          <w:tcPr>
            <w:tcW w:w="3675" w:type="dxa"/>
            <w:shd w:val="clear" w:color="auto" w:fill="auto"/>
            <w:vAlign w:val="bottom"/>
          </w:tcPr>
          <w:p w14:paraId="113AF3A3" w14:textId="77777777" w:rsidR="00E02D1B" w:rsidRDefault="00000000">
            <w:pPr>
              <w:spacing w:before="0"/>
              <w:rPr>
                <w:color w:val="002060"/>
              </w:rPr>
            </w:pPr>
            <w:r>
              <w:rPr>
                <w:color w:val="002060"/>
              </w:rPr>
              <w:t xml:space="preserve">Larry </w:t>
            </w:r>
            <w:proofErr w:type="spellStart"/>
            <w:r>
              <w:rPr>
                <w:color w:val="002060"/>
              </w:rPr>
              <w:t>Tabizon</w:t>
            </w:r>
            <w:proofErr w:type="spellEnd"/>
          </w:p>
        </w:tc>
      </w:tr>
      <w:tr w:rsidR="00E02D1B" w14:paraId="4E3DD2F1" w14:textId="77777777">
        <w:trPr>
          <w:trHeight w:val="320"/>
          <w:tblHeader/>
          <w:jc w:val="center"/>
        </w:trPr>
        <w:tc>
          <w:tcPr>
            <w:tcW w:w="5310" w:type="dxa"/>
            <w:shd w:val="clear" w:color="auto" w:fill="auto"/>
            <w:vAlign w:val="bottom"/>
          </w:tcPr>
          <w:p w14:paraId="52CC11B7" w14:textId="77777777" w:rsidR="00E02D1B" w:rsidRDefault="00000000">
            <w:pPr>
              <w:spacing w:before="0"/>
              <w:rPr>
                <w:color w:val="002060"/>
              </w:rPr>
            </w:pPr>
            <w:r>
              <w:rPr>
                <w:color w:val="002060"/>
              </w:rPr>
              <w:t>San Diego Community Power</w:t>
            </w:r>
          </w:p>
        </w:tc>
        <w:tc>
          <w:tcPr>
            <w:tcW w:w="3675" w:type="dxa"/>
            <w:shd w:val="clear" w:color="auto" w:fill="auto"/>
            <w:vAlign w:val="bottom"/>
          </w:tcPr>
          <w:p w14:paraId="79D07C4F" w14:textId="77777777" w:rsidR="00E02D1B" w:rsidRDefault="00000000">
            <w:pPr>
              <w:spacing w:before="0"/>
              <w:rPr>
                <w:color w:val="002060"/>
              </w:rPr>
            </w:pPr>
            <w:r>
              <w:rPr>
                <w:color w:val="002060"/>
              </w:rPr>
              <w:t>Aisha Cervantes Cissna</w:t>
            </w:r>
          </w:p>
        </w:tc>
      </w:tr>
      <w:tr w:rsidR="00E02D1B" w14:paraId="508D66EC" w14:textId="77777777">
        <w:trPr>
          <w:trHeight w:val="320"/>
          <w:tblHeader/>
          <w:jc w:val="center"/>
        </w:trPr>
        <w:tc>
          <w:tcPr>
            <w:tcW w:w="5310" w:type="dxa"/>
            <w:shd w:val="clear" w:color="auto" w:fill="auto"/>
            <w:vAlign w:val="bottom"/>
          </w:tcPr>
          <w:p w14:paraId="34D24523" w14:textId="77777777" w:rsidR="00E02D1B" w:rsidRDefault="00000000">
            <w:pPr>
              <w:spacing w:before="0"/>
              <w:rPr>
                <w:color w:val="002060"/>
              </w:rPr>
            </w:pPr>
            <w:r>
              <w:rPr>
                <w:color w:val="002060"/>
              </w:rPr>
              <w:t>San Diego Community Power</w:t>
            </w:r>
          </w:p>
        </w:tc>
        <w:tc>
          <w:tcPr>
            <w:tcW w:w="3675" w:type="dxa"/>
            <w:shd w:val="clear" w:color="auto" w:fill="auto"/>
            <w:vAlign w:val="bottom"/>
          </w:tcPr>
          <w:p w14:paraId="01B3248A" w14:textId="77777777" w:rsidR="00E02D1B" w:rsidRDefault="00000000">
            <w:pPr>
              <w:spacing w:before="0"/>
              <w:rPr>
                <w:color w:val="002060"/>
              </w:rPr>
            </w:pPr>
            <w:r>
              <w:rPr>
                <w:color w:val="002060"/>
              </w:rPr>
              <w:t>Sheena Tran</w:t>
            </w:r>
          </w:p>
        </w:tc>
      </w:tr>
      <w:tr w:rsidR="00E02D1B" w14:paraId="296B7834" w14:textId="77777777">
        <w:trPr>
          <w:trHeight w:val="320"/>
          <w:tblHeader/>
          <w:jc w:val="center"/>
        </w:trPr>
        <w:tc>
          <w:tcPr>
            <w:tcW w:w="5310" w:type="dxa"/>
            <w:shd w:val="clear" w:color="auto" w:fill="auto"/>
            <w:vAlign w:val="bottom"/>
          </w:tcPr>
          <w:p w14:paraId="5BB24CB1" w14:textId="77777777" w:rsidR="00E02D1B" w:rsidRDefault="00000000">
            <w:pPr>
              <w:spacing w:before="0"/>
              <w:rPr>
                <w:color w:val="002060"/>
              </w:rPr>
            </w:pPr>
            <w:r>
              <w:rPr>
                <w:color w:val="002060"/>
              </w:rPr>
              <w:t>SDG&amp;E</w:t>
            </w:r>
          </w:p>
        </w:tc>
        <w:tc>
          <w:tcPr>
            <w:tcW w:w="3675" w:type="dxa"/>
            <w:shd w:val="clear" w:color="auto" w:fill="auto"/>
            <w:vAlign w:val="bottom"/>
          </w:tcPr>
          <w:p w14:paraId="623514CA" w14:textId="77777777" w:rsidR="00E02D1B" w:rsidRDefault="00000000">
            <w:pPr>
              <w:spacing w:before="0"/>
              <w:rPr>
                <w:color w:val="002060"/>
              </w:rPr>
            </w:pPr>
            <w:r>
              <w:rPr>
                <w:color w:val="002060"/>
              </w:rPr>
              <w:t>Athena Besa</w:t>
            </w:r>
          </w:p>
        </w:tc>
      </w:tr>
      <w:tr w:rsidR="00E02D1B" w14:paraId="1A3D6C7E" w14:textId="77777777">
        <w:trPr>
          <w:trHeight w:val="320"/>
          <w:tblHeader/>
          <w:jc w:val="center"/>
        </w:trPr>
        <w:tc>
          <w:tcPr>
            <w:tcW w:w="5310" w:type="dxa"/>
            <w:shd w:val="clear" w:color="auto" w:fill="auto"/>
            <w:vAlign w:val="bottom"/>
          </w:tcPr>
          <w:p w14:paraId="1AEF2F2C" w14:textId="77777777" w:rsidR="00E02D1B" w:rsidRDefault="00000000">
            <w:pPr>
              <w:spacing w:before="0"/>
              <w:rPr>
                <w:color w:val="002060"/>
              </w:rPr>
            </w:pPr>
            <w:r>
              <w:rPr>
                <w:color w:val="002060"/>
              </w:rPr>
              <w:t>SDG&amp;E</w:t>
            </w:r>
          </w:p>
        </w:tc>
        <w:tc>
          <w:tcPr>
            <w:tcW w:w="3675" w:type="dxa"/>
            <w:shd w:val="clear" w:color="auto" w:fill="auto"/>
            <w:vAlign w:val="bottom"/>
          </w:tcPr>
          <w:p w14:paraId="64F15B03" w14:textId="77777777" w:rsidR="00E02D1B" w:rsidRDefault="00000000">
            <w:pPr>
              <w:spacing w:before="0"/>
              <w:rPr>
                <w:color w:val="002060"/>
              </w:rPr>
            </w:pPr>
            <w:r>
              <w:rPr>
                <w:color w:val="002060"/>
              </w:rPr>
              <w:t xml:space="preserve">Stephanie Gutierrez </w:t>
            </w:r>
          </w:p>
        </w:tc>
      </w:tr>
      <w:tr w:rsidR="00E02D1B" w14:paraId="0F3D3410" w14:textId="77777777">
        <w:trPr>
          <w:trHeight w:val="320"/>
          <w:tblHeader/>
          <w:jc w:val="center"/>
        </w:trPr>
        <w:tc>
          <w:tcPr>
            <w:tcW w:w="5310" w:type="dxa"/>
            <w:shd w:val="clear" w:color="auto" w:fill="auto"/>
            <w:vAlign w:val="bottom"/>
          </w:tcPr>
          <w:p w14:paraId="4177CE8D" w14:textId="77777777" w:rsidR="00E02D1B" w:rsidRDefault="00000000">
            <w:pPr>
              <w:spacing w:before="0"/>
              <w:rPr>
                <w:color w:val="002060"/>
              </w:rPr>
            </w:pPr>
            <w:r>
              <w:rPr>
                <w:color w:val="002060"/>
              </w:rPr>
              <w:t>SDG&amp;E</w:t>
            </w:r>
          </w:p>
        </w:tc>
        <w:tc>
          <w:tcPr>
            <w:tcW w:w="3675" w:type="dxa"/>
            <w:shd w:val="clear" w:color="auto" w:fill="auto"/>
            <w:vAlign w:val="bottom"/>
          </w:tcPr>
          <w:p w14:paraId="2C3BDA94" w14:textId="77777777" w:rsidR="00E02D1B" w:rsidRDefault="00000000">
            <w:pPr>
              <w:spacing w:before="0"/>
              <w:rPr>
                <w:color w:val="002060"/>
              </w:rPr>
            </w:pPr>
            <w:r>
              <w:rPr>
                <w:color w:val="002060"/>
              </w:rPr>
              <w:t xml:space="preserve">De </w:t>
            </w:r>
            <w:proofErr w:type="spellStart"/>
            <w:r>
              <w:rPr>
                <w:color w:val="002060"/>
              </w:rPr>
              <w:t>De</w:t>
            </w:r>
            <w:proofErr w:type="spellEnd"/>
            <w:r>
              <w:rPr>
                <w:color w:val="002060"/>
              </w:rPr>
              <w:t xml:space="preserve"> Henry</w:t>
            </w:r>
          </w:p>
        </w:tc>
      </w:tr>
      <w:tr w:rsidR="00E02D1B" w14:paraId="4212449F" w14:textId="77777777">
        <w:trPr>
          <w:trHeight w:val="320"/>
          <w:tblHeader/>
          <w:jc w:val="center"/>
        </w:trPr>
        <w:tc>
          <w:tcPr>
            <w:tcW w:w="5310" w:type="dxa"/>
            <w:shd w:val="clear" w:color="auto" w:fill="auto"/>
            <w:vAlign w:val="bottom"/>
          </w:tcPr>
          <w:p w14:paraId="3A030A8D" w14:textId="77777777" w:rsidR="00E02D1B" w:rsidRDefault="00000000">
            <w:pPr>
              <w:spacing w:before="0"/>
              <w:rPr>
                <w:color w:val="002060"/>
              </w:rPr>
            </w:pPr>
            <w:r>
              <w:rPr>
                <w:color w:val="002060"/>
              </w:rPr>
              <w:t>Silent Running</w:t>
            </w:r>
          </w:p>
        </w:tc>
        <w:tc>
          <w:tcPr>
            <w:tcW w:w="3675" w:type="dxa"/>
            <w:shd w:val="clear" w:color="auto" w:fill="auto"/>
            <w:vAlign w:val="bottom"/>
          </w:tcPr>
          <w:p w14:paraId="21B89AAB" w14:textId="77777777" w:rsidR="00E02D1B" w:rsidRDefault="00000000">
            <w:pPr>
              <w:spacing w:before="0"/>
              <w:rPr>
                <w:color w:val="002060"/>
              </w:rPr>
            </w:pPr>
            <w:r>
              <w:rPr>
                <w:color w:val="002060"/>
              </w:rPr>
              <w:t>James Dodenhoff</w:t>
            </w:r>
          </w:p>
        </w:tc>
      </w:tr>
      <w:tr w:rsidR="00E02D1B" w14:paraId="45230CF4" w14:textId="77777777">
        <w:trPr>
          <w:trHeight w:val="320"/>
          <w:tblHeader/>
          <w:jc w:val="center"/>
        </w:trPr>
        <w:tc>
          <w:tcPr>
            <w:tcW w:w="5310" w:type="dxa"/>
            <w:shd w:val="clear" w:color="auto" w:fill="auto"/>
            <w:vAlign w:val="bottom"/>
          </w:tcPr>
          <w:p w14:paraId="51DF71EF" w14:textId="77777777" w:rsidR="00E02D1B" w:rsidRDefault="00000000">
            <w:pPr>
              <w:spacing w:before="0"/>
              <w:rPr>
                <w:color w:val="002060"/>
              </w:rPr>
            </w:pPr>
            <w:r>
              <w:rPr>
                <w:color w:val="002060"/>
              </w:rPr>
              <w:t>SoCalGas</w:t>
            </w:r>
          </w:p>
        </w:tc>
        <w:tc>
          <w:tcPr>
            <w:tcW w:w="3675" w:type="dxa"/>
            <w:shd w:val="clear" w:color="auto" w:fill="auto"/>
            <w:vAlign w:val="bottom"/>
          </w:tcPr>
          <w:p w14:paraId="0422C66E" w14:textId="77777777" w:rsidR="00E02D1B" w:rsidRDefault="00000000">
            <w:pPr>
              <w:spacing w:before="0"/>
              <w:rPr>
                <w:color w:val="002060"/>
              </w:rPr>
            </w:pPr>
            <w:r>
              <w:rPr>
                <w:color w:val="002060"/>
              </w:rPr>
              <w:t xml:space="preserve">Carlo </w:t>
            </w:r>
            <w:proofErr w:type="spellStart"/>
            <w:r>
              <w:rPr>
                <w:color w:val="002060"/>
              </w:rPr>
              <w:t>Gavina</w:t>
            </w:r>
            <w:proofErr w:type="spellEnd"/>
          </w:p>
        </w:tc>
      </w:tr>
      <w:tr w:rsidR="00E02D1B" w14:paraId="4C976241" w14:textId="77777777">
        <w:trPr>
          <w:trHeight w:val="320"/>
          <w:tblHeader/>
          <w:jc w:val="center"/>
        </w:trPr>
        <w:tc>
          <w:tcPr>
            <w:tcW w:w="5310" w:type="dxa"/>
            <w:shd w:val="clear" w:color="auto" w:fill="auto"/>
            <w:vAlign w:val="bottom"/>
          </w:tcPr>
          <w:p w14:paraId="6CB4BFCF" w14:textId="77777777" w:rsidR="00E02D1B" w:rsidRDefault="00000000">
            <w:pPr>
              <w:spacing w:before="0"/>
              <w:rPr>
                <w:color w:val="002060"/>
              </w:rPr>
            </w:pPr>
            <w:r>
              <w:rPr>
                <w:color w:val="002060"/>
              </w:rPr>
              <w:t>SoCalREN</w:t>
            </w:r>
          </w:p>
        </w:tc>
        <w:tc>
          <w:tcPr>
            <w:tcW w:w="3675" w:type="dxa"/>
            <w:shd w:val="clear" w:color="auto" w:fill="auto"/>
            <w:vAlign w:val="bottom"/>
          </w:tcPr>
          <w:p w14:paraId="6D2F59DD" w14:textId="77777777" w:rsidR="00E02D1B" w:rsidRDefault="00000000">
            <w:pPr>
              <w:spacing w:before="0"/>
              <w:rPr>
                <w:color w:val="002060"/>
              </w:rPr>
            </w:pPr>
            <w:r>
              <w:rPr>
                <w:color w:val="002060"/>
              </w:rPr>
              <w:t>Fernanda Craig</w:t>
            </w:r>
          </w:p>
        </w:tc>
      </w:tr>
      <w:tr w:rsidR="00E02D1B" w14:paraId="2B19804C" w14:textId="77777777">
        <w:trPr>
          <w:trHeight w:val="320"/>
          <w:tblHeader/>
          <w:jc w:val="center"/>
        </w:trPr>
        <w:tc>
          <w:tcPr>
            <w:tcW w:w="5310" w:type="dxa"/>
            <w:shd w:val="clear" w:color="auto" w:fill="auto"/>
            <w:vAlign w:val="bottom"/>
          </w:tcPr>
          <w:p w14:paraId="66A131E6" w14:textId="77777777" w:rsidR="00E02D1B" w:rsidRDefault="00000000">
            <w:pPr>
              <w:spacing w:before="0"/>
              <w:rPr>
                <w:color w:val="002060"/>
              </w:rPr>
            </w:pPr>
            <w:r>
              <w:rPr>
                <w:color w:val="002060"/>
              </w:rPr>
              <w:t>SoCalREN</w:t>
            </w:r>
          </w:p>
        </w:tc>
        <w:tc>
          <w:tcPr>
            <w:tcW w:w="3675" w:type="dxa"/>
            <w:shd w:val="clear" w:color="auto" w:fill="auto"/>
            <w:vAlign w:val="bottom"/>
          </w:tcPr>
          <w:p w14:paraId="51044009" w14:textId="77777777" w:rsidR="00E02D1B" w:rsidRDefault="00000000">
            <w:pPr>
              <w:spacing w:before="0"/>
              <w:rPr>
                <w:color w:val="002060"/>
              </w:rPr>
            </w:pPr>
            <w:r>
              <w:rPr>
                <w:color w:val="002060"/>
              </w:rPr>
              <w:t>Danielle Whitten</w:t>
            </w:r>
          </w:p>
        </w:tc>
      </w:tr>
      <w:tr w:rsidR="00E02D1B" w14:paraId="04257ED6" w14:textId="77777777">
        <w:trPr>
          <w:trHeight w:val="320"/>
          <w:tblHeader/>
          <w:jc w:val="center"/>
        </w:trPr>
        <w:tc>
          <w:tcPr>
            <w:tcW w:w="5310" w:type="dxa"/>
            <w:shd w:val="clear" w:color="auto" w:fill="auto"/>
            <w:vAlign w:val="bottom"/>
          </w:tcPr>
          <w:p w14:paraId="0C5BB416" w14:textId="77777777" w:rsidR="00E02D1B" w:rsidRDefault="00000000">
            <w:pPr>
              <w:spacing w:before="0"/>
              <w:rPr>
                <w:color w:val="002060"/>
              </w:rPr>
            </w:pPr>
            <w:r>
              <w:rPr>
                <w:color w:val="002060"/>
              </w:rPr>
              <w:t>The Mendota Group, LLC</w:t>
            </w:r>
          </w:p>
        </w:tc>
        <w:tc>
          <w:tcPr>
            <w:tcW w:w="3675" w:type="dxa"/>
            <w:shd w:val="clear" w:color="auto" w:fill="auto"/>
            <w:vAlign w:val="bottom"/>
          </w:tcPr>
          <w:p w14:paraId="3518669E" w14:textId="77777777" w:rsidR="00E02D1B" w:rsidRDefault="00000000">
            <w:pPr>
              <w:spacing w:before="0"/>
              <w:rPr>
                <w:color w:val="002060"/>
              </w:rPr>
            </w:pPr>
            <w:r>
              <w:rPr>
                <w:color w:val="002060"/>
              </w:rPr>
              <w:t>Grey Staples</w:t>
            </w:r>
          </w:p>
        </w:tc>
      </w:tr>
      <w:tr w:rsidR="00E02D1B" w14:paraId="4AA6212A" w14:textId="77777777">
        <w:trPr>
          <w:trHeight w:val="320"/>
          <w:tblHeader/>
          <w:jc w:val="center"/>
        </w:trPr>
        <w:tc>
          <w:tcPr>
            <w:tcW w:w="5310" w:type="dxa"/>
            <w:shd w:val="clear" w:color="auto" w:fill="auto"/>
            <w:vAlign w:val="bottom"/>
          </w:tcPr>
          <w:p w14:paraId="2D7F9D80" w14:textId="77777777" w:rsidR="00E02D1B" w:rsidRDefault="00000000">
            <w:pPr>
              <w:spacing w:before="0"/>
              <w:rPr>
                <w:color w:val="002060"/>
              </w:rPr>
            </w:pPr>
            <w:r>
              <w:rPr>
                <w:color w:val="002060"/>
              </w:rPr>
              <w:t>Xanthus Consulting</w:t>
            </w:r>
          </w:p>
        </w:tc>
        <w:tc>
          <w:tcPr>
            <w:tcW w:w="3675" w:type="dxa"/>
            <w:shd w:val="clear" w:color="auto" w:fill="auto"/>
            <w:vAlign w:val="bottom"/>
          </w:tcPr>
          <w:p w14:paraId="13CA1577" w14:textId="77777777" w:rsidR="00E02D1B" w:rsidRDefault="00000000">
            <w:pPr>
              <w:spacing w:before="0"/>
              <w:rPr>
                <w:color w:val="002060"/>
              </w:rPr>
            </w:pPr>
            <w:r>
              <w:rPr>
                <w:color w:val="002060"/>
              </w:rPr>
              <w:t>Frances Cleveland</w:t>
            </w:r>
          </w:p>
        </w:tc>
      </w:tr>
      <w:tr w:rsidR="00E02D1B" w14:paraId="0034BD06" w14:textId="77777777">
        <w:trPr>
          <w:trHeight w:val="320"/>
          <w:tblHeader/>
          <w:jc w:val="center"/>
        </w:trPr>
        <w:tc>
          <w:tcPr>
            <w:tcW w:w="5310" w:type="dxa"/>
            <w:shd w:val="clear" w:color="auto" w:fill="auto"/>
            <w:vAlign w:val="bottom"/>
          </w:tcPr>
          <w:p w14:paraId="6253252B" w14:textId="77777777" w:rsidR="00E02D1B" w:rsidRDefault="00000000">
            <w:pPr>
              <w:spacing w:before="0"/>
              <w:rPr>
                <w:color w:val="002060"/>
              </w:rPr>
            </w:pPr>
            <w:r>
              <w:rPr>
                <w:color w:val="002060"/>
              </w:rPr>
              <w:t>Yinsight</w:t>
            </w:r>
          </w:p>
        </w:tc>
        <w:tc>
          <w:tcPr>
            <w:tcW w:w="3675" w:type="dxa"/>
            <w:shd w:val="clear" w:color="auto" w:fill="auto"/>
            <w:vAlign w:val="bottom"/>
          </w:tcPr>
          <w:p w14:paraId="2AC5C574" w14:textId="77777777" w:rsidR="00E02D1B" w:rsidRDefault="00000000">
            <w:pPr>
              <w:spacing w:before="0"/>
              <w:rPr>
                <w:color w:val="002060"/>
              </w:rPr>
            </w:pPr>
            <w:r>
              <w:rPr>
                <w:color w:val="002060"/>
              </w:rPr>
              <w:t>Carol Yin</w:t>
            </w:r>
          </w:p>
        </w:tc>
      </w:tr>
      <w:tr w:rsidR="00E02D1B" w14:paraId="0FBBA7B1" w14:textId="77777777">
        <w:trPr>
          <w:trHeight w:val="320"/>
          <w:tblHeader/>
          <w:jc w:val="center"/>
        </w:trPr>
        <w:tc>
          <w:tcPr>
            <w:tcW w:w="5310" w:type="dxa"/>
            <w:shd w:val="clear" w:color="auto" w:fill="B4C6E7"/>
            <w:vAlign w:val="bottom"/>
          </w:tcPr>
          <w:p w14:paraId="02444668" w14:textId="77777777" w:rsidR="00E02D1B" w:rsidRDefault="00000000">
            <w:pPr>
              <w:spacing w:before="0"/>
              <w:rPr>
                <w:b/>
                <w:color w:val="002060"/>
              </w:rPr>
            </w:pPr>
            <w:r>
              <w:rPr>
                <w:b/>
                <w:color w:val="002060"/>
              </w:rPr>
              <w:t>Facilitators</w:t>
            </w:r>
          </w:p>
        </w:tc>
        <w:tc>
          <w:tcPr>
            <w:tcW w:w="3675" w:type="dxa"/>
            <w:shd w:val="clear" w:color="auto" w:fill="B4C6E7"/>
            <w:vAlign w:val="bottom"/>
          </w:tcPr>
          <w:p w14:paraId="104DB23E" w14:textId="77777777" w:rsidR="00E02D1B" w:rsidRDefault="00E02D1B">
            <w:pPr>
              <w:spacing w:before="0"/>
              <w:rPr>
                <w:color w:val="002060"/>
                <w:highlight w:val="yellow"/>
              </w:rPr>
            </w:pPr>
          </w:p>
        </w:tc>
      </w:tr>
      <w:tr w:rsidR="00E02D1B" w14:paraId="29D48991" w14:textId="77777777">
        <w:trPr>
          <w:trHeight w:val="320"/>
          <w:tblHeader/>
          <w:jc w:val="center"/>
        </w:trPr>
        <w:tc>
          <w:tcPr>
            <w:tcW w:w="5310" w:type="dxa"/>
            <w:shd w:val="clear" w:color="auto" w:fill="auto"/>
            <w:vAlign w:val="bottom"/>
          </w:tcPr>
          <w:p w14:paraId="2D1CE737" w14:textId="77777777" w:rsidR="00E02D1B" w:rsidRDefault="00000000">
            <w:pPr>
              <w:spacing w:before="0"/>
              <w:rPr>
                <w:color w:val="002060"/>
              </w:rPr>
            </w:pPr>
            <w:r>
              <w:rPr>
                <w:color w:val="002060"/>
              </w:rPr>
              <w:t>Katie Abrams</w:t>
            </w:r>
          </w:p>
        </w:tc>
        <w:tc>
          <w:tcPr>
            <w:tcW w:w="3675" w:type="dxa"/>
            <w:shd w:val="clear" w:color="auto" w:fill="auto"/>
            <w:vAlign w:val="bottom"/>
          </w:tcPr>
          <w:p w14:paraId="48DEE3C3" w14:textId="77777777" w:rsidR="00E02D1B" w:rsidRDefault="00000000">
            <w:pPr>
              <w:spacing w:before="0"/>
              <w:rPr>
                <w:color w:val="002060"/>
              </w:rPr>
            </w:pPr>
            <w:r>
              <w:rPr>
                <w:color w:val="002060"/>
              </w:rPr>
              <w:t>Birch Road Consulting</w:t>
            </w:r>
          </w:p>
        </w:tc>
      </w:tr>
      <w:tr w:rsidR="00E02D1B" w14:paraId="477E98A4" w14:textId="77777777">
        <w:trPr>
          <w:trHeight w:val="320"/>
          <w:tblHeader/>
          <w:jc w:val="center"/>
        </w:trPr>
        <w:tc>
          <w:tcPr>
            <w:tcW w:w="5310" w:type="dxa"/>
            <w:shd w:val="clear" w:color="auto" w:fill="auto"/>
            <w:vAlign w:val="bottom"/>
          </w:tcPr>
          <w:p w14:paraId="59AE5A1D" w14:textId="77777777" w:rsidR="00E02D1B" w:rsidRDefault="00000000">
            <w:pPr>
              <w:spacing w:before="0"/>
              <w:rPr>
                <w:color w:val="002060"/>
              </w:rPr>
            </w:pPr>
            <w:r>
              <w:rPr>
                <w:color w:val="002060"/>
              </w:rPr>
              <w:t>Michelle Vigen Ralston</w:t>
            </w:r>
          </w:p>
        </w:tc>
        <w:tc>
          <w:tcPr>
            <w:tcW w:w="3675" w:type="dxa"/>
            <w:shd w:val="clear" w:color="auto" w:fill="auto"/>
            <w:vAlign w:val="bottom"/>
          </w:tcPr>
          <w:p w14:paraId="10C3ED98" w14:textId="77777777" w:rsidR="00E02D1B" w:rsidRDefault="00000000">
            <w:pPr>
              <w:spacing w:before="0"/>
              <w:rPr>
                <w:color w:val="002060"/>
              </w:rPr>
            </w:pPr>
            <w:r>
              <w:rPr>
                <w:color w:val="002060"/>
              </w:rPr>
              <w:t>Common Spark Consulting</w:t>
            </w:r>
          </w:p>
        </w:tc>
      </w:tr>
      <w:tr w:rsidR="00E02D1B" w14:paraId="0C6BDB76" w14:textId="77777777">
        <w:trPr>
          <w:trHeight w:val="320"/>
          <w:tblHeader/>
          <w:jc w:val="center"/>
        </w:trPr>
        <w:tc>
          <w:tcPr>
            <w:tcW w:w="5310" w:type="dxa"/>
            <w:shd w:val="clear" w:color="auto" w:fill="auto"/>
            <w:vAlign w:val="bottom"/>
          </w:tcPr>
          <w:p w14:paraId="5EB29CCD" w14:textId="77777777" w:rsidR="00E02D1B" w:rsidRDefault="00000000">
            <w:pPr>
              <w:spacing w:before="0"/>
              <w:rPr>
                <w:color w:val="002060"/>
              </w:rPr>
            </w:pPr>
            <w:r>
              <w:rPr>
                <w:color w:val="002060"/>
              </w:rPr>
              <w:lastRenderedPageBreak/>
              <w:t>Katie Wu</w:t>
            </w:r>
          </w:p>
        </w:tc>
        <w:tc>
          <w:tcPr>
            <w:tcW w:w="3675" w:type="dxa"/>
            <w:shd w:val="clear" w:color="auto" w:fill="auto"/>
            <w:vAlign w:val="bottom"/>
          </w:tcPr>
          <w:p w14:paraId="05363A6B" w14:textId="77777777" w:rsidR="00E02D1B" w:rsidRDefault="00000000">
            <w:pPr>
              <w:spacing w:before="0"/>
              <w:rPr>
                <w:color w:val="002060"/>
              </w:rPr>
            </w:pPr>
            <w:r>
              <w:rPr>
                <w:color w:val="002060"/>
              </w:rPr>
              <w:t>Common Spark Consulting</w:t>
            </w:r>
          </w:p>
        </w:tc>
      </w:tr>
      <w:tr w:rsidR="00E02D1B" w14:paraId="4E039ED2" w14:textId="77777777">
        <w:trPr>
          <w:trHeight w:val="320"/>
          <w:tblHeader/>
          <w:jc w:val="center"/>
        </w:trPr>
        <w:tc>
          <w:tcPr>
            <w:tcW w:w="5310" w:type="dxa"/>
            <w:shd w:val="clear" w:color="auto" w:fill="auto"/>
            <w:vAlign w:val="bottom"/>
          </w:tcPr>
          <w:p w14:paraId="20CF0760" w14:textId="77777777" w:rsidR="00E02D1B" w:rsidRDefault="00000000">
            <w:pPr>
              <w:spacing w:before="0"/>
              <w:rPr>
                <w:color w:val="002060"/>
              </w:rPr>
            </w:pPr>
            <w:r>
              <w:rPr>
                <w:color w:val="002060"/>
              </w:rPr>
              <w:t>Suhaila Sikand</w:t>
            </w:r>
          </w:p>
        </w:tc>
        <w:tc>
          <w:tcPr>
            <w:tcW w:w="3675" w:type="dxa"/>
            <w:shd w:val="clear" w:color="auto" w:fill="auto"/>
            <w:vAlign w:val="bottom"/>
          </w:tcPr>
          <w:p w14:paraId="415AA89E" w14:textId="77777777" w:rsidR="00E02D1B" w:rsidRDefault="00000000">
            <w:pPr>
              <w:spacing w:before="0"/>
              <w:rPr>
                <w:color w:val="002060"/>
              </w:rPr>
            </w:pPr>
            <w:r>
              <w:rPr>
                <w:color w:val="002060"/>
              </w:rPr>
              <w:t>Common Spark Consulting</w:t>
            </w:r>
          </w:p>
        </w:tc>
      </w:tr>
      <w:tr w:rsidR="00E02D1B" w14:paraId="3D6EDA0B" w14:textId="77777777">
        <w:trPr>
          <w:trHeight w:val="320"/>
          <w:tblHeader/>
          <w:jc w:val="center"/>
        </w:trPr>
        <w:tc>
          <w:tcPr>
            <w:tcW w:w="5310" w:type="dxa"/>
            <w:shd w:val="clear" w:color="auto" w:fill="auto"/>
            <w:vAlign w:val="bottom"/>
          </w:tcPr>
          <w:p w14:paraId="7BF0CDEE" w14:textId="77777777" w:rsidR="00E02D1B" w:rsidRDefault="00000000">
            <w:pPr>
              <w:spacing w:before="0"/>
              <w:rPr>
                <w:color w:val="002060"/>
              </w:rPr>
            </w:pPr>
            <w:r>
              <w:rPr>
                <w:color w:val="002060"/>
              </w:rPr>
              <w:t>Susan Rivo</w:t>
            </w:r>
          </w:p>
        </w:tc>
        <w:tc>
          <w:tcPr>
            <w:tcW w:w="3675" w:type="dxa"/>
            <w:shd w:val="clear" w:color="auto" w:fill="auto"/>
            <w:vAlign w:val="bottom"/>
          </w:tcPr>
          <w:p w14:paraId="60191606" w14:textId="77777777" w:rsidR="00E02D1B" w:rsidRDefault="00000000">
            <w:pPr>
              <w:spacing w:before="0"/>
              <w:rPr>
                <w:color w:val="002060"/>
              </w:rPr>
            </w:pPr>
            <w:r>
              <w:rPr>
                <w:color w:val="002060"/>
              </w:rPr>
              <w:t>Raab Associates</w:t>
            </w:r>
          </w:p>
        </w:tc>
      </w:tr>
    </w:tbl>
    <w:p w14:paraId="60AFA71E" w14:textId="77777777" w:rsidR="00E02D1B" w:rsidRDefault="00000000">
      <w:pPr>
        <w:pStyle w:val="Heading1"/>
      </w:pPr>
      <w:bookmarkStart w:id="30" w:name="_heading=h.3whwml4" w:colFirst="0" w:colLast="0"/>
      <w:bookmarkEnd w:id="30"/>
      <w:r>
        <w:t>Appendix B: Meeting Norms &amp; Groundrules</w:t>
      </w:r>
    </w:p>
    <w:p w14:paraId="4DAB22E8" w14:textId="77777777" w:rsidR="00E02D1B" w:rsidRDefault="00000000">
      <w:pPr>
        <w:pStyle w:val="Heading2"/>
      </w:pPr>
      <w:bookmarkStart w:id="31" w:name="_heading=h.2bn6wsx" w:colFirst="0" w:colLast="0"/>
      <w:bookmarkEnd w:id="31"/>
      <w:r>
        <w:t>Meeting Norms</w:t>
      </w:r>
    </w:p>
    <w:p w14:paraId="39670588" w14:textId="77777777" w:rsidR="00E02D1B" w:rsidRDefault="00000000">
      <w:r>
        <w:t>To encourage a space of inclusion and diversity, meeting participants were asked to agree to the following meeting norms:</w:t>
      </w:r>
    </w:p>
    <w:p w14:paraId="404C17C9" w14:textId="77777777" w:rsidR="00E02D1B" w:rsidRDefault="00000000">
      <w:pPr>
        <w:numPr>
          <w:ilvl w:val="0"/>
          <w:numId w:val="2"/>
        </w:numPr>
      </w:pPr>
      <w:r>
        <w:t>Make space, take space (share the mic).</w:t>
      </w:r>
    </w:p>
    <w:p w14:paraId="42394AA4" w14:textId="77777777" w:rsidR="00E02D1B" w:rsidRDefault="00000000">
      <w:pPr>
        <w:numPr>
          <w:ilvl w:val="0"/>
          <w:numId w:val="2"/>
        </w:numPr>
        <w:spacing w:before="0"/>
      </w:pPr>
      <w:r>
        <w:t>Stories shared here stay here; what is learned here leaves here.</w:t>
      </w:r>
    </w:p>
    <w:p w14:paraId="2AF16081" w14:textId="77777777" w:rsidR="00E02D1B" w:rsidRDefault="00000000">
      <w:pPr>
        <w:numPr>
          <w:ilvl w:val="0"/>
          <w:numId w:val="2"/>
        </w:numPr>
        <w:spacing w:before="0"/>
      </w:pPr>
      <w:r>
        <w:t>Share your unique perspective: share your unpopular opinion.</w:t>
      </w:r>
    </w:p>
    <w:p w14:paraId="090FF00F" w14:textId="77777777" w:rsidR="00E02D1B" w:rsidRDefault="00000000">
      <w:pPr>
        <w:numPr>
          <w:ilvl w:val="0"/>
          <w:numId w:val="2"/>
        </w:numPr>
        <w:spacing w:before="0"/>
      </w:pPr>
      <w:r>
        <w:t>Generative thinking: "yes, and" instead of "yes, but".</w:t>
      </w:r>
    </w:p>
    <w:p w14:paraId="437935F5" w14:textId="77777777" w:rsidR="00E02D1B" w:rsidRDefault="00000000">
      <w:pPr>
        <w:numPr>
          <w:ilvl w:val="0"/>
          <w:numId w:val="2"/>
        </w:numPr>
        <w:spacing w:before="0"/>
      </w:pPr>
      <w:r>
        <w:t>Listen from the "We", speak from the "I".</w:t>
      </w:r>
    </w:p>
    <w:p w14:paraId="1C17CEEC" w14:textId="77777777" w:rsidR="00E02D1B" w:rsidRDefault="00000000">
      <w:pPr>
        <w:numPr>
          <w:ilvl w:val="0"/>
          <w:numId w:val="2"/>
        </w:numPr>
        <w:spacing w:before="0"/>
      </w:pPr>
      <w:r>
        <w:t>Offer what you can; ask for what you need.</w:t>
      </w:r>
    </w:p>
    <w:p w14:paraId="586A022F" w14:textId="77777777" w:rsidR="00E02D1B" w:rsidRDefault="00000000">
      <w:pPr>
        <w:numPr>
          <w:ilvl w:val="0"/>
          <w:numId w:val="2"/>
        </w:numPr>
        <w:spacing w:before="0"/>
      </w:pPr>
      <w:r>
        <w:t>Be inquisitive.</w:t>
      </w:r>
    </w:p>
    <w:p w14:paraId="75E2A5BB" w14:textId="77777777" w:rsidR="00E02D1B" w:rsidRDefault="00000000">
      <w:pPr>
        <w:numPr>
          <w:ilvl w:val="0"/>
          <w:numId w:val="2"/>
        </w:numPr>
        <w:spacing w:before="0"/>
      </w:pPr>
      <w:r>
        <w:t>Assume best intent and hold each other accountable.</w:t>
      </w:r>
    </w:p>
    <w:p w14:paraId="12FCDCEA" w14:textId="77777777" w:rsidR="00E02D1B" w:rsidRDefault="00000000">
      <w:pPr>
        <w:numPr>
          <w:ilvl w:val="0"/>
          <w:numId w:val="2"/>
        </w:numPr>
        <w:spacing w:before="0"/>
      </w:pPr>
      <w:r>
        <w:t>Be empowered to share impact.</w:t>
      </w:r>
    </w:p>
    <w:p w14:paraId="09B3B8BB" w14:textId="77777777" w:rsidR="00E02D1B" w:rsidRDefault="00E02D1B">
      <w:pPr>
        <w:widowControl w:val="0"/>
        <w:spacing w:before="0" w:line="276" w:lineRule="auto"/>
        <w:rPr>
          <w:i/>
          <w:color w:val="76A5AF"/>
        </w:rPr>
      </w:pPr>
    </w:p>
    <w:p w14:paraId="4EC2887E" w14:textId="77777777" w:rsidR="00E02D1B" w:rsidRDefault="00000000">
      <w:pPr>
        <w:widowControl w:val="0"/>
        <w:spacing w:before="0" w:line="276" w:lineRule="auto"/>
      </w:pPr>
      <w:r>
        <w:rPr>
          <w:i/>
          <w:color w:val="76A5AF"/>
        </w:rPr>
        <w:t>Creating a space of inclusion and diversity</w:t>
      </w:r>
    </w:p>
    <w:p w14:paraId="17FB2A35" w14:textId="77777777" w:rsidR="00E02D1B" w:rsidRDefault="00000000">
      <w:pPr>
        <w:pStyle w:val="Heading2"/>
      </w:pPr>
      <w:bookmarkStart w:id="32" w:name="_heading=h.qsh70q" w:colFirst="0" w:colLast="0"/>
      <w:bookmarkEnd w:id="32"/>
      <w:r>
        <w:t>Groundrules</w:t>
      </w:r>
    </w:p>
    <w:p w14:paraId="198F0454" w14:textId="77777777" w:rsidR="00E02D1B" w:rsidRDefault="00000000">
      <w:pPr>
        <w:numPr>
          <w:ilvl w:val="0"/>
          <w:numId w:val="7"/>
        </w:numPr>
      </w:pPr>
      <w:r>
        <w:t>Attend all meetings (or send designated alternate)</w:t>
      </w:r>
    </w:p>
    <w:p w14:paraId="1EA5D286" w14:textId="77777777" w:rsidR="00E02D1B" w:rsidRDefault="00000000">
      <w:pPr>
        <w:numPr>
          <w:ilvl w:val="0"/>
          <w:numId w:val="7"/>
        </w:numPr>
        <w:spacing w:before="0"/>
      </w:pPr>
      <w:r>
        <w:t>Do your homework (complete pre-and post-meeting work to ensure productive meetings and that a complete deliverable is finalized)</w:t>
      </w:r>
    </w:p>
    <w:p w14:paraId="5A8A2782" w14:textId="77777777" w:rsidR="00E02D1B" w:rsidRDefault="00000000">
      <w:pPr>
        <w:numPr>
          <w:ilvl w:val="0"/>
          <w:numId w:val="7"/>
        </w:numPr>
        <w:spacing w:before="0"/>
      </w:pPr>
      <w:r>
        <w:t>Facilitation team posts materials 5 days before the meeting</w:t>
      </w:r>
    </w:p>
    <w:p w14:paraId="011A9559" w14:textId="77777777" w:rsidR="00E02D1B" w:rsidRDefault="00000000">
      <w:pPr>
        <w:numPr>
          <w:ilvl w:val="0"/>
          <w:numId w:val="7"/>
        </w:numPr>
        <w:spacing w:before="0"/>
      </w:pPr>
      <w:r>
        <w:t xml:space="preserve">If there are recommendations you don’t agree with, propose alternatives or think creatively to try to bridge the </w:t>
      </w:r>
      <w:proofErr w:type="gramStart"/>
      <w:r>
        <w:t>gap</w:t>
      </w:r>
      <w:proofErr w:type="gramEnd"/>
    </w:p>
    <w:p w14:paraId="73E0391E" w14:textId="77777777" w:rsidR="00E02D1B" w:rsidRDefault="00000000">
      <w:r>
        <w:t xml:space="preserve">See Goals, Roles &amp; Responsibilities for the full list of Ground Rules: </w:t>
      </w:r>
      <w:hyperlink r:id="rId33">
        <w:r>
          <w:rPr>
            <w:color w:val="1155CC"/>
            <w:u w:val="single"/>
          </w:rPr>
          <w:t>https://www.caeecc.org/caeecc-info</w:t>
        </w:r>
      </w:hyperlink>
      <w:r>
        <w:t xml:space="preserve">  </w:t>
      </w:r>
    </w:p>
    <w:sectPr w:rsidR="00E02D1B">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2A007" w14:textId="77777777" w:rsidR="00985ECF" w:rsidRDefault="00985ECF">
      <w:pPr>
        <w:spacing w:before="0"/>
      </w:pPr>
      <w:r>
        <w:separator/>
      </w:r>
    </w:p>
  </w:endnote>
  <w:endnote w:type="continuationSeparator" w:id="0">
    <w:p w14:paraId="293C3A4F" w14:textId="77777777" w:rsidR="00985ECF" w:rsidRDefault="00985EC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A963EA6-5C3E-3840-931B-1BEB44652380}"/>
    <w:embedBold r:id="rId2" w:fontKey="{E514C64A-C7F2-AE40-AA63-7DAE2DECD1E3}"/>
  </w:font>
  <w:font w:name="Roboto">
    <w:panose1 w:val="02000000000000000000"/>
    <w:charset w:val="00"/>
    <w:family w:val="auto"/>
    <w:pitch w:val="variable"/>
    <w:sig w:usb0="E0000AFF" w:usb1="5000217F" w:usb2="00000021" w:usb3="00000000" w:csb0="0000019F" w:csb1="00000000"/>
    <w:embedRegular r:id="rId3" w:fontKey="{F2AD18DA-AF30-7B4E-876E-AC9733D7F26B}"/>
    <w:embedBold r:id="rId4" w:fontKey="{A0A262B3-B429-F64F-A72E-076F100751F4}"/>
    <w:embedItalic r:id="rId5" w:fontKey="{178170D4-33B5-3642-AEC2-77E0D97FC740}"/>
  </w:font>
  <w:font w:name="Calibri">
    <w:panose1 w:val="020F0502020204030204"/>
    <w:charset w:val="00"/>
    <w:family w:val="swiss"/>
    <w:pitch w:val="variable"/>
    <w:sig w:usb0="E0002AFF" w:usb1="C000247B" w:usb2="00000009" w:usb3="00000000" w:csb0="000001FF" w:csb1="00000000"/>
    <w:embedRegular r:id="rId6" w:fontKey="{29C03AE9-4B7C-1F4B-96D2-D1B2E8F65F03}"/>
    <w:embedItalic r:id="rId7" w:fontKey="{7E217EE0-7A7F-204D-873E-F55009C60EBA}"/>
  </w:font>
  <w:font w:name="Roboto Light">
    <w:panose1 w:val="02000000000000000000"/>
    <w:charset w:val="00"/>
    <w:family w:val="auto"/>
    <w:pitch w:val="variable"/>
    <w:sig w:usb0="E0000AFF" w:usb1="5000217F" w:usb2="00000021" w:usb3="00000000" w:csb0="0000019F" w:csb1="00000000"/>
    <w:embedRegular r:id="rId8" w:fontKey="{4E2B4FEB-05D5-3A41-8663-8859E489AB91}"/>
  </w:font>
  <w:font w:name="Cambria">
    <w:panose1 w:val="02040503050406030204"/>
    <w:charset w:val="00"/>
    <w:family w:val="roman"/>
    <w:pitch w:val="variable"/>
    <w:sig w:usb0="E00006FF" w:usb1="420024FF" w:usb2="02000000" w:usb3="00000000" w:csb0="0000019F" w:csb1="00000000"/>
    <w:embedRegular r:id="rId9" w:fontKey="{0758A576-94A4-6F46-B24B-70C3CBF47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156E" w14:textId="77777777" w:rsidR="00E02D1B" w:rsidRDefault="00000000">
    <w:pPr>
      <w:pBdr>
        <w:top w:val="nil"/>
        <w:left w:val="nil"/>
        <w:bottom w:val="nil"/>
        <w:right w:val="nil"/>
        <w:between w:val="nil"/>
      </w:pBdr>
      <w:tabs>
        <w:tab w:val="center" w:pos="4680"/>
        <w:tab w:val="right" w:pos="9360"/>
      </w:tabs>
      <w:spacing w:before="0"/>
      <w:jc w:val="right"/>
    </w:pPr>
    <w:r>
      <w:fldChar w:fldCharType="begin"/>
    </w:r>
    <w:r>
      <w:instrText>PAGE</w:instrText>
    </w:r>
    <w:r>
      <w:fldChar w:fldCharType="separate"/>
    </w:r>
    <w:r>
      <w:fldChar w:fldCharType="end"/>
    </w:r>
  </w:p>
  <w:p w14:paraId="6346CEF0" w14:textId="77777777" w:rsidR="00E02D1B" w:rsidRDefault="00E02D1B">
    <w:pPr>
      <w:pBdr>
        <w:top w:val="nil"/>
        <w:left w:val="nil"/>
        <w:bottom w:val="nil"/>
        <w:right w:val="nil"/>
        <w:between w:val="nil"/>
      </w:pBdr>
      <w:tabs>
        <w:tab w:val="center" w:pos="4680"/>
        <w:tab w:val="right" w:pos="9360"/>
      </w:tabs>
      <w:spacing w:before="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AA77" w14:textId="77777777" w:rsidR="00E02D1B" w:rsidRDefault="00000000">
    <w:pPr>
      <w:spacing w:before="0"/>
      <w:ind w:right="360"/>
      <w:jc w:val="center"/>
      <w:rPr>
        <w:color w:val="45818E"/>
        <w:sz w:val="18"/>
        <w:szCs w:val="18"/>
      </w:rPr>
    </w:pPr>
    <w:r>
      <w:rPr>
        <w:color w:val="45818E"/>
        <w:sz w:val="18"/>
        <w:szCs w:val="18"/>
      </w:rPr>
      <w:t>Full CAEECC Quarterly Meeting #41 Summary</w:t>
    </w:r>
  </w:p>
  <w:p w14:paraId="657855F2" w14:textId="77777777" w:rsidR="00E02D1B" w:rsidRDefault="00000000">
    <w:pPr>
      <w:spacing w:before="0"/>
      <w:jc w:val="center"/>
      <w:rPr>
        <w:i/>
        <w:color w:val="45818E"/>
        <w:sz w:val="18"/>
        <w:szCs w:val="18"/>
      </w:rPr>
    </w:pPr>
    <w:r>
      <w:rPr>
        <w:i/>
        <w:color w:val="45818E"/>
        <w:sz w:val="18"/>
        <w:szCs w:val="18"/>
      </w:rPr>
      <w:t>Last updated March 21, 2024</w:t>
    </w:r>
  </w:p>
  <w:p w14:paraId="54860007" w14:textId="77777777" w:rsidR="00E02D1B" w:rsidRDefault="00000000">
    <w:pPr>
      <w:tabs>
        <w:tab w:val="center" w:pos="4680"/>
        <w:tab w:val="right" w:pos="9360"/>
      </w:tabs>
      <w:spacing w:before="0" w:line="14" w:lineRule="auto"/>
      <w:jc w:val="right"/>
      <w:rPr>
        <w:i/>
        <w:color w:val="45818E"/>
        <w:sz w:val="14"/>
        <w:szCs w:val="14"/>
      </w:rPr>
    </w:pPr>
    <w:r>
      <w:rPr>
        <w:color w:val="45818E"/>
        <w:sz w:val="20"/>
        <w:szCs w:val="20"/>
      </w:rPr>
      <w:fldChar w:fldCharType="begin"/>
    </w:r>
    <w:r>
      <w:rPr>
        <w:color w:val="45818E"/>
        <w:sz w:val="20"/>
        <w:szCs w:val="20"/>
      </w:rPr>
      <w:instrText>PAGE</w:instrText>
    </w:r>
    <w:r>
      <w:rPr>
        <w:color w:val="45818E"/>
        <w:sz w:val="20"/>
        <w:szCs w:val="20"/>
      </w:rPr>
      <w:fldChar w:fldCharType="separate"/>
    </w:r>
    <w:r w:rsidR="00AD78D7">
      <w:rPr>
        <w:noProof/>
        <w:color w:val="45818E"/>
        <w:sz w:val="20"/>
        <w:szCs w:val="20"/>
      </w:rPr>
      <w:t>1</w:t>
    </w:r>
    <w:r>
      <w:rPr>
        <w:color w:val="45818E"/>
        <w:sz w:val="20"/>
        <w:szCs w:val="20"/>
      </w:rPr>
      <w:fldChar w:fldCharType="end"/>
    </w:r>
  </w:p>
  <w:p w14:paraId="33BBE196" w14:textId="77777777" w:rsidR="00E02D1B" w:rsidRDefault="00E02D1B">
    <w:pPr>
      <w:spacing w:before="0" w:line="14" w:lineRule="auto"/>
      <w:jc w:val="right"/>
      <w:rPr>
        <w:b/>
        <w:color w:val="45818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FB16" w14:textId="77777777" w:rsidR="00E02D1B" w:rsidRDefault="00000000">
    <w:pPr>
      <w:pBdr>
        <w:top w:val="nil"/>
        <w:left w:val="nil"/>
        <w:bottom w:val="nil"/>
        <w:right w:val="nil"/>
        <w:between w:val="nil"/>
      </w:pBdr>
      <w:tabs>
        <w:tab w:val="center" w:pos="4680"/>
        <w:tab w:val="right" w:pos="9360"/>
      </w:tabs>
      <w:spacing w:before="0"/>
      <w:rPr>
        <w:color w:val="223053"/>
      </w:rPr>
    </w:pPr>
    <w:r>
      <w:rPr>
        <w:noProof/>
      </w:rPr>
      <w:drawing>
        <wp:anchor distT="0" distB="0" distL="0" distR="0" simplePos="0" relativeHeight="251659264" behindDoc="1" locked="0" layoutInCell="1" hidden="0" allowOverlap="1" wp14:anchorId="0C6AE41B" wp14:editId="7BBD8EA3">
          <wp:simplePos x="0" y="0"/>
          <wp:positionH relativeFrom="column">
            <wp:posOffset>2806700</wp:posOffset>
          </wp:positionH>
          <wp:positionV relativeFrom="paragraph">
            <wp:posOffset>0</wp:posOffset>
          </wp:positionV>
          <wp:extent cx="329184" cy="329184"/>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9184" cy="32918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3215F136" wp14:editId="0ED370F9">
              <wp:simplePos x="0" y="0"/>
              <wp:positionH relativeFrom="column">
                <wp:posOffset>1</wp:posOffset>
              </wp:positionH>
              <wp:positionV relativeFrom="paragraph">
                <wp:posOffset>0</wp:posOffset>
              </wp:positionV>
              <wp:extent cx="2552700" cy="408305"/>
              <wp:effectExtent l="0" t="0" r="0" b="0"/>
              <wp:wrapNone/>
              <wp:docPr id="17" name="Rectangle 17"/>
              <wp:cNvGraphicFramePr/>
              <a:graphic xmlns:a="http://schemas.openxmlformats.org/drawingml/2006/main">
                <a:graphicData uri="http://schemas.microsoft.com/office/word/2010/wordprocessingShape">
                  <wps:wsp>
                    <wps:cNvSpPr/>
                    <wps:spPr>
                      <a:xfrm>
                        <a:off x="4088700" y="3594898"/>
                        <a:ext cx="2514600" cy="370205"/>
                      </a:xfrm>
                      <a:prstGeom prst="rect">
                        <a:avLst/>
                      </a:prstGeom>
                      <a:noFill/>
                      <a:ln>
                        <a:noFill/>
                      </a:ln>
                    </wps:spPr>
                    <wps:txbx>
                      <w:txbxContent>
                        <w:p w14:paraId="28A4E82A" w14:textId="77777777" w:rsidR="00E02D1B" w:rsidRDefault="00000000">
                          <w:pPr>
                            <w:spacing w:before="0"/>
                            <w:jc w:val="right"/>
                            <w:textDirection w:val="btLr"/>
                          </w:pPr>
                          <w:r>
                            <w:rPr>
                              <w:color w:val="6F9C75"/>
                              <w:sz w:val="18"/>
                            </w:rPr>
                            <w:t>[DOC]</w:t>
                          </w:r>
                        </w:p>
                        <w:p w14:paraId="596B55DE" w14:textId="77777777" w:rsidR="00E02D1B" w:rsidRDefault="00000000">
                          <w:pPr>
                            <w:spacing w:before="0"/>
                            <w:jc w:val="right"/>
                            <w:textDirection w:val="btLr"/>
                          </w:pPr>
                          <w:r>
                            <w:rPr>
                              <w:color w:val="6F9C75"/>
                              <w:sz w:val="18"/>
                            </w:rPr>
                            <w:t xml:space="preserve"> </w:t>
                          </w:r>
                          <w:r>
                            <w:rPr>
                              <w:i/>
                              <w:color w:val="6F9C75"/>
                              <w:sz w:val="18"/>
                            </w:rPr>
                            <w:t>Revision June 2,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552700" cy="408305"/>
              <wp:effectExtent b="0" l="0" r="0" t="0"/>
              <wp:wrapNone/>
              <wp:docPr id="1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2552700" cy="40830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0A1B774" wp14:editId="3707C36B">
              <wp:simplePos x="0" y="0"/>
              <wp:positionH relativeFrom="column">
                <wp:posOffset>3378200</wp:posOffset>
              </wp:positionH>
              <wp:positionV relativeFrom="paragraph">
                <wp:posOffset>0</wp:posOffset>
              </wp:positionV>
              <wp:extent cx="2552700" cy="413004"/>
              <wp:effectExtent l="0" t="0" r="0" b="0"/>
              <wp:wrapNone/>
              <wp:docPr id="19" name="Rectangle 19"/>
              <wp:cNvGraphicFramePr/>
              <a:graphic xmlns:a="http://schemas.openxmlformats.org/drawingml/2006/main">
                <a:graphicData uri="http://schemas.microsoft.com/office/word/2010/wordprocessingShape">
                  <wps:wsp>
                    <wps:cNvSpPr/>
                    <wps:spPr>
                      <a:xfrm>
                        <a:off x="4088700" y="3592548"/>
                        <a:ext cx="2514600" cy="374904"/>
                      </a:xfrm>
                      <a:prstGeom prst="rect">
                        <a:avLst/>
                      </a:prstGeom>
                      <a:noFill/>
                      <a:ln>
                        <a:noFill/>
                      </a:ln>
                    </wps:spPr>
                    <wps:txbx>
                      <w:txbxContent>
                        <w:p w14:paraId="341B7066" w14:textId="77777777" w:rsidR="00E02D1B" w:rsidRDefault="00000000">
                          <w:pPr>
                            <w:spacing w:before="0"/>
                            <w:textDirection w:val="btLr"/>
                          </w:pPr>
                          <w:r>
                            <w:rPr>
                              <w:color w:val="6F9C75"/>
                              <w:sz w:val="18"/>
                            </w:rPr>
                            <w:t>Common Spark Consulting</w:t>
                          </w:r>
                          <w:r>
                            <w:rPr>
                              <w:color w:val="6F9C75"/>
                              <w:sz w:val="18"/>
                            </w:rPr>
                            <w:br/>
                          </w:r>
                          <w:r>
                            <w:rPr>
                              <w:i/>
                              <w:color w:val="6F9C75"/>
                              <w:sz w:val="18"/>
                            </w:rPr>
                            <w:t>www.common-spark.com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2552700" cy="413004"/>
              <wp:effectExtent b="0" l="0" r="0" t="0"/>
              <wp:wrapNone/>
              <wp:docPr id="19"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2552700" cy="413004"/>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F9998" w14:textId="77777777" w:rsidR="00985ECF" w:rsidRDefault="00985ECF">
      <w:pPr>
        <w:spacing w:before="0"/>
      </w:pPr>
      <w:r>
        <w:separator/>
      </w:r>
    </w:p>
  </w:footnote>
  <w:footnote w:type="continuationSeparator" w:id="0">
    <w:p w14:paraId="4A89B477" w14:textId="77777777" w:rsidR="00985ECF" w:rsidRDefault="00985EC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9289" w14:textId="77777777" w:rsidR="00E02D1B" w:rsidRDefault="00000000">
    <w:pPr>
      <w:pBdr>
        <w:top w:val="nil"/>
        <w:left w:val="nil"/>
        <w:bottom w:val="nil"/>
        <w:right w:val="nil"/>
        <w:between w:val="nil"/>
      </w:pBdr>
      <w:tabs>
        <w:tab w:val="center" w:pos="4680"/>
        <w:tab w:val="right" w:pos="9360"/>
      </w:tabs>
      <w:spacing w:before="0"/>
    </w:pPr>
    <w:r>
      <w:rPr>
        <w:noProof/>
        <w:color w:val="223053"/>
        <w:shd w:val="clear" w:color="auto" w:fill="E6E6E6"/>
      </w:rPr>
      <mc:AlternateContent>
        <mc:Choice Requires="wpg">
          <w:drawing>
            <wp:anchor distT="0" distB="0" distL="114300" distR="114300" simplePos="0" relativeHeight="251658240" behindDoc="0" locked="0" layoutInCell="1" hidden="0" allowOverlap="1" wp14:anchorId="3387165E" wp14:editId="6071E4FF">
              <wp:simplePos x="0" y="0"/>
              <wp:positionH relativeFrom="page">
                <wp:align>center</wp:align>
              </wp:positionH>
              <wp:positionV relativeFrom="page">
                <wp:align>top</wp:align>
              </wp:positionV>
              <wp:extent cx="7847076" cy="342456"/>
              <wp:effectExtent l="0" t="0" r="0" b="0"/>
              <wp:wrapNone/>
              <wp:docPr id="18" name="Rectangle 18"/>
              <wp:cNvGraphicFramePr/>
              <a:graphic xmlns:a="http://schemas.openxmlformats.org/drawingml/2006/main">
                <a:graphicData uri="http://schemas.microsoft.com/office/word/2010/wordprocessingShape">
                  <wps:wsp>
                    <wps:cNvSpPr/>
                    <wps:spPr>
                      <a:xfrm>
                        <a:off x="1441512" y="3633696"/>
                        <a:ext cx="7808976" cy="292608"/>
                      </a:xfrm>
                      <a:prstGeom prst="rect">
                        <a:avLst/>
                      </a:prstGeom>
                      <a:solidFill>
                        <a:srgbClr val="134F5C"/>
                      </a:solidFill>
                      <a:ln>
                        <a:noFill/>
                      </a:ln>
                    </wps:spPr>
                    <wps:txbx>
                      <w:txbxContent>
                        <w:p w14:paraId="3FE0B763" w14:textId="77777777" w:rsidR="00E02D1B" w:rsidRDefault="00E02D1B">
                          <w:pPr>
                            <w:spacing w:before="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847076" cy="342456"/>
              <wp:effectExtent b="0" l="0" r="0" t="0"/>
              <wp:wrapNone/>
              <wp:docPr id="1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847076" cy="34245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50D1" w14:textId="77777777" w:rsidR="00E02D1B" w:rsidRDefault="00E02D1B">
    <w:pPr>
      <w:pBdr>
        <w:top w:val="nil"/>
        <w:left w:val="nil"/>
        <w:bottom w:val="nil"/>
        <w:right w:val="nil"/>
        <w:between w:val="nil"/>
      </w:pBdr>
      <w:tabs>
        <w:tab w:val="center" w:pos="4680"/>
        <w:tab w:val="right" w:pos="9360"/>
      </w:tabs>
      <w:spacing w:before="0"/>
      <w:rPr>
        <w:color w:val="22305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9DB"/>
    <w:multiLevelType w:val="multilevel"/>
    <w:tmpl w:val="9D80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A7825"/>
    <w:multiLevelType w:val="multilevel"/>
    <w:tmpl w:val="D6448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A0C7B"/>
    <w:multiLevelType w:val="multilevel"/>
    <w:tmpl w:val="18283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1B5F3A"/>
    <w:multiLevelType w:val="multilevel"/>
    <w:tmpl w:val="E250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EA4E53"/>
    <w:multiLevelType w:val="multilevel"/>
    <w:tmpl w:val="17E28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285622"/>
    <w:multiLevelType w:val="multilevel"/>
    <w:tmpl w:val="3FC24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807596"/>
    <w:multiLevelType w:val="multilevel"/>
    <w:tmpl w:val="9B082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096BC8"/>
    <w:multiLevelType w:val="multilevel"/>
    <w:tmpl w:val="4272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2D7404"/>
    <w:multiLevelType w:val="multilevel"/>
    <w:tmpl w:val="2E68C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482A31"/>
    <w:multiLevelType w:val="multilevel"/>
    <w:tmpl w:val="B2748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0C3D13"/>
    <w:multiLevelType w:val="multilevel"/>
    <w:tmpl w:val="A9744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04358B"/>
    <w:multiLevelType w:val="multilevel"/>
    <w:tmpl w:val="98FA5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F20CD8"/>
    <w:multiLevelType w:val="multilevel"/>
    <w:tmpl w:val="E7880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AF2890"/>
    <w:multiLevelType w:val="multilevel"/>
    <w:tmpl w:val="8B2C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C43181"/>
    <w:multiLevelType w:val="multilevel"/>
    <w:tmpl w:val="ADE49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6814722">
    <w:abstractNumId w:val="11"/>
  </w:num>
  <w:num w:numId="2" w16cid:durableId="1573345602">
    <w:abstractNumId w:val="7"/>
  </w:num>
  <w:num w:numId="3" w16cid:durableId="1872179571">
    <w:abstractNumId w:val="2"/>
  </w:num>
  <w:num w:numId="4" w16cid:durableId="500587284">
    <w:abstractNumId w:val="5"/>
  </w:num>
  <w:num w:numId="5" w16cid:durableId="1701782330">
    <w:abstractNumId w:val="1"/>
  </w:num>
  <w:num w:numId="6" w16cid:durableId="1802771290">
    <w:abstractNumId w:val="8"/>
  </w:num>
  <w:num w:numId="7" w16cid:durableId="1498768439">
    <w:abstractNumId w:val="14"/>
  </w:num>
  <w:num w:numId="8" w16cid:durableId="1350840224">
    <w:abstractNumId w:val="12"/>
  </w:num>
  <w:num w:numId="9" w16cid:durableId="1443114055">
    <w:abstractNumId w:val="3"/>
  </w:num>
  <w:num w:numId="10" w16cid:durableId="91515420">
    <w:abstractNumId w:val="4"/>
  </w:num>
  <w:num w:numId="11" w16cid:durableId="603222194">
    <w:abstractNumId w:val="0"/>
  </w:num>
  <w:num w:numId="12" w16cid:durableId="2065255472">
    <w:abstractNumId w:val="9"/>
  </w:num>
  <w:num w:numId="13" w16cid:durableId="18746593">
    <w:abstractNumId w:val="10"/>
  </w:num>
  <w:num w:numId="14" w16cid:durableId="133262083">
    <w:abstractNumId w:val="13"/>
  </w:num>
  <w:num w:numId="15" w16cid:durableId="15416295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D1B"/>
    <w:rsid w:val="00985ECF"/>
    <w:rsid w:val="00AD78D7"/>
    <w:rsid w:val="00E02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D14FCE"/>
  <w15:docId w15:val="{D3D0249B-6FED-1042-8F76-366E9285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color w:val="2A2A2A"/>
        <w:sz w:val="24"/>
        <w:szCs w:val="24"/>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outlineLvl w:val="0"/>
    </w:pPr>
    <w:rPr>
      <w:b/>
      <w:color w:val="134F5C"/>
      <w:sz w:val="32"/>
      <w:szCs w:val="32"/>
    </w:rPr>
  </w:style>
  <w:style w:type="paragraph" w:styleId="Heading2">
    <w:name w:val="heading 2"/>
    <w:basedOn w:val="Normal"/>
    <w:next w:val="Normal"/>
    <w:uiPriority w:val="9"/>
    <w:unhideWhenUsed/>
    <w:qFormat/>
    <w:pPr>
      <w:spacing w:before="200"/>
      <w:outlineLvl w:val="1"/>
    </w:pPr>
    <w:rPr>
      <w:b/>
      <w:sz w:val="28"/>
      <w:szCs w:val="28"/>
    </w:rPr>
  </w:style>
  <w:style w:type="paragraph" w:styleId="Heading3">
    <w:name w:val="heading 3"/>
    <w:basedOn w:val="Normal"/>
    <w:next w:val="Normal"/>
    <w:uiPriority w:val="9"/>
    <w:unhideWhenUsed/>
    <w:qFormat/>
    <w:pPr>
      <w:outlineLvl w:val="2"/>
    </w:pPr>
    <w:rPr>
      <w:color w:val="45818E"/>
      <w:sz w:val="28"/>
      <w:szCs w:val="28"/>
    </w:rPr>
  </w:style>
  <w:style w:type="paragraph" w:styleId="Heading4">
    <w:name w:val="heading 4"/>
    <w:basedOn w:val="Normal"/>
    <w:next w:val="Normal"/>
    <w:uiPriority w:val="9"/>
    <w:semiHidden/>
    <w:unhideWhenUsed/>
    <w:qFormat/>
    <w:pPr>
      <w:outlineLvl w:val="3"/>
    </w:pPr>
    <w:rPr>
      <w:i/>
      <w:color w:val="45818E"/>
      <w:sz w:val="28"/>
      <w:szCs w:val="28"/>
    </w:rPr>
  </w:style>
  <w:style w:type="paragraph" w:styleId="Heading5">
    <w:name w:val="heading 5"/>
    <w:basedOn w:val="Normal"/>
    <w:next w:val="Normal"/>
    <w:uiPriority w:val="9"/>
    <w:semiHidden/>
    <w:unhideWhenUsed/>
    <w:qFormat/>
    <w:pPr>
      <w:keepNext/>
      <w:keepLines/>
      <w:spacing w:after="80"/>
      <w:ind w:left="1080" w:hanging="360"/>
      <w:outlineLvl w:val="4"/>
    </w:pPr>
    <w:rPr>
      <w:i/>
      <w:color w:val="45818E"/>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after="80"/>
      <w:outlineLvl w:val="5"/>
    </w:pPr>
    <w:rPr>
      <w:rFonts w:ascii="Calibri" w:eastAsia="Calibri" w:hAnsi="Calibri" w:cs="Calibri"/>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240"/>
    </w:pPr>
    <w:rPr>
      <w:b/>
      <w:color w:val="134F5C"/>
      <w:sz w:val="48"/>
      <w:szCs w:val="48"/>
    </w:rPr>
  </w:style>
  <w:style w:type="paragraph" w:styleId="Subtitle">
    <w:name w:val="Subtitle"/>
    <w:basedOn w:val="Normal"/>
    <w:next w:val="Normal"/>
    <w:uiPriority w:val="11"/>
    <w:qFormat/>
    <w:pPr>
      <w:keepNext/>
      <w:keepLines/>
      <w:spacing w:before="0" w:after="320"/>
    </w:pPr>
    <w:rPr>
      <w:rFonts w:ascii="Roboto Light" w:eastAsia="Roboto Light" w:hAnsi="Roboto Light" w:cs="Roboto Light"/>
      <w:color w:val="9E9E9E"/>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62363B"/>
    <w:pPr>
      <w:spacing w:before="0"/>
    </w:pPr>
  </w:style>
  <w:style w:type="character" w:styleId="CommentReference">
    <w:name w:val="annotation reference"/>
    <w:basedOn w:val="DefaultParagraphFont"/>
    <w:uiPriority w:val="99"/>
    <w:semiHidden/>
    <w:unhideWhenUsed/>
    <w:rsid w:val="0062363B"/>
    <w:rPr>
      <w:sz w:val="16"/>
      <w:szCs w:val="16"/>
    </w:rPr>
  </w:style>
  <w:style w:type="paragraph" w:styleId="CommentText">
    <w:name w:val="annotation text"/>
    <w:basedOn w:val="Normal"/>
    <w:link w:val="CommentTextChar"/>
    <w:uiPriority w:val="99"/>
    <w:unhideWhenUsed/>
    <w:rsid w:val="0062363B"/>
    <w:rPr>
      <w:sz w:val="20"/>
      <w:szCs w:val="20"/>
    </w:rPr>
  </w:style>
  <w:style w:type="character" w:customStyle="1" w:styleId="CommentTextChar">
    <w:name w:val="Comment Text Char"/>
    <w:basedOn w:val="DefaultParagraphFont"/>
    <w:link w:val="CommentText"/>
    <w:uiPriority w:val="99"/>
    <w:rsid w:val="0062363B"/>
    <w:rPr>
      <w:sz w:val="20"/>
      <w:szCs w:val="20"/>
    </w:rPr>
  </w:style>
  <w:style w:type="paragraph" w:styleId="CommentSubject">
    <w:name w:val="annotation subject"/>
    <w:basedOn w:val="CommentText"/>
    <w:next w:val="CommentText"/>
    <w:link w:val="CommentSubjectChar"/>
    <w:uiPriority w:val="99"/>
    <w:semiHidden/>
    <w:unhideWhenUsed/>
    <w:rsid w:val="0062363B"/>
    <w:rPr>
      <w:b/>
      <w:bCs/>
    </w:rPr>
  </w:style>
  <w:style w:type="character" w:customStyle="1" w:styleId="CommentSubjectChar">
    <w:name w:val="Comment Subject Char"/>
    <w:basedOn w:val="CommentTextChar"/>
    <w:link w:val="CommentSubject"/>
    <w:uiPriority w:val="99"/>
    <w:semiHidden/>
    <w:rsid w:val="0062363B"/>
    <w:rPr>
      <w:b/>
      <w:bCs/>
      <w:sz w:val="20"/>
      <w:szCs w:val="20"/>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C74B09"/>
    <w:pPr>
      <w:tabs>
        <w:tab w:val="center" w:pos="4680"/>
        <w:tab w:val="right" w:pos="9360"/>
      </w:tabs>
      <w:spacing w:before="0"/>
    </w:pPr>
  </w:style>
  <w:style w:type="character" w:customStyle="1" w:styleId="HeaderChar">
    <w:name w:val="Header Char"/>
    <w:basedOn w:val="DefaultParagraphFont"/>
    <w:link w:val="Header"/>
    <w:uiPriority w:val="99"/>
    <w:rsid w:val="00C74B09"/>
  </w:style>
  <w:style w:type="paragraph" w:styleId="Footer">
    <w:name w:val="footer"/>
    <w:basedOn w:val="Normal"/>
    <w:link w:val="FooterChar"/>
    <w:uiPriority w:val="99"/>
    <w:unhideWhenUsed/>
    <w:rsid w:val="00C74B09"/>
    <w:pPr>
      <w:tabs>
        <w:tab w:val="center" w:pos="4680"/>
        <w:tab w:val="right" w:pos="9360"/>
      </w:tabs>
      <w:spacing w:before="0"/>
    </w:pPr>
  </w:style>
  <w:style w:type="character" w:customStyle="1" w:styleId="FooterChar">
    <w:name w:val="Footer Char"/>
    <w:basedOn w:val="DefaultParagraphFont"/>
    <w:link w:val="Footer"/>
    <w:uiPriority w:val="99"/>
    <w:rsid w:val="00C74B09"/>
  </w:style>
  <w:style w:type="character" w:styleId="PageNumber">
    <w:name w:val="page number"/>
    <w:basedOn w:val="DefaultParagraphFont"/>
    <w:uiPriority w:val="99"/>
    <w:semiHidden/>
    <w:unhideWhenUsed/>
    <w:rsid w:val="00AE35D8"/>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aeecc.org/3-14-2024-full-caeecc-mtg" TargetMode="External"/><Relationship Id="rId18" Type="http://schemas.openxmlformats.org/officeDocument/2006/relationships/image" Target="media/image2.png"/><Relationship Id="rId26" Type="http://schemas.openxmlformats.org/officeDocument/2006/relationships/hyperlink" Target="https://calmta.org/wp-content/uploads/sites/263/CalMTA-Listening-Session-Summary-Report.pdf" TargetMode="External"/><Relationship Id="rId39" Type="http://schemas.openxmlformats.org/officeDocument/2006/relationships/fontTable" Target="fontTable.xml"/><Relationship Id="rId21" Type="http://schemas.openxmlformats.org/officeDocument/2006/relationships/hyperlink" Target="https://www.caeecc.org/energy-savings-assist-prgm-a-1911-003"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cs.cpuc.ca.gov/PublishedDocs/Published/G000/M512/K907/512907396.PDF" TargetMode="External"/><Relationship Id="rId17" Type="http://schemas.openxmlformats.org/officeDocument/2006/relationships/hyperlink" Target="https://docs.cpuc.ca.gov/PublishedDocs/Efile/G000/M527/K532/527532341.PDF" TargetMode="External"/><Relationship Id="rId25" Type="http://schemas.openxmlformats.org/officeDocument/2006/relationships/hyperlink" Target="https://calmta.org/advisory-board/" TargetMode="External"/><Relationship Id="rId33" Type="http://schemas.openxmlformats.org/officeDocument/2006/relationships/hyperlink" Target="https://www.caeecc.org/caeecc-info"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nergyequityproject.com/resources-2/" TargetMode="External"/><Relationship Id="rId20" Type="http://schemas.openxmlformats.org/officeDocument/2006/relationships/hyperlink" Target="https://www.caeecc.org/third-party-solicitation-process" TargetMode="External"/><Relationship Id="rId29" Type="http://schemas.openxmlformats.org/officeDocument/2006/relationships/hyperlink" Target="https://apps.cpuc.ca.gov/apex/f?p=401:56:15906284397852::NO:RP,57,RIR:P5_PROCEEDING_SELECT:R1311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eecc.org/3-14-2024-full-caeecc-mtg" TargetMode="External"/><Relationship Id="rId24" Type="http://schemas.openxmlformats.org/officeDocument/2006/relationships/hyperlink" Target="http://calmta.org" TargetMode="External"/><Relationship Id="rId32" Type="http://schemas.openxmlformats.org/officeDocument/2006/relationships/image" Target="media/image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eecc.org/_files/ugd/849f65_9c326650f3174915a972a6f86dad94c7.pdf" TargetMode="External"/><Relationship Id="rId23" Type="http://schemas.openxmlformats.org/officeDocument/2006/relationships/hyperlink" Target="https://calmta.org/" TargetMode="External"/><Relationship Id="rId28" Type="http://schemas.openxmlformats.org/officeDocument/2006/relationships/hyperlink" Target="https://docs.cpuc.ca.gov/PublishedDocs/Published/G000/M321/K507/321507615.PDF"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usan@raabassociates.org" TargetMode="External"/><Relationship Id="rId14" Type="http://schemas.openxmlformats.org/officeDocument/2006/relationships/hyperlink" Target="https://docs.cpuc.ca.gov/PublishedDocs/Efile/G000/M527/K532/527532341.PDF" TargetMode="External"/><Relationship Id="rId22" Type="http://schemas.openxmlformats.org/officeDocument/2006/relationships/hyperlink" Target="https://www.energy.ca.gov/filebrowser/download/6148" TargetMode="External"/><Relationship Id="rId27" Type="http://schemas.openxmlformats.org/officeDocument/2006/relationships/hyperlink" Target="https://docs.cpuc.ca.gov/PublishedDocs/Published/G000/M385/K864/385864616.PDF" TargetMode="External"/><Relationship Id="rId30" Type="http://schemas.openxmlformats.org/officeDocument/2006/relationships/hyperlink" Target="https://calmta.org/resources-and-reports/calmtas-2024-abal-filed-with-the-cpuc/" TargetMode="External"/><Relationship Id="rId35" Type="http://schemas.openxmlformats.org/officeDocument/2006/relationships/footer" Target="footer1.xml"/><Relationship Id="rId8" Type="http://schemas.openxmlformats.org/officeDocument/2006/relationships/hyperlink" Target="https://www.caeecc.org/3-14-2024-full-caeecc-mt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JqJ+SDKN/bt2HrE0YwmrhWxs0Q==">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6825</Words>
  <Characters>38908</Characters>
  <Application>Microsoft Office Word</Application>
  <DocSecurity>0</DocSecurity>
  <Lines>324</Lines>
  <Paragraphs>91</Paragraphs>
  <ScaleCrop>false</ScaleCrop>
  <Company/>
  <LinksUpToDate>false</LinksUpToDate>
  <CharactersWithSpaces>45642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Jacobsohn, Ely</dc:creator>
  <cp:lastModifiedBy>Katie Abrams</cp:lastModifiedBy>
  <cp:revision>2</cp:revision>
  <dcterms:created xsi:type="dcterms:W3CDTF">2024-03-21T20:43:00Z</dcterms:created>
  <dcterms:modified xsi:type="dcterms:W3CDTF">2024-03-21T20:43:00Z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0x0101006EDAF9F80FDE0E459E1A4ABBAD4741F7</vt:lpwstr>
  </property>
  <property fmtid="{D5CDD505-2E9C-101B-9397-08002B2CF9AE}" pid="3" name="MediaServiceImageTags">
    <vt:lpwstr/>
  </property>
</Properties>
</file>