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A2976" w14:textId="01C9D4A7" w:rsidR="00341474" w:rsidRPr="00341474" w:rsidRDefault="00341474">
      <w:pPr>
        <w:rPr>
          <w:rFonts w:eastAsiaTheme="minorEastAsia"/>
          <w:b/>
          <w:bCs/>
          <w:color w:val="000000" w:themeColor="text1"/>
          <w:sz w:val="28"/>
          <w:szCs w:val="28"/>
        </w:rPr>
      </w:pPr>
      <w:r>
        <w:rPr>
          <w:rFonts w:eastAsiaTheme="minorEastAsia"/>
          <w:b/>
          <w:bCs/>
          <w:color w:val="000000" w:themeColor="text1"/>
          <w:sz w:val="28"/>
          <w:szCs w:val="28"/>
        </w:rPr>
        <w:t>Tri-County Regional Energy Network:</w:t>
      </w:r>
    </w:p>
    <w:tbl>
      <w:tblPr>
        <w:tblStyle w:val="TableGrid"/>
        <w:tblW w:w="0" w:type="auto"/>
        <w:tblLook w:val="04A0" w:firstRow="1" w:lastRow="0" w:firstColumn="1" w:lastColumn="0" w:noHBand="0" w:noVBand="1"/>
      </w:tblPr>
      <w:tblGrid>
        <w:gridCol w:w="3505"/>
        <w:gridCol w:w="5845"/>
      </w:tblGrid>
      <w:tr w:rsidR="00341474" w:rsidRPr="00A72508" w14:paraId="0B774843" w14:textId="77777777" w:rsidTr="00F47340">
        <w:tc>
          <w:tcPr>
            <w:tcW w:w="3505" w:type="dxa"/>
          </w:tcPr>
          <w:p w14:paraId="5BE7F53F" w14:textId="77777777" w:rsidR="00341474" w:rsidRPr="00A72508" w:rsidRDefault="00341474" w:rsidP="00F47340">
            <w:pPr>
              <w:rPr>
                <w:color w:val="000000" w:themeColor="text1"/>
              </w:rPr>
            </w:pPr>
            <w:r w:rsidRPr="00A72508">
              <w:rPr>
                <w:color w:val="000000" w:themeColor="text1"/>
              </w:rPr>
              <w:t>1)EE Workforce Assistance (i.e., financial; trainings)</w:t>
            </w:r>
          </w:p>
        </w:tc>
        <w:tc>
          <w:tcPr>
            <w:tcW w:w="5845" w:type="dxa"/>
          </w:tcPr>
          <w:p w14:paraId="6CB850F8" w14:textId="77777777" w:rsidR="00341474" w:rsidRDefault="00341474" w:rsidP="00F47340">
            <w:pPr>
              <w:rPr>
                <w:color w:val="000000" w:themeColor="text1"/>
              </w:rPr>
            </w:pPr>
            <w:r>
              <w:rPr>
                <w:color w:val="000000" w:themeColor="text1"/>
              </w:rPr>
              <w:t xml:space="preserve">Temporary suspension of trainings and program delivery of WE&amp;T and C&amp;S while expediting online services. </w:t>
            </w:r>
          </w:p>
          <w:p w14:paraId="76072730" w14:textId="77777777" w:rsidR="00341474" w:rsidRPr="00A72508" w:rsidRDefault="00341474" w:rsidP="00F47340">
            <w:pPr>
              <w:rPr>
                <w:color w:val="000000" w:themeColor="text1"/>
              </w:rPr>
            </w:pPr>
            <w:r>
              <w:rPr>
                <w:color w:val="000000" w:themeColor="text1"/>
              </w:rPr>
              <w:t xml:space="preserve">Delayed in-the-field launch of Residential DI program. </w:t>
            </w:r>
          </w:p>
        </w:tc>
      </w:tr>
      <w:tr w:rsidR="00341474" w:rsidRPr="00A72508" w14:paraId="483F5DB1" w14:textId="77777777" w:rsidTr="00F47340">
        <w:tc>
          <w:tcPr>
            <w:tcW w:w="3505" w:type="dxa"/>
          </w:tcPr>
          <w:p w14:paraId="7A1BF480" w14:textId="77777777" w:rsidR="00341474" w:rsidRPr="00A72508" w:rsidRDefault="00341474" w:rsidP="00F47340">
            <w:pPr>
              <w:rPr>
                <w:color w:val="000000" w:themeColor="text1"/>
              </w:rPr>
            </w:pPr>
            <w:r w:rsidRPr="00A72508">
              <w:rPr>
                <w:color w:val="000000" w:themeColor="text1"/>
              </w:rPr>
              <w:t>2) Programmatic Changes:</w:t>
            </w:r>
          </w:p>
        </w:tc>
        <w:tc>
          <w:tcPr>
            <w:tcW w:w="5845" w:type="dxa"/>
          </w:tcPr>
          <w:p w14:paraId="1D7FBB41" w14:textId="77777777" w:rsidR="00341474" w:rsidRPr="00A72508" w:rsidRDefault="00341474" w:rsidP="00F47340">
            <w:pPr>
              <w:rPr>
                <w:color w:val="000000" w:themeColor="text1"/>
              </w:rPr>
            </w:pPr>
          </w:p>
        </w:tc>
      </w:tr>
      <w:tr w:rsidR="00341474" w:rsidRPr="00A72508" w14:paraId="53EAFD47" w14:textId="77777777" w:rsidTr="00F47340">
        <w:tc>
          <w:tcPr>
            <w:tcW w:w="3505" w:type="dxa"/>
          </w:tcPr>
          <w:p w14:paraId="41FA282A" w14:textId="77777777" w:rsidR="00341474" w:rsidRPr="00A72508" w:rsidRDefault="00341474" w:rsidP="00F47340">
            <w:pPr>
              <w:pStyle w:val="ListParagraph"/>
              <w:numPr>
                <w:ilvl w:val="0"/>
                <w:numId w:val="3"/>
              </w:numPr>
              <w:rPr>
                <w:color w:val="000000" w:themeColor="text1"/>
              </w:rPr>
            </w:pPr>
            <w:r w:rsidRPr="00A72508">
              <w:rPr>
                <w:color w:val="000000" w:themeColor="text1"/>
              </w:rPr>
              <w:t>short term</w:t>
            </w:r>
          </w:p>
        </w:tc>
        <w:tc>
          <w:tcPr>
            <w:tcW w:w="5845" w:type="dxa"/>
          </w:tcPr>
          <w:p w14:paraId="34E3BD6F" w14:textId="77777777" w:rsidR="00341474" w:rsidRDefault="00341474" w:rsidP="00F47340">
            <w:pPr>
              <w:rPr>
                <w:color w:val="000000" w:themeColor="text1"/>
              </w:rPr>
            </w:pPr>
            <w:r w:rsidRPr="005B73EC">
              <w:rPr>
                <w:color w:val="000000" w:themeColor="text1"/>
              </w:rPr>
              <w:t>Switched to online delivery of</w:t>
            </w:r>
            <w:r>
              <w:rPr>
                <w:color w:val="000000" w:themeColor="text1"/>
              </w:rPr>
              <w:t xml:space="preserve"> WE&amp;T</w:t>
            </w:r>
            <w:r w:rsidRPr="005B73EC">
              <w:rPr>
                <w:color w:val="000000" w:themeColor="text1"/>
              </w:rPr>
              <w:t xml:space="preserve"> training</w:t>
            </w:r>
            <w:r>
              <w:rPr>
                <w:color w:val="000000" w:themeColor="text1"/>
              </w:rPr>
              <w:t>s</w:t>
            </w:r>
            <w:r w:rsidRPr="005B73EC">
              <w:rPr>
                <w:color w:val="000000" w:themeColor="text1"/>
              </w:rPr>
              <w:t xml:space="preserve"> and </w:t>
            </w:r>
            <w:r>
              <w:rPr>
                <w:color w:val="000000" w:themeColor="text1"/>
              </w:rPr>
              <w:t xml:space="preserve">C&amp;S </w:t>
            </w:r>
            <w:r w:rsidRPr="005B73EC">
              <w:rPr>
                <w:color w:val="000000" w:themeColor="text1"/>
              </w:rPr>
              <w:t>outreach</w:t>
            </w:r>
            <w:r>
              <w:rPr>
                <w:color w:val="000000" w:themeColor="text1"/>
              </w:rPr>
              <w:t xml:space="preserve"> and forums</w:t>
            </w:r>
            <w:r w:rsidRPr="005B73EC">
              <w:rPr>
                <w:color w:val="000000" w:themeColor="text1"/>
              </w:rPr>
              <w:t xml:space="preserve">. Worked with instructors and consultants so that content was delivered via </w:t>
            </w:r>
            <w:r>
              <w:rPr>
                <w:color w:val="000000" w:themeColor="text1"/>
              </w:rPr>
              <w:t>online platforms</w:t>
            </w:r>
            <w:r w:rsidRPr="005B73EC">
              <w:rPr>
                <w:color w:val="000000" w:themeColor="text1"/>
              </w:rPr>
              <w:t xml:space="preserve">. </w:t>
            </w:r>
          </w:p>
          <w:p w14:paraId="1FE70D90" w14:textId="77777777" w:rsidR="00341474" w:rsidRDefault="00341474" w:rsidP="00F47340">
            <w:pPr>
              <w:rPr>
                <w:color w:val="000000" w:themeColor="text1"/>
              </w:rPr>
            </w:pPr>
          </w:p>
          <w:p w14:paraId="7E0016AA" w14:textId="77777777" w:rsidR="00341474" w:rsidRDefault="00341474" w:rsidP="00F47340">
            <w:pPr>
              <w:rPr>
                <w:color w:val="000000" w:themeColor="text1"/>
              </w:rPr>
            </w:pPr>
            <w:r w:rsidRPr="005B73EC">
              <w:rPr>
                <w:color w:val="000000" w:themeColor="text1"/>
              </w:rPr>
              <w:t>For example</w:t>
            </w:r>
            <w:r>
              <w:rPr>
                <w:color w:val="000000" w:themeColor="text1"/>
              </w:rPr>
              <w:t xml:space="preserve">, the following forums have been held or planned: </w:t>
            </w:r>
          </w:p>
          <w:p w14:paraId="6472714A" w14:textId="77777777" w:rsidR="00341474" w:rsidRDefault="00341474" w:rsidP="00F47340">
            <w:pPr>
              <w:rPr>
                <w:color w:val="000000" w:themeColor="text1"/>
              </w:rPr>
            </w:pPr>
          </w:p>
          <w:p w14:paraId="157115B4" w14:textId="77777777" w:rsidR="00341474" w:rsidRDefault="00341474" w:rsidP="00F47340">
            <w:pPr>
              <w:rPr>
                <w:rStyle w:val="eop"/>
                <w:rFonts w:ascii="Calibri" w:hAnsi="Calibri" w:cs="Calibri"/>
                <w:color w:val="000000"/>
                <w:shd w:val="clear" w:color="auto" w:fill="FFFFFF"/>
              </w:rPr>
            </w:pPr>
            <w:r>
              <w:rPr>
                <w:b/>
                <w:bCs/>
                <w:color w:val="000000" w:themeColor="text1"/>
              </w:rPr>
              <w:t xml:space="preserve">4/30/20 </w:t>
            </w:r>
            <w:r>
              <w:rPr>
                <w:rStyle w:val="normaltextrun"/>
                <w:rFonts w:ascii="Calibri" w:hAnsi="Calibri" w:cs="Calibri"/>
                <w:b/>
                <w:bCs/>
                <w:color w:val="000000"/>
                <w:shd w:val="clear" w:color="auto" w:fill="FFFFFF"/>
              </w:rPr>
              <w:t>O</w:t>
            </w:r>
            <w:r w:rsidRPr="005B73EC">
              <w:rPr>
                <w:rStyle w:val="normaltextrun"/>
                <w:rFonts w:ascii="Calibri" w:hAnsi="Calibri" w:cs="Calibri"/>
                <w:b/>
                <w:bCs/>
                <w:color w:val="000000"/>
                <w:shd w:val="clear" w:color="auto" w:fill="FFFFFF"/>
              </w:rPr>
              <w:t>ptimizing the Virtual Building Department</w:t>
            </w:r>
            <w:r w:rsidRPr="005B73EC">
              <w:rPr>
                <w:rStyle w:val="eop"/>
                <w:rFonts w:ascii="Calibri" w:hAnsi="Calibri" w:cs="Calibri"/>
                <w:color w:val="000000"/>
                <w:shd w:val="clear" w:color="auto" w:fill="FFFFFF"/>
              </w:rPr>
              <w:t> </w:t>
            </w:r>
          </w:p>
          <w:p w14:paraId="2E5A4A7F" w14:textId="77777777" w:rsidR="00341474" w:rsidRDefault="00341474" w:rsidP="00F47340">
            <w:pPr>
              <w:rPr>
                <w:rStyle w:val="normaltextrun"/>
                <w:rFonts w:ascii="Calibri" w:hAnsi="Calibri" w:cs="Calibri"/>
                <w:color w:val="000000"/>
                <w:bdr w:val="none" w:sz="0" w:space="0" w:color="auto" w:frame="1"/>
              </w:rPr>
            </w:pPr>
            <w:r w:rsidRPr="005B73EC">
              <w:rPr>
                <w:rStyle w:val="eop"/>
                <w:rFonts w:ascii="Calibri" w:hAnsi="Calibri" w:cs="Calibri"/>
                <w:color w:val="000000"/>
                <w:shd w:val="clear" w:color="auto" w:fill="FFFFFF"/>
              </w:rPr>
              <w:t>B</w:t>
            </w:r>
            <w:r w:rsidRPr="005B73EC">
              <w:rPr>
                <w:rStyle w:val="normaltextrun"/>
                <w:rFonts w:ascii="Calibri" w:hAnsi="Calibri" w:cs="Calibri"/>
                <w:color w:val="000000"/>
                <w:bdr w:val="none" w:sz="0" w:space="0" w:color="auto" w:frame="1"/>
              </w:rPr>
              <w:t>uilding departments in the tri-county region are transitioning to electronic permit applications and plan submittals as well as offering virtual inspections to continue operations during the pandemic. This webinar had code officials from various jurisdictions, presenting on safe permitting and inspections services in support of construction projects, including housing projects, recognized as "essential" and allowed to continue to work under the Governor's March 19 Stay at Home order.</w:t>
            </w:r>
          </w:p>
          <w:p w14:paraId="58E8B524" w14:textId="77777777" w:rsidR="00341474" w:rsidRDefault="00341474" w:rsidP="00F47340">
            <w:pPr>
              <w:rPr>
                <w:rStyle w:val="normaltextrun"/>
                <w:rFonts w:ascii="Calibri" w:hAnsi="Calibri" w:cs="Calibri"/>
                <w:color w:val="000000"/>
                <w:bdr w:val="none" w:sz="0" w:space="0" w:color="auto" w:frame="1"/>
              </w:rPr>
            </w:pPr>
          </w:p>
          <w:p w14:paraId="7279F919" w14:textId="77777777" w:rsidR="00341474" w:rsidRPr="005B73EC" w:rsidRDefault="00341474" w:rsidP="00F47340">
            <w:pPr>
              <w:rPr>
                <w:rStyle w:val="normaltextrun"/>
                <w:rFonts w:ascii="Calibri" w:hAnsi="Calibri" w:cs="Calibri"/>
                <w:color w:val="000000"/>
                <w:bdr w:val="none" w:sz="0" w:space="0" w:color="auto" w:frame="1"/>
              </w:rPr>
            </w:pPr>
            <w:r>
              <w:rPr>
                <w:rStyle w:val="normaltextrun"/>
                <w:rFonts w:ascii="Calibri" w:hAnsi="Calibri" w:cs="Calibri"/>
                <w:color w:val="000000"/>
                <w:bdr w:val="none" w:sz="0" w:space="0" w:color="auto" w:frame="1"/>
              </w:rPr>
              <w:t xml:space="preserve">Other, online </w:t>
            </w:r>
            <w:r w:rsidRPr="005B73EC">
              <w:rPr>
                <w:rStyle w:val="normaltextrun"/>
                <w:rFonts w:ascii="Calibri" w:hAnsi="Calibri" w:cs="Calibri"/>
                <w:color w:val="000000"/>
                <w:bdr w:val="none" w:sz="0" w:space="0" w:color="auto" w:frame="1"/>
              </w:rPr>
              <w:t xml:space="preserve">trainings </w:t>
            </w:r>
            <w:r>
              <w:rPr>
                <w:rStyle w:val="normaltextrun"/>
                <w:rFonts w:ascii="Calibri" w:hAnsi="Calibri" w:cs="Calibri"/>
                <w:color w:val="000000"/>
                <w:bdr w:val="none" w:sz="0" w:space="0" w:color="auto" w:frame="1"/>
              </w:rPr>
              <w:t>planned</w:t>
            </w:r>
            <w:r w:rsidRPr="005B73EC">
              <w:rPr>
                <w:rStyle w:val="normaltextrun"/>
                <w:rFonts w:ascii="Calibri" w:hAnsi="Calibri" w:cs="Calibri"/>
                <w:color w:val="000000"/>
                <w:bdr w:val="none" w:sz="0" w:space="0" w:color="auto" w:frame="1"/>
              </w:rPr>
              <w:t>:</w:t>
            </w:r>
          </w:p>
          <w:p w14:paraId="4C5617D0" w14:textId="77777777" w:rsidR="00341474" w:rsidRPr="005B73EC" w:rsidRDefault="00341474" w:rsidP="00F47340">
            <w:pPr>
              <w:pStyle w:val="paragraph"/>
              <w:numPr>
                <w:ilvl w:val="0"/>
                <w:numId w:val="6"/>
              </w:numPr>
              <w:tabs>
                <w:tab w:val="clear" w:pos="360"/>
              </w:tabs>
              <w:spacing w:before="0" w:beforeAutospacing="0" w:after="0" w:afterAutospacing="0"/>
              <w:ind w:left="526"/>
              <w:textAlignment w:val="baseline"/>
              <w:rPr>
                <w:rFonts w:ascii="Calibri" w:hAnsi="Calibri" w:cs="Calibri"/>
                <w:sz w:val="22"/>
                <w:szCs w:val="22"/>
              </w:rPr>
            </w:pPr>
            <w:r w:rsidRPr="005B73EC">
              <w:rPr>
                <w:rStyle w:val="normaltextrun"/>
                <w:rFonts w:ascii="Calibri" w:hAnsi="Calibri" w:cs="Calibri"/>
                <w:b/>
                <w:bCs/>
                <w:sz w:val="22"/>
                <w:szCs w:val="22"/>
              </w:rPr>
              <w:t>Residential ZNE for Title 24 2019</w:t>
            </w:r>
            <w:r w:rsidRPr="005B73EC">
              <w:rPr>
                <w:rStyle w:val="eop"/>
                <w:rFonts w:ascii="Calibri" w:hAnsi="Calibri" w:cs="Calibri"/>
                <w:sz w:val="22"/>
                <w:szCs w:val="22"/>
              </w:rPr>
              <w:t> </w:t>
            </w:r>
          </w:p>
          <w:p w14:paraId="1DDC576A" w14:textId="77777777" w:rsidR="00341474" w:rsidRPr="005B73EC" w:rsidRDefault="00341474" w:rsidP="00341474">
            <w:pPr>
              <w:pStyle w:val="paragraph"/>
              <w:numPr>
                <w:ilvl w:val="0"/>
                <w:numId w:val="7"/>
              </w:numPr>
              <w:spacing w:before="0" w:beforeAutospacing="0" w:after="0" w:afterAutospacing="0"/>
              <w:ind w:left="526"/>
              <w:textAlignment w:val="baseline"/>
              <w:rPr>
                <w:rFonts w:ascii="Calibri" w:hAnsi="Calibri" w:cs="Calibri"/>
                <w:sz w:val="22"/>
                <w:szCs w:val="22"/>
              </w:rPr>
            </w:pPr>
            <w:r w:rsidRPr="005B73EC">
              <w:rPr>
                <w:rStyle w:val="normaltextrun"/>
                <w:rFonts w:ascii="Calibri" w:hAnsi="Calibri" w:cs="Calibri"/>
                <w:b/>
                <w:bCs/>
                <w:sz w:val="22"/>
                <w:szCs w:val="22"/>
              </w:rPr>
              <w:t>All Electric ZNE – Heat pumps and electric appliances for residential and small commercial </w:t>
            </w:r>
            <w:r w:rsidRPr="005B73EC">
              <w:rPr>
                <w:rStyle w:val="eop"/>
                <w:rFonts w:ascii="Calibri" w:hAnsi="Calibri" w:cs="Calibri"/>
                <w:sz w:val="22"/>
                <w:szCs w:val="22"/>
              </w:rPr>
              <w:t> </w:t>
            </w:r>
          </w:p>
          <w:p w14:paraId="2912309C" w14:textId="77777777" w:rsidR="00341474" w:rsidRPr="005B73EC" w:rsidRDefault="00341474" w:rsidP="00341474">
            <w:pPr>
              <w:pStyle w:val="paragraph"/>
              <w:numPr>
                <w:ilvl w:val="0"/>
                <w:numId w:val="8"/>
              </w:numPr>
              <w:spacing w:before="0" w:beforeAutospacing="0" w:after="0" w:afterAutospacing="0"/>
              <w:ind w:left="526"/>
              <w:textAlignment w:val="baseline"/>
              <w:rPr>
                <w:rFonts w:ascii="Calibri" w:hAnsi="Calibri" w:cs="Calibri"/>
                <w:sz w:val="22"/>
                <w:szCs w:val="22"/>
              </w:rPr>
            </w:pPr>
            <w:r w:rsidRPr="005B73EC">
              <w:rPr>
                <w:rStyle w:val="normaltextrun"/>
                <w:rFonts w:ascii="Calibri" w:hAnsi="Calibri" w:cs="Calibri"/>
                <w:b/>
                <w:bCs/>
                <w:sz w:val="22"/>
                <w:szCs w:val="22"/>
              </w:rPr>
              <w:t>Residential Remodels – 2019 Title 24 and best practices for high performance</w:t>
            </w:r>
            <w:r w:rsidRPr="005B73EC">
              <w:rPr>
                <w:rStyle w:val="eop"/>
                <w:rFonts w:ascii="Calibri" w:hAnsi="Calibri" w:cs="Calibri"/>
                <w:sz w:val="22"/>
                <w:szCs w:val="22"/>
              </w:rPr>
              <w:t> </w:t>
            </w:r>
          </w:p>
          <w:p w14:paraId="39DFA5DE" w14:textId="77777777" w:rsidR="00341474" w:rsidRPr="005B73EC" w:rsidRDefault="00341474" w:rsidP="00341474">
            <w:pPr>
              <w:pStyle w:val="paragraph"/>
              <w:numPr>
                <w:ilvl w:val="0"/>
                <w:numId w:val="9"/>
              </w:numPr>
              <w:spacing w:before="0" w:beforeAutospacing="0" w:after="0" w:afterAutospacing="0"/>
              <w:ind w:left="526"/>
              <w:textAlignment w:val="baseline"/>
              <w:rPr>
                <w:rFonts w:ascii="Calibri" w:hAnsi="Calibri" w:cs="Calibri"/>
                <w:sz w:val="22"/>
                <w:szCs w:val="22"/>
              </w:rPr>
            </w:pPr>
            <w:r w:rsidRPr="005B73EC">
              <w:rPr>
                <w:rStyle w:val="normaltextrun"/>
                <w:rFonts w:ascii="Calibri" w:hAnsi="Calibri" w:cs="Calibri"/>
                <w:b/>
                <w:bCs/>
                <w:sz w:val="22"/>
                <w:szCs w:val="22"/>
              </w:rPr>
              <w:t>Non-Residential Envelope and Renewable Energy for Title 24 2019</w:t>
            </w:r>
            <w:r w:rsidRPr="005B73EC">
              <w:rPr>
                <w:rStyle w:val="eop"/>
                <w:rFonts w:ascii="Calibri" w:hAnsi="Calibri" w:cs="Calibri"/>
                <w:sz w:val="22"/>
                <w:szCs w:val="22"/>
              </w:rPr>
              <w:t> </w:t>
            </w:r>
          </w:p>
        </w:tc>
      </w:tr>
      <w:tr w:rsidR="00341474" w:rsidRPr="00A72508" w14:paraId="1C750FEC" w14:textId="77777777" w:rsidTr="00F47340">
        <w:tc>
          <w:tcPr>
            <w:tcW w:w="3505" w:type="dxa"/>
          </w:tcPr>
          <w:p w14:paraId="79037F81" w14:textId="77777777" w:rsidR="00341474" w:rsidRPr="00A72508" w:rsidRDefault="00341474" w:rsidP="00F47340">
            <w:pPr>
              <w:pStyle w:val="ListParagraph"/>
              <w:numPr>
                <w:ilvl w:val="0"/>
                <w:numId w:val="3"/>
              </w:numPr>
              <w:rPr>
                <w:color w:val="000000" w:themeColor="text1"/>
              </w:rPr>
            </w:pPr>
            <w:r w:rsidRPr="00A72508">
              <w:rPr>
                <w:color w:val="000000" w:themeColor="text1"/>
              </w:rPr>
              <w:t>long term</w:t>
            </w:r>
          </w:p>
        </w:tc>
        <w:tc>
          <w:tcPr>
            <w:tcW w:w="5845" w:type="dxa"/>
          </w:tcPr>
          <w:p w14:paraId="163F7B97" w14:textId="77777777" w:rsidR="00341474" w:rsidRPr="00A72508" w:rsidRDefault="00341474" w:rsidP="00F47340">
            <w:pPr>
              <w:rPr>
                <w:color w:val="000000" w:themeColor="text1"/>
              </w:rPr>
            </w:pPr>
            <w:r>
              <w:rPr>
                <w:color w:val="000000" w:themeColor="text1"/>
              </w:rPr>
              <w:t>3C-REN will continue to offer online content - live and on demand. Staff will participate and coordinate with economic development collaboratives in tri-county area and make sure that we address any future needs in the EE workforce by offering local solutions and resources.</w:t>
            </w:r>
          </w:p>
        </w:tc>
      </w:tr>
      <w:tr w:rsidR="00341474" w:rsidRPr="00A72508" w14:paraId="00045EFB" w14:textId="77777777" w:rsidTr="00F47340">
        <w:tc>
          <w:tcPr>
            <w:tcW w:w="3505" w:type="dxa"/>
          </w:tcPr>
          <w:p w14:paraId="51F08FD3" w14:textId="77777777" w:rsidR="00341474" w:rsidRPr="00A72508" w:rsidRDefault="00341474" w:rsidP="00F47340">
            <w:pPr>
              <w:rPr>
                <w:color w:val="000000" w:themeColor="text1"/>
              </w:rPr>
            </w:pPr>
            <w:r w:rsidRPr="00A72508">
              <w:rPr>
                <w:color w:val="000000" w:themeColor="text1"/>
              </w:rPr>
              <w:t>3) Anticipated impact on overall program goals; and cost-effectiveness</w:t>
            </w:r>
          </w:p>
        </w:tc>
        <w:tc>
          <w:tcPr>
            <w:tcW w:w="5845" w:type="dxa"/>
          </w:tcPr>
          <w:p w14:paraId="14CA693F" w14:textId="77777777" w:rsidR="00341474" w:rsidRDefault="00341474" w:rsidP="00F47340">
            <w:pPr>
              <w:rPr>
                <w:color w:val="000000" w:themeColor="text1"/>
              </w:rPr>
            </w:pPr>
            <w:r>
              <w:rPr>
                <w:color w:val="000000" w:themeColor="text1"/>
              </w:rPr>
              <w:t xml:space="preserve">Over the long term, energy saving achievements will be delayed especially in the residential sector. With the expected economic impacts having a real effect on the ability of single family and multifamily participants to make the financial investments to take on higher energy saving projects. </w:t>
            </w:r>
          </w:p>
          <w:p w14:paraId="34345653" w14:textId="77777777" w:rsidR="00341474" w:rsidRDefault="00341474" w:rsidP="00F47340">
            <w:pPr>
              <w:rPr>
                <w:color w:val="000000" w:themeColor="text1"/>
              </w:rPr>
            </w:pPr>
          </w:p>
          <w:p w14:paraId="56E09015" w14:textId="77777777" w:rsidR="00341474" w:rsidRPr="00A72508" w:rsidRDefault="00341474" w:rsidP="00F47340">
            <w:pPr>
              <w:rPr>
                <w:color w:val="000000" w:themeColor="text1"/>
              </w:rPr>
            </w:pPr>
            <w:r>
              <w:rPr>
                <w:color w:val="000000" w:themeColor="text1"/>
              </w:rPr>
              <w:t xml:space="preserve">May need to retrain local programs implementers to ensure required health and safety orders are followed, this could have a potential impact on costs and timeline. </w:t>
            </w:r>
          </w:p>
        </w:tc>
      </w:tr>
    </w:tbl>
    <w:p w14:paraId="0CB822EE" w14:textId="00DD9A40" w:rsidR="00341474" w:rsidRDefault="00341474"/>
    <w:p w14:paraId="50734AF6" w14:textId="39D9FD0D" w:rsidR="00341474" w:rsidRPr="00341474" w:rsidRDefault="00341474">
      <w:pPr>
        <w:rPr>
          <w:rFonts w:eastAsiaTheme="minorEastAsia"/>
          <w:b/>
          <w:bCs/>
          <w:color w:val="000000" w:themeColor="text1"/>
          <w:sz w:val="28"/>
          <w:szCs w:val="28"/>
        </w:rPr>
      </w:pPr>
      <w:r>
        <w:rPr>
          <w:rFonts w:eastAsiaTheme="minorEastAsia"/>
          <w:b/>
          <w:bCs/>
          <w:color w:val="000000" w:themeColor="text1"/>
          <w:sz w:val="28"/>
          <w:szCs w:val="28"/>
        </w:rPr>
        <w:lastRenderedPageBreak/>
        <w:t>Marin Clean Energy:</w:t>
      </w:r>
    </w:p>
    <w:tbl>
      <w:tblPr>
        <w:tblStyle w:val="TableGrid"/>
        <w:tblW w:w="0" w:type="auto"/>
        <w:tblLook w:val="04A0" w:firstRow="1" w:lastRow="0" w:firstColumn="1" w:lastColumn="0" w:noHBand="0" w:noVBand="1"/>
      </w:tblPr>
      <w:tblGrid>
        <w:gridCol w:w="4514"/>
        <w:gridCol w:w="4836"/>
      </w:tblGrid>
      <w:tr w:rsidR="00341474" w:rsidRPr="00A72508" w14:paraId="5C93E729" w14:textId="77777777" w:rsidTr="00F47340">
        <w:tc>
          <w:tcPr>
            <w:tcW w:w="4675" w:type="dxa"/>
          </w:tcPr>
          <w:p w14:paraId="3B64C04F" w14:textId="77777777" w:rsidR="00341474" w:rsidRPr="00A72508" w:rsidRDefault="00341474" w:rsidP="00F47340">
            <w:pPr>
              <w:rPr>
                <w:color w:val="000000" w:themeColor="text1"/>
              </w:rPr>
            </w:pPr>
            <w:r w:rsidRPr="00A72508">
              <w:rPr>
                <w:color w:val="000000" w:themeColor="text1"/>
              </w:rPr>
              <w:t>1)EE Workforce Assistance (i.e., financial; trainings)</w:t>
            </w:r>
          </w:p>
        </w:tc>
        <w:tc>
          <w:tcPr>
            <w:tcW w:w="4675" w:type="dxa"/>
          </w:tcPr>
          <w:p w14:paraId="23326DD8" w14:textId="77777777" w:rsidR="00341474" w:rsidRDefault="00341474" w:rsidP="00F47340">
            <w:pPr>
              <w:rPr>
                <w:color w:val="000000" w:themeColor="text1"/>
              </w:rPr>
            </w:pPr>
            <w:r>
              <w:rPr>
                <w:color w:val="000000" w:themeColor="text1"/>
              </w:rPr>
              <w:t>none</w:t>
            </w:r>
          </w:p>
          <w:p w14:paraId="60ACB475" w14:textId="77777777" w:rsidR="00341474" w:rsidRPr="00A72508" w:rsidRDefault="00341474" w:rsidP="00F47340">
            <w:pPr>
              <w:rPr>
                <w:color w:val="000000" w:themeColor="text1"/>
              </w:rPr>
            </w:pPr>
          </w:p>
        </w:tc>
      </w:tr>
      <w:tr w:rsidR="00341474" w:rsidRPr="00A72508" w14:paraId="571E1421" w14:textId="77777777" w:rsidTr="00F47340">
        <w:tc>
          <w:tcPr>
            <w:tcW w:w="4675" w:type="dxa"/>
          </w:tcPr>
          <w:p w14:paraId="3117F6FF" w14:textId="77777777" w:rsidR="00341474" w:rsidRPr="00A72508" w:rsidRDefault="00341474" w:rsidP="00F47340">
            <w:pPr>
              <w:rPr>
                <w:color w:val="000000" w:themeColor="text1"/>
              </w:rPr>
            </w:pPr>
            <w:r w:rsidRPr="00A72508">
              <w:rPr>
                <w:color w:val="000000" w:themeColor="text1"/>
              </w:rPr>
              <w:t>2) Programmatic Changes:</w:t>
            </w:r>
          </w:p>
        </w:tc>
        <w:tc>
          <w:tcPr>
            <w:tcW w:w="4675" w:type="dxa"/>
          </w:tcPr>
          <w:p w14:paraId="7F6B6C13" w14:textId="77777777" w:rsidR="00341474" w:rsidRPr="00A72508" w:rsidRDefault="00341474" w:rsidP="00F47340">
            <w:pPr>
              <w:rPr>
                <w:color w:val="000000" w:themeColor="text1"/>
              </w:rPr>
            </w:pPr>
          </w:p>
        </w:tc>
      </w:tr>
      <w:tr w:rsidR="00341474" w:rsidRPr="00A72508" w14:paraId="4526A7C8" w14:textId="77777777" w:rsidTr="00F47340">
        <w:tc>
          <w:tcPr>
            <w:tcW w:w="4675" w:type="dxa"/>
          </w:tcPr>
          <w:p w14:paraId="37F72050" w14:textId="77777777" w:rsidR="00341474" w:rsidRPr="00A72508" w:rsidRDefault="00341474" w:rsidP="00341474">
            <w:pPr>
              <w:pStyle w:val="ListParagraph"/>
              <w:numPr>
                <w:ilvl w:val="0"/>
                <w:numId w:val="10"/>
              </w:numPr>
              <w:rPr>
                <w:color w:val="000000" w:themeColor="text1"/>
              </w:rPr>
            </w:pPr>
            <w:r w:rsidRPr="00A72508">
              <w:rPr>
                <w:color w:val="000000" w:themeColor="text1"/>
              </w:rPr>
              <w:t>short term</w:t>
            </w:r>
          </w:p>
        </w:tc>
        <w:tc>
          <w:tcPr>
            <w:tcW w:w="4675" w:type="dxa"/>
          </w:tcPr>
          <w:p w14:paraId="1E9F6D3D" w14:textId="77777777" w:rsidR="00341474" w:rsidRPr="0038459C" w:rsidRDefault="00341474" w:rsidP="00F47340">
            <w:pPr>
              <w:rPr>
                <w:b/>
                <w:bCs/>
                <w:color w:val="000000" w:themeColor="text1"/>
              </w:rPr>
            </w:pPr>
            <w:r w:rsidRPr="0038459C">
              <w:rPr>
                <w:b/>
                <w:bCs/>
                <w:color w:val="000000" w:themeColor="text1"/>
              </w:rPr>
              <w:t>Non-Residential:</w:t>
            </w:r>
          </w:p>
          <w:p w14:paraId="652E7E45" w14:textId="77777777" w:rsidR="00341474" w:rsidRDefault="00341474" w:rsidP="00F47340">
            <w:pPr>
              <w:rPr>
                <w:color w:val="000000" w:themeColor="text1"/>
              </w:rPr>
            </w:pPr>
            <w:r>
              <w:rPr>
                <w:color w:val="000000" w:themeColor="text1"/>
              </w:rPr>
              <w:t>-Focusing resources on essential businesses</w:t>
            </w:r>
          </w:p>
          <w:p w14:paraId="43AF1759" w14:textId="77777777" w:rsidR="00341474" w:rsidRDefault="00341474" w:rsidP="00F47340">
            <w:pPr>
              <w:rPr>
                <w:color w:val="000000" w:themeColor="text1"/>
              </w:rPr>
            </w:pPr>
            <w:r>
              <w:rPr>
                <w:color w:val="000000" w:themeColor="text1"/>
              </w:rPr>
              <w:t>-Remote site audits and following up on leads that received audits pre-</w:t>
            </w:r>
            <w:proofErr w:type="spellStart"/>
            <w:r>
              <w:rPr>
                <w:color w:val="000000" w:themeColor="text1"/>
              </w:rPr>
              <w:t>Covid</w:t>
            </w:r>
            <w:proofErr w:type="spellEnd"/>
          </w:p>
          <w:p w14:paraId="2F1F9BF5" w14:textId="77777777" w:rsidR="00341474" w:rsidRDefault="00341474" w:rsidP="00F47340">
            <w:pPr>
              <w:rPr>
                <w:color w:val="000000" w:themeColor="text1"/>
              </w:rPr>
            </w:pPr>
            <w:r>
              <w:rPr>
                <w:color w:val="000000" w:themeColor="text1"/>
              </w:rPr>
              <w:t>-Adjusting the schedule for SEM workshops based on customer status</w:t>
            </w:r>
          </w:p>
          <w:p w14:paraId="6AAECBAF" w14:textId="77777777" w:rsidR="00341474" w:rsidRDefault="00341474" w:rsidP="00F47340">
            <w:pPr>
              <w:rPr>
                <w:color w:val="000000" w:themeColor="text1"/>
              </w:rPr>
            </w:pPr>
            <w:r w:rsidRPr="0038459C">
              <w:rPr>
                <w:b/>
                <w:bCs/>
                <w:color w:val="000000" w:themeColor="text1"/>
              </w:rPr>
              <w:t>Residential</w:t>
            </w:r>
            <w:r>
              <w:rPr>
                <w:color w:val="000000" w:themeColor="text1"/>
              </w:rPr>
              <w:t>:</w:t>
            </w:r>
          </w:p>
          <w:p w14:paraId="4EC8F5EE" w14:textId="77777777" w:rsidR="00341474" w:rsidRDefault="00341474" w:rsidP="00F47340">
            <w:pPr>
              <w:rPr>
                <w:color w:val="000000" w:themeColor="text1"/>
              </w:rPr>
            </w:pPr>
            <w:r>
              <w:rPr>
                <w:color w:val="000000" w:themeColor="text1"/>
              </w:rPr>
              <w:t>-Remote site assessment and project closeout (except for projects requiring Combustion Appliance Safety testing)</w:t>
            </w:r>
          </w:p>
          <w:p w14:paraId="0E8F80E2" w14:textId="77777777" w:rsidR="00341474" w:rsidRDefault="00341474" w:rsidP="00F47340">
            <w:pPr>
              <w:rPr>
                <w:color w:val="000000" w:themeColor="text1"/>
              </w:rPr>
            </w:pPr>
            <w:r>
              <w:rPr>
                <w:color w:val="000000" w:themeColor="text1"/>
              </w:rPr>
              <w:t>-Temporary hold on direct install work – shifting to delivery of energy efficiency kits</w:t>
            </w:r>
          </w:p>
          <w:p w14:paraId="32501447" w14:textId="77777777" w:rsidR="00341474" w:rsidRPr="00A72508" w:rsidRDefault="00341474" w:rsidP="00F47340">
            <w:pPr>
              <w:rPr>
                <w:color w:val="000000" w:themeColor="text1"/>
              </w:rPr>
            </w:pPr>
            <w:r>
              <w:rPr>
                <w:color w:val="000000" w:themeColor="text1"/>
              </w:rPr>
              <w:t>-Customer satisfaction surveys that were previously conducted in person are now online only</w:t>
            </w:r>
          </w:p>
        </w:tc>
      </w:tr>
      <w:tr w:rsidR="00341474" w:rsidRPr="00A72508" w14:paraId="3C229BDB" w14:textId="77777777" w:rsidTr="00F47340">
        <w:tc>
          <w:tcPr>
            <w:tcW w:w="4675" w:type="dxa"/>
          </w:tcPr>
          <w:p w14:paraId="76FF8223" w14:textId="77777777" w:rsidR="00341474" w:rsidRPr="00A72508" w:rsidRDefault="00341474" w:rsidP="00341474">
            <w:pPr>
              <w:pStyle w:val="ListParagraph"/>
              <w:numPr>
                <w:ilvl w:val="0"/>
                <w:numId w:val="10"/>
              </w:numPr>
              <w:rPr>
                <w:color w:val="000000" w:themeColor="text1"/>
              </w:rPr>
            </w:pPr>
            <w:r w:rsidRPr="00A72508">
              <w:rPr>
                <w:color w:val="000000" w:themeColor="text1"/>
              </w:rPr>
              <w:t>long term</w:t>
            </w:r>
          </w:p>
        </w:tc>
        <w:tc>
          <w:tcPr>
            <w:tcW w:w="4675" w:type="dxa"/>
          </w:tcPr>
          <w:p w14:paraId="43307ACA" w14:textId="77777777" w:rsidR="00341474" w:rsidRDefault="00341474" w:rsidP="00F47340">
            <w:pPr>
              <w:rPr>
                <w:color w:val="000000" w:themeColor="text1"/>
              </w:rPr>
            </w:pPr>
            <w:r>
              <w:rPr>
                <w:color w:val="000000" w:themeColor="text1"/>
              </w:rPr>
              <w:t xml:space="preserve">-Migration of all program forms to </w:t>
            </w:r>
            <w:proofErr w:type="spellStart"/>
            <w:r>
              <w:rPr>
                <w:color w:val="000000" w:themeColor="text1"/>
              </w:rPr>
              <w:t>Docusign</w:t>
            </w:r>
            <w:proofErr w:type="spellEnd"/>
          </w:p>
          <w:p w14:paraId="35E37DD0" w14:textId="77777777" w:rsidR="00341474" w:rsidRDefault="00341474" w:rsidP="00F47340">
            <w:pPr>
              <w:rPr>
                <w:color w:val="000000" w:themeColor="text1"/>
              </w:rPr>
            </w:pPr>
            <w:r>
              <w:rPr>
                <w:color w:val="000000" w:themeColor="text1"/>
              </w:rPr>
              <w:t>-Developing new remote assessment/analytic tools for specific industrial customer types</w:t>
            </w:r>
          </w:p>
          <w:p w14:paraId="735E53A6" w14:textId="77777777" w:rsidR="00341474" w:rsidRDefault="00341474" w:rsidP="00F47340">
            <w:pPr>
              <w:rPr>
                <w:color w:val="000000" w:themeColor="text1"/>
              </w:rPr>
            </w:pPr>
            <w:r>
              <w:rPr>
                <w:color w:val="000000" w:themeColor="text1"/>
              </w:rPr>
              <w:t>-Evaluating energy consumption patterns to understand how NMEC methodology could be adjusted to account for impacted baselines through comparison groups</w:t>
            </w:r>
          </w:p>
          <w:p w14:paraId="04BC0543" w14:textId="77777777" w:rsidR="00341474" w:rsidRPr="00A72508" w:rsidRDefault="00341474" w:rsidP="00F47340">
            <w:pPr>
              <w:rPr>
                <w:color w:val="000000" w:themeColor="text1"/>
              </w:rPr>
            </w:pPr>
            <w:r>
              <w:rPr>
                <w:color w:val="000000" w:themeColor="text1"/>
              </w:rPr>
              <w:t>-Workforce Development training will include health safety component</w:t>
            </w:r>
          </w:p>
        </w:tc>
      </w:tr>
      <w:tr w:rsidR="00341474" w:rsidRPr="00A72508" w14:paraId="05EC6589" w14:textId="77777777" w:rsidTr="00F47340">
        <w:tc>
          <w:tcPr>
            <w:tcW w:w="4675" w:type="dxa"/>
          </w:tcPr>
          <w:p w14:paraId="16C1E319" w14:textId="77777777" w:rsidR="00341474" w:rsidRPr="00A72508" w:rsidRDefault="00341474" w:rsidP="00F47340">
            <w:pPr>
              <w:rPr>
                <w:color w:val="000000" w:themeColor="text1"/>
              </w:rPr>
            </w:pPr>
            <w:r w:rsidRPr="00A72508">
              <w:rPr>
                <w:color w:val="000000" w:themeColor="text1"/>
              </w:rPr>
              <w:t>3) Anticipated impact on overall program goals; and cost-effectiveness</w:t>
            </w:r>
          </w:p>
        </w:tc>
        <w:tc>
          <w:tcPr>
            <w:tcW w:w="4675" w:type="dxa"/>
          </w:tcPr>
          <w:p w14:paraId="2731F4F3" w14:textId="77777777" w:rsidR="00341474" w:rsidRDefault="00341474" w:rsidP="00F47340">
            <w:pPr>
              <w:rPr>
                <w:color w:val="000000" w:themeColor="text1"/>
              </w:rPr>
            </w:pPr>
            <w:r>
              <w:rPr>
                <w:color w:val="000000" w:themeColor="text1"/>
              </w:rPr>
              <w:t>Projected TRC: 0.88 (down from 1.04)</w:t>
            </w:r>
          </w:p>
          <w:p w14:paraId="428ED0F7" w14:textId="77777777" w:rsidR="00341474" w:rsidRDefault="00341474" w:rsidP="00F47340">
            <w:pPr>
              <w:rPr>
                <w:color w:val="000000" w:themeColor="text1"/>
              </w:rPr>
            </w:pPr>
            <w:r>
              <w:rPr>
                <w:color w:val="000000" w:themeColor="text1"/>
              </w:rPr>
              <w:t>Projected PAC: 0.93 (down from 1.05)</w:t>
            </w:r>
          </w:p>
          <w:p w14:paraId="7BF36087" w14:textId="77777777" w:rsidR="00341474" w:rsidRDefault="00341474" w:rsidP="00F47340">
            <w:pPr>
              <w:rPr>
                <w:color w:val="000000" w:themeColor="text1"/>
              </w:rPr>
            </w:pPr>
            <w:r>
              <w:rPr>
                <w:color w:val="000000" w:themeColor="text1"/>
              </w:rPr>
              <w:t>Projected Expenditures down $2M (from $6.9M to $4.9M)</w:t>
            </w:r>
          </w:p>
          <w:p w14:paraId="42CB2237" w14:textId="77777777" w:rsidR="00341474" w:rsidRPr="00A72508" w:rsidRDefault="00341474" w:rsidP="00F47340">
            <w:pPr>
              <w:rPr>
                <w:color w:val="000000" w:themeColor="text1"/>
              </w:rPr>
            </w:pPr>
            <w:r w:rsidRPr="00440CFF">
              <w:rPr>
                <w:noProof/>
                <w:color w:val="000000" w:themeColor="text1"/>
              </w:rPr>
              <w:drawing>
                <wp:inline distT="0" distB="0" distL="0" distR="0" wp14:anchorId="58FFEC2B" wp14:editId="6D141EAF">
                  <wp:extent cx="2933954" cy="108213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933954" cy="1082134"/>
                          </a:xfrm>
                          <a:prstGeom prst="rect">
                            <a:avLst/>
                          </a:prstGeom>
                        </pic:spPr>
                      </pic:pic>
                    </a:graphicData>
                  </a:graphic>
                </wp:inline>
              </w:drawing>
            </w:r>
          </w:p>
        </w:tc>
      </w:tr>
    </w:tbl>
    <w:p w14:paraId="5FC1BEF7" w14:textId="7ACDA47A" w:rsidR="00341474" w:rsidRDefault="00341474"/>
    <w:p w14:paraId="3E2BC479" w14:textId="301D1C04" w:rsidR="00341474" w:rsidRDefault="00341474"/>
    <w:p w14:paraId="67C898EC" w14:textId="159F7CEA" w:rsidR="00341474" w:rsidRDefault="00341474"/>
    <w:p w14:paraId="2287D50E" w14:textId="50054ED4" w:rsidR="00341474" w:rsidRDefault="00341474"/>
    <w:sectPr w:rsidR="00341474">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0C303" w14:textId="77777777" w:rsidR="002C7A4B" w:rsidRDefault="002C7A4B" w:rsidP="00341474">
      <w:pPr>
        <w:spacing w:after="0" w:line="240" w:lineRule="auto"/>
      </w:pPr>
      <w:r>
        <w:separator/>
      </w:r>
    </w:p>
  </w:endnote>
  <w:endnote w:type="continuationSeparator" w:id="0">
    <w:p w14:paraId="5D0C4AED" w14:textId="77777777" w:rsidR="002C7A4B" w:rsidRDefault="002C7A4B" w:rsidP="00341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8547116"/>
      <w:docPartObj>
        <w:docPartGallery w:val="Page Numbers (Bottom of Page)"/>
        <w:docPartUnique/>
      </w:docPartObj>
    </w:sdtPr>
    <w:sdtEndPr>
      <w:rPr>
        <w:rStyle w:val="PageNumber"/>
      </w:rPr>
    </w:sdtEndPr>
    <w:sdtContent>
      <w:p w14:paraId="7E2C10F3" w14:textId="592BFE88" w:rsidR="00341474" w:rsidRDefault="00341474" w:rsidP="003414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8FD6B0" w14:textId="77777777" w:rsidR="00341474" w:rsidRDefault="00341474" w:rsidP="003414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4055982"/>
      <w:docPartObj>
        <w:docPartGallery w:val="Page Numbers (Bottom of Page)"/>
        <w:docPartUnique/>
      </w:docPartObj>
    </w:sdtPr>
    <w:sdtEndPr>
      <w:rPr>
        <w:rStyle w:val="PageNumber"/>
      </w:rPr>
    </w:sdtEndPr>
    <w:sdtContent>
      <w:p w14:paraId="359685B6" w14:textId="1B0F7D89" w:rsidR="00341474" w:rsidRDefault="00341474" w:rsidP="003414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336AD7" w14:textId="77777777" w:rsidR="00341474" w:rsidRDefault="00341474" w:rsidP="003414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014F8" w14:textId="77777777" w:rsidR="002C7A4B" w:rsidRDefault="002C7A4B" w:rsidP="00341474">
      <w:pPr>
        <w:spacing w:after="0" w:line="240" w:lineRule="auto"/>
      </w:pPr>
      <w:r>
        <w:separator/>
      </w:r>
    </w:p>
  </w:footnote>
  <w:footnote w:type="continuationSeparator" w:id="0">
    <w:p w14:paraId="0754D427" w14:textId="77777777" w:rsidR="002C7A4B" w:rsidRDefault="002C7A4B" w:rsidP="003414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F228A" w14:textId="30CB8D99" w:rsidR="00341474" w:rsidRPr="00341474" w:rsidRDefault="00341474" w:rsidP="00341474">
    <w:pPr>
      <w:jc w:val="center"/>
      <w:rPr>
        <w:rFonts w:eastAsiaTheme="minorEastAsia"/>
        <w:color w:val="000000" w:themeColor="text1"/>
        <w:sz w:val="28"/>
        <w:szCs w:val="28"/>
      </w:rPr>
    </w:pPr>
    <w:r w:rsidRPr="00341474">
      <w:rPr>
        <w:rFonts w:eastAsiaTheme="minorEastAsia"/>
        <w:i/>
        <w:color w:val="000000" w:themeColor="text1"/>
        <w:sz w:val="28"/>
        <w:szCs w:val="28"/>
      </w:rPr>
      <w:t xml:space="preserve">Expected Impacts </w:t>
    </w:r>
    <w:r>
      <w:rPr>
        <w:rFonts w:eastAsiaTheme="minorEastAsia"/>
        <w:i/>
        <w:color w:val="000000" w:themeColor="text1"/>
        <w:sz w:val="28"/>
        <w:szCs w:val="28"/>
      </w:rPr>
      <w:t xml:space="preserve">of COVID </w:t>
    </w:r>
    <w:r w:rsidRPr="00341474">
      <w:rPr>
        <w:rFonts w:eastAsiaTheme="minorEastAsia"/>
        <w:i/>
        <w:color w:val="000000" w:themeColor="text1"/>
        <w:sz w:val="28"/>
        <w:szCs w:val="28"/>
      </w:rPr>
      <w:t>on Implementing Current Rolling Portfolio Programs/Portfolio</w:t>
    </w:r>
    <w:r>
      <w:rPr>
        <w:rFonts w:eastAsiaTheme="minorEastAsia"/>
        <w:i/>
        <w:color w:val="000000" w:themeColor="text1"/>
        <w:sz w:val="28"/>
        <w:szCs w:val="28"/>
      </w:rPr>
      <w:t>: Non-IOU PAs</w:t>
    </w:r>
  </w:p>
  <w:p w14:paraId="1142A582" w14:textId="77777777" w:rsidR="00341474" w:rsidRDefault="00341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9F4"/>
    <w:multiLevelType w:val="multilevel"/>
    <w:tmpl w:val="C0AE80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F958D8"/>
    <w:multiLevelType w:val="multilevel"/>
    <w:tmpl w:val="2B0AA0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47B6853"/>
    <w:multiLevelType w:val="hybridMultilevel"/>
    <w:tmpl w:val="018E1A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15515E"/>
    <w:multiLevelType w:val="hybridMultilevel"/>
    <w:tmpl w:val="1FC65D5C"/>
    <w:lvl w:ilvl="0" w:tplc="4EDA974E">
      <w:start w:val="1"/>
      <w:numFmt w:val="upp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4" w15:restartNumberingAfterBreak="0">
    <w:nsid w:val="2E7214BF"/>
    <w:multiLevelType w:val="hybridMultilevel"/>
    <w:tmpl w:val="B2AAA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6795A"/>
    <w:multiLevelType w:val="multilevel"/>
    <w:tmpl w:val="7F9AA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3E5325"/>
    <w:multiLevelType w:val="hybridMultilevel"/>
    <w:tmpl w:val="1FC65D5C"/>
    <w:lvl w:ilvl="0" w:tplc="4EDA974E">
      <w:start w:val="1"/>
      <w:numFmt w:val="upperLetter"/>
      <w:lvlText w:val="%1)"/>
      <w:lvlJc w:val="left"/>
      <w:pPr>
        <w:ind w:left="560" w:hanging="360"/>
      </w:pPr>
      <w:rPr>
        <w:rFonts w:hint="default"/>
      </w:rPr>
    </w:lvl>
    <w:lvl w:ilvl="1" w:tplc="04090019">
      <w:start w:val="1"/>
      <w:numFmt w:val="lowerLetter"/>
      <w:lvlText w:val="%2."/>
      <w:lvlJc w:val="left"/>
      <w:pPr>
        <w:ind w:left="1280" w:hanging="360"/>
      </w:pPr>
    </w:lvl>
    <w:lvl w:ilvl="2" w:tplc="0409001B">
      <w:start w:val="1"/>
      <w:numFmt w:val="lowerRoman"/>
      <w:lvlText w:val="%3."/>
      <w:lvlJc w:val="right"/>
      <w:pPr>
        <w:ind w:left="2000" w:hanging="180"/>
      </w:pPr>
    </w:lvl>
    <w:lvl w:ilvl="3" w:tplc="0409000F">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7" w15:restartNumberingAfterBreak="0">
    <w:nsid w:val="426A0C46"/>
    <w:multiLevelType w:val="hybridMultilevel"/>
    <w:tmpl w:val="1FC65D5C"/>
    <w:lvl w:ilvl="0" w:tplc="4EDA974E">
      <w:start w:val="1"/>
      <w:numFmt w:val="upp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15:restartNumberingAfterBreak="0">
    <w:nsid w:val="547135B5"/>
    <w:multiLevelType w:val="hybridMultilevel"/>
    <w:tmpl w:val="FD740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8B6F86"/>
    <w:multiLevelType w:val="hybridMultilevel"/>
    <w:tmpl w:val="1FC65D5C"/>
    <w:lvl w:ilvl="0" w:tplc="4EDA974E">
      <w:start w:val="1"/>
      <w:numFmt w:val="upperLetter"/>
      <w:lvlText w:val="%1)"/>
      <w:lvlJc w:val="left"/>
      <w:pPr>
        <w:ind w:left="560" w:hanging="360"/>
      </w:pPr>
      <w:rPr>
        <w:rFonts w:hint="default"/>
      </w:rPr>
    </w:lvl>
    <w:lvl w:ilvl="1" w:tplc="04090019">
      <w:start w:val="1"/>
      <w:numFmt w:val="lowerLetter"/>
      <w:lvlText w:val="%2."/>
      <w:lvlJc w:val="left"/>
      <w:pPr>
        <w:ind w:left="1280" w:hanging="360"/>
      </w:pPr>
    </w:lvl>
    <w:lvl w:ilvl="2" w:tplc="0409001B">
      <w:start w:val="1"/>
      <w:numFmt w:val="lowerRoman"/>
      <w:lvlText w:val="%3."/>
      <w:lvlJc w:val="right"/>
      <w:pPr>
        <w:ind w:left="2000" w:hanging="180"/>
      </w:pPr>
    </w:lvl>
    <w:lvl w:ilvl="3" w:tplc="0409000F">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0" w15:restartNumberingAfterBreak="0">
    <w:nsid w:val="57AF2281"/>
    <w:multiLevelType w:val="hybridMultilevel"/>
    <w:tmpl w:val="1FC65D5C"/>
    <w:lvl w:ilvl="0" w:tplc="4EDA974E">
      <w:start w:val="1"/>
      <w:numFmt w:val="upperLetter"/>
      <w:lvlText w:val="%1)"/>
      <w:lvlJc w:val="left"/>
      <w:pPr>
        <w:ind w:left="560" w:hanging="360"/>
      </w:pPr>
      <w:rPr>
        <w:rFonts w:hint="default"/>
      </w:rPr>
    </w:lvl>
    <w:lvl w:ilvl="1" w:tplc="04090019">
      <w:start w:val="1"/>
      <w:numFmt w:val="lowerLetter"/>
      <w:lvlText w:val="%2."/>
      <w:lvlJc w:val="left"/>
      <w:pPr>
        <w:ind w:left="1280" w:hanging="360"/>
      </w:pPr>
    </w:lvl>
    <w:lvl w:ilvl="2" w:tplc="0409001B">
      <w:start w:val="1"/>
      <w:numFmt w:val="lowerRoman"/>
      <w:lvlText w:val="%3."/>
      <w:lvlJc w:val="right"/>
      <w:pPr>
        <w:ind w:left="2000" w:hanging="180"/>
      </w:pPr>
    </w:lvl>
    <w:lvl w:ilvl="3" w:tplc="0409000F">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1" w15:restartNumberingAfterBreak="0">
    <w:nsid w:val="5AE67211"/>
    <w:multiLevelType w:val="hybridMultilevel"/>
    <w:tmpl w:val="4F06E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A82AB1"/>
    <w:multiLevelType w:val="hybridMultilevel"/>
    <w:tmpl w:val="006A2E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9F3B88"/>
    <w:multiLevelType w:val="multilevel"/>
    <w:tmpl w:val="23B67C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183EE5"/>
    <w:multiLevelType w:val="hybridMultilevel"/>
    <w:tmpl w:val="50A09C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FD7286"/>
    <w:multiLevelType w:val="hybridMultilevel"/>
    <w:tmpl w:val="5B5A1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995BA7"/>
    <w:multiLevelType w:val="hybridMultilevel"/>
    <w:tmpl w:val="C07837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1"/>
  </w:num>
  <w:num w:numId="3">
    <w:abstractNumId w:val="3"/>
  </w:num>
  <w:num w:numId="4">
    <w:abstractNumId w:val="4"/>
  </w:num>
  <w:num w:numId="5">
    <w:abstractNumId w:val="8"/>
  </w:num>
  <w:num w:numId="6">
    <w:abstractNumId w:val="1"/>
  </w:num>
  <w:num w:numId="7">
    <w:abstractNumId w:val="13"/>
  </w:num>
  <w:num w:numId="8">
    <w:abstractNumId w:val="0"/>
  </w:num>
  <w:num w:numId="9">
    <w:abstractNumId w:val="5"/>
  </w:num>
  <w:num w:numId="10">
    <w:abstractNumId w:val="7"/>
  </w:num>
  <w:num w:numId="11">
    <w:abstractNumId w:val="14"/>
  </w:num>
  <w:num w:numId="12">
    <w:abstractNumId w:val="12"/>
  </w:num>
  <w:num w:numId="13">
    <w:abstractNumId w:val="2"/>
  </w:num>
  <w:num w:numId="14">
    <w:abstractNumId w:val="16"/>
  </w:num>
  <w:num w:numId="15">
    <w:abstractNumId w:val="10"/>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D11"/>
    <w:rsid w:val="001B3A72"/>
    <w:rsid w:val="001D25A3"/>
    <w:rsid w:val="00225DA8"/>
    <w:rsid w:val="00295024"/>
    <w:rsid w:val="002C7A4B"/>
    <w:rsid w:val="00305415"/>
    <w:rsid w:val="00341474"/>
    <w:rsid w:val="003E569D"/>
    <w:rsid w:val="004175E4"/>
    <w:rsid w:val="004D5955"/>
    <w:rsid w:val="005C3D11"/>
    <w:rsid w:val="0070069A"/>
    <w:rsid w:val="007876B2"/>
    <w:rsid w:val="0079434D"/>
    <w:rsid w:val="008F48FA"/>
    <w:rsid w:val="00A6015D"/>
    <w:rsid w:val="00A72508"/>
    <w:rsid w:val="00AD22B0"/>
    <w:rsid w:val="00B21468"/>
    <w:rsid w:val="00B94C4A"/>
    <w:rsid w:val="00E359B8"/>
    <w:rsid w:val="00EE3248"/>
    <w:rsid w:val="00FF4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D5F76"/>
  <w15:chartTrackingRefBased/>
  <w15:docId w15:val="{619FA5A6-7D7A-4CC3-9765-A2D0A70F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015D"/>
    <w:pPr>
      <w:ind w:left="720"/>
      <w:contextualSpacing/>
    </w:pPr>
  </w:style>
  <w:style w:type="paragraph" w:styleId="BalloonText">
    <w:name w:val="Balloon Text"/>
    <w:basedOn w:val="Normal"/>
    <w:link w:val="BalloonTextChar"/>
    <w:uiPriority w:val="99"/>
    <w:semiHidden/>
    <w:unhideWhenUsed/>
    <w:rsid w:val="00A7250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2508"/>
    <w:rPr>
      <w:rFonts w:ascii="Times New Roman" w:hAnsi="Times New Roman" w:cs="Times New Roman"/>
      <w:sz w:val="18"/>
      <w:szCs w:val="18"/>
    </w:rPr>
  </w:style>
  <w:style w:type="paragraph" w:styleId="Header">
    <w:name w:val="header"/>
    <w:basedOn w:val="Normal"/>
    <w:link w:val="HeaderChar"/>
    <w:uiPriority w:val="99"/>
    <w:unhideWhenUsed/>
    <w:rsid w:val="00341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474"/>
  </w:style>
  <w:style w:type="paragraph" w:styleId="Footer">
    <w:name w:val="footer"/>
    <w:basedOn w:val="Normal"/>
    <w:link w:val="FooterChar"/>
    <w:uiPriority w:val="99"/>
    <w:unhideWhenUsed/>
    <w:rsid w:val="00341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474"/>
  </w:style>
  <w:style w:type="character" w:customStyle="1" w:styleId="normaltextrun">
    <w:name w:val="normaltextrun"/>
    <w:basedOn w:val="DefaultParagraphFont"/>
    <w:rsid w:val="00341474"/>
  </w:style>
  <w:style w:type="character" w:customStyle="1" w:styleId="eop">
    <w:name w:val="eop"/>
    <w:basedOn w:val="DefaultParagraphFont"/>
    <w:rsid w:val="00341474"/>
  </w:style>
  <w:style w:type="paragraph" w:customStyle="1" w:styleId="paragraph">
    <w:name w:val="paragraph"/>
    <w:basedOn w:val="Normal"/>
    <w:rsid w:val="00341474"/>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341474"/>
  </w:style>
  <w:style w:type="paragraph" w:styleId="Revision">
    <w:name w:val="Revision"/>
    <w:hidden/>
    <w:uiPriority w:val="99"/>
    <w:semiHidden/>
    <w:rsid w:val="003414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MTC</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Berg</dc:creator>
  <cp:keywords/>
  <dc:description/>
  <cp:lastModifiedBy>Meredith Cowart</cp:lastModifiedBy>
  <cp:revision>4</cp:revision>
  <dcterms:created xsi:type="dcterms:W3CDTF">2020-05-07T12:57:00Z</dcterms:created>
  <dcterms:modified xsi:type="dcterms:W3CDTF">2020-05-12T16:37:00Z</dcterms:modified>
</cp:coreProperties>
</file>