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rPr>
        <w:id w:val="927003663"/>
        <w:docPartObj>
          <w:docPartGallery w:val="Cover Pages"/>
          <w:docPartUnique/>
        </w:docPartObj>
      </w:sdtPr>
      <w:sdtEndPr/>
      <w:sdtContent>
        <w:p w14:paraId="1F43281E" w14:textId="1894B2EB" w:rsidR="003563E7" w:rsidRPr="00DC1AF2" w:rsidRDefault="003563E7" w:rsidP="00DC1AF2">
          <w:pPr>
            <w:spacing w:line="276" w:lineRule="auto"/>
            <w:rPr>
              <w:rFonts w:ascii="Calibri" w:hAnsi="Calibri"/>
            </w:rPr>
          </w:pPr>
        </w:p>
        <w:p w14:paraId="093AA57D" w14:textId="1FE38BED" w:rsidR="003563E7" w:rsidRPr="00DC1AF2" w:rsidRDefault="003563E7" w:rsidP="00DC1AF2">
          <w:pPr>
            <w:spacing w:line="276" w:lineRule="auto"/>
            <w:rPr>
              <w:rFonts w:ascii="Calibri" w:hAnsi="Calibri"/>
            </w:rPr>
          </w:pPr>
          <w:r w:rsidRPr="00DC1AF2">
            <w:rPr>
              <w:rFonts w:ascii="Calibri" w:hAnsi="Calibri"/>
              <w:noProof/>
              <w:lang w:eastAsia="zh-CN"/>
            </w:rPr>
            <mc:AlternateContent>
              <mc:Choice Requires="wps">
                <w:drawing>
                  <wp:anchor distT="0" distB="0" distL="182880" distR="182880" simplePos="0" relativeHeight="251660288" behindDoc="0" locked="0" layoutInCell="1" allowOverlap="1" wp14:anchorId="773C58B5" wp14:editId="6124049F">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A8658" w14:textId="7DFDC17B" w:rsidR="009F0341" w:rsidRDefault="007622B7">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F0341">
                                      <w:rPr>
                                        <w:color w:val="4472C4" w:themeColor="accent1"/>
                                        <w:sz w:val="72"/>
                                        <w:szCs w:val="72"/>
                                      </w:rPr>
                                      <w:t>California Energy Efficiency Coordinating Committee (CAEECC) Hosted Underserved Working Group (UWG)</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B20E091" w14:textId="63EFB0A1" w:rsidR="009F0341" w:rsidRDefault="009F0341">
                                    <w:pPr>
                                      <w:pStyle w:val="NoSpacing"/>
                                      <w:spacing w:before="40" w:after="40"/>
                                      <w:rPr>
                                        <w:caps/>
                                        <w:color w:val="1F4E79" w:themeColor="accent5" w:themeShade="80"/>
                                        <w:sz w:val="28"/>
                                        <w:szCs w:val="28"/>
                                      </w:rPr>
                                    </w:pPr>
                                    <w:r>
                                      <w:rPr>
                                        <w:caps/>
                                        <w:color w:val="1F4E79" w:themeColor="accent5" w:themeShade="80"/>
                                        <w:sz w:val="28"/>
                                        <w:szCs w:val="28"/>
                                      </w:rPr>
                                      <w:t>Summary Memo – for transmittal to California public utilities commission (CPUC)</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17540B98" w14:textId="15F02F6B" w:rsidR="009F0341" w:rsidRDefault="006506FD">
                                    <w:pPr>
                                      <w:pStyle w:val="NoSpacing"/>
                                      <w:spacing w:before="80" w:after="40"/>
                                      <w:rPr>
                                        <w:caps/>
                                        <w:color w:val="5B9BD5" w:themeColor="accent5"/>
                                        <w:sz w:val="24"/>
                                        <w:szCs w:val="24"/>
                                      </w:rPr>
                                    </w:pPr>
                                    <w:r>
                                      <w:rPr>
                                        <w:caps/>
                                        <w:color w:val="5B9BD5" w:themeColor="accent5"/>
                                        <w:sz w:val="24"/>
                                        <w:szCs w:val="24"/>
                                      </w:rPr>
                                      <w:t>Draft August 1</w:t>
                                    </w:r>
                                    <w:r>
                                      <w:rPr>
                                        <w:caps/>
                                        <w:color w:val="5B9BD5" w:themeColor="accent5"/>
                                        <w:sz w:val="24"/>
                                        <w:szCs w:val="24"/>
                                      </w:rPr>
                                      <w:t>7</w:t>
                                    </w:r>
                                    <w:r>
                                      <w:rPr>
                                        <w:caps/>
                                        <w:color w:val="5B9BD5" w:themeColor="accent5"/>
                                        <w:sz w:val="24"/>
                                        <w:szCs w:val="24"/>
                                      </w:rPr>
                                      <w:t>, 2021 – TO BE REVIEWED BY CAEECC MEMBERS BEFORE TRANSMITTAL TO CPUC</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73C58B5"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gKvdQIAAFcFAAAOAAAAZHJzL2Uyb0RvYy54bWysVE1P3DAQvVfqf7B8Lwkf3aIVWbQFUVVC&#13;&#10;gAoVZ69js1Edj2t7N9n++j47yYJoL1S9OJOZN+P5eOOz8741bKt8aMhW/PCg5ExZSXVjnyr+/eHq&#13;&#10;wylnIQpbC0NWVXynAj9fvH931rm5OqI1mVp5hiA2zDtX8XWMbl4UQa5VK8IBOWVh1ORbEfHrn4ra&#13;&#10;iw7RW1McleWs6MjXzpNUIUB7ORj5IsfXWsl4q3VQkZmKI7eYT5/PVTqLxZmYP3nh1o0c0xD/kEUr&#13;&#10;GotL96EuRRRs45s/QrWN9BRIxwNJbUFaN1LlGlDNYfmqmvu1cCrXguYEt29T+H9h5c32zrOmxuyO&#13;&#10;DzmzosWQHlQf2WfqWdKhQ50LcwDvHaCxhwHoSR+gTIX32rfpi5IY7Oj1bt/fFE5CeTI7nR2XMEnY&#13;&#10;Zp+OytOTPIHi2d35EL8oalkSKu4xwNxXsb0OEakAOkHSbZauGmPyEI1lHaIefyyzw94CD2MTVmU6&#13;&#10;jGFSSUPqWYo7oxLG2G9Kox25gqTIRFQXxrOtAIWElMrGXHyOC3RCaSTxFscR/5zVW5yHOqabyca9&#13;&#10;c9tY8rn6V2nXP6aU9YBHI1/UncTYr/px1Cuqd5i0p2FbgpNXDaZxLUK8Ex7rgQli5eMtDm0IXadR&#13;&#10;4mxN/tff9AkP1sLKWYd1q3j4uRFecWa+WvA57eYk+ElYTYLdtBeE9oOhyCaLcPDRTKL21D7iJVim&#13;&#10;W2ASVuKuisdJvIjD0uMlkWq5zCBsoBPx2t47mUKnaSRuPfSPwruRgBHcvaFpEcX8FQ8HbCaKW24i&#13;&#10;2JhJmho6dHFsNLY3c3d8adLz8PI/o57fw8VvAAAA//8DAFBLAwQUAAYACAAAACEAsaQcC+AAAAAL&#13;&#10;AQAADwAAAGRycy9kb3ducmV2LnhtbExPTUsDMRS8C/6H8ARvNqlfXbabLWIRlaJgu9A9ppt0s7h5&#13;&#10;WZK0Xf+9Ty96GRhm3ryZYjG6nh1NiJ1HCdOJAGaw8brDVkK1ebrKgMWkUKveo5HwZSIsyvOzQuXa&#13;&#10;n/DDHNepZRSCMVcSbEpDznlsrHEqTvxgkLS9D04loqHlOqgThbueXwtxz53qkD5YNZhHa5rP9cFJ&#13;&#10;qEX1Vm/ft/v62fJq+oqrl2UdpLy8GJdzgoc5sGTG9HcBPxuoP5RUbOcPqCPrJdCa9IukzW4yojsy&#13;&#10;ibvsFnhZ8P8bym8AAAD//wMAUEsBAi0AFAAGAAgAAAAhALaDOJL+AAAA4QEAABMAAAAAAAAAAAAA&#13;&#10;AAAAAAAAAFtDb250ZW50X1R5cGVzXS54bWxQSwECLQAUAAYACAAAACEAOP0h/9YAAACUAQAACwAA&#13;&#10;AAAAAAAAAAAAAAAvAQAAX3JlbHMvLnJlbHNQSwECLQAUAAYACAAAACEAUe4Cr3UCAABXBQAADgAA&#13;&#10;AAAAAAAAAAAAAAAuAgAAZHJzL2Uyb0RvYy54bWxQSwECLQAUAAYACAAAACEAsaQcC+AAAAALAQAA&#13;&#10;DwAAAAAAAAAAAAAAAADPBAAAZHJzL2Rvd25yZXYueG1sUEsFBgAAAAAEAAQA8wAAANwFAAAAAA==&#13;&#10;" filled="f" stroked="f" strokeweight=".5pt">
                    <v:textbox style="mso-fit-shape-to-text:t" inset="0,0,0,0">
                      <w:txbxContent>
                        <w:p w14:paraId="789A8658" w14:textId="7DFDC17B" w:rsidR="009F0341" w:rsidRDefault="007622B7">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F0341">
                                <w:rPr>
                                  <w:color w:val="4472C4" w:themeColor="accent1"/>
                                  <w:sz w:val="72"/>
                                  <w:szCs w:val="72"/>
                                </w:rPr>
                                <w:t>California Energy Efficiency Coordinating Committee (CAEECC) Hosted Underserved Working Group (UWG)</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B20E091" w14:textId="63EFB0A1" w:rsidR="009F0341" w:rsidRDefault="009F0341">
                              <w:pPr>
                                <w:pStyle w:val="NoSpacing"/>
                                <w:spacing w:before="40" w:after="40"/>
                                <w:rPr>
                                  <w:caps/>
                                  <w:color w:val="1F4E79" w:themeColor="accent5" w:themeShade="80"/>
                                  <w:sz w:val="28"/>
                                  <w:szCs w:val="28"/>
                                </w:rPr>
                              </w:pPr>
                              <w:r>
                                <w:rPr>
                                  <w:caps/>
                                  <w:color w:val="1F4E79" w:themeColor="accent5" w:themeShade="80"/>
                                  <w:sz w:val="28"/>
                                  <w:szCs w:val="28"/>
                                </w:rPr>
                                <w:t>Summary Memo – for transmittal to California public utilities commission (CPUC)</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17540B98" w14:textId="15F02F6B" w:rsidR="009F0341" w:rsidRDefault="006506FD">
                              <w:pPr>
                                <w:pStyle w:val="NoSpacing"/>
                                <w:spacing w:before="80" w:after="40"/>
                                <w:rPr>
                                  <w:caps/>
                                  <w:color w:val="5B9BD5" w:themeColor="accent5"/>
                                  <w:sz w:val="24"/>
                                  <w:szCs w:val="24"/>
                                </w:rPr>
                              </w:pPr>
                              <w:r>
                                <w:rPr>
                                  <w:caps/>
                                  <w:color w:val="5B9BD5" w:themeColor="accent5"/>
                                  <w:sz w:val="24"/>
                                  <w:szCs w:val="24"/>
                                </w:rPr>
                                <w:t>Draft August 1</w:t>
                              </w:r>
                              <w:r>
                                <w:rPr>
                                  <w:caps/>
                                  <w:color w:val="5B9BD5" w:themeColor="accent5"/>
                                  <w:sz w:val="24"/>
                                  <w:szCs w:val="24"/>
                                </w:rPr>
                                <w:t>7</w:t>
                              </w:r>
                              <w:r>
                                <w:rPr>
                                  <w:caps/>
                                  <w:color w:val="5B9BD5" w:themeColor="accent5"/>
                                  <w:sz w:val="24"/>
                                  <w:szCs w:val="24"/>
                                </w:rPr>
                                <w:t>, 2021 – TO BE REVIEWED BY CAEECC MEMBERS BEFORE TRANSMITTAL TO CPUC</w:t>
                              </w:r>
                            </w:p>
                          </w:sdtContent>
                        </w:sdt>
                      </w:txbxContent>
                    </v:textbox>
                    <w10:wrap type="square" anchorx="margin" anchory="page"/>
                  </v:shape>
                </w:pict>
              </mc:Fallback>
            </mc:AlternateContent>
          </w:r>
          <w:r w:rsidRPr="00DC1AF2">
            <w:rPr>
              <w:rFonts w:ascii="Calibri" w:hAnsi="Calibri"/>
              <w:noProof/>
              <w:lang w:eastAsia="zh-CN"/>
            </w:rPr>
            <mc:AlternateContent>
              <mc:Choice Requires="wps">
                <w:drawing>
                  <wp:anchor distT="0" distB="0" distL="114300" distR="114300" simplePos="0" relativeHeight="251659264" behindDoc="0" locked="0" layoutInCell="1" allowOverlap="1" wp14:anchorId="3DD2451E" wp14:editId="46B2655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17862D7" w14:textId="46EBDF2E" w:rsidR="009F0341" w:rsidRDefault="009F0341">
                                    <w:pPr>
                                      <w:pStyle w:val="NoSpacing"/>
                                      <w:jc w:val="right"/>
                                      <w:rPr>
                                        <w:color w:val="FFFFFF" w:themeColor="background1"/>
                                        <w:sz w:val="24"/>
                                        <w:szCs w:val="24"/>
                                      </w:rPr>
                                    </w:pPr>
                                    <w:r>
                                      <w:rPr>
                                        <w:color w:val="FFFFFF" w:themeColor="background1"/>
                                        <w:sz w:val="24"/>
                                        <w:szCs w:val="24"/>
                                      </w:rPr>
                                      <w:t>CAEECC</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DD2451E"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6cPUB3QAAAAkBAAAPAAAAZHJzL2Rvd25y&#10;ZXYueG1sTI/NTsMwEITvSH0Haytxow7QtJDGqRAIiQOXFoo4uvESR8TrKHZ+eHsWLu1lpNXszs6X&#10;byfXiAG7UHtScL1IQCCV3tRUKXh/e766AxGiJqMbT6jgBwNsi9lFrjPjR9rhsI+V4BAKmVZgY2wz&#10;KUNp0emw8C0Se1++czry2FXSdHrkcNfImyRZSadr4g9Wt/hosfze907B0L+My3VYptGS+fjEQ/+a&#10;jKjU5Xx62rA8bEBEnOLpAv4YuD8UXOzoezJBNAqYJv4re/e3KxBH3knTFGSRy3OC4hcAAP//AwBQ&#10;SwECLQAUAAYACAAAACEAtoM4kv4AAADhAQAAEwAAAAAAAAAAAAAAAAAAAAAAW0NvbnRlbnRfVHlw&#10;ZXNdLnhtbFBLAQItABQABgAIAAAAIQA4/SH/1gAAAJQBAAALAAAAAAAAAAAAAAAAAC8BAABfcmVs&#10;cy8ucmVsc1BLAQItABQABgAIAAAAIQDABlIGngIAAJAFAAAOAAAAAAAAAAAAAAAAAC4CAABkcnMv&#10;ZTJvRG9jLnhtbFBLAQItABQABgAIAAAAIQB6cPUB3QAAAAkBAAAPAAAAAAAAAAAAAAAAAPgEAABk&#10;cnMvZG93bnJldi54bWxQSwUGAAAAAAQABADzAAAAAgY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17862D7" w14:textId="46EBDF2E" w:rsidR="009F0341" w:rsidRDefault="009F0341">
                              <w:pPr>
                                <w:pStyle w:val="NoSpacing"/>
                                <w:jc w:val="right"/>
                                <w:rPr>
                                  <w:color w:val="FFFFFF" w:themeColor="background1"/>
                                  <w:sz w:val="24"/>
                                  <w:szCs w:val="24"/>
                                </w:rPr>
                              </w:pPr>
                              <w:r>
                                <w:rPr>
                                  <w:color w:val="FFFFFF" w:themeColor="background1"/>
                                  <w:sz w:val="24"/>
                                  <w:szCs w:val="24"/>
                                </w:rPr>
                                <w:t>CAEECC</w:t>
                              </w:r>
                            </w:p>
                          </w:sdtContent>
                        </w:sdt>
                      </w:txbxContent>
                    </v:textbox>
                    <w10:wrap anchorx="margin" anchory="page"/>
                  </v:rect>
                </w:pict>
              </mc:Fallback>
            </mc:AlternateContent>
          </w:r>
          <w:r w:rsidRPr="00DC1AF2">
            <w:rPr>
              <w:rFonts w:ascii="Calibri" w:hAnsi="Calibri"/>
            </w:rPr>
            <w:br w:type="page"/>
          </w:r>
        </w:p>
      </w:sdtContent>
    </w:sdt>
    <w:p w14:paraId="50E5920F" w14:textId="777BC5B5" w:rsidR="003563E7" w:rsidRPr="00DC1AF2" w:rsidRDefault="003563E7" w:rsidP="00DC1AF2">
      <w:pPr>
        <w:spacing w:line="276" w:lineRule="auto"/>
        <w:rPr>
          <w:rFonts w:ascii="Calibri" w:hAnsi="Calibri" w:cs="Calibri"/>
          <w:color w:val="000000"/>
          <w:sz w:val="22"/>
          <w:szCs w:val="22"/>
        </w:rPr>
      </w:pPr>
    </w:p>
    <w:sdt>
      <w:sdtPr>
        <w:rPr>
          <w:rFonts w:ascii="Calibri" w:eastAsiaTheme="minorHAnsi" w:hAnsi="Calibri" w:cstheme="minorBidi"/>
          <w:b w:val="0"/>
          <w:bCs w:val="0"/>
          <w:color w:val="auto"/>
          <w:sz w:val="24"/>
          <w:szCs w:val="24"/>
        </w:rPr>
        <w:id w:val="-284511524"/>
        <w:docPartObj>
          <w:docPartGallery w:val="Table of Contents"/>
          <w:docPartUnique/>
        </w:docPartObj>
      </w:sdtPr>
      <w:sdtEndPr>
        <w:rPr>
          <w:noProof/>
        </w:rPr>
      </w:sdtEndPr>
      <w:sdtContent>
        <w:p w14:paraId="5D4A380E" w14:textId="28CDBAD7" w:rsidR="007B19DB" w:rsidRPr="00DC1AF2" w:rsidRDefault="007B19DB" w:rsidP="00DC1AF2">
          <w:pPr>
            <w:pStyle w:val="TOCHeading"/>
            <w:rPr>
              <w:rFonts w:ascii="Calibri" w:hAnsi="Calibri"/>
            </w:rPr>
          </w:pPr>
          <w:r w:rsidRPr="00DC1AF2">
            <w:rPr>
              <w:rFonts w:ascii="Calibri" w:hAnsi="Calibri"/>
            </w:rPr>
            <w:t>Table of Contents</w:t>
          </w:r>
        </w:p>
        <w:p w14:paraId="3F3C8568" w14:textId="023744DA" w:rsidR="00551C27" w:rsidRDefault="007B19DB">
          <w:pPr>
            <w:pStyle w:val="TOC1"/>
            <w:rPr>
              <w:rFonts w:eastAsiaTheme="minorEastAsia" w:cstheme="minorBidi"/>
              <w:b w:val="0"/>
              <w:bCs w:val="0"/>
              <w:i w:val="0"/>
              <w:iCs w:val="0"/>
              <w:noProof/>
            </w:rPr>
          </w:pPr>
          <w:r w:rsidRPr="00DC1AF2">
            <w:rPr>
              <w:rFonts w:ascii="Calibri" w:hAnsi="Calibri"/>
            </w:rPr>
            <w:fldChar w:fldCharType="begin"/>
          </w:r>
          <w:r w:rsidRPr="00DC1AF2">
            <w:rPr>
              <w:rFonts w:ascii="Calibri" w:hAnsi="Calibri"/>
            </w:rPr>
            <w:instrText xml:space="preserve"> TOC \o "1-3" \h \z \u </w:instrText>
          </w:r>
          <w:r w:rsidRPr="00DC1AF2">
            <w:rPr>
              <w:rFonts w:ascii="Calibri" w:hAnsi="Calibri"/>
            </w:rPr>
            <w:fldChar w:fldCharType="separate"/>
          </w:r>
          <w:hyperlink w:anchor="_Toc80086021" w:history="1">
            <w:r w:rsidR="00551C27" w:rsidRPr="008654BF">
              <w:rPr>
                <w:rStyle w:val="Hyperlink"/>
                <w:rFonts w:ascii="Calibri" w:hAnsi="Calibri" w:cs="Calibri"/>
                <w:noProof/>
              </w:rPr>
              <w:t>Section 1: Introduction &amp; Overview</w:t>
            </w:r>
            <w:r w:rsidR="00551C27">
              <w:rPr>
                <w:noProof/>
                <w:webHidden/>
              </w:rPr>
              <w:tab/>
            </w:r>
            <w:r w:rsidR="00551C27">
              <w:rPr>
                <w:noProof/>
                <w:webHidden/>
              </w:rPr>
              <w:fldChar w:fldCharType="begin"/>
            </w:r>
            <w:r w:rsidR="00551C27">
              <w:rPr>
                <w:noProof/>
                <w:webHidden/>
              </w:rPr>
              <w:instrText xml:space="preserve"> PAGEREF _Toc80086021 \h </w:instrText>
            </w:r>
            <w:r w:rsidR="00551C27">
              <w:rPr>
                <w:noProof/>
                <w:webHidden/>
              </w:rPr>
            </w:r>
            <w:r w:rsidR="00551C27">
              <w:rPr>
                <w:noProof/>
                <w:webHidden/>
              </w:rPr>
              <w:fldChar w:fldCharType="separate"/>
            </w:r>
            <w:r w:rsidR="00551C27">
              <w:rPr>
                <w:noProof/>
                <w:webHidden/>
              </w:rPr>
              <w:t>2</w:t>
            </w:r>
            <w:r w:rsidR="00551C27">
              <w:rPr>
                <w:noProof/>
                <w:webHidden/>
              </w:rPr>
              <w:fldChar w:fldCharType="end"/>
            </w:r>
          </w:hyperlink>
        </w:p>
        <w:p w14:paraId="0FD6C126" w14:textId="561FEA3C" w:rsidR="00551C27" w:rsidRDefault="00551C27">
          <w:pPr>
            <w:pStyle w:val="TOC2"/>
            <w:tabs>
              <w:tab w:val="right" w:leader="dot" w:pos="9350"/>
            </w:tabs>
            <w:rPr>
              <w:rFonts w:eastAsiaTheme="minorEastAsia" w:cstheme="minorBidi"/>
              <w:b w:val="0"/>
              <w:bCs w:val="0"/>
              <w:noProof/>
              <w:sz w:val="24"/>
              <w:szCs w:val="24"/>
            </w:rPr>
          </w:pPr>
          <w:hyperlink w:anchor="_Toc80086022" w:history="1">
            <w:r w:rsidRPr="008654BF">
              <w:rPr>
                <w:rStyle w:val="Hyperlink"/>
                <w:rFonts w:ascii="Calibri" w:hAnsi="Calibri" w:cs="Calibri"/>
                <w:noProof/>
              </w:rPr>
              <w:t>1.1 Background</w:t>
            </w:r>
            <w:r>
              <w:rPr>
                <w:noProof/>
                <w:webHidden/>
              </w:rPr>
              <w:tab/>
            </w:r>
            <w:r>
              <w:rPr>
                <w:noProof/>
                <w:webHidden/>
              </w:rPr>
              <w:fldChar w:fldCharType="begin"/>
            </w:r>
            <w:r>
              <w:rPr>
                <w:noProof/>
                <w:webHidden/>
              </w:rPr>
              <w:instrText xml:space="preserve"> PAGEREF _Toc80086022 \h </w:instrText>
            </w:r>
            <w:r>
              <w:rPr>
                <w:noProof/>
                <w:webHidden/>
              </w:rPr>
            </w:r>
            <w:r>
              <w:rPr>
                <w:noProof/>
                <w:webHidden/>
              </w:rPr>
              <w:fldChar w:fldCharType="separate"/>
            </w:r>
            <w:r>
              <w:rPr>
                <w:noProof/>
                <w:webHidden/>
              </w:rPr>
              <w:t>2</w:t>
            </w:r>
            <w:r>
              <w:rPr>
                <w:noProof/>
                <w:webHidden/>
              </w:rPr>
              <w:fldChar w:fldCharType="end"/>
            </w:r>
          </w:hyperlink>
        </w:p>
        <w:p w14:paraId="3CBC8487" w14:textId="3E0F2C2D" w:rsidR="00551C27" w:rsidRDefault="00551C27">
          <w:pPr>
            <w:pStyle w:val="TOC2"/>
            <w:tabs>
              <w:tab w:val="right" w:leader="dot" w:pos="9350"/>
            </w:tabs>
            <w:rPr>
              <w:rFonts w:eastAsiaTheme="minorEastAsia" w:cstheme="minorBidi"/>
              <w:b w:val="0"/>
              <w:bCs w:val="0"/>
              <w:noProof/>
              <w:sz w:val="24"/>
              <w:szCs w:val="24"/>
            </w:rPr>
          </w:pPr>
          <w:hyperlink w:anchor="_Toc80086023" w:history="1">
            <w:r w:rsidRPr="008654BF">
              <w:rPr>
                <w:rStyle w:val="Hyperlink"/>
                <w:rFonts w:ascii="Calibri" w:hAnsi="Calibri" w:cs="Calibri"/>
                <w:noProof/>
              </w:rPr>
              <w:t>1.2 Report Outline</w:t>
            </w:r>
            <w:r>
              <w:rPr>
                <w:noProof/>
                <w:webHidden/>
              </w:rPr>
              <w:tab/>
            </w:r>
            <w:r>
              <w:rPr>
                <w:noProof/>
                <w:webHidden/>
              </w:rPr>
              <w:fldChar w:fldCharType="begin"/>
            </w:r>
            <w:r>
              <w:rPr>
                <w:noProof/>
                <w:webHidden/>
              </w:rPr>
              <w:instrText xml:space="preserve"> PAGEREF _Toc80086023 \h </w:instrText>
            </w:r>
            <w:r>
              <w:rPr>
                <w:noProof/>
                <w:webHidden/>
              </w:rPr>
            </w:r>
            <w:r>
              <w:rPr>
                <w:noProof/>
                <w:webHidden/>
              </w:rPr>
              <w:fldChar w:fldCharType="separate"/>
            </w:r>
            <w:r>
              <w:rPr>
                <w:noProof/>
                <w:webHidden/>
              </w:rPr>
              <w:t>3</w:t>
            </w:r>
            <w:r>
              <w:rPr>
                <w:noProof/>
                <w:webHidden/>
              </w:rPr>
              <w:fldChar w:fldCharType="end"/>
            </w:r>
          </w:hyperlink>
        </w:p>
        <w:p w14:paraId="273511F3" w14:textId="7372243A" w:rsidR="00551C27" w:rsidRDefault="00551C27">
          <w:pPr>
            <w:pStyle w:val="TOC1"/>
            <w:rPr>
              <w:rFonts w:eastAsiaTheme="minorEastAsia" w:cstheme="minorBidi"/>
              <w:b w:val="0"/>
              <w:bCs w:val="0"/>
              <w:i w:val="0"/>
              <w:iCs w:val="0"/>
              <w:noProof/>
            </w:rPr>
          </w:pPr>
          <w:hyperlink w:anchor="_Toc80086024" w:history="1">
            <w:r w:rsidRPr="008654BF">
              <w:rPr>
                <w:rStyle w:val="Hyperlink"/>
                <w:rFonts w:eastAsia="Times New Roman"/>
                <w:noProof/>
              </w:rPr>
              <w:t>Section 2: High-Level Findings</w:t>
            </w:r>
            <w:r>
              <w:rPr>
                <w:noProof/>
                <w:webHidden/>
              </w:rPr>
              <w:tab/>
            </w:r>
            <w:r>
              <w:rPr>
                <w:noProof/>
                <w:webHidden/>
              </w:rPr>
              <w:fldChar w:fldCharType="begin"/>
            </w:r>
            <w:r>
              <w:rPr>
                <w:noProof/>
                <w:webHidden/>
              </w:rPr>
              <w:instrText xml:space="preserve"> PAGEREF _Toc80086024 \h </w:instrText>
            </w:r>
            <w:r>
              <w:rPr>
                <w:noProof/>
                <w:webHidden/>
              </w:rPr>
            </w:r>
            <w:r>
              <w:rPr>
                <w:noProof/>
                <w:webHidden/>
              </w:rPr>
              <w:fldChar w:fldCharType="separate"/>
            </w:r>
            <w:r>
              <w:rPr>
                <w:noProof/>
                <w:webHidden/>
              </w:rPr>
              <w:t>4</w:t>
            </w:r>
            <w:r>
              <w:rPr>
                <w:noProof/>
                <w:webHidden/>
              </w:rPr>
              <w:fldChar w:fldCharType="end"/>
            </w:r>
          </w:hyperlink>
        </w:p>
        <w:p w14:paraId="39FE6820" w14:textId="6909546B" w:rsidR="00551C27" w:rsidRDefault="00551C27">
          <w:pPr>
            <w:pStyle w:val="TOC2"/>
            <w:tabs>
              <w:tab w:val="right" w:leader="dot" w:pos="9350"/>
            </w:tabs>
            <w:rPr>
              <w:rFonts w:eastAsiaTheme="minorEastAsia" w:cstheme="minorBidi"/>
              <w:b w:val="0"/>
              <w:bCs w:val="0"/>
              <w:noProof/>
              <w:sz w:val="24"/>
              <w:szCs w:val="24"/>
            </w:rPr>
          </w:pPr>
          <w:hyperlink w:anchor="_Toc80086025" w:history="1">
            <w:r w:rsidRPr="008654BF">
              <w:rPr>
                <w:rStyle w:val="Hyperlink"/>
                <w:noProof/>
              </w:rPr>
              <w:t>2.1 Residential Sector</w:t>
            </w:r>
            <w:r>
              <w:rPr>
                <w:noProof/>
                <w:webHidden/>
              </w:rPr>
              <w:tab/>
            </w:r>
            <w:r>
              <w:rPr>
                <w:noProof/>
                <w:webHidden/>
              </w:rPr>
              <w:fldChar w:fldCharType="begin"/>
            </w:r>
            <w:r>
              <w:rPr>
                <w:noProof/>
                <w:webHidden/>
              </w:rPr>
              <w:instrText xml:space="preserve"> PAGEREF _Toc80086025 \h </w:instrText>
            </w:r>
            <w:r>
              <w:rPr>
                <w:noProof/>
                <w:webHidden/>
              </w:rPr>
            </w:r>
            <w:r>
              <w:rPr>
                <w:noProof/>
                <w:webHidden/>
              </w:rPr>
              <w:fldChar w:fldCharType="separate"/>
            </w:r>
            <w:r>
              <w:rPr>
                <w:noProof/>
                <w:webHidden/>
              </w:rPr>
              <w:t>4</w:t>
            </w:r>
            <w:r>
              <w:rPr>
                <w:noProof/>
                <w:webHidden/>
              </w:rPr>
              <w:fldChar w:fldCharType="end"/>
            </w:r>
          </w:hyperlink>
        </w:p>
        <w:p w14:paraId="6FED6D16" w14:textId="75CDEF5A" w:rsidR="00551C27" w:rsidRDefault="00551C27">
          <w:pPr>
            <w:pStyle w:val="TOC2"/>
            <w:tabs>
              <w:tab w:val="right" w:leader="dot" w:pos="9350"/>
            </w:tabs>
            <w:rPr>
              <w:rFonts w:eastAsiaTheme="minorEastAsia" w:cstheme="minorBidi"/>
              <w:b w:val="0"/>
              <w:bCs w:val="0"/>
              <w:noProof/>
              <w:sz w:val="24"/>
              <w:szCs w:val="24"/>
            </w:rPr>
          </w:pPr>
          <w:hyperlink w:anchor="_Toc80086026" w:history="1">
            <w:r w:rsidRPr="008654BF">
              <w:rPr>
                <w:rStyle w:val="Hyperlink"/>
                <w:noProof/>
              </w:rPr>
              <w:t>2.2 Public Sector</w:t>
            </w:r>
            <w:r>
              <w:rPr>
                <w:noProof/>
                <w:webHidden/>
              </w:rPr>
              <w:tab/>
            </w:r>
            <w:r>
              <w:rPr>
                <w:noProof/>
                <w:webHidden/>
              </w:rPr>
              <w:fldChar w:fldCharType="begin"/>
            </w:r>
            <w:r>
              <w:rPr>
                <w:noProof/>
                <w:webHidden/>
              </w:rPr>
              <w:instrText xml:space="preserve"> PAGEREF _Toc80086026 \h </w:instrText>
            </w:r>
            <w:r>
              <w:rPr>
                <w:noProof/>
                <w:webHidden/>
              </w:rPr>
            </w:r>
            <w:r>
              <w:rPr>
                <w:noProof/>
                <w:webHidden/>
              </w:rPr>
              <w:fldChar w:fldCharType="separate"/>
            </w:r>
            <w:r>
              <w:rPr>
                <w:noProof/>
                <w:webHidden/>
              </w:rPr>
              <w:t>4</w:t>
            </w:r>
            <w:r>
              <w:rPr>
                <w:noProof/>
                <w:webHidden/>
              </w:rPr>
              <w:fldChar w:fldCharType="end"/>
            </w:r>
          </w:hyperlink>
        </w:p>
        <w:p w14:paraId="027EE08E" w14:textId="7D935DD6" w:rsidR="00551C27" w:rsidRDefault="00551C27">
          <w:pPr>
            <w:pStyle w:val="TOC2"/>
            <w:tabs>
              <w:tab w:val="right" w:leader="dot" w:pos="9350"/>
            </w:tabs>
            <w:rPr>
              <w:rFonts w:eastAsiaTheme="minorEastAsia" w:cstheme="minorBidi"/>
              <w:b w:val="0"/>
              <w:bCs w:val="0"/>
              <w:noProof/>
              <w:sz w:val="24"/>
              <w:szCs w:val="24"/>
            </w:rPr>
          </w:pPr>
          <w:hyperlink w:anchor="_Toc80086027" w:history="1">
            <w:r w:rsidRPr="008654BF">
              <w:rPr>
                <w:rStyle w:val="Hyperlink"/>
                <w:noProof/>
              </w:rPr>
              <w:t>2.3 SMB Sector</w:t>
            </w:r>
            <w:r>
              <w:rPr>
                <w:noProof/>
                <w:webHidden/>
              </w:rPr>
              <w:tab/>
            </w:r>
            <w:r>
              <w:rPr>
                <w:noProof/>
                <w:webHidden/>
              </w:rPr>
              <w:fldChar w:fldCharType="begin"/>
            </w:r>
            <w:r>
              <w:rPr>
                <w:noProof/>
                <w:webHidden/>
              </w:rPr>
              <w:instrText xml:space="preserve"> PAGEREF _Toc80086027 \h </w:instrText>
            </w:r>
            <w:r>
              <w:rPr>
                <w:noProof/>
                <w:webHidden/>
              </w:rPr>
            </w:r>
            <w:r>
              <w:rPr>
                <w:noProof/>
                <w:webHidden/>
              </w:rPr>
              <w:fldChar w:fldCharType="separate"/>
            </w:r>
            <w:r>
              <w:rPr>
                <w:noProof/>
                <w:webHidden/>
              </w:rPr>
              <w:t>5</w:t>
            </w:r>
            <w:r>
              <w:rPr>
                <w:noProof/>
                <w:webHidden/>
              </w:rPr>
              <w:fldChar w:fldCharType="end"/>
            </w:r>
          </w:hyperlink>
        </w:p>
        <w:p w14:paraId="587948EE" w14:textId="5BB70992" w:rsidR="00551C27" w:rsidRDefault="00551C27">
          <w:pPr>
            <w:pStyle w:val="TOC1"/>
            <w:rPr>
              <w:rFonts w:eastAsiaTheme="minorEastAsia" w:cstheme="minorBidi"/>
              <w:b w:val="0"/>
              <w:bCs w:val="0"/>
              <w:i w:val="0"/>
              <w:iCs w:val="0"/>
              <w:noProof/>
            </w:rPr>
          </w:pPr>
          <w:hyperlink w:anchor="_Toc80086028" w:history="1">
            <w:r w:rsidRPr="008654BF">
              <w:rPr>
                <w:rStyle w:val="Hyperlink"/>
                <w:rFonts w:ascii="Calibri" w:hAnsi="Calibri"/>
                <w:noProof/>
              </w:rPr>
              <w:t>Section 3: Sector Summaries</w:t>
            </w:r>
            <w:r>
              <w:rPr>
                <w:noProof/>
                <w:webHidden/>
              </w:rPr>
              <w:tab/>
            </w:r>
            <w:r>
              <w:rPr>
                <w:noProof/>
                <w:webHidden/>
              </w:rPr>
              <w:fldChar w:fldCharType="begin"/>
            </w:r>
            <w:r>
              <w:rPr>
                <w:noProof/>
                <w:webHidden/>
              </w:rPr>
              <w:instrText xml:space="preserve"> PAGEREF _Toc80086028 \h </w:instrText>
            </w:r>
            <w:r>
              <w:rPr>
                <w:noProof/>
                <w:webHidden/>
              </w:rPr>
            </w:r>
            <w:r>
              <w:rPr>
                <w:noProof/>
                <w:webHidden/>
              </w:rPr>
              <w:fldChar w:fldCharType="separate"/>
            </w:r>
            <w:r>
              <w:rPr>
                <w:noProof/>
                <w:webHidden/>
              </w:rPr>
              <w:t>5</w:t>
            </w:r>
            <w:r>
              <w:rPr>
                <w:noProof/>
                <w:webHidden/>
              </w:rPr>
              <w:fldChar w:fldCharType="end"/>
            </w:r>
          </w:hyperlink>
        </w:p>
        <w:p w14:paraId="3FEFA5C9" w14:textId="634E0EEA" w:rsidR="00551C27" w:rsidRDefault="00551C27">
          <w:pPr>
            <w:pStyle w:val="TOC2"/>
            <w:tabs>
              <w:tab w:val="right" w:leader="dot" w:pos="9350"/>
            </w:tabs>
            <w:rPr>
              <w:rFonts w:eastAsiaTheme="minorEastAsia" w:cstheme="minorBidi"/>
              <w:b w:val="0"/>
              <w:bCs w:val="0"/>
              <w:noProof/>
              <w:sz w:val="24"/>
              <w:szCs w:val="24"/>
            </w:rPr>
          </w:pPr>
          <w:hyperlink w:anchor="_Toc80086029" w:history="1">
            <w:r w:rsidRPr="008654BF">
              <w:rPr>
                <w:rStyle w:val="Hyperlink"/>
                <w:rFonts w:ascii="Calibri" w:hAnsi="Calibri"/>
                <w:noProof/>
              </w:rPr>
              <w:t>3.1 Residential Sector</w:t>
            </w:r>
            <w:r>
              <w:rPr>
                <w:noProof/>
                <w:webHidden/>
              </w:rPr>
              <w:tab/>
            </w:r>
            <w:r>
              <w:rPr>
                <w:noProof/>
                <w:webHidden/>
              </w:rPr>
              <w:fldChar w:fldCharType="begin"/>
            </w:r>
            <w:r>
              <w:rPr>
                <w:noProof/>
                <w:webHidden/>
              </w:rPr>
              <w:instrText xml:space="preserve"> PAGEREF _Toc80086029 \h </w:instrText>
            </w:r>
            <w:r>
              <w:rPr>
                <w:noProof/>
                <w:webHidden/>
              </w:rPr>
            </w:r>
            <w:r>
              <w:rPr>
                <w:noProof/>
                <w:webHidden/>
              </w:rPr>
              <w:fldChar w:fldCharType="separate"/>
            </w:r>
            <w:r>
              <w:rPr>
                <w:noProof/>
                <w:webHidden/>
              </w:rPr>
              <w:t>5</w:t>
            </w:r>
            <w:r>
              <w:rPr>
                <w:noProof/>
                <w:webHidden/>
              </w:rPr>
              <w:fldChar w:fldCharType="end"/>
            </w:r>
          </w:hyperlink>
        </w:p>
        <w:p w14:paraId="67B7D9E6" w14:textId="6579882F" w:rsidR="00551C27" w:rsidRDefault="00551C27">
          <w:pPr>
            <w:pStyle w:val="TOC2"/>
            <w:tabs>
              <w:tab w:val="right" w:leader="dot" w:pos="9350"/>
            </w:tabs>
            <w:rPr>
              <w:rFonts w:eastAsiaTheme="minorEastAsia" w:cstheme="minorBidi"/>
              <w:b w:val="0"/>
              <w:bCs w:val="0"/>
              <w:noProof/>
              <w:sz w:val="24"/>
              <w:szCs w:val="24"/>
            </w:rPr>
          </w:pPr>
          <w:hyperlink w:anchor="_Toc80086030" w:history="1">
            <w:r w:rsidRPr="008654BF">
              <w:rPr>
                <w:rStyle w:val="Hyperlink"/>
                <w:rFonts w:ascii="Calibri" w:hAnsi="Calibri"/>
                <w:noProof/>
              </w:rPr>
              <w:t>3.2 Public Sector</w:t>
            </w:r>
            <w:r>
              <w:rPr>
                <w:noProof/>
                <w:webHidden/>
              </w:rPr>
              <w:tab/>
            </w:r>
            <w:r>
              <w:rPr>
                <w:noProof/>
                <w:webHidden/>
              </w:rPr>
              <w:fldChar w:fldCharType="begin"/>
            </w:r>
            <w:r>
              <w:rPr>
                <w:noProof/>
                <w:webHidden/>
              </w:rPr>
              <w:instrText xml:space="preserve"> PAGEREF _Toc80086030 \h </w:instrText>
            </w:r>
            <w:r>
              <w:rPr>
                <w:noProof/>
                <w:webHidden/>
              </w:rPr>
            </w:r>
            <w:r>
              <w:rPr>
                <w:noProof/>
                <w:webHidden/>
              </w:rPr>
              <w:fldChar w:fldCharType="separate"/>
            </w:r>
            <w:r>
              <w:rPr>
                <w:noProof/>
                <w:webHidden/>
              </w:rPr>
              <w:t>6</w:t>
            </w:r>
            <w:r>
              <w:rPr>
                <w:noProof/>
                <w:webHidden/>
              </w:rPr>
              <w:fldChar w:fldCharType="end"/>
            </w:r>
          </w:hyperlink>
        </w:p>
        <w:p w14:paraId="132F2A25" w14:textId="48F1842D" w:rsidR="00551C27" w:rsidRDefault="00551C27">
          <w:pPr>
            <w:pStyle w:val="TOC2"/>
            <w:tabs>
              <w:tab w:val="right" w:leader="dot" w:pos="9350"/>
            </w:tabs>
            <w:rPr>
              <w:rFonts w:eastAsiaTheme="minorEastAsia" w:cstheme="minorBidi"/>
              <w:b w:val="0"/>
              <w:bCs w:val="0"/>
              <w:noProof/>
              <w:sz w:val="24"/>
              <w:szCs w:val="24"/>
            </w:rPr>
          </w:pPr>
          <w:hyperlink w:anchor="_Toc80086031" w:history="1">
            <w:r w:rsidRPr="008654BF">
              <w:rPr>
                <w:rStyle w:val="Hyperlink"/>
                <w:rFonts w:ascii="Calibri" w:hAnsi="Calibri"/>
                <w:noProof/>
              </w:rPr>
              <w:t>3.3 SMB Sector</w:t>
            </w:r>
            <w:r>
              <w:rPr>
                <w:noProof/>
                <w:webHidden/>
              </w:rPr>
              <w:tab/>
            </w:r>
            <w:r>
              <w:rPr>
                <w:noProof/>
                <w:webHidden/>
              </w:rPr>
              <w:fldChar w:fldCharType="begin"/>
            </w:r>
            <w:r>
              <w:rPr>
                <w:noProof/>
                <w:webHidden/>
              </w:rPr>
              <w:instrText xml:space="preserve"> PAGEREF _Toc80086031 \h </w:instrText>
            </w:r>
            <w:r>
              <w:rPr>
                <w:noProof/>
                <w:webHidden/>
              </w:rPr>
            </w:r>
            <w:r>
              <w:rPr>
                <w:noProof/>
                <w:webHidden/>
              </w:rPr>
              <w:fldChar w:fldCharType="separate"/>
            </w:r>
            <w:r>
              <w:rPr>
                <w:noProof/>
                <w:webHidden/>
              </w:rPr>
              <w:t>8</w:t>
            </w:r>
            <w:r>
              <w:rPr>
                <w:noProof/>
                <w:webHidden/>
              </w:rPr>
              <w:fldChar w:fldCharType="end"/>
            </w:r>
          </w:hyperlink>
        </w:p>
        <w:p w14:paraId="13707BE6" w14:textId="4AD46326" w:rsidR="00551C27" w:rsidRDefault="00551C27">
          <w:pPr>
            <w:pStyle w:val="TOC1"/>
            <w:rPr>
              <w:rFonts w:eastAsiaTheme="minorEastAsia" w:cstheme="minorBidi"/>
              <w:b w:val="0"/>
              <w:bCs w:val="0"/>
              <w:i w:val="0"/>
              <w:iCs w:val="0"/>
              <w:noProof/>
            </w:rPr>
          </w:pPr>
          <w:hyperlink w:anchor="_Toc80086032" w:history="1">
            <w:r w:rsidRPr="008654BF">
              <w:rPr>
                <w:rStyle w:val="Hyperlink"/>
                <w:rFonts w:ascii="Calibri" w:hAnsi="Calibri" w:cs="Calibri"/>
                <w:noProof/>
              </w:rPr>
              <w:t>Appendix A: Underserved Work Group Member Organizations &amp; Representatives</w:t>
            </w:r>
            <w:r>
              <w:rPr>
                <w:noProof/>
                <w:webHidden/>
              </w:rPr>
              <w:tab/>
            </w:r>
            <w:r>
              <w:rPr>
                <w:noProof/>
                <w:webHidden/>
              </w:rPr>
              <w:fldChar w:fldCharType="begin"/>
            </w:r>
            <w:r>
              <w:rPr>
                <w:noProof/>
                <w:webHidden/>
              </w:rPr>
              <w:instrText xml:space="preserve"> PAGEREF _Toc80086032 \h </w:instrText>
            </w:r>
            <w:r>
              <w:rPr>
                <w:noProof/>
                <w:webHidden/>
              </w:rPr>
            </w:r>
            <w:r>
              <w:rPr>
                <w:noProof/>
                <w:webHidden/>
              </w:rPr>
              <w:fldChar w:fldCharType="separate"/>
            </w:r>
            <w:r>
              <w:rPr>
                <w:noProof/>
                <w:webHidden/>
              </w:rPr>
              <w:t>11</w:t>
            </w:r>
            <w:r>
              <w:rPr>
                <w:noProof/>
                <w:webHidden/>
              </w:rPr>
              <w:fldChar w:fldCharType="end"/>
            </w:r>
          </w:hyperlink>
        </w:p>
        <w:p w14:paraId="03555232" w14:textId="136038DB" w:rsidR="007B19DB" w:rsidRPr="00DC1AF2" w:rsidRDefault="007B19DB" w:rsidP="00DC1AF2">
          <w:pPr>
            <w:spacing w:line="276" w:lineRule="auto"/>
            <w:rPr>
              <w:rFonts w:ascii="Calibri" w:hAnsi="Calibri"/>
            </w:rPr>
          </w:pPr>
          <w:r w:rsidRPr="00DC1AF2">
            <w:rPr>
              <w:rFonts w:ascii="Calibri" w:hAnsi="Calibri"/>
              <w:b/>
              <w:bCs/>
              <w:noProof/>
            </w:rPr>
            <w:fldChar w:fldCharType="end"/>
          </w:r>
        </w:p>
      </w:sdtContent>
    </w:sdt>
    <w:p w14:paraId="7EE6F977" w14:textId="7DFD47F5" w:rsidR="003563E7" w:rsidRPr="00DC1AF2" w:rsidRDefault="003563E7" w:rsidP="00DC1AF2">
      <w:pPr>
        <w:spacing w:line="276" w:lineRule="auto"/>
        <w:rPr>
          <w:rFonts w:ascii="Calibri" w:hAnsi="Calibri" w:cs="Calibri"/>
          <w:color w:val="000000"/>
          <w:sz w:val="22"/>
          <w:szCs w:val="22"/>
        </w:rPr>
      </w:pPr>
    </w:p>
    <w:p w14:paraId="78BE7A69" w14:textId="77777777" w:rsidR="003563E7" w:rsidRPr="00DC1AF2" w:rsidRDefault="003563E7" w:rsidP="00DC1AF2">
      <w:pPr>
        <w:spacing w:line="276" w:lineRule="auto"/>
        <w:rPr>
          <w:rFonts w:ascii="Calibri" w:hAnsi="Calibri" w:cs="Calibri"/>
          <w:color w:val="000000"/>
          <w:sz w:val="22"/>
          <w:szCs w:val="22"/>
        </w:rPr>
      </w:pPr>
    </w:p>
    <w:p w14:paraId="175F3CC3" w14:textId="43BC2A28" w:rsidR="0043177E" w:rsidRPr="00DC1AF2" w:rsidRDefault="0043177E" w:rsidP="00DC1AF2">
      <w:pPr>
        <w:spacing w:line="276" w:lineRule="auto"/>
        <w:rPr>
          <w:rFonts w:ascii="Calibri" w:hAnsi="Calibri"/>
        </w:rPr>
      </w:pPr>
    </w:p>
    <w:p w14:paraId="24AA1B0C" w14:textId="2CDC5F05" w:rsidR="003563E7" w:rsidRPr="00DC1AF2" w:rsidRDefault="003563E7" w:rsidP="00DC1AF2">
      <w:pPr>
        <w:spacing w:line="276" w:lineRule="auto"/>
        <w:rPr>
          <w:rFonts w:ascii="Calibri" w:hAnsi="Calibri"/>
        </w:rPr>
      </w:pPr>
    </w:p>
    <w:p w14:paraId="401FB012" w14:textId="547FFA5F" w:rsidR="007B1863" w:rsidRPr="00DC1AF2" w:rsidRDefault="003563E7" w:rsidP="00DC1AF2">
      <w:pPr>
        <w:spacing w:line="276" w:lineRule="auto"/>
        <w:rPr>
          <w:rFonts w:ascii="Calibri" w:eastAsiaTheme="majorEastAsia" w:hAnsi="Calibri" w:cs="Calibri"/>
          <w:color w:val="2F5496" w:themeColor="accent1" w:themeShade="BF"/>
          <w:sz w:val="28"/>
          <w:szCs w:val="28"/>
          <w:lang w:val="en"/>
        </w:rPr>
      </w:pPr>
      <w:r w:rsidRPr="00DC1AF2">
        <w:rPr>
          <w:rFonts w:ascii="Calibri" w:hAnsi="Calibri" w:cs="Calibri"/>
          <w:sz w:val="28"/>
          <w:szCs w:val="28"/>
        </w:rPr>
        <w:br w:type="page"/>
      </w:r>
    </w:p>
    <w:p w14:paraId="6E30F5A2" w14:textId="1CDDD024" w:rsidR="007B1863" w:rsidRPr="00DC1AF2" w:rsidRDefault="00582A5B" w:rsidP="00DC1AF2">
      <w:pPr>
        <w:pStyle w:val="Heading1"/>
        <w:ind w:firstLine="0"/>
        <w:rPr>
          <w:rFonts w:ascii="Calibri" w:hAnsi="Calibri" w:cs="Calibri"/>
        </w:rPr>
      </w:pPr>
      <w:bookmarkStart w:id="0" w:name="_Toc63170027"/>
      <w:bookmarkStart w:id="1" w:name="_Toc80086021"/>
      <w:r>
        <w:rPr>
          <w:rFonts w:ascii="Calibri" w:hAnsi="Calibri" w:cs="Calibri"/>
        </w:rPr>
        <w:lastRenderedPageBreak/>
        <w:t xml:space="preserve">Section 1: </w:t>
      </w:r>
      <w:r w:rsidR="007B1863" w:rsidRPr="00DC1AF2">
        <w:rPr>
          <w:rFonts w:ascii="Calibri" w:hAnsi="Calibri" w:cs="Calibri"/>
        </w:rPr>
        <w:t>Introduction &amp; Overview</w:t>
      </w:r>
      <w:bookmarkEnd w:id="0"/>
      <w:bookmarkEnd w:id="1"/>
    </w:p>
    <w:p w14:paraId="674C40EF" w14:textId="2EA983F9" w:rsidR="007B1863" w:rsidRPr="00DC1AF2" w:rsidRDefault="00582A5B" w:rsidP="00DC1AF2">
      <w:pPr>
        <w:pStyle w:val="Heading2"/>
        <w:spacing w:line="276" w:lineRule="auto"/>
        <w:rPr>
          <w:rFonts w:ascii="Calibri" w:hAnsi="Calibri" w:cs="Calibri"/>
        </w:rPr>
      </w:pPr>
      <w:bookmarkStart w:id="2" w:name="_Toc63170028"/>
      <w:bookmarkStart w:id="3" w:name="_Toc80086022"/>
      <w:r>
        <w:rPr>
          <w:rFonts w:ascii="Calibri" w:hAnsi="Calibri" w:cs="Calibri"/>
        </w:rPr>
        <w:t xml:space="preserve">1.1 </w:t>
      </w:r>
      <w:r w:rsidR="007B1863" w:rsidRPr="00DC1AF2">
        <w:rPr>
          <w:rFonts w:ascii="Calibri" w:hAnsi="Calibri" w:cs="Calibri"/>
        </w:rPr>
        <w:t>Background</w:t>
      </w:r>
      <w:bookmarkEnd w:id="2"/>
      <w:bookmarkEnd w:id="3"/>
    </w:p>
    <w:p w14:paraId="1EAD8C50" w14:textId="0F55E9F1" w:rsidR="00864653" w:rsidRDefault="007B1863" w:rsidP="00864653">
      <w:pPr>
        <w:spacing w:line="276" w:lineRule="auto"/>
        <w:rPr>
          <w:rFonts w:ascii="Calibri" w:hAnsi="Calibri"/>
        </w:rPr>
      </w:pPr>
      <w:r w:rsidRPr="00DC1AF2">
        <w:rPr>
          <w:rFonts w:ascii="Calibri" w:hAnsi="Calibri" w:cs="Calibri"/>
        </w:rPr>
        <w:t xml:space="preserve">The California Energy Efficiency Coordinating Committee (CAEECC) </w:t>
      </w:r>
      <w:r w:rsidR="0089314D">
        <w:rPr>
          <w:rFonts w:ascii="Calibri" w:hAnsi="Calibri" w:cs="Calibri"/>
        </w:rPr>
        <w:t xml:space="preserve">convened </w:t>
      </w:r>
      <w:r w:rsidRPr="00DC1AF2">
        <w:rPr>
          <w:rFonts w:ascii="Calibri" w:hAnsi="Calibri" w:cs="Calibri"/>
        </w:rPr>
        <w:t>an Underserved Working Group (WG) between July 2020 and July 2021, culminating in this Report</w:t>
      </w:r>
      <w:r w:rsidR="000B2B0F">
        <w:rPr>
          <w:rFonts w:ascii="Calibri" w:hAnsi="Calibri" w:cs="Calibri"/>
        </w:rPr>
        <w:t xml:space="preserve">. </w:t>
      </w:r>
      <w:r w:rsidR="00864653" w:rsidRPr="00DC1AF2">
        <w:rPr>
          <w:rFonts w:ascii="Calibri" w:hAnsi="Calibri"/>
        </w:rPr>
        <w:t>As outlined in the Prospectus</w:t>
      </w:r>
      <w:r w:rsidR="00864653">
        <w:rPr>
          <w:rFonts w:ascii="Calibri" w:hAnsi="Calibri"/>
        </w:rPr>
        <w:t>,</w:t>
      </w:r>
      <w:r w:rsidR="00864653" w:rsidRPr="00DC1AF2">
        <w:rPr>
          <w:rStyle w:val="FootnoteReference"/>
          <w:rFonts w:ascii="Calibri" w:hAnsi="Calibri"/>
        </w:rPr>
        <w:footnoteReference w:id="1"/>
      </w:r>
      <w:r w:rsidR="00864653" w:rsidRPr="00DC1AF2">
        <w:rPr>
          <w:rFonts w:ascii="Calibri" w:hAnsi="Calibri"/>
        </w:rPr>
        <w:t xml:space="preserve"> the goal of </w:t>
      </w:r>
      <w:r w:rsidR="00A855F5">
        <w:rPr>
          <w:rFonts w:ascii="Calibri" w:hAnsi="Calibri"/>
        </w:rPr>
        <w:t>this</w:t>
      </w:r>
      <w:r w:rsidR="00864653" w:rsidRPr="00DC1AF2">
        <w:rPr>
          <w:rFonts w:ascii="Calibri" w:hAnsi="Calibri"/>
        </w:rPr>
        <w:t xml:space="preserve"> WG </w:t>
      </w:r>
      <w:r w:rsidR="00864653">
        <w:rPr>
          <w:rFonts w:ascii="Calibri" w:hAnsi="Calibri"/>
        </w:rPr>
        <w:t>was</w:t>
      </w:r>
      <w:r w:rsidR="00864653" w:rsidRPr="00DC1AF2">
        <w:rPr>
          <w:rFonts w:ascii="Calibri" w:hAnsi="Calibri"/>
        </w:rPr>
        <w:t xml:space="preserve"> “To investigate what groups of customers are currently underserved by energy efficiency programs (i.e., because they face significant barriers to doing so), and to then devise (with CAEECC members and other stakeholders) the appropriate strategies and forums to address these problems.”</w:t>
      </w:r>
      <w:r w:rsidR="00864653">
        <w:rPr>
          <w:rFonts w:ascii="Calibri" w:hAnsi="Calibri"/>
        </w:rPr>
        <w:t xml:space="preserve"> </w:t>
      </w:r>
    </w:p>
    <w:p w14:paraId="4CCEE2A4" w14:textId="77777777" w:rsidR="00864653" w:rsidRDefault="00864653" w:rsidP="00864653">
      <w:pPr>
        <w:spacing w:line="276" w:lineRule="auto"/>
        <w:rPr>
          <w:rFonts w:ascii="Calibri" w:hAnsi="Calibri"/>
        </w:rPr>
      </w:pPr>
    </w:p>
    <w:p w14:paraId="08D195AC" w14:textId="02ECADA9" w:rsidR="00864653" w:rsidRPr="00DC1AF2" w:rsidRDefault="00864653" w:rsidP="00864653">
      <w:pPr>
        <w:spacing w:line="276" w:lineRule="auto"/>
        <w:rPr>
          <w:rFonts w:ascii="Calibri" w:hAnsi="Calibri"/>
        </w:rPr>
      </w:pPr>
      <w:r>
        <w:rPr>
          <w:rFonts w:ascii="Calibri" w:hAnsi="Calibri"/>
        </w:rPr>
        <w:t xml:space="preserve">It is important to note that the CPUC authorizes two main categories of energy efficiency programs: (1) those that require income-eligibility through the Energy Savings Assistance Program (ESAP) in A.19-11-003 et al. and (2) those that are open to the general public via R.13-11-005. This exercise was focused solely on the latter. </w:t>
      </w:r>
    </w:p>
    <w:p w14:paraId="7EAE2874" w14:textId="77777777" w:rsidR="00864653" w:rsidRPr="00DC1AF2" w:rsidRDefault="00864653" w:rsidP="00DC1AF2">
      <w:pPr>
        <w:spacing w:line="276" w:lineRule="auto"/>
        <w:rPr>
          <w:rFonts w:ascii="Calibri" w:hAnsi="Calibri" w:cs="Calibri"/>
        </w:rPr>
      </w:pPr>
    </w:p>
    <w:p w14:paraId="6B9C333E" w14:textId="79C0164B" w:rsidR="007B1863" w:rsidRPr="00DC1AF2" w:rsidRDefault="007B1863" w:rsidP="00DC1AF2">
      <w:pPr>
        <w:autoSpaceDE w:val="0"/>
        <w:autoSpaceDN w:val="0"/>
        <w:adjustRightInd w:val="0"/>
        <w:spacing w:line="276" w:lineRule="auto"/>
        <w:rPr>
          <w:rFonts w:ascii="Calibri" w:hAnsi="Calibri" w:cs="Calibri"/>
        </w:rPr>
      </w:pPr>
      <w:r w:rsidRPr="00DC1AF2">
        <w:rPr>
          <w:rFonts w:ascii="Calibri" w:hAnsi="Calibri" w:cs="Calibri"/>
        </w:rPr>
        <w:t>The</w:t>
      </w:r>
      <w:r w:rsidR="004918AB">
        <w:rPr>
          <w:rFonts w:ascii="Calibri" w:hAnsi="Calibri" w:cs="Calibri"/>
        </w:rPr>
        <w:t xml:space="preserve"> </w:t>
      </w:r>
      <w:r w:rsidR="00A855F5">
        <w:rPr>
          <w:rFonts w:ascii="Calibri" w:hAnsi="Calibri" w:cs="Calibri"/>
        </w:rPr>
        <w:t>F</w:t>
      </w:r>
      <w:r w:rsidR="004918AB">
        <w:rPr>
          <w:rFonts w:ascii="Calibri" w:hAnsi="Calibri" w:cs="Calibri"/>
        </w:rPr>
        <w:t xml:space="preserve">ull </w:t>
      </w:r>
      <w:r w:rsidRPr="00DC1AF2">
        <w:rPr>
          <w:rFonts w:ascii="Calibri" w:hAnsi="Calibri" w:cs="Calibri"/>
        </w:rPr>
        <w:t xml:space="preserve">WG met </w:t>
      </w:r>
      <w:r w:rsidR="00E13D53" w:rsidRPr="00DC1AF2">
        <w:rPr>
          <w:rFonts w:ascii="Calibri" w:hAnsi="Calibri" w:cs="Calibri"/>
        </w:rPr>
        <w:t>five</w:t>
      </w:r>
      <w:r w:rsidRPr="00DC1AF2">
        <w:rPr>
          <w:rFonts w:ascii="Calibri" w:hAnsi="Calibri" w:cs="Calibri"/>
        </w:rPr>
        <w:t xml:space="preserve"> times between July 2020 and </w:t>
      </w:r>
      <w:r w:rsidR="00E13D53" w:rsidRPr="00DC1AF2">
        <w:rPr>
          <w:rFonts w:ascii="Calibri" w:hAnsi="Calibri" w:cs="Calibri"/>
        </w:rPr>
        <w:t>July</w:t>
      </w:r>
      <w:r w:rsidRPr="00DC1AF2">
        <w:rPr>
          <w:rFonts w:ascii="Calibri" w:hAnsi="Calibri" w:cs="Calibri"/>
        </w:rPr>
        <w:t xml:space="preserve"> 2021.</w:t>
      </w:r>
      <w:r w:rsidR="004918AB">
        <w:rPr>
          <w:rFonts w:ascii="Calibri" w:hAnsi="Calibri" w:cs="Calibri"/>
        </w:rPr>
        <w:t xml:space="preserve"> In addition, t</w:t>
      </w:r>
      <w:r w:rsidRPr="00DC1AF2">
        <w:rPr>
          <w:rFonts w:ascii="Calibri" w:hAnsi="Calibri" w:cs="Calibri"/>
        </w:rPr>
        <w:t xml:space="preserve">hree sub-working groups (sub-WGs) </w:t>
      </w:r>
      <w:r w:rsidR="004918AB">
        <w:rPr>
          <w:rFonts w:ascii="Calibri" w:hAnsi="Calibri" w:cs="Calibri"/>
        </w:rPr>
        <w:t xml:space="preserve">were formed to </w:t>
      </w:r>
      <w:r w:rsidRPr="00DC1AF2">
        <w:rPr>
          <w:rFonts w:ascii="Calibri" w:hAnsi="Calibri" w:cs="Calibri"/>
        </w:rPr>
        <w:t>focus</w:t>
      </w:r>
      <w:r w:rsidR="004918AB">
        <w:rPr>
          <w:rFonts w:ascii="Calibri" w:hAnsi="Calibri" w:cs="Calibri"/>
        </w:rPr>
        <w:t xml:space="preserve"> </w:t>
      </w:r>
      <w:r w:rsidRPr="00DC1AF2">
        <w:rPr>
          <w:rFonts w:ascii="Calibri" w:hAnsi="Calibri" w:cs="Calibri"/>
        </w:rPr>
        <w:t>on small-medium business (SMB), residential, and public sectors</w:t>
      </w:r>
      <w:r w:rsidR="009F0341">
        <w:rPr>
          <w:rFonts w:ascii="Calibri" w:hAnsi="Calibri" w:cs="Calibri"/>
        </w:rPr>
        <w:t xml:space="preserve">, all of which </w:t>
      </w:r>
      <w:r w:rsidR="004918AB">
        <w:rPr>
          <w:rFonts w:ascii="Calibri" w:hAnsi="Calibri" w:cs="Calibri"/>
        </w:rPr>
        <w:t xml:space="preserve">met at least once in </w:t>
      </w:r>
      <w:r w:rsidR="009F0341">
        <w:rPr>
          <w:rFonts w:ascii="Calibri" w:hAnsi="Calibri" w:cs="Calibri"/>
        </w:rPr>
        <w:t>addition to</w:t>
      </w:r>
      <w:r w:rsidR="004918AB">
        <w:rPr>
          <w:rFonts w:ascii="Calibri" w:hAnsi="Calibri" w:cs="Calibri"/>
        </w:rPr>
        <w:t xml:space="preserve"> the </w:t>
      </w:r>
      <w:r w:rsidR="00A855F5">
        <w:rPr>
          <w:rFonts w:ascii="Calibri" w:hAnsi="Calibri" w:cs="Calibri"/>
        </w:rPr>
        <w:t>F</w:t>
      </w:r>
      <w:r w:rsidR="004918AB">
        <w:rPr>
          <w:rFonts w:ascii="Calibri" w:hAnsi="Calibri" w:cs="Calibri"/>
        </w:rPr>
        <w:t xml:space="preserve">ull </w:t>
      </w:r>
      <w:r w:rsidR="000B2B0F">
        <w:rPr>
          <w:rFonts w:ascii="Calibri" w:hAnsi="Calibri" w:cs="Calibri"/>
        </w:rPr>
        <w:t xml:space="preserve">WG </w:t>
      </w:r>
      <w:r w:rsidR="004918AB">
        <w:rPr>
          <w:rFonts w:ascii="Calibri" w:hAnsi="Calibri" w:cs="Calibri"/>
        </w:rPr>
        <w:t>meeting</w:t>
      </w:r>
      <w:r w:rsidR="009F0341">
        <w:rPr>
          <w:rFonts w:ascii="Calibri" w:hAnsi="Calibri" w:cs="Calibri"/>
        </w:rPr>
        <w:t>s</w:t>
      </w:r>
      <w:r w:rsidR="004918AB">
        <w:rPr>
          <w:rFonts w:ascii="Calibri" w:hAnsi="Calibri" w:cs="Calibri"/>
        </w:rPr>
        <w:t>.</w:t>
      </w:r>
      <w:r w:rsidR="009F0341">
        <w:rPr>
          <w:rStyle w:val="FootnoteReference"/>
          <w:rFonts w:ascii="Calibri" w:hAnsi="Calibri" w:cs="Calibri"/>
        </w:rPr>
        <w:footnoteReference w:id="2"/>
      </w:r>
      <w:r w:rsidR="004918AB">
        <w:rPr>
          <w:rFonts w:ascii="Calibri" w:hAnsi="Calibri" w:cs="Calibri"/>
        </w:rPr>
        <w:t xml:space="preserve"> Each sub-</w:t>
      </w:r>
      <w:r w:rsidR="000B2B0F">
        <w:rPr>
          <w:rFonts w:ascii="Calibri" w:hAnsi="Calibri" w:cs="Calibri"/>
        </w:rPr>
        <w:t xml:space="preserve">WG </w:t>
      </w:r>
      <w:r w:rsidR="004E0055">
        <w:rPr>
          <w:rFonts w:ascii="Calibri" w:hAnsi="Calibri" w:cs="Calibri"/>
        </w:rPr>
        <w:t>was comprised of</w:t>
      </w:r>
      <w:r w:rsidR="004918AB">
        <w:rPr>
          <w:rFonts w:ascii="Calibri" w:hAnsi="Calibri" w:cs="Calibri"/>
        </w:rPr>
        <w:t xml:space="preserve"> </w:t>
      </w:r>
      <w:r w:rsidR="000B2B0F">
        <w:rPr>
          <w:rFonts w:ascii="Calibri" w:hAnsi="Calibri" w:cs="Calibri"/>
        </w:rPr>
        <w:t xml:space="preserve">CAEECC members, interested stakeholders, as well as </w:t>
      </w:r>
      <w:r w:rsidR="004918AB">
        <w:rPr>
          <w:rFonts w:ascii="Calibri" w:hAnsi="Calibri" w:cs="Calibri"/>
        </w:rPr>
        <w:t xml:space="preserve">a dedicated research team comprised of university-level student and professor volunteers that </w:t>
      </w:r>
      <w:r w:rsidR="00271494">
        <w:rPr>
          <w:rFonts w:ascii="Calibri" w:hAnsi="Calibri" w:cs="Calibri"/>
        </w:rPr>
        <w:t xml:space="preserve">were responsible for </w:t>
      </w:r>
      <w:r w:rsidR="004918AB">
        <w:rPr>
          <w:rFonts w:ascii="Calibri" w:hAnsi="Calibri" w:cs="Calibri"/>
        </w:rPr>
        <w:t>conduct</w:t>
      </w:r>
      <w:r w:rsidR="00271494">
        <w:rPr>
          <w:rFonts w:ascii="Calibri" w:hAnsi="Calibri" w:cs="Calibri"/>
        </w:rPr>
        <w:t xml:space="preserve">ing </w:t>
      </w:r>
      <w:r w:rsidR="000B2B0F">
        <w:rPr>
          <w:rFonts w:ascii="Calibri" w:hAnsi="Calibri" w:cs="Calibri"/>
        </w:rPr>
        <w:t xml:space="preserve">the analyses </w:t>
      </w:r>
      <w:r w:rsidR="00271494">
        <w:rPr>
          <w:rFonts w:ascii="Calibri" w:hAnsi="Calibri" w:cs="Calibri"/>
        </w:rPr>
        <w:t xml:space="preserve">with CAEECC member oversight </w:t>
      </w:r>
      <w:r w:rsidR="000B2B0F">
        <w:rPr>
          <w:rFonts w:ascii="Calibri" w:hAnsi="Calibri" w:cs="Calibri"/>
        </w:rPr>
        <w:t>(See Appendix A</w:t>
      </w:r>
      <w:r w:rsidR="00A855F5">
        <w:rPr>
          <w:rFonts w:ascii="Calibri" w:hAnsi="Calibri" w:cs="Calibri"/>
        </w:rPr>
        <w:t xml:space="preserve"> for participants)</w:t>
      </w:r>
      <w:r w:rsidR="004918AB">
        <w:rPr>
          <w:rFonts w:ascii="Calibri" w:hAnsi="Calibri" w:cs="Calibri"/>
        </w:rPr>
        <w:t>.</w:t>
      </w:r>
      <w:r w:rsidRPr="00DC1AF2">
        <w:rPr>
          <w:rFonts w:ascii="Calibri" w:hAnsi="Calibri" w:cs="Calibri"/>
        </w:rPr>
        <w:t xml:space="preserve"> Between meetings, the research teams and </w:t>
      </w:r>
      <w:r w:rsidR="00FA7CD4">
        <w:rPr>
          <w:rFonts w:ascii="Calibri" w:hAnsi="Calibri" w:cs="Calibri"/>
        </w:rPr>
        <w:t>smaller ad hoc work groups</w:t>
      </w:r>
      <w:r w:rsidRPr="00DC1AF2">
        <w:rPr>
          <w:rFonts w:ascii="Calibri" w:hAnsi="Calibri" w:cs="Calibri"/>
        </w:rPr>
        <w:t xml:space="preserve"> met to discuss</w:t>
      </w:r>
      <w:r w:rsidR="00E13D53" w:rsidRPr="00DC1AF2">
        <w:rPr>
          <w:rFonts w:ascii="Calibri" w:hAnsi="Calibri" w:cs="Calibri"/>
        </w:rPr>
        <w:t xml:space="preserve"> data </w:t>
      </w:r>
      <w:r w:rsidR="0089314D">
        <w:rPr>
          <w:rFonts w:ascii="Calibri" w:hAnsi="Calibri" w:cs="Calibri"/>
        </w:rPr>
        <w:t xml:space="preserve">acquisition and metadata </w:t>
      </w:r>
      <w:r w:rsidR="00E13D53" w:rsidRPr="00DC1AF2">
        <w:rPr>
          <w:rFonts w:ascii="Calibri" w:hAnsi="Calibri" w:cs="Calibri"/>
        </w:rPr>
        <w:t xml:space="preserve">issues, </w:t>
      </w:r>
      <w:r w:rsidR="00CA4369">
        <w:rPr>
          <w:rFonts w:ascii="Calibri" w:hAnsi="Calibri" w:cs="Calibri"/>
        </w:rPr>
        <w:t xml:space="preserve">refine </w:t>
      </w:r>
      <w:r w:rsidR="00E13D53" w:rsidRPr="00DC1AF2">
        <w:rPr>
          <w:rFonts w:ascii="Calibri" w:hAnsi="Calibri" w:cs="Calibri"/>
        </w:rPr>
        <w:t xml:space="preserve">the analytical approach, </w:t>
      </w:r>
      <w:r w:rsidR="00CA4369">
        <w:rPr>
          <w:rFonts w:ascii="Calibri" w:hAnsi="Calibri" w:cs="Calibri"/>
        </w:rPr>
        <w:t xml:space="preserve">discuss </w:t>
      </w:r>
      <w:r w:rsidR="0089314D">
        <w:rPr>
          <w:rFonts w:ascii="Calibri" w:hAnsi="Calibri" w:cs="Calibri"/>
        </w:rPr>
        <w:t xml:space="preserve">emerging </w:t>
      </w:r>
      <w:r w:rsidR="00E13D53" w:rsidRPr="00DC1AF2">
        <w:rPr>
          <w:rFonts w:ascii="Calibri" w:hAnsi="Calibri" w:cs="Calibri"/>
        </w:rPr>
        <w:t xml:space="preserve">findings, and </w:t>
      </w:r>
      <w:r w:rsidR="000E5C2C">
        <w:rPr>
          <w:rFonts w:ascii="Calibri" w:hAnsi="Calibri" w:cs="Calibri"/>
        </w:rPr>
        <w:t xml:space="preserve">finalize </w:t>
      </w:r>
      <w:r w:rsidR="00E13D53" w:rsidRPr="00DC1AF2">
        <w:rPr>
          <w:rFonts w:ascii="Calibri" w:hAnsi="Calibri" w:cs="Calibri"/>
        </w:rPr>
        <w:t>the scope and imp</w:t>
      </w:r>
      <w:r w:rsidR="0089314D">
        <w:rPr>
          <w:rFonts w:ascii="Calibri" w:hAnsi="Calibri" w:cs="Calibri"/>
        </w:rPr>
        <w:t>lications</w:t>
      </w:r>
      <w:r w:rsidR="00E13D53" w:rsidRPr="00DC1AF2">
        <w:rPr>
          <w:rFonts w:ascii="Calibri" w:hAnsi="Calibri" w:cs="Calibri"/>
        </w:rPr>
        <w:t xml:space="preserve"> of the analysis</w:t>
      </w:r>
      <w:r w:rsidRPr="00DC1AF2">
        <w:rPr>
          <w:rFonts w:ascii="Calibri" w:hAnsi="Calibri" w:cs="Calibri"/>
        </w:rPr>
        <w:t xml:space="preserve">. </w:t>
      </w:r>
    </w:p>
    <w:p w14:paraId="33ED37DE" w14:textId="2E8517C4" w:rsidR="00662C01" w:rsidRPr="00DC1AF2" w:rsidRDefault="00662C01" w:rsidP="00DC1AF2">
      <w:pPr>
        <w:autoSpaceDE w:val="0"/>
        <w:autoSpaceDN w:val="0"/>
        <w:adjustRightInd w:val="0"/>
        <w:spacing w:line="276" w:lineRule="auto"/>
        <w:rPr>
          <w:rFonts w:ascii="Calibri" w:hAnsi="Calibri" w:cs="Calibri"/>
        </w:rPr>
      </w:pPr>
    </w:p>
    <w:p w14:paraId="257AE08B" w14:textId="4FDA5C6F" w:rsidR="004E0055" w:rsidRDefault="008B6827" w:rsidP="00DC1AF2">
      <w:pPr>
        <w:autoSpaceDE w:val="0"/>
        <w:autoSpaceDN w:val="0"/>
        <w:adjustRightInd w:val="0"/>
        <w:spacing w:line="276" w:lineRule="auto"/>
        <w:rPr>
          <w:rFonts w:ascii="Calibri" w:hAnsi="Calibri" w:cs="Calibri"/>
        </w:rPr>
      </w:pPr>
      <w:r>
        <w:rPr>
          <w:rFonts w:ascii="Calibri" w:hAnsi="Calibri" w:cs="Calibri"/>
        </w:rPr>
        <w:t>Furthermore, t</w:t>
      </w:r>
      <w:r w:rsidR="004E0055">
        <w:rPr>
          <w:rFonts w:ascii="Calibri" w:hAnsi="Calibri" w:cs="Calibri"/>
        </w:rPr>
        <w:t>he Prospectus outlined a phased approach to addressing this investigation.</w:t>
      </w:r>
      <w:r>
        <w:rPr>
          <w:rFonts w:ascii="Calibri" w:hAnsi="Calibri" w:cs="Calibri"/>
        </w:rPr>
        <w:t xml:space="preserve"> </w:t>
      </w:r>
      <w:r w:rsidR="004E0055" w:rsidRPr="00271494">
        <w:rPr>
          <w:rFonts w:ascii="Calibri" w:hAnsi="Calibri"/>
        </w:rPr>
        <w:t>Phase 1</w:t>
      </w:r>
      <w:r>
        <w:rPr>
          <w:rFonts w:ascii="Calibri" w:hAnsi="Calibri"/>
        </w:rPr>
        <w:t xml:space="preserve"> was to </w:t>
      </w:r>
      <w:r w:rsidR="004E0055" w:rsidRPr="0008794A">
        <w:rPr>
          <w:rFonts w:ascii="Calibri" w:hAnsi="Calibri"/>
        </w:rPr>
        <w:t xml:space="preserve">identify the scope of the problem through data analysis </w:t>
      </w:r>
      <w:r>
        <w:rPr>
          <w:rFonts w:ascii="Calibri" w:hAnsi="Calibri"/>
        </w:rPr>
        <w:t>and</w:t>
      </w:r>
      <w:r w:rsidR="004E0055" w:rsidRPr="00271494">
        <w:rPr>
          <w:rFonts w:ascii="Calibri" w:hAnsi="Calibri"/>
        </w:rPr>
        <w:t xml:space="preserve"> determine whether</w:t>
      </w:r>
      <w:r>
        <w:rPr>
          <w:rFonts w:ascii="Calibri" w:hAnsi="Calibri"/>
        </w:rPr>
        <w:t xml:space="preserve"> certain</w:t>
      </w:r>
      <w:r w:rsidR="004E0055" w:rsidRPr="00271494">
        <w:rPr>
          <w:rFonts w:ascii="Calibri" w:hAnsi="Calibri"/>
        </w:rPr>
        <w:t xml:space="preserve"> customers are not being fully served by the current portfolio of programs. This phase would conclude with recommendations regarding next steps, including which forum should be used to develop solutions</w:t>
      </w:r>
      <w:r>
        <w:rPr>
          <w:rFonts w:ascii="Calibri" w:hAnsi="Calibri"/>
        </w:rPr>
        <w:t>. Should Phase 1 illuminate a clear gap in program delivery, the working group would recommend steps for a Phase 2</w:t>
      </w:r>
      <w:r w:rsidR="00271494">
        <w:rPr>
          <w:rFonts w:ascii="Calibri" w:hAnsi="Calibri"/>
        </w:rPr>
        <w:t xml:space="preserve">. </w:t>
      </w:r>
    </w:p>
    <w:p w14:paraId="216D317E" w14:textId="04636CBF" w:rsidR="00E13D53" w:rsidRPr="00DC1AF2" w:rsidRDefault="00E13D53" w:rsidP="00DC1AF2">
      <w:pPr>
        <w:spacing w:line="276" w:lineRule="auto"/>
        <w:rPr>
          <w:rFonts w:ascii="Calibri" w:hAnsi="Calibri"/>
        </w:rPr>
      </w:pPr>
    </w:p>
    <w:p w14:paraId="2915792F" w14:textId="6119205B" w:rsidR="00E13D53" w:rsidRPr="0008794A" w:rsidRDefault="00AD1EF0" w:rsidP="0008794A">
      <w:pPr>
        <w:pStyle w:val="CommentText"/>
        <w:spacing w:line="276" w:lineRule="auto"/>
        <w:rPr>
          <w:rFonts w:ascii="Calibri" w:hAnsi="Calibri" w:cs="Calibri"/>
          <w:sz w:val="24"/>
          <w:szCs w:val="24"/>
        </w:rPr>
      </w:pPr>
      <w:r w:rsidRPr="0008794A">
        <w:rPr>
          <w:rFonts w:ascii="Calibri" w:hAnsi="Calibri" w:cs="Calibri"/>
          <w:sz w:val="24"/>
          <w:szCs w:val="24"/>
        </w:rPr>
        <w:t xml:space="preserve">The </w:t>
      </w:r>
      <w:r w:rsidR="00E13D53" w:rsidRPr="0008794A">
        <w:rPr>
          <w:rFonts w:ascii="Calibri" w:hAnsi="Calibri" w:cs="Calibri"/>
          <w:sz w:val="24"/>
          <w:szCs w:val="24"/>
        </w:rPr>
        <w:t>Prospectus outlines the following scope/approach</w:t>
      </w:r>
      <w:r w:rsidR="00785ABD" w:rsidRPr="0008794A">
        <w:rPr>
          <w:rFonts w:ascii="Calibri" w:hAnsi="Calibri" w:cs="Calibri"/>
          <w:sz w:val="24"/>
          <w:szCs w:val="24"/>
        </w:rPr>
        <w:t xml:space="preserve"> for Phase 1: </w:t>
      </w:r>
    </w:p>
    <w:p w14:paraId="7849DABC" w14:textId="1EFC5785" w:rsidR="00AD1EF0" w:rsidRDefault="00AD1EF0" w:rsidP="00DC1AF2">
      <w:pPr>
        <w:pStyle w:val="ListParagraph"/>
        <w:numPr>
          <w:ilvl w:val="0"/>
          <w:numId w:val="6"/>
        </w:numPr>
        <w:spacing w:before="0" w:beforeAutospacing="0" w:after="0" w:afterAutospacing="0" w:line="276" w:lineRule="auto"/>
        <w:contextualSpacing/>
        <w:rPr>
          <w:rFonts w:ascii="Calibri" w:eastAsiaTheme="minorHAnsi" w:hAnsi="Calibri" w:cstheme="minorBidi"/>
        </w:rPr>
      </w:pPr>
      <w:r w:rsidRPr="0008794A">
        <w:rPr>
          <w:rFonts w:ascii="Calibri" w:eastAsiaTheme="minorHAnsi" w:hAnsi="Calibri" w:cstheme="minorBidi"/>
        </w:rPr>
        <w:t xml:space="preserve">“Identify the scope of the analysis including a) the metrics that will be used to evaluate whether certain groups of customers are being ‘adequately served’ relative to other groups; b) the reasons/barriers those groups face to participate, be </w:t>
      </w:r>
      <w:proofErr w:type="gramStart"/>
      <w:r w:rsidRPr="0008794A">
        <w:rPr>
          <w:rFonts w:ascii="Calibri" w:eastAsiaTheme="minorHAnsi" w:hAnsi="Calibri" w:cstheme="minorBidi"/>
        </w:rPr>
        <w:t>that economic, non-</w:t>
      </w:r>
      <w:r w:rsidRPr="00DC1AF2">
        <w:rPr>
          <w:rFonts w:ascii="Calibri" w:hAnsi="Calibri"/>
        </w:rPr>
        <w:lastRenderedPageBreak/>
        <w:t>native English speakers</w:t>
      </w:r>
      <w:proofErr w:type="gramEnd"/>
      <w:r w:rsidRPr="00DC1AF2">
        <w:rPr>
          <w:rFonts w:ascii="Calibri" w:hAnsi="Calibri"/>
        </w:rPr>
        <w:t>, geographically isolated, etc.; and c) who and how the data will be acquired and analyzed, and the timeline</w:t>
      </w:r>
    </w:p>
    <w:p w14:paraId="37D6C60F" w14:textId="0FE32370" w:rsidR="00E13D53" w:rsidRPr="00DC1AF2" w:rsidRDefault="00E13D53" w:rsidP="00DC1AF2">
      <w:pPr>
        <w:pStyle w:val="ListParagraph"/>
        <w:numPr>
          <w:ilvl w:val="0"/>
          <w:numId w:val="6"/>
        </w:numPr>
        <w:spacing w:before="0" w:beforeAutospacing="0" w:after="0" w:afterAutospacing="0" w:line="276" w:lineRule="auto"/>
        <w:contextualSpacing/>
        <w:rPr>
          <w:rFonts w:ascii="Calibri" w:eastAsiaTheme="minorHAnsi" w:hAnsi="Calibri" w:cstheme="minorBidi"/>
        </w:rPr>
      </w:pPr>
      <w:r w:rsidRPr="00DC1AF2">
        <w:rPr>
          <w:rFonts w:ascii="Calibri" w:eastAsiaTheme="minorHAnsi" w:hAnsi="Calibri" w:cstheme="minorBidi"/>
        </w:rPr>
        <w:t xml:space="preserve">Acquire the necessary data and analyze to what extent certain customers segments are not being </w:t>
      </w:r>
      <w:r w:rsidR="00AD1EF0">
        <w:rPr>
          <w:rFonts w:ascii="Calibri" w:eastAsiaTheme="minorHAnsi" w:hAnsi="Calibri" w:cstheme="minorBidi"/>
        </w:rPr>
        <w:t>‘</w:t>
      </w:r>
      <w:r w:rsidRPr="00DC1AF2">
        <w:rPr>
          <w:rFonts w:ascii="Calibri" w:eastAsiaTheme="minorHAnsi" w:hAnsi="Calibri" w:cstheme="minorBidi"/>
        </w:rPr>
        <w:t>adequately served.</w:t>
      </w:r>
      <w:r w:rsidR="00AD1EF0">
        <w:rPr>
          <w:rFonts w:ascii="Calibri" w:eastAsiaTheme="minorHAnsi" w:hAnsi="Calibri" w:cstheme="minorBidi"/>
        </w:rPr>
        <w:t>’</w:t>
      </w:r>
    </w:p>
    <w:p w14:paraId="4578F9F3" w14:textId="3B966114" w:rsidR="00E13D53" w:rsidRPr="00DC1AF2" w:rsidRDefault="00E13D53" w:rsidP="00DC1AF2">
      <w:pPr>
        <w:pStyle w:val="ListParagraph"/>
        <w:numPr>
          <w:ilvl w:val="0"/>
          <w:numId w:val="6"/>
        </w:numPr>
        <w:spacing w:before="0" w:beforeAutospacing="0" w:after="0" w:afterAutospacing="0" w:line="276" w:lineRule="auto"/>
        <w:contextualSpacing/>
        <w:rPr>
          <w:rFonts w:ascii="Calibri" w:eastAsiaTheme="minorHAnsi" w:hAnsi="Calibri" w:cstheme="minorBidi"/>
        </w:rPr>
      </w:pPr>
      <w:r w:rsidRPr="00DC1AF2">
        <w:rPr>
          <w:rFonts w:ascii="Calibri" w:eastAsiaTheme="minorHAnsi" w:hAnsi="Calibri" w:cstheme="minorBidi"/>
        </w:rPr>
        <w:t xml:space="preserve">For each type of documented underserved customer, identify the likely causes for being underserved—whether it’s the </w:t>
      </w:r>
      <w:r w:rsidR="00327032">
        <w:rPr>
          <w:rFonts w:ascii="Calibri" w:eastAsiaTheme="minorHAnsi" w:hAnsi="Calibri" w:cstheme="minorBidi"/>
        </w:rPr>
        <w:t xml:space="preserve">[hard-to-reach] </w:t>
      </w:r>
      <w:r w:rsidRPr="00DC1AF2">
        <w:rPr>
          <w:rFonts w:ascii="Calibri" w:eastAsiaTheme="minorHAnsi" w:hAnsi="Calibri" w:cstheme="minorBidi"/>
        </w:rPr>
        <w:t>HTR definition, or some other reason or reasons</w:t>
      </w:r>
    </w:p>
    <w:p w14:paraId="15249F70" w14:textId="77777777" w:rsidR="00785ABD" w:rsidRDefault="00E13D53" w:rsidP="00DC1AF2">
      <w:pPr>
        <w:pStyle w:val="ListParagraph"/>
        <w:numPr>
          <w:ilvl w:val="0"/>
          <w:numId w:val="6"/>
        </w:numPr>
        <w:spacing w:before="0" w:beforeAutospacing="0" w:after="0" w:afterAutospacing="0" w:line="276" w:lineRule="auto"/>
        <w:contextualSpacing/>
        <w:rPr>
          <w:rFonts w:ascii="Calibri" w:eastAsiaTheme="minorHAnsi" w:hAnsi="Calibri" w:cstheme="minorBidi"/>
        </w:rPr>
      </w:pPr>
      <w:r w:rsidRPr="00DC1AF2">
        <w:rPr>
          <w:rFonts w:ascii="Calibri" w:eastAsiaTheme="minorHAnsi" w:hAnsi="Calibri" w:cstheme="minorBidi"/>
        </w:rPr>
        <w:t>Based on 1-3, develop (in consultation with CAEECC members, other stakeholders, and ED) next step recommendations including the forums and processes to develop appropriate strategy or strategies for addressing each underserved customer segment and the metrics to set goals and measure progress.</w:t>
      </w:r>
      <w:r w:rsidR="00785ABD">
        <w:rPr>
          <w:rFonts w:ascii="Calibri" w:eastAsiaTheme="minorHAnsi" w:hAnsi="Calibri" w:cstheme="minorBidi"/>
        </w:rPr>
        <w:t>”</w:t>
      </w:r>
    </w:p>
    <w:p w14:paraId="0698A598" w14:textId="672DE6BD" w:rsidR="00E13D53" w:rsidRDefault="00E13D53" w:rsidP="00DC1AF2">
      <w:pPr>
        <w:spacing w:line="276" w:lineRule="auto"/>
        <w:rPr>
          <w:rFonts w:ascii="Calibri" w:eastAsia="Times New Roman" w:hAnsi="Calibri" w:cs="Times New Roman"/>
        </w:rPr>
      </w:pPr>
    </w:p>
    <w:p w14:paraId="2232C08F" w14:textId="4824EE4A" w:rsidR="003B3C9B" w:rsidRDefault="00EA2819" w:rsidP="00DC1AF2">
      <w:pPr>
        <w:spacing w:line="276" w:lineRule="auto"/>
        <w:rPr>
          <w:rFonts w:ascii="Calibri" w:eastAsia="Times New Roman" w:hAnsi="Calibri" w:cs="Times New Roman"/>
        </w:rPr>
      </w:pPr>
      <w:r>
        <w:rPr>
          <w:rFonts w:ascii="Calibri" w:eastAsia="Times New Roman" w:hAnsi="Calibri" w:cs="Times New Roman"/>
        </w:rPr>
        <w:t>The WG completed steps 1-3 noted above</w:t>
      </w:r>
      <w:r w:rsidR="003A1570">
        <w:rPr>
          <w:rFonts w:ascii="Calibri" w:eastAsia="Times New Roman" w:hAnsi="Calibri" w:cs="Times New Roman"/>
        </w:rPr>
        <w:t xml:space="preserve"> to the best of their abilities given the availab</w:t>
      </w:r>
      <w:r w:rsidR="00BA222C">
        <w:rPr>
          <w:rFonts w:ascii="Calibri" w:eastAsia="Times New Roman" w:hAnsi="Calibri" w:cs="Times New Roman"/>
        </w:rPr>
        <w:t xml:space="preserve">ility </w:t>
      </w:r>
      <w:r w:rsidR="003A1570">
        <w:rPr>
          <w:rFonts w:ascii="Calibri" w:eastAsia="Times New Roman" w:hAnsi="Calibri" w:cs="Times New Roman"/>
        </w:rPr>
        <w:t xml:space="preserve">and granularity of energy efficiency program data. However, upon </w:t>
      </w:r>
      <w:r w:rsidR="009B0E73">
        <w:rPr>
          <w:rFonts w:ascii="Calibri" w:eastAsia="Times New Roman" w:hAnsi="Calibri" w:cs="Times New Roman"/>
        </w:rPr>
        <w:t>final analysis</w:t>
      </w:r>
      <w:r w:rsidR="003A1570">
        <w:rPr>
          <w:rFonts w:ascii="Calibri" w:eastAsia="Times New Roman" w:hAnsi="Calibri" w:cs="Times New Roman"/>
        </w:rPr>
        <w:t>, the data did not yield</w:t>
      </w:r>
      <w:r w:rsidR="00683ECB">
        <w:rPr>
          <w:rFonts w:ascii="Calibri" w:eastAsia="Times New Roman" w:hAnsi="Calibri" w:cs="Times New Roman"/>
        </w:rPr>
        <w:t xml:space="preserve"> </w:t>
      </w:r>
      <w:r w:rsidR="00327032">
        <w:rPr>
          <w:rFonts w:ascii="Calibri" w:eastAsia="Times New Roman" w:hAnsi="Calibri" w:cs="Times New Roman"/>
        </w:rPr>
        <w:t>clear and comprehensive conclusions about which types of customers are ‘inadequately served’ and why.</w:t>
      </w:r>
      <w:r w:rsidR="00683ECB">
        <w:rPr>
          <w:rFonts w:ascii="Calibri" w:eastAsia="Times New Roman" w:hAnsi="Calibri" w:cs="Times New Roman"/>
        </w:rPr>
        <w:t xml:space="preserve"> </w:t>
      </w:r>
    </w:p>
    <w:p w14:paraId="3203581A" w14:textId="77777777" w:rsidR="002854B8" w:rsidRDefault="002854B8" w:rsidP="00DC1AF2">
      <w:pPr>
        <w:spacing w:line="276" w:lineRule="auto"/>
        <w:rPr>
          <w:rFonts w:ascii="Calibri" w:eastAsia="Times New Roman" w:hAnsi="Calibri" w:cs="Times New Roman"/>
        </w:rPr>
      </w:pPr>
    </w:p>
    <w:p w14:paraId="66F9D6D2" w14:textId="02294408" w:rsidR="00EA2819" w:rsidRDefault="00A855F5" w:rsidP="00DC1AF2">
      <w:pPr>
        <w:spacing w:line="276" w:lineRule="auto"/>
        <w:rPr>
          <w:rFonts w:ascii="Calibri" w:eastAsia="Times New Roman" w:hAnsi="Calibri" w:cs="Times New Roman"/>
        </w:rPr>
      </w:pPr>
      <w:r>
        <w:rPr>
          <w:rFonts w:ascii="Calibri" w:eastAsia="Times New Roman" w:hAnsi="Calibri" w:cs="Times New Roman"/>
        </w:rPr>
        <w:t>In addition, the Commission created an “equity segment” through D.21-05-031</w:t>
      </w:r>
      <w:r>
        <w:rPr>
          <w:rStyle w:val="FootnoteReference"/>
          <w:rFonts w:ascii="Calibri" w:eastAsia="Times New Roman" w:hAnsi="Calibri" w:cs="Times New Roman"/>
        </w:rPr>
        <w:footnoteReference w:id="3"/>
      </w:r>
      <w:r>
        <w:rPr>
          <w:rFonts w:ascii="Calibri" w:eastAsia="Times New Roman" w:hAnsi="Calibri" w:cs="Times New Roman"/>
        </w:rPr>
        <w:t xml:space="preserve"> </w:t>
      </w:r>
      <w:r w:rsidR="00BA222C">
        <w:rPr>
          <w:rFonts w:ascii="Calibri" w:eastAsia="Times New Roman" w:hAnsi="Calibri" w:cs="Times New Roman"/>
        </w:rPr>
        <w:t xml:space="preserve">for programs that were intended to reach the demographics outlined in this process. In particular, such a segmentation </w:t>
      </w:r>
      <w:r>
        <w:rPr>
          <w:rFonts w:ascii="Calibri" w:eastAsia="Times New Roman" w:hAnsi="Calibri" w:cs="Times New Roman"/>
        </w:rPr>
        <w:t>could help address the concern identified in the prospectus that “</w:t>
      </w:r>
      <w:r w:rsidRPr="00C70F36">
        <w:rPr>
          <w:bCs/>
        </w:rPr>
        <w:t xml:space="preserve">The overall impact of the restrictions </w:t>
      </w:r>
      <w:r>
        <w:rPr>
          <w:bCs/>
        </w:rPr>
        <w:t>from the HTR definition</w:t>
      </w:r>
      <w:r w:rsidR="00BA222C">
        <w:rPr>
          <w:bCs/>
        </w:rPr>
        <w:t xml:space="preserve"> </w:t>
      </w:r>
      <w:r w:rsidRPr="00C70F36">
        <w:rPr>
          <w:bCs/>
        </w:rPr>
        <w:t>(along with others, such as raising program cost-effectiveness to 1.25 for the IOUs, reduction of eligible EE measures, diminished potential as noted in the Goals and Potentials study, delayed rollout of new third party programs, etc.) has, in reality, greatly hampered the state goals of the doubling of energy efficiency savings in order to attain more aggressive GHG reductions</w:t>
      </w:r>
      <w:r>
        <w:rPr>
          <w:bCs/>
        </w:rPr>
        <w:t>.”</w:t>
      </w:r>
      <w:r>
        <w:rPr>
          <w:rFonts w:ascii="Calibri" w:eastAsia="Times New Roman" w:hAnsi="Calibri" w:cs="Times New Roman"/>
        </w:rPr>
        <w:t xml:space="preserve"> </w:t>
      </w:r>
    </w:p>
    <w:p w14:paraId="30B33CBD" w14:textId="2201B764" w:rsidR="00EA2819" w:rsidRDefault="00EA2819" w:rsidP="00DC1AF2">
      <w:pPr>
        <w:spacing w:line="276" w:lineRule="auto"/>
        <w:rPr>
          <w:rFonts w:ascii="Calibri" w:eastAsia="Times New Roman" w:hAnsi="Calibri" w:cs="Times New Roman"/>
        </w:rPr>
      </w:pPr>
    </w:p>
    <w:p w14:paraId="115604ED" w14:textId="4BD65EA1" w:rsidR="00EA5152" w:rsidRDefault="002854B8" w:rsidP="00DC1AF2">
      <w:pPr>
        <w:spacing w:line="276" w:lineRule="auto"/>
        <w:rPr>
          <w:rFonts w:ascii="Calibri" w:eastAsia="Times New Roman" w:hAnsi="Calibri" w:cs="Times New Roman"/>
        </w:rPr>
      </w:pPr>
      <w:r>
        <w:rPr>
          <w:rFonts w:ascii="Calibri" w:eastAsia="Times New Roman" w:hAnsi="Calibri" w:cs="Times New Roman"/>
        </w:rPr>
        <w:t xml:space="preserve">Therefore, the Full WG agreed to conclude </w:t>
      </w:r>
      <w:r w:rsidR="00BA222C">
        <w:rPr>
          <w:rFonts w:ascii="Calibri" w:eastAsia="Times New Roman" w:hAnsi="Calibri" w:cs="Times New Roman"/>
        </w:rPr>
        <w:t xml:space="preserve">with </w:t>
      </w:r>
      <w:r>
        <w:rPr>
          <w:rFonts w:ascii="Calibri" w:eastAsia="Times New Roman" w:hAnsi="Calibri" w:cs="Times New Roman"/>
        </w:rPr>
        <w:t>Phase 1 and not to pursue next steps as described in Step 4 of the Prospectus noted above.</w:t>
      </w:r>
    </w:p>
    <w:p w14:paraId="0A14AE44" w14:textId="3B08E0BE" w:rsidR="00EA5152" w:rsidRDefault="00EA5152" w:rsidP="00DC1AF2">
      <w:pPr>
        <w:spacing w:line="276" w:lineRule="auto"/>
        <w:rPr>
          <w:rFonts w:ascii="Calibri" w:eastAsia="Times New Roman" w:hAnsi="Calibri" w:cs="Times New Roman"/>
        </w:rPr>
      </w:pPr>
    </w:p>
    <w:p w14:paraId="0F6E4794" w14:textId="79F926D8" w:rsidR="00582A5B" w:rsidRPr="00DC1AF2" w:rsidRDefault="00582A5B" w:rsidP="00582A5B">
      <w:pPr>
        <w:spacing w:line="276" w:lineRule="auto"/>
        <w:rPr>
          <w:rFonts w:ascii="Calibri" w:eastAsia="Times New Roman" w:hAnsi="Calibri" w:cs="Times New Roman"/>
        </w:rPr>
      </w:pPr>
      <w:r>
        <w:t xml:space="preserve">The Prospectus problem statement identified the value in </w:t>
      </w:r>
      <w:r w:rsidR="00EA5152" w:rsidRPr="00C35766">
        <w:t>potentially</w:t>
      </w:r>
      <w:r>
        <w:t xml:space="preserve"> providing</w:t>
      </w:r>
      <w:r w:rsidR="00EA5152" w:rsidRPr="00C35766">
        <w:t xml:space="preserve"> a definition for “underserved</w:t>
      </w:r>
      <w:r>
        <w:t>”. Given the data availability and analytical constraints, that was not feasible in this WG, but may be addressed in the Equity Metrics WG.</w:t>
      </w:r>
    </w:p>
    <w:p w14:paraId="0AC472BF" w14:textId="77777777" w:rsidR="000E5C2C" w:rsidRPr="0008794A" w:rsidRDefault="000E5C2C" w:rsidP="0008794A"/>
    <w:p w14:paraId="3575C45A" w14:textId="6E578450" w:rsidR="000E5C2C" w:rsidRPr="00DC1AF2" w:rsidRDefault="000E5C2C" w:rsidP="000E5C2C">
      <w:pPr>
        <w:pStyle w:val="Heading2"/>
        <w:spacing w:line="276" w:lineRule="auto"/>
        <w:rPr>
          <w:rFonts w:ascii="Calibri" w:hAnsi="Calibri" w:cs="Calibri"/>
        </w:rPr>
      </w:pPr>
      <w:bookmarkStart w:id="4" w:name="_Toc80086023"/>
      <w:r>
        <w:rPr>
          <w:rFonts w:ascii="Calibri" w:hAnsi="Calibri" w:cs="Calibri"/>
        </w:rPr>
        <w:t xml:space="preserve">1.2 </w:t>
      </w:r>
      <w:r w:rsidRPr="00DC1AF2">
        <w:rPr>
          <w:rFonts w:ascii="Calibri" w:hAnsi="Calibri" w:cs="Calibri"/>
        </w:rPr>
        <w:t>Report Outline</w:t>
      </w:r>
      <w:bookmarkEnd w:id="4"/>
      <w:r>
        <w:rPr>
          <w:rFonts w:ascii="Calibri" w:hAnsi="Calibri" w:cs="Calibri"/>
        </w:rPr>
        <w:t xml:space="preserve"> </w:t>
      </w:r>
    </w:p>
    <w:p w14:paraId="01FA7C27" w14:textId="77777777" w:rsidR="000E5C2C" w:rsidRPr="00DC1AF2" w:rsidRDefault="000E5C2C" w:rsidP="000E5C2C">
      <w:pPr>
        <w:autoSpaceDE w:val="0"/>
        <w:autoSpaceDN w:val="0"/>
        <w:adjustRightInd w:val="0"/>
        <w:spacing w:line="276" w:lineRule="auto"/>
        <w:rPr>
          <w:rFonts w:ascii="Calibri" w:hAnsi="Calibri" w:cs="Calibri"/>
        </w:rPr>
      </w:pPr>
      <w:r w:rsidRPr="00DC1AF2">
        <w:rPr>
          <w:rFonts w:ascii="Calibri" w:hAnsi="Calibri" w:cs="Calibri"/>
        </w:rPr>
        <w:t xml:space="preserve">This report outlines the findings of the </w:t>
      </w:r>
      <w:r>
        <w:rPr>
          <w:rFonts w:ascii="Calibri" w:hAnsi="Calibri" w:cs="Calibri"/>
        </w:rPr>
        <w:t>WG</w:t>
      </w:r>
      <w:r w:rsidRPr="00DC1AF2">
        <w:rPr>
          <w:rFonts w:ascii="Calibri" w:hAnsi="Calibri" w:cs="Calibri"/>
        </w:rPr>
        <w:t xml:space="preserve"> and is organized as follows:</w:t>
      </w:r>
    </w:p>
    <w:p w14:paraId="201E624D" w14:textId="25C9CA0E" w:rsidR="000E5C2C" w:rsidRDefault="000E5C2C" w:rsidP="000E5C2C">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Pr>
          <w:rFonts w:ascii="Calibri" w:hAnsi="Calibri" w:cs="Calibri"/>
        </w:rPr>
        <w:lastRenderedPageBreak/>
        <w:t>High-Level Findings</w:t>
      </w:r>
    </w:p>
    <w:p w14:paraId="01799447" w14:textId="2A51D328" w:rsidR="000E5C2C" w:rsidRPr="00DC1AF2" w:rsidRDefault="000E5C2C" w:rsidP="000E5C2C">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sidRPr="00DC1AF2">
        <w:rPr>
          <w:rFonts w:ascii="Calibri" w:hAnsi="Calibri" w:cs="Calibri"/>
        </w:rPr>
        <w:t>Sector Summaries</w:t>
      </w:r>
    </w:p>
    <w:p w14:paraId="0B497388" w14:textId="77777777" w:rsidR="000E5C2C" w:rsidRPr="00DC1AF2" w:rsidRDefault="000E5C2C" w:rsidP="000E5C2C">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sidRPr="00DC1AF2">
        <w:rPr>
          <w:rFonts w:ascii="Calibri" w:hAnsi="Calibri" w:cs="Calibri"/>
        </w:rPr>
        <w:t>Appendix A: UWG Member Organizations and Representatives</w:t>
      </w:r>
    </w:p>
    <w:p w14:paraId="3D2D46EB" w14:textId="3748721E" w:rsidR="00327032" w:rsidRDefault="00327032" w:rsidP="00DC1AF2">
      <w:pPr>
        <w:autoSpaceDE w:val="0"/>
        <w:autoSpaceDN w:val="0"/>
        <w:adjustRightInd w:val="0"/>
        <w:spacing w:line="276" w:lineRule="auto"/>
        <w:rPr>
          <w:rFonts w:ascii="Calibri" w:hAnsi="Calibri" w:cs="Calibri"/>
        </w:rPr>
      </w:pPr>
    </w:p>
    <w:p w14:paraId="0D0680B6" w14:textId="779706B4" w:rsidR="00327032" w:rsidRPr="000E5C2C" w:rsidRDefault="000E5C2C" w:rsidP="0008794A">
      <w:pPr>
        <w:pStyle w:val="Heading1"/>
        <w:ind w:firstLine="0"/>
        <w:rPr>
          <w:rFonts w:eastAsia="Times New Roman"/>
        </w:rPr>
      </w:pPr>
      <w:bookmarkStart w:id="5" w:name="_Toc80086024"/>
      <w:r>
        <w:rPr>
          <w:rFonts w:eastAsia="Times New Roman"/>
        </w:rPr>
        <w:t xml:space="preserve">Section 2: </w:t>
      </w:r>
      <w:r w:rsidR="00327032" w:rsidRPr="000E5C2C">
        <w:rPr>
          <w:rFonts w:eastAsia="Times New Roman"/>
        </w:rPr>
        <w:t>High-Level Findings</w:t>
      </w:r>
      <w:bookmarkEnd w:id="5"/>
    </w:p>
    <w:p w14:paraId="3924C8FA" w14:textId="38C96D59" w:rsidR="00327032" w:rsidRPr="0008794A" w:rsidRDefault="00327032" w:rsidP="00327032">
      <w:pPr>
        <w:pStyle w:val="CommentText"/>
        <w:rPr>
          <w:sz w:val="24"/>
          <w:szCs w:val="24"/>
        </w:rPr>
      </w:pPr>
      <w:r w:rsidRPr="0008794A">
        <w:rPr>
          <w:sz w:val="24"/>
          <w:szCs w:val="24"/>
        </w:rPr>
        <w:t>The following summarizes key takeaways for each of the three sectors. For more details, see the “Sector Summaries” section and the full reports (linked within each sector summary).</w:t>
      </w:r>
    </w:p>
    <w:p w14:paraId="59CCC9D3" w14:textId="77777777" w:rsidR="000E5C2C" w:rsidRDefault="000E5C2C" w:rsidP="000E5C2C">
      <w:pPr>
        <w:autoSpaceDE w:val="0"/>
        <w:autoSpaceDN w:val="0"/>
        <w:adjustRightInd w:val="0"/>
        <w:spacing w:after="120" w:line="276" w:lineRule="auto"/>
        <w:contextualSpacing/>
        <w:rPr>
          <w:rFonts w:ascii="Calibri" w:hAnsi="Calibri" w:cs="Calibri"/>
          <w:b/>
          <w:bCs/>
        </w:rPr>
      </w:pPr>
    </w:p>
    <w:p w14:paraId="3EEBB936" w14:textId="658A63F6" w:rsidR="00327032" w:rsidRPr="000E5C2C" w:rsidRDefault="000E5C2C" w:rsidP="0008794A">
      <w:pPr>
        <w:pStyle w:val="Heading2"/>
      </w:pPr>
      <w:bookmarkStart w:id="6" w:name="_Toc80086025"/>
      <w:r>
        <w:t xml:space="preserve">2.1 </w:t>
      </w:r>
      <w:r w:rsidR="00327032" w:rsidRPr="0008794A">
        <w:t xml:space="preserve">Residential </w:t>
      </w:r>
      <w:r>
        <w:t>S</w:t>
      </w:r>
      <w:r w:rsidR="00327032" w:rsidRPr="0008794A">
        <w:t>ector</w:t>
      </w:r>
      <w:bookmarkEnd w:id="6"/>
    </w:p>
    <w:p w14:paraId="6CA58D87" w14:textId="77777777" w:rsidR="00CC0AEF" w:rsidRDefault="00CC0AEF" w:rsidP="0008794A">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Pr>
          <w:rFonts w:ascii="Calibri" w:hAnsi="Calibri" w:cs="Calibri"/>
        </w:rPr>
        <w:t xml:space="preserve">Lower participation rates were found within zip codes with the following </w:t>
      </w:r>
      <w:r w:rsidRPr="0008794A">
        <w:rPr>
          <w:rFonts w:ascii="Calibri" w:hAnsi="Calibri" w:cs="Calibri"/>
        </w:rPr>
        <w:t xml:space="preserve">characteristics: older housing stock, lower income residents, a higher proportion of renters, and a higher population of Native Americans. </w:t>
      </w:r>
    </w:p>
    <w:p w14:paraId="396C943A" w14:textId="302EF192" w:rsidR="00CC0AEF" w:rsidRPr="003F3066" w:rsidRDefault="00CC0AEF" w:rsidP="000E5C2C">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Pr>
          <w:rFonts w:ascii="Calibri" w:hAnsi="Calibri" w:cs="Calibri"/>
        </w:rPr>
        <w:t>S</w:t>
      </w:r>
      <w:r w:rsidRPr="0008794A">
        <w:rPr>
          <w:rFonts w:ascii="Calibri" w:hAnsi="Calibri" w:cs="Calibri"/>
        </w:rPr>
        <w:t xml:space="preserve">ocioeconomic indicators </w:t>
      </w:r>
      <w:r>
        <w:rPr>
          <w:rFonts w:ascii="Calibri" w:hAnsi="Calibri" w:cs="Calibri"/>
        </w:rPr>
        <w:t>correlated with inequal distribution of benefits include:</w:t>
      </w:r>
      <w:r w:rsidRPr="0008794A">
        <w:rPr>
          <w:rFonts w:ascii="Calibri" w:hAnsi="Calibri" w:cs="Calibri"/>
        </w:rPr>
        <w:t xml:space="preserve"> residents under the poverty line, older housing, a higher population with a disability, a higher population with no healthcare, a higher population of Native Americans, and a </w:t>
      </w:r>
      <w:r w:rsidRPr="003F3066">
        <w:rPr>
          <w:rFonts w:ascii="Calibri" w:hAnsi="Calibri" w:cs="Calibri"/>
        </w:rPr>
        <w:t>higher renting population</w:t>
      </w:r>
    </w:p>
    <w:p w14:paraId="13F62CE8" w14:textId="77777777" w:rsidR="000E5C2C" w:rsidRPr="0008794A" w:rsidRDefault="000E5C2C" w:rsidP="0008794A">
      <w:pPr>
        <w:pStyle w:val="ListParagraph"/>
        <w:autoSpaceDE w:val="0"/>
        <w:autoSpaceDN w:val="0"/>
        <w:adjustRightInd w:val="0"/>
        <w:spacing w:before="0" w:beforeAutospacing="0" w:after="120" w:afterAutospacing="0" w:line="276" w:lineRule="auto"/>
        <w:ind w:left="720"/>
        <w:contextualSpacing/>
        <w:rPr>
          <w:rFonts w:ascii="Calibri" w:hAnsi="Calibri" w:cs="Calibri"/>
        </w:rPr>
      </w:pPr>
    </w:p>
    <w:p w14:paraId="0E896299" w14:textId="7C7D2B2D" w:rsidR="00327032" w:rsidRPr="000E5C2C" w:rsidRDefault="000E5C2C" w:rsidP="0008794A">
      <w:pPr>
        <w:pStyle w:val="Heading2"/>
      </w:pPr>
      <w:bookmarkStart w:id="7" w:name="_Toc80086026"/>
      <w:r>
        <w:t xml:space="preserve">2.2 </w:t>
      </w:r>
      <w:r w:rsidR="00327032" w:rsidRPr="0008794A">
        <w:t xml:space="preserve">Public </w:t>
      </w:r>
      <w:r>
        <w:t>S</w:t>
      </w:r>
      <w:r w:rsidR="00327032" w:rsidRPr="0008794A">
        <w:t>ector</w:t>
      </w:r>
      <w:bookmarkEnd w:id="7"/>
    </w:p>
    <w:p w14:paraId="0709DEFA" w14:textId="45F2434B" w:rsidR="00CC0AEF" w:rsidRPr="0008794A" w:rsidRDefault="00CC0AEF" w:rsidP="0008794A">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sidRPr="0008794A">
        <w:rPr>
          <w:rFonts w:ascii="Calibri" w:hAnsi="Calibri" w:cs="Calibri"/>
        </w:rPr>
        <w:t xml:space="preserve">Rurality is strongly correlated with </w:t>
      </w:r>
      <w:r w:rsidR="003F3066">
        <w:rPr>
          <w:rFonts w:ascii="Calibri" w:hAnsi="Calibri" w:cs="Calibri"/>
        </w:rPr>
        <w:t xml:space="preserve">lower </w:t>
      </w:r>
      <w:r w:rsidRPr="0008794A">
        <w:rPr>
          <w:rFonts w:ascii="Calibri" w:hAnsi="Calibri" w:cs="Calibri"/>
        </w:rPr>
        <w:t xml:space="preserve">participation rates, </w:t>
      </w:r>
      <w:r w:rsidR="003F3BDB">
        <w:rPr>
          <w:rFonts w:ascii="Calibri" w:hAnsi="Calibri" w:cs="Calibri"/>
        </w:rPr>
        <w:t>lo</w:t>
      </w:r>
      <w:r w:rsidR="003F3066">
        <w:rPr>
          <w:rFonts w:ascii="Calibri" w:hAnsi="Calibri" w:cs="Calibri"/>
        </w:rPr>
        <w:t xml:space="preserve">wer </w:t>
      </w:r>
      <w:r w:rsidRPr="0008794A">
        <w:rPr>
          <w:rFonts w:ascii="Calibri" w:hAnsi="Calibri" w:cs="Calibri"/>
        </w:rPr>
        <w:t>level</w:t>
      </w:r>
      <w:r w:rsidR="003F3066">
        <w:rPr>
          <w:rFonts w:ascii="Calibri" w:hAnsi="Calibri" w:cs="Calibri"/>
        </w:rPr>
        <w:t>s</w:t>
      </w:r>
      <w:r w:rsidRPr="0008794A">
        <w:rPr>
          <w:rFonts w:ascii="Calibri" w:hAnsi="Calibri" w:cs="Calibri"/>
        </w:rPr>
        <w:t xml:space="preserve"> of energy efficiency investments, and </w:t>
      </w:r>
      <w:r w:rsidR="003F3066">
        <w:rPr>
          <w:rFonts w:ascii="Calibri" w:hAnsi="Calibri" w:cs="Calibri"/>
        </w:rPr>
        <w:t xml:space="preserve">smaller </w:t>
      </w:r>
      <w:r w:rsidRPr="0008794A">
        <w:rPr>
          <w:rFonts w:ascii="Calibri" w:hAnsi="Calibri" w:cs="Calibri"/>
        </w:rPr>
        <w:t>energy savings</w:t>
      </w:r>
      <w:r w:rsidR="004848F2">
        <w:rPr>
          <w:rFonts w:ascii="Calibri" w:hAnsi="Calibri" w:cs="Calibri"/>
        </w:rPr>
        <w:t xml:space="preserve"> across </w:t>
      </w:r>
      <w:r w:rsidR="003F3066">
        <w:rPr>
          <w:rFonts w:ascii="Calibri" w:hAnsi="Calibri" w:cs="Calibri"/>
        </w:rPr>
        <w:t xml:space="preserve">local government programs, both at the county and city level. </w:t>
      </w:r>
    </w:p>
    <w:p w14:paraId="3D28EA78" w14:textId="7A0C78DF" w:rsidR="00CC0AEF" w:rsidRDefault="00CC0AEF" w:rsidP="0008794A">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Pr>
          <w:rFonts w:ascii="Calibri" w:hAnsi="Calibri" w:cs="Calibri"/>
        </w:rPr>
        <w:t xml:space="preserve">For </w:t>
      </w:r>
      <w:r w:rsidR="003F3066">
        <w:rPr>
          <w:rFonts w:ascii="Calibri" w:hAnsi="Calibri" w:cs="Calibri"/>
        </w:rPr>
        <w:t xml:space="preserve">local government programs analyzed at the city level, </w:t>
      </w:r>
      <w:r>
        <w:rPr>
          <w:rFonts w:ascii="Calibri" w:hAnsi="Calibri" w:cs="Calibri"/>
        </w:rPr>
        <w:t>o</w:t>
      </w:r>
      <w:r w:rsidRPr="0008794A">
        <w:rPr>
          <w:rFonts w:ascii="Calibri" w:hAnsi="Calibri" w:cs="Calibri"/>
        </w:rPr>
        <w:t>n-bill financing and non-resource programs are drivers of investment and savings</w:t>
      </w:r>
      <w:r w:rsidR="003F3066">
        <w:rPr>
          <w:rFonts w:ascii="Calibri" w:hAnsi="Calibri" w:cs="Calibri"/>
        </w:rPr>
        <w:t>.</w:t>
      </w:r>
      <w:r w:rsidRPr="0008794A">
        <w:rPr>
          <w:rFonts w:ascii="Calibri" w:hAnsi="Calibri" w:cs="Calibri"/>
        </w:rPr>
        <w:t xml:space="preserve"> </w:t>
      </w:r>
    </w:p>
    <w:p w14:paraId="3CFEBBB8" w14:textId="14246A5C" w:rsidR="00CC0AEF" w:rsidRDefault="00CC0AEF" w:rsidP="0008794A">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Pr>
          <w:rFonts w:ascii="Calibri" w:hAnsi="Calibri" w:cs="Calibri"/>
        </w:rPr>
        <w:t xml:space="preserve">For </w:t>
      </w:r>
      <w:r w:rsidR="003F3066">
        <w:rPr>
          <w:rFonts w:ascii="Calibri" w:hAnsi="Calibri" w:cs="Calibri"/>
        </w:rPr>
        <w:t xml:space="preserve">local government programs analyzed at the county level, counties with larger population and greater </w:t>
      </w:r>
      <w:r>
        <w:rPr>
          <w:rFonts w:ascii="Calibri" w:hAnsi="Calibri" w:cs="Calibri"/>
        </w:rPr>
        <w:t>tax revenue</w:t>
      </w:r>
      <w:r w:rsidR="003F3066">
        <w:rPr>
          <w:rFonts w:ascii="Calibri" w:hAnsi="Calibri" w:cs="Calibri"/>
        </w:rPr>
        <w:t xml:space="preserve"> are </w:t>
      </w:r>
      <w:r>
        <w:rPr>
          <w:rFonts w:ascii="Calibri" w:hAnsi="Calibri" w:cs="Calibri"/>
        </w:rPr>
        <w:t>associated with greater per capita energy efficiency investment</w:t>
      </w:r>
      <w:r w:rsidR="003F3066">
        <w:rPr>
          <w:rFonts w:ascii="Calibri" w:hAnsi="Calibri" w:cs="Calibri"/>
        </w:rPr>
        <w:t>.</w:t>
      </w:r>
      <w:r>
        <w:rPr>
          <w:rFonts w:ascii="Calibri" w:hAnsi="Calibri" w:cs="Calibri"/>
        </w:rPr>
        <w:t xml:space="preserve"> </w:t>
      </w:r>
    </w:p>
    <w:p w14:paraId="19245C78" w14:textId="0310B0A7" w:rsidR="00CC0AEF" w:rsidRPr="00551C27" w:rsidRDefault="004848F2" w:rsidP="00551C27">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Pr>
          <w:rFonts w:ascii="Calibri" w:hAnsi="Calibri" w:cs="Calibri"/>
        </w:rPr>
        <w:t xml:space="preserve">For K-12 schools, </w:t>
      </w:r>
      <w:r w:rsidR="003F3066">
        <w:rPr>
          <w:rFonts w:ascii="Calibri" w:hAnsi="Calibri" w:cs="Calibri"/>
        </w:rPr>
        <w:t>counties with lower household income</w:t>
      </w:r>
      <w:r>
        <w:rPr>
          <w:rFonts w:ascii="Calibri" w:hAnsi="Calibri" w:cs="Calibri"/>
        </w:rPr>
        <w:t xml:space="preserve">, </w:t>
      </w:r>
      <w:r w:rsidR="003F3066">
        <w:rPr>
          <w:rFonts w:ascii="Calibri" w:hAnsi="Calibri" w:cs="Calibri"/>
        </w:rPr>
        <w:t xml:space="preserve">a </w:t>
      </w:r>
      <w:r>
        <w:rPr>
          <w:rFonts w:ascii="Calibri" w:hAnsi="Calibri" w:cs="Calibri"/>
        </w:rPr>
        <w:t xml:space="preserve">lower </w:t>
      </w:r>
      <w:r w:rsidR="00CC0AEF" w:rsidRPr="0008794A">
        <w:rPr>
          <w:rFonts w:ascii="Calibri" w:eastAsiaTheme="minorHAnsi" w:hAnsi="Calibri" w:cs="Calibri"/>
        </w:rPr>
        <w:t>proportion of Black or African American and Asian communities</w:t>
      </w:r>
      <w:r>
        <w:rPr>
          <w:rFonts w:ascii="Calibri" w:eastAsiaTheme="minorHAnsi" w:hAnsi="Calibri" w:cs="Calibri"/>
        </w:rPr>
        <w:t>,</w:t>
      </w:r>
      <w:r w:rsidR="00CC0AEF" w:rsidRPr="0008794A">
        <w:rPr>
          <w:rFonts w:ascii="Calibri" w:eastAsiaTheme="minorHAnsi" w:hAnsi="Calibri" w:cs="Calibri"/>
        </w:rPr>
        <w:t xml:space="preserve"> and a greater proportion of the Native American community</w:t>
      </w:r>
      <w:r w:rsidR="003F3066">
        <w:rPr>
          <w:rFonts w:ascii="Calibri" w:eastAsiaTheme="minorHAnsi" w:hAnsi="Calibri" w:cs="Calibri"/>
        </w:rPr>
        <w:t xml:space="preserve"> have lower participation rates</w:t>
      </w:r>
      <w:r w:rsidR="00CC0AEF" w:rsidRPr="0008794A">
        <w:rPr>
          <w:rFonts w:ascii="Calibri" w:eastAsiaTheme="minorHAnsi" w:hAnsi="Calibri" w:cs="Calibri"/>
        </w:rPr>
        <w:t>.</w:t>
      </w:r>
      <w:r w:rsidR="003F3066">
        <w:rPr>
          <w:rFonts w:ascii="Calibri" w:eastAsiaTheme="minorHAnsi" w:hAnsi="Calibri" w:cs="Calibri"/>
        </w:rPr>
        <w:t xml:space="preserve"> </w:t>
      </w:r>
      <w:r w:rsidR="003F3066" w:rsidRPr="005A6320">
        <w:rPr>
          <w:rFonts w:ascii="Calibri" w:hAnsi="Calibri" w:cs="Calibri"/>
        </w:rPr>
        <w:t xml:space="preserve">For participating schools, the following variables are associated with smaller energy efficiency investments: higher percentage of Title 1 schools, lower percentage of students eligible for a free and reduced meal plan, and greater disadvantaged community (DAC) shares in the county population. </w:t>
      </w:r>
    </w:p>
    <w:p w14:paraId="772C9E14" w14:textId="77777777" w:rsidR="000E5C2C" w:rsidRPr="0008794A" w:rsidRDefault="000E5C2C" w:rsidP="0008794A">
      <w:pPr>
        <w:pStyle w:val="ListParagraph"/>
        <w:autoSpaceDE w:val="0"/>
        <w:autoSpaceDN w:val="0"/>
        <w:adjustRightInd w:val="0"/>
        <w:spacing w:before="0" w:beforeAutospacing="0" w:after="120" w:afterAutospacing="0" w:line="276" w:lineRule="auto"/>
        <w:ind w:left="720"/>
        <w:contextualSpacing/>
        <w:rPr>
          <w:rFonts w:ascii="Calibri" w:hAnsi="Calibri" w:cs="Calibri"/>
        </w:rPr>
      </w:pPr>
    </w:p>
    <w:p w14:paraId="47982F5E" w14:textId="6BABC829" w:rsidR="00327032" w:rsidRPr="0008794A" w:rsidRDefault="000E5C2C" w:rsidP="0008794A">
      <w:pPr>
        <w:pStyle w:val="Heading2"/>
      </w:pPr>
      <w:bookmarkStart w:id="8" w:name="_Toc80086027"/>
      <w:r>
        <w:lastRenderedPageBreak/>
        <w:t xml:space="preserve">2.3 </w:t>
      </w:r>
      <w:r w:rsidR="00327032" w:rsidRPr="0008794A">
        <w:t xml:space="preserve">SMB </w:t>
      </w:r>
      <w:r>
        <w:t>S</w:t>
      </w:r>
      <w:r w:rsidR="00327032" w:rsidRPr="0008794A">
        <w:t>ector</w:t>
      </w:r>
      <w:bookmarkEnd w:id="8"/>
    </w:p>
    <w:p w14:paraId="4CC2DA8E" w14:textId="54D5AC22" w:rsidR="004848F2" w:rsidRPr="0008794A" w:rsidRDefault="004848F2" w:rsidP="0008794A">
      <w:pPr>
        <w:pStyle w:val="ListParagraph"/>
        <w:numPr>
          <w:ilvl w:val="0"/>
          <w:numId w:val="5"/>
        </w:numPr>
        <w:spacing w:line="276" w:lineRule="auto"/>
        <w:rPr>
          <w:rFonts w:ascii="Calibri" w:hAnsi="Calibri" w:cs="Calibri"/>
        </w:rPr>
      </w:pPr>
      <w:r w:rsidRPr="00DC1AF2">
        <w:rPr>
          <w:rFonts w:ascii="Calibri" w:hAnsi="Calibri"/>
        </w:rPr>
        <w:t>Firm size, as measured by the number of employees, had the largest identifiable</w:t>
      </w:r>
      <w:r>
        <w:rPr>
          <w:rFonts w:ascii="Calibri" w:hAnsi="Calibri"/>
        </w:rPr>
        <w:t xml:space="preserve"> </w:t>
      </w:r>
      <w:r w:rsidRPr="00DC1AF2">
        <w:rPr>
          <w:rFonts w:ascii="Calibri" w:hAnsi="Calibri"/>
        </w:rPr>
        <w:t>effect on participation, energy savings, and investment</w:t>
      </w:r>
    </w:p>
    <w:p w14:paraId="0BC45D74" w14:textId="6096F786" w:rsidR="004848F2" w:rsidRPr="00DC1AF2" w:rsidRDefault="004848F2" w:rsidP="0008794A">
      <w:pPr>
        <w:pStyle w:val="ListParagraph"/>
        <w:numPr>
          <w:ilvl w:val="0"/>
          <w:numId w:val="5"/>
        </w:numPr>
        <w:spacing w:before="0" w:beforeAutospacing="0" w:after="240" w:afterAutospacing="0" w:line="276" w:lineRule="auto"/>
        <w:contextualSpacing/>
        <w:rPr>
          <w:rFonts w:ascii="Calibri" w:hAnsi="Calibri"/>
        </w:rPr>
      </w:pPr>
      <w:r w:rsidRPr="00DC1AF2">
        <w:rPr>
          <w:rFonts w:ascii="Calibri" w:hAnsi="Calibri"/>
        </w:rPr>
        <w:t>Communities with higher percentages of the population below the poverty line and more severe environmental issues</w:t>
      </w:r>
      <w:r>
        <w:rPr>
          <w:rFonts w:ascii="Calibri" w:hAnsi="Calibri"/>
        </w:rPr>
        <w:t xml:space="preserve"> </w:t>
      </w:r>
      <w:r w:rsidRPr="00DC1AF2">
        <w:rPr>
          <w:rFonts w:ascii="Calibri" w:hAnsi="Calibri"/>
        </w:rPr>
        <w:t xml:space="preserve">had lower participation. </w:t>
      </w:r>
    </w:p>
    <w:p w14:paraId="473A2404" w14:textId="2C0EB921" w:rsidR="00327032" w:rsidRPr="0008794A" w:rsidRDefault="004848F2" w:rsidP="0008794A">
      <w:pPr>
        <w:pStyle w:val="ListParagraph"/>
        <w:numPr>
          <w:ilvl w:val="0"/>
          <w:numId w:val="5"/>
        </w:numPr>
        <w:spacing w:line="276" w:lineRule="auto"/>
        <w:rPr>
          <w:rFonts w:ascii="Calibri" w:hAnsi="Calibri"/>
          <w:b/>
          <w:bCs/>
          <w:u w:val="single"/>
        </w:rPr>
      </w:pPr>
      <w:r w:rsidRPr="00DC1AF2">
        <w:rPr>
          <w:rFonts w:ascii="Calibri" w:hAnsi="Calibri"/>
        </w:rPr>
        <w:t xml:space="preserve">Found higher rates of participation, investment, and savings for a few variables that originally were hypothesized to be associated with lower participation and benefits. Among these were: The presence of larger Asian and Hispanic communities, as well as business density. </w:t>
      </w:r>
    </w:p>
    <w:p w14:paraId="108382C5" w14:textId="68ACDFB2" w:rsidR="007B1863" w:rsidRPr="00DC1AF2" w:rsidRDefault="00CC0AEF" w:rsidP="00DC1AF2">
      <w:pPr>
        <w:autoSpaceDE w:val="0"/>
        <w:autoSpaceDN w:val="0"/>
        <w:adjustRightInd w:val="0"/>
        <w:spacing w:line="276" w:lineRule="auto"/>
        <w:rPr>
          <w:rFonts w:ascii="Calibri" w:hAnsi="Calibri" w:cs="Calibri"/>
        </w:rPr>
      </w:pPr>
      <w:r>
        <w:rPr>
          <w:rFonts w:ascii="Calibri" w:hAnsi="Calibri" w:cs="Calibri"/>
        </w:rPr>
        <w:t xml:space="preserve">In all cases, the summaries above showed statistically significant correlations between certain variables, but does not point to causal relationships. </w:t>
      </w:r>
    </w:p>
    <w:p w14:paraId="2002F8C1" w14:textId="77777777" w:rsidR="003943AF" w:rsidRPr="0008794A" w:rsidRDefault="003943AF" w:rsidP="0008794A">
      <w:pPr>
        <w:rPr>
          <w:lang w:val="en"/>
        </w:rPr>
      </w:pPr>
    </w:p>
    <w:p w14:paraId="4DB37BA4" w14:textId="666BC40F" w:rsidR="00EA6B12" w:rsidRPr="00DC1AF2" w:rsidRDefault="00EA6B12" w:rsidP="00DC1AF2">
      <w:pPr>
        <w:pStyle w:val="Heading1"/>
        <w:ind w:firstLine="0"/>
        <w:rPr>
          <w:rFonts w:ascii="Calibri" w:hAnsi="Calibri"/>
        </w:rPr>
      </w:pPr>
      <w:bookmarkStart w:id="9" w:name="_Toc80086028"/>
      <w:r w:rsidRPr="00DC1AF2">
        <w:rPr>
          <w:rFonts w:ascii="Calibri" w:hAnsi="Calibri"/>
        </w:rPr>
        <w:t>Sect</w:t>
      </w:r>
      <w:r w:rsidR="003943AF">
        <w:rPr>
          <w:rFonts w:ascii="Calibri" w:hAnsi="Calibri"/>
        </w:rPr>
        <w:t>ion 3: Sect</w:t>
      </w:r>
      <w:r w:rsidRPr="00DC1AF2">
        <w:rPr>
          <w:rFonts w:ascii="Calibri" w:hAnsi="Calibri"/>
        </w:rPr>
        <w:t>or Summaries</w:t>
      </w:r>
      <w:bookmarkEnd w:id="9"/>
    </w:p>
    <w:p w14:paraId="2A9F3654" w14:textId="5C9AC320" w:rsidR="00582A5B" w:rsidRPr="0008794A" w:rsidRDefault="00385284" w:rsidP="0008794A">
      <w:r w:rsidRPr="0008794A">
        <w:t xml:space="preserve">The summaries below are large copy/pasted directly from each sector’s report. </w:t>
      </w:r>
      <w:r w:rsidR="00582A5B" w:rsidRPr="00DC1AF2">
        <w:rPr>
          <w:rFonts w:ascii="Calibri" w:hAnsi="Calibri"/>
          <w:lang w:val="en"/>
        </w:rPr>
        <w:t xml:space="preserve">The final report for each of the three sectors (SMB, Residential, and Public sectors) can be found on the UWG landing page: </w:t>
      </w:r>
      <w:hyperlink r:id="rId9" w:history="1">
        <w:r w:rsidR="00582A5B" w:rsidRPr="00DC1AF2">
          <w:rPr>
            <w:rStyle w:val="Hyperlink"/>
            <w:rFonts w:ascii="Calibri" w:hAnsi="Calibri"/>
            <w:lang w:val="en"/>
          </w:rPr>
          <w:t>https://www.caeecc.org/underserved-working-group-2020</w:t>
        </w:r>
      </w:hyperlink>
      <w:r w:rsidR="00582A5B" w:rsidRPr="00DC1AF2">
        <w:rPr>
          <w:rFonts w:ascii="Calibri" w:hAnsi="Calibri"/>
          <w:lang w:val="en"/>
        </w:rPr>
        <w:t xml:space="preserve"> </w:t>
      </w:r>
    </w:p>
    <w:p w14:paraId="2A43ECA1" w14:textId="77777777" w:rsidR="00385284" w:rsidRPr="0008794A" w:rsidRDefault="00385284" w:rsidP="0008794A"/>
    <w:p w14:paraId="515E7D1C" w14:textId="4919009A" w:rsidR="003563E7" w:rsidRPr="00DC1AF2" w:rsidRDefault="000E5C2C" w:rsidP="00DC1AF2">
      <w:pPr>
        <w:pStyle w:val="Heading2"/>
        <w:spacing w:line="276" w:lineRule="auto"/>
        <w:rPr>
          <w:rFonts w:ascii="Calibri" w:hAnsi="Calibri"/>
        </w:rPr>
      </w:pPr>
      <w:bookmarkStart w:id="10" w:name="_Toc80086029"/>
      <w:r>
        <w:rPr>
          <w:rFonts w:ascii="Calibri" w:hAnsi="Calibri"/>
        </w:rPr>
        <w:t xml:space="preserve">3.1 </w:t>
      </w:r>
      <w:r w:rsidR="003563E7" w:rsidRPr="00DC1AF2">
        <w:rPr>
          <w:rFonts w:ascii="Calibri" w:hAnsi="Calibri"/>
        </w:rPr>
        <w:t>Residential Sector</w:t>
      </w:r>
      <w:bookmarkEnd w:id="10"/>
    </w:p>
    <w:p w14:paraId="416A449B" w14:textId="77777777" w:rsidR="00A4029A" w:rsidRPr="00DC1AF2" w:rsidRDefault="003563E7" w:rsidP="00DC1AF2">
      <w:pPr>
        <w:spacing w:line="276" w:lineRule="auto"/>
        <w:rPr>
          <w:rFonts w:ascii="Calibri" w:hAnsi="Calibri" w:cs="Calibri"/>
        </w:rPr>
      </w:pPr>
      <w:r w:rsidRPr="00DC1AF2">
        <w:rPr>
          <w:rFonts w:ascii="Calibri" w:hAnsi="Calibri" w:cs="Calibri"/>
          <w:b/>
          <w:bCs/>
        </w:rPr>
        <w:t>Background</w:t>
      </w:r>
      <w:r w:rsidRPr="00DC1AF2">
        <w:rPr>
          <w:rFonts w:ascii="Calibri" w:hAnsi="Calibri" w:cs="Calibri"/>
        </w:rPr>
        <w:t>:</w:t>
      </w:r>
    </w:p>
    <w:p w14:paraId="71755010" w14:textId="77777777" w:rsidR="00FD3CA8" w:rsidRPr="00DC1AF2" w:rsidRDefault="00FD3CA8" w:rsidP="00DC1AF2">
      <w:pPr>
        <w:spacing w:line="276" w:lineRule="auto"/>
        <w:rPr>
          <w:rFonts w:ascii="Calibri" w:hAnsi="Calibri" w:cs="Calibri"/>
        </w:rPr>
      </w:pPr>
      <w:r w:rsidRPr="00DC1AF2">
        <w:rPr>
          <w:rFonts w:ascii="Calibri" w:hAnsi="Calibri" w:cs="Calibri"/>
        </w:rPr>
        <w:t>The analysis was l</w:t>
      </w:r>
      <w:r w:rsidR="00E05BED" w:rsidRPr="00DC1AF2">
        <w:rPr>
          <w:rFonts w:ascii="Calibri" w:hAnsi="Calibri" w:cs="Calibri"/>
        </w:rPr>
        <w:t xml:space="preserve">ed by Professor </w:t>
      </w:r>
      <w:r w:rsidR="00A4029A" w:rsidRPr="00DC1AF2">
        <w:rPr>
          <w:rFonts w:ascii="Calibri" w:hAnsi="Calibri" w:cs="Calibri"/>
        </w:rPr>
        <w:t xml:space="preserve">Alissa Kendal at the University of California-Davis (UCD) with the following students: Kristen Bush, Jessica Dunn, Sadia Gul, Mark Lozano, Leslie Nelson, and Tobiah Steckel. The </w:t>
      </w:r>
      <w:r w:rsidRPr="00DC1AF2">
        <w:rPr>
          <w:rFonts w:ascii="Calibri" w:hAnsi="Calibri" w:cs="Calibri"/>
        </w:rPr>
        <w:t>report</w:t>
      </w:r>
      <w:r w:rsidR="00E05BED" w:rsidRPr="00DC1AF2">
        <w:rPr>
          <w:rFonts w:ascii="Calibri" w:hAnsi="Calibri" w:cs="Calibri"/>
        </w:rPr>
        <w:t xml:space="preserve"> </w:t>
      </w:r>
      <w:r w:rsidR="00A4029A" w:rsidRPr="00DC1AF2">
        <w:rPr>
          <w:rFonts w:ascii="Calibri" w:hAnsi="Calibri" w:cs="Calibri"/>
        </w:rPr>
        <w:t>was completed and posted to the CAEECC website in January 2021</w:t>
      </w:r>
      <w:r w:rsidRPr="00DC1AF2">
        <w:rPr>
          <w:rFonts w:ascii="Calibri" w:hAnsi="Calibri" w:cs="Calibri"/>
        </w:rPr>
        <w:t>.</w:t>
      </w:r>
    </w:p>
    <w:p w14:paraId="1A93622A" w14:textId="77777777" w:rsidR="00FD3CA8" w:rsidRPr="00DC1AF2" w:rsidRDefault="00FD3CA8" w:rsidP="00DC1AF2">
      <w:pPr>
        <w:spacing w:line="276" w:lineRule="auto"/>
        <w:rPr>
          <w:rFonts w:ascii="Calibri" w:hAnsi="Calibri" w:cs="Calibri"/>
        </w:rPr>
      </w:pPr>
    </w:p>
    <w:p w14:paraId="0A90965B" w14:textId="1D2C1B6D" w:rsidR="003563E7" w:rsidRDefault="00A4029A" w:rsidP="00DC1AF2">
      <w:pPr>
        <w:spacing w:line="276" w:lineRule="auto"/>
        <w:rPr>
          <w:rFonts w:ascii="Calibri" w:hAnsi="Calibri" w:cs="Calibri"/>
        </w:rPr>
      </w:pPr>
      <w:r w:rsidRPr="00DC1AF2">
        <w:rPr>
          <w:rFonts w:ascii="Calibri" w:hAnsi="Calibri" w:cs="Calibri"/>
        </w:rPr>
        <w:t>The University of Southern California (USC) conducted a</w:t>
      </w:r>
      <w:r w:rsidR="003563E7" w:rsidRPr="00DC1AF2">
        <w:rPr>
          <w:rFonts w:ascii="Calibri" w:hAnsi="Calibri" w:cs="Calibri"/>
        </w:rPr>
        <w:t xml:space="preserve"> prior analysis</w:t>
      </w:r>
      <w:r w:rsidRPr="00DC1AF2">
        <w:rPr>
          <w:rFonts w:ascii="Calibri" w:hAnsi="Calibri" w:cs="Calibri"/>
        </w:rPr>
        <w:t>,</w:t>
      </w:r>
      <w:r w:rsidR="003563E7" w:rsidRPr="00DC1AF2">
        <w:rPr>
          <w:rFonts w:ascii="Calibri" w:hAnsi="Calibri" w:cs="Calibri"/>
        </w:rPr>
        <w:t xml:space="preserve"> summarized </w:t>
      </w:r>
      <w:r w:rsidR="007B19DB" w:rsidRPr="00DC1AF2">
        <w:rPr>
          <w:rFonts w:ascii="Calibri" w:hAnsi="Calibri" w:cs="Calibri"/>
        </w:rPr>
        <w:t>in 2020</w:t>
      </w:r>
      <w:r w:rsidR="00EA5152">
        <w:rPr>
          <w:rStyle w:val="FootnoteReference"/>
          <w:rFonts w:ascii="Calibri" w:hAnsi="Calibri" w:cs="Calibri"/>
        </w:rPr>
        <w:footnoteReference w:id="4"/>
      </w:r>
      <w:r w:rsidRPr="00DC1AF2">
        <w:rPr>
          <w:rFonts w:ascii="Calibri" w:hAnsi="Calibri" w:cs="Calibri"/>
        </w:rPr>
        <w:t>, which</w:t>
      </w:r>
      <w:r w:rsidR="003563E7" w:rsidRPr="00DC1AF2">
        <w:rPr>
          <w:rFonts w:ascii="Calibri" w:hAnsi="Calibri" w:cs="Calibri"/>
        </w:rPr>
        <w:t xml:space="preserve"> focused more on a simple </w:t>
      </w:r>
      <w:r w:rsidR="00505430" w:rsidRPr="00DC1AF2">
        <w:rPr>
          <w:rFonts w:ascii="Calibri" w:hAnsi="Calibri" w:cs="Calibri"/>
        </w:rPr>
        <w:t>statistical analysis (a</w:t>
      </w:r>
      <w:r w:rsidRPr="00DC1AF2">
        <w:rPr>
          <w:rFonts w:ascii="Calibri" w:hAnsi="Calibri" w:cs="Calibri"/>
        </w:rPr>
        <w:t xml:space="preserve"> t-t</w:t>
      </w:r>
      <w:r w:rsidR="00505430" w:rsidRPr="00DC1AF2">
        <w:rPr>
          <w:rFonts w:ascii="Calibri" w:hAnsi="Calibri" w:cs="Calibri"/>
        </w:rPr>
        <w:t>est)</w:t>
      </w:r>
      <w:r w:rsidRPr="00DC1AF2">
        <w:rPr>
          <w:rFonts w:ascii="Calibri" w:hAnsi="Calibri" w:cs="Calibri"/>
        </w:rPr>
        <w:t>. T</w:t>
      </w:r>
      <w:r w:rsidR="003563E7" w:rsidRPr="00DC1AF2">
        <w:rPr>
          <w:rFonts w:ascii="Calibri" w:hAnsi="Calibri" w:cs="Calibri"/>
        </w:rPr>
        <w:t xml:space="preserve">he UCD team considerably expanded the </w:t>
      </w:r>
      <w:r w:rsidR="00505430" w:rsidRPr="00DC1AF2">
        <w:rPr>
          <w:rFonts w:ascii="Calibri" w:hAnsi="Calibri" w:cs="Calibri"/>
        </w:rPr>
        <w:t xml:space="preserve">scope of data acquisition </w:t>
      </w:r>
      <w:r w:rsidR="003563E7" w:rsidRPr="00DC1AF2">
        <w:rPr>
          <w:rFonts w:ascii="Calibri" w:hAnsi="Calibri" w:cs="Calibri"/>
        </w:rPr>
        <w:t>statistical and analytical approach</w:t>
      </w:r>
      <w:r w:rsidR="00FD3CA8" w:rsidRPr="00DC1AF2">
        <w:rPr>
          <w:rFonts w:ascii="Calibri" w:hAnsi="Calibri" w:cs="Calibri"/>
        </w:rPr>
        <w:t>.</w:t>
      </w:r>
      <w:r w:rsidR="003563E7" w:rsidRPr="00DC1AF2">
        <w:rPr>
          <w:rFonts w:ascii="Calibri" w:hAnsi="Calibri" w:cs="Calibri"/>
        </w:rPr>
        <w:t xml:space="preserve"> </w:t>
      </w:r>
    </w:p>
    <w:p w14:paraId="4024E629" w14:textId="77777777" w:rsidR="000E5C2C" w:rsidRPr="00DC1AF2" w:rsidRDefault="000E5C2C" w:rsidP="00DC1AF2">
      <w:pPr>
        <w:spacing w:line="276" w:lineRule="auto"/>
        <w:rPr>
          <w:rFonts w:ascii="Calibri" w:hAnsi="Calibri" w:cs="Calibri"/>
        </w:rPr>
      </w:pPr>
    </w:p>
    <w:p w14:paraId="67E4CD57" w14:textId="6C20C552" w:rsidR="003563E7" w:rsidRPr="00DC1AF2" w:rsidRDefault="003563E7" w:rsidP="00DC1AF2">
      <w:pPr>
        <w:spacing w:line="276" w:lineRule="auto"/>
        <w:contextualSpacing/>
        <w:rPr>
          <w:rFonts w:ascii="Calibri" w:hAnsi="Calibri" w:cs="Calibri"/>
        </w:rPr>
      </w:pPr>
      <w:r w:rsidRPr="00DC1AF2">
        <w:rPr>
          <w:rFonts w:ascii="Calibri" w:hAnsi="Calibri" w:cs="Calibri"/>
        </w:rPr>
        <w:t xml:space="preserve">Carol Edwards, </w:t>
      </w:r>
      <w:r w:rsidR="00A4029A" w:rsidRPr="00DC1AF2">
        <w:rPr>
          <w:rFonts w:ascii="Calibri" w:hAnsi="Calibri" w:cs="Calibri"/>
        </w:rPr>
        <w:t xml:space="preserve">a WG member from </w:t>
      </w:r>
      <w:r w:rsidRPr="00DC1AF2">
        <w:rPr>
          <w:rFonts w:ascii="Calibri" w:hAnsi="Calibri" w:cs="Calibri"/>
        </w:rPr>
        <w:t xml:space="preserve">SCE, provided feedback </w:t>
      </w:r>
      <w:r w:rsidR="00BC48D2">
        <w:rPr>
          <w:rFonts w:ascii="Calibri" w:hAnsi="Calibri" w:cs="Calibri"/>
        </w:rPr>
        <w:t xml:space="preserve">after the </w:t>
      </w:r>
      <w:r w:rsidR="00A4029A" w:rsidRPr="00DC1AF2">
        <w:rPr>
          <w:rFonts w:ascii="Calibri" w:hAnsi="Calibri" w:cs="Calibri"/>
        </w:rPr>
        <w:t xml:space="preserve">UCD </w:t>
      </w:r>
      <w:r w:rsidRPr="00DC1AF2">
        <w:rPr>
          <w:rFonts w:ascii="Calibri" w:hAnsi="Calibri" w:cs="Calibri"/>
        </w:rPr>
        <w:t>report had been finalized</w:t>
      </w:r>
      <w:r w:rsidR="00BC48D2">
        <w:rPr>
          <w:rFonts w:ascii="Calibri" w:hAnsi="Calibri" w:cs="Calibri"/>
        </w:rPr>
        <w:t>.  Accordingly, those comments are not included in</w:t>
      </w:r>
      <w:r w:rsidR="003F3BDB">
        <w:rPr>
          <w:rFonts w:ascii="Calibri" w:hAnsi="Calibri" w:cs="Calibri"/>
        </w:rPr>
        <w:t xml:space="preserve"> the</w:t>
      </w:r>
      <w:r w:rsidR="00BC48D2">
        <w:rPr>
          <w:rFonts w:ascii="Calibri" w:hAnsi="Calibri" w:cs="Calibri"/>
        </w:rPr>
        <w:t xml:space="preserve"> </w:t>
      </w:r>
      <w:r w:rsidR="00A4029A" w:rsidRPr="00DC1AF2">
        <w:rPr>
          <w:rFonts w:ascii="Calibri" w:hAnsi="Calibri" w:cs="Calibri"/>
        </w:rPr>
        <w:t>final report posted to the CAEECC website</w:t>
      </w:r>
      <w:r w:rsidR="00FD3CA8" w:rsidRPr="00DC1AF2">
        <w:rPr>
          <w:rFonts w:ascii="Calibri" w:hAnsi="Calibri" w:cs="Calibri"/>
        </w:rPr>
        <w:t>.</w:t>
      </w:r>
      <w:r w:rsidR="00EA5152">
        <w:rPr>
          <w:rStyle w:val="FootnoteReference"/>
          <w:rFonts w:ascii="Calibri" w:hAnsi="Calibri" w:cs="Calibri"/>
        </w:rPr>
        <w:footnoteReference w:id="5"/>
      </w:r>
    </w:p>
    <w:p w14:paraId="4FA669DB" w14:textId="77777777" w:rsidR="003563E7" w:rsidRPr="00DC1AF2" w:rsidRDefault="003563E7" w:rsidP="00DC1AF2">
      <w:pPr>
        <w:spacing w:line="276" w:lineRule="auto"/>
        <w:rPr>
          <w:rFonts w:ascii="Calibri" w:hAnsi="Calibri" w:cs="Calibri"/>
        </w:rPr>
      </w:pPr>
    </w:p>
    <w:p w14:paraId="3E37DBF0" w14:textId="77777777" w:rsidR="003563E7" w:rsidRPr="00DC1AF2" w:rsidRDefault="003563E7" w:rsidP="00DC1AF2">
      <w:pPr>
        <w:spacing w:line="276" w:lineRule="auto"/>
        <w:rPr>
          <w:rFonts w:ascii="Calibri" w:hAnsi="Calibri" w:cs="Calibri"/>
        </w:rPr>
      </w:pPr>
      <w:r w:rsidRPr="00DC1AF2">
        <w:rPr>
          <w:rFonts w:ascii="Calibri" w:hAnsi="Calibri" w:cs="Calibri"/>
          <w:b/>
          <w:bCs/>
        </w:rPr>
        <w:t>Key Findings</w:t>
      </w:r>
      <w:r w:rsidRPr="00DC1AF2">
        <w:rPr>
          <w:rFonts w:ascii="Calibri" w:hAnsi="Calibri" w:cs="Calibri"/>
        </w:rPr>
        <w:t>:</w:t>
      </w:r>
    </w:p>
    <w:p w14:paraId="7FFD56CF" w14:textId="76E12109" w:rsidR="003563E7" w:rsidRPr="00DC1AF2" w:rsidRDefault="003563E7" w:rsidP="00DC1AF2">
      <w:pPr>
        <w:pStyle w:val="ListParagraph"/>
        <w:numPr>
          <w:ilvl w:val="0"/>
          <w:numId w:val="2"/>
        </w:numPr>
        <w:spacing w:before="0" w:beforeAutospacing="0" w:after="0" w:afterAutospacing="0" w:line="276" w:lineRule="auto"/>
        <w:contextualSpacing/>
        <w:rPr>
          <w:rFonts w:ascii="Calibri" w:hAnsi="Calibri" w:cs="Calibri"/>
        </w:rPr>
      </w:pPr>
      <w:r w:rsidRPr="00DC1AF2">
        <w:rPr>
          <w:rFonts w:ascii="Calibri" w:hAnsi="Calibri" w:cs="Calibri"/>
        </w:rPr>
        <w:t xml:space="preserve">Overall, the statistical analyses </w:t>
      </w:r>
      <w:r w:rsidR="00505430" w:rsidRPr="00DC1AF2">
        <w:rPr>
          <w:rFonts w:ascii="Calibri" w:hAnsi="Calibri" w:cs="Calibri"/>
        </w:rPr>
        <w:t xml:space="preserve">(structured </w:t>
      </w:r>
      <w:r w:rsidRPr="00DC1AF2">
        <w:rPr>
          <w:rFonts w:ascii="Calibri" w:hAnsi="Calibri" w:cs="Calibri"/>
        </w:rPr>
        <w:t>by zip code</w:t>
      </w:r>
      <w:r w:rsidR="00505430" w:rsidRPr="00DC1AF2">
        <w:rPr>
          <w:rFonts w:ascii="Calibri" w:hAnsi="Calibri" w:cs="Calibri"/>
        </w:rPr>
        <w:t>)</w:t>
      </w:r>
      <w:r w:rsidRPr="00DC1AF2">
        <w:rPr>
          <w:rFonts w:ascii="Calibri" w:hAnsi="Calibri" w:cs="Calibri"/>
        </w:rPr>
        <w:t xml:space="preserve"> demonstrate that populations underserved by energy efficiency programs are within zip codes that have this array of characteristics: older housing stock, lower income residents, a higher proportion of renters, and a higher population of Native Americans. </w:t>
      </w:r>
    </w:p>
    <w:p w14:paraId="34F82E1F" w14:textId="0755D4EC" w:rsidR="003563E7" w:rsidRPr="00DC1AF2" w:rsidRDefault="003563E7" w:rsidP="00DC1AF2">
      <w:pPr>
        <w:pStyle w:val="ListParagraph"/>
        <w:numPr>
          <w:ilvl w:val="0"/>
          <w:numId w:val="2"/>
        </w:numPr>
        <w:spacing w:before="0" w:beforeAutospacing="0" w:after="0" w:afterAutospacing="0" w:line="276" w:lineRule="auto"/>
        <w:contextualSpacing/>
        <w:rPr>
          <w:rFonts w:ascii="Calibri" w:hAnsi="Calibri" w:cs="Calibri"/>
        </w:rPr>
      </w:pPr>
      <w:r w:rsidRPr="00DC1AF2">
        <w:rPr>
          <w:rFonts w:ascii="Calibri" w:hAnsi="Calibri" w:cs="Calibri"/>
        </w:rPr>
        <w:t xml:space="preserve">Results differ depending on the response variable and the method of analysis. A host of response variables were used </w:t>
      </w:r>
      <w:r w:rsidR="00A4029A" w:rsidRPr="00DC1AF2">
        <w:rPr>
          <w:rFonts w:ascii="Calibri" w:hAnsi="Calibri" w:cs="Calibri"/>
        </w:rPr>
        <w:t>to</w:t>
      </w:r>
      <w:r w:rsidRPr="00DC1AF2">
        <w:rPr>
          <w:rFonts w:ascii="Calibri" w:hAnsi="Calibri" w:cs="Calibri"/>
        </w:rPr>
        <w:t xml:space="preserve"> capture participation, energy savings, and dollar savings, and demonstrate the challenge of defining what “being served” by a program means</w:t>
      </w:r>
    </w:p>
    <w:p w14:paraId="300E3CE5" w14:textId="7D201366" w:rsidR="003563E7" w:rsidRPr="00DC1AF2" w:rsidRDefault="003563E7" w:rsidP="00DC1AF2">
      <w:pPr>
        <w:pStyle w:val="ListParagraph"/>
        <w:numPr>
          <w:ilvl w:val="1"/>
          <w:numId w:val="2"/>
        </w:numPr>
        <w:spacing w:before="0" w:beforeAutospacing="0" w:after="0" w:afterAutospacing="0" w:line="276" w:lineRule="auto"/>
        <w:contextualSpacing/>
        <w:rPr>
          <w:rFonts w:ascii="Calibri" w:hAnsi="Calibri" w:cs="Calibri"/>
        </w:rPr>
      </w:pPr>
      <w:r w:rsidRPr="00DC1AF2">
        <w:rPr>
          <w:rFonts w:ascii="Calibri" w:hAnsi="Calibri" w:cs="Calibri"/>
        </w:rPr>
        <w:t xml:space="preserve">The multivariate regression, for example, identified a few socioeconomic categories as </w:t>
      </w:r>
      <w:r w:rsidR="00505430" w:rsidRPr="00DC1AF2">
        <w:rPr>
          <w:rFonts w:ascii="Calibri" w:hAnsi="Calibri" w:cs="Calibri"/>
        </w:rPr>
        <w:t>useful</w:t>
      </w:r>
      <w:r w:rsidRPr="00DC1AF2">
        <w:rPr>
          <w:rFonts w:ascii="Calibri" w:hAnsi="Calibri" w:cs="Calibri"/>
        </w:rPr>
        <w:t xml:space="preserve"> indicator</w:t>
      </w:r>
      <w:r w:rsidR="00505430" w:rsidRPr="00DC1AF2">
        <w:rPr>
          <w:rFonts w:ascii="Calibri" w:hAnsi="Calibri" w:cs="Calibri"/>
        </w:rPr>
        <w:t>s</w:t>
      </w:r>
      <w:r w:rsidRPr="00DC1AF2">
        <w:rPr>
          <w:rFonts w:ascii="Calibri" w:hAnsi="Calibri" w:cs="Calibri"/>
        </w:rPr>
        <w:t xml:space="preserve"> of populations being served (including: residents under the poverty line, older housing, a higher population with a disability, a higher population with no healthcare, a higher population of Native Americans, and a higher renting population). </w:t>
      </w:r>
    </w:p>
    <w:p w14:paraId="2D42EAAB" w14:textId="77777777" w:rsidR="003563E7" w:rsidRPr="00DC1AF2" w:rsidRDefault="003563E7" w:rsidP="00DC1AF2">
      <w:pPr>
        <w:pStyle w:val="ListParagraph"/>
        <w:numPr>
          <w:ilvl w:val="1"/>
          <w:numId w:val="2"/>
        </w:numPr>
        <w:spacing w:before="0" w:beforeAutospacing="0" w:after="0" w:afterAutospacing="0" w:line="276" w:lineRule="auto"/>
        <w:contextualSpacing/>
        <w:rPr>
          <w:rFonts w:ascii="Calibri" w:hAnsi="Calibri" w:cs="Calibri"/>
        </w:rPr>
      </w:pPr>
      <w:r w:rsidRPr="00DC1AF2">
        <w:rPr>
          <w:rFonts w:ascii="Calibri" w:hAnsi="Calibri" w:cs="Calibri"/>
        </w:rPr>
        <w:t xml:space="preserve">The t-test results were statistically significant, indicating there is not an equal distribution of benefits among energy users in relation to their socioeconomic characteristics. </w:t>
      </w:r>
    </w:p>
    <w:p w14:paraId="7B3174EA" w14:textId="77777777" w:rsidR="003563E7" w:rsidRPr="00DC1AF2" w:rsidRDefault="003563E7" w:rsidP="00DC1AF2">
      <w:pPr>
        <w:spacing w:line="276" w:lineRule="auto"/>
        <w:rPr>
          <w:rFonts w:ascii="Calibri" w:hAnsi="Calibri" w:cs="Calibri"/>
        </w:rPr>
      </w:pPr>
    </w:p>
    <w:p w14:paraId="335F2A32" w14:textId="352997A1" w:rsidR="003563E7" w:rsidRPr="00DC1AF2" w:rsidRDefault="003563E7" w:rsidP="00DC1AF2">
      <w:pPr>
        <w:spacing w:line="276" w:lineRule="auto"/>
        <w:rPr>
          <w:rFonts w:ascii="Calibri" w:hAnsi="Calibri" w:cs="Calibri"/>
        </w:rPr>
      </w:pPr>
      <w:r w:rsidRPr="00DC1AF2">
        <w:rPr>
          <w:rFonts w:ascii="Calibri" w:hAnsi="Calibri" w:cs="Calibri"/>
          <w:b/>
          <w:bCs/>
        </w:rPr>
        <w:t>Challenges Posed by Data Limitations</w:t>
      </w:r>
      <w:r w:rsidR="00542446">
        <w:rPr>
          <w:rFonts w:ascii="Calibri" w:hAnsi="Calibri" w:cs="Calibri"/>
          <w:b/>
          <w:bCs/>
        </w:rPr>
        <w:t xml:space="preserve"> and Recommendations</w:t>
      </w:r>
      <w:r w:rsidRPr="00DC1AF2">
        <w:rPr>
          <w:rFonts w:ascii="Calibri" w:hAnsi="Calibri" w:cs="Calibri"/>
        </w:rPr>
        <w:t xml:space="preserve"> </w:t>
      </w:r>
    </w:p>
    <w:p w14:paraId="64E29D4C" w14:textId="77777777" w:rsidR="003563E7" w:rsidRPr="00DC1AF2" w:rsidRDefault="003563E7" w:rsidP="00DC1AF2">
      <w:pPr>
        <w:pStyle w:val="ListParagraph"/>
        <w:numPr>
          <w:ilvl w:val="0"/>
          <w:numId w:val="3"/>
        </w:numPr>
        <w:spacing w:before="0" w:beforeAutospacing="0" w:after="0" w:afterAutospacing="0" w:line="276" w:lineRule="auto"/>
        <w:contextualSpacing/>
        <w:rPr>
          <w:rFonts w:ascii="Calibri" w:hAnsi="Calibri" w:cs="Calibri"/>
        </w:rPr>
      </w:pPr>
      <w:r w:rsidRPr="00DC1AF2">
        <w:rPr>
          <w:rFonts w:ascii="Calibri" w:hAnsi="Calibri" w:cs="Calibri"/>
        </w:rPr>
        <w:t xml:space="preserve">The CEDARS database provided the claims data and program information </w:t>
      </w:r>
    </w:p>
    <w:p w14:paraId="3CD3724A" w14:textId="080B69A7" w:rsidR="00582A5B" w:rsidRPr="00DC1AF2" w:rsidRDefault="003563E7" w:rsidP="00582A5B">
      <w:pPr>
        <w:pStyle w:val="ListParagraph"/>
        <w:numPr>
          <w:ilvl w:val="0"/>
          <w:numId w:val="3"/>
        </w:numPr>
        <w:spacing w:before="0" w:beforeAutospacing="0" w:after="0" w:afterAutospacing="0" w:line="276" w:lineRule="auto"/>
        <w:contextualSpacing/>
        <w:rPr>
          <w:rFonts w:ascii="Calibri" w:hAnsi="Calibri" w:cs="Calibri"/>
        </w:rPr>
      </w:pPr>
      <w:r w:rsidRPr="00DC1AF2">
        <w:rPr>
          <w:rFonts w:ascii="Calibri" w:hAnsi="Calibri" w:cs="Calibri"/>
        </w:rPr>
        <w:t xml:space="preserve">The claims data details information about program administrator spending and resulting </w:t>
      </w:r>
      <w:proofErr w:type="gramStart"/>
      <w:r w:rsidRPr="00DC1AF2">
        <w:rPr>
          <w:rFonts w:ascii="Calibri" w:hAnsi="Calibri" w:cs="Calibri"/>
        </w:rPr>
        <w:t>savings, but</w:t>
      </w:r>
      <w:proofErr w:type="gramEnd"/>
      <w:r w:rsidRPr="00DC1AF2">
        <w:rPr>
          <w:rFonts w:ascii="Calibri" w:hAnsi="Calibri" w:cs="Calibri"/>
        </w:rPr>
        <w:t xml:space="preserve"> does not capture or report any information about</w:t>
      </w:r>
      <w:r w:rsidR="00BC48D2">
        <w:rPr>
          <w:rFonts w:ascii="Calibri" w:hAnsi="Calibri" w:cs="Calibri"/>
        </w:rPr>
        <w:t xml:space="preserve"> specific</w:t>
      </w:r>
      <w:r w:rsidRPr="00DC1AF2">
        <w:rPr>
          <w:rFonts w:ascii="Calibri" w:hAnsi="Calibri" w:cs="Calibri"/>
        </w:rPr>
        <w:t xml:space="preserve"> program participants</w:t>
      </w:r>
      <w:r w:rsidR="00551C27">
        <w:rPr>
          <w:rFonts w:ascii="Calibri" w:hAnsi="Calibri" w:cs="Calibri"/>
        </w:rPr>
        <w:t xml:space="preserve"> except their location at the zip code level</w:t>
      </w:r>
      <w:r w:rsidRPr="00DC1AF2">
        <w:rPr>
          <w:rFonts w:ascii="Calibri" w:hAnsi="Calibri" w:cs="Calibri"/>
        </w:rPr>
        <w:t>.</w:t>
      </w:r>
    </w:p>
    <w:p w14:paraId="3D1BF69D" w14:textId="1038BFB3" w:rsidR="00582A5B" w:rsidRPr="00DC1AF2" w:rsidRDefault="003563E7" w:rsidP="0008794A">
      <w:pPr>
        <w:pStyle w:val="ListParagraph"/>
        <w:numPr>
          <w:ilvl w:val="0"/>
          <w:numId w:val="3"/>
        </w:numPr>
        <w:spacing w:before="0" w:beforeAutospacing="0" w:after="0" w:afterAutospacing="0" w:line="276" w:lineRule="auto"/>
        <w:contextualSpacing/>
      </w:pPr>
      <w:r w:rsidRPr="0008794A">
        <w:rPr>
          <w:rFonts w:ascii="Calibri" w:hAnsi="Calibri" w:cs="Calibri"/>
        </w:rPr>
        <w:t xml:space="preserve">In considering potential strategies to better analyze the types of participants in residential energy efficiency programs, one approach would be for program administrators </w:t>
      </w:r>
      <w:r w:rsidR="00505430" w:rsidRPr="0008794A">
        <w:rPr>
          <w:rFonts w:ascii="Calibri" w:hAnsi="Calibri" w:cs="Calibri"/>
        </w:rPr>
        <w:t xml:space="preserve">to </w:t>
      </w:r>
      <w:r w:rsidRPr="0008794A">
        <w:rPr>
          <w:rFonts w:ascii="Calibri" w:hAnsi="Calibri" w:cs="Calibri"/>
        </w:rPr>
        <w:t>capture high level sociodemographic information and home energy usage information about program participants and report to CEDARS.</w:t>
      </w:r>
    </w:p>
    <w:p w14:paraId="62DBCE8A" w14:textId="4B9B7176" w:rsidR="003563E7" w:rsidRPr="0008794A" w:rsidRDefault="003563E7">
      <w:pPr>
        <w:pStyle w:val="ListParagraph"/>
        <w:numPr>
          <w:ilvl w:val="0"/>
          <w:numId w:val="3"/>
        </w:numPr>
        <w:spacing w:before="0" w:beforeAutospacing="0" w:after="0" w:afterAutospacing="0" w:line="276" w:lineRule="auto"/>
        <w:contextualSpacing/>
        <w:rPr>
          <w:rFonts w:ascii="Calibri" w:hAnsi="Calibri" w:cs="Calibri"/>
        </w:rPr>
      </w:pPr>
      <w:r w:rsidRPr="0008794A">
        <w:rPr>
          <w:rFonts w:ascii="Calibri" w:hAnsi="Calibri" w:cs="Calibri"/>
        </w:rPr>
        <w:t xml:space="preserve">The CEDARS database could be a stronger tool to support this analysis if it incorporated key indicators for populations the program is intended to target. For example, noting if a program is intended to target lower income participants or participants in older housing would be useful. </w:t>
      </w:r>
    </w:p>
    <w:p w14:paraId="29367D2D" w14:textId="2A6CEC95" w:rsidR="003563E7" w:rsidRPr="00DC1AF2" w:rsidRDefault="003563E7" w:rsidP="00DC1AF2">
      <w:pPr>
        <w:spacing w:line="276" w:lineRule="auto"/>
        <w:rPr>
          <w:rFonts w:ascii="Calibri" w:hAnsi="Calibri"/>
        </w:rPr>
      </w:pPr>
    </w:p>
    <w:p w14:paraId="02D199C8" w14:textId="56527D6B" w:rsidR="003563E7" w:rsidRPr="00DC1AF2" w:rsidRDefault="000E5C2C" w:rsidP="00DC1AF2">
      <w:pPr>
        <w:pStyle w:val="Heading2"/>
        <w:spacing w:line="276" w:lineRule="auto"/>
        <w:rPr>
          <w:rFonts w:ascii="Calibri" w:hAnsi="Calibri"/>
        </w:rPr>
      </w:pPr>
      <w:bookmarkStart w:id="11" w:name="_Toc80086030"/>
      <w:r>
        <w:rPr>
          <w:rFonts w:ascii="Calibri" w:hAnsi="Calibri"/>
        </w:rPr>
        <w:t xml:space="preserve">3.2 </w:t>
      </w:r>
      <w:r w:rsidR="003563E7" w:rsidRPr="00DC1AF2">
        <w:rPr>
          <w:rFonts w:ascii="Calibri" w:hAnsi="Calibri"/>
        </w:rPr>
        <w:t>Public Sector</w:t>
      </w:r>
      <w:bookmarkEnd w:id="11"/>
    </w:p>
    <w:p w14:paraId="3E053C7D" w14:textId="77777777" w:rsidR="003563E7" w:rsidRPr="00DC1AF2" w:rsidRDefault="003563E7" w:rsidP="00DC1AF2">
      <w:pPr>
        <w:spacing w:line="276" w:lineRule="auto"/>
        <w:rPr>
          <w:rFonts w:ascii="Calibri" w:hAnsi="Calibri" w:cs="Calibri"/>
        </w:rPr>
      </w:pPr>
      <w:r w:rsidRPr="00DC1AF2">
        <w:rPr>
          <w:rFonts w:ascii="Calibri" w:hAnsi="Calibri" w:cs="Calibri"/>
          <w:b/>
          <w:bCs/>
        </w:rPr>
        <w:t>Background</w:t>
      </w:r>
      <w:r w:rsidRPr="00DC1AF2">
        <w:rPr>
          <w:rFonts w:ascii="Calibri" w:hAnsi="Calibri" w:cs="Calibri"/>
        </w:rPr>
        <w:t>:</w:t>
      </w:r>
    </w:p>
    <w:p w14:paraId="69ED0ACE" w14:textId="33ADB3B8" w:rsidR="00A4029A" w:rsidRPr="00DC1AF2" w:rsidRDefault="00FD3CA8" w:rsidP="00DC1AF2">
      <w:pPr>
        <w:spacing w:line="276" w:lineRule="auto"/>
        <w:rPr>
          <w:rFonts w:ascii="Calibri" w:hAnsi="Calibri" w:cs="Calibri"/>
        </w:rPr>
      </w:pPr>
      <w:r w:rsidRPr="00DC1AF2">
        <w:rPr>
          <w:rFonts w:ascii="Calibri" w:hAnsi="Calibri" w:cs="Calibri"/>
        </w:rPr>
        <w:t>The analysis was l</w:t>
      </w:r>
      <w:r w:rsidR="00A4029A" w:rsidRPr="00DC1AF2">
        <w:rPr>
          <w:rFonts w:ascii="Calibri" w:hAnsi="Calibri" w:cs="Calibri"/>
        </w:rPr>
        <w:t xml:space="preserve">ed by Professor Ranjit </w:t>
      </w:r>
      <w:r w:rsidR="003F46E6" w:rsidRPr="00DC1AF2">
        <w:rPr>
          <w:rFonts w:ascii="Calibri" w:hAnsi="Calibri" w:cs="Calibri"/>
        </w:rPr>
        <w:t xml:space="preserve">Deshmukh </w:t>
      </w:r>
      <w:r w:rsidR="00A4029A" w:rsidRPr="00DC1AF2">
        <w:rPr>
          <w:rFonts w:ascii="Calibri" w:hAnsi="Calibri" w:cs="Calibri"/>
        </w:rPr>
        <w:t xml:space="preserve">at the University of </w:t>
      </w:r>
      <w:r w:rsidR="003F46E6" w:rsidRPr="00DC1AF2">
        <w:rPr>
          <w:rFonts w:ascii="Calibri" w:hAnsi="Calibri" w:cs="Calibri"/>
        </w:rPr>
        <w:t>California-Santa Barbara (UCSB)</w:t>
      </w:r>
      <w:r w:rsidR="00A4029A" w:rsidRPr="00DC1AF2">
        <w:rPr>
          <w:rFonts w:ascii="Calibri" w:hAnsi="Calibri" w:cs="Calibri"/>
        </w:rPr>
        <w:t xml:space="preserve"> with the following students: </w:t>
      </w:r>
      <w:r w:rsidR="003F46E6" w:rsidRPr="00DC1AF2">
        <w:rPr>
          <w:rFonts w:ascii="Calibri" w:hAnsi="Calibri" w:cs="Calibri"/>
        </w:rPr>
        <w:t xml:space="preserve">Michelle Le, Audrey Meiman, Austin Covey, </w:t>
      </w:r>
      <w:proofErr w:type="spellStart"/>
      <w:r w:rsidR="003F46E6" w:rsidRPr="00DC1AF2">
        <w:rPr>
          <w:rFonts w:ascii="Calibri" w:hAnsi="Calibri" w:cs="Calibri"/>
        </w:rPr>
        <w:t>Atherv</w:t>
      </w:r>
      <w:proofErr w:type="spellEnd"/>
      <w:r w:rsidR="003F46E6" w:rsidRPr="00DC1AF2">
        <w:rPr>
          <w:rFonts w:ascii="Calibri" w:hAnsi="Calibri" w:cs="Calibri"/>
        </w:rPr>
        <w:t xml:space="preserve"> </w:t>
      </w:r>
      <w:proofErr w:type="spellStart"/>
      <w:r w:rsidR="003F46E6" w:rsidRPr="00DC1AF2">
        <w:rPr>
          <w:rFonts w:ascii="Calibri" w:hAnsi="Calibri" w:cs="Calibri"/>
        </w:rPr>
        <w:t>Gole</w:t>
      </w:r>
      <w:proofErr w:type="spellEnd"/>
      <w:r w:rsidR="003F46E6" w:rsidRPr="00DC1AF2">
        <w:rPr>
          <w:rFonts w:ascii="Calibri" w:hAnsi="Calibri" w:cs="Calibri"/>
        </w:rPr>
        <w:t xml:space="preserve">, </w:t>
      </w:r>
      <w:r w:rsidR="003F46E6" w:rsidRPr="00DC1AF2">
        <w:rPr>
          <w:rFonts w:ascii="Calibri" w:hAnsi="Calibri" w:cs="Calibri"/>
        </w:rPr>
        <w:lastRenderedPageBreak/>
        <w:t>Measrainsey Meng, Nathaniel Villa, and Sydney Litvin</w:t>
      </w:r>
      <w:r w:rsidR="00A4029A" w:rsidRPr="00DC1AF2">
        <w:rPr>
          <w:rFonts w:ascii="Calibri" w:hAnsi="Calibri" w:cs="Calibri"/>
        </w:rPr>
        <w:t xml:space="preserve">. The analysis was completed and posted to the CAEECC website in </w:t>
      </w:r>
      <w:r w:rsidR="003F46E6" w:rsidRPr="00DC1AF2">
        <w:rPr>
          <w:rFonts w:ascii="Calibri" w:hAnsi="Calibri" w:cs="Calibri"/>
        </w:rPr>
        <w:t>July</w:t>
      </w:r>
      <w:r w:rsidR="00A4029A" w:rsidRPr="00DC1AF2">
        <w:rPr>
          <w:rFonts w:ascii="Calibri" w:hAnsi="Calibri" w:cs="Calibri"/>
        </w:rPr>
        <w:t xml:space="preserve"> 2021</w:t>
      </w:r>
      <w:r w:rsidR="00707AA1">
        <w:rPr>
          <w:rFonts w:ascii="Calibri" w:hAnsi="Calibri" w:cs="Calibri"/>
        </w:rPr>
        <w:t>.</w:t>
      </w:r>
    </w:p>
    <w:p w14:paraId="688FFD16" w14:textId="77777777" w:rsidR="003563E7" w:rsidRPr="00DC1AF2" w:rsidRDefault="003563E7" w:rsidP="00DC1AF2">
      <w:pPr>
        <w:spacing w:line="276" w:lineRule="auto"/>
        <w:rPr>
          <w:rFonts w:ascii="Calibri" w:hAnsi="Calibri" w:cs="Calibri"/>
        </w:rPr>
      </w:pPr>
    </w:p>
    <w:p w14:paraId="76ED1366" w14:textId="6BA08C86" w:rsidR="003563E7" w:rsidRPr="00DC1AF2" w:rsidRDefault="003563E7" w:rsidP="00DC1AF2">
      <w:pPr>
        <w:spacing w:line="276" w:lineRule="auto"/>
        <w:rPr>
          <w:rFonts w:ascii="Calibri" w:hAnsi="Calibri" w:cs="Calibri"/>
        </w:rPr>
      </w:pPr>
      <w:r w:rsidRPr="00DC1AF2">
        <w:rPr>
          <w:rFonts w:ascii="Calibri" w:hAnsi="Calibri" w:cs="Calibri"/>
          <w:b/>
          <w:bCs/>
        </w:rPr>
        <w:t>Key Findings</w:t>
      </w:r>
      <w:r w:rsidRPr="00DC1AF2">
        <w:rPr>
          <w:rFonts w:ascii="Calibri" w:hAnsi="Calibri" w:cs="Calibri"/>
        </w:rPr>
        <w:t>:</w:t>
      </w:r>
    </w:p>
    <w:p w14:paraId="0794D5A5" w14:textId="255C99C1" w:rsidR="0042589A" w:rsidRPr="00DC1AF2" w:rsidRDefault="003F3066" w:rsidP="00DC1AF2">
      <w:pPr>
        <w:pStyle w:val="ListParagraph"/>
        <w:numPr>
          <w:ilvl w:val="0"/>
          <w:numId w:val="11"/>
        </w:numPr>
        <w:autoSpaceDE w:val="0"/>
        <w:autoSpaceDN w:val="0"/>
        <w:adjustRightInd w:val="0"/>
        <w:spacing w:line="276" w:lineRule="auto"/>
        <w:rPr>
          <w:rFonts w:ascii="Calibri" w:eastAsiaTheme="minorHAnsi" w:hAnsi="Calibri" w:cs="Calibri"/>
        </w:rPr>
      </w:pPr>
      <w:r>
        <w:rPr>
          <w:rFonts w:ascii="Calibri" w:eastAsiaTheme="minorHAnsi" w:hAnsi="Calibri" w:cs="Calibri"/>
        </w:rPr>
        <w:t xml:space="preserve">For public sector </w:t>
      </w:r>
      <w:r w:rsidRPr="00DC1AF2">
        <w:rPr>
          <w:rFonts w:ascii="Calibri" w:eastAsiaTheme="minorHAnsi" w:hAnsi="Calibri" w:cs="Calibri"/>
        </w:rPr>
        <w:t xml:space="preserve">energy efficiency programs </w:t>
      </w:r>
      <w:r>
        <w:rPr>
          <w:rFonts w:ascii="Calibri" w:eastAsiaTheme="minorHAnsi" w:hAnsi="Calibri" w:cs="Calibri"/>
        </w:rPr>
        <w:t>targeted at local governments, r</w:t>
      </w:r>
      <w:r w:rsidR="0042589A" w:rsidRPr="00DC1AF2">
        <w:rPr>
          <w:rFonts w:ascii="Calibri" w:eastAsiaTheme="minorHAnsi" w:hAnsi="Calibri" w:cs="Calibri"/>
        </w:rPr>
        <w:t xml:space="preserve">urality plays an important role in determining participation in energy efficiency programs and the level of energy efficiency investments and energy savings. </w:t>
      </w:r>
      <w:r>
        <w:rPr>
          <w:rFonts w:ascii="Calibri" w:eastAsiaTheme="minorHAnsi" w:hAnsi="Calibri" w:cs="Calibri"/>
        </w:rPr>
        <w:t xml:space="preserve">Rurality was measured by the Index of Relative Rurality (IRR) for counties and rural-urban commuting area (RUCA) codes for cities. </w:t>
      </w:r>
      <w:r w:rsidR="0042589A" w:rsidRPr="00DC1AF2">
        <w:rPr>
          <w:rFonts w:ascii="Calibri" w:eastAsiaTheme="minorHAnsi" w:hAnsi="Calibri" w:cs="Calibri"/>
        </w:rPr>
        <w:t>Program participation in more rural counties and cities tend to have smaller investments and lower energy savings. These differences or “gaps” between rural and urban counties and cities could be due to a lack of resources, assets, or exposure to energy efficiency programs within more rural communities.</w:t>
      </w:r>
    </w:p>
    <w:p w14:paraId="2A3DBC25" w14:textId="6C834B71" w:rsidR="0042589A" w:rsidRPr="00DC1AF2" w:rsidRDefault="003F3066"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t xml:space="preserve">For </w:t>
      </w:r>
      <w:r>
        <w:rPr>
          <w:rFonts w:ascii="Calibri" w:eastAsiaTheme="minorHAnsi" w:hAnsi="Calibri" w:cs="Calibri"/>
        </w:rPr>
        <w:t xml:space="preserve">local government </w:t>
      </w:r>
      <w:r w:rsidRPr="00DC1AF2">
        <w:rPr>
          <w:rFonts w:ascii="Calibri" w:eastAsiaTheme="minorHAnsi" w:hAnsi="Calibri" w:cs="Calibri"/>
        </w:rPr>
        <w:t xml:space="preserve">programs </w:t>
      </w:r>
      <w:r>
        <w:rPr>
          <w:rFonts w:ascii="Calibri" w:eastAsiaTheme="minorHAnsi" w:hAnsi="Calibri" w:cs="Calibri"/>
        </w:rPr>
        <w:t>analyzed at the city-level</w:t>
      </w:r>
      <w:r w:rsidR="0042589A" w:rsidRPr="00DC1AF2">
        <w:rPr>
          <w:rFonts w:ascii="Calibri" w:eastAsiaTheme="minorHAnsi" w:hAnsi="Calibri" w:cs="Calibri"/>
        </w:rPr>
        <w:t>, utility support through on-bill financing and non-resource programs contribute to the drivers of investment and energy savings. For K-12 schools, school poverty proxy variables including the percentage of eligible students for a free and reduced meal plan and the percentage of Title 1 schools explain differences in investment and savings.</w:t>
      </w:r>
    </w:p>
    <w:p w14:paraId="25D24B84" w14:textId="78397B28" w:rsidR="007F3A45" w:rsidRPr="00DC1AF2" w:rsidRDefault="00DC1AF2"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t xml:space="preserve">Variables in the </w:t>
      </w:r>
      <w:r w:rsidR="003F3066">
        <w:rPr>
          <w:rFonts w:ascii="Calibri" w:eastAsiaTheme="minorHAnsi" w:hAnsi="Calibri" w:cs="Calibri"/>
        </w:rPr>
        <w:t>c</w:t>
      </w:r>
      <w:r w:rsidRPr="00DC1AF2">
        <w:rPr>
          <w:rFonts w:ascii="Calibri" w:eastAsiaTheme="minorHAnsi" w:hAnsi="Calibri" w:cs="Calibri"/>
        </w:rPr>
        <w:t>ounty data that were</w:t>
      </w:r>
      <w:r w:rsidR="007F3A45" w:rsidRPr="00DC1AF2">
        <w:rPr>
          <w:rFonts w:ascii="Calibri" w:eastAsiaTheme="minorHAnsi" w:hAnsi="Calibri" w:cs="Calibri"/>
        </w:rPr>
        <w:t xml:space="preserve"> significantly different include the percentage of Asian community as well as population and tax revenue (only for per capita budget). Counties with greater per capita energy efficiency program </w:t>
      </w:r>
      <w:r w:rsidR="003F3066">
        <w:rPr>
          <w:rFonts w:ascii="Calibri" w:eastAsiaTheme="minorHAnsi" w:hAnsi="Calibri" w:cs="Calibri"/>
        </w:rPr>
        <w:t xml:space="preserve">investment </w:t>
      </w:r>
      <w:r w:rsidR="007F3A45" w:rsidRPr="00DC1AF2">
        <w:rPr>
          <w:rFonts w:ascii="Calibri" w:eastAsiaTheme="minorHAnsi" w:hAnsi="Calibri" w:cs="Calibri"/>
        </w:rPr>
        <w:t>are larger in population and have greater tax revenues.</w:t>
      </w:r>
    </w:p>
    <w:p w14:paraId="4A15C197" w14:textId="77777777" w:rsidR="007F3A45" w:rsidRPr="00DC1AF2" w:rsidRDefault="007F3A45"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t>Differences in racial demographics were consistent between the two county-level program data -- county-level local government entities and K-12 schools -- but are opposite for the city-level program data. Exclusion of rural areas and the relative affluence of suburban areas classified as relatively rural in the city data may explain these differences. These discrepancies could also be a result of a lack of accurate information on city boundaries and demographics</w:t>
      </w:r>
    </w:p>
    <w:p w14:paraId="058DA2FD" w14:textId="5036A843" w:rsidR="007F3A45" w:rsidRPr="00DC1AF2" w:rsidRDefault="007F3A45"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t>For K-12 schools, in addition to the degree of rurality, the mean household income is also significantly different between the counties in the top and bottom quartiles of program</w:t>
      </w:r>
      <w:r w:rsidR="003F3066">
        <w:rPr>
          <w:rFonts w:ascii="Calibri" w:eastAsiaTheme="minorHAnsi" w:hAnsi="Calibri" w:cs="Calibri"/>
        </w:rPr>
        <w:t xml:space="preserve"> investments</w:t>
      </w:r>
      <w:r w:rsidRPr="00DC1AF2">
        <w:rPr>
          <w:rFonts w:ascii="Calibri" w:eastAsiaTheme="minorHAnsi" w:hAnsi="Calibri" w:cs="Calibri"/>
        </w:rPr>
        <w:t xml:space="preserve"> and energy savings, with the bottom quartile associated with a lower median household income for counties</w:t>
      </w:r>
      <w:r w:rsidR="00DC1AF2" w:rsidRPr="00DC1AF2">
        <w:rPr>
          <w:rFonts w:ascii="Calibri" w:eastAsiaTheme="minorHAnsi" w:hAnsi="Calibri" w:cs="Calibri"/>
        </w:rPr>
        <w:t xml:space="preserve">. </w:t>
      </w:r>
      <w:r w:rsidRPr="00DC1AF2">
        <w:rPr>
          <w:rFonts w:ascii="Calibri" w:eastAsiaTheme="minorHAnsi" w:hAnsi="Calibri" w:cs="Calibri"/>
        </w:rPr>
        <w:t>The bottom quartile of counties also has a lower proportion of the Black or African American and Asian communities and a greater proportion of the Native American community, likely reflecting their relative proportions in urban versus rural areas of the state.</w:t>
      </w:r>
    </w:p>
    <w:p w14:paraId="2FBCE3AD" w14:textId="786FE257" w:rsidR="003563E7" w:rsidRPr="00DC1AF2" w:rsidRDefault="003563E7" w:rsidP="00DC1AF2">
      <w:pPr>
        <w:spacing w:line="276" w:lineRule="auto"/>
        <w:rPr>
          <w:rFonts w:ascii="Calibri" w:hAnsi="Calibri"/>
        </w:rPr>
      </w:pPr>
    </w:p>
    <w:p w14:paraId="7862C960" w14:textId="09921563" w:rsidR="003563E7" w:rsidRPr="00DC1AF2" w:rsidRDefault="003563E7" w:rsidP="00DC1AF2">
      <w:pPr>
        <w:spacing w:line="276" w:lineRule="auto"/>
        <w:rPr>
          <w:rFonts w:ascii="Calibri" w:hAnsi="Calibri" w:cs="Calibri"/>
        </w:rPr>
      </w:pPr>
      <w:r w:rsidRPr="00DC1AF2">
        <w:rPr>
          <w:rFonts w:ascii="Calibri" w:hAnsi="Calibri" w:cs="Calibri"/>
          <w:b/>
          <w:bCs/>
        </w:rPr>
        <w:t>Challenges Posed by Data Limitations</w:t>
      </w:r>
      <w:r w:rsidRPr="00DC1AF2">
        <w:rPr>
          <w:rFonts w:ascii="Calibri" w:hAnsi="Calibri" w:cs="Calibri"/>
        </w:rPr>
        <w:t xml:space="preserve"> </w:t>
      </w:r>
    </w:p>
    <w:p w14:paraId="273CED21" w14:textId="1D83C31B" w:rsidR="007F3A45" w:rsidRPr="00DC1AF2" w:rsidRDefault="00DC1AF2"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lastRenderedPageBreak/>
        <w:t>Data focuses on</w:t>
      </w:r>
      <w:r w:rsidR="0042589A" w:rsidRPr="00DC1AF2">
        <w:rPr>
          <w:rFonts w:ascii="Calibri" w:eastAsiaTheme="minorHAnsi" w:hAnsi="Calibri" w:cs="Calibri"/>
        </w:rPr>
        <w:t xml:space="preserve"> program years 2017-2019, due to structural changes in how public utilities reported energy efficiency program information in the past. Thus</w:t>
      </w:r>
      <w:r w:rsidR="00707AA1">
        <w:rPr>
          <w:rFonts w:ascii="Calibri" w:eastAsiaTheme="minorHAnsi" w:hAnsi="Calibri" w:cs="Calibri"/>
        </w:rPr>
        <w:t>,</w:t>
      </w:r>
      <w:r w:rsidR="0042589A" w:rsidRPr="00DC1AF2">
        <w:rPr>
          <w:rFonts w:ascii="Calibri" w:eastAsiaTheme="minorHAnsi" w:hAnsi="Calibri" w:cs="Calibri"/>
        </w:rPr>
        <w:t xml:space="preserve"> the conclusions assume that past participation patterns are similar to those in 2017 - 2019.</w:t>
      </w:r>
    </w:p>
    <w:p w14:paraId="2ADA48FD" w14:textId="7F861275" w:rsidR="007F3A45" w:rsidRPr="00DC1AF2" w:rsidRDefault="000A74BD"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t xml:space="preserve">Some public sector entities have likely participated in programs classified as commercial instead of public sector. However, </w:t>
      </w:r>
      <w:r w:rsidR="007F3A45" w:rsidRPr="00DC1AF2">
        <w:rPr>
          <w:rFonts w:ascii="Calibri" w:eastAsiaTheme="minorHAnsi" w:hAnsi="Calibri" w:cs="Calibri"/>
        </w:rPr>
        <w:t>the research team was</w:t>
      </w:r>
      <w:r w:rsidRPr="00DC1AF2">
        <w:rPr>
          <w:rFonts w:ascii="Calibri" w:eastAsiaTheme="minorHAnsi" w:hAnsi="Calibri" w:cs="Calibri"/>
        </w:rPr>
        <w:t xml:space="preserve"> not able to identify those programs and separate information for public sector participants from the larger commercial programs. Therefore, </w:t>
      </w:r>
      <w:r w:rsidR="007F3A45" w:rsidRPr="00DC1AF2">
        <w:rPr>
          <w:rFonts w:ascii="Calibri" w:eastAsiaTheme="minorHAnsi" w:hAnsi="Calibri" w:cs="Calibri"/>
        </w:rPr>
        <w:t>commercial</w:t>
      </w:r>
      <w:r w:rsidRPr="00DC1AF2">
        <w:rPr>
          <w:rFonts w:ascii="Calibri" w:eastAsiaTheme="minorHAnsi" w:hAnsi="Calibri" w:cs="Calibri"/>
        </w:rPr>
        <w:t xml:space="preserve"> programs </w:t>
      </w:r>
      <w:r w:rsidR="007F3A45" w:rsidRPr="00DC1AF2">
        <w:rPr>
          <w:rFonts w:ascii="Calibri" w:eastAsiaTheme="minorHAnsi" w:hAnsi="Calibri" w:cs="Calibri"/>
        </w:rPr>
        <w:t>were not included and the scope was limited</w:t>
      </w:r>
      <w:r w:rsidRPr="00DC1AF2">
        <w:rPr>
          <w:rFonts w:ascii="Calibri" w:eastAsiaTheme="minorHAnsi" w:hAnsi="Calibri" w:cs="Calibri"/>
        </w:rPr>
        <w:t xml:space="preserve"> to programs that are strictly categorized as public sector</w:t>
      </w:r>
    </w:p>
    <w:p w14:paraId="76407903" w14:textId="084126B0" w:rsidR="007F3A45" w:rsidRPr="00DC1AF2" w:rsidRDefault="000A74BD"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t xml:space="preserve">To evaluate local government program participation at a finer spatial resolution, </w:t>
      </w:r>
      <w:r w:rsidR="007F3A45" w:rsidRPr="00DC1AF2">
        <w:rPr>
          <w:rFonts w:ascii="Calibri" w:eastAsiaTheme="minorHAnsi" w:hAnsi="Calibri" w:cs="Calibri"/>
        </w:rPr>
        <w:t>the research team</w:t>
      </w:r>
      <w:r w:rsidRPr="00DC1AF2">
        <w:rPr>
          <w:rFonts w:ascii="Calibri" w:eastAsiaTheme="minorHAnsi" w:hAnsi="Calibri" w:cs="Calibri"/>
        </w:rPr>
        <w:t xml:space="preserve"> analyzed the local government energy efficiency program data at the city-level. However, 244 out of 536 </w:t>
      </w:r>
      <w:r w:rsidR="007F3A45" w:rsidRPr="00DC1AF2">
        <w:rPr>
          <w:rFonts w:ascii="Calibri" w:eastAsiaTheme="minorHAnsi" w:hAnsi="Calibri" w:cs="Calibri"/>
        </w:rPr>
        <w:t xml:space="preserve">cities were omitted </w:t>
      </w:r>
      <w:r w:rsidRPr="00DC1AF2">
        <w:rPr>
          <w:rFonts w:ascii="Calibri" w:eastAsiaTheme="minorHAnsi" w:hAnsi="Calibri" w:cs="Calibri"/>
        </w:rPr>
        <w:t xml:space="preserve">from the regression dataset due to a lack of demographic and tax revenue data, which likely affected the results of </w:t>
      </w:r>
      <w:r w:rsidR="007F3A45" w:rsidRPr="00DC1AF2">
        <w:rPr>
          <w:rFonts w:ascii="Calibri" w:eastAsiaTheme="minorHAnsi" w:hAnsi="Calibri" w:cs="Calibri"/>
        </w:rPr>
        <w:t>the</w:t>
      </w:r>
      <w:r w:rsidRPr="00DC1AF2">
        <w:rPr>
          <w:rFonts w:ascii="Calibri" w:eastAsiaTheme="minorHAnsi" w:hAnsi="Calibri" w:cs="Calibri"/>
        </w:rPr>
        <w:t xml:space="preserve"> city-level analysis.</w:t>
      </w:r>
    </w:p>
    <w:p w14:paraId="0F79841E" w14:textId="20DA09FA" w:rsidR="003563E7" w:rsidRPr="00DC1AF2" w:rsidRDefault="007F3A45"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t>The</w:t>
      </w:r>
      <w:r w:rsidR="000A74BD" w:rsidRPr="00DC1AF2">
        <w:rPr>
          <w:rFonts w:ascii="Calibri" w:eastAsiaTheme="minorHAnsi" w:hAnsi="Calibri" w:cs="Calibri"/>
        </w:rPr>
        <w:t xml:space="preserve"> analysis shows only the strength and character of the relationship between certain variables to investment and energy savings. Additional surveys and interviews of participants and stakeholders, especially in underserved areas must be included in future research </w:t>
      </w:r>
      <w:r w:rsidRPr="00DC1AF2">
        <w:rPr>
          <w:rFonts w:ascii="Calibri" w:eastAsiaTheme="minorHAnsi" w:hAnsi="Calibri" w:cs="Calibri"/>
        </w:rPr>
        <w:t>to</w:t>
      </w:r>
      <w:r w:rsidR="000A74BD" w:rsidRPr="00DC1AF2">
        <w:rPr>
          <w:rFonts w:ascii="Calibri" w:eastAsiaTheme="minorHAnsi" w:hAnsi="Calibri" w:cs="Calibri"/>
        </w:rPr>
        <w:t xml:space="preserve"> fully understand the barriers preventing participation.</w:t>
      </w:r>
    </w:p>
    <w:p w14:paraId="4C298177" w14:textId="77777777" w:rsidR="000A74BD" w:rsidRPr="00DC1AF2" w:rsidRDefault="000A74BD" w:rsidP="00DC1AF2">
      <w:pPr>
        <w:spacing w:line="276" w:lineRule="auto"/>
        <w:rPr>
          <w:rFonts w:ascii="Calibri" w:hAnsi="Calibri"/>
        </w:rPr>
      </w:pPr>
    </w:p>
    <w:p w14:paraId="54915C3B" w14:textId="18DB228A" w:rsidR="003563E7" w:rsidRPr="00DC1AF2" w:rsidRDefault="000E5C2C" w:rsidP="00DC1AF2">
      <w:pPr>
        <w:pStyle w:val="Heading2"/>
        <w:spacing w:line="276" w:lineRule="auto"/>
        <w:rPr>
          <w:rFonts w:ascii="Calibri" w:hAnsi="Calibri"/>
        </w:rPr>
      </w:pPr>
      <w:bookmarkStart w:id="12" w:name="_Toc80086031"/>
      <w:r>
        <w:rPr>
          <w:rFonts w:ascii="Calibri" w:hAnsi="Calibri"/>
        </w:rPr>
        <w:t xml:space="preserve">3.3 </w:t>
      </w:r>
      <w:r w:rsidR="003563E7" w:rsidRPr="00DC1AF2">
        <w:rPr>
          <w:rFonts w:ascii="Calibri" w:hAnsi="Calibri"/>
        </w:rPr>
        <w:t>SMB Sector</w:t>
      </w:r>
      <w:bookmarkEnd w:id="12"/>
    </w:p>
    <w:p w14:paraId="678C1CAC" w14:textId="77777777" w:rsidR="003563E7" w:rsidRPr="00DC1AF2" w:rsidRDefault="003563E7" w:rsidP="00DC1AF2">
      <w:pPr>
        <w:spacing w:line="276" w:lineRule="auto"/>
        <w:rPr>
          <w:rFonts w:ascii="Calibri" w:hAnsi="Calibri" w:cs="Calibri"/>
        </w:rPr>
      </w:pPr>
      <w:r w:rsidRPr="00DC1AF2">
        <w:rPr>
          <w:rFonts w:ascii="Calibri" w:hAnsi="Calibri" w:cs="Calibri"/>
          <w:b/>
          <w:bCs/>
        </w:rPr>
        <w:t>Background</w:t>
      </w:r>
      <w:r w:rsidRPr="00DC1AF2">
        <w:rPr>
          <w:rFonts w:ascii="Calibri" w:hAnsi="Calibri" w:cs="Calibri"/>
        </w:rPr>
        <w:t>:</w:t>
      </w:r>
    </w:p>
    <w:p w14:paraId="6FD01B15" w14:textId="15C116AB" w:rsidR="00FD3CA8" w:rsidRPr="00DC1AF2" w:rsidRDefault="00FD3CA8" w:rsidP="00DC1AF2">
      <w:pPr>
        <w:spacing w:line="276" w:lineRule="auto"/>
        <w:rPr>
          <w:rFonts w:ascii="Calibri" w:hAnsi="Calibri"/>
        </w:rPr>
      </w:pPr>
      <w:r w:rsidRPr="00DC1AF2">
        <w:rPr>
          <w:rFonts w:ascii="Calibri" w:hAnsi="Calibri"/>
        </w:rPr>
        <w:t xml:space="preserve">The analysis was a joint effort of Green Energy Economics Group, Inc. (GEEG) representing the Small Business Utility Advocate (SBUA) and the University of California at Irvine (UC Irvine). The research was led by Theo Love (GEEG) and Professor Ed Coulson (UC Irvine), with students </w:t>
      </w:r>
      <w:r w:rsidR="000D7F47">
        <w:rPr>
          <w:rFonts w:ascii="Calibri" w:hAnsi="Calibri"/>
        </w:rPr>
        <w:t xml:space="preserve">Matteo </w:t>
      </w:r>
      <w:proofErr w:type="spellStart"/>
      <w:r w:rsidR="000D7F47">
        <w:rPr>
          <w:rFonts w:ascii="Calibri" w:hAnsi="Calibri"/>
        </w:rPr>
        <w:t>Zamparini</w:t>
      </w:r>
      <w:proofErr w:type="spellEnd"/>
      <w:r w:rsidR="000D7F47">
        <w:rPr>
          <w:rFonts w:ascii="Calibri" w:hAnsi="Calibri"/>
        </w:rPr>
        <w:t>,</w:t>
      </w:r>
      <w:r w:rsidR="000D7F47" w:rsidRPr="00DC1AF2">
        <w:rPr>
          <w:rFonts w:ascii="Calibri" w:hAnsi="Calibri"/>
        </w:rPr>
        <w:t xml:space="preserve"> </w:t>
      </w:r>
      <w:r w:rsidRPr="00DC1AF2">
        <w:rPr>
          <w:rFonts w:ascii="Calibri" w:hAnsi="Calibri"/>
        </w:rPr>
        <w:t>Linda Tan and Carmen Liang. The analysis was completed and posted to the CAEECC website in August 2021.</w:t>
      </w:r>
    </w:p>
    <w:p w14:paraId="0A2E16C2" w14:textId="77777777" w:rsidR="00FD3CA8" w:rsidRPr="00DC1AF2" w:rsidRDefault="00FD3CA8" w:rsidP="00DC1AF2">
      <w:pPr>
        <w:spacing w:line="276" w:lineRule="auto"/>
        <w:rPr>
          <w:rFonts w:ascii="Calibri" w:hAnsi="Calibri"/>
        </w:rPr>
      </w:pPr>
    </w:p>
    <w:p w14:paraId="39CAE830" w14:textId="65D9D267" w:rsidR="00FD3CA8" w:rsidRPr="00DC1AF2" w:rsidRDefault="00FD3CA8" w:rsidP="00DC1AF2">
      <w:pPr>
        <w:spacing w:line="276" w:lineRule="auto"/>
        <w:rPr>
          <w:rFonts w:ascii="Calibri" w:hAnsi="Calibri"/>
        </w:rPr>
      </w:pPr>
      <w:r w:rsidRPr="00DC1AF2">
        <w:rPr>
          <w:rFonts w:ascii="Calibri" w:hAnsi="Calibri"/>
        </w:rPr>
        <w:t>The data set contained over 270,000 energy efficiency project rebate claims from 2017 through 2019 for 71 programs from four IOUs across California</w:t>
      </w:r>
      <w:r w:rsidR="000D7F47">
        <w:rPr>
          <w:rFonts w:ascii="Calibri" w:hAnsi="Calibri"/>
        </w:rPr>
        <w:t xml:space="preserve"> specifically identified as targeting small and medium sized businesses</w:t>
      </w:r>
      <w:r w:rsidRPr="00DC1AF2">
        <w:rPr>
          <w:rFonts w:ascii="Calibri" w:hAnsi="Calibri"/>
        </w:rPr>
        <w:t>.</w:t>
      </w:r>
      <w:r w:rsidRPr="00DC1AF2">
        <w:rPr>
          <w:rStyle w:val="FootnoteReference"/>
          <w:rFonts w:ascii="Calibri" w:hAnsi="Calibri"/>
        </w:rPr>
        <w:footnoteReference w:id="6"/>
      </w:r>
      <w:r w:rsidRPr="00DC1AF2">
        <w:rPr>
          <w:rFonts w:ascii="Calibri" w:hAnsi="Calibri"/>
        </w:rPr>
        <w:t xml:space="preserve"> By combining the EE claims data set with publicly available data on business characteristics, demographics, rurality, and environmental and social justice factors, the research team was able to examine who was and was not benefiting from these energy efficiency programs. </w:t>
      </w:r>
      <w:r w:rsidR="00C5408C" w:rsidRPr="00DC1AF2">
        <w:rPr>
          <w:rFonts w:ascii="Calibri" w:hAnsi="Calibri"/>
        </w:rPr>
        <w:t>They</w:t>
      </w:r>
      <w:r w:rsidRPr="00DC1AF2">
        <w:rPr>
          <w:rFonts w:ascii="Calibri" w:hAnsi="Calibri"/>
        </w:rPr>
        <w:t xml:space="preserve"> specifically examined participation rates, savings, and investment (both in program dollars and customer contributions) in energy-saving technology as functions of variables that the WG identified as typically being underserved. </w:t>
      </w:r>
    </w:p>
    <w:p w14:paraId="577AE7B5" w14:textId="77777777" w:rsidR="003563E7" w:rsidRPr="00DC1AF2" w:rsidRDefault="003563E7" w:rsidP="00DC1AF2">
      <w:pPr>
        <w:spacing w:line="276" w:lineRule="auto"/>
        <w:rPr>
          <w:rFonts w:ascii="Calibri" w:hAnsi="Calibri" w:cs="Calibri"/>
        </w:rPr>
      </w:pPr>
    </w:p>
    <w:p w14:paraId="2117FC59" w14:textId="77777777" w:rsidR="003563E7" w:rsidRPr="00DC1AF2" w:rsidRDefault="003563E7" w:rsidP="00DC1AF2">
      <w:pPr>
        <w:spacing w:line="276" w:lineRule="auto"/>
        <w:rPr>
          <w:rFonts w:ascii="Calibri" w:hAnsi="Calibri" w:cs="Calibri"/>
        </w:rPr>
      </w:pPr>
      <w:r w:rsidRPr="00DC1AF2">
        <w:rPr>
          <w:rFonts w:ascii="Calibri" w:hAnsi="Calibri" w:cs="Calibri"/>
          <w:b/>
          <w:bCs/>
        </w:rPr>
        <w:lastRenderedPageBreak/>
        <w:t>Key Findings</w:t>
      </w:r>
      <w:r w:rsidRPr="00DC1AF2">
        <w:rPr>
          <w:rFonts w:ascii="Calibri" w:hAnsi="Calibri" w:cs="Calibri"/>
        </w:rPr>
        <w:t>:</w:t>
      </w:r>
    </w:p>
    <w:p w14:paraId="3B0674C6" w14:textId="77777777" w:rsidR="00C5408C" w:rsidRPr="00DC1AF2" w:rsidRDefault="00C5408C" w:rsidP="00DC1AF2">
      <w:pPr>
        <w:pStyle w:val="ListParagraph"/>
        <w:numPr>
          <w:ilvl w:val="0"/>
          <w:numId w:val="4"/>
        </w:numPr>
        <w:spacing w:line="276" w:lineRule="auto"/>
        <w:rPr>
          <w:rFonts w:ascii="Calibri" w:hAnsi="Calibri"/>
          <w:b/>
          <w:bCs/>
        </w:rPr>
      </w:pPr>
      <w:r w:rsidRPr="00DC1AF2">
        <w:rPr>
          <w:rFonts w:ascii="Calibri" w:hAnsi="Calibri"/>
          <w:b/>
          <w:bCs/>
        </w:rPr>
        <w:t>Firm Size and Other Factors Associated with Lower Utilization of EE Programs</w:t>
      </w:r>
    </w:p>
    <w:p w14:paraId="3038A3E5" w14:textId="11E1BC2D" w:rsidR="003563E7" w:rsidRPr="00DC1AF2" w:rsidRDefault="00C5408C" w:rsidP="00DC1AF2">
      <w:pPr>
        <w:pStyle w:val="ListParagraph"/>
        <w:numPr>
          <w:ilvl w:val="1"/>
          <w:numId w:val="4"/>
        </w:numPr>
        <w:spacing w:line="276" w:lineRule="auto"/>
        <w:rPr>
          <w:rFonts w:ascii="Calibri" w:hAnsi="Calibri" w:cs="Calibri"/>
        </w:rPr>
      </w:pPr>
      <w:r w:rsidRPr="00DC1AF2">
        <w:rPr>
          <w:rFonts w:ascii="Calibri" w:hAnsi="Calibri"/>
        </w:rPr>
        <w:t>F</w:t>
      </w:r>
      <w:r w:rsidR="00FD3CA8" w:rsidRPr="00DC1AF2">
        <w:rPr>
          <w:rFonts w:ascii="Calibri" w:hAnsi="Calibri"/>
        </w:rPr>
        <w:t>irm size, as measured by the number of employees, had the largest identifiable effect on participation, energy savings, and investment</w:t>
      </w:r>
    </w:p>
    <w:p w14:paraId="61ED4282" w14:textId="77777777" w:rsidR="00C5408C" w:rsidRPr="00DC1AF2" w:rsidRDefault="00C5408C" w:rsidP="00DC1AF2">
      <w:pPr>
        <w:pStyle w:val="ListParagraph"/>
        <w:numPr>
          <w:ilvl w:val="1"/>
          <w:numId w:val="4"/>
        </w:numPr>
        <w:spacing w:before="0" w:beforeAutospacing="0" w:after="240" w:afterAutospacing="0" w:line="276" w:lineRule="auto"/>
        <w:contextualSpacing/>
        <w:rPr>
          <w:rFonts w:ascii="Calibri" w:hAnsi="Calibri"/>
        </w:rPr>
      </w:pPr>
      <w:r w:rsidRPr="00DC1AF2">
        <w:rPr>
          <w:rFonts w:ascii="Calibri" w:hAnsi="Calibri"/>
        </w:rPr>
        <w:t xml:space="preserve">“Micro” firms that had less than 10 employees were associated with lower participation rates, saw less investment, and less savings, even after having controlled for multiple other variables. This finding is in line with the initial hypothesis for the existence of barriers to serving the smallest of business customers, including split incentives for landlords and tenants, difficulty paying up-front costs for undertaking energy efficiency investment, and the difficulty and cost associated with educating small businesses on EE opportunities. </w:t>
      </w:r>
    </w:p>
    <w:p w14:paraId="661D5B0D" w14:textId="77777777" w:rsidR="00C5408C" w:rsidRPr="00DC1AF2" w:rsidRDefault="00C5408C" w:rsidP="00DC1AF2">
      <w:pPr>
        <w:pStyle w:val="ListParagraph"/>
        <w:numPr>
          <w:ilvl w:val="1"/>
          <w:numId w:val="4"/>
        </w:numPr>
        <w:spacing w:before="0" w:beforeAutospacing="0" w:after="240" w:afterAutospacing="0" w:line="276" w:lineRule="auto"/>
        <w:contextualSpacing/>
        <w:rPr>
          <w:rFonts w:ascii="Calibri" w:hAnsi="Calibri"/>
        </w:rPr>
      </w:pPr>
      <w:r w:rsidRPr="00DC1AF2">
        <w:rPr>
          <w:rFonts w:ascii="Calibri" w:hAnsi="Calibri"/>
        </w:rPr>
        <w:t xml:space="preserve"> Communities with higher percentages of the population below the poverty line and more severe environmental issues, as identified under the CalEnviroScreen 3.0 (CES3.0) score) had lower participation. While these effects were small, they were statistically significant and show that communities in which environmental issues exist may lead to less participation by SMBs.</w:t>
      </w:r>
    </w:p>
    <w:p w14:paraId="717CF5C4" w14:textId="64E85CBA" w:rsidR="00C5408C" w:rsidRPr="00DC1AF2" w:rsidRDefault="00C5408C" w:rsidP="00DC1AF2">
      <w:pPr>
        <w:pStyle w:val="ListParagraph"/>
        <w:numPr>
          <w:ilvl w:val="1"/>
          <w:numId w:val="4"/>
        </w:numPr>
        <w:spacing w:line="276" w:lineRule="auto"/>
        <w:rPr>
          <w:rFonts w:ascii="Calibri" w:hAnsi="Calibri" w:cs="Calibri"/>
        </w:rPr>
      </w:pPr>
      <w:r w:rsidRPr="00DC1AF2">
        <w:rPr>
          <w:rFonts w:ascii="Calibri" w:hAnsi="Calibri"/>
        </w:rPr>
        <w:t>SMBs in ZIP Codes with higher portions of Native American populations and foreign- born populations have some small, but ultimately not statistically robust evidence, that they are underserved by energy efficiency programs</w:t>
      </w:r>
    </w:p>
    <w:p w14:paraId="4947F22E" w14:textId="77777777" w:rsidR="00C5408C" w:rsidRPr="00DC1AF2" w:rsidRDefault="00C5408C" w:rsidP="00DC1AF2">
      <w:pPr>
        <w:pStyle w:val="ListParagraph"/>
        <w:numPr>
          <w:ilvl w:val="0"/>
          <w:numId w:val="4"/>
        </w:numPr>
        <w:spacing w:line="276" w:lineRule="auto"/>
        <w:rPr>
          <w:rFonts w:ascii="Calibri" w:hAnsi="Calibri"/>
          <w:b/>
          <w:bCs/>
        </w:rPr>
      </w:pPr>
      <w:r w:rsidRPr="00DC1AF2">
        <w:rPr>
          <w:rFonts w:ascii="Calibri" w:hAnsi="Calibri"/>
          <w:b/>
          <w:bCs/>
        </w:rPr>
        <w:t>Factors Associated with Greater EE Program Utilization</w:t>
      </w:r>
    </w:p>
    <w:p w14:paraId="07F45F90" w14:textId="6B9A6A88" w:rsidR="003563E7" w:rsidRPr="00DC1AF2" w:rsidRDefault="00C5408C" w:rsidP="00DC1AF2">
      <w:pPr>
        <w:pStyle w:val="ListParagraph"/>
        <w:numPr>
          <w:ilvl w:val="1"/>
          <w:numId w:val="4"/>
        </w:numPr>
        <w:spacing w:line="276" w:lineRule="auto"/>
        <w:rPr>
          <w:rFonts w:ascii="Calibri" w:hAnsi="Calibri"/>
          <w:b/>
          <w:bCs/>
          <w:u w:val="single"/>
        </w:rPr>
      </w:pPr>
      <w:r w:rsidRPr="00DC1AF2">
        <w:rPr>
          <w:rFonts w:ascii="Calibri" w:hAnsi="Calibri"/>
        </w:rPr>
        <w:t xml:space="preserve">A ZIP Code with a greater number of large businesses had larger program uptake rates across all micro, small, and medium businesses. This seems to imply a spillover effect from larger businesses to smaller ones. </w:t>
      </w:r>
      <w:r w:rsidR="000D7F47">
        <w:rPr>
          <w:rFonts w:ascii="Calibri" w:hAnsi="Calibri"/>
        </w:rPr>
        <w:t>Even if larger businesses do not participate in EE programs, their presence may influence smaller businesses in the area to invest in building upgrades such as energy efficiency</w:t>
      </w:r>
      <w:r w:rsidR="000D7F47" w:rsidRPr="00DC1AF2">
        <w:rPr>
          <w:rFonts w:ascii="Calibri" w:hAnsi="Calibri"/>
        </w:rPr>
        <w:t xml:space="preserve">. It </w:t>
      </w:r>
      <w:proofErr w:type="spellStart"/>
      <w:r w:rsidRPr="00DC1AF2">
        <w:rPr>
          <w:rFonts w:ascii="Calibri" w:hAnsi="Calibri"/>
        </w:rPr>
        <w:t>It</w:t>
      </w:r>
      <w:proofErr w:type="spellEnd"/>
      <w:r w:rsidRPr="00DC1AF2">
        <w:rPr>
          <w:rFonts w:ascii="Calibri" w:hAnsi="Calibri"/>
        </w:rPr>
        <w:t xml:space="preserve"> also shows how communities of more exclusively small and micro business may be more insular and difficult to reach</w:t>
      </w:r>
    </w:p>
    <w:p w14:paraId="7C0AB169" w14:textId="37CE4CC3" w:rsidR="00C5408C" w:rsidRPr="00DC1AF2" w:rsidRDefault="009710F0" w:rsidP="00DC1AF2">
      <w:pPr>
        <w:pStyle w:val="ListParagraph"/>
        <w:numPr>
          <w:ilvl w:val="1"/>
          <w:numId w:val="4"/>
        </w:numPr>
        <w:spacing w:line="276" w:lineRule="auto"/>
        <w:rPr>
          <w:rFonts w:ascii="Calibri" w:hAnsi="Calibri"/>
          <w:b/>
          <w:bCs/>
          <w:u w:val="single"/>
        </w:rPr>
      </w:pPr>
      <w:r w:rsidRPr="00DC1AF2">
        <w:rPr>
          <w:rFonts w:ascii="Calibri" w:hAnsi="Calibri"/>
        </w:rPr>
        <w:t>Found</w:t>
      </w:r>
      <w:r w:rsidR="00C5408C" w:rsidRPr="00DC1AF2">
        <w:rPr>
          <w:rFonts w:ascii="Calibri" w:hAnsi="Calibri"/>
        </w:rPr>
        <w:t xml:space="preserve"> higher rates of participation, investment, and savings for a few variables that originally </w:t>
      </w:r>
      <w:r w:rsidR="00B317A4" w:rsidRPr="00DC1AF2">
        <w:rPr>
          <w:rFonts w:ascii="Calibri" w:hAnsi="Calibri"/>
        </w:rPr>
        <w:t xml:space="preserve">were </w:t>
      </w:r>
      <w:r w:rsidR="00C5408C" w:rsidRPr="00DC1AF2">
        <w:rPr>
          <w:rFonts w:ascii="Calibri" w:hAnsi="Calibri"/>
        </w:rPr>
        <w:t xml:space="preserve">hypothesized to be associated with lower participation and benefits. Among these were: The presence of larger Asian and Hispanic communities, as well as business density. This probably indicates that the efforts of SMB program administrators to reach some underserved groups were successful. However, without the greater context of full non-residential investment and savings potential, it is difficult to say whether these groups are still underserved or not. Ultimately, it may be that these specific programs have been somewhat successful at reaching some underserved communities, but not </w:t>
      </w:r>
      <w:r w:rsidR="00C5408C" w:rsidRPr="00DC1AF2">
        <w:rPr>
          <w:rFonts w:ascii="Calibri" w:hAnsi="Calibri"/>
        </w:rPr>
        <w:lastRenderedPageBreak/>
        <w:t>that these communities are receiving the full benefits that are technically or economically possible</w:t>
      </w:r>
    </w:p>
    <w:p w14:paraId="4EF2AED5" w14:textId="77777777" w:rsidR="00C5408C" w:rsidRPr="00DC1AF2" w:rsidRDefault="00C5408C" w:rsidP="00DC1AF2">
      <w:pPr>
        <w:pStyle w:val="ListParagraph"/>
        <w:numPr>
          <w:ilvl w:val="0"/>
          <w:numId w:val="4"/>
        </w:numPr>
        <w:spacing w:line="276" w:lineRule="auto"/>
        <w:rPr>
          <w:rFonts w:ascii="Calibri" w:hAnsi="Calibri"/>
          <w:b/>
          <w:bCs/>
        </w:rPr>
      </w:pPr>
      <w:r w:rsidRPr="00DC1AF2">
        <w:rPr>
          <w:rFonts w:ascii="Calibri" w:hAnsi="Calibri"/>
          <w:b/>
          <w:bCs/>
        </w:rPr>
        <w:t>Variables without any Observable Impact on Underserved Status</w:t>
      </w:r>
    </w:p>
    <w:p w14:paraId="4F2B65F1" w14:textId="6AD45E32" w:rsidR="00C5408C" w:rsidRPr="00DC1AF2" w:rsidRDefault="00C5408C" w:rsidP="00DC1AF2">
      <w:pPr>
        <w:pStyle w:val="ListParagraph"/>
        <w:numPr>
          <w:ilvl w:val="1"/>
          <w:numId w:val="4"/>
        </w:numPr>
        <w:spacing w:line="276" w:lineRule="auto"/>
        <w:rPr>
          <w:rFonts w:ascii="Calibri" w:hAnsi="Calibri"/>
        </w:rPr>
      </w:pPr>
      <w:r w:rsidRPr="00DC1AF2">
        <w:rPr>
          <w:rFonts w:ascii="Calibri" w:hAnsi="Calibri"/>
        </w:rPr>
        <w:t xml:space="preserve">Some of the variables suggested by the WG to have negative consequences for SMB energy efficiency take up did not have any statistically significant impact. The most prominent of these were the percentage of the population that was African American, and any measure of the rurality or remoteness of the area, including the Index of Relative Rurality.  </w:t>
      </w:r>
    </w:p>
    <w:p w14:paraId="4502C2D9" w14:textId="77777777" w:rsidR="003563E7" w:rsidRPr="00DC1AF2" w:rsidRDefault="003563E7" w:rsidP="00DC1AF2">
      <w:pPr>
        <w:spacing w:line="276" w:lineRule="auto"/>
        <w:rPr>
          <w:rFonts w:ascii="Calibri" w:hAnsi="Calibri" w:cs="Calibri"/>
        </w:rPr>
      </w:pPr>
      <w:r w:rsidRPr="00DC1AF2">
        <w:rPr>
          <w:rFonts w:ascii="Calibri" w:hAnsi="Calibri" w:cs="Calibri"/>
          <w:b/>
          <w:bCs/>
        </w:rPr>
        <w:t>Challenges Posed by Data Limitations</w:t>
      </w:r>
      <w:r w:rsidRPr="00DC1AF2">
        <w:rPr>
          <w:rFonts w:ascii="Calibri" w:hAnsi="Calibri" w:cs="Calibri"/>
        </w:rPr>
        <w:t xml:space="preserve"> </w:t>
      </w:r>
    </w:p>
    <w:p w14:paraId="257F077F" w14:textId="636FC4CE" w:rsidR="00C5408C" w:rsidRPr="00DC1AF2" w:rsidRDefault="00C5408C" w:rsidP="00DC1AF2">
      <w:pPr>
        <w:pStyle w:val="ListParagraph"/>
        <w:numPr>
          <w:ilvl w:val="0"/>
          <w:numId w:val="4"/>
        </w:numPr>
        <w:spacing w:before="0" w:beforeAutospacing="0" w:after="240" w:afterAutospacing="0" w:line="276" w:lineRule="auto"/>
        <w:contextualSpacing/>
        <w:rPr>
          <w:rFonts w:ascii="Calibri" w:hAnsi="Calibri"/>
        </w:rPr>
      </w:pPr>
      <w:r w:rsidRPr="00DC1AF2">
        <w:rPr>
          <w:rFonts w:ascii="Calibri" w:hAnsi="Calibri"/>
        </w:rPr>
        <w:t xml:space="preserve">Claim data was not linked to rate class in any usable way. While a rate class field exists in the California Energy Data and Reporting System (CEDARS), it was not used by most IOUs, and if it was used, was not based on any specific rules that </w:t>
      </w:r>
      <w:r w:rsidR="00B317A4" w:rsidRPr="00DC1AF2">
        <w:rPr>
          <w:rFonts w:ascii="Calibri" w:hAnsi="Calibri"/>
        </w:rPr>
        <w:t>the research team was</w:t>
      </w:r>
      <w:r w:rsidRPr="00DC1AF2">
        <w:rPr>
          <w:rFonts w:ascii="Calibri" w:hAnsi="Calibri"/>
        </w:rPr>
        <w:t xml:space="preserve"> able to determine. While other data fields exist to identify residential customers, there was no way to separate out different types of non-residential participation data, and so the analysis was based on a data set of programs associated with SMB customers, and not specifically associated with participation of existing SMB rate classes in all EE programs.</w:t>
      </w:r>
    </w:p>
    <w:p w14:paraId="096BA0D4" w14:textId="5DECE89C" w:rsidR="007B1863" w:rsidRPr="00DC1AF2" w:rsidRDefault="009710F0" w:rsidP="00DC1AF2">
      <w:pPr>
        <w:pStyle w:val="ListParagraph"/>
        <w:numPr>
          <w:ilvl w:val="0"/>
          <w:numId w:val="4"/>
        </w:numPr>
        <w:spacing w:before="0" w:beforeAutospacing="0" w:after="240" w:afterAutospacing="0" w:line="276" w:lineRule="auto"/>
        <w:contextualSpacing/>
        <w:rPr>
          <w:rFonts w:ascii="Calibri" w:hAnsi="Calibri"/>
        </w:rPr>
      </w:pPr>
      <w:r w:rsidRPr="00DC1AF2">
        <w:rPr>
          <w:rFonts w:ascii="Calibri" w:hAnsi="Calibri"/>
        </w:rPr>
        <w:t>The research team was</w:t>
      </w:r>
      <w:r w:rsidR="00C5408C" w:rsidRPr="00DC1AF2">
        <w:rPr>
          <w:rFonts w:ascii="Calibri" w:hAnsi="Calibri"/>
        </w:rPr>
        <w:t xml:space="preserve"> unable to obtain complete documentation for many of the fields in CEDARS</w:t>
      </w:r>
      <w:r w:rsidRPr="00DC1AF2">
        <w:rPr>
          <w:rFonts w:ascii="Calibri" w:hAnsi="Calibri"/>
        </w:rPr>
        <w:t>.</w:t>
      </w:r>
      <w:r w:rsidR="00C5408C" w:rsidRPr="00DC1AF2">
        <w:rPr>
          <w:rFonts w:ascii="Calibri" w:hAnsi="Calibri"/>
        </w:rPr>
        <w:t xml:space="preserve">  All inquiries to CAEECC members, and in data requests led back to a publicly available spreadsheet that provided a one or two sentence description, and another public document providing the list of possible values, but there was no documentation of the meaning behind possible values, and so often times </w:t>
      </w:r>
      <w:r w:rsidR="00B317A4" w:rsidRPr="00DC1AF2">
        <w:rPr>
          <w:rFonts w:ascii="Calibri" w:hAnsi="Calibri"/>
        </w:rPr>
        <w:t>the research team</w:t>
      </w:r>
      <w:r w:rsidR="00C5408C" w:rsidRPr="00DC1AF2">
        <w:rPr>
          <w:rFonts w:ascii="Calibri" w:hAnsi="Calibri"/>
        </w:rPr>
        <w:t xml:space="preserve"> relied on educated guesses in order to interpret some of the CEDARS data.</w:t>
      </w:r>
      <w:bookmarkStart w:id="13" w:name="_Toc63170054"/>
    </w:p>
    <w:p w14:paraId="21944D39" w14:textId="77777777" w:rsidR="00185966" w:rsidRDefault="00185966">
      <w:pPr>
        <w:rPr>
          <w:rFonts w:ascii="Calibri" w:eastAsiaTheme="majorEastAsia" w:hAnsi="Calibri" w:cs="Calibri"/>
          <w:color w:val="2F5496" w:themeColor="accent1" w:themeShade="BF"/>
          <w:sz w:val="32"/>
          <w:szCs w:val="32"/>
          <w:lang w:val="en"/>
        </w:rPr>
      </w:pPr>
      <w:r>
        <w:rPr>
          <w:rFonts w:ascii="Calibri" w:hAnsi="Calibri" w:cs="Calibri"/>
        </w:rPr>
        <w:br w:type="page"/>
      </w:r>
    </w:p>
    <w:p w14:paraId="3F78CDAC" w14:textId="1C00D8FE" w:rsidR="007B1863" w:rsidRDefault="007B1863" w:rsidP="00DC1AF2">
      <w:pPr>
        <w:pStyle w:val="Heading1"/>
        <w:ind w:firstLine="0"/>
        <w:rPr>
          <w:rFonts w:ascii="Calibri" w:hAnsi="Calibri" w:cs="Calibri"/>
        </w:rPr>
      </w:pPr>
      <w:bookmarkStart w:id="14" w:name="_Toc80086032"/>
      <w:r w:rsidRPr="00DC1AF2">
        <w:rPr>
          <w:rFonts w:ascii="Calibri" w:hAnsi="Calibri" w:cs="Calibri"/>
        </w:rPr>
        <w:lastRenderedPageBreak/>
        <w:t xml:space="preserve">Appendix A: </w:t>
      </w:r>
      <w:r w:rsidR="00EA6B12" w:rsidRPr="00DC1AF2">
        <w:rPr>
          <w:rFonts w:ascii="Calibri" w:hAnsi="Calibri" w:cs="Calibri"/>
        </w:rPr>
        <w:t>Underserved</w:t>
      </w:r>
      <w:r w:rsidRPr="00DC1AF2">
        <w:rPr>
          <w:rFonts w:ascii="Calibri" w:hAnsi="Calibri" w:cs="Calibri"/>
        </w:rPr>
        <w:t xml:space="preserve"> Work Group Member Organizations &amp; Representatives</w:t>
      </w:r>
      <w:bookmarkEnd w:id="13"/>
      <w:bookmarkEnd w:id="14"/>
    </w:p>
    <w:p w14:paraId="2E1C00A5" w14:textId="77777777" w:rsidR="00582A5B" w:rsidRDefault="00582A5B" w:rsidP="00582A5B">
      <w:pPr>
        <w:autoSpaceDE w:val="0"/>
        <w:autoSpaceDN w:val="0"/>
        <w:adjustRightInd w:val="0"/>
        <w:spacing w:line="276" w:lineRule="auto"/>
        <w:rPr>
          <w:rFonts w:ascii="Calibri" w:hAnsi="Calibri" w:cs="Calibri"/>
        </w:rPr>
      </w:pPr>
      <w:r w:rsidRPr="00DC1AF2">
        <w:rPr>
          <w:rFonts w:ascii="Calibri" w:hAnsi="Calibri" w:cs="Calibri"/>
        </w:rPr>
        <w:t>CAEECC Facilitators Dr. Scott McCreary and Meredith Cowart facilitated the first two WG meetings; Dr. Scott McCreary and Katie Abrams facilitated the final three full WG meetings and all sub-WG meetings</w:t>
      </w:r>
      <w:r>
        <w:rPr>
          <w:rFonts w:ascii="Calibri" w:hAnsi="Calibri" w:cs="Calibri"/>
        </w:rPr>
        <w:t xml:space="preserve"> and guided the interaction with the research teams leading to report completion</w:t>
      </w:r>
      <w:r w:rsidRPr="00DC1AF2">
        <w:rPr>
          <w:rFonts w:ascii="Calibri" w:hAnsi="Calibri" w:cs="Calibri"/>
        </w:rPr>
        <w:t xml:space="preserve">. </w:t>
      </w:r>
    </w:p>
    <w:p w14:paraId="0F5FF8F6" w14:textId="77777777" w:rsidR="00582A5B" w:rsidRPr="0008794A" w:rsidRDefault="00582A5B" w:rsidP="0008794A"/>
    <w:p w14:paraId="18771DE6" w14:textId="7A7467C7" w:rsidR="007B1863" w:rsidRPr="005E382A" w:rsidRDefault="005E382A" w:rsidP="00DC1AF2">
      <w:pPr>
        <w:spacing w:line="276" w:lineRule="auto"/>
        <w:rPr>
          <w:rFonts w:ascii="Calibri" w:hAnsi="Calibri" w:cs="Calibri"/>
        </w:rPr>
      </w:pPr>
      <w:r w:rsidRPr="005E382A">
        <w:rPr>
          <w:rFonts w:ascii="Calibri" w:hAnsi="Calibri" w:cs="Calibri"/>
        </w:rPr>
        <w:t xml:space="preserve">This table is organized by first WG members, then Researchers. </w:t>
      </w:r>
    </w:p>
    <w:tbl>
      <w:tblPr>
        <w:tblStyle w:val="GridTable4-Accent3"/>
        <w:tblW w:w="8240" w:type="dxa"/>
        <w:tblLook w:val="04A0" w:firstRow="1" w:lastRow="0" w:firstColumn="1" w:lastColumn="0" w:noHBand="0" w:noVBand="1"/>
      </w:tblPr>
      <w:tblGrid>
        <w:gridCol w:w="5240"/>
        <w:gridCol w:w="3000"/>
      </w:tblGrid>
      <w:tr w:rsidR="00BB7000" w:rsidRPr="00BB7000" w14:paraId="5029927E" w14:textId="77777777" w:rsidTr="00BB700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6D9DF0B" w14:textId="77777777" w:rsidR="00BB7000" w:rsidRPr="00BB7000" w:rsidRDefault="00BB7000" w:rsidP="00DC1AF2">
            <w:pPr>
              <w:spacing w:line="276" w:lineRule="auto"/>
              <w:rPr>
                <w:rFonts w:ascii="Calibri" w:eastAsia="Times New Roman" w:hAnsi="Calibri" w:cs="Times New Roman"/>
                <w:color w:val="000000"/>
              </w:rPr>
            </w:pPr>
            <w:r w:rsidRPr="00BB7000">
              <w:rPr>
                <w:rFonts w:ascii="Calibri" w:eastAsia="Times New Roman" w:hAnsi="Calibri" w:cs="Times New Roman"/>
                <w:color w:val="000000"/>
              </w:rPr>
              <w:t>Organization</w:t>
            </w:r>
          </w:p>
        </w:tc>
        <w:tc>
          <w:tcPr>
            <w:tcW w:w="3000" w:type="dxa"/>
            <w:noWrap/>
            <w:hideMark/>
          </w:tcPr>
          <w:p w14:paraId="0F4E76A0" w14:textId="77777777" w:rsidR="00BB7000" w:rsidRPr="00BB7000" w:rsidRDefault="00BB7000" w:rsidP="00DC1AF2">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WG Member</w:t>
            </w:r>
          </w:p>
        </w:tc>
      </w:tr>
      <w:tr w:rsidR="00BB7000" w:rsidRPr="00BB7000" w14:paraId="53681843"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5E5D8B8"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3C-REN</w:t>
            </w:r>
          </w:p>
        </w:tc>
        <w:tc>
          <w:tcPr>
            <w:tcW w:w="3000" w:type="dxa"/>
            <w:noWrap/>
            <w:hideMark/>
          </w:tcPr>
          <w:p w14:paraId="3DB7E8BB"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 xml:space="preserve">Jon </w:t>
            </w:r>
            <w:proofErr w:type="spellStart"/>
            <w:r w:rsidRPr="00BB7000">
              <w:rPr>
                <w:rFonts w:ascii="Calibri" w:eastAsia="Times New Roman" w:hAnsi="Calibri" w:cs="Times New Roman"/>
                <w:color w:val="000000"/>
              </w:rPr>
              <w:t>Griesser</w:t>
            </w:r>
            <w:proofErr w:type="spellEnd"/>
          </w:p>
        </w:tc>
      </w:tr>
      <w:tr w:rsidR="00BB7000" w:rsidRPr="00BB7000" w14:paraId="3BC5D87F"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B77A35F"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BayREN</w:t>
            </w:r>
          </w:p>
        </w:tc>
        <w:tc>
          <w:tcPr>
            <w:tcW w:w="3000" w:type="dxa"/>
            <w:noWrap/>
            <w:hideMark/>
          </w:tcPr>
          <w:p w14:paraId="17C355F8"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Jennifer Berg</w:t>
            </w:r>
          </w:p>
        </w:tc>
      </w:tr>
      <w:tr w:rsidR="00BB7000" w:rsidRPr="00BB7000" w14:paraId="5D666A9B"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00F4BF7"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BayREN</w:t>
            </w:r>
          </w:p>
        </w:tc>
        <w:tc>
          <w:tcPr>
            <w:tcW w:w="3000" w:type="dxa"/>
            <w:noWrap/>
            <w:hideMark/>
          </w:tcPr>
          <w:p w14:paraId="55E215AD"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Ann Kelly</w:t>
            </w:r>
          </w:p>
        </w:tc>
      </w:tr>
      <w:tr w:rsidR="00BB7000" w:rsidRPr="00BB7000" w14:paraId="60DEF9F2"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D14B791"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California Public Utilities Commission</w:t>
            </w:r>
          </w:p>
        </w:tc>
        <w:tc>
          <w:tcPr>
            <w:tcW w:w="3000" w:type="dxa"/>
            <w:noWrap/>
            <w:hideMark/>
          </w:tcPr>
          <w:p w14:paraId="5ED307CC"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Jordan Christenson</w:t>
            </w:r>
          </w:p>
        </w:tc>
      </w:tr>
      <w:tr w:rsidR="00BB7000" w:rsidRPr="00BB7000" w14:paraId="5DAB6E75"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52794C6"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CEC</w:t>
            </w:r>
          </w:p>
        </w:tc>
        <w:tc>
          <w:tcPr>
            <w:tcW w:w="3000" w:type="dxa"/>
            <w:noWrap/>
            <w:hideMark/>
          </w:tcPr>
          <w:p w14:paraId="3A83644B"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Brian Samuelson</w:t>
            </w:r>
          </w:p>
        </w:tc>
      </w:tr>
      <w:tr w:rsidR="00BB7000" w:rsidRPr="00BB7000" w14:paraId="75BB9C27"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4B956D9"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CEC</w:t>
            </w:r>
          </w:p>
        </w:tc>
        <w:tc>
          <w:tcPr>
            <w:tcW w:w="3000" w:type="dxa"/>
            <w:noWrap/>
            <w:hideMark/>
          </w:tcPr>
          <w:p w14:paraId="25457C3B"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Kristy Chew</w:t>
            </w:r>
          </w:p>
        </w:tc>
      </w:tr>
      <w:tr w:rsidR="00BB7000" w:rsidRPr="00BB7000" w14:paraId="65A62458"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9627144"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CodeCycle</w:t>
            </w:r>
          </w:p>
        </w:tc>
        <w:tc>
          <w:tcPr>
            <w:tcW w:w="3000" w:type="dxa"/>
            <w:noWrap/>
            <w:hideMark/>
          </w:tcPr>
          <w:p w14:paraId="10A0032A"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Dan Suyeyasu</w:t>
            </w:r>
          </w:p>
        </w:tc>
      </w:tr>
      <w:tr w:rsidR="00BB7000" w:rsidRPr="00BB7000" w14:paraId="507B9FD0"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1CD25C0"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Community Action Partnerships of Orange County</w:t>
            </w:r>
          </w:p>
        </w:tc>
        <w:tc>
          <w:tcPr>
            <w:tcW w:w="3000" w:type="dxa"/>
            <w:noWrap/>
            <w:hideMark/>
          </w:tcPr>
          <w:p w14:paraId="262E122A"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 xml:space="preserve">Christine </w:t>
            </w:r>
            <w:proofErr w:type="spellStart"/>
            <w:r w:rsidRPr="00BB7000">
              <w:rPr>
                <w:rFonts w:ascii="Calibri" w:eastAsia="Times New Roman" w:hAnsi="Calibri" w:cs="Times New Roman"/>
                <w:color w:val="000000"/>
              </w:rPr>
              <w:t>Baginski</w:t>
            </w:r>
            <w:proofErr w:type="spellEnd"/>
          </w:p>
        </w:tc>
      </w:tr>
      <w:tr w:rsidR="00BB7000" w:rsidRPr="00BB7000" w14:paraId="662E45B9"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1AEBE23"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County of Santa Barbara</w:t>
            </w:r>
          </w:p>
        </w:tc>
        <w:tc>
          <w:tcPr>
            <w:tcW w:w="3000" w:type="dxa"/>
            <w:noWrap/>
            <w:hideMark/>
          </w:tcPr>
          <w:p w14:paraId="17C11ACF"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Ashley Watkins</w:t>
            </w:r>
          </w:p>
        </w:tc>
      </w:tr>
      <w:tr w:rsidR="00BB7000" w:rsidRPr="00BB7000" w14:paraId="559F522D"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835B1D6"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County of Ventura</w:t>
            </w:r>
          </w:p>
        </w:tc>
        <w:tc>
          <w:tcPr>
            <w:tcW w:w="3000" w:type="dxa"/>
            <w:noWrap/>
            <w:hideMark/>
          </w:tcPr>
          <w:p w14:paraId="5EF41A3C"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Alejandra Tellez</w:t>
            </w:r>
          </w:p>
        </w:tc>
      </w:tr>
      <w:tr w:rsidR="00BB7000" w:rsidRPr="00BB7000" w14:paraId="4125BAE6"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C207524"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CPUC</w:t>
            </w:r>
          </w:p>
        </w:tc>
        <w:tc>
          <w:tcPr>
            <w:tcW w:w="3000" w:type="dxa"/>
            <w:noWrap/>
            <w:hideMark/>
          </w:tcPr>
          <w:p w14:paraId="643ADC63"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BB7000">
              <w:rPr>
                <w:rFonts w:ascii="Calibri" w:eastAsia="Times New Roman" w:hAnsi="Calibri" w:cs="Times New Roman"/>
                <w:color w:val="000000"/>
              </w:rPr>
              <w:t>Chri</w:t>
            </w:r>
            <w:proofErr w:type="spellEnd"/>
            <w:r w:rsidRPr="00BB7000">
              <w:rPr>
                <w:rFonts w:ascii="Calibri" w:eastAsia="Times New Roman" w:hAnsi="Calibri" w:cs="Times New Roman"/>
                <w:color w:val="000000"/>
              </w:rPr>
              <w:t xml:space="preserve"> Moore</w:t>
            </w:r>
          </w:p>
        </w:tc>
      </w:tr>
      <w:tr w:rsidR="00BB7000" w:rsidRPr="00BB7000" w14:paraId="69223AC5"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F7FE9D6"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CPUC</w:t>
            </w:r>
          </w:p>
        </w:tc>
        <w:tc>
          <w:tcPr>
            <w:tcW w:w="3000" w:type="dxa"/>
            <w:noWrap/>
            <w:hideMark/>
          </w:tcPr>
          <w:p w14:paraId="493AA03E"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Jordan Christenson</w:t>
            </w:r>
          </w:p>
        </w:tc>
      </w:tr>
      <w:tr w:rsidR="00BB7000" w:rsidRPr="00BB7000" w14:paraId="37C01F77"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1358602"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CPUC</w:t>
            </w:r>
          </w:p>
        </w:tc>
        <w:tc>
          <w:tcPr>
            <w:tcW w:w="3000" w:type="dxa"/>
            <w:noWrap/>
            <w:hideMark/>
          </w:tcPr>
          <w:p w14:paraId="5D62F0E3"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Kathleen Yip</w:t>
            </w:r>
          </w:p>
        </w:tc>
      </w:tr>
      <w:tr w:rsidR="00BB7000" w:rsidRPr="00BB7000" w14:paraId="5DA8318E"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083DA64"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Cybersecurity Youth Apprenticeship Initiative</w:t>
            </w:r>
          </w:p>
        </w:tc>
        <w:tc>
          <w:tcPr>
            <w:tcW w:w="3000" w:type="dxa"/>
            <w:noWrap/>
            <w:hideMark/>
          </w:tcPr>
          <w:p w14:paraId="3D5E1714"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Mark Ouellette</w:t>
            </w:r>
          </w:p>
        </w:tc>
      </w:tr>
      <w:tr w:rsidR="00BB7000" w:rsidRPr="00BB7000" w14:paraId="5949B13B"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88205E1"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Don Arambula alternate</w:t>
            </w:r>
          </w:p>
        </w:tc>
        <w:tc>
          <w:tcPr>
            <w:tcW w:w="3000" w:type="dxa"/>
            <w:noWrap/>
            <w:hideMark/>
          </w:tcPr>
          <w:p w14:paraId="4F2854CA"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Frank Spasaro</w:t>
            </w:r>
          </w:p>
        </w:tc>
      </w:tr>
      <w:tr w:rsidR="00BB7000" w:rsidRPr="00BB7000" w14:paraId="38DB89A2"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B211B31"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Ecology Action</w:t>
            </w:r>
          </w:p>
        </w:tc>
        <w:tc>
          <w:tcPr>
            <w:tcW w:w="3000" w:type="dxa"/>
            <w:noWrap/>
            <w:hideMark/>
          </w:tcPr>
          <w:p w14:paraId="401D232F"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Lore James</w:t>
            </w:r>
          </w:p>
        </w:tc>
      </w:tr>
      <w:tr w:rsidR="00BB7000" w:rsidRPr="00BB7000" w14:paraId="5967A5B2"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93BD13C"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Energy Infrastructure Partners</w:t>
            </w:r>
          </w:p>
        </w:tc>
        <w:tc>
          <w:tcPr>
            <w:tcW w:w="3000" w:type="dxa"/>
            <w:noWrap/>
            <w:hideMark/>
          </w:tcPr>
          <w:p w14:paraId="66D6CC47"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Renwick Paige</w:t>
            </w:r>
          </w:p>
        </w:tc>
      </w:tr>
      <w:tr w:rsidR="00BB7000" w:rsidRPr="00BB7000" w14:paraId="50BE3C8F"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84C78B3"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Enervee</w:t>
            </w:r>
          </w:p>
        </w:tc>
        <w:tc>
          <w:tcPr>
            <w:tcW w:w="3000" w:type="dxa"/>
            <w:noWrap/>
            <w:hideMark/>
          </w:tcPr>
          <w:p w14:paraId="28BF5F78"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Anne Arquit Niederberger</w:t>
            </w:r>
          </w:p>
        </w:tc>
      </w:tr>
      <w:tr w:rsidR="00BB7000" w:rsidRPr="00BB7000" w14:paraId="6B942256"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D261C1B"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Enervee</w:t>
            </w:r>
          </w:p>
        </w:tc>
        <w:tc>
          <w:tcPr>
            <w:tcW w:w="3000" w:type="dxa"/>
            <w:noWrap/>
            <w:hideMark/>
          </w:tcPr>
          <w:p w14:paraId="2A110FB3"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Jon Gordon</w:t>
            </w:r>
          </w:p>
        </w:tc>
      </w:tr>
      <w:tr w:rsidR="00BB7000" w:rsidRPr="00BB7000" w14:paraId="41CA8180"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CF6350E" w14:textId="77777777" w:rsidR="00BB7000" w:rsidRPr="00BB7000" w:rsidRDefault="00BB7000" w:rsidP="00DC1AF2">
            <w:pPr>
              <w:spacing w:line="276" w:lineRule="auto"/>
              <w:rPr>
                <w:rFonts w:ascii="Calibri" w:eastAsia="Times New Roman" w:hAnsi="Calibri" w:cs="Times New Roman"/>
                <w:b w:val="0"/>
                <w:bCs w:val="0"/>
                <w:color w:val="000000"/>
              </w:rPr>
            </w:pPr>
            <w:proofErr w:type="spellStart"/>
            <w:r w:rsidRPr="00BB7000">
              <w:rPr>
                <w:rFonts w:ascii="Calibri" w:eastAsia="Times New Roman" w:hAnsi="Calibri" w:cs="Times New Roman"/>
                <w:b w:val="0"/>
                <w:bCs w:val="0"/>
                <w:color w:val="000000"/>
              </w:rPr>
              <w:t>Enpowered</w:t>
            </w:r>
            <w:proofErr w:type="spellEnd"/>
          </w:p>
        </w:tc>
        <w:tc>
          <w:tcPr>
            <w:tcW w:w="3000" w:type="dxa"/>
            <w:noWrap/>
            <w:hideMark/>
          </w:tcPr>
          <w:p w14:paraId="7C5E1EA4"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Shea Dibble</w:t>
            </w:r>
          </w:p>
        </w:tc>
      </w:tr>
      <w:tr w:rsidR="00BB7000" w:rsidRPr="00BB7000" w14:paraId="3E5EF52C"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0D6D229"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Eureka City Schools</w:t>
            </w:r>
          </w:p>
        </w:tc>
        <w:tc>
          <w:tcPr>
            <w:tcW w:w="3000" w:type="dxa"/>
            <w:noWrap/>
            <w:hideMark/>
          </w:tcPr>
          <w:p w14:paraId="1C492D63"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Lou Jacobson</w:t>
            </w:r>
          </w:p>
        </w:tc>
      </w:tr>
      <w:tr w:rsidR="00BB7000" w:rsidRPr="00BB7000" w14:paraId="5699427F"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BF07A64"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Frontier Energy</w:t>
            </w:r>
          </w:p>
        </w:tc>
        <w:tc>
          <w:tcPr>
            <w:tcW w:w="3000" w:type="dxa"/>
            <w:noWrap/>
            <w:hideMark/>
          </w:tcPr>
          <w:p w14:paraId="33942D43"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Nancy Barba</w:t>
            </w:r>
          </w:p>
        </w:tc>
      </w:tr>
      <w:tr w:rsidR="00BB7000" w:rsidRPr="00BB7000" w14:paraId="3E0B9BE5"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098F633" w14:textId="77777777" w:rsidR="00BB7000" w:rsidRPr="00BB7000" w:rsidRDefault="00BB7000" w:rsidP="00DC1AF2">
            <w:pPr>
              <w:spacing w:line="276" w:lineRule="auto"/>
              <w:rPr>
                <w:rFonts w:ascii="Calibri" w:eastAsia="Times New Roman" w:hAnsi="Calibri" w:cs="Times New Roman"/>
                <w:b w:val="0"/>
                <w:bCs w:val="0"/>
                <w:color w:val="000000"/>
              </w:rPr>
            </w:pPr>
            <w:proofErr w:type="spellStart"/>
            <w:r w:rsidRPr="00BB7000">
              <w:rPr>
                <w:rFonts w:ascii="Calibri" w:eastAsia="Times New Roman" w:hAnsi="Calibri" w:cs="Times New Roman"/>
                <w:b w:val="0"/>
                <w:bCs w:val="0"/>
                <w:color w:val="000000"/>
              </w:rPr>
              <w:t>Galawish</w:t>
            </w:r>
            <w:proofErr w:type="spellEnd"/>
            <w:r w:rsidRPr="00BB7000">
              <w:rPr>
                <w:rFonts w:ascii="Calibri" w:eastAsia="Times New Roman" w:hAnsi="Calibri" w:cs="Times New Roman"/>
                <w:b w:val="0"/>
                <w:bCs w:val="0"/>
                <w:color w:val="000000"/>
              </w:rPr>
              <w:t xml:space="preserve"> Consulting &amp; Associates</w:t>
            </w:r>
          </w:p>
        </w:tc>
        <w:tc>
          <w:tcPr>
            <w:tcW w:w="3000" w:type="dxa"/>
            <w:noWrap/>
            <w:hideMark/>
          </w:tcPr>
          <w:p w14:paraId="1729EA3B"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BB7000">
              <w:rPr>
                <w:rFonts w:ascii="Calibri" w:eastAsia="Times New Roman" w:hAnsi="Calibri" w:cs="Times New Roman"/>
                <w:color w:val="000000"/>
              </w:rPr>
              <w:t>Elsia</w:t>
            </w:r>
            <w:proofErr w:type="spellEnd"/>
            <w:r w:rsidRPr="00BB7000">
              <w:rPr>
                <w:rFonts w:ascii="Calibri" w:eastAsia="Times New Roman" w:hAnsi="Calibri" w:cs="Times New Roman"/>
                <w:color w:val="000000"/>
              </w:rPr>
              <w:t xml:space="preserve"> </w:t>
            </w:r>
            <w:proofErr w:type="spellStart"/>
            <w:r w:rsidRPr="00BB7000">
              <w:rPr>
                <w:rFonts w:ascii="Calibri" w:eastAsia="Times New Roman" w:hAnsi="Calibri" w:cs="Times New Roman"/>
                <w:color w:val="000000"/>
              </w:rPr>
              <w:t>Galawish</w:t>
            </w:r>
            <w:proofErr w:type="spellEnd"/>
          </w:p>
        </w:tc>
      </w:tr>
      <w:tr w:rsidR="00BB7000" w:rsidRPr="00BB7000" w14:paraId="3626ACB5"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E687E73"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Gemini Energy Solutions, LLC</w:t>
            </w:r>
          </w:p>
        </w:tc>
        <w:tc>
          <w:tcPr>
            <w:tcW w:w="3000" w:type="dxa"/>
            <w:noWrap/>
            <w:hideMark/>
          </w:tcPr>
          <w:p w14:paraId="69C7EEF2"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Anthony Kinslow II, PhD</w:t>
            </w:r>
          </w:p>
        </w:tc>
      </w:tr>
      <w:tr w:rsidR="00BB7000" w:rsidRPr="00BB7000" w14:paraId="4038A631"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F99AA94"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Greenbank Associates</w:t>
            </w:r>
          </w:p>
        </w:tc>
        <w:tc>
          <w:tcPr>
            <w:tcW w:w="3000" w:type="dxa"/>
            <w:noWrap/>
            <w:hideMark/>
          </w:tcPr>
          <w:p w14:paraId="6531BD51"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Alice Sung</w:t>
            </w:r>
          </w:p>
        </w:tc>
      </w:tr>
      <w:tr w:rsidR="00BB7000" w:rsidRPr="00BB7000" w14:paraId="0FED4ABB"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84C7081"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ICF</w:t>
            </w:r>
          </w:p>
        </w:tc>
        <w:tc>
          <w:tcPr>
            <w:tcW w:w="3000" w:type="dxa"/>
            <w:noWrap/>
            <w:hideMark/>
          </w:tcPr>
          <w:p w14:paraId="0784E261"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Renee Rainey</w:t>
            </w:r>
          </w:p>
        </w:tc>
      </w:tr>
      <w:tr w:rsidR="00BB7000" w:rsidRPr="00BB7000" w14:paraId="0EB1C4BC"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D5890D9"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ICF</w:t>
            </w:r>
          </w:p>
        </w:tc>
        <w:tc>
          <w:tcPr>
            <w:tcW w:w="3000" w:type="dxa"/>
            <w:noWrap/>
            <w:hideMark/>
          </w:tcPr>
          <w:p w14:paraId="69B98F0D"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Brynn Holbrook</w:t>
            </w:r>
          </w:p>
        </w:tc>
      </w:tr>
      <w:tr w:rsidR="00BB7000" w:rsidRPr="00BB7000" w14:paraId="04901768"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4D5200F"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ICF</w:t>
            </w:r>
          </w:p>
        </w:tc>
        <w:tc>
          <w:tcPr>
            <w:tcW w:w="3000" w:type="dxa"/>
            <w:noWrap/>
            <w:hideMark/>
          </w:tcPr>
          <w:p w14:paraId="0F3BCF65"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 xml:space="preserve">Lorelei </w:t>
            </w:r>
            <w:proofErr w:type="spellStart"/>
            <w:r w:rsidRPr="00BB7000">
              <w:rPr>
                <w:rFonts w:ascii="Calibri" w:eastAsia="Times New Roman" w:hAnsi="Calibri" w:cs="Times New Roman"/>
                <w:color w:val="000000"/>
              </w:rPr>
              <w:t>Penera</w:t>
            </w:r>
            <w:proofErr w:type="spellEnd"/>
          </w:p>
        </w:tc>
      </w:tr>
      <w:tr w:rsidR="00BB7000" w:rsidRPr="00BB7000" w14:paraId="793B87F6"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6DEAFB9"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lastRenderedPageBreak/>
              <w:t>Lincus, Inc.</w:t>
            </w:r>
          </w:p>
        </w:tc>
        <w:tc>
          <w:tcPr>
            <w:tcW w:w="3000" w:type="dxa"/>
            <w:noWrap/>
            <w:hideMark/>
          </w:tcPr>
          <w:p w14:paraId="480815DD"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Cody Coeckelenbergh</w:t>
            </w:r>
          </w:p>
        </w:tc>
      </w:tr>
      <w:tr w:rsidR="00BB7000" w:rsidRPr="00BB7000" w14:paraId="06175ABE"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BDBEFE9"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MCE</w:t>
            </w:r>
          </w:p>
        </w:tc>
        <w:tc>
          <w:tcPr>
            <w:tcW w:w="3000" w:type="dxa"/>
            <w:noWrap/>
            <w:hideMark/>
          </w:tcPr>
          <w:p w14:paraId="3F8FAE1D"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Alice Havenar-Daughton</w:t>
            </w:r>
          </w:p>
        </w:tc>
      </w:tr>
      <w:tr w:rsidR="00BB7000" w:rsidRPr="00BB7000" w14:paraId="6D0C4092"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900D415" w14:textId="77777777" w:rsidR="00BB7000" w:rsidRPr="00BB7000" w:rsidRDefault="00BB7000" w:rsidP="00DC1AF2">
            <w:pPr>
              <w:spacing w:line="276" w:lineRule="auto"/>
              <w:rPr>
                <w:rFonts w:ascii="Calibri" w:eastAsia="Times New Roman" w:hAnsi="Calibri" w:cs="Times New Roman"/>
                <w:b w:val="0"/>
                <w:bCs w:val="0"/>
                <w:color w:val="000000"/>
              </w:rPr>
            </w:pPr>
            <w:proofErr w:type="spellStart"/>
            <w:r w:rsidRPr="00BB7000">
              <w:rPr>
                <w:rFonts w:ascii="Calibri" w:eastAsia="Times New Roman" w:hAnsi="Calibri" w:cs="Times New Roman"/>
                <w:b w:val="0"/>
                <w:bCs w:val="0"/>
                <w:color w:val="000000"/>
              </w:rPr>
              <w:t>Nexant</w:t>
            </w:r>
            <w:proofErr w:type="spellEnd"/>
          </w:p>
        </w:tc>
        <w:tc>
          <w:tcPr>
            <w:tcW w:w="3000" w:type="dxa"/>
            <w:noWrap/>
            <w:hideMark/>
          </w:tcPr>
          <w:p w14:paraId="3FD51826"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Kimberly Rodriguez</w:t>
            </w:r>
          </w:p>
        </w:tc>
      </w:tr>
      <w:tr w:rsidR="00BB7000" w:rsidRPr="00BB7000" w14:paraId="020C7D62"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A1607EB" w14:textId="77777777" w:rsidR="00BB7000" w:rsidRPr="00BB7000" w:rsidRDefault="00BB7000" w:rsidP="00DC1AF2">
            <w:pPr>
              <w:spacing w:line="276" w:lineRule="auto"/>
              <w:rPr>
                <w:rFonts w:ascii="Calibri" w:eastAsia="Times New Roman" w:hAnsi="Calibri" w:cs="Times New Roman"/>
                <w:b w:val="0"/>
                <w:bCs w:val="0"/>
                <w:color w:val="000000"/>
              </w:rPr>
            </w:pPr>
            <w:proofErr w:type="spellStart"/>
            <w:r w:rsidRPr="00BB7000">
              <w:rPr>
                <w:rFonts w:ascii="Calibri" w:eastAsia="Times New Roman" w:hAnsi="Calibri" w:cs="Times New Roman"/>
                <w:b w:val="0"/>
                <w:bCs w:val="0"/>
                <w:color w:val="000000"/>
              </w:rPr>
              <w:t>Nexant</w:t>
            </w:r>
            <w:proofErr w:type="spellEnd"/>
          </w:p>
        </w:tc>
        <w:tc>
          <w:tcPr>
            <w:tcW w:w="3000" w:type="dxa"/>
            <w:noWrap/>
            <w:hideMark/>
          </w:tcPr>
          <w:p w14:paraId="0A3A84FC"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Dan Sperber</w:t>
            </w:r>
          </w:p>
        </w:tc>
      </w:tr>
      <w:tr w:rsidR="00BB7000" w:rsidRPr="00BB7000" w14:paraId="3A02DB66"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432D72B"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NRDC</w:t>
            </w:r>
          </w:p>
        </w:tc>
        <w:tc>
          <w:tcPr>
            <w:tcW w:w="3000" w:type="dxa"/>
            <w:noWrap/>
            <w:hideMark/>
          </w:tcPr>
          <w:p w14:paraId="1D7559CD"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Mohit Chhabra</w:t>
            </w:r>
          </w:p>
        </w:tc>
      </w:tr>
      <w:tr w:rsidR="00BB7000" w:rsidRPr="00BB7000" w14:paraId="177C6FED"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AA7AE4D"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NRDC</w:t>
            </w:r>
          </w:p>
        </w:tc>
        <w:tc>
          <w:tcPr>
            <w:tcW w:w="3000" w:type="dxa"/>
            <w:noWrap/>
            <w:hideMark/>
          </w:tcPr>
          <w:p w14:paraId="2DD67613"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Lara Ettenson</w:t>
            </w:r>
          </w:p>
        </w:tc>
      </w:tr>
      <w:tr w:rsidR="00BB7000" w:rsidRPr="00BB7000" w14:paraId="2CB94680"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BDE9358"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Outthink</w:t>
            </w:r>
          </w:p>
        </w:tc>
        <w:tc>
          <w:tcPr>
            <w:tcW w:w="3000" w:type="dxa"/>
            <w:noWrap/>
            <w:hideMark/>
          </w:tcPr>
          <w:p w14:paraId="44C74BF1"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Brian Barnacle</w:t>
            </w:r>
          </w:p>
        </w:tc>
      </w:tr>
      <w:tr w:rsidR="00BB7000" w:rsidRPr="00BB7000" w14:paraId="31CCC726"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AD27032"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PG&amp;E</w:t>
            </w:r>
          </w:p>
        </w:tc>
        <w:tc>
          <w:tcPr>
            <w:tcW w:w="3000" w:type="dxa"/>
            <w:noWrap/>
            <w:hideMark/>
          </w:tcPr>
          <w:p w14:paraId="562703E2"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Roopa Reddy</w:t>
            </w:r>
          </w:p>
        </w:tc>
      </w:tr>
      <w:tr w:rsidR="00BB7000" w:rsidRPr="00BB7000" w14:paraId="567BF938"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800D2AD"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Public Advocates Office</w:t>
            </w:r>
          </w:p>
        </w:tc>
        <w:tc>
          <w:tcPr>
            <w:tcW w:w="3000" w:type="dxa"/>
            <w:noWrap/>
            <w:hideMark/>
          </w:tcPr>
          <w:p w14:paraId="729EF077"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Ashlyn Kong</w:t>
            </w:r>
          </w:p>
        </w:tc>
      </w:tr>
      <w:tr w:rsidR="00BB7000" w:rsidRPr="00BB7000" w14:paraId="7FBDFDDD"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D14BA13"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Redwood Coast Energy Authority</w:t>
            </w:r>
          </w:p>
        </w:tc>
        <w:tc>
          <w:tcPr>
            <w:tcW w:w="3000" w:type="dxa"/>
            <w:noWrap/>
            <w:hideMark/>
          </w:tcPr>
          <w:p w14:paraId="4F3357D9"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Stephen Kullmann</w:t>
            </w:r>
          </w:p>
        </w:tc>
      </w:tr>
      <w:tr w:rsidR="00BB7000" w:rsidRPr="00BB7000" w14:paraId="516CC70E"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6C105EA"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Redwood Coast Energy Authority</w:t>
            </w:r>
          </w:p>
        </w:tc>
        <w:tc>
          <w:tcPr>
            <w:tcW w:w="3000" w:type="dxa"/>
            <w:noWrap/>
            <w:hideMark/>
          </w:tcPr>
          <w:p w14:paraId="260CBAF3"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Patrick Owen</w:t>
            </w:r>
          </w:p>
        </w:tc>
      </w:tr>
      <w:tr w:rsidR="00BB7000" w:rsidRPr="00BB7000" w14:paraId="4063E16E"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51D4890"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Redwood Coast Energy Authority</w:t>
            </w:r>
          </w:p>
        </w:tc>
        <w:tc>
          <w:tcPr>
            <w:tcW w:w="3000" w:type="dxa"/>
            <w:noWrap/>
            <w:hideMark/>
          </w:tcPr>
          <w:p w14:paraId="5F75AC67"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Lou Jacobson</w:t>
            </w:r>
          </w:p>
        </w:tc>
      </w:tr>
      <w:tr w:rsidR="00BB7000" w:rsidRPr="00BB7000" w14:paraId="0FB77222"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2CC1605"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Redwood Coast Energy Authority</w:t>
            </w:r>
          </w:p>
        </w:tc>
        <w:tc>
          <w:tcPr>
            <w:tcW w:w="3000" w:type="dxa"/>
            <w:noWrap/>
            <w:hideMark/>
          </w:tcPr>
          <w:p w14:paraId="7A75AE95"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Aisha Cissna</w:t>
            </w:r>
          </w:p>
        </w:tc>
      </w:tr>
      <w:tr w:rsidR="00BB7000" w:rsidRPr="00BB7000" w14:paraId="5F9B25C4"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BA23A54"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Res-Intel</w:t>
            </w:r>
          </w:p>
        </w:tc>
        <w:tc>
          <w:tcPr>
            <w:tcW w:w="3000" w:type="dxa"/>
            <w:noWrap/>
            <w:hideMark/>
          </w:tcPr>
          <w:p w14:paraId="69A44FED"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Hal Nelson</w:t>
            </w:r>
          </w:p>
        </w:tc>
      </w:tr>
      <w:tr w:rsidR="00BB7000" w:rsidRPr="00BB7000" w14:paraId="241F28A9"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E04B4E8"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Resource Innovations</w:t>
            </w:r>
          </w:p>
        </w:tc>
        <w:tc>
          <w:tcPr>
            <w:tcW w:w="3000" w:type="dxa"/>
            <w:noWrap/>
            <w:hideMark/>
          </w:tcPr>
          <w:p w14:paraId="759D06EA"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Corey Grace</w:t>
            </w:r>
          </w:p>
        </w:tc>
      </w:tr>
      <w:tr w:rsidR="00BB7000" w:rsidRPr="00BB7000" w14:paraId="11802E68"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A67935D"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Resource Innovations</w:t>
            </w:r>
          </w:p>
        </w:tc>
        <w:tc>
          <w:tcPr>
            <w:tcW w:w="3000" w:type="dxa"/>
            <w:noWrap/>
            <w:hideMark/>
          </w:tcPr>
          <w:p w14:paraId="528D4AEC"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Margie Gardner</w:t>
            </w:r>
          </w:p>
        </w:tc>
      </w:tr>
      <w:tr w:rsidR="00BB7000" w:rsidRPr="00BB7000" w14:paraId="4EB0ABEA"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D810A1E"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Rising Sun Opportunities</w:t>
            </w:r>
          </w:p>
        </w:tc>
        <w:tc>
          <w:tcPr>
            <w:tcW w:w="3000" w:type="dxa"/>
            <w:noWrap/>
            <w:hideMark/>
          </w:tcPr>
          <w:p w14:paraId="5A6E25E5"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Julia Hatton</w:t>
            </w:r>
          </w:p>
        </w:tc>
      </w:tr>
      <w:tr w:rsidR="00BB7000" w:rsidRPr="00BB7000" w14:paraId="0F50F2BF"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AC01529"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SBUA</w:t>
            </w:r>
          </w:p>
        </w:tc>
        <w:tc>
          <w:tcPr>
            <w:tcW w:w="3000" w:type="dxa"/>
            <w:noWrap/>
            <w:hideMark/>
          </w:tcPr>
          <w:p w14:paraId="65F8A7F9"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Ted Howard</w:t>
            </w:r>
          </w:p>
        </w:tc>
      </w:tr>
      <w:tr w:rsidR="00BB7000" w:rsidRPr="00BB7000" w14:paraId="372FE5C6"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F7D4375"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SCE</w:t>
            </w:r>
          </w:p>
        </w:tc>
        <w:tc>
          <w:tcPr>
            <w:tcW w:w="3000" w:type="dxa"/>
            <w:noWrap/>
            <w:hideMark/>
          </w:tcPr>
          <w:p w14:paraId="7391B093"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Christopher Malotte</w:t>
            </w:r>
          </w:p>
        </w:tc>
      </w:tr>
      <w:tr w:rsidR="00BB7000" w:rsidRPr="00BB7000" w14:paraId="19A30343"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38EA5D6"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SCE</w:t>
            </w:r>
          </w:p>
        </w:tc>
        <w:tc>
          <w:tcPr>
            <w:tcW w:w="3000" w:type="dxa"/>
            <w:noWrap/>
            <w:hideMark/>
          </w:tcPr>
          <w:p w14:paraId="527CD277"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Brandon Sanders</w:t>
            </w:r>
          </w:p>
        </w:tc>
      </w:tr>
      <w:tr w:rsidR="00BB7000" w:rsidRPr="00BB7000" w14:paraId="0B52C488"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DC0E7A0"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SCE</w:t>
            </w:r>
          </w:p>
        </w:tc>
        <w:tc>
          <w:tcPr>
            <w:tcW w:w="3000" w:type="dxa"/>
            <w:noWrap/>
            <w:hideMark/>
          </w:tcPr>
          <w:p w14:paraId="0C82A724"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Carol Edwards</w:t>
            </w:r>
          </w:p>
        </w:tc>
      </w:tr>
      <w:tr w:rsidR="00BB7000" w:rsidRPr="00BB7000" w14:paraId="387C1003"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14A4E95"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SCE</w:t>
            </w:r>
          </w:p>
        </w:tc>
        <w:tc>
          <w:tcPr>
            <w:tcW w:w="3000" w:type="dxa"/>
            <w:noWrap/>
            <w:hideMark/>
          </w:tcPr>
          <w:p w14:paraId="1AB54DF2"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Pei-Chi Chou</w:t>
            </w:r>
          </w:p>
        </w:tc>
      </w:tr>
      <w:tr w:rsidR="00BB7000" w:rsidRPr="00BB7000" w14:paraId="416835A5"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9FDB43C"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SDG&amp;E</w:t>
            </w:r>
          </w:p>
        </w:tc>
        <w:tc>
          <w:tcPr>
            <w:tcW w:w="3000" w:type="dxa"/>
            <w:noWrap/>
            <w:hideMark/>
          </w:tcPr>
          <w:p w14:paraId="04F83725"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Doug White</w:t>
            </w:r>
          </w:p>
        </w:tc>
      </w:tr>
      <w:tr w:rsidR="00BB7000" w:rsidRPr="00BB7000" w14:paraId="0F2919A3"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5DEE56A"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Sierra Business Council</w:t>
            </w:r>
          </w:p>
        </w:tc>
        <w:tc>
          <w:tcPr>
            <w:tcW w:w="3000" w:type="dxa"/>
            <w:noWrap/>
            <w:hideMark/>
          </w:tcPr>
          <w:p w14:paraId="6313F19E"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Kerri Timmer</w:t>
            </w:r>
          </w:p>
        </w:tc>
      </w:tr>
      <w:tr w:rsidR="00BB7000" w:rsidRPr="00BB7000" w14:paraId="3187D764"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6C93085"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Sierra Business Council</w:t>
            </w:r>
          </w:p>
        </w:tc>
        <w:tc>
          <w:tcPr>
            <w:tcW w:w="3000" w:type="dxa"/>
            <w:noWrap/>
            <w:hideMark/>
          </w:tcPr>
          <w:p w14:paraId="5F5741E5"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 xml:space="preserve">John </w:t>
            </w:r>
            <w:proofErr w:type="spellStart"/>
            <w:r w:rsidRPr="00BB7000">
              <w:rPr>
                <w:rFonts w:ascii="Calibri" w:eastAsia="Times New Roman" w:hAnsi="Calibri" w:cs="Times New Roman"/>
                <w:color w:val="000000"/>
              </w:rPr>
              <w:t>Plaggmier</w:t>
            </w:r>
            <w:proofErr w:type="spellEnd"/>
          </w:p>
        </w:tc>
      </w:tr>
      <w:tr w:rsidR="00BB7000" w:rsidRPr="00BB7000" w14:paraId="44CE9D53"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35EF211"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Silent Running</w:t>
            </w:r>
          </w:p>
        </w:tc>
        <w:tc>
          <w:tcPr>
            <w:tcW w:w="3000" w:type="dxa"/>
            <w:noWrap/>
            <w:hideMark/>
          </w:tcPr>
          <w:p w14:paraId="2C794EBE"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James Dodenhoff</w:t>
            </w:r>
          </w:p>
        </w:tc>
      </w:tr>
      <w:tr w:rsidR="00BB7000" w:rsidRPr="00BB7000" w14:paraId="3061F0B1"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5764BE0"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SJVCEO</w:t>
            </w:r>
          </w:p>
        </w:tc>
        <w:tc>
          <w:tcPr>
            <w:tcW w:w="3000" w:type="dxa"/>
            <w:noWrap/>
            <w:hideMark/>
          </w:tcPr>
          <w:p w14:paraId="6649983B"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Courtney Kalashian</w:t>
            </w:r>
          </w:p>
        </w:tc>
      </w:tr>
      <w:tr w:rsidR="00BB7000" w:rsidRPr="00BB7000" w14:paraId="198A7E0B"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85B874D"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SoCalGas</w:t>
            </w:r>
          </w:p>
        </w:tc>
        <w:tc>
          <w:tcPr>
            <w:tcW w:w="3000" w:type="dxa"/>
            <w:noWrap/>
            <w:hideMark/>
          </w:tcPr>
          <w:p w14:paraId="2A625603"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Erin Brooks</w:t>
            </w:r>
          </w:p>
        </w:tc>
      </w:tr>
      <w:tr w:rsidR="00BB7000" w:rsidRPr="00BB7000" w14:paraId="054FFF74"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1123460"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SoCalGas</w:t>
            </w:r>
          </w:p>
        </w:tc>
        <w:tc>
          <w:tcPr>
            <w:tcW w:w="3000" w:type="dxa"/>
            <w:noWrap/>
            <w:hideMark/>
          </w:tcPr>
          <w:p w14:paraId="6270328C"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Benjamin Piiru</w:t>
            </w:r>
          </w:p>
        </w:tc>
      </w:tr>
      <w:tr w:rsidR="00BB7000" w:rsidRPr="00BB7000" w14:paraId="623D2F1F"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907A967"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 xml:space="preserve">SoCalGas </w:t>
            </w:r>
          </w:p>
        </w:tc>
        <w:tc>
          <w:tcPr>
            <w:tcW w:w="3000" w:type="dxa"/>
            <w:noWrap/>
            <w:hideMark/>
          </w:tcPr>
          <w:p w14:paraId="65FAD152"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Erin Brooks</w:t>
            </w:r>
          </w:p>
        </w:tc>
      </w:tr>
      <w:tr w:rsidR="00BB7000" w:rsidRPr="00BB7000" w14:paraId="7562D945"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045AD86"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SoCalREN</w:t>
            </w:r>
          </w:p>
        </w:tc>
        <w:tc>
          <w:tcPr>
            <w:tcW w:w="3000" w:type="dxa"/>
            <w:noWrap/>
            <w:hideMark/>
          </w:tcPr>
          <w:p w14:paraId="6C1ED1C8"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Lujuana Medina</w:t>
            </w:r>
          </w:p>
        </w:tc>
      </w:tr>
      <w:tr w:rsidR="00BB7000" w:rsidRPr="00BB7000" w14:paraId="6D3840AB"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C361065"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State Treasurer's Office</w:t>
            </w:r>
          </w:p>
        </w:tc>
        <w:tc>
          <w:tcPr>
            <w:tcW w:w="3000" w:type="dxa"/>
            <w:noWrap/>
            <w:hideMark/>
          </w:tcPr>
          <w:p w14:paraId="711FD4EB"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Kaylee D'Amico</w:t>
            </w:r>
          </w:p>
        </w:tc>
      </w:tr>
      <w:tr w:rsidR="00BB7000" w:rsidRPr="00BB7000" w14:paraId="3388D506"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215BF5B" w14:textId="77777777" w:rsidR="00BB7000" w:rsidRPr="00BB7000" w:rsidRDefault="00BB7000" w:rsidP="00DC1AF2">
            <w:pPr>
              <w:spacing w:line="276" w:lineRule="auto"/>
              <w:rPr>
                <w:rFonts w:ascii="Calibri" w:eastAsia="Times New Roman" w:hAnsi="Calibri" w:cs="Times New Roman"/>
                <w:b w:val="0"/>
                <w:bCs w:val="0"/>
                <w:color w:val="000000"/>
              </w:rPr>
            </w:pPr>
            <w:proofErr w:type="spellStart"/>
            <w:r w:rsidRPr="00BB7000">
              <w:rPr>
                <w:rFonts w:ascii="Calibri" w:eastAsia="Times New Roman" w:hAnsi="Calibri" w:cs="Times New Roman"/>
                <w:b w:val="0"/>
                <w:bCs w:val="0"/>
                <w:color w:val="000000"/>
              </w:rPr>
              <w:t>StatWizards</w:t>
            </w:r>
            <w:proofErr w:type="spellEnd"/>
          </w:p>
        </w:tc>
        <w:tc>
          <w:tcPr>
            <w:tcW w:w="3000" w:type="dxa"/>
            <w:noWrap/>
            <w:hideMark/>
          </w:tcPr>
          <w:p w14:paraId="375ADACE"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Caroline Chen</w:t>
            </w:r>
          </w:p>
        </w:tc>
      </w:tr>
      <w:tr w:rsidR="00BB7000" w:rsidRPr="00BB7000" w14:paraId="1EA16E62"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36105E6"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StopWaste</w:t>
            </w:r>
          </w:p>
        </w:tc>
        <w:tc>
          <w:tcPr>
            <w:tcW w:w="3000" w:type="dxa"/>
            <w:noWrap/>
            <w:hideMark/>
          </w:tcPr>
          <w:p w14:paraId="5C2BFD4E"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Candis Mary-Dauphin</w:t>
            </w:r>
          </w:p>
        </w:tc>
      </w:tr>
      <w:tr w:rsidR="00BB7000" w:rsidRPr="00BB7000" w14:paraId="48529680"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2145F4C"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Synergy Companies</w:t>
            </w:r>
          </w:p>
        </w:tc>
        <w:tc>
          <w:tcPr>
            <w:tcW w:w="3000" w:type="dxa"/>
            <w:noWrap/>
            <w:hideMark/>
          </w:tcPr>
          <w:p w14:paraId="5298BB34"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David Shallenberger</w:t>
            </w:r>
          </w:p>
        </w:tc>
      </w:tr>
      <w:tr w:rsidR="00BB7000" w:rsidRPr="00BB7000" w14:paraId="445CCDC1"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36499D3"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The Energy Coalition</w:t>
            </w:r>
          </w:p>
        </w:tc>
        <w:tc>
          <w:tcPr>
            <w:tcW w:w="3000" w:type="dxa"/>
            <w:noWrap/>
            <w:hideMark/>
          </w:tcPr>
          <w:p w14:paraId="656DE7A7"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Laurel Rothschild</w:t>
            </w:r>
          </w:p>
        </w:tc>
      </w:tr>
      <w:tr w:rsidR="00BB7000" w:rsidRPr="00BB7000" w14:paraId="62122B38"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74E4805"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TRC</w:t>
            </w:r>
          </w:p>
        </w:tc>
        <w:tc>
          <w:tcPr>
            <w:tcW w:w="3000" w:type="dxa"/>
            <w:noWrap/>
            <w:hideMark/>
          </w:tcPr>
          <w:p w14:paraId="512DB8AA"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 xml:space="preserve">Sophia </w:t>
            </w:r>
            <w:proofErr w:type="spellStart"/>
            <w:r w:rsidRPr="00BB7000">
              <w:rPr>
                <w:rFonts w:ascii="Calibri" w:eastAsia="Times New Roman" w:hAnsi="Calibri" w:cs="Times New Roman"/>
                <w:color w:val="000000"/>
              </w:rPr>
              <w:t>Hartkopf</w:t>
            </w:r>
            <w:proofErr w:type="spellEnd"/>
          </w:p>
        </w:tc>
      </w:tr>
      <w:tr w:rsidR="00BB7000" w:rsidRPr="00BB7000" w14:paraId="7D350C92"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E10FEE6"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lastRenderedPageBreak/>
              <w:t>TRC</w:t>
            </w:r>
          </w:p>
        </w:tc>
        <w:tc>
          <w:tcPr>
            <w:tcW w:w="3000" w:type="dxa"/>
            <w:noWrap/>
            <w:hideMark/>
          </w:tcPr>
          <w:p w14:paraId="1D0FAB8D"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Yamini Arab</w:t>
            </w:r>
          </w:p>
        </w:tc>
      </w:tr>
      <w:tr w:rsidR="00BB7000" w:rsidRPr="00BB7000" w14:paraId="37339926"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304D19E"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USC Price School of Public Policy</w:t>
            </w:r>
          </w:p>
        </w:tc>
        <w:tc>
          <w:tcPr>
            <w:tcW w:w="3000" w:type="dxa"/>
            <w:noWrap/>
            <w:hideMark/>
          </w:tcPr>
          <w:p w14:paraId="6AEA3D03"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 xml:space="preserve">Eunice </w:t>
            </w:r>
            <w:proofErr w:type="spellStart"/>
            <w:r w:rsidRPr="00BB7000">
              <w:rPr>
                <w:rFonts w:ascii="Calibri" w:eastAsia="Times New Roman" w:hAnsi="Calibri" w:cs="Times New Roman"/>
                <w:color w:val="000000"/>
              </w:rPr>
              <w:t>Zordilla</w:t>
            </w:r>
            <w:proofErr w:type="spellEnd"/>
          </w:p>
        </w:tc>
      </w:tr>
      <w:tr w:rsidR="00BB7000" w:rsidRPr="00BB7000" w14:paraId="4606B4FB"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187175A"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USGBC-LA and EE PRG</w:t>
            </w:r>
          </w:p>
        </w:tc>
        <w:tc>
          <w:tcPr>
            <w:tcW w:w="3000" w:type="dxa"/>
            <w:noWrap/>
            <w:hideMark/>
          </w:tcPr>
          <w:p w14:paraId="4697BBA6"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Edmund Novy</w:t>
            </w:r>
          </w:p>
        </w:tc>
      </w:tr>
      <w:tr w:rsidR="00BB7000" w:rsidRPr="00BB7000" w14:paraId="170BF15D"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A59EDAF" w14:textId="77777777" w:rsidR="00BB7000" w:rsidRPr="00BB7000" w:rsidRDefault="00BB7000" w:rsidP="00DC1AF2">
            <w:pPr>
              <w:spacing w:line="276" w:lineRule="auto"/>
              <w:rPr>
                <w:rFonts w:ascii="Calibri" w:eastAsia="Times New Roman" w:hAnsi="Calibri" w:cs="Times New Roman"/>
                <w:b w:val="0"/>
                <w:bCs w:val="0"/>
                <w:color w:val="000000"/>
              </w:rPr>
            </w:pPr>
            <w:proofErr w:type="spellStart"/>
            <w:r w:rsidRPr="00BB7000">
              <w:rPr>
                <w:rFonts w:ascii="Calibri" w:eastAsia="Times New Roman" w:hAnsi="Calibri" w:cs="Times New Roman"/>
                <w:b w:val="0"/>
                <w:bCs w:val="0"/>
                <w:color w:val="000000"/>
              </w:rPr>
              <w:t>Viridis</w:t>
            </w:r>
            <w:proofErr w:type="spellEnd"/>
            <w:r w:rsidRPr="00BB7000">
              <w:rPr>
                <w:rFonts w:ascii="Calibri" w:eastAsia="Times New Roman" w:hAnsi="Calibri" w:cs="Times New Roman"/>
                <w:b w:val="0"/>
                <w:bCs w:val="0"/>
                <w:color w:val="000000"/>
              </w:rPr>
              <w:t xml:space="preserve"> Consulting</w:t>
            </w:r>
          </w:p>
        </w:tc>
        <w:tc>
          <w:tcPr>
            <w:tcW w:w="3000" w:type="dxa"/>
            <w:noWrap/>
            <w:hideMark/>
          </w:tcPr>
          <w:p w14:paraId="370006A6"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BB7000">
              <w:rPr>
                <w:rFonts w:ascii="Calibri" w:eastAsia="Times New Roman" w:hAnsi="Calibri" w:cs="Times New Roman"/>
                <w:color w:val="000000"/>
              </w:rPr>
              <w:t>mabell</w:t>
            </w:r>
            <w:proofErr w:type="spellEnd"/>
            <w:r w:rsidRPr="00BB7000">
              <w:rPr>
                <w:rFonts w:ascii="Calibri" w:eastAsia="Times New Roman" w:hAnsi="Calibri" w:cs="Times New Roman"/>
                <w:color w:val="000000"/>
              </w:rPr>
              <w:t xml:space="preserve"> </w:t>
            </w:r>
            <w:proofErr w:type="spellStart"/>
            <w:r w:rsidRPr="00BB7000">
              <w:rPr>
                <w:rFonts w:ascii="Calibri" w:eastAsia="Times New Roman" w:hAnsi="Calibri" w:cs="Times New Roman"/>
                <w:color w:val="000000"/>
              </w:rPr>
              <w:t>garcia</w:t>
            </w:r>
            <w:proofErr w:type="spellEnd"/>
            <w:r w:rsidRPr="00BB7000">
              <w:rPr>
                <w:rFonts w:ascii="Calibri" w:eastAsia="Times New Roman" w:hAnsi="Calibri" w:cs="Times New Roman"/>
                <w:color w:val="000000"/>
              </w:rPr>
              <w:t xml:space="preserve"> </w:t>
            </w:r>
            <w:proofErr w:type="spellStart"/>
            <w:r w:rsidRPr="00BB7000">
              <w:rPr>
                <w:rFonts w:ascii="Calibri" w:eastAsia="Times New Roman" w:hAnsi="Calibri" w:cs="Times New Roman"/>
                <w:color w:val="000000"/>
              </w:rPr>
              <w:t>paine</w:t>
            </w:r>
            <w:proofErr w:type="spellEnd"/>
          </w:p>
        </w:tc>
      </w:tr>
      <w:tr w:rsidR="00BB7000" w:rsidRPr="00BB7000" w14:paraId="3EEF3543"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0373535"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Western Riverside Council of Governments</w:t>
            </w:r>
          </w:p>
        </w:tc>
        <w:tc>
          <w:tcPr>
            <w:tcW w:w="3000" w:type="dxa"/>
            <w:noWrap/>
            <w:hideMark/>
          </w:tcPr>
          <w:p w14:paraId="2101037A"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Anthony Segura</w:t>
            </w:r>
          </w:p>
        </w:tc>
      </w:tr>
      <w:tr w:rsidR="00BB7000" w:rsidRPr="00BB7000" w14:paraId="52CC16EE"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9DB324A" w14:textId="77777777" w:rsidR="00BB7000" w:rsidRPr="00BB7000" w:rsidRDefault="00BB7000" w:rsidP="00DC1AF2">
            <w:pPr>
              <w:spacing w:line="276" w:lineRule="auto"/>
              <w:rPr>
                <w:rFonts w:ascii="Calibri" w:eastAsia="Times New Roman" w:hAnsi="Calibri" w:cs="Times New Roman"/>
                <w:b w:val="0"/>
                <w:bCs w:val="0"/>
                <w:color w:val="000000"/>
              </w:rPr>
            </w:pPr>
            <w:proofErr w:type="spellStart"/>
            <w:r w:rsidRPr="00BB7000">
              <w:rPr>
                <w:rFonts w:ascii="Calibri" w:eastAsia="Times New Roman" w:hAnsi="Calibri" w:cs="Times New Roman"/>
                <w:b w:val="0"/>
                <w:bCs w:val="0"/>
                <w:color w:val="000000"/>
              </w:rPr>
              <w:t>Willdan</w:t>
            </w:r>
            <w:proofErr w:type="spellEnd"/>
          </w:p>
        </w:tc>
        <w:tc>
          <w:tcPr>
            <w:tcW w:w="3000" w:type="dxa"/>
            <w:noWrap/>
            <w:hideMark/>
          </w:tcPr>
          <w:p w14:paraId="692530C0"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Rosie Kang</w:t>
            </w:r>
          </w:p>
        </w:tc>
      </w:tr>
      <w:tr w:rsidR="00241B1C" w:rsidRPr="00BB7000" w14:paraId="762A52B2" w14:textId="77777777" w:rsidTr="00185966">
        <w:trPr>
          <w:trHeight w:val="320"/>
        </w:trPr>
        <w:tc>
          <w:tcPr>
            <w:cnfStyle w:val="001000000000" w:firstRow="0" w:lastRow="0" w:firstColumn="1" w:lastColumn="0" w:oddVBand="0" w:evenVBand="0" w:oddHBand="0" w:evenHBand="0" w:firstRowFirstColumn="0" w:firstRowLastColumn="0" w:lastRowFirstColumn="0" w:lastRowLastColumn="0"/>
            <w:tcW w:w="5240" w:type="dxa"/>
            <w:shd w:val="clear" w:color="auto" w:fill="7F7F7F" w:themeFill="text1" w:themeFillTint="80"/>
            <w:noWrap/>
          </w:tcPr>
          <w:p w14:paraId="0BAB95E5" w14:textId="03BAF35B" w:rsidR="00241B1C" w:rsidRPr="00BB7000" w:rsidRDefault="00241B1C" w:rsidP="00241B1C">
            <w:pPr>
              <w:spacing w:line="276" w:lineRule="auto"/>
              <w:rPr>
                <w:rFonts w:ascii="Calibri" w:eastAsia="Times New Roman" w:hAnsi="Calibri" w:cs="Times New Roman"/>
                <w:color w:val="000000"/>
              </w:rPr>
            </w:pPr>
            <w:r w:rsidRPr="00BB7000">
              <w:rPr>
                <w:rFonts w:ascii="Calibri" w:eastAsia="Times New Roman" w:hAnsi="Calibri" w:cs="Times New Roman"/>
                <w:color w:val="000000"/>
              </w:rPr>
              <w:t>Organization</w:t>
            </w:r>
          </w:p>
        </w:tc>
        <w:tc>
          <w:tcPr>
            <w:tcW w:w="3000" w:type="dxa"/>
            <w:shd w:val="clear" w:color="auto" w:fill="7F7F7F" w:themeFill="text1" w:themeFillTint="80"/>
            <w:noWrap/>
          </w:tcPr>
          <w:p w14:paraId="50A21C73" w14:textId="2A2E66F1" w:rsidR="00241B1C" w:rsidRPr="00185966" w:rsidRDefault="00185966" w:rsidP="00241B1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185966">
              <w:rPr>
                <w:rFonts w:ascii="Calibri" w:eastAsia="Times New Roman" w:hAnsi="Calibri" w:cs="Times New Roman"/>
                <w:b/>
                <w:bCs/>
                <w:color w:val="000000"/>
              </w:rPr>
              <w:t>Researchers</w:t>
            </w:r>
          </w:p>
        </w:tc>
      </w:tr>
      <w:tr w:rsidR="00185966" w:rsidRPr="00BB7000" w14:paraId="49B6114A"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0C2595C9" w14:textId="77D0F20D" w:rsidR="00185966" w:rsidRPr="00BB7000" w:rsidRDefault="00185966" w:rsidP="00185966">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Green Energy Economics</w:t>
            </w:r>
          </w:p>
        </w:tc>
        <w:tc>
          <w:tcPr>
            <w:tcW w:w="3000" w:type="dxa"/>
            <w:noWrap/>
          </w:tcPr>
          <w:p w14:paraId="18EFFC7D" w14:textId="25E2D07D" w:rsidR="00185966" w:rsidRDefault="00185966" w:rsidP="00185966">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Theo Love</w:t>
            </w:r>
          </w:p>
        </w:tc>
      </w:tr>
      <w:tr w:rsidR="00185966" w:rsidRPr="00BB7000" w14:paraId="6ABBEA03"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F44B1AC" w14:textId="77777777" w:rsidR="00185966" w:rsidRPr="00BB7000" w:rsidRDefault="00185966" w:rsidP="009F0341">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UC Davis</w:t>
            </w:r>
          </w:p>
        </w:tc>
        <w:tc>
          <w:tcPr>
            <w:tcW w:w="3000" w:type="dxa"/>
            <w:noWrap/>
            <w:hideMark/>
          </w:tcPr>
          <w:p w14:paraId="096109A6" w14:textId="77777777" w:rsidR="00185966" w:rsidRPr="00BB7000" w:rsidRDefault="00185966" w:rsidP="009F03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Alissa Kendall</w:t>
            </w:r>
          </w:p>
        </w:tc>
      </w:tr>
      <w:tr w:rsidR="00086504" w:rsidRPr="00BB7000" w14:paraId="1245D731"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09D798B0" w14:textId="7279FC24" w:rsidR="00086504" w:rsidRPr="00BB7000" w:rsidRDefault="00086504"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Davis</w:t>
            </w:r>
          </w:p>
        </w:tc>
        <w:tc>
          <w:tcPr>
            <w:tcW w:w="3000" w:type="dxa"/>
            <w:noWrap/>
          </w:tcPr>
          <w:p w14:paraId="2F094918" w14:textId="5AD7AD5F" w:rsidR="00086504" w:rsidRPr="00BB7000" w:rsidRDefault="00086504" w:rsidP="009F03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Kristen Bush</w:t>
            </w:r>
          </w:p>
        </w:tc>
      </w:tr>
      <w:tr w:rsidR="00086504" w:rsidRPr="00BB7000" w14:paraId="090871CD"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1C5D327E" w14:textId="4CCADED9" w:rsidR="00086504" w:rsidRPr="00BB7000" w:rsidRDefault="00086504"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Davis</w:t>
            </w:r>
          </w:p>
        </w:tc>
        <w:tc>
          <w:tcPr>
            <w:tcW w:w="3000" w:type="dxa"/>
            <w:noWrap/>
          </w:tcPr>
          <w:p w14:paraId="3E66CE63" w14:textId="1F287C01" w:rsidR="00086504" w:rsidRPr="00BB7000" w:rsidRDefault="00086504" w:rsidP="009F03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Jessica Dunn</w:t>
            </w:r>
          </w:p>
        </w:tc>
      </w:tr>
      <w:tr w:rsidR="00086504" w:rsidRPr="00BB7000" w14:paraId="2C13227D"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2402840A" w14:textId="1DD41442" w:rsidR="00086504" w:rsidRPr="00BB7000" w:rsidRDefault="00086504"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Davis</w:t>
            </w:r>
          </w:p>
        </w:tc>
        <w:tc>
          <w:tcPr>
            <w:tcW w:w="3000" w:type="dxa"/>
            <w:noWrap/>
          </w:tcPr>
          <w:p w14:paraId="0F9040D0" w14:textId="77280EDF" w:rsidR="00086504" w:rsidRPr="00BB7000" w:rsidRDefault="00086504" w:rsidP="009F03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Sadia Gul</w:t>
            </w:r>
          </w:p>
        </w:tc>
      </w:tr>
      <w:tr w:rsidR="00086504" w:rsidRPr="00BB7000" w14:paraId="47C11033"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751ECE5A" w14:textId="6C19F141" w:rsidR="00086504" w:rsidRPr="00BB7000" w:rsidRDefault="00086504"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Davis</w:t>
            </w:r>
          </w:p>
        </w:tc>
        <w:tc>
          <w:tcPr>
            <w:tcW w:w="3000" w:type="dxa"/>
            <w:noWrap/>
          </w:tcPr>
          <w:p w14:paraId="39DF54B2" w14:textId="6286A2FF" w:rsidR="00086504" w:rsidRPr="00BB7000" w:rsidRDefault="00086504" w:rsidP="009F03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Mark Lozano</w:t>
            </w:r>
          </w:p>
        </w:tc>
      </w:tr>
      <w:tr w:rsidR="00086504" w:rsidRPr="00BB7000" w14:paraId="3C220788"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54973EB5" w14:textId="3A493D2E" w:rsidR="00086504" w:rsidRPr="00BB7000" w:rsidRDefault="00086504"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Davis</w:t>
            </w:r>
          </w:p>
        </w:tc>
        <w:tc>
          <w:tcPr>
            <w:tcW w:w="3000" w:type="dxa"/>
            <w:noWrap/>
          </w:tcPr>
          <w:p w14:paraId="494D78D9" w14:textId="31A19A74" w:rsidR="00086504" w:rsidRPr="00BB7000" w:rsidRDefault="00086504" w:rsidP="009F03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Leslie Nelson</w:t>
            </w:r>
          </w:p>
        </w:tc>
      </w:tr>
      <w:tr w:rsidR="00086504" w:rsidRPr="00BB7000" w14:paraId="5163EA95"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0087B910" w14:textId="26BCDD36" w:rsidR="00086504" w:rsidRPr="00BB7000" w:rsidRDefault="00086504"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Davis</w:t>
            </w:r>
          </w:p>
        </w:tc>
        <w:tc>
          <w:tcPr>
            <w:tcW w:w="3000" w:type="dxa"/>
            <w:noWrap/>
          </w:tcPr>
          <w:p w14:paraId="71D34751" w14:textId="29F4B8C8" w:rsidR="00086504" w:rsidRPr="00BB7000" w:rsidRDefault="00086504" w:rsidP="009F03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Tobiah Steckel</w:t>
            </w:r>
          </w:p>
        </w:tc>
      </w:tr>
      <w:tr w:rsidR="00185966" w:rsidRPr="00BB7000" w14:paraId="309CC625"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60D6495" w14:textId="77777777" w:rsidR="00185966" w:rsidRPr="00BB7000" w:rsidRDefault="00185966" w:rsidP="009F0341">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UC Irvine</w:t>
            </w:r>
          </w:p>
        </w:tc>
        <w:tc>
          <w:tcPr>
            <w:tcW w:w="3000" w:type="dxa"/>
            <w:noWrap/>
            <w:hideMark/>
          </w:tcPr>
          <w:p w14:paraId="0AD88CC3" w14:textId="77777777" w:rsidR="00185966" w:rsidRPr="00BB7000" w:rsidRDefault="00185966" w:rsidP="009F03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Ed Coulson</w:t>
            </w:r>
          </w:p>
        </w:tc>
      </w:tr>
      <w:tr w:rsidR="005E382A" w:rsidRPr="00BB7000" w14:paraId="03740ED0"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67D5DDEF" w14:textId="384A837B" w:rsidR="005E382A" w:rsidRPr="00BB7000" w:rsidRDefault="005E382A"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Irvine</w:t>
            </w:r>
          </w:p>
        </w:tc>
        <w:tc>
          <w:tcPr>
            <w:tcW w:w="3000" w:type="dxa"/>
            <w:noWrap/>
          </w:tcPr>
          <w:p w14:paraId="12AFF5C4" w14:textId="13ECB2C5" w:rsidR="005E382A" w:rsidRPr="00BB7000" w:rsidRDefault="005E382A" w:rsidP="009F03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1AF2">
              <w:rPr>
                <w:rFonts w:ascii="Calibri" w:hAnsi="Calibri"/>
              </w:rPr>
              <w:t>Linda Tan</w:t>
            </w:r>
          </w:p>
        </w:tc>
      </w:tr>
      <w:tr w:rsidR="005E382A" w:rsidRPr="00BB7000" w14:paraId="20DB30D2"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1668F44B" w14:textId="1DA2DD47" w:rsidR="005E382A" w:rsidRPr="00BB7000" w:rsidRDefault="005E382A"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Irvine</w:t>
            </w:r>
          </w:p>
        </w:tc>
        <w:tc>
          <w:tcPr>
            <w:tcW w:w="3000" w:type="dxa"/>
            <w:noWrap/>
          </w:tcPr>
          <w:p w14:paraId="53709399" w14:textId="07A9359C" w:rsidR="005E382A" w:rsidRPr="00BB7000" w:rsidRDefault="005E382A" w:rsidP="009F03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1AF2">
              <w:rPr>
                <w:rFonts w:ascii="Calibri" w:hAnsi="Calibri"/>
              </w:rPr>
              <w:t>Carmen Liang</w:t>
            </w:r>
          </w:p>
        </w:tc>
      </w:tr>
      <w:tr w:rsidR="00185966" w:rsidRPr="00BB7000" w14:paraId="4CDA574D"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96A40DA" w14:textId="77777777" w:rsidR="00185966" w:rsidRPr="00BB7000" w:rsidRDefault="00185966" w:rsidP="009F0341">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UCSB</w:t>
            </w:r>
          </w:p>
        </w:tc>
        <w:tc>
          <w:tcPr>
            <w:tcW w:w="3000" w:type="dxa"/>
            <w:noWrap/>
            <w:hideMark/>
          </w:tcPr>
          <w:p w14:paraId="4C46A2A4" w14:textId="77777777" w:rsidR="00185966" w:rsidRPr="00BB7000" w:rsidRDefault="00185966" w:rsidP="009F03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Ranjit Deshmukh</w:t>
            </w:r>
          </w:p>
        </w:tc>
      </w:tr>
      <w:tr w:rsidR="00185966" w:rsidRPr="00BB7000" w14:paraId="7A9FA3C0"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F540A20" w14:textId="77777777" w:rsidR="00185966" w:rsidRPr="00BB7000" w:rsidRDefault="00185966" w:rsidP="009F0341">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UCSB</w:t>
            </w:r>
          </w:p>
        </w:tc>
        <w:tc>
          <w:tcPr>
            <w:tcW w:w="3000" w:type="dxa"/>
            <w:noWrap/>
            <w:hideMark/>
          </w:tcPr>
          <w:p w14:paraId="06154FB6" w14:textId="77777777" w:rsidR="00185966" w:rsidRPr="00BB7000" w:rsidRDefault="00185966" w:rsidP="009F03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Michelle Le</w:t>
            </w:r>
          </w:p>
        </w:tc>
      </w:tr>
      <w:tr w:rsidR="00185966" w:rsidRPr="00BB7000" w14:paraId="563D62A4"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959E426" w14:textId="77777777" w:rsidR="00185966" w:rsidRPr="00BB7000" w:rsidRDefault="00185966" w:rsidP="009F0341">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UCSB</w:t>
            </w:r>
          </w:p>
        </w:tc>
        <w:tc>
          <w:tcPr>
            <w:tcW w:w="3000" w:type="dxa"/>
            <w:noWrap/>
            <w:hideMark/>
          </w:tcPr>
          <w:p w14:paraId="6892791E" w14:textId="355DEBCF" w:rsidR="00185966" w:rsidRPr="00BB7000" w:rsidRDefault="00086504" w:rsidP="009F03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Measrainsey Meng</w:t>
            </w:r>
          </w:p>
        </w:tc>
      </w:tr>
      <w:tr w:rsidR="00086504" w:rsidRPr="00BB7000" w14:paraId="2B36FE3F"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27790470" w14:textId="67A30DF4" w:rsidR="00086504" w:rsidRPr="00BB7000" w:rsidRDefault="00086504" w:rsidP="00086504">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UCSB</w:t>
            </w:r>
          </w:p>
        </w:tc>
        <w:tc>
          <w:tcPr>
            <w:tcW w:w="3000" w:type="dxa"/>
            <w:noWrap/>
          </w:tcPr>
          <w:p w14:paraId="68AC0B36" w14:textId="0A344B71" w:rsidR="00086504" w:rsidRPr="00BB7000" w:rsidRDefault="00086504" w:rsidP="00086504">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Audrey Meiman</w:t>
            </w:r>
          </w:p>
        </w:tc>
      </w:tr>
      <w:tr w:rsidR="00086504" w:rsidRPr="00BB7000" w14:paraId="2563FB45"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77C47260" w14:textId="755B3276" w:rsidR="00086504" w:rsidRPr="00BB7000" w:rsidRDefault="00086504" w:rsidP="00086504">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UCSB</w:t>
            </w:r>
          </w:p>
        </w:tc>
        <w:tc>
          <w:tcPr>
            <w:tcW w:w="3000" w:type="dxa"/>
            <w:noWrap/>
          </w:tcPr>
          <w:p w14:paraId="4664D59E" w14:textId="4DCCCF40" w:rsidR="00086504" w:rsidRPr="00BB7000" w:rsidRDefault="00086504" w:rsidP="0008650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Austin Covey</w:t>
            </w:r>
          </w:p>
        </w:tc>
      </w:tr>
      <w:tr w:rsidR="00086504" w:rsidRPr="00BB7000" w14:paraId="2A8F004C"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07AB5CFD" w14:textId="3FE8A9EE" w:rsidR="00086504" w:rsidRPr="00BB7000" w:rsidRDefault="00086504" w:rsidP="00086504">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UCSB</w:t>
            </w:r>
          </w:p>
        </w:tc>
        <w:tc>
          <w:tcPr>
            <w:tcW w:w="3000" w:type="dxa"/>
            <w:noWrap/>
          </w:tcPr>
          <w:p w14:paraId="541AFDFF" w14:textId="4C59D001" w:rsidR="00086504" w:rsidRPr="00BB7000" w:rsidRDefault="00086504" w:rsidP="00086504">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DC1AF2">
              <w:rPr>
                <w:rFonts w:ascii="Calibri" w:hAnsi="Calibri" w:cs="Calibri"/>
              </w:rPr>
              <w:t>Atherv</w:t>
            </w:r>
            <w:proofErr w:type="spellEnd"/>
            <w:r w:rsidRPr="00DC1AF2">
              <w:rPr>
                <w:rFonts w:ascii="Calibri" w:hAnsi="Calibri" w:cs="Calibri"/>
              </w:rPr>
              <w:t xml:space="preserve"> </w:t>
            </w:r>
            <w:proofErr w:type="spellStart"/>
            <w:r w:rsidRPr="00DC1AF2">
              <w:rPr>
                <w:rFonts w:ascii="Calibri" w:hAnsi="Calibri" w:cs="Calibri"/>
              </w:rPr>
              <w:t>Gole</w:t>
            </w:r>
            <w:proofErr w:type="spellEnd"/>
          </w:p>
        </w:tc>
      </w:tr>
      <w:tr w:rsidR="00086504" w:rsidRPr="00BB7000" w14:paraId="52B381C7"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7145E530" w14:textId="5BCBE4A7" w:rsidR="00086504" w:rsidRPr="00BB7000" w:rsidRDefault="00086504" w:rsidP="00086504">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UCSB</w:t>
            </w:r>
          </w:p>
        </w:tc>
        <w:tc>
          <w:tcPr>
            <w:tcW w:w="3000" w:type="dxa"/>
            <w:noWrap/>
          </w:tcPr>
          <w:p w14:paraId="21764EA3" w14:textId="306A3311" w:rsidR="00086504" w:rsidRPr="00DC1AF2" w:rsidRDefault="00086504" w:rsidP="00086504">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C1AF2">
              <w:rPr>
                <w:rFonts w:ascii="Calibri" w:hAnsi="Calibri" w:cs="Calibri"/>
              </w:rPr>
              <w:t>Sydney Litvin</w:t>
            </w:r>
          </w:p>
        </w:tc>
      </w:tr>
      <w:tr w:rsidR="00086504" w:rsidRPr="00BB7000" w14:paraId="618DED6F"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4B0B2339" w14:textId="380FC8AA" w:rsidR="00086504" w:rsidRPr="00BB7000" w:rsidRDefault="00086504" w:rsidP="00086504">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UCSB</w:t>
            </w:r>
          </w:p>
        </w:tc>
        <w:tc>
          <w:tcPr>
            <w:tcW w:w="3000" w:type="dxa"/>
            <w:noWrap/>
          </w:tcPr>
          <w:p w14:paraId="055323B8" w14:textId="1EF42F20" w:rsidR="00086504" w:rsidRPr="00BB7000" w:rsidRDefault="00086504" w:rsidP="00086504">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Nathaniel Villa</w:t>
            </w:r>
          </w:p>
        </w:tc>
      </w:tr>
      <w:tr w:rsidR="00086504" w:rsidRPr="00BB7000" w14:paraId="710DD0DC"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BFE1941" w14:textId="77777777" w:rsidR="00086504" w:rsidRPr="00BB7000" w:rsidRDefault="00086504" w:rsidP="00086504">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USC</w:t>
            </w:r>
          </w:p>
        </w:tc>
        <w:tc>
          <w:tcPr>
            <w:tcW w:w="3000" w:type="dxa"/>
            <w:noWrap/>
            <w:hideMark/>
          </w:tcPr>
          <w:p w14:paraId="2E1B86C4" w14:textId="77777777" w:rsidR="00086504" w:rsidRPr="00BB7000" w:rsidRDefault="00086504" w:rsidP="0008650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Monina Letargo</w:t>
            </w:r>
          </w:p>
        </w:tc>
      </w:tr>
      <w:tr w:rsidR="00086504" w:rsidRPr="00BB7000" w14:paraId="09CD5A8B"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A1288F3" w14:textId="77777777" w:rsidR="00086504" w:rsidRPr="00BB7000" w:rsidRDefault="00086504" w:rsidP="00086504">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USC</w:t>
            </w:r>
          </w:p>
        </w:tc>
        <w:tc>
          <w:tcPr>
            <w:tcW w:w="3000" w:type="dxa"/>
            <w:noWrap/>
            <w:hideMark/>
          </w:tcPr>
          <w:p w14:paraId="741CA405" w14:textId="77777777" w:rsidR="00086504" w:rsidRPr="00BB7000" w:rsidRDefault="00086504" w:rsidP="00086504">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Elizabeth Pereda</w:t>
            </w:r>
          </w:p>
        </w:tc>
      </w:tr>
      <w:tr w:rsidR="00086504" w:rsidRPr="00BB7000" w14:paraId="686EDD1E"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6172A63" w14:textId="77777777" w:rsidR="00086504" w:rsidRPr="00BB7000" w:rsidRDefault="00086504" w:rsidP="00086504">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USC</w:t>
            </w:r>
          </w:p>
        </w:tc>
        <w:tc>
          <w:tcPr>
            <w:tcW w:w="3000" w:type="dxa"/>
            <w:noWrap/>
            <w:hideMark/>
          </w:tcPr>
          <w:p w14:paraId="61C1F207" w14:textId="77777777" w:rsidR="00086504" w:rsidRPr="00BB7000" w:rsidRDefault="00086504" w:rsidP="0008650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Nicholas Cain</w:t>
            </w:r>
          </w:p>
        </w:tc>
      </w:tr>
      <w:tr w:rsidR="00086504" w:rsidRPr="00BB7000" w14:paraId="7C971FFC"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025BB4B" w14:textId="77777777" w:rsidR="00086504" w:rsidRPr="00BB7000" w:rsidRDefault="00086504" w:rsidP="00086504">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USC</w:t>
            </w:r>
          </w:p>
        </w:tc>
        <w:tc>
          <w:tcPr>
            <w:tcW w:w="3000" w:type="dxa"/>
            <w:noWrap/>
            <w:hideMark/>
          </w:tcPr>
          <w:p w14:paraId="428ED53B" w14:textId="702E827F" w:rsidR="00086504" w:rsidRPr="00BB7000" w:rsidRDefault="00086504" w:rsidP="00086504">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BB7000">
              <w:rPr>
                <w:rFonts w:ascii="Calibri" w:eastAsia="Times New Roman" w:hAnsi="Calibri" w:cs="Times New Roman"/>
                <w:color w:val="000000"/>
              </w:rPr>
              <w:t>Dairou</w:t>
            </w:r>
            <w:proofErr w:type="spellEnd"/>
            <w:r w:rsidRPr="00BB7000">
              <w:rPr>
                <w:rFonts w:ascii="Calibri" w:eastAsia="Times New Roman" w:hAnsi="Calibri" w:cs="Times New Roman"/>
                <w:color w:val="000000"/>
              </w:rPr>
              <w:t xml:space="preserve"> Wang</w:t>
            </w:r>
          </w:p>
        </w:tc>
      </w:tr>
      <w:tr w:rsidR="00086504" w:rsidRPr="00BB7000" w14:paraId="3378E6F4"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CB2EFD2" w14:textId="77777777" w:rsidR="00086504" w:rsidRPr="00BB7000" w:rsidRDefault="00086504" w:rsidP="00086504">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USC</w:t>
            </w:r>
          </w:p>
        </w:tc>
        <w:tc>
          <w:tcPr>
            <w:tcW w:w="3000" w:type="dxa"/>
            <w:noWrap/>
            <w:hideMark/>
          </w:tcPr>
          <w:p w14:paraId="07A72D13" w14:textId="4351365A" w:rsidR="00086504" w:rsidRPr="00BB7000" w:rsidRDefault="00086504" w:rsidP="0008650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BB7000">
              <w:rPr>
                <w:rFonts w:ascii="Calibri" w:eastAsia="Times New Roman" w:hAnsi="Calibri" w:cs="Times New Roman"/>
                <w:color w:val="000000"/>
              </w:rPr>
              <w:t>Tianfang</w:t>
            </w:r>
            <w:proofErr w:type="spellEnd"/>
            <w:r w:rsidRPr="00BB7000">
              <w:rPr>
                <w:rFonts w:ascii="Calibri" w:eastAsia="Times New Roman" w:hAnsi="Calibri" w:cs="Times New Roman"/>
                <w:color w:val="000000"/>
              </w:rPr>
              <w:t xml:space="preserve"> Guo</w:t>
            </w:r>
          </w:p>
        </w:tc>
      </w:tr>
    </w:tbl>
    <w:p w14:paraId="43DE3A8B" w14:textId="4EB5783B" w:rsidR="007B1863" w:rsidRPr="00DC1AF2" w:rsidRDefault="007B1863" w:rsidP="00DC1AF2">
      <w:pPr>
        <w:spacing w:line="276" w:lineRule="auto"/>
        <w:rPr>
          <w:rFonts w:ascii="Calibri" w:hAnsi="Calibri"/>
          <w:lang w:val="en"/>
        </w:rPr>
      </w:pPr>
    </w:p>
    <w:p w14:paraId="7D95FF62" w14:textId="5990C6D3" w:rsidR="00EA6B12" w:rsidRPr="00DC1AF2" w:rsidRDefault="00EA6B12" w:rsidP="00DC1AF2">
      <w:pPr>
        <w:spacing w:line="276" w:lineRule="auto"/>
        <w:rPr>
          <w:rFonts w:ascii="Calibri" w:hAnsi="Calibri"/>
          <w:lang w:val="en"/>
        </w:rPr>
      </w:pPr>
    </w:p>
    <w:sectPr w:rsidR="00EA6B12" w:rsidRPr="00DC1AF2" w:rsidSect="003563E7">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D5A5" w14:textId="77777777" w:rsidR="007622B7" w:rsidRDefault="007622B7" w:rsidP="007B19DB">
      <w:r>
        <w:separator/>
      </w:r>
    </w:p>
  </w:endnote>
  <w:endnote w:type="continuationSeparator" w:id="0">
    <w:p w14:paraId="4BB00DF1" w14:textId="77777777" w:rsidR="007622B7" w:rsidRDefault="007622B7" w:rsidP="007B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6662565"/>
      <w:docPartObj>
        <w:docPartGallery w:val="Page Numbers (Bottom of Page)"/>
        <w:docPartUnique/>
      </w:docPartObj>
    </w:sdtPr>
    <w:sdtEndPr>
      <w:rPr>
        <w:rStyle w:val="PageNumber"/>
      </w:rPr>
    </w:sdtEndPr>
    <w:sdtContent>
      <w:p w14:paraId="7E383B5D" w14:textId="1686DD85" w:rsidR="009F0341" w:rsidRDefault="009F0341" w:rsidP="007B18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2B2F4" w14:textId="77777777" w:rsidR="009F0341" w:rsidRDefault="009F0341" w:rsidP="007B19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5083623"/>
      <w:docPartObj>
        <w:docPartGallery w:val="Page Numbers (Bottom of Page)"/>
        <w:docPartUnique/>
      </w:docPartObj>
    </w:sdtPr>
    <w:sdtEndPr>
      <w:rPr>
        <w:rStyle w:val="PageNumber"/>
      </w:rPr>
    </w:sdtEndPr>
    <w:sdtContent>
      <w:p w14:paraId="5EB326CD" w14:textId="106DAA68" w:rsidR="009F0341" w:rsidRDefault="009F0341" w:rsidP="007B18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56E59A" w14:textId="77777777" w:rsidR="009F0341" w:rsidRDefault="009F0341" w:rsidP="007B19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7A7E" w14:textId="77777777" w:rsidR="007622B7" w:rsidRDefault="007622B7" w:rsidP="007B19DB">
      <w:r>
        <w:separator/>
      </w:r>
    </w:p>
  </w:footnote>
  <w:footnote w:type="continuationSeparator" w:id="0">
    <w:p w14:paraId="787F6E37" w14:textId="77777777" w:rsidR="007622B7" w:rsidRDefault="007622B7" w:rsidP="007B19DB">
      <w:r>
        <w:continuationSeparator/>
      </w:r>
    </w:p>
  </w:footnote>
  <w:footnote w:id="1">
    <w:p w14:paraId="7831403A" w14:textId="77777777" w:rsidR="00864653" w:rsidRPr="0008794A" w:rsidRDefault="00864653" w:rsidP="00864653">
      <w:pPr>
        <w:pStyle w:val="FootnoteText"/>
        <w:rPr>
          <w:sz w:val="16"/>
          <w:szCs w:val="16"/>
        </w:rPr>
      </w:pPr>
      <w:r w:rsidRPr="0008794A">
        <w:rPr>
          <w:rStyle w:val="FootnoteReference"/>
          <w:sz w:val="16"/>
          <w:szCs w:val="16"/>
        </w:rPr>
        <w:footnoteRef/>
      </w:r>
      <w:r w:rsidRPr="0008794A">
        <w:rPr>
          <w:sz w:val="16"/>
          <w:szCs w:val="16"/>
        </w:rPr>
        <w:t xml:space="preserve"> Prospectus is available at </w:t>
      </w:r>
      <w:hyperlink r:id="rId1" w:history="1">
        <w:r w:rsidRPr="0008794A">
          <w:rPr>
            <w:rStyle w:val="Hyperlink"/>
            <w:sz w:val="16"/>
            <w:szCs w:val="16"/>
          </w:rPr>
          <w:t>https://www.caeecc.org/underserved-working-group-2020</w:t>
        </w:r>
      </w:hyperlink>
      <w:r w:rsidRPr="0008794A">
        <w:rPr>
          <w:sz w:val="16"/>
          <w:szCs w:val="16"/>
        </w:rPr>
        <w:t xml:space="preserve"> </w:t>
      </w:r>
    </w:p>
  </w:footnote>
  <w:footnote w:id="2">
    <w:p w14:paraId="7EF3DBAD" w14:textId="39E9C9BB" w:rsidR="009F0341" w:rsidRPr="0008794A" w:rsidRDefault="009F0341">
      <w:pPr>
        <w:pStyle w:val="FootnoteText"/>
        <w:rPr>
          <w:sz w:val="16"/>
          <w:szCs w:val="16"/>
        </w:rPr>
      </w:pPr>
      <w:r w:rsidRPr="0008794A">
        <w:rPr>
          <w:rStyle w:val="FootnoteReference"/>
          <w:sz w:val="16"/>
          <w:szCs w:val="16"/>
        </w:rPr>
        <w:footnoteRef/>
      </w:r>
      <w:r w:rsidRPr="0008794A">
        <w:rPr>
          <w:sz w:val="16"/>
          <w:szCs w:val="16"/>
        </w:rPr>
        <w:t xml:space="preserve"> More information can be found at: </w:t>
      </w:r>
      <w:hyperlink r:id="rId2" w:history="1">
        <w:r w:rsidR="000E5C2C" w:rsidRPr="0008794A">
          <w:rPr>
            <w:rStyle w:val="Hyperlink"/>
            <w:sz w:val="16"/>
            <w:szCs w:val="16"/>
          </w:rPr>
          <w:t>https://www.caeecc.org/underserved-working-group-2020</w:t>
        </w:r>
      </w:hyperlink>
      <w:r w:rsidR="000E5C2C">
        <w:rPr>
          <w:sz w:val="16"/>
          <w:szCs w:val="16"/>
        </w:rPr>
        <w:t xml:space="preserve"> </w:t>
      </w:r>
    </w:p>
  </w:footnote>
  <w:footnote w:id="3">
    <w:p w14:paraId="052D7E1A" w14:textId="33C49A5F" w:rsidR="00A855F5" w:rsidRPr="0008794A" w:rsidRDefault="00A855F5">
      <w:pPr>
        <w:pStyle w:val="FootnoteText"/>
        <w:rPr>
          <w:sz w:val="16"/>
          <w:szCs w:val="16"/>
        </w:rPr>
      </w:pPr>
      <w:r w:rsidRPr="0008794A">
        <w:rPr>
          <w:rStyle w:val="FootnoteReference"/>
          <w:sz w:val="16"/>
          <w:szCs w:val="16"/>
        </w:rPr>
        <w:footnoteRef/>
      </w:r>
      <w:r w:rsidRPr="0008794A">
        <w:rPr>
          <w:sz w:val="16"/>
          <w:szCs w:val="16"/>
        </w:rPr>
        <w:t xml:space="preserve"> D.21-05-031, p.14. The decision defines equity programs as: “programs with a primary purpose of providing energy efficiency to hard-to-reach or underserved customers and disadvantaged communities in advancement of the Commission’s Environmental and Social Justice (ESJ) Action Plan. Improving access to energy efficiency for ESJ communities, as defined in the ESJ Action Plan, may provide corollary benefits such as increased comfort and safety, improved air quality, and more affordable utility bills, consistent with Goals 1, 2, and 5 in the ESJ Action Plan.”</w:t>
      </w:r>
    </w:p>
  </w:footnote>
  <w:footnote w:id="4">
    <w:p w14:paraId="7A037E6F" w14:textId="08F3AA4B" w:rsidR="00EA5152" w:rsidRPr="0008794A" w:rsidRDefault="00EA5152">
      <w:pPr>
        <w:pStyle w:val="FootnoteText"/>
        <w:rPr>
          <w:sz w:val="16"/>
          <w:szCs w:val="16"/>
        </w:rPr>
      </w:pPr>
      <w:r w:rsidRPr="0008794A">
        <w:rPr>
          <w:rStyle w:val="FootnoteReference"/>
          <w:sz w:val="16"/>
          <w:szCs w:val="16"/>
        </w:rPr>
        <w:footnoteRef/>
      </w:r>
      <w:r w:rsidRPr="0008794A">
        <w:rPr>
          <w:sz w:val="16"/>
          <w:szCs w:val="16"/>
        </w:rPr>
        <w:t xml:space="preserve"> USC report is available at https://www.caeecc.org/7-30-20-underserved-wg</w:t>
      </w:r>
    </w:p>
  </w:footnote>
  <w:footnote w:id="5">
    <w:p w14:paraId="6AEE4BF9" w14:textId="77777777" w:rsidR="003943AF" w:rsidRPr="00EA4A47" w:rsidRDefault="00EA5152" w:rsidP="003943AF">
      <w:pPr>
        <w:rPr>
          <w:rFonts w:ascii="Calibri" w:hAnsi="Calibri" w:cs="Calibri"/>
          <w:sz w:val="16"/>
          <w:szCs w:val="16"/>
        </w:rPr>
      </w:pPr>
      <w:r w:rsidRPr="0008794A">
        <w:rPr>
          <w:rStyle w:val="FootnoteReference"/>
          <w:rFonts w:ascii="Calibri" w:hAnsi="Calibri" w:cs="Calibri"/>
          <w:sz w:val="16"/>
          <w:szCs w:val="16"/>
        </w:rPr>
        <w:footnoteRef/>
      </w:r>
      <w:r w:rsidRPr="0008794A">
        <w:rPr>
          <w:rFonts w:ascii="Calibri" w:hAnsi="Calibri" w:cs="Calibri"/>
          <w:sz w:val="16"/>
          <w:szCs w:val="16"/>
        </w:rPr>
        <w:t xml:space="preserve"> </w:t>
      </w:r>
      <w:r w:rsidR="003943AF" w:rsidRPr="00EA4A47">
        <w:rPr>
          <w:rFonts w:ascii="Calibri" w:hAnsi="Calibri" w:cs="Calibri"/>
          <w:sz w:val="16"/>
          <w:szCs w:val="16"/>
        </w:rPr>
        <w:t xml:space="preserve">C. Edwards’ concerns can be summarized as follows: </w:t>
      </w:r>
    </w:p>
    <w:p w14:paraId="659F55ED" w14:textId="083C4F36" w:rsidR="003943AF" w:rsidRPr="00EA4A47" w:rsidRDefault="003943AF" w:rsidP="00551C27">
      <w:pPr>
        <w:rPr>
          <w:rFonts w:ascii="Calibri" w:eastAsia="Times New Roman" w:hAnsi="Calibri" w:cs="Calibri"/>
          <w:color w:val="000000"/>
          <w:sz w:val="16"/>
          <w:szCs w:val="16"/>
        </w:rPr>
      </w:pPr>
      <w:r w:rsidRPr="00EA4A47">
        <w:rPr>
          <w:rFonts w:ascii="Calibri" w:eastAsia="Times New Roman" w:hAnsi="Calibri" w:cs="Calibri"/>
          <w:color w:val="000000"/>
          <w:sz w:val="16"/>
          <w:szCs w:val="16"/>
        </w:rPr>
        <w:t>(1) The 2 core research objectives identified in the research plan were not directly addressed.</w:t>
      </w:r>
      <w:r w:rsidR="003F3BDB">
        <w:rPr>
          <w:rFonts w:ascii="Calibri" w:eastAsia="Times New Roman" w:hAnsi="Calibri" w:cs="Calibri"/>
          <w:i/>
          <w:iCs/>
          <w:color w:val="000000"/>
          <w:sz w:val="16"/>
          <w:szCs w:val="16"/>
        </w:rPr>
        <w:t xml:space="preserve"> </w:t>
      </w:r>
      <w:r w:rsidRPr="00EA4A47">
        <w:rPr>
          <w:rFonts w:ascii="Calibri" w:eastAsia="Times New Roman" w:hAnsi="Calibri" w:cs="Calibri"/>
          <w:i/>
          <w:iCs/>
          <w:color w:val="000000"/>
          <w:sz w:val="16"/>
          <w:szCs w:val="16"/>
        </w:rPr>
        <w:t>1. Are there gaps in program delivery by geographic areas?</w:t>
      </w:r>
      <w:r w:rsidR="003F3BDB">
        <w:rPr>
          <w:rFonts w:ascii="Calibri" w:eastAsia="Times New Roman" w:hAnsi="Calibri" w:cs="Calibri"/>
          <w:i/>
          <w:iCs/>
          <w:color w:val="000000"/>
          <w:sz w:val="16"/>
          <w:szCs w:val="16"/>
        </w:rPr>
        <w:t xml:space="preserve"> </w:t>
      </w:r>
      <w:r w:rsidRPr="00EA4A47">
        <w:rPr>
          <w:rFonts w:ascii="Calibri" w:eastAsia="Times New Roman" w:hAnsi="Calibri" w:cs="Calibri"/>
          <w:i/>
          <w:iCs/>
          <w:color w:val="000000"/>
          <w:sz w:val="16"/>
          <w:szCs w:val="16"/>
        </w:rPr>
        <w:t>2. Do residential energy efficiency programs reach or not reach certain socio-demographic groups?</w:t>
      </w:r>
    </w:p>
    <w:p w14:paraId="2CB04E60" w14:textId="77777777" w:rsidR="003943AF" w:rsidRPr="00EA4A47" w:rsidRDefault="003943AF" w:rsidP="003943AF">
      <w:pPr>
        <w:rPr>
          <w:rFonts w:ascii="Calibri" w:eastAsia="Times New Roman" w:hAnsi="Calibri" w:cs="Calibri"/>
          <w:color w:val="000000"/>
          <w:sz w:val="16"/>
          <w:szCs w:val="16"/>
        </w:rPr>
      </w:pPr>
      <w:r w:rsidRPr="00EA4A47">
        <w:rPr>
          <w:rFonts w:ascii="Calibri" w:eastAsia="Times New Roman" w:hAnsi="Calibri" w:cs="Calibri"/>
          <w:color w:val="000000"/>
          <w:sz w:val="16"/>
          <w:szCs w:val="16"/>
        </w:rPr>
        <w:t>(2) Relevant existing CA EE Research available via California’s Measurement and Advisory Council (CALMAC.org) wasn’t part of the literature review.</w:t>
      </w:r>
    </w:p>
    <w:p w14:paraId="02BB7439" w14:textId="77777777" w:rsidR="003943AF" w:rsidRPr="00EA4A47" w:rsidRDefault="003943AF" w:rsidP="003943AF">
      <w:pPr>
        <w:rPr>
          <w:rFonts w:ascii="Calibri" w:eastAsia="Times New Roman" w:hAnsi="Calibri" w:cs="Calibri"/>
          <w:color w:val="000000"/>
          <w:sz w:val="16"/>
          <w:szCs w:val="16"/>
        </w:rPr>
      </w:pPr>
      <w:r w:rsidRPr="00EA4A47">
        <w:rPr>
          <w:rFonts w:ascii="Calibri" w:eastAsia="Times New Roman" w:hAnsi="Calibri" w:cs="Calibri"/>
          <w:color w:val="000000"/>
          <w:sz w:val="16"/>
          <w:szCs w:val="16"/>
        </w:rPr>
        <w:t>(3) Some of the information included was incorrect.</w:t>
      </w:r>
    </w:p>
    <w:p w14:paraId="179A3D45" w14:textId="2E3F0BB5" w:rsidR="00EA5152" w:rsidRPr="0008794A" w:rsidRDefault="003943AF" w:rsidP="0008794A">
      <w:pPr>
        <w:rPr>
          <w:rFonts w:ascii="Calibri" w:eastAsia="Times New Roman" w:hAnsi="Calibri" w:cs="Calibri"/>
          <w:color w:val="000000"/>
          <w:sz w:val="16"/>
          <w:szCs w:val="16"/>
        </w:rPr>
      </w:pPr>
      <w:r w:rsidRPr="00EA4A47">
        <w:rPr>
          <w:rFonts w:ascii="Calibri" w:eastAsia="Times New Roman" w:hAnsi="Calibri" w:cs="Calibri"/>
          <w:color w:val="000000"/>
          <w:sz w:val="16"/>
          <w:szCs w:val="16"/>
        </w:rPr>
        <w:t xml:space="preserve">(4) </w:t>
      </w:r>
      <w:r>
        <w:rPr>
          <w:rFonts w:ascii="Calibri" w:eastAsia="Times New Roman" w:hAnsi="Calibri" w:cs="Calibri"/>
          <w:color w:val="000000"/>
          <w:sz w:val="16"/>
          <w:szCs w:val="16"/>
        </w:rPr>
        <w:t>D</w:t>
      </w:r>
      <w:r w:rsidRPr="00EA4A47">
        <w:rPr>
          <w:rFonts w:ascii="Calibri" w:eastAsia="Times New Roman" w:hAnsi="Calibri" w:cs="Calibri"/>
          <w:color w:val="000000"/>
          <w:sz w:val="16"/>
          <w:szCs w:val="16"/>
        </w:rPr>
        <w:t>isagree with the students’ interpretation of the results and final conclusion.</w:t>
      </w:r>
    </w:p>
  </w:footnote>
  <w:footnote w:id="6">
    <w:p w14:paraId="3491B168" w14:textId="77777777" w:rsidR="009F0341" w:rsidRPr="0008794A" w:rsidRDefault="009F0341" w:rsidP="00FD3CA8">
      <w:pPr>
        <w:pStyle w:val="FootnoteText"/>
        <w:rPr>
          <w:sz w:val="16"/>
          <w:szCs w:val="16"/>
        </w:rPr>
      </w:pPr>
      <w:r w:rsidRPr="0008794A">
        <w:rPr>
          <w:rStyle w:val="FootnoteReference"/>
          <w:sz w:val="16"/>
          <w:szCs w:val="16"/>
        </w:rPr>
        <w:footnoteRef/>
      </w:r>
      <w:r w:rsidRPr="0008794A">
        <w:rPr>
          <w:sz w:val="16"/>
          <w:szCs w:val="16"/>
        </w:rPr>
        <w:t xml:space="preserve"> Pacific Gas &amp; Electric, Southern California Edison, San Diego Gas &amp; Electric, and Southern California Gas Company.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F65BE6"/>
    <w:lvl w:ilvl="0">
      <w:start w:val="1"/>
      <w:numFmt w:val="decimal"/>
      <w:lvlText w:val="%1."/>
      <w:lvlJc w:val="left"/>
      <w:pPr>
        <w:tabs>
          <w:tab w:val="num" w:pos="1800"/>
        </w:tabs>
        <w:ind w:left="1800" w:hanging="360"/>
      </w:pPr>
    </w:lvl>
  </w:abstractNum>
  <w:abstractNum w:abstractNumId="1"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4547D"/>
    <w:multiLevelType w:val="hybridMultilevel"/>
    <w:tmpl w:val="ACDE5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A2206"/>
    <w:multiLevelType w:val="hybridMultilevel"/>
    <w:tmpl w:val="DDE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259C7"/>
    <w:multiLevelType w:val="hybridMultilevel"/>
    <w:tmpl w:val="E2E2A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65D19"/>
    <w:multiLevelType w:val="hybridMultilevel"/>
    <w:tmpl w:val="92A6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3607E"/>
    <w:multiLevelType w:val="hybridMultilevel"/>
    <w:tmpl w:val="099E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33ED1"/>
    <w:multiLevelType w:val="multilevel"/>
    <w:tmpl w:val="1390E4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0ED43B2"/>
    <w:multiLevelType w:val="hybridMultilevel"/>
    <w:tmpl w:val="811A5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A6767"/>
    <w:multiLevelType w:val="hybridMultilevel"/>
    <w:tmpl w:val="369C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36A4D"/>
    <w:multiLevelType w:val="multilevel"/>
    <w:tmpl w:val="8FA892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E8219F"/>
    <w:multiLevelType w:val="hybridMultilevel"/>
    <w:tmpl w:val="1BBA28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0221ABB"/>
    <w:multiLevelType w:val="hybridMultilevel"/>
    <w:tmpl w:val="3F2ABE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19E"/>
    <w:multiLevelType w:val="hybridMultilevel"/>
    <w:tmpl w:val="055E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356D4"/>
    <w:multiLevelType w:val="hybridMultilevel"/>
    <w:tmpl w:val="B7FE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B6249"/>
    <w:multiLevelType w:val="hybridMultilevel"/>
    <w:tmpl w:val="937E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C1818"/>
    <w:multiLevelType w:val="hybridMultilevel"/>
    <w:tmpl w:val="EB28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4"/>
  </w:num>
  <w:num w:numId="4">
    <w:abstractNumId w:val="2"/>
  </w:num>
  <w:num w:numId="5">
    <w:abstractNumId w:val="1"/>
  </w:num>
  <w:num w:numId="6">
    <w:abstractNumId w:val="8"/>
  </w:num>
  <w:num w:numId="7">
    <w:abstractNumId w:val="5"/>
  </w:num>
  <w:num w:numId="8">
    <w:abstractNumId w:val="0"/>
  </w:num>
  <w:num w:numId="9">
    <w:abstractNumId w:val="11"/>
  </w:num>
  <w:num w:numId="10">
    <w:abstractNumId w:val="12"/>
  </w:num>
  <w:num w:numId="11">
    <w:abstractNumId w:val="3"/>
  </w:num>
  <w:num w:numId="12">
    <w:abstractNumId w:val="7"/>
  </w:num>
  <w:num w:numId="13">
    <w:abstractNumId w:val="9"/>
  </w:num>
  <w:num w:numId="14">
    <w:abstractNumId w:val="15"/>
  </w:num>
  <w:num w:numId="15">
    <w:abstractNumId w:val="6"/>
  </w:num>
  <w:num w:numId="16">
    <w:abstractNumId w:val="13"/>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E9"/>
    <w:rsid w:val="00086504"/>
    <w:rsid w:val="0008794A"/>
    <w:rsid w:val="000A74BD"/>
    <w:rsid w:val="000B2B0F"/>
    <w:rsid w:val="000D7F47"/>
    <w:rsid w:val="000E5C2C"/>
    <w:rsid w:val="001010A1"/>
    <w:rsid w:val="001478E7"/>
    <w:rsid w:val="00185456"/>
    <w:rsid w:val="00185966"/>
    <w:rsid w:val="0018608F"/>
    <w:rsid w:val="00233EE6"/>
    <w:rsid w:val="00234D50"/>
    <w:rsid w:val="00241B1C"/>
    <w:rsid w:val="00271494"/>
    <w:rsid w:val="002854B8"/>
    <w:rsid w:val="00294980"/>
    <w:rsid w:val="00327032"/>
    <w:rsid w:val="003563E7"/>
    <w:rsid w:val="003627AE"/>
    <w:rsid w:val="00385284"/>
    <w:rsid w:val="003943AF"/>
    <w:rsid w:val="003A1570"/>
    <w:rsid w:val="003B3C9B"/>
    <w:rsid w:val="003F3066"/>
    <w:rsid w:val="003F3BDB"/>
    <w:rsid w:val="003F46E6"/>
    <w:rsid w:val="003F618B"/>
    <w:rsid w:val="0042589A"/>
    <w:rsid w:val="0043177E"/>
    <w:rsid w:val="00475413"/>
    <w:rsid w:val="004848F2"/>
    <w:rsid w:val="004918AB"/>
    <w:rsid w:val="004A001D"/>
    <w:rsid w:val="004E0055"/>
    <w:rsid w:val="00505430"/>
    <w:rsid w:val="00526A94"/>
    <w:rsid w:val="00542446"/>
    <w:rsid w:val="00551C27"/>
    <w:rsid w:val="00571CD9"/>
    <w:rsid w:val="00582A5B"/>
    <w:rsid w:val="005B18A0"/>
    <w:rsid w:val="005B5655"/>
    <w:rsid w:val="005C13E9"/>
    <w:rsid w:val="005E382A"/>
    <w:rsid w:val="00626286"/>
    <w:rsid w:val="006506FD"/>
    <w:rsid w:val="00662C01"/>
    <w:rsid w:val="00683ECB"/>
    <w:rsid w:val="006C3D45"/>
    <w:rsid w:val="006C41A9"/>
    <w:rsid w:val="00707AA1"/>
    <w:rsid w:val="007622B7"/>
    <w:rsid w:val="00774AEB"/>
    <w:rsid w:val="00783D81"/>
    <w:rsid w:val="00785ABD"/>
    <w:rsid w:val="007B1863"/>
    <w:rsid w:val="007B19DB"/>
    <w:rsid w:val="007C35C1"/>
    <w:rsid w:val="007F3A45"/>
    <w:rsid w:val="00847785"/>
    <w:rsid w:val="008536B2"/>
    <w:rsid w:val="00864653"/>
    <w:rsid w:val="0089314D"/>
    <w:rsid w:val="008B6827"/>
    <w:rsid w:val="00900B2F"/>
    <w:rsid w:val="0090547A"/>
    <w:rsid w:val="00935240"/>
    <w:rsid w:val="009547D4"/>
    <w:rsid w:val="009710F0"/>
    <w:rsid w:val="009B0E73"/>
    <w:rsid w:val="009F0341"/>
    <w:rsid w:val="00A11732"/>
    <w:rsid w:val="00A4029A"/>
    <w:rsid w:val="00A70DDA"/>
    <w:rsid w:val="00A855F5"/>
    <w:rsid w:val="00AB28C8"/>
    <w:rsid w:val="00AD1EF0"/>
    <w:rsid w:val="00B2539D"/>
    <w:rsid w:val="00B317A4"/>
    <w:rsid w:val="00B459BD"/>
    <w:rsid w:val="00BA222C"/>
    <w:rsid w:val="00BB7000"/>
    <w:rsid w:val="00BC48D2"/>
    <w:rsid w:val="00C05DCC"/>
    <w:rsid w:val="00C5408C"/>
    <w:rsid w:val="00C546F6"/>
    <w:rsid w:val="00C82C31"/>
    <w:rsid w:val="00CA1C23"/>
    <w:rsid w:val="00CA4369"/>
    <w:rsid w:val="00CC0AEF"/>
    <w:rsid w:val="00CF7714"/>
    <w:rsid w:val="00D14FAD"/>
    <w:rsid w:val="00D5036C"/>
    <w:rsid w:val="00D73041"/>
    <w:rsid w:val="00D9769E"/>
    <w:rsid w:val="00DB2AFD"/>
    <w:rsid w:val="00DC10F3"/>
    <w:rsid w:val="00DC1AF2"/>
    <w:rsid w:val="00DE1689"/>
    <w:rsid w:val="00DE22B8"/>
    <w:rsid w:val="00E05BED"/>
    <w:rsid w:val="00E13D53"/>
    <w:rsid w:val="00E75D80"/>
    <w:rsid w:val="00EA27BD"/>
    <w:rsid w:val="00EA2819"/>
    <w:rsid w:val="00EA5152"/>
    <w:rsid w:val="00EA6B12"/>
    <w:rsid w:val="00EB00DD"/>
    <w:rsid w:val="00F27452"/>
    <w:rsid w:val="00F52BAC"/>
    <w:rsid w:val="00F6645A"/>
    <w:rsid w:val="00FA300D"/>
    <w:rsid w:val="00FA7CD4"/>
    <w:rsid w:val="00FD3C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DCBB"/>
  <w15:chartTrackingRefBased/>
  <w15:docId w15:val="{B7DAE028-B478-DB44-A8CC-6A2EA0BA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3E7"/>
    <w:pPr>
      <w:keepNext/>
      <w:keepLines/>
      <w:spacing w:before="240" w:line="276" w:lineRule="auto"/>
      <w:ind w:firstLine="720"/>
      <w:outlineLvl w:val="0"/>
    </w:pPr>
    <w:rPr>
      <w:rFonts w:asciiTheme="majorHAnsi" w:eastAsiaTheme="majorEastAsia" w:hAnsiTheme="majorHAnsi" w:cstheme="majorBidi"/>
      <w:color w:val="2F5496" w:themeColor="accent1" w:themeShade="BF"/>
      <w:sz w:val="32"/>
      <w:szCs w:val="32"/>
      <w:lang w:val="en"/>
    </w:rPr>
  </w:style>
  <w:style w:type="paragraph" w:styleId="Heading2">
    <w:name w:val="heading 2"/>
    <w:basedOn w:val="Normal"/>
    <w:next w:val="Normal"/>
    <w:link w:val="Heading2Char"/>
    <w:uiPriority w:val="9"/>
    <w:unhideWhenUsed/>
    <w:qFormat/>
    <w:rsid w:val="003563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3E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563E7"/>
    <w:rPr>
      <w:rFonts w:asciiTheme="majorHAnsi" w:eastAsiaTheme="majorEastAsia" w:hAnsiTheme="majorHAnsi" w:cstheme="majorBidi"/>
      <w:color w:val="2F5496" w:themeColor="accent1" w:themeShade="BF"/>
      <w:sz w:val="32"/>
      <w:szCs w:val="32"/>
      <w:lang w:val="en"/>
    </w:rPr>
  </w:style>
  <w:style w:type="paragraph" w:styleId="Title">
    <w:name w:val="Title"/>
    <w:basedOn w:val="Normal"/>
    <w:next w:val="Normal"/>
    <w:link w:val="TitleChar"/>
    <w:uiPriority w:val="10"/>
    <w:qFormat/>
    <w:rsid w:val="003563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3E7"/>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3563E7"/>
    <w:rPr>
      <w:rFonts w:eastAsiaTheme="minorEastAsia"/>
      <w:sz w:val="22"/>
      <w:szCs w:val="22"/>
      <w:lang w:eastAsia="zh-CN"/>
    </w:rPr>
  </w:style>
  <w:style w:type="character" w:customStyle="1" w:styleId="NoSpacingChar">
    <w:name w:val="No Spacing Char"/>
    <w:basedOn w:val="DefaultParagraphFont"/>
    <w:link w:val="NoSpacing"/>
    <w:uiPriority w:val="1"/>
    <w:rsid w:val="003563E7"/>
    <w:rPr>
      <w:rFonts w:eastAsiaTheme="minorEastAsia"/>
      <w:sz w:val="22"/>
      <w:szCs w:val="22"/>
      <w:lang w:eastAsia="zh-CN"/>
    </w:rPr>
  </w:style>
  <w:style w:type="character" w:customStyle="1" w:styleId="Heading2Char">
    <w:name w:val="Heading 2 Char"/>
    <w:basedOn w:val="DefaultParagraphFont"/>
    <w:link w:val="Heading2"/>
    <w:uiPriority w:val="9"/>
    <w:rsid w:val="003563E7"/>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7B19DB"/>
    <w:pPr>
      <w:tabs>
        <w:tab w:val="center" w:pos="4680"/>
        <w:tab w:val="right" w:pos="9360"/>
      </w:tabs>
    </w:pPr>
  </w:style>
  <w:style w:type="character" w:customStyle="1" w:styleId="FooterChar">
    <w:name w:val="Footer Char"/>
    <w:basedOn w:val="DefaultParagraphFont"/>
    <w:link w:val="Footer"/>
    <w:uiPriority w:val="99"/>
    <w:rsid w:val="007B19DB"/>
  </w:style>
  <w:style w:type="character" w:styleId="PageNumber">
    <w:name w:val="page number"/>
    <w:basedOn w:val="DefaultParagraphFont"/>
    <w:uiPriority w:val="99"/>
    <w:semiHidden/>
    <w:unhideWhenUsed/>
    <w:rsid w:val="007B19DB"/>
  </w:style>
  <w:style w:type="paragraph" w:styleId="TOCHeading">
    <w:name w:val="TOC Heading"/>
    <w:basedOn w:val="Heading1"/>
    <w:next w:val="Normal"/>
    <w:uiPriority w:val="39"/>
    <w:unhideWhenUsed/>
    <w:qFormat/>
    <w:rsid w:val="007B19DB"/>
    <w:pPr>
      <w:spacing w:before="480"/>
      <w:ind w:firstLine="0"/>
      <w:outlineLvl w:val="9"/>
    </w:pPr>
    <w:rPr>
      <w:b/>
      <w:bCs/>
      <w:sz w:val="28"/>
      <w:szCs w:val="28"/>
      <w:lang w:val="en-US"/>
    </w:rPr>
  </w:style>
  <w:style w:type="paragraph" w:styleId="TOC1">
    <w:name w:val="toc 1"/>
    <w:basedOn w:val="Normal"/>
    <w:next w:val="Normal"/>
    <w:autoRedefine/>
    <w:uiPriority w:val="39"/>
    <w:unhideWhenUsed/>
    <w:rsid w:val="00DC1AF2"/>
    <w:pPr>
      <w:tabs>
        <w:tab w:val="right" w:leader="dot" w:pos="9350"/>
      </w:tabs>
      <w:spacing w:before="120"/>
    </w:pPr>
    <w:rPr>
      <w:rFonts w:cstheme="minorHAnsi"/>
      <w:b/>
      <w:bCs/>
      <w:i/>
      <w:iCs/>
    </w:rPr>
  </w:style>
  <w:style w:type="paragraph" w:styleId="TOC2">
    <w:name w:val="toc 2"/>
    <w:basedOn w:val="Normal"/>
    <w:next w:val="Normal"/>
    <w:autoRedefine/>
    <w:uiPriority w:val="39"/>
    <w:unhideWhenUsed/>
    <w:rsid w:val="007B19DB"/>
    <w:pPr>
      <w:spacing w:before="120"/>
      <w:ind w:left="240"/>
    </w:pPr>
    <w:rPr>
      <w:rFonts w:cstheme="minorHAnsi"/>
      <w:b/>
      <w:bCs/>
      <w:sz w:val="22"/>
      <w:szCs w:val="22"/>
    </w:rPr>
  </w:style>
  <w:style w:type="character" w:styleId="Hyperlink">
    <w:name w:val="Hyperlink"/>
    <w:basedOn w:val="DefaultParagraphFont"/>
    <w:uiPriority w:val="99"/>
    <w:unhideWhenUsed/>
    <w:rsid w:val="007B19DB"/>
    <w:rPr>
      <w:color w:val="0563C1" w:themeColor="hyperlink"/>
      <w:u w:val="single"/>
    </w:rPr>
  </w:style>
  <w:style w:type="paragraph" w:styleId="TOC3">
    <w:name w:val="toc 3"/>
    <w:basedOn w:val="Normal"/>
    <w:next w:val="Normal"/>
    <w:autoRedefine/>
    <w:uiPriority w:val="39"/>
    <w:semiHidden/>
    <w:unhideWhenUsed/>
    <w:rsid w:val="007B19DB"/>
    <w:pPr>
      <w:ind w:left="480"/>
    </w:pPr>
    <w:rPr>
      <w:rFonts w:cstheme="minorHAnsi"/>
      <w:sz w:val="20"/>
      <w:szCs w:val="20"/>
    </w:rPr>
  </w:style>
  <w:style w:type="paragraph" w:styleId="TOC4">
    <w:name w:val="toc 4"/>
    <w:basedOn w:val="Normal"/>
    <w:next w:val="Normal"/>
    <w:autoRedefine/>
    <w:uiPriority w:val="39"/>
    <w:semiHidden/>
    <w:unhideWhenUsed/>
    <w:rsid w:val="007B19DB"/>
    <w:pPr>
      <w:ind w:left="720"/>
    </w:pPr>
    <w:rPr>
      <w:rFonts w:cstheme="minorHAnsi"/>
      <w:sz w:val="20"/>
      <w:szCs w:val="20"/>
    </w:rPr>
  </w:style>
  <w:style w:type="paragraph" w:styleId="TOC5">
    <w:name w:val="toc 5"/>
    <w:basedOn w:val="Normal"/>
    <w:next w:val="Normal"/>
    <w:autoRedefine/>
    <w:uiPriority w:val="39"/>
    <w:semiHidden/>
    <w:unhideWhenUsed/>
    <w:rsid w:val="007B19DB"/>
    <w:pPr>
      <w:ind w:left="960"/>
    </w:pPr>
    <w:rPr>
      <w:rFonts w:cstheme="minorHAnsi"/>
      <w:sz w:val="20"/>
      <w:szCs w:val="20"/>
    </w:rPr>
  </w:style>
  <w:style w:type="paragraph" w:styleId="TOC6">
    <w:name w:val="toc 6"/>
    <w:basedOn w:val="Normal"/>
    <w:next w:val="Normal"/>
    <w:autoRedefine/>
    <w:uiPriority w:val="39"/>
    <w:semiHidden/>
    <w:unhideWhenUsed/>
    <w:rsid w:val="007B19DB"/>
    <w:pPr>
      <w:ind w:left="1200"/>
    </w:pPr>
    <w:rPr>
      <w:rFonts w:cstheme="minorHAnsi"/>
      <w:sz w:val="20"/>
      <w:szCs w:val="20"/>
    </w:rPr>
  </w:style>
  <w:style w:type="paragraph" w:styleId="TOC7">
    <w:name w:val="toc 7"/>
    <w:basedOn w:val="Normal"/>
    <w:next w:val="Normal"/>
    <w:autoRedefine/>
    <w:uiPriority w:val="39"/>
    <w:semiHidden/>
    <w:unhideWhenUsed/>
    <w:rsid w:val="007B19DB"/>
    <w:pPr>
      <w:ind w:left="1440"/>
    </w:pPr>
    <w:rPr>
      <w:rFonts w:cstheme="minorHAnsi"/>
      <w:sz w:val="20"/>
      <w:szCs w:val="20"/>
    </w:rPr>
  </w:style>
  <w:style w:type="paragraph" w:styleId="TOC8">
    <w:name w:val="toc 8"/>
    <w:basedOn w:val="Normal"/>
    <w:next w:val="Normal"/>
    <w:autoRedefine/>
    <w:uiPriority w:val="39"/>
    <w:semiHidden/>
    <w:unhideWhenUsed/>
    <w:rsid w:val="007B19DB"/>
    <w:pPr>
      <w:ind w:left="1680"/>
    </w:pPr>
    <w:rPr>
      <w:rFonts w:cstheme="minorHAnsi"/>
      <w:sz w:val="20"/>
      <w:szCs w:val="20"/>
    </w:rPr>
  </w:style>
  <w:style w:type="paragraph" w:styleId="TOC9">
    <w:name w:val="toc 9"/>
    <w:basedOn w:val="Normal"/>
    <w:next w:val="Normal"/>
    <w:autoRedefine/>
    <w:uiPriority w:val="39"/>
    <w:semiHidden/>
    <w:unhideWhenUsed/>
    <w:rsid w:val="007B19DB"/>
    <w:pPr>
      <w:ind w:left="1920"/>
    </w:pPr>
    <w:rPr>
      <w:rFonts w:cstheme="minorHAns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7B1863"/>
    <w:rPr>
      <w:vertAlign w:val="superscript"/>
    </w:rPr>
  </w:style>
  <w:style w:type="paragraph" w:styleId="Caption">
    <w:name w:val="caption"/>
    <w:basedOn w:val="Normal"/>
    <w:next w:val="Normal"/>
    <w:uiPriority w:val="35"/>
    <w:unhideWhenUsed/>
    <w:qFormat/>
    <w:rsid w:val="007B1863"/>
    <w:pPr>
      <w:spacing w:after="200"/>
    </w:pPr>
    <w:rPr>
      <w:rFonts w:ascii="Times New Roman" w:eastAsia="Times New Roman" w:hAnsi="Times New Roman" w:cs="Times New Roman"/>
      <w:i/>
      <w:iCs/>
      <w:color w:val="44546A" w:themeColor="text2"/>
      <w:sz w:val="18"/>
      <w:szCs w:val="18"/>
    </w:rPr>
  </w:style>
  <w:style w:type="paragraph" w:styleId="FootnoteText">
    <w:name w:val="footnote text"/>
    <w:basedOn w:val="Normal"/>
    <w:link w:val="FootnoteTextChar"/>
    <w:uiPriority w:val="99"/>
    <w:unhideWhenUsed/>
    <w:rsid w:val="007B1863"/>
    <w:rPr>
      <w:sz w:val="20"/>
      <w:szCs w:val="20"/>
    </w:rPr>
  </w:style>
  <w:style w:type="character" w:customStyle="1" w:styleId="FootnoteTextChar">
    <w:name w:val="Footnote Text Char"/>
    <w:basedOn w:val="DefaultParagraphFont"/>
    <w:link w:val="FootnoteText"/>
    <w:uiPriority w:val="99"/>
    <w:rsid w:val="007B1863"/>
    <w:rPr>
      <w:sz w:val="20"/>
      <w:szCs w:val="20"/>
    </w:rPr>
  </w:style>
  <w:style w:type="character" w:styleId="UnresolvedMention">
    <w:name w:val="Unresolved Mention"/>
    <w:basedOn w:val="DefaultParagraphFont"/>
    <w:uiPriority w:val="99"/>
    <w:semiHidden/>
    <w:unhideWhenUsed/>
    <w:rsid w:val="007B1863"/>
    <w:rPr>
      <w:color w:val="605E5C"/>
      <w:shd w:val="clear" w:color="auto" w:fill="E1DFDD"/>
    </w:rPr>
  </w:style>
  <w:style w:type="paragraph" w:styleId="CommentText">
    <w:name w:val="annotation text"/>
    <w:basedOn w:val="Normal"/>
    <w:link w:val="CommentTextChar"/>
    <w:uiPriority w:val="99"/>
    <w:unhideWhenUsed/>
    <w:rsid w:val="00E13D53"/>
    <w:rPr>
      <w:sz w:val="20"/>
      <w:szCs w:val="20"/>
    </w:rPr>
  </w:style>
  <w:style w:type="character" w:customStyle="1" w:styleId="CommentTextChar">
    <w:name w:val="Comment Text Char"/>
    <w:basedOn w:val="DefaultParagraphFont"/>
    <w:link w:val="CommentText"/>
    <w:uiPriority w:val="99"/>
    <w:rsid w:val="00E13D53"/>
    <w:rPr>
      <w:sz w:val="20"/>
      <w:szCs w:val="20"/>
    </w:rPr>
  </w:style>
  <w:style w:type="table" w:styleId="GridTable4">
    <w:name w:val="Grid Table 4"/>
    <w:basedOn w:val="TableNormal"/>
    <w:uiPriority w:val="49"/>
    <w:rsid w:val="00BB70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BB70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C5408C"/>
    <w:pPr>
      <w:spacing w:after="240" w:line="276"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5408C"/>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89314D"/>
    <w:rPr>
      <w:sz w:val="16"/>
      <w:szCs w:val="16"/>
    </w:rPr>
  </w:style>
  <w:style w:type="paragraph" w:styleId="CommentSubject">
    <w:name w:val="annotation subject"/>
    <w:basedOn w:val="CommentText"/>
    <w:next w:val="CommentText"/>
    <w:link w:val="CommentSubjectChar"/>
    <w:uiPriority w:val="99"/>
    <w:semiHidden/>
    <w:unhideWhenUsed/>
    <w:rsid w:val="0089314D"/>
    <w:rPr>
      <w:b/>
      <w:bCs/>
    </w:rPr>
  </w:style>
  <w:style w:type="character" w:customStyle="1" w:styleId="CommentSubjectChar">
    <w:name w:val="Comment Subject Char"/>
    <w:basedOn w:val="CommentTextChar"/>
    <w:link w:val="CommentSubject"/>
    <w:uiPriority w:val="99"/>
    <w:semiHidden/>
    <w:rsid w:val="0089314D"/>
    <w:rPr>
      <w:b/>
      <w:bCs/>
      <w:sz w:val="20"/>
      <w:szCs w:val="20"/>
    </w:rPr>
  </w:style>
  <w:style w:type="paragraph" w:styleId="Revision">
    <w:name w:val="Revision"/>
    <w:hidden/>
    <w:uiPriority w:val="99"/>
    <w:semiHidden/>
    <w:rsid w:val="0089314D"/>
  </w:style>
  <w:style w:type="character" w:styleId="FollowedHyperlink">
    <w:name w:val="FollowedHyperlink"/>
    <w:basedOn w:val="DefaultParagraphFont"/>
    <w:uiPriority w:val="99"/>
    <w:semiHidden/>
    <w:unhideWhenUsed/>
    <w:rsid w:val="00FA30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82063">
      <w:bodyDiv w:val="1"/>
      <w:marLeft w:val="0"/>
      <w:marRight w:val="0"/>
      <w:marTop w:val="0"/>
      <w:marBottom w:val="0"/>
      <w:divBdr>
        <w:top w:val="none" w:sz="0" w:space="0" w:color="auto"/>
        <w:left w:val="none" w:sz="0" w:space="0" w:color="auto"/>
        <w:bottom w:val="none" w:sz="0" w:space="0" w:color="auto"/>
        <w:right w:val="none" w:sz="0" w:space="0" w:color="auto"/>
      </w:divBdr>
    </w:div>
    <w:div w:id="582640681">
      <w:bodyDiv w:val="1"/>
      <w:marLeft w:val="0"/>
      <w:marRight w:val="0"/>
      <w:marTop w:val="0"/>
      <w:marBottom w:val="0"/>
      <w:divBdr>
        <w:top w:val="none" w:sz="0" w:space="0" w:color="auto"/>
        <w:left w:val="none" w:sz="0" w:space="0" w:color="auto"/>
        <w:bottom w:val="none" w:sz="0" w:space="0" w:color="auto"/>
        <w:right w:val="none" w:sz="0" w:space="0" w:color="auto"/>
      </w:divBdr>
    </w:div>
    <w:div w:id="791019529">
      <w:bodyDiv w:val="1"/>
      <w:marLeft w:val="0"/>
      <w:marRight w:val="0"/>
      <w:marTop w:val="0"/>
      <w:marBottom w:val="0"/>
      <w:divBdr>
        <w:top w:val="none" w:sz="0" w:space="0" w:color="auto"/>
        <w:left w:val="none" w:sz="0" w:space="0" w:color="auto"/>
        <w:bottom w:val="none" w:sz="0" w:space="0" w:color="auto"/>
        <w:right w:val="none" w:sz="0" w:space="0" w:color="auto"/>
      </w:divBdr>
    </w:div>
    <w:div w:id="10809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aeecc.org/underserved-working-group-20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aeecc.org/underserved-working-group-2020" TargetMode="External"/><Relationship Id="rId1" Type="http://schemas.openxmlformats.org/officeDocument/2006/relationships/hyperlink" Target="https://www.caeecc.org/underserved-working-group-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CAEECC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E87483-E2A2-014C-AC50-C16ECB31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California Energy Efficiency Coordinating Committee (CAEECC) Hosted Underserved Working Group (UWG)</vt:lpstr>
    </vt:vector>
  </TitlesOfParts>
  <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Energy Efficiency Coordinating Committee (CAEECC) Hosted Underserved Working Group (UWG)</dc:title>
  <dc:subject>Summary Memo – for transmittal to California public utilities commission (CPUC)</dc:subject>
  <dc:creator>Draft August 17, 2021 – TO BE REVIEWED BY CAEECC MEMBERS BEFORE TRANSMITTAL TO CPUC</dc:creator>
  <cp:keywords/>
  <dc:description/>
  <cp:lastModifiedBy>Katherine Mckeague Abrams</cp:lastModifiedBy>
  <cp:revision>4</cp:revision>
  <dcterms:created xsi:type="dcterms:W3CDTF">2021-08-17T15:45:00Z</dcterms:created>
  <dcterms:modified xsi:type="dcterms:W3CDTF">2021-08-17T15:46:00Z</dcterms:modified>
</cp:coreProperties>
</file>