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194842" w14:textId="5DDEF67B" w:rsidR="002D79C3" w:rsidRPr="00C35766" w:rsidRDefault="00E92601" w:rsidP="00A95D1E">
      <w:pPr>
        <w:jc w:val="center"/>
        <w:rPr>
          <w:b/>
          <w:bCs/>
        </w:rPr>
      </w:pPr>
      <w:r w:rsidRPr="00C70F36">
        <w:rPr>
          <w:b/>
          <w:bCs/>
        </w:rPr>
        <w:t>CAEECC-</w:t>
      </w:r>
      <w:r w:rsidRPr="00392090">
        <w:rPr>
          <w:b/>
          <w:bCs/>
        </w:rPr>
        <w:t xml:space="preserve">Hosted </w:t>
      </w:r>
      <w:r w:rsidR="00065BCB" w:rsidRPr="00C35766">
        <w:rPr>
          <w:b/>
          <w:bCs/>
        </w:rPr>
        <w:t>Process on Underserved</w:t>
      </w:r>
      <w:r w:rsidR="00800E08" w:rsidRPr="00C35766">
        <w:rPr>
          <w:b/>
          <w:bCs/>
        </w:rPr>
        <w:t xml:space="preserve"> </w:t>
      </w:r>
      <w:r w:rsidR="008E7CB3" w:rsidRPr="00C35766">
        <w:rPr>
          <w:b/>
          <w:bCs/>
        </w:rPr>
        <w:t>Customers</w:t>
      </w:r>
    </w:p>
    <w:p w14:paraId="02F5ED50" w14:textId="16349928" w:rsidR="00A95D1E" w:rsidRPr="00C35766" w:rsidRDefault="00480564" w:rsidP="00A95D1E">
      <w:pPr>
        <w:jc w:val="center"/>
        <w:rPr>
          <w:b/>
          <w:bCs/>
        </w:rPr>
      </w:pPr>
      <w:r w:rsidRPr="00C35766">
        <w:rPr>
          <w:b/>
          <w:bCs/>
        </w:rPr>
        <w:t xml:space="preserve">Draft Prospectus </w:t>
      </w:r>
      <w:r w:rsidR="00065BCB" w:rsidRPr="00C35766">
        <w:rPr>
          <w:b/>
          <w:bCs/>
        </w:rPr>
        <w:t>4/</w:t>
      </w:r>
      <w:r w:rsidR="004D7A87">
        <w:rPr>
          <w:b/>
          <w:bCs/>
        </w:rPr>
        <w:t>3</w:t>
      </w:r>
      <w:r w:rsidR="00FD28E3" w:rsidRPr="00C35766">
        <w:rPr>
          <w:b/>
          <w:bCs/>
        </w:rPr>
        <w:t>0</w:t>
      </w:r>
      <w:r w:rsidR="00065BCB" w:rsidRPr="00C35766">
        <w:rPr>
          <w:b/>
          <w:bCs/>
        </w:rPr>
        <w:t>/20</w:t>
      </w:r>
    </w:p>
    <w:p w14:paraId="2F9DC7AB" w14:textId="77777777" w:rsidR="00E92601" w:rsidRPr="00C35766" w:rsidRDefault="00E92601"/>
    <w:p w14:paraId="5301A80A" w14:textId="77777777" w:rsidR="00E92601" w:rsidRPr="00C70F36" w:rsidRDefault="00E92601" w:rsidP="00C70F36">
      <w:pPr>
        <w:spacing w:after="120"/>
        <w:rPr>
          <w:b/>
          <w:bCs/>
        </w:rPr>
      </w:pPr>
      <w:r w:rsidRPr="00C35766">
        <w:rPr>
          <w:b/>
          <w:bCs/>
        </w:rPr>
        <w:t>Goals:</w:t>
      </w:r>
    </w:p>
    <w:p w14:paraId="4F729E86" w14:textId="5A2DF619" w:rsidR="00417C3A" w:rsidRPr="00C70F36" w:rsidRDefault="00091435" w:rsidP="005E4C1E">
      <w:pPr>
        <w:rPr>
          <w:rFonts w:ascii="Times New Roman" w:eastAsia="Times New Roman" w:hAnsi="Times New Roman" w:cs="Times New Roman"/>
        </w:rPr>
      </w:pPr>
      <w:r w:rsidRPr="00C70F36">
        <w:t xml:space="preserve">To </w:t>
      </w:r>
      <w:r w:rsidR="00065BCB">
        <w:t>investigate</w:t>
      </w:r>
      <w:r w:rsidR="00800E08">
        <w:t xml:space="preserve"> </w:t>
      </w:r>
      <w:r w:rsidR="00065BCB">
        <w:t>what groups of</w:t>
      </w:r>
      <w:r w:rsidR="0068383E" w:rsidRPr="00C70F36">
        <w:t xml:space="preserve"> customer</w:t>
      </w:r>
      <w:r w:rsidR="00065BCB">
        <w:t>s</w:t>
      </w:r>
      <w:r w:rsidR="0068383E" w:rsidRPr="00C70F36">
        <w:t xml:space="preserve"> </w:t>
      </w:r>
      <w:r w:rsidR="00065BCB">
        <w:t xml:space="preserve">are currently </w:t>
      </w:r>
      <w:r w:rsidR="00AB6D4B">
        <w:t xml:space="preserve">underserved by </w:t>
      </w:r>
      <w:r w:rsidR="0068383E" w:rsidRPr="00C70F36">
        <w:t>energy efficiency programs</w:t>
      </w:r>
      <w:r w:rsidR="005B0B93">
        <w:t xml:space="preserve"> (i.e.,</w:t>
      </w:r>
      <w:r w:rsidR="00AB6D4B">
        <w:t xml:space="preserve"> because they face significant barriers to doing so</w:t>
      </w:r>
      <w:r w:rsidR="005B0B93">
        <w:t>)</w:t>
      </w:r>
      <w:r w:rsidR="00065BCB">
        <w:t xml:space="preserve">, and to then devise (with </w:t>
      </w:r>
      <w:r w:rsidR="006125FC">
        <w:t>CAEECC members and other stakeholders</w:t>
      </w:r>
      <w:r w:rsidR="00065BCB">
        <w:t>) the appropriate strategies and forums to address these problems.</w:t>
      </w:r>
    </w:p>
    <w:p w14:paraId="3AC492D1" w14:textId="77777777" w:rsidR="00E92601" w:rsidRPr="00C70F36" w:rsidRDefault="00E92601"/>
    <w:p w14:paraId="2241256F" w14:textId="05F547F1" w:rsidR="00E92601" w:rsidRDefault="00E92601" w:rsidP="00C70F36">
      <w:pPr>
        <w:spacing w:after="120"/>
        <w:rPr>
          <w:b/>
          <w:bCs/>
        </w:rPr>
      </w:pPr>
      <w:r w:rsidRPr="00C70F36">
        <w:rPr>
          <w:b/>
          <w:bCs/>
        </w:rPr>
        <w:t>Brief Background/History:</w:t>
      </w:r>
      <w:r w:rsidR="008879AF">
        <w:rPr>
          <w:b/>
          <w:bCs/>
        </w:rPr>
        <w:t xml:space="preserve">  </w:t>
      </w:r>
    </w:p>
    <w:p w14:paraId="03FA3D31" w14:textId="417A95F1" w:rsidR="00AB6D4B" w:rsidRDefault="00AB6D4B" w:rsidP="00945DFD">
      <w:pPr>
        <w:autoSpaceDE w:val="0"/>
        <w:autoSpaceDN w:val="0"/>
        <w:adjustRightInd w:val="0"/>
        <w:ind w:right="1260"/>
      </w:pPr>
      <w:r>
        <w:t xml:space="preserve">The CPUC has authorized programs to serve the general population as well as specific, vulnerable groups. These programs include: (1) EE main-general population; (2) </w:t>
      </w:r>
      <w:r w:rsidR="005B0B93">
        <w:t>hard-to-reach (</w:t>
      </w:r>
      <w:r>
        <w:t>HTR</w:t>
      </w:r>
      <w:r w:rsidR="005B0B93">
        <w:t>)</w:t>
      </w:r>
      <w:r>
        <w:t>/REN programs; and (3) ESA.</w:t>
      </w:r>
      <w:r w:rsidR="005B0B93">
        <w:t xml:space="preserve">  See appendix for recent history of the HTR</w:t>
      </w:r>
      <w:r w:rsidR="00945DFD">
        <w:t xml:space="preserve"> definition</w:t>
      </w:r>
      <w:r w:rsidR="005B0B93">
        <w:t xml:space="preserve">. </w:t>
      </w:r>
    </w:p>
    <w:p w14:paraId="22DA61EB" w14:textId="77777777" w:rsidR="00AB6D4B" w:rsidRDefault="00AB6D4B" w:rsidP="00EA0A76"/>
    <w:p w14:paraId="01D1E61C" w14:textId="53C498AB" w:rsidR="00EA0A76" w:rsidRPr="00C70F36" w:rsidRDefault="00AB6D4B" w:rsidP="00EA0A76">
      <w:pPr>
        <w:rPr>
          <w:rFonts w:eastAsia="Times New Roman"/>
        </w:rPr>
      </w:pPr>
      <w:r>
        <w:t>T</w:t>
      </w:r>
      <w:r w:rsidR="00EA0A76" w:rsidRPr="00392090">
        <w:t xml:space="preserve">he </w:t>
      </w:r>
      <w:r w:rsidR="00407737" w:rsidRPr="00C35766">
        <w:t xml:space="preserve">goal of investigating underserved customers further </w:t>
      </w:r>
      <w:r w:rsidR="00EA0A76" w:rsidRPr="00C35766">
        <w:t xml:space="preserve">seeks to </w:t>
      </w:r>
      <w:r w:rsidR="00EA0A76" w:rsidRPr="00C35766">
        <w:rPr>
          <w:rFonts w:eastAsia="Times New Roman"/>
        </w:rPr>
        <w:t>1) identify</w:t>
      </w:r>
      <w:r w:rsidR="00EA0A76" w:rsidRPr="00392090">
        <w:rPr>
          <w:rFonts w:eastAsia="Times New Roman"/>
        </w:rPr>
        <w:t xml:space="preserve"> who is not benefiting from energy efficiency programs, 2)</w:t>
      </w:r>
      <w:r w:rsidR="00EA0A76" w:rsidRPr="00C35766">
        <w:rPr>
          <w:rFonts w:eastAsia="Times New Roman"/>
        </w:rPr>
        <w:t xml:space="preserve"> increase the accessibility and availability of energy-saving programs designed specifically to serve these customers, especially those experiencing high energy burden</w:t>
      </w:r>
      <w:r w:rsidR="00EA0A76" w:rsidRPr="00392090">
        <w:rPr>
          <w:rStyle w:val="FootnoteReference"/>
          <w:rFonts w:eastAsia="Times New Roman"/>
        </w:rPr>
        <w:footnoteReference w:id="1"/>
      </w:r>
      <w:r w:rsidR="00EA0A76" w:rsidRPr="00392090">
        <w:rPr>
          <w:rFonts w:eastAsia="Times New Roman"/>
        </w:rPr>
        <w:t xml:space="preserve"> but are not eligible for the Energy Savings Assistance Program,</w:t>
      </w:r>
      <w:r w:rsidR="00EA0A76" w:rsidRPr="00C35766">
        <w:rPr>
          <w:rStyle w:val="FootnoteReference"/>
          <w:rFonts w:eastAsia="Times New Roman"/>
        </w:rPr>
        <w:t xml:space="preserve"> </w:t>
      </w:r>
      <w:r w:rsidR="00EA0A76" w:rsidRPr="00C35766">
        <w:rPr>
          <w:rFonts w:eastAsia="Times New Roman"/>
        </w:rPr>
        <w:t>and 3) scale up energy</w:t>
      </w:r>
      <w:r w:rsidR="00EA0A76" w:rsidRPr="00C70F36">
        <w:rPr>
          <w:rFonts w:eastAsia="Times New Roman"/>
        </w:rPr>
        <w:t xml:space="preserve"> savings to help meet the state's aggressive energy-saving goals.</w:t>
      </w:r>
    </w:p>
    <w:p w14:paraId="5D21D5BD" w14:textId="77777777" w:rsidR="005A0719" w:rsidRPr="00C35766" w:rsidRDefault="005A0719" w:rsidP="005A0719">
      <w:pPr>
        <w:autoSpaceDE w:val="0"/>
        <w:autoSpaceDN w:val="0"/>
        <w:adjustRightInd w:val="0"/>
        <w:rPr>
          <w:rFonts w:ascii="_=ZÀ˛" w:hAnsi="_=ZÀ˛" w:cs="_=ZÀ˛"/>
        </w:rPr>
      </w:pPr>
    </w:p>
    <w:p w14:paraId="761198E3" w14:textId="194632D8" w:rsidR="00E92601" w:rsidRPr="00C35766" w:rsidRDefault="00E92601" w:rsidP="00C70F36">
      <w:pPr>
        <w:spacing w:after="120"/>
        <w:rPr>
          <w:b/>
          <w:bCs/>
        </w:rPr>
      </w:pPr>
      <w:r w:rsidRPr="00C35766">
        <w:rPr>
          <w:b/>
          <w:bCs/>
        </w:rPr>
        <w:t>Problem</w:t>
      </w:r>
      <w:r w:rsidR="00FB677E" w:rsidRPr="00C35766">
        <w:rPr>
          <w:b/>
          <w:bCs/>
        </w:rPr>
        <w:t xml:space="preserve"> Statement</w:t>
      </w:r>
      <w:r w:rsidRPr="00C35766">
        <w:rPr>
          <w:b/>
          <w:bCs/>
        </w:rPr>
        <w:t>:</w:t>
      </w:r>
      <w:r w:rsidR="008879AF" w:rsidRPr="00C35766">
        <w:rPr>
          <w:b/>
          <w:bCs/>
        </w:rPr>
        <w:t xml:space="preserve"> </w:t>
      </w:r>
      <w:r w:rsidR="00EA0A76" w:rsidRPr="00C35766">
        <w:t xml:space="preserve">Determine who is not benefiting from Energy Efficiency and propose solutions address this issue, including </w:t>
      </w:r>
      <w:r w:rsidR="00FD28E3" w:rsidRPr="00C35766">
        <w:t xml:space="preserve">potentially </w:t>
      </w:r>
      <w:r w:rsidR="00EA0A76" w:rsidRPr="00C35766">
        <w:t>a definition for “underserved</w:t>
      </w:r>
      <w:r w:rsidR="00FD28E3" w:rsidRPr="00392090">
        <w:t>,</w:t>
      </w:r>
      <w:r w:rsidR="00EA0A76" w:rsidRPr="00C35766">
        <w:t xml:space="preserve">” </w:t>
      </w:r>
      <w:r w:rsidR="00FD28E3" w:rsidRPr="00392090">
        <w:t xml:space="preserve">reframing </w:t>
      </w:r>
      <w:r w:rsidR="00EA0A76" w:rsidRPr="00C35766">
        <w:t xml:space="preserve">the current definition of HTR </w:t>
      </w:r>
      <w:r w:rsidR="008879AF" w:rsidRPr="00C35766">
        <w:t xml:space="preserve">to include </w:t>
      </w:r>
      <w:r w:rsidR="00FD28E3" w:rsidRPr="00392090">
        <w:t>others that are</w:t>
      </w:r>
      <w:r w:rsidR="008879AF" w:rsidRPr="00C35766">
        <w:t xml:space="preserve"> underserved</w:t>
      </w:r>
      <w:r w:rsidR="00FD28E3" w:rsidRPr="00392090">
        <w:t>, or other means</w:t>
      </w:r>
      <w:r w:rsidR="00FD28E3" w:rsidRPr="00C35766">
        <w:rPr>
          <w:b/>
          <w:bCs/>
        </w:rPr>
        <w:t>.</w:t>
      </w:r>
    </w:p>
    <w:p w14:paraId="56A7DC5A" w14:textId="5CD3BA77" w:rsidR="00EA0A76" w:rsidRPr="00C70F36" w:rsidRDefault="00EA0A76" w:rsidP="00EA0A76">
      <w:pPr>
        <w:rPr>
          <w:bCs/>
        </w:rPr>
      </w:pPr>
      <w:r w:rsidRPr="00C35766">
        <w:rPr>
          <w:bCs/>
        </w:rPr>
        <w:t xml:space="preserve">In D.19-12-021, the Commission declined to revise the REN criteria by adding “underserved” to the HTR </w:t>
      </w:r>
      <w:proofErr w:type="gramStart"/>
      <w:r w:rsidRPr="00C35766">
        <w:rPr>
          <w:bCs/>
        </w:rPr>
        <w:t>criteria, but</w:t>
      </w:r>
      <w:proofErr w:type="gramEnd"/>
      <w:r w:rsidRPr="00C35766">
        <w:rPr>
          <w:bCs/>
        </w:rPr>
        <w:t xml:space="preserve"> did offer parties an opportunity to provide a definition of “underserved”, as long as concrete data and analysis is presented. The proposed </w:t>
      </w:r>
      <w:r w:rsidR="00407737" w:rsidRPr="00C35766">
        <w:rPr>
          <w:bCs/>
        </w:rPr>
        <w:t>CAEECC process</w:t>
      </w:r>
      <w:r w:rsidRPr="00C35766">
        <w:rPr>
          <w:bCs/>
        </w:rPr>
        <w:t xml:space="preserve"> would be tasked with identifying who is not benefiting from EE programs and </w:t>
      </w:r>
      <w:r w:rsidR="00407737" w:rsidRPr="00C35766">
        <w:rPr>
          <w:bCs/>
        </w:rPr>
        <w:t xml:space="preserve">why and </w:t>
      </w:r>
      <w:r w:rsidRPr="00C35766">
        <w:rPr>
          <w:bCs/>
        </w:rPr>
        <w:t>the</w:t>
      </w:r>
      <w:r w:rsidR="00FD28E3" w:rsidRPr="00C35766">
        <w:rPr>
          <w:bCs/>
        </w:rPr>
        <w:t>n</w:t>
      </w:r>
      <w:r w:rsidRPr="00C35766">
        <w:rPr>
          <w:bCs/>
        </w:rPr>
        <w:t xml:space="preserve"> </w:t>
      </w:r>
      <w:r w:rsidR="00407737" w:rsidRPr="00C35766">
        <w:rPr>
          <w:bCs/>
        </w:rPr>
        <w:t>figuring out the best strategies and forum to address these short-comings</w:t>
      </w:r>
      <w:r w:rsidRPr="00C35766">
        <w:rPr>
          <w:bCs/>
        </w:rPr>
        <w:t>.</w:t>
      </w:r>
      <w:r w:rsidRPr="00C70F36">
        <w:rPr>
          <w:bCs/>
        </w:rPr>
        <w:t xml:space="preserve"> </w:t>
      </w:r>
    </w:p>
    <w:p w14:paraId="70E65DA9" w14:textId="41A54DE2" w:rsidR="009A08E7" w:rsidRPr="00C70F36" w:rsidRDefault="009A08E7">
      <w:pPr>
        <w:rPr>
          <w:bCs/>
        </w:rPr>
      </w:pPr>
    </w:p>
    <w:p w14:paraId="7F8B93B1" w14:textId="61629061" w:rsidR="005B0B93" w:rsidRDefault="009A08E7" w:rsidP="00945DFD">
      <w:pPr>
        <w:rPr>
          <w:b/>
          <w:bCs/>
        </w:rPr>
      </w:pPr>
      <w:r w:rsidRPr="00C70F36">
        <w:rPr>
          <w:bCs/>
        </w:rPr>
        <w:t xml:space="preserve">The overall impact of the restrictions </w:t>
      </w:r>
      <w:r w:rsidR="00404607">
        <w:rPr>
          <w:bCs/>
        </w:rPr>
        <w:t xml:space="preserve">from the HTR definition </w:t>
      </w:r>
      <w:r w:rsidRPr="00C70F36">
        <w:rPr>
          <w:bCs/>
        </w:rPr>
        <w:t>(along with others, such as raising program cost-effectiveness to 1.25</w:t>
      </w:r>
      <w:r w:rsidR="00A12B42" w:rsidRPr="00C70F36">
        <w:rPr>
          <w:bCs/>
        </w:rPr>
        <w:t xml:space="preserve"> for the IOUs</w:t>
      </w:r>
      <w:r w:rsidRPr="00C70F36">
        <w:rPr>
          <w:bCs/>
        </w:rPr>
        <w:t xml:space="preserve">, reduction of eligible EE measures, </w:t>
      </w:r>
      <w:r w:rsidR="00FE70C7" w:rsidRPr="00C70F36">
        <w:rPr>
          <w:bCs/>
        </w:rPr>
        <w:t xml:space="preserve">diminished potential as noted in the Goals and Potentials study, </w:t>
      </w:r>
      <w:r w:rsidRPr="00C70F36">
        <w:rPr>
          <w:bCs/>
        </w:rPr>
        <w:t xml:space="preserve">delayed rollout of new </w:t>
      </w:r>
      <w:r w:rsidR="00FE70C7" w:rsidRPr="00C70F36">
        <w:rPr>
          <w:bCs/>
        </w:rPr>
        <w:t>third party</w:t>
      </w:r>
      <w:r w:rsidRPr="00C70F36">
        <w:rPr>
          <w:bCs/>
        </w:rPr>
        <w:t xml:space="preserve"> programs, etc.) has, in reality,</w:t>
      </w:r>
      <w:r w:rsidR="00FE70C7" w:rsidRPr="00C70F36">
        <w:rPr>
          <w:bCs/>
        </w:rPr>
        <w:t xml:space="preserve"> </w:t>
      </w:r>
      <w:r w:rsidRPr="00C70F36">
        <w:rPr>
          <w:bCs/>
        </w:rPr>
        <w:t xml:space="preserve">greatly </w:t>
      </w:r>
      <w:r w:rsidR="00FE70C7" w:rsidRPr="00C70F36">
        <w:rPr>
          <w:bCs/>
        </w:rPr>
        <w:t xml:space="preserve">hampered </w:t>
      </w:r>
      <w:r w:rsidR="00495B1C" w:rsidRPr="00C70F36">
        <w:rPr>
          <w:bCs/>
        </w:rPr>
        <w:t xml:space="preserve">the state goals of </w:t>
      </w:r>
      <w:r w:rsidR="00BA06A1" w:rsidRPr="00C70F36">
        <w:rPr>
          <w:bCs/>
        </w:rPr>
        <w:t>the doubling of energy efficiency savings</w:t>
      </w:r>
      <w:r w:rsidR="00A73726" w:rsidRPr="00C70F36">
        <w:rPr>
          <w:bCs/>
        </w:rPr>
        <w:t xml:space="preserve"> in order to attain more aggressive GHG reductions</w:t>
      </w:r>
      <w:r w:rsidR="00430F7A">
        <w:rPr>
          <w:bCs/>
        </w:rPr>
        <w:t>.</w:t>
      </w:r>
      <w:r w:rsidR="00FE70C7" w:rsidRPr="00C70F36">
        <w:rPr>
          <w:rStyle w:val="FootnoteReference"/>
          <w:bCs/>
        </w:rPr>
        <w:footnoteReference w:id="2"/>
      </w:r>
      <w:r w:rsidR="00BA06A1" w:rsidRPr="00C70F36">
        <w:rPr>
          <w:bCs/>
        </w:rPr>
        <w:t xml:space="preserve">  </w:t>
      </w:r>
    </w:p>
    <w:p w14:paraId="5AE669C7" w14:textId="77777777" w:rsidR="005B0B93" w:rsidRDefault="005B0B93" w:rsidP="002B4A93">
      <w:pPr>
        <w:spacing w:after="120"/>
        <w:rPr>
          <w:b/>
          <w:bCs/>
        </w:rPr>
      </w:pPr>
    </w:p>
    <w:p w14:paraId="2EAE3F45" w14:textId="5A286638" w:rsidR="008879AF" w:rsidRPr="002B4A93" w:rsidRDefault="00E92601" w:rsidP="002B4A93">
      <w:pPr>
        <w:spacing w:after="120"/>
        <w:rPr>
          <w:b/>
          <w:bCs/>
        </w:rPr>
      </w:pPr>
      <w:r w:rsidRPr="00C70F36">
        <w:rPr>
          <w:b/>
          <w:bCs/>
        </w:rPr>
        <w:t>Scope</w:t>
      </w:r>
      <w:r w:rsidR="008879AF">
        <w:rPr>
          <w:b/>
          <w:bCs/>
        </w:rPr>
        <w:t>/</w:t>
      </w:r>
      <w:r w:rsidR="008879AF" w:rsidRPr="00FD28E3">
        <w:rPr>
          <w:b/>
          <w:bCs/>
        </w:rPr>
        <w:t>Approach</w:t>
      </w:r>
      <w:r w:rsidR="00256AB9" w:rsidRPr="00FD28E3">
        <w:rPr>
          <w:b/>
          <w:bCs/>
        </w:rPr>
        <w:t xml:space="preserve"> (Phase I)</w:t>
      </w:r>
      <w:r w:rsidRPr="00FD28E3">
        <w:rPr>
          <w:b/>
          <w:bCs/>
        </w:rPr>
        <w:t>:</w:t>
      </w:r>
    </w:p>
    <w:p w14:paraId="210A4775" w14:textId="3B4C3449" w:rsidR="00AB681B" w:rsidRPr="00945DFD" w:rsidRDefault="008879AF" w:rsidP="00945DFD">
      <w:pPr>
        <w:pStyle w:val="CommentText"/>
        <w:numPr>
          <w:ilvl w:val="0"/>
          <w:numId w:val="7"/>
        </w:numPr>
        <w:rPr>
          <w:sz w:val="24"/>
        </w:rPr>
      </w:pPr>
      <w:r w:rsidRPr="00AB681B">
        <w:rPr>
          <w:sz w:val="24"/>
          <w:szCs w:val="24"/>
        </w:rPr>
        <w:t xml:space="preserve">Identify the scope of the analysis including </w:t>
      </w:r>
      <w:r w:rsidR="00AB681B" w:rsidRPr="00AB681B">
        <w:rPr>
          <w:sz w:val="24"/>
          <w:szCs w:val="24"/>
        </w:rPr>
        <w:t xml:space="preserve">a) </w:t>
      </w:r>
      <w:r w:rsidRPr="00AB681B">
        <w:rPr>
          <w:sz w:val="24"/>
          <w:szCs w:val="24"/>
        </w:rPr>
        <w:t>the metrics that will be used to evaluate whether</w:t>
      </w:r>
      <w:r w:rsidR="00AB681B" w:rsidRPr="00AB681B">
        <w:rPr>
          <w:sz w:val="24"/>
          <w:szCs w:val="24"/>
        </w:rPr>
        <w:t xml:space="preserve"> certain groups of</w:t>
      </w:r>
      <w:r w:rsidRPr="00AB681B">
        <w:rPr>
          <w:sz w:val="24"/>
          <w:szCs w:val="24"/>
        </w:rPr>
        <w:t xml:space="preserve"> customers are being “</w:t>
      </w:r>
      <w:r w:rsidR="00CA64BF" w:rsidRPr="00AB681B">
        <w:rPr>
          <w:sz w:val="24"/>
          <w:szCs w:val="24"/>
        </w:rPr>
        <w:t>adequately</w:t>
      </w:r>
      <w:r w:rsidRPr="00AB681B">
        <w:rPr>
          <w:sz w:val="24"/>
          <w:szCs w:val="24"/>
        </w:rPr>
        <w:t xml:space="preserve"> served” </w:t>
      </w:r>
      <w:r w:rsidR="00AB681B" w:rsidRPr="00945DFD">
        <w:rPr>
          <w:sz w:val="24"/>
          <w:szCs w:val="24"/>
        </w:rPr>
        <w:t xml:space="preserve">relative </w:t>
      </w:r>
      <w:r w:rsidR="005B0B93">
        <w:rPr>
          <w:sz w:val="24"/>
          <w:szCs w:val="24"/>
        </w:rPr>
        <w:t xml:space="preserve">to </w:t>
      </w:r>
      <w:r w:rsidR="00AB681B" w:rsidRPr="00945DFD">
        <w:rPr>
          <w:sz w:val="24"/>
          <w:szCs w:val="24"/>
        </w:rPr>
        <w:t xml:space="preserve">other </w:t>
      </w:r>
      <w:r w:rsidR="00AB681B" w:rsidRPr="00945DFD">
        <w:rPr>
          <w:sz w:val="24"/>
          <w:szCs w:val="24"/>
        </w:rPr>
        <w:lastRenderedPageBreak/>
        <w:t xml:space="preserve">groups; b) the reasons/barriers those groups face to participate, be that economic, non-native English speakers, geographically isolated, etc.; </w:t>
      </w:r>
      <w:r w:rsidRPr="00AB681B">
        <w:rPr>
          <w:sz w:val="24"/>
          <w:szCs w:val="24"/>
        </w:rPr>
        <w:t xml:space="preserve">and </w:t>
      </w:r>
      <w:r w:rsidR="00AB681B" w:rsidRPr="00AB681B">
        <w:rPr>
          <w:sz w:val="24"/>
          <w:szCs w:val="24"/>
        </w:rPr>
        <w:t xml:space="preserve">c) </w:t>
      </w:r>
      <w:r w:rsidRPr="00AB681B">
        <w:rPr>
          <w:sz w:val="24"/>
          <w:szCs w:val="24"/>
        </w:rPr>
        <w:t xml:space="preserve">who and how the data will be </w:t>
      </w:r>
      <w:r w:rsidR="00EA0A76" w:rsidRPr="00AB681B">
        <w:rPr>
          <w:sz w:val="24"/>
          <w:szCs w:val="24"/>
        </w:rPr>
        <w:t>acquired</w:t>
      </w:r>
      <w:r w:rsidRPr="00AB681B">
        <w:rPr>
          <w:sz w:val="24"/>
          <w:szCs w:val="24"/>
        </w:rPr>
        <w:t xml:space="preserve"> and analyzed, and the timeline</w:t>
      </w:r>
      <w:r w:rsidR="00AB681B" w:rsidRPr="00945DFD">
        <w:rPr>
          <w:sz w:val="24"/>
          <w:szCs w:val="24"/>
        </w:rPr>
        <w:t xml:space="preserve"> </w:t>
      </w:r>
    </w:p>
    <w:p w14:paraId="5E32EF46" w14:textId="1D49BB06" w:rsidR="00AB681B" w:rsidRPr="00945DFD" w:rsidRDefault="008879AF" w:rsidP="00945DFD">
      <w:pPr>
        <w:pStyle w:val="ListParagraph"/>
        <w:numPr>
          <w:ilvl w:val="0"/>
          <w:numId w:val="7"/>
        </w:numPr>
        <w:rPr>
          <w:rFonts w:eastAsiaTheme="minorHAnsi" w:cstheme="minorBidi"/>
          <w:sz w:val="24"/>
        </w:rPr>
      </w:pPr>
      <w:r w:rsidRPr="00AB681B">
        <w:rPr>
          <w:rFonts w:eastAsiaTheme="minorHAnsi" w:cstheme="minorBidi"/>
          <w:sz w:val="24"/>
        </w:rPr>
        <w:t>A</w:t>
      </w:r>
      <w:r w:rsidR="0026476F" w:rsidRPr="00AB681B">
        <w:rPr>
          <w:rFonts w:eastAsiaTheme="minorHAnsi" w:cstheme="minorBidi"/>
          <w:sz w:val="24"/>
        </w:rPr>
        <w:t xml:space="preserve">cquire the necessary data </w:t>
      </w:r>
      <w:r w:rsidRPr="00AB681B">
        <w:rPr>
          <w:rFonts w:eastAsiaTheme="minorHAnsi" w:cstheme="minorBidi"/>
          <w:sz w:val="24"/>
        </w:rPr>
        <w:t xml:space="preserve">and analyze </w:t>
      </w:r>
      <w:r w:rsidR="00AB681B" w:rsidRPr="00945DFD">
        <w:rPr>
          <w:rFonts w:eastAsiaTheme="minorHAnsi" w:cstheme="minorBidi"/>
          <w:sz w:val="24"/>
        </w:rPr>
        <w:t>to what extent certain customers segments are not being “adequately served.”</w:t>
      </w:r>
    </w:p>
    <w:p w14:paraId="2F6D9C0D" w14:textId="35CA1132" w:rsidR="008879AF" w:rsidRPr="00C35766" w:rsidRDefault="008879AF" w:rsidP="005F05BF">
      <w:pPr>
        <w:pStyle w:val="ListParagraph"/>
        <w:numPr>
          <w:ilvl w:val="0"/>
          <w:numId w:val="7"/>
        </w:numPr>
        <w:rPr>
          <w:rFonts w:eastAsiaTheme="minorHAnsi" w:cstheme="minorBidi"/>
          <w:sz w:val="24"/>
        </w:rPr>
      </w:pPr>
      <w:r w:rsidRPr="00392090">
        <w:rPr>
          <w:rFonts w:eastAsiaTheme="minorHAnsi" w:cstheme="minorBidi"/>
          <w:sz w:val="24"/>
        </w:rPr>
        <w:t>For each</w:t>
      </w:r>
      <w:r w:rsidRPr="00C35766">
        <w:rPr>
          <w:rFonts w:eastAsiaTheme="minorHAnsi" w:cstheme="minorBidi"/>
          <w:sz w:val="24"/>
        </w:rPr>
        <w:t xml:space="preserve"> type of documented underserved customer, identify the likely causes for being underserved—whether it’s the HTR definition, or some other reason or reasons</w:t>
      </w:r>
    </w:p>
    <w:p w14:paraId="76884295" w14:textId="3CEC27FF" w:rsidR="00C649E2" w:rsidRPr="00C35766" w:rsidRDefault="008879AF" w:rsidP="001873F7">
      <w:pPr>
        <w:pStyle w:val="ListParagraph"/>
        <w:numPr>
          <w:ilvl w:val="0"/>
          <w:numId w:val="7"/>
        </w:numPr>
        <w:rPr>
          <w:rFonts w:eastAsiaTheme="minorHAnsi" w:cstheme="minorBidi"/>
          <w:sz w:val="24"/>
        </w:rPr>
      </w:pPr>
      <w:r w:rsidRPr="00392090">
        <w:rPr>
          <w:rFonts w:eastAsiaTheme="minorHAnsi" w:cstheme="minorBidi"/>
          <w:sz w:val="24"/>
        </w:rPr>
        <w:t>Based on 1-3, de</w:t>
      </w:r>
      <w:r w:rsidRPr="00C35766">
        <w:rPr>
          <w:rFonts w:eastAsiaTheme="minorHAnsi" w:cstheme="minorBidi"/>
          <w:sz w:val="24"/>
        </w:rPr>
        <w:t xml:space="preserve">velop </w:t>
      </w:r>
      <w:r w:rsidR="00256AB9" w:rsidRPr="00C35766">
        <w:rPr>
          <w:rFonts w:eastAsiaTheme="minorHAnsi" w:cstheme="minorBidi"/>
          <w:sz w:val="24"/>
        </w:rPr>
        <w:t>(</w:t>
      </w:r>
      <w:r w:rsidR="00945DFD">
        <w:rPr>
          <w:rFonts w:eastAsiaTheme="minorHAnsi" w:cstheme="minorBidi"/>
          <w:sz w:val="24"/>
        </w:rPr>
        <w:t xml:space="preserve">in </w:t>
      </w:r>
      <w:r w:rsidR="001736CA" w:rsidRPr="00945DFD">
        <w:rPr>
          <w:rFonts w:eastAsiaTheme="minorHAnsi" w:cstheme="minorBidi"/>
          <w:sz w:val="24"/>
        </w:rPr>
        <w:t xml:space="preserve">consultation </w:t>
      </w:r>
      <w:r w:rsidR="00945DFD">
        <w:rPr>
          <w:rFonts w:eastAsiaTheme="minorHAnsi" w:cstheme="minorBidi"/>
          <w:sz w:val="24"/>
        </w:rPr>
        <w:t xml:space="preserve">with </w:t>
      </w:r>
      <w:r w:rsidR="001736CA" w:rsidRPr="00945DFD">
        <w:rPr>
          <w:rFonts w:eastAsiaTheme="minorHAnsi" w:cstheme="minorBidi"/>
          <w:sz w:val="24"/>
        </w:rPr>
        <w:t>CAEECC members, other stakeholders</w:t>
      </w:r>
      <w:r w:rsidR="00945DFD">
        <w:rPr>
          <w:rFonts w:eastAsiaTheme="minorHAnsi" w:cstheme="minorBidi"/>
          <w:sz w:val="24"/>
        </w:rPr>
        <w:t>,</w:t>
      </w:r>
      <w:r w:rsidR="001736CA" w:rsidRPr="00945DFD">
        <w:rPr>
          <w:rFonts w:eastAsiaTheme="minorHAnsi" w:cstheme="minorBidi"/>
          <w:sz w:val="24"/>
        </w:rPr>
        <w:t xml:space="preserve"> </w:t>
      </w:r>
      <w:r w:rsidR="001736CA">
        <w:rPr>
          <w:rFonts w:eastAsiaTheme="minorHAnsi" w:cstheme="minorBidi"/>
          <w:sz w:val="24"/>
        </w:rPr>
        <w:t xml:space="preserve">and </w:t>
      </w:r>
      <w:r w:rsidR="00256AB9" w:rsidRPr="00C35766">
        <w:rPr>
          <w:rFonts w:eastAsiaTheme="minorHAnsi" w:cstheme="minorBidi"/>
          <w:sz w:val="24"/>
        </w:rPr>
        <w:t xml:space="preserve">ED) </w:t>
      </w:r>
      <w:r w:rsidR="00945DFD">
        <w:rPr>
          <w:rFonts w:eastAsiaTheme="minorHAnsi" w:cstheme="minorBidi"/>
          <w:sz w:val="24"/>
        </w:rPr>
        <w:t xml:space="preserve">next step </w:t>
      </w:r>
      <w:proofErr w:type="spellStart"/>
      <w:r w:rsidR="00945DFD">
        <w:rPr>
          <w:rFonts w:eastAsiaTheme="minorHAnsi" w:cstheme="minorBidi"/>
          <w:sz w:val="24"/>
        </w:rPr>
        <w:t>recommenedations</w:t>
      </w:r>
      <w:proofErr w:type="spellEnd"/>
      <w:r w:rsidR="00945DFD">
        <w:rPr>
          <w:rFonts w:eastAsiaTheme="minorHAnsi" w:cstheme="minorBidi"/>
          <w:sz w:val="24"/>
        </w:rPr>
        <w:t xml:space="preserve"> including the forums and processes to develop </w:t>
      </w:r>
      <w:r w:rsidRPr="00C35766">
        <w:rPr>
          <w:rFonts w:eastAsiaTheme="minorHAnsi" w:cstheme="minorBidi"/>
          <w:sz w:val="24"/>
        </w:rPr>
        <w:t xml:space="preserve">appropriate strategy or strategies for addressing each </w:t>
      </w:r>
      <w:r w:rsidR="00256AB9" w:rsidRPr="00C35766">
        <w:rPr>
          <w:rFonts w:eastAsiaTheme="minorHAnsi" w:cstheme="minorBidi"/>
          <w:sz w:val="24"/>
        </w:rPr>
        <w:t xml:space="preserve">underserved customer </w:t>
      </w:r>
      <w:r w:rsidR="00CD08E8">
        <w:rPr>
          <w:rFonts w:eastAsiaTheme="minorHAnsi" w:cstheme="minorBidi"/>
          <w:sz w:val="24"/>
        </w:rPr>
        <w:t>segment</w:t>
      </w:r>
      <w:r w:rsidR="00945DFD">
        <w:rPr>
          <w:rFonts w:eastAsiaTheme="minorHAnsi" w:cstheme="minorBidi"/>
          <w:sz w:val="24"/>
        </w:rPr>
        <w:t xml:space="preserve"> and the</w:t>
      </w:r>
      <w:r w:rsidR="00256AB9" w:rsidRPr="00C35766">
        <w:rPr>
          <w:rFonts w:eastAsiaTheme="minorHAnsi" w:cstheme="minorBidi"/>
          <w:sz w:val="24"/>
        </w:rPr>
        <w:t xml:space="preserve"> </w:t>
      </w:r>
      <w:r w:rsidR="00FB5E47">
        <w:rPr>
          <w:rFonts w:eastAsiaTheme="minorHAnsi" w:cstheme="minorBidi"/>
          <w:sz w:val="24"/>
        </w:rPr>
        <w:t>metrics to set goals and measure progress</w:t>
      </w:r>
      <w:r w:rsidR="0040634E" w:rsidRPr="00C35766">
        <w:rPr>
          <w:rFonts w:eastAsiaTheme="minorHAnsi" w:cstheme="minorBidi"/>
          <w:sz w:val="24"/>
        </w:rPr>
        <w:t>.</w:t>
      </w:r>
    </w:p>
    <w:p w14:paraId="63EB59CD" w14:textId="77777777" w:rsidR="00C649E2" w:rsidRDefault="00C649E2" w:rsidP="00C649E2">
      <w:pPr>
        <w:ind w:left="360"/>
      </w:pPr>
    </w:p>
    <w:p w14:paraId="0E07682F" w14:textId="09535C2B" w:rsidR="00DC3093" w:rsidRPr="00C70F36" w:rsidRDefault="00C649E2" w:rsidP="00945DFD">
      <w:pPr>
        <w:ind w:left="360"/>
      </w:pPr>
      <w:r>
        <w:t>[Note to CAEECC: I</w:t>
      </w:r>
      <w:r w:rsidR="001736CA" w:rsidRPr="00C649E2">
        <w:t>f it turns out that revising the HTR definition, still makes sense as part of the solution, then CAEECC could pick up its original proposal of 1-2 CAEECC-hosted workshops</w:t>
      </w:r>
      <w:r w:rsidR="001736CA" w:rsidRPr="00945DFD">
        <w:t xml:space="preserve"> or webinars, should public workshops not be an option followed by 2 Working Group meetings webinars.</w:t>
      </w:r>
      <w:r>
        <w:t>]</w:t>
      </w:r>
    </w:p>
    <w:p w14:paraId="4A8A5449" w14:textId="77777777" w:rsidR="00C649E2" w:rsidRDefault="00C649E2" w:rsidP="00C70F36">
      <w:pPr>
        <w:spacing w:after="120"/>
        <w:rPr>
          <w:b/>
          <w:bCs/>
        </w:rPr>
      </w:pPr>
    </w:p>
    <w:p w14:paraId="7A3D0D8A" w14:textId="6EDDB58A" w:rsidR="007D6E99" w:rsidRDefault="00D1619D" w:rsidP="00C70F36">
      <w:pPr>
        <w:spacing w:after="120"/>
        <w:rPr>
          <w:b/>
          <w:bCs/>
        </w:rPr>
      </w:pPr>
      <w:r>
        <w:rPr>
          <w:b/>
          <w:bCs/>
        </w:rPr>
        <w:t>Meetings</w:t>
      </w:r>
      <w:r w:rsidR="00F04EBB">
        <w:rPr>
          <w:b/>
          <w:bCs/>
        </w:rPr>
        <w:t xml:space="preserve"> and </w:t>
      </w:r>
      <w:r w:rsidR="00F872E9">
        <w:rPr>
          <w:b/>
          <w:bCs/>
        </w:rPr>
        <w:t>Timeline</w:t>
      </w:r>
      <w:r>
        <w:rPr>
          <w:b/>
          <w:bCs/>
        </w:rPr>
        <w:t xml:space="preserve"> </w:t>
      </w:r>
    </w:p>
    <w:p w14:paraId="2CADEA9D" w14:textId="18681E99" w:rsidR="007D6E99" w:rsidRPr="00256AB9" w:rsidRDefault="00256AB9" w:rsidP="00256AB9">
      <w:pPr>
        <w:pStyle w:val="ListParagraph"/>
        <w:numPr>
          <w:ilvl w:val="0"/>
          <w:numId w:val="8"/>
        </w:numPr>
        <w:spacing w:after="120"/>
        <w:rPr>
          <w:rFonts w:eastAsiaTheme="minorHAnsi" w:cstheme="minorBidi"/>
          <w:sz w:val="24"/>
        </w:rPr>
      </w:pPr>
      <w:r>
        <w:rPr>
          <w:rFonts w:eastAsiaTheme="minorHAnsi"/>
          <w:sz w:val="24"/>
        </w:rPr>
        <w:t xml:space="preserve">A sub-Working Group of CAEECC will develop the scope of the analysis, oversee the data acquisition and analysis itself, and then (in consultation with ED) develop a comprehensive strategy including the appropriate vehicles and forum to address any clearly underserved customers. </w:t>
      </w:r>
    </w:p>
    <w:p w14:paraId="4E5EC809" w14:textId="2B7944CA" w:rsidR="006F31E0" w:rsidRPr="002B4A93" w:rsidRDefault="00256AB9" w:rsidP="00C70F36">
      <w:pPr>
        <w:pStyle w:val="ListParagraph"/>
        <w:numPr>
          <w:ilvl w:val="0"/>
          <w:numId w:val="8"/>
        </w:numPr>
        <w:spacing w:after="120"/>
        <w:rPr>
          <w:rFonts w:eastAsiaTheme="minorHAnsi" w:cstheme="minorBidi"/>
          <w:sz w:val="24"/>
        </w:rPr>
      </w:pPr>
      <w:r>
        <w:rPr>
          <w:rFonts w:eastAsiaTheme="minorHAnsi"/>
          <w:sz w:val="24"/>
        </w:rPr>
        <w:t xml:space="preserve">This work would take place </w:t>
      </w:r>
      <w:r w:rsidR="00DE0564">
        <w:rPr>
          <w:rFonts w:eastAsiaTheme="minorHAnsi"/>
          <w:sz w:val="24"/>
        </w:rPr>
        <w:t>June</w:t>
      </w:r>
      <w:r>
        <w:rPr>
          <w:rFonts w:eastAsiaTheme="minorHAnsi"/>
          <w:sz w:val="24"/>
        </w:rPr>
        <w:t xml:space="preserve">-September 2020, with a possible CAEECC Phase II to follow </w:t>
      </w:r>
      <w:r w:rsidR="00F04EBB">
        <w:rPr>
          <w:rFonts w:eastAsiaTheme="minorHAnsi"/>
          <w:sz w:val="24"/>
        </w:rPr>
        <w:t>(if warranted).</w:t>
      </w:r>
    </w:p>
    <w:p w14:paraId="70331594" w14:textId="05169500" w:rsidR="00C70F36" w:rsidRDefault="00E92601" w:rsidP="00C70F36">
      <w:pPr>
        <w:spacing w:after="120"/>
        <w:rPr>
          <w:b/>
          <w:bCs/>
        </w:rPr>
      </w:pPr>
      <w:r w:rsidRPr="00C70F36">
        <w:rPr>
          <w:b/>
          <w:bCs/>
        </w:rPr>
        <w:t>Deliverables:</w:t>
      </w:r>
    </w:p>
    <w:p w14:paraId="476E0060" w14:textId="634294F1" w:rsidR="00B20733" w:rsidRPr="002B4A93" w:rsidRDefault="00256AB9" w:rsidP="000E7323">
      <w:pPr>
        <w:pStyle w:val="ListParagraph"/>
        <w:numPr>
          <w:ilvl w:val="0"/>
          <w:numId w:val="9"/>
        </w:numPr>
        <w:spacing w:after="120"/>
        <w:rPr>
          <w:rFonts w:eastAsiaTheme="minorHAnsi" w:cstheme="minorBidi"/>
          <w:sz w:val="24"/>
        </w:rPr>
      </w:pPr>
      <w:r>
        <w:rPr>
          <w:rFonts w:eastAsiaTheme="minorHAnsi" w:cstheme="minorBidi"/>
          <w:sz w:val="24"/>
        </w:rPr>
        <w:t>The Phase I deliverables include: A) underserved data a</w:t>
      </w:r>
      <w:r w:rsidR="00FD28E3">
        <w:rPr>
          <w:rFonts w:eastAsiaTheme="minorHAnsi" w:cstheme="minorBidi"/>
          <w:sz w:val="24"/>
        </w:rPr>
        <w:t>c</w:t>
      </w:r>
      <w:r>
        <w:rPr>
          <w:rFonts w:eastAsiaTheme="minorHAnsi" w:cstheme="minorBidi"/>
          <w:sz w:val="24"/>
        </w:rPr>
        <w:t>quis</w:t>
      </w:r>
      <w:r w:rsidR="00FD28E3">
        <w:rPr>
          <w:rFonts w:eastAsiaTheme="minorHAnsi" w:cstheme="minorBidi"/>
          <w:sz w:val="24"/>
        </w:rPr>
        <w:t>i</w:t>
      </w:r>
      <w:r>
        <w:rPr>
          <w:rFonts w:eastAsiaTheme="minorHAnsi" w:cstheme="minorBidi"/>
          <w:sz w:val="24"/>
        </w:rPr>
        <w:t xml:space="preserve">tion and analysis strategy; B) </w:t>
      </w:r>
      <w:r>
        <w:rPr>
          <w:rFonts w:eastAsiaTheme="minorHAnsi"/>
          <w:sz w:val="24"/>
        </w:rPr>
        <w:t xml:space="preserve">results of the </w:t>
      </w:r>
      <w:r w:rsidR="00AB7AD6">
        <w:rPr>
          <w:rFonts w:eastAsiaTheme="minorHAnsi"/>
          <w:sz w:val="24"/>
        </w:rPr>
        <w:t xml:space="preserve">data acquisition and analysis; </w:t>
      </w:r>
      <w:r w:rsidR="00FB5E47">
        <w:rPr>
          <w:rFonts w:eastAsiaTheme="minorHAnsi"/>
          <w:sz w:val="24"/>
        </w:rPr>
        <w:t>C) metrics and goals to define what “addressing” underserved customers looks like</w:t>
      </w:r>
      <w:r w:rsidR="005B0B93">
        <w:rPr>
          <w:rFonts w:eastAsiaTheme="minorHAnsi"/>
          <w:sz w:val="24"/>
        </w:rPr>
        <w:t>;</w:t>
      </w:r>
      <w:r w:rsidR="00FB5E47">
        <w:rPr>
          <w:rFonts w:eastAsiaTheme="minorHAnsi"/>
          <w:sz w:val="24"/>
        </w:rPr>
        <w:t xml:space="preserve"> </w:t>
      </w:r>
      <w:r w:rsidR="005B0B93">
        <w:rPr>
          <w:rFonts w:eastAsiaTheme="minorHAnsi"/>
          <w:sz w:val="24"/>
        </w:rPr>
        <w:t>D</w:t>
      </w:r>
      <w:r w:rsidR="00AB7AD6">
        <w:rPr>
          <w:rFonts w:eastAsiaTheme="minorHAnsi"/>
          <w:sz w:val="24"/>
        </w:rPr>
        <w:t>) a potentially multi-faceted Phase II strategy for addressing any clearly underserved customer</w:t>
      </w:r>
      <w:r w:rsidR="00CD08E8">
        <w:rPr>
          <w:rFonts w:eastAsiaTheme="minorHAnsi"/>
          <w:sz w:val="24"/>
        </w:rPr>
        <w:t xml:space="preserve"> segment</w:t>
      </w:r>
      <w:r w:rsidR="00AB7AD6">
        <w:rPr>
          <w:rFonts w:eastAsiaTheme="minorHAnsi"/>
          <w:sz w:val="24"/>
        </w:rPr>
        <w:t>.</w:t>
      </w:r>
    </w:p>
    <w:p w14:paraId="1FD1A57B" w14:textId="4A981517" w:rsidR="000E7323" w:rsidRPr="00C70F36" w:rsidRDefault="00E92601" w:rsidP="00B20733">
      <w:pPr>
        <w:spacing w:after="120"/>
        <w:rPr>
          <w:b/>
          <w:bCs/>
        </w:rPr>
      </w:pPr>
      <w:r w:rsidRPr="00C70F36">
        <w:rPr>
          <w:b/>
          <w:bCs/>
        </w:rPr>
        <w:t>Facilitation Team:</w:t>
      </w:r>
    </w:p>
    <w:p w14:paraId="48C6266A" w14:textId="69261DEB" w:rsidR="00E92601" w:rsidRDefault="00480564" w:rsidP="000E7323">
      <w:r w:rsidRPr="00C70F36">
        <w:t xml:space="preserve">Scott </w:t>
      </w:r>
      <w:r w:rsidR="000F30E1" w:rsidRPr="00C70F36">
        <w:t xml:space="preserve">McCreary </w:t>
      </w:r>
      <w:r w:rsidR="00A12B42" w:rsidRPr="00C70F36">
        <w:t xml:space="preserve">(or </w:t>
      </w:r>
      <w:r w:rsidRPr="00C70F36">
        <w:t xml:space="preserve">Ellen </w:t>
      </w:r>
      <w:r w:rsidR="000F30E1" w:rsidRPr="00C70F36">
        <w:t>Zuckerman</w:t>
      </w:r>
      <w:r w:rsidR="00A12B42" w:rsidRPr="00C70F36">
        <w:t>) and Meredith Cowart</w:t>
      </w:r>
    </w:p>
    <w:p w14:paraId="76569F3A" w14:textId="1B1A9333" w:rsidR="005B0B93" w:rsidRDefault="005B0B93" w:rsidP="000E7323"/>
    <w:p w14:paraId="658DC991" w14:textId="0C0F9FC4" w:rsidR="005B0B93" w:rsidRDefault="005B0B93" w:rsidP="000E7323">
      <w:r>
        <w:br w:type="page"/>
      </w:r>
    </w:p>
    <w:p w14:paraId="7F78C220" w14:textId="76504E24" w:rsidR="005B0B93" w:rsidRDefault="005B0B93" w:rsidP="00945DFD">
      <w:pPr>
        <w:autoSpaceDE w:val="0"/>
        <w:autoSpaceDN w:val="0"/>
        <w:adjustRightInd w:val="0"/>
        <w:ind w:right="1260"/>
      </w:pPr>
      <w:r>
        <w:lastRenderedPageBreak/>
        <w:t>Appendix:  Background on HTR Definition</w:t>
      </w:r>
    </w:p>
    <w:p w14:paraId="7F2AB96F" w14:textId="77777777" w:rsidR="005B0B93" w:rsidRDefault="005B0B93" w:rsidP="005B0B93">
      <w:pPr>
        <w:autoSpaceDE w:val="0"/>
        <w:autoSpaceDN w:val="0"/>
        <w:adjustRightInd w:val="0"/>
        <w:ind w:right="1260"/>
      </w:pPr>
    </w:p>
    <w:p w14:paraId="206AFE02" w14:textId="0F8512B1" w:rsidR="005B0B93" w:rsidRPr="005B0B93" w:rsidRDefault="005B0B93" w:rsidP="00945DFD">
      <w:pPr>
        <w:autoSpaceDE w:val="0"/>
        <w:autoSpaceDN w:val="0"/>
        <w:adjustRightInd w:val="0"/>
        <w:ind w:right="1260"/>
      </w:pPr>
      <w:r w:rsidRPr="00C70F36" w:rsidDel="00AB6D4B">
        <w:t xml:space="preserve"> </w:t>
      </w:r>
      <w:r w:rsidRPr="00945DFD">
        <w:t>“[T]he Commission has grappled with defining hard-to-reach, or the closely related and often interchangeably used term “underserved”, since as early as the late 1990’s (). The Commission’s primary concern at that time was that the utility programs were not making progress in expanding program reach into the customer segments that had historically not participated in ratepayer-funded energy efficiency programs at the level of their representation as ratepayers. The Commission also recognized that “underserved” or “hard-to-reach” are not static terms, and that a particular customer or market-segment, once targeted for program participation, is no longer underserved relative to others that program administrators have yet to target.”</w:t>
      </w:r>
      <w:r w:rsidRPr="00945DFD">
        <w:rPr>
          <w:rStyle w:val="FootnoteReference"/>
        </w:rPr>
        <w:footnoteReference w:id="3"/>
      </w:r>
      <w:r w:rsidRPr="005B0B93">
        <w:t xml:space="preserve">  </w:t>
      </w:r>
    </w:p>
    <w:p w14:paraId="439F6466" w14:textId="77777777" w:rsidR="005B0B93" w:rsidRPr="005B0B93" w:rsidRDefault="005B0B93" w:rsidP="005B0B93">
      <w:pPr>
        <w:autoSpaceDE w:val="0"/>
        <w:autoSpaceDN w:val="0"/>
        <w:adjustRightInd w:val="0"/>
      </w:pPr>
    </w:p>
    <w:p w14:paraId="54DB7671" w14:textId="77777777" w:rsidR="005B0B93" w:rsidRPr="00945DFD" w:rsidRDefault="005B0B93" w:rsidP="005B0B93">
      <w:pPr>
        <w:autoSpaceDE w:val="0"/>
        <w:autoSpaceDN w:val="0"/>
        <w:adjustRightInd w:val="0"/>
      </w:pPr>
      <w:r w:rsidRPr="00945DFD">
        <w:t>This Decision resolved conflicting definitions of HTR by rejecting the more expansive definition found in the EE Policy Manual v.5 and as relied on in D.12-11-</w:t>
      </w:r>
      <w:proofErr w:type="gramStart"/>
      <w:r w:rsidRPr="00945DFD">
        <w:t>015, and</w:t>
      </w:r>
      <w:proofErr w:type="gramEnd"/>
      <w:r w:rsidRPr="00945DFD">
        <w:t xml:space="preserve"> adopting a more restrictive definition (with slight modification) found in Resolution G-3497. </w:t>
      </w:r>
    </w:p>
    <w:p w14:paraId="025BC1A5" w14:textId="77777777" w:rsidR="005B0B93" w:rsidRPr="00945DFD" w:rsidRDefault="005B0B93" w:rsidP="005B0B93">
      <w:pPr>
        <w:autoSpaceDE w:val="0"/>
        <w:autoSpaceDN w:val="0"/>
        <w:adjustRightInd w:val="0"/>
      </w:pPr>
    </w:p>
    <w:p w14:paraId="15207C55" w14:textId="77777777" w:rsidR="005B0B93" w:rsidRPr="00945DFD" w:rsidRDefault="005B0B93" w:rsidP="005B0B93">
      <w:pPr>
        <w:autoSpaceDE w:val="0"/>
        <w:autoSpaceDN w:val="0"/>
        <w:adjustRightInd w:val="0"/>
      </w:pPr>
      <w:r w:rsidRPr="00945DFD">
        <w:t>Thereafter in D.19-12-021, the Commission declined to broaden the definition of HTR to include underserved as suggested by several parties, noting:</w:t>
      </w:r>
    </w:p>
    <w:p w14:paraId="1A4E94DC" w14:textId="77777777" w:rsidR="005B0B93" w:rsidRPr="00945DFD" w:rsidRDefault="005B0B93" w:rsidP="005B0B93">
      <w:pPr>
        <w:autoSpaceDE w:val="0"/>
        <w:autoSpaceDN w:val="0"/>
        <w:adjustRightInd w:val="0"/>
        <w:ind w:left="1170" w:right="1800"/>
      </w:pPr>
      <w:r w:rsidRPr="00945DFD">
        <w:t xml:space="preserve"> “while we appreciate the motivation behind the suggestion, which is to serve more customers, no party provided a definition of “underserved” that we can readily adopt here… </w:t>
      </w:r>
      <w:r w:rsidRPr="00945DFD">
        <w:rPr>
          <w:bCs/>
        </w:rPr>
        <w:t>If a consensus among parties is reached in the future about an appropriate definition of “underserved”, we would consider broadening [the REN] criterion in the future</w:t>
      </w:r>
      <w:r w:rsidRPr="00945DFD">
        <w:t>.”</w:t>
      </w:r>
      <w:r w:rsidRPr="00945DFD">
        <w:rPr>
          <w:rStyle w:val="FootnoteReference"/>
        </w:rPr>
        <w:footnoteReference w:id="4"/>
      </w:r>
    </w:p>
    <w:p w14:paraId="53B18D71" w14:textId="77777777" w:rsidR="005B0B93" w:rsidRPr="00945DFD" w:rsidRDefault="005B0B93" w:rsidP="005B0B93">
      <w:pPr>
        <w:autoSpaceDE w:val="0"/>
        <w:autoSpaceDN w:val="0"/>
        <w:adjustRightInd w:val="0"/>
      </w:pPr>
    </w:p>
    <w:p w14:paraId="5D8C19DE" w14:textId="77777777" w:rsidR="005B0B93" w:rsidRDefault="005B0B93" w:rsidP="005B0B93">
      <w:pPr>
        <w:autoSpaceDE w:val="0"/>
        <w:autoSpaceDN w:val="0"/>
        <w:adjustRightInd w:val="0"/>
      </w:pPr>
      <w:r w:rsidRPr="00945DFD">
        <w:t>While this Decision language was focused on RENs, the issue of reaching a subset of customers who do not have access to programs that suits their needs is an ongoing challenge across the entire state.</w:t>
      </w:r>
    </w:p>
    <w:p w14:paraId="62C9301D" w14:textId="77777777" w:rsidR="005B0B93" w:rsidRPr="00C70F36" w:rsidRDefault="005B0B93" w:rsidP="005B0B93">
      <w:pPr>
        <w:autoSpaceDE w:val="0"/>
        <w:autoSpaceDN w:val="0"/>
        <w:adjustRightInd w:val="0"/>
      </w:pPr>
    </w:p>
    <w:p w14:paraId="4E70D30E" w14:textId="77777777" w:rsidR="005B0B93" w:rsidRPr="00C70F36" w:rsidRDefault="005B0B93" w:rsidP="000E7323">
      <w:pPr>
        <w:rPr>
          <w:b/>
          <w:bCs/>
        </w:rPr>
      </w:pPr>
    </w:p>
    <w:p w14:paraId="74BC9C54" w14:textId="77777777" w:rsidR="00265DE0" w:rsidRPr="00C70F36" w:rsidRDefault="00265DE0" w:rsidP="00480564">
      <w:pPr>
        <w:jc w:val="center"/>
      </w:pPr>
    </w:p>
    <w:sectPr w:rsidR="00265DE0" w:rsidRPr="00C70F36" w:rsidSect="007E53D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B3DFF" w14:textId="77777777" w:rsidR="006C523F" w:rsidRDefault="006C523F" w:rsidP="005A0719">
      <w:r>
        <w:separator/>
      </w:r>
    </w:p>
  </w:endnote>
  <w:endnote w:type="continuationSeparator" w:id="0">
    <w:p w14:paraId="16098EED" w14:textId="77777777" w:rsidR="006C523F" w:rsidRDefault="006C523F" w:rsidP="005A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_=ZÀ˛">
    <w:altName w:val="Calibri"/>
    <w:panose1 w:val="020B0604020202020204"/>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8285406"/>
      <w:docPartObj>
        <w:docPartGallery w:val="Page Numbers (Bottom of Page)"/>
        <w:docPartUnique/>
      </w:docPartObj>
    </w:sdtPr>
    <w:sdtEndPr>
      <w:rPr>
        <w:rStyle w:val="PageNumber"/>
      </w:rPr>
    </w:sdtEndPr>
    <w:sdtContent>
      <w:p w14:paraId="2136F252" w14:textId="77777777" w:rsidR="005A7809" w:rsidRDefault="005A7809" w:rsidP="005C51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FAFF8A" w14:textId="77777777" w:rsidR="005A7809" w:rsidRDefault="005A7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10873535"/>
      <w:docPartObj>
        <w:docPartGallery w:val="Page Numbers (Bottom of Page)"/>
        <w:docPartUnique/>
      </w:docPartObj>
    </w:sdtPr>
    <w:sdtEndPr>
      <w:rPr>
        <w:rStyle w:val="PageNumber"/>
      </w:rPr>
    </w:sdtEndPr>
    <w:sdtContent>
      <w:p w14:paraId="736B59D6" w14:textId="77777777" w:rsidR="005A7809" w:rsidRDefault="005A7809" w:rsidP="005C510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F10CC">
          <w:rPr>
            <w:rStyle w:val="PageNumber"/>
            <w:noProof/>
          </w:rPr>
          <w:t>4</w:t>
        </w:r>
        <w:r>
          <w:rPr>
            <w:rStyle w:val="PageNumber"/>
          </w:rPr>
          <w:fldChar w:fldCharType="end"/>
        </w:r>
      </w:p>
    </w:sdtContent>
  </w:sdt>
  <w:p w14:paraId="7862619F" w14:textId="77777777" w:rsidR="005A7809" w:rsidRDefault="005A7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346E8" w14:textId="77777777" w:rsidR="00E33871" w:rsidRDefault="00E3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82D61" w14:textId="77777777" w:rsidR="006C523F" w:rsidRDefault="006C523F" w:rsidP="005A0719">
      <w:r>
        <w:separator/>
      </w:r>
    </w:p>
  </w:footnote>
  <w:footnote w:type="continuationSeparator" w:id="0">
    <w:p w14:paraId="1D010753" w14:textId="77777777" w:rsidR="006C523F" w:rsidRDefault="006C523F" w:rsidP="005A0719">
      <w:r>
        <w:continuationSeparator/>
      </w:r>
    </w:p>
  </w:footnote>
  <w:footnote w:id="1">
    <w:p w14:paraId="71AE8FCB" w14:textId="77777777" w:rsidR="00EA0A76" w:rsidRDefault="00EA0A76" w:rsidP="00EA0A76">
      <w:pPr>
        <w:pStyle w:val="FootnoteText"/>
      </w:pPr>
      <w:r>
        <w:rPr>
          <w:rStyle w:val="FootnoteReference"/>
        </w:rPr>
        <w:footnoteRef/>
      </w:r>
      <w:r>
        <w:t xml:space="preserve"> ACEEE. Growing the Energy Efficiency Pie.</w:t>
      </w:r>
    </w:p>
  </w:footnote>
  <w:footnote w:id="2">
    <w:p w14:paraId="53019BFF" w14:textId="511F6AA1" w:rsidR="00FE70C7" w:rsidRDefault="00FE70C7">
      <w:pPr>
        <w:pStyle w:val="FootnoteText"/>
      </w:pPr>
    </w:p>
  </w:footnote>
  <w:footnote w:id="3">
    <w:p w14:paraId="41DD31A2" w14:textId="77777777" w:rsidR="005E1450" w:rsidRDefault="005E1450"/>
  </w:footnote>
  <w:footnote w:id="4">
    <w:p w14:paraId="5DC5EB4B" w14:textId="77777777" w:rsidR="005E1450" w:rsidRDefault="005E14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21B75" w14:textId="77777777" w:rsidR="00E33871" w:rsidRDefault="00E338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4024984"/>
      <w:docPartObj>
        <w:docPartGallery w:val="Watermarks"/>
        <w:docPartUnique/>
      </w:docPartObj>
    </w:sdtPr>
    <w:sdtEndPr/>
    <w:sdtContent>
      <w:p w14:paraId="1DC5CEA5" w14:textId="77777777" w:rsidR="00E33871" w:rsidRDefault="006C523F">
        <w:pPr>
          <w:pStyle w:val="Header"/>
        </w:pPr>
        <w:r>
          <w:rPr>
            <w:noProof/>
          </w:rPr>
          <w:pict w14:anchorId="6B1AD5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EACB7" w14:textId="77777777" w:rsidR="00E33871" w:rsidRDefault="00E338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588D"/>
    <w:multiLevelType w:val="hybridMultilevel"/>
    <w:tmpl w:val="B254B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5E12DC"/>
    <w:multiLevelType w:val="hybridMultilevel"/>
    <w:tmpl w:val="A2FAF782"/>
    <w:lvl w:ilvl="0" w:tplc="BDA2A98A">
      <w:start w:val="1"/>
      <w:numFmt w:val="decimal"/>
      <w:lvlText w:val="%1)"/>
      <w:lvlJc w:val="left"/>
      <w:pPr>
        <w:ind w:left="770" w:hanging="360"/>
      </w:pPr>
      <w:rPr>
        <w:b w:val="0"/>
      </w:r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30ED43B2"/>
    <w:multiLevelType w:val="hybridMultilevel"/>
    <w:tmpl w:val="811A5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D3009"/>
    <w:multiLevelType w:val="hybridMultilevel"/>
    <w:tmpl w:val="569026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6E4E59"/>
    <w:multiLevelType w:val="hybridMultilevel"/>
    <w:tmpl w:val="96523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8D56DB"/>
    <w:multiLevelType w:val="hybridMultilevel"/>
    <w:tmpl w:val="281619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84F4F"/>
    <w:multiLevelType w:val="hybridMultilevel"/>
    <w:tmpl w:val="B8FE6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BD1E62"/>
    <w:multiLevelType w:val="hybridMultilevel"/>
    <w:tmpl w:val="F77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D911A3"/>
    <w:multiLevelType w:val="hybridMultilevel"/>
    <w:tmpl w:val="96523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1"/>
  </w:num>
  <w:num w:numId="5">
    <w:abstractNumId w:val="3"/>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601"/>
    <w:rsid w:val="000216B5"/>
    <w:rsid w:val="00021CFB"/>
    <w:rsid w:val="000231C1"/>
    <w:rsid w:val="00025D40"/>
    <w:rsid w:val="00065BCB"/>
    <w:rsid w:val="0008762C"/>
    <w:rsid w:val="00091435"/>
    <w:rsid w:val="000A5607"/>
    <w:rsid w:val="000B32A7"/>
    <w:rsid w:val="000C4847"/>
    <w:rsid w:val="000E7323"/>
    <w:rsid w:val="000F30E1"/>
    <w:rsid w:val="000F5368"/>
    <w:rsid w:val="001013CF"/>
    <w:rsid w:val="00112B7F"/>
    <w:rsid w:val="00147DEA"/>
    <w:rsid w:val="001736CA"/>
    <w:rsid w:val="00180EEB"/>
    <w:rsid w:val="001873F7"/>
    <w:rsid w:val="001A6164"/>
    <w:rsid w:val="00213F30"/>
    <w:rsid w:val="00215486"/>
    <w:rsid w:val="00225E4E"/>
    <w:rsid w:val="00231EDD"/>
    <w:rsid w:val="0025282A"/>
    <w:rsid w:val="00256AB9"/>
    <w:rsid w:val="00260729"/>
    <w:rsid w:val="0026476F"/>
    <w:rsid w:val="00265DE0"/>
    <w:rsid w:val="002757D8"/>
    <w:rsid w:val="00281FED"/>
    <w:rsid w:val="0029376D"/>
    <w:rsid w:val="002B4A93"/>
    <w:rsid w:val="002D79C3"/>
    <w:rsid w:val="002E5200"/>
    <w:rsid w:val="002F3DFD"/>
    <w:rsid w:val="002F67CD"/>
    <w:rsid w:val="00325474"/>
    <w:rsid w:val="00337FAD"/>
    <w:rsid w:val="003479D6"/>
    <w:rsid w:val="00356947"/>
    <w:rsid w:val="003645D0"/>
    <w:rsid w:val="00381F67"/>
    <w:rsid w:val="00392090"/>
    <w:rsid w:val="003A4BB6"/>
    <w:rsid w:val="00404607"/>
    <w:rsid w:val="0040634E"/>
    <w:rsid w:val="00407737"/>
    <w:rsid w:val="00417C3A"/>
    <w:rsid w:val="00430F7A"/>
    <w:rsid w:val="004408E8"/>
    <w:rsid w:val="004426B6"/>
    <w:rsid w:val="00480564"/>
    <w:rsid w:val="00495B1C"/>
    <w:rsid w:val="004A04D8"/>
    <w:rsid w:val="004A3DA9"/>
    <w:rsid w:val="004B7FCE"/>
    <w:rsid w:val="004D252F"/>
    <w:rsid w:val="004D5362"/>
    <w:rsid w:val="004D7A87"/>
    <w:rsid w:val="004F13B5"/>
    <w:rsid w:val="004F443B"/>
    <w:rsid w:val="004F5BBD"/>
    <w:rsid w:val="005014F8"/>
    <w:rsid w:val="00502BCD"/>
    <w:rsid w:val="00510D82"/>
    <w:rsid w:val="0052640A"/>
    <w:rsid w:val="00562D99"/>
    <w:rsid w:val="00570257"/>
    <w:rsid w:val="00581A60"/>
    <w:rsid w:val="00591D41"/>
    <w:rsid w:val="005A0719"/>
    <w:rsid w:val="005A1C12"/>
    <w:rsid w:val="005A6F05"/>
    <w:rsid w:val="005A7809"/>
    <w:rsid w:val="005B0B93"/>
    <w:rsid w:val="005B1B77"/>
    <w:rsid w:val="005B3520"/>
    <w:rsid w:val="005C5106"/>
    <w:rsid w:val="005C6366"/>
    <w:rsid w:val="005D0C64"/>
    <w:rsid w:val="005E096F"/>
    <w:rsid w:val="005E1450"/>
    <w:rsid w:val="005E4C1E"/>
    <w:rsid w:val="005F05BF"/>
    <w:rsid w:val="005F5014"/>
    <w:rsid w:val="006125FC"/>
    <w:rsid w:val="00623C0B"/>
    <w:rsid w:val="00624210"/>
    <w:rsid w:val="00640C29"/>
    <w:rsid w:val="006436FD"/>
    <w:rsid w:val="006531AE"/>
    <w:rsid w:val="00660DA4"/>
    <w:rsid w:val="00664C43"/>
    <w:rsid w:val="00673E21"/>
    <w:rsid w:val="0068383E"/>
    <w:rsid w:val="0069021D"/>
    <w:rsid w:val="00692B55"/>
    <w:rsid w:val="006B6301"/>
    <w:rsid w:val="006C4B47"/>
    <w:rsid w:val="006C523F"/>
    <w:rsid w:val="006C65DB"/>
    <w:rsid w:val="006D0D89"/>
    <w:rsid w:val="006D1E97"/>
    <w:rsid w:val="006D52FB"/>
    <w:rsid w:val="006D607A"/>
    <w:rsid w:val="006E1DC2"/>
    <w:rsid w:val="006F2D2B"/>
    <w:rsid w:val="006F31E0"/>
    <w:rsid w:val="00763CB8"/>
    <w:rsid w:val="007766DC"/>
    <w:rsid w:val="0079087B"/>
    <w:rsid w:val="007C2450"/>
    <w:rsid w:val="007C706B"/>
    <w:rsid w:val="007D6E99"/>
    <w:rsid w:val="007D736E"/>
    <w:rsid w:val="007E53D2"/>
    <w:rsid w:val="007E6E6C"/>
    <w:rsid w:val="007E7F48"/>
    <w:rsid w:val="007F05A8"/>
    <w:rsid w:val="007F491C"/>
    <w:rsid w:val="00800E08"/>
    <w:rsid w:val="008333CC"/>
    <w:rsid w:val="00854F6A"/>
    <w:rsid w:val="00866084"/>
    <w:rsid w:val="008766CB"/>
    <w:rsid w:val="008879AF"/>
    <w:rsid w:val="00887C91"/>
    <w:rsid w:val="008A25A1"/>
    <w:rsid w:val="008A285F"/>
    <w:rsid w:val="008B2896"/>
    <w:rsid w:val="008B6040"/>
    <w:rsid w:val="008D31A3"/>
    <w:rsid w:val="008D3618"/>
    <w:rsid w:val="008D3B4E"/>
    <w:rsid w:val="008E2E14"/>
    <w:rsid w:val="008E7CB3"/>
    <w:rsid w:val="008F723A"/>
    <w:rsid w:val="0092006E"/>
    <w:rsid w:val="00945DFD"/>
    <w:rsid w:val="00975C18"/>
    <w:rsid w:val="009819A4"/>
    <w:rsid w:val="009A08E7"/>
    <w:rsid w:val="009A25B7"/>
    <w:rsid w:val="009B31EE"/>
    <w:rsid w:val="009D63B8"/>
    <w:rsid w:val="009F04E3"/>
    <w:rsid w:val="009F333E"/>
    <w:rsid w:val="009F75A0"/>
    <w:rsid w:val="00A076A9"/>
    <w:rsid w:val="00A12B42"/>
    <w:rsid w:val="00A274C7"/>
    <w:rsid w:val="00A3638A"/>
    <w:rsid w:val="00A3705C"/>
    <w:rsid w:val="00A451CF"/>
    <w:rsid w:val="00A60576"/>
    <w:rsid w:val="00A73726"/>
    <w:rsid w:val="00A76780"/>
    <w:rsid w:val="00A9151C"/>
    <w:rsid w:val="00A95D1E"/>
    <w:rsid w:val="00AA01A3"/>
    <w:rsid w:val="00AB681B"/>
    <w:rsid w:val="00AB6D4B"/>
    <w:rsid w:val="00AB7AD6"/>
    <w:rsid w:val="00AC6BBC"/>
    <w:rsid w:val="00AF10CC"/>
    <w:rsid w:val="00AF17A8"/>
    <w:rsid w:val="00B02A0B"/>
    <w:rsid w:val="00B20733"/>
    <w:rsid w:val="00B40B0A"/>
    <w:rsid w:val="00B5374A"/>
    <w:rsid w:val="00B57A81"/>
    <w:rsid w:val="00B8328B"/>
    <w:rsid w:val="00B83603"/>
    <w:rsid w:val="00BA06A1"/>
    <w:rsid w:val="00BC53F4"/>
    <w:rsid w:val="00C010DD"/>
    <w:rsid w:val="00C35766"/>
    <w:rsid w:val="00C36683"/>
    <w:rsid w:val="00C36E80"/>
    <w:rsid w:val="00C52B46"/>
    <w:rsid w:val="00C649E2"/>
    <w:rsid w:val="00C70F36"/>
    <w:rsid w:val="00C77E98"/>
    <w:rsid w:val="00CA64BF"/>
    <w:rsid w:val="00CC0EA6"/>
    <w:rsid w:val="00CC146A"/>
    <w:rsid w:val="00CD08E8"/>
    <w:rsid w:val="00CD7106"/>
    <w:rsid w:val="00CD7F71"/>
    <w:rsid w:val="00CF6480"/>
    <w:rsid w:val="00D1619D"/>
    <w:rsid w:val="00D41CA6"/>
    <w:rsid w:val="00D5378E"/>
    <w:rsid w:val="00D65251"/>
    <w:rsid w:val="00D72DCC"/>
    <w:rsid w:val="00D800E2"/>
    <w:rsid w:val="00D90EAD"/>
    <w:rsid w:val="00DA0FBA"/>
    <w:rsid w:val="00DA7E4D"/>
    <w:rsid w:val="00DB4DAB"/>
    <w:rsid w:val="00DC3093"/>
    <w:rsid w:val="00DD7790"/>
    <w:rsid w:val="00DE0564"/>
    <w:rsid w:val="00E011E2"/>
    <w:rsid w:val="00E2570A"/>
    <w:rsid w:val="00E33871"/>
    <w:rsid w:val="00E70195"/>
    <w:rsid w:val="00E76183"/>
    <w:rsid w:val="00E878AE"/>
    <w:rsid w:val="00E92601"/>
    <w:rsid w:val="00EA0A76"/>
    <w:rsid w:val="00EC1372"/>
    <w:rsid w:val="00F04EBB"/>
    <w:rsid w:val="00F10D2E"/>
    <w:rsid w:val="00F33AFD"/>
    <w:rsid w:val="00F34621"/>
    <w:rsid w:val="00F77C03"/>
    <w:rsid w:val="00F83075"/>
    <w:rsid w:val="00F83924"/>
    <w:rsid w:val="00F872E9"/>
    <w:rsid w:val="00FB5E47"/>
    <w:rsid w:val="00FB6601"/>
    <w:rsid w:val="00FB677E"/>
    <w:rsid w:val="00FD28E3"/>
    <w:rsid w:val="00FE70C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DF25942"/>
  <w15:docId w15:val="{D7E417C7-A88F-1A42-93D1-CF903B11D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80"/>
  </w:style>
  <w:style w:type="paragraph" w:styleId="Heading1">
    <w:name w:val="heading 1"/>
    <w:basedOn w:val="Normal"/>
    <w:next w:val="Normal"/>
    <w:link w:val="Heading1Char"/>
    <w:uiPriority w:val="9"/>
    <w:qFormat/>
    <w:rsid w:val="000A5607"/>
    <w:pPr>
      <w:keepNext/>
      <w:keepLines/>
      <w:spacing w:before="240"/>
      <w:outlineLvl w:val="0"/>
    </w:pPr>
    <w:rPr>
      <w:rFonts w:asciiTheme="majorHAnsi" w:eastAsiaTheme="majorEastAsia" w:hAnsiTheme="majorHAnsi" w:cstheme="majorBidi"/>
      <w:b/>
      <w:color w:val="000000" w:themeColor="text1"/>
      <w:sz w:val="32"/>
      <w:szCs w:val="32"/>
    </w:rPr>
  </w:style>
  <w:style w:type="paragraph" w:styleId="Heading2">
    <w:name w:val="heading 2"/>
    <w:basedOn w:val="Normal"/>
    <w:next w:val="Normal"/>
    <w:link w:val="Heading2Char"/>
    <w:uiPriority w:val="9"/>
    <w:unhideWhenUsed/>
    <w:qFormat/>
    <w:rsid w:val="000A5607"/>
    <w:pPr>
      <w:keepNext/>
      <w:keepLines/>
      <w:spacing w:before="40"/>
      <w:outlineLvl w:val="1"/>
    </w:pPr>
    <w:rPr>
      <w:rFonts w:asciiTheme="majorHAnsi" w:eastAsiaTheme="majorEastAsia" w:hAnsiTheme="majorHAnsi" w:cstheme="majorBidi"/>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2601"/>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uiPriority w:val="99"/>
    <w:unhideWhenUsed/>
    <w:rsid w:val="005A0719"/>
    <w:rPr>
      <w:sz w:val="20"/>
      <w:szCs w:val="20"/>
    </w:rPr>
  </w:style>
  <w:style w:type="character" w:customStyle="1" w:styleId="FootnoteTextChar">
    <w:name w:val="Footnote Text Char"/>
    <w:basedOn w:val="DefaultParagraphFont"/>
    <w:link w:val="FootnoteText"/>
    <w:uiPriority w:val="99"/>
    <w:rsid w:val="005A0719"/>
    <w:rPr>
      <w:sz w:val="20"/>
      <w:szCs w:val="20"/>
    </w:rPr>
  </w:style>
  <w:style w:type="character" w:styleId="FootnoteReference">
    <w:name w:val="footnote reference"/>
    <w:basedOn w:val="DefaultParagraphFont"/>
    <w:uiPriority w:val="99"/>
    <w:unhideWhenUsed/>
    <w:rsid w:val="005A0719"/>
    <w:rPr>
      <w:vertAlign w:val="superscript"/>
    </w:rPr>
  </w:style>
  <w:style w:type="character" w:customStyle="1" w:styleId="Heading1Char">
    <w:name w:val="Heading 1 Char"/>
    <w:basedOn w:val="DefaultParagraphFont"/>
    <w:link w:val="Heading1"/>
    <w:uiPriority w:val="9"/>
    <w:rsid w:val="000A5607"/>
    <w:rPr>
      <w:rFonts w:asciiTheme="majorHAnsi" w:eastAsiaTheme="majorEastAsia" w:hAnsiTheme="majorHAnsi" w:cstheme="majorBidi"/>
      <w:b/>
      <w:color w:val="000000" w:themeColor="text1"/>
      <w:sz w:val="32"/>
      <w:szCs w:val="32"/>
    </w:rPr>
  </w:style>
  <w:style w:type="character" w:customStyle="1" w:styleId="Heading2Char">
    <w:name w:val="Heading 2 Char"/>
    <w:basedOn w:val="DefaultParagraphFont"/>
    <w:link w:val="Heading2"/>
    <w:uiPriority w:val="9"/>
    <w:rsid w:val="000A5607"/>
    <w:rPr>
      <w:rFonts w:asciiTheme="majorHAnsi" w:eastAsiaTheme="majorEastAsia" w:hAnsiTheme="majorHAnsi" w:cstheme="majorBidi"/>
      <w:b/>
      <w:color w:val="000000" w:themeColor="text1"/>
      <w:sz w:val="26"/>
      <w:szCs w:val="26"/>
    </w:rPr>
  </w:style>
  <w:style w:type="paragraph" w:styleId="ListParagraph">
    <w:name w:val="List Paragraph"/>
    <w:basedOn w:val="Normal"/>
    <w:uiPriority w:val="34"/>
    <w:qFormat/>
    <w:rsid w:val="000A5607"/>
    <w:pPr>
      <w:ind w:left="720"/>
      <w:contextualSpacing/>
    </w:pPr>
    <w:rPr>
      <w:rFonts w:eastAsia="Times New Roman" w:cs="Times New Roman"/>
      <w:sz w:val="22"/>
    </w:rPr>
  </w:style>
  <w:style w:type="character" w:styleId="Hyperlink">
    <w:name w:val="Hyperlink"/>
    <w:basedOn w:val="DefaultParagraphFont"/>
    <w:uiPriority w:val="99"/>
    <w:unhideWhenUsed/>
    <w:rsid w:val="000A5607"/>
    <w:rPr>
      <w:color w:val="0563C1" w:themeColor="hyperlink"/>
      <w:u w:val="single"/>
    </w:rPr>
  </w:style>
  <w:style w:type="paragraph" w:styleId="BalloonText">
    <w:name w:val="Balloon Text"/>
    <w:basedOn w:val="Normal"/>
    <w:link w:val="BalloonTextChar"/>
    <w:uiPriority w:val="99"/>
    <w:semiHidden/>
    <w:unhideWhenUsed/>
    <w:rsid w:val="00417C3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17C3A"/>
    <w:rPr>
      <w:rFonts w:ascii="Times New Roman" w:hAnsi="Times New Roman" w:cs="Times New Roman"/>
      <w:sz w:val="18"/>
      <w:szCs w:val="18"/>
    </w:rPr>
  </w:style>
  <w:style w:type="character" w:customStyle="1" w:styleId="apple-converted-space">
    <w:name w:val="apple-converted-space"/>
    <w:basedOn w:val="DefaultParagraphFont"/>
    <w:rsid w:val="00417C3A"/>
  </w:style>
  <w:style w:type="paragraph" w:styleId="Footer">
    <w:name w:val="footer"/>
    <w:basedOn w:val="Normal"/>
    <w:link w:val="FooterChar"/>
    <w:uiPriority w:val="99"/>
    <w:unhideWhenUsed/>
    <w:rsid w:val="00D5378E"/>
    <w:pPr>
      <w:tabs>
        <w:tab w:val="center" w:pos="4680"/>
        <w:tab w:val="right" w:pos="9360"/>
      </w:tabs>
    </w:pPr>
  </w:style>
  <w:style w:type="character" w:customStyle="1" w:styleId="FooterChar">
    <w:name w:val="Footer Char"/>
    <w:basedOn w:val="DefaultParagraphFont"/>
    <w:link w:val="Footer"/>
    <w:uiPriority w:val="99"/>
    <w:rsid w:val="00D5378E"/>
  </w:style>
  <w:style w:type="character" w:styleId="PageNumber">
    <w:name w:val="page number"/>
    <w:basedOn w:val="DefaultParagraphFont"/>
    <w:uiPriority w:val="99"/>
    <w:semiHidden/>
    <w:unhideWhenUsed/>
    <w:rsid w:val="00D5378E"/>
  </w:style>
  <w:style w:type="character" w:styleId="CommentReference">
    <w:name w:val="annotation reference"/>
    <w:basedOn w:val="DefaultParagraphFont"/>
    <w:uiPriority w:val="99"/>
    <w:semiHidden/>
    <w:unhideWhenUsed/>
    <w:rsid w:val="00FE70C7"/>
    <w:rPr>
      <w:sz w:val="16"/>
      <w:szCs w:val="16"/>
    </w:rPr>
  </w:style>
  <w:style w:type="paragraph" w:styleId="CommentText">
    <w:name w:val="annotation text"/>
    <w:basedOn w:val="Normal"/>
    <w:link w:val="CommentTextChar"/>
    <w:uiPriority w:val="99"/>
    <w:unhideWhenUsed/>
    <w:rsid w:val="00FE70C7"/>
    <w:rPr>
      <w:sz w:val="20"/>
      <w:szCs w:val="20"/>
    </w:rPr>
  </w:style>
  <w:style w:type="character" w:customStyle="1" w:styleId="CommentTextChar">
    <w:name w:val="Comment Text Char"/>
    <w:basedOn w:val="DefaultParagraphFont"/>
    <w:link w:val="CommentText"/>
    <w:uiPriority w:val="99"/>
    <w:rsid w:val="00FE70C7"/>
    <w:rPr>
      <w:sz w:val="20"/>
      <w:szCs w:val="20"/>
    </w:rPr>
  </w:style>
  <w:style w:type="paragraph" w:styleId="CommentSubject">
    <w:name w:val="annotation subject"/>
    <w:basedOn w:val="CommentText"/>
    <w:next w:val="CommentText"/>
    <w:link w:val="CommentSubjectChar"/>
    <w:uiPriority w:val="99"/>
    <w:semiHidden/>
    <w:unhideWhenUsed/>
    <w:rsid w:val="00FE70C7"/>
    <w:rPr>
      <w:b/>
      <w:bCs/>
    </w:rPr>
  </w:style>
  <w:style w:type="character" w:customStyle="1" w:styleId="CommentSubjectChar">
    <w:name w:val="Comment Subject Char"/>
    <w:basedOn w:val="CommentTextChar"/>
    <w:link w:val="CommentSubject"/>
    <w:uiPriority w:val="99"/>
    <w:semiHidden/>
    <w:rsid w:val="00FE70C7"/>
    <w:rPr>
      <w:b/>
      <w:bCs/>
      <w:sz w:val="20"/>
      <w:szCs w:val="20"/>
    </w:rPr>
  </w:style>
  <w:style w:type="paragraph" w:styleId="Header">
    <w:name w:val="header"/>
    <w:basedOn w:val="Normal"/>
    <w:link w:val="HeaderChar"/>
    <w:uiPriority w:val="99"/>
    <w:unhideWhenUsed/>
    <w:rsid w:val="00E33871"/>
    <w:pPr>
      <w:tabs>
        <w:tab w:val="center" w:pos="4680"/>
        <w:tab w:val="right" w:pos="9360"/>
      </w:tabs>
    </w:pPr>
  </w:style>
  <w:style w:type="character" w:customStyle="1" w:styleId="HeaderChar">
    <w:name w:val="Header Char"/>
    <w:basedOn w:val="DefaultParagraphFont"/>
    <w:link w:val="Header"/>
    <w:uiPriority w:val="99"/>
    <w:rsid w:val="00E33871"/>
  </w:style>
  <w:style w:type="paragraph" w:styleId="Revision">
    <w:name w:val="Revision"/>
    <w:hidden/>
    <w:uiPriority w:val="99"/>
    <w:semiHidden/>
    <w:rsid w:val="00A12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795817">
      <w:bodyDiv w:val="1"/>
      <w:marLeft w:val="0"/>
      <w:marRight w:val="0"/>
      <w:marTop w:val="0"/>
      <w:marBottom w:val="0"/>
      <w:divBdr>
        <w:top w:val="none" w:sz="0" w:space="0" w:color="auto"/>
        <w:left w:val="none" w:sz="0" w:space="0" w:color="auto"/>
        <w:bottom w:val="none" w:sz="0" w:space="0" w:color="auto"/>
        <w:right w:val="none" w:sz="0" w:space="0" w:color="auto"/>
      </w:divBdr>
      <w:divsChild>
        <w:div w:id="775096901">
          <w:marLeft w:val="0"/>
          <w:marRight w:val="0"/>
          <w:marTop w:val="0"/>
          <w:marBottom w:val="0"/>
          <w:divBdr>
            <w:top w:val="none" w:sz="0" w:space="0" w:color="auto"/>
            <w:left w:val="none" w:sz="0" w:space="0" w:color="auto"/>
            <w:bottom w:val="none" w:sz="0" w:space="0" w:color="auto"/>
            <w:right w:val="none" w:sz="0" w:space="0" w:color="auto"/>
          </w:divBdr>
          <w:divsChild>
            <w:div w:id="29913948">
              <w:marLeft w:val="0"/>
              <w:marRight w:val="0"/>
              <w:marTop w:val="0"/>
              <w:marBottom w:val="0"/>
              <w:divBdr>
                <w:top w:val="none" w:sz="0" w:space="0" w:color="auto"/>
                <w:left w:val="none" w:sz="0" w:space="0" w:color="auto"/>
                <w:bottom w:val="none" w:sz="0" w:space="0" w:color="auto"/>
                <w:right w:val="none" w:sz="0" w:space="0" w:color="auto"/>
              </w:divBdr>
              <w:divsChild>
                <w:div w:id="8000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4525">
      <w:bodyDiv w:val="1"/>
      <w:marLeft w:val="0"/>
      <w:marRight w:val="0"/>
      <w:marTop w:val="0"/>
      <w:marBottom w:val="0"/>
      <w:divBdr>
        <w:top w:val="none" w:sz="0" w:space="0" w:color="auto"/>
        <w:left w:val="none" w:sz="0" w:space="0" w:color="auto"/>
        <w:bottom w:val="none" w:sz="0" w:space="0" w:color="auto"/>
        <w:right w:val="none" w:sz="0" w:space="0" w:color="auto"/>
      </w:divBdr>
    </w:div>
    <w:div w:id="1039162765">
      <w:bodyDiv w:val="1"/>
      <w:marLeft w:val="0"/>
      <w:marRight w:val="0"/>
      <w:marTop w:val="0"/>
      <w:marBottom w:val="0"/>
      <w:divBdr>
        <w:top w:val="none" w:sz="0" w:space="0" w:color="auto"/>
        <w:left w:val="none" w:sz="0" w:space="0" w:color="auto"/>
        <w:bottom w:val="none" w:sz="0" w:space="0" w:color="auto"/>
        <w:right w:val="none" w:sz="0" w:space="0" w:color="auto"/>
      </w:divBdr>
      <w:divsChild>
        <w:div w:id="227615992">
          <w:marLeft w:val="0"/>
          <w:marRight w:val="0"/>
          <w:marTop w:val="0"/>
          <w:marBottom w:val="0"/>
          <w:divBdr>
            <w:top w:val="none" w:sz="0" w:space="0" w:color="auto"/>
            <w:left w:val="none" w:sz="0" w:space="0" w:color="auto"/>
            <w:bottom w:val="none" w:sz="0" w:space="0" w:color="auto"/>
            <w:right w:val="none" w:sz="0" w:space="0" w:color="auto"/>
          </w:divBdr>
          <w:divsChild>
            <w:div w:id="1778059355">
              <w:marLeft w:val="0"/>
              <w:marRight w:val="0"/>
              <w:marTop w:val="0"/>
              <w:marBottom w:val="0"/>
              <w:divBdr>
                <w:top w:val="none" w:sz="0" w:space="0" w:color="auto"/>
                <w:left w:val="none" w:sz="0" w:space="0" w:color="auto"/>
                <w:bottom w:val="none" w:sz="0" w:space="0" w:color="auto"/>
                <w:right w:val="none" w:sz="0" w:space="0" w:color="auto"/>
              </w:divBdr>
              <w:divsChild>
                <w:div w:id="21452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335535">
      <w:bodyDiv w:val="1"/>
      <w:marLeft w:val="0"/>
      <w:marRight w:val="0"/>
      <w:marTop w:val="0"/>
      <w:marBottom w:val="0"/>
      <w:divBdr>
        <w:top w:val="none" w:sz="0" w:space="0" w:color="auto"/>
        <w:left w:val="none" w:sz="0" w:space="0" w:color="auto"/>
        <w:bottom w:val="none" w:sz="0" w:space="0" w:color="auto"/>
        <w:right w:val="none" w:sz="0" w:space="0" w:color="auto"/>
      </w:divBdr>
      <w:divsChild>
        <w:div w:id="737360081">
          <w:marLeft w:val="0"/>
          <w:marRight w:val="0"/>
          <w:marTop w:val="0"/>
          <w:marBottom w:val="0"/>
          <w:divBdr>
            <w:top w:val="none" w:sz="0" w:space="0" w:color="auto"/>
            <w:left w:val="none" w:sz="0" w:space="0" w:color="auto"/>
            <w:bottom w:val="none" w:sz="0" w:space="0" w:color="auto"/>
            <w:right w:val="none" w:sz="0" w:space="0" w:color="auto"/>
          </w:divBdr>
          <w:divsChild>
            <w:div w:id="311562075">
              <w:marLeft w:val="0"/>
              <w:marRight w:val="0"/>
              <w:marTop w:val="0"/>
              <w:marBottom w:val="0"/>
              <w:divBdr>
                <w:top w:val="none" w:sz="0" w:space="0" w:color="auto"/>
                <w:left w:val="none" w:sz="0" w:space="0" w:color="auto"/>
                <w:bottom w:val="none" w:sz="0" w:space="0" w:color="auto"/>
                <w:right w:val="none" w:sz="0" w:space="0" w:color="auto"/>
              </w:divBdr>
              <w:divsChild>
                <w:div w:id="5136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400169">
      <w:bodyDiv w:val="1"/>
      <w:marLeft w:val="0"/>
      <w:marRight w:val="0"/>
      <w:marTop w:val="0"/>
      <w:marBottom w:val="0"/>
      <w:divBdr>
        <w:top w:val="none" w:sz="0" w:space="0" w:color="auto"/>
        <w:left w:val="none" w:sz="0" w:space="0" w:color="auto"/>
        <w:bottom w:val="none" w:sz="0" w:space="0" w:color="auto"/>
        <w:right w:val="none" w:sz="0" w:space="0" w:color="auto"/>
      </w:divBdr>
      <w:divsChild>
        <w:div w:id="571695750">
          <w:marLeft w:val="0"/>
          <w:marRight w:val="0"/>
          <w:marTop w:val="0"/>
          <w:marBottom w:val="0"/>
          <w:divBdr>
            <w:top w:val="none" w:sz="0" w:space="0" w:color="auto"/>
            <w:left w:val="none" w:sz="0" w:space="0" w:color="auto"/>
            <w:bottom w:val="none" w:sz="0" w:space="0" w:color="auto"/>
            <w:right w:val="none" w:sz="0" w:space="0" w:color="auto"/>
          </w:divBdr>
          <w:divsChild>
            <w:div w:id="519512901">
              <w:marLeft w:val="0"/>
              <w:marRight w:val="0"/>
              <w:marTop w:val="0"/>
              <w:marBottom w:val="0"/>
              <w:divBdr>
                <w:top w:val="none" w:sz="0" w:space="0" w:color="auto"/>
                <w:left w:val="none" w:sz="0" w:space="0" w:color="auto"/>
                <w:bottom w:val="none" w:sz="0" w:space="0" w:color="auto"/>
                <w:right w:val="none" w:sz="0" w:space="0" w:color="auto"/>
              </w:divBdr>
              <w:divsChild>
                <w:div w:id="162538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CFC3-B840-8647-BA04-E8168BB8D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Raab</dc:creator>
  <cp:keywords/>
  <dc:description/>
  <cp:lastModifiedBy>Katherine Mckeague Abrams</cp:lastModifiedBy>
  <cp:revision>2</cp:revision>
  <dcterms:created xsi:type="dcterms:W3CDTF">2021-02-15T22:09:00Z</dcterms:created>
  <dcterms:modified xsi:type="dcterms:W3CDTF">2021-02-15T22:09:00Z</dcterms:modified>
</cp:coreProperties>
</file>