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23"/>
        <w:ind w:left="3526" w:right="0" w:firstLine="0"/>
        <w:jc w:val="left"/>
        <w:rPr>
          <w:sz w:val="34"/>
        </w:rPr>
      </w:pPr>
      <w:r>
        <w:rPr/>
        <w:drawing>
          <wp:anchor distT="0" distB="0" distL="0" distR="0" allowOverlap="1" layoutInCell="1" locked="0" behindDoc="0" simplePos="0" relativeHeight="1048">
            <wp:simplePos x="0" y="0"/>
            <wp:positionH relativeFrom="page">
              <wp:posOffset>556774</wp:posOffset>
            </wp:positionH>
            <wp:positionV relativeFrom="paragraph">
              <wp:posOffset>4757</wp:posOffset>
            </wp:positionV>
            <wp:extent cx="971550" cy="88241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71550" cy="882411"/>
                    </a:xfrm>
                    <a:prstGeom prst="rect">
                      <a:avLst/>
                    </a:prstGeom>
                  </pic:spPr>
                </pic:pic>
              </a:graphicData>
            </a:graphic>
          </wp:anchor>
        </w:drawing>
      </w:r>
      <w:bookmarkStart w:name="SoCalREN 2019 Compliance Filing Advice L" w:id="1"/>
      <w:bookmarkEnd w:id="1"/>
      <w:r>
        <w:rPr/>
      </w:r>
      <w:r>
        <w:rPr>
          <w:sz w:val="34"/>
        </w:rPr>
        <w:t>County of Los Angeles</w:t>
      </w:r>
    </w:p>
    <w:p>
      <w:pPr>
        <w:spacing w:line="345" w:lineRule="exact" w:before="7"/>
        <w:ind w:left="2595" w:right="0" w:firstLine="0"/>
        <w:jc w:val="left"/>
        <w:rPr>
          <w:b/>
          <w:sz w:val="30"/>
        </w:rPr>
      </w:pPr>
      <w:r>
        <w:rPr>
          <w:b/>
          <w:sz w:val="30"/>
        </w:rPr>
        <w:t>INTERNAL SERVICES DEPARTMENT</w:t>
      </w:r>
    </w:p>
    <w:p>
      <w:pPr>
        <w:spacing w:before="0"/>
        <w:ind w:left="4001" w:right="1437" w:hanging="2"/>
        <w:jc w:val="center"/>
        <w:rPr>
          <w:rFonts w:ascii="Times New Roman"/>
          <w:sz w:val="20"/>
        </w:rPr>
      </w:pPr>
      <w:r>
        <w:rPr>
          <w:rFonts w:ascii="Times New Roman"/>
          <w:sz w:val="20"/>
        </w:rPr>
        <w:t>1100 North Eastern Avenue Los Angeles, California 90063</w:t>
      </w:r>
    </w:p>
    <w:p>
      <w:pPr>
        <w:pStyle w:val="BodyText"/>
        <w:rPr>
          <w:rFonts w:ascii="Times New Roman"/>
        </w:rPr>
      </w:pPr>
    </w:p>
    <w:p>
      <w:pPr>
        <w:spacing w:before="136"/>
        <w:ind w:left="2824" w:right="265" w:firstLine="0"/>
        <w:jc w:val="center"/>
        <w:rPr>
          <w:rFonts w:ascii="Times New Roman" w:hAnsi="Times New Roman"/>
          <w:i/>
          <w:sz w:val="22"/>
        </w:rPr>
      </w:pPr>
      <w:r>
        <w:rPr>
          <w:rFonts w:ascii="Times New Roman" w:hAnsi="Times New Roman"/>
          <w:i/>
          <w:sz w:val="22"/>
        </w:rPr>
        <w:t>“To enrich lives through effective and caring service”</w:t>
      </w:r>
    </w:p>
    <w:p>
      <w:pPr>
        <w:pStyle w:val="BodyText"/>
        <w:rPr>
          <w:rFonts w:ascii="Times New Roman"/>
          <w:i/>
          <w:sz w:val="18"/>
        </w:rPr>
      </w:pPr>
      <w:r>
        <w:rPr/>
        <w:br w:type="column"/>
      </w:r>
      <w:r>
        <w:rPr>
          <w:rFonts w:ascii="Times New Roman"/>
          <w:i/>
          <w:sz w:val="18"/>
        </w:rPr>
      </w: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pStyle w:val="BodyText"/>
        <w:spacing w:before="3"/>
        <w:rPr>
          <w:rFonts w:ascii="Times New Roman"/>
          <w:i/>
          <w:sz w:val="14"/>
        </w:rPr>
      </w:pPr>
    </w:p>
    <w:p>
      <w:pPr>
        <w:tabs>
          <w:tab w:pos="1091" w:val="left" w:leader="none"/>
        </w:tabs>
        <w:spacing w:line="183" w:lineRule="exact" w:before="0"/>
        <w:ind w:left="116" w:right="0" w:firstLine="0"/>
        <w:jc w:val="left"/>
        <w:rPr>
          <w:rFonts w:ascii="Times New Roman"/>
          <w:sz w:val="16"/>
        </w:rPr>
      </w:pPr>
      <w:r>
        <w:rPr>
          <w:rFonts w:ascii="Times New Roman"/>
          <w:sz w:val="16"/>
        </w:rPr>
        <w:t>Telephone:</w:t>
        <w:tab/>
        <w:t>(323)</w:t>
      </w:r>
      <w:r>
        <w:rPr>
          <w:rFonts w:ascii="Times New Roman"/>
          <w:spacing w:val="-4"/>
          <w:sz w:val="16"/>
        </w:rPr>
        <w:t> </w:t>
      </w:r>
      <w:r>
        <w:rPr>
          <w:rFonts w:ascii="Times New Roman"/>
          <w:sz w:val="16"/>
        </w:rPr>
        <w:t>267-2101</w:t>
      </w:r>
    </w:p>
    <w:p>
      <w:pPr>
        <w:tabs>
          <w:tab w:pos="1091" w:val="left" w:leader="none"/>
        </w:tabs>
        <w:spacing w:line="183" w:lineRule="exact" w:before="0"/>
        <w:ind w:left="116" w:right="0" w:firstLine="0"/>
        <w:jc w:val="left"/>
        <w:rPr>
          <w:rFonts w:ascii="Times New Roman"/>
          <w:sz w:val="16"/>
        </w:rPr>
      </w:pPr>
      <w:r>
        <w:rPr>
          <w:rFonts w:ascii="Times New Roman"/>
          <w:sz w:val="16"/>
        </w:rPr>
        <w:t>FAX:</w:t>
        <w:tab/>
        <w:t>(323)</w:t>
      </w:r>
      <w:r>
        <w:rPr>
          <w:rFonts w:ascii="Times New Roman"/>
          <w:spacing w:val="-4"/>
          <w:sz w:val="16"/>
        </w:rPr>
        <w:t> </w:t>
      </w:r>
      <w:r>
        <w:rPr>
          <w:rFonts w:ascii="Times New Roman"/>
          <w:sz w:val="16"/>
        </w:rPr>
        <w:t>264-7135</w:t>
      </w:r>
    </w:p>
    <w:p>
      <w:pPr>
        <w:spacing w:after="0" w:line="183" w:lineRule="exact"/>
        <w:jc w:val="left"/>
        <w:rPr>
          <w:rFonts w:ascii="Times New Roman"/>
          <w:sz w:val="16"/>
        </w:rPr>
        <w:sectPr>
          <w:type w:val="continuous"/>
          <w:pgSz w:w="12240" w:h="15840"/>
          <w:pgMar w:top="700" w:bottom="280" w:left="760" w:right="760"/>
          <w:cols w:num="2" w:equalWidth="0">
            <w:col w:w="7914" w:space="598"/>
            <w:col w:w="2208"/>
          </w:cols>
        </w:sectPr>
      </w:pPr>
    </w:p>
    <w:p>
      <w:pPr>
        <w:pStyle w:val="BodyText"/>
        <w:rPr>
          <w:rFonts w:ascii="Times New Roman"/>
          <w:sz w:val="20"/>
        </w:rPr>
      </w:pPr>
    </w:p>
    <w:p>
      <w:pPr>
        <w:pStyle w:val="BodyText"/>
        <w:spacing w:before="4"/>
        <w:rPr>
          <w:rFonts w:ascii="Times New Roman"/>
          <w:sz w:val="21"/>
        </w:rPr>
      </w:pPr>
    </w:p>
    <w:p>
      <w:pPr>
        <w:pStyle w:val="BodyText"/>
        <w:spacing w:before="1"/>
        <w:ind w:left="689"/>
      </w:pPr>
      <w:r>
        <w:rPr/>
        <w:t>September 04, 2018</w:t>
      </w:r>
    </w:p>
    <w:p>
      <w:pPr>
        <w:pStyle w:val="BodyText"/>
        <w:rPr>
          <w:sz w:val="24"/>
        </w:rPr>
      </w:pPr>
    </w:p>
    <w:p>
      <w:pPr>
        <w:pStyle w:val="BodyText"/>
        <w:spacing w:before="6"/>
        <w:rPr>
          <w:sz w:val="34"/>
        </w:rPr>
      </w:pPr>
    </w:p>
    <w:p>
      <w:pPr>
        <w:pStyle w:val="Heading1"/>
        <w:spacing w:before="1"/>
      </w:pPr>
      <w:r>
        <w:rPr/>
        <w:t>Advice No. #8-E-G</w:t>
      </w:r>
    </w:p>
    <w:p>
      <w:pPr>
        <w:spacing w:before="2"/>
        <w:ind w:left="689" w:right="0" w:firstLine="0"/>
        <w:jc w:val="left"/>
        <w:rPr>
          <w:sz w:val="24"/>
        </w:rPr>
      </w:pPr>
      <w:r>
        <w:rPr>
          <w:sz w:val="24"/>
        </w:rPr>
        <w:t>(CPUC Identification #940)</w:t>
      </w:r>
    </w:p>
    <w:p>
      <w:pPr>
        <w:pStyle w:val="BodyText"/>
        <w:rPr>
          <w:sz w:val="24"/>
        </w:rPr>
      </w:pPr>
    </w:p>
    <w:p>
      <w:pPr>
        <w:spacing w:before="0"/>
        <w:ind w:left="689" w:right="0" w:firstLine="0"/>
        <w:jc w:val="left"/>
        <w:rPr>
          <w:sz w:val="24"/>
        </w:rPr>
      </w:pPr>
      <w:r>
        <w:rPr>
          <w:sz w:val="24"/>
        </w:rPr>
        <w:t>Public Utilities Commission of the State of California</w:t>
      </w:r>
    </w:p>
    <w:p>
      <w:pPr>
        <w:pStyle w:val="BodyText"/>
        <w:rPr>
          <w:sz w:val="26"/>
        </w:rPr>
      </w:pPr>
    </w:p>
    <w:p>
      <w:pPr>
        <w:pStyle w:val="Heading1"/>
        <w:tabs>
          <w:tab w:pos="2129" w:val="left" w:leader="none"/>
        </w:tabs>
        <w:spacing w:before="174"/>
        <w:ind w:left="2129" w:right="1628" w:hanging="1440"/>
      </w:pPr>
      <w:r>
        <w:rPr/>
        <w:t>SUBJECT:</w:t>
        <w:tab/>
        <w:t>COMPLIANCE FILING REGARDING SOUTHERN CALIFORNIA REGIONAL ENERGY NETWORK 2019 ENERGY EFFICIENCY PROGRAM PORTFOLIO CHANGES AND FUNDING</w:t>
      </w:r>
      <w:r>
        <w:rPr>
          <w:spacing w:val="-24"/>
        </w:rPr>
        <w:t> </w:t>
      </w:r>
      <w:r>
        <w:rPr/>
        <w:t>REQUEST</w:t>
      </w:r>
    </w:p>
    <w:p>
      <w:pPr>
        <w:pStyle w:val="BodyText"/>
        <w:rPr>
          <w:b/>
          <w:sz w:val="26"/>
        </w:rPr>
      </w:pPr>
    </w:p>
    <w:p>
      <w:pPr>
        <w:pStyle w:val="BodyText"/>
        <w:rPr>
          <w:b/>
          <w:sz w:val="33"/>
        </w:rPr>
      </w:pPr>
    </w:p>
    <w:p>
      <w:pPr>
        <w:spacing w:before="1"/>
        <w:ind w:left="689" w:right="0" w:firstLine="0"/>
        <w:jc w:val="left"/>
        <w:rPr>
          <w:b/>
          <w:sz w:val="24"/>
        </w:rPr>
      </w:pPr>
      <w:r>
        <w:rPr>
          <w:b/>
          <w:sz w:val="24"/>
          <w:u w:val="thick"/>
        </w:rPr>
        <w:t>Purpose</w:t>
      </w:r>
    </w:p>
    <w:p>
      <w:pPr>
        <w:spacing w:line="360" w:lineRule="auto" w:before="59"/>
        <w:ind w:left="689" w:right="730" w:firstLine="0"/>
        <w:jc w:val="left"/>
        <w:rPr>
          <w:sz w:val="22"/>
        </w:rPr>
      </w:pPr>
      <w:r>
        <w:rPr>
          <w:sz w:val="22"/>
        </w:rPr>
        <w:t>The Southern California Regional Energy Network (SoCalREN) submits its 2019 Energy Efficiency (EE) portfolio budget by Tier 2 Advice Letter (AL) to the California Public Utilities Commission (Commission), in compliance with </w:t>
      </w:r>
      <w:r>
        <w:rPr>
          <w:i/>
          <w:sz w:val="22"/>
        </w:rPr>
        <w:t>Decision Re Energy Efficiency Goals for 2016 and Beyond and Energy Efficiency Rolling Portfolio Mechanics, </w:t>
      </w:r>
      <w:r>
        <w:rPr>
          <w:sz w:val="22"/>
        </w:rPr>
        <w:t>the “Rolling Portfolio decision,” (D.15-10-028)</w:t>
      </w:r>
      <w:r>
        <w:rPr>
          <w:sz w:val="22"/>
          <w:vertAlign w:val="superscript"/>
        </w:rPr>
        <w:t>1</w:t>
      </w:r>
      <w:r>
        <w:rPr>
          <w:sz w:val="22"/>
          <w:vertAlign w:val="baseline"/>
        </w:rPr>
        <w:t> and the </w:t>
      </w:r>
      <w:r>
        <w:rPr>
          <w:i/>
          <w:sz w:val="22"/>
          <w:vertAlign w:val="baseline"/>
        </w:rPr>
        <w:t>Decision Addressing Energy Efficiency Business Plans </w:t>
      </w:r>
      <w:r>
        <w:rPr>
          <w:sz w:val="22"/>
          <w:vertAlign w:val="baseline"/>
        </w:rPr>
        <w:t>(D.18-05-041)</w:t>
      </w:r>
      <w:r>
        <w:rPr>
          <w:sz w:val="22"/>
          <w:vertAlign w:val="superscript"/>
        </w:rPr>
        <w:t>2</w:t>
      </w:r>
      <w:r>
        <w:rPr>
          <w:sz w:val="22"/>
          <w:vertAlign w:val="baseline"/>
        </w:rPr>
        <w:t> and guidance from the Commission Energy Division (ED) Staff. This Advice Letter provides budget, programmatic adjustments and updated supporting documentation for energy efficiency programs the SoCalREN will offer in 2019.</w:t>
      </w:r>
    </w:p>
    <w:p>
      <w:pPr>
        <w:pStyle w:val="BodyText"/>
        <w:spacing w:line="360" w:lineRule="auto" w:before="200"/>
        <w:ind w:left="689" w:right="851"/>
      </w:pPr>
      <w:r>
        <w:rPr/>
        <w:t>SoCalREN requests that the Commission approve its 2019 EE Budget, effective as of January 1, 2019. SoCalREN also requests the approval to discontinue certain EE programs and sub- programs as detailed below.</w:t>
      </w:r>
    </w:p>
    <w:p>
      <w:pPr>
        <w:pStyle w:val="Heading1"/>
        <w:spacing w:before="201"/>
      </w:pPr>
      <w:r>
        <w:rPr>
          <w:u w:val="thick"/>
        </w:rPr>
        <w:t>Background</w:t>
      </w:r>
    </w:p>
    <w:p>
      <w:pPr>
        <w:pStyle w:val="BodyText"/>
        <w:rPr>
          <w:b/>
          <w:sz w:val="20"/>
        </w:rPr>
      </w:pPr>
    </w:p>
    <w:p>
      <w:pPr>
        <w:pStyle w:val="BodyText"/>
        <w:spacing w:before="10"/>
        <w:rPr>
          <w:b/>
          <w:sz w:val="20"/>
        </w:rPr>
      </w:pPr>
    </w:p>
    <w:p>
      <w:pPr>
        <w:pStyle w:val="Heading2"/>
        <w:numPr>
          <w:ilvl w:val="0"/>
          <w:numId w:val="1"/>
        </w:numPr>
        <w:tabs>
          <w:tab w:pos="1770" w:val="left" w:leader="none"/>
        </w:tabs>
        <w:spacing w:line="240" w:lineRule="auto" w:before="94" w:after="0"/>
        <w:ind w:left="1769" w:right="0" w:hanging="360"/>
        <w:jc w:val="left"/>
        <w:rPr>
          <w:u w:val="none"/>
        </w:rPr>
      </w:pPr>
      <w:r>
        <w:rPr>
          <w:u w:val="thick"/>
        </w:rPr>
        <w:t>Filing</w:t>
      </w:r>
      <w:r>
        <w:rPr>
          <w:spacing w:val="-1"/>
          <w:u w:val="thick"/>
        </w:rPr>
        <w:t> </w:t>
      </w:r>
      <w:r>
        <w:rPr>
          <w:u w:val="thick"/>
        </w:rPr>
        <w:t>Requirements</w:t>
      </w:r>
    </w:p>
    <w:p>
      <w:pPr>
        <w:pStyle w:val="BodyText"/>
        <w:rPr>
          <w:b/>
          <w:sz w:val="20"/>
        </w:rPr>
      </w:pPr>
    </w:p>
    <w:p>
      <w:pPr>
        <w:pStyle w:val="BodyText"/>
        <w:spacing w:before="4"/>
        <w:rPr>
          <w:b/>
          <w:sz w:val="28"/>
        </w:rPr>
      </w:pPr>
      <w:r>
        <w:rPr/>
        <w:pict>
          <v:line style="position:absolute;mso-position-horizontal-relative:page;mso-position-vertical-relative:paragraph;z-index:0;mso-wrap-distance-left:0;mso-wrap-distance-right:0" from="72.470596pt,18.682495pt" to="216.470596pt,18.682495pt" stroked="true" strokeweight=".72pt" strokecolor="#000000">
            <v:stroke dashstyle="solid"/>
            <w10:wrap type="topAndBottom"/>
          </v:line>
        </w:pict>
      </w:r>
    </w:p>
    <w:p>
      <w:pPr>
        <w:pStyle w:val="BodyText"/>
        <w:spacing w:line="271" w:lineRule="exact" w:before="69"/>
        <w:ind w:left="689"/>
        <w:rPr>
          <w:rFonts w:ascii="Calibri"/>
        </w:rPr>
      </w:pPr>
      <w:r>
        <w:rPr>
          <w:rFonts w:ascii="Calibri"/>
          <w:position w:val="8"/>
          <w:sz w:val="14"/>
        </w:rPr>
        <w:t>1 </w:t>
      </w:r>
      <w:r>
        <w:rPr>
          <w:rFonts w:ascii="Calibri"/>
        </w:rPr>
        <w:t>D. 15-10-028, Ordering Paragraph (OP) [x].</w:t>
      </w:r>
    </w:p>
    <w:p>
      <w:pPr>
        <w:pStyle w:val="BodyText"/>
        <w:spacing w:line="271" w:lineRule="exact"/>
        <w:ind w:left="689"/>
        <w:rPr>
          <w:rFonts w:ascii="Calibri"/>
        </w:rPr>
      </w:pPr>
      <w:r>
        <w:rPr>
          <w:rFonts w:ascii="Calibri"/>
          <w:position w:val="8"/>
          <w:sz w:val="14"/>
        </w:rPr>
        <w:t>2 </w:t>
      </w:r>
      <w:r>
        <w:rPr>
          <w:rFonts w:ascii="Calibri"/>
        </w:rPr>
        <w:t>D. 18-05-041, Ordering Paragraph (OP) 41-45.</w:t>
      </w:r>
    </w:p>
    <w:p>
      <w:pPr>
        <w:spacing w:after="0" w:line="271" w:lineRule="exact"/>
        <w:rPr>
          <w:rFonts w:ascii="Calibri"/>
        </w:rPr>
        <w:sectPr>
          <w:type w:val="continuous"/>
          <w:pgSz w:w="12240" w:h="15840"/>
          <w:pgMar w:top="700" w:bottom="280" w:left="760" w:right="760"/>
        </w:sectPr>
      </w:pPr>
    </w:p>
    <w:p>
      <w:pPr>
        <w:pStyle w:val="BodyText"/>
        <w:rPr>
          <w:rFonts w:ascii="Calibri"/>
          <w:sz w:val="20"/>
        </w:rPr>
      </w:pPr>
    </w:p>
    <w:p>
      <w:pPr>
        <w:pStyle w:val="BodyText"/>
        <w:spacing w:before="2"/>
        <w:rPr>
          <w:rFonts w:ascii="Calibri"/>
          <w:sz w:val="18"/>
        </w:rPr>
      </w:pPr>
    </w:p>
    <w:p>
      <w:pPr>
        <w:pStyle w:val="BodyText"/>
        <w:spacing w:line="276" w:lineRule="auto" w:before="1"/>
        <w:ind w:left="689" w:right="815"/>
      </w:pPr>
      <w:r>
        <w:rPr/>
        <w:t>D.15-10-028 requires each EE Program Administrator (PA) to file a Tier 2 advice letter with the PA’s annual EE budget for the coming year in September of each year</w:t>
      </w:r>
      <w:r>
        <w:rPr>
          <w:vertAlign w:val="superscript"/>
        </w:rPr>
        <w:t>3</w:t>
      </w:r>
      <w:r>
        <w:rPr>
          <w:vertAlign w:val="baseline"/>
        </w:rPr>
        <w:t> and requires such advice letters to contain:</w:t>
      </w:r>
    </w:p>
    <w:p>
      <w:pPr>
        <w:pStyle w:val="BodyText"/>
        <w:spacing w:before="2"/>
      </w:pPr>
    </w:p>
    <w:p>
      <w:pPr>
        <w:pStyle w:val="ListParagraph"/>
        <w:numPr>
          <w:ilvl w:val="0"/>
          <w:numId w:val="2"/>
        </w:numPr>
        <w:tabs>
          <w:tab w:pos="1409" w:val="left" w:leader="none"/>
          <w:tab w:pos="1410" w:val="left" w:leader="none"/>
        </w:tabs>
        <w:spacing w:line="240" w:lineRule="auto" w:before="0" w:after="0"/>
        <w:ind w:left="1409" w:right="0" w:hanging="360"/>
        <w:jc w:val="left"/>
        <w:rPr>
          <w:sz w:val="22"/>
        </w:rPr>
      </w:pPr>
      <w:r>
        <w:rPr>
          <w:sz w:val="22"/>
        </w:rPr>
        <w:t>Portfolio cost-effectiveness statement; and</w:t>
      </w:r>
    </w:p>
    <w:p>
      <w:pPr>
        <w:pStyle w:val="BodyText"/>
        <w:spacing w:before="3"/>
        <w:rPr>
          <w:sz w:val="21"/>
        </w:rPr>
      </w:pPr>
    </w:p>
    <w:p>
      <w:pPr>
        <w:pStyle w:val="ListParagraph"/>
        <w:numPr>
          <w:ilvl w:val="0"/>
          <w:numId w:val="2"/>
        </w:numPr>
        <w:tabs>
          <w:tab w:pos="1409" w:val="left" w:leader="none"/>
          <w:tab w:pos="1410" w:val="left" w:leader="none"/>
        </w:tabs>
        <w:spacing w:line="223" w:lineRule="auto" w:before="0" w:after="0"/>
        <w:ind w:left="1409" w:right="1860" w:hanging="360"/>
        <w:jc w:val="left"/>
        <w:rPr>
          <w:sz w:val="22"/>
        </w:rPr>
      </w:pPr>
      <w:r>
        <w:rPr>
          <w:sz w:val="22"/>
        </w:rPr>
        <w:t>Application summary tables with forecast budgets and savings by sector and program/intervention.</w:t>
      </w:r>
    </w:p>
    <w:p>
      <w:pPr>
        <w:pStyle w:val="BodyText"/>
        <w:spacing w:before="5"/>
        <w:rPr>
          <w:sz w:val="21"/>
        </w:rPr>
      </w:pPr>
    </w:p>
    <w:p>
      <w:pPr>
        <w:pStyle w:val="BodyText"/>
        <w:spacing w:line="360" w:lineRule="auto"/>
        <w:ind w:left="689" w:right="684"/>
        <w:jc w:val="both"/>
      </w:pPr>
      <w:r>
        <w:rPr/>
        <w:t>Furthermore, D.18-05-041 provided further guidance to PAs in submitting Annual Budget Advice Letters (ABAL). D.18-05-041 requires that the Regional Energy Networks (REN) Annual Budget Advice Letters (ABAL) include the following:</w:t>
      </w:r>
    </w:p>
    <w:p>
      <w:pPr>
        <w:pStyle w:val="BodyText"/>
        <w:spacing w:before="10"/>
        <w:rPr>
          <w:sz w:val="19"/>
        </w:rPr>
      </w:pPr>
    </w:p>
    <w:p>
      <w:pPr>
        <w:pStyle w:val="ListParagraph"/>
        <w:numPr>
          <w:ilvl w:val="0"/>
          <w:numId w:val="2"/>
        </w:numPr>
        <w:tabs>
          <w:tab w:pos="1481" w:val="left" w:leader="none"/>
          <w:tab w:pos="1482" w:val="left" w:leader="none"/>
        </w:tabs>
        <w:spacing w:line="223" w:lineRule="auto" w:before="0" w:after="0"/>
        <w:ind w:left="1481" w:right="1258" w:hanging="360"/>
        <w:jc w:val="left"/>
        <w:rPr>
          <w:sz w:val="22"/>
        </w:rPr>
      </w:pPr>
      <w:r>
        <w:rPr>
          <w:sz w:val="22"/>
        </w:rPr>
        <w:t>Forecasted energy savings goals must meet or exceed the annual energy savings targets included in the PA’s business plan;</w:t>
      </w:r>
      <w:r>
        <w:rPr>
          <w:spacing w:val="-8"/>
          <w:sz w:val="22"/>
        </w:rPr>
        <w:t> </w:t>
      </w:r>
      <w:r>
        <w:rPr>
          <w:sz w:val="22"/>
        </w:rPr>
        <w:t>and</w:t>
      </w:r>
    </w:p>
    <w:p>
      <w:pPr>
        <w:pStyle w:val="BodyText"/>
        <w:spacing w:before="4"/>
        <w:rPr>
          <w:sz w:val="23"/>
        </w:rPr>
      </w:pPr>
    </w:p>
    <w:p>
      <w:pPr>
        <w:pStyle w:val="ListParagraph"/>
        <w:numPr>
          <w:ilvl w:val="0"/>
          <w:numId w:val="2"/>
        </w:numPr>
        <w:tabs>
          <w:tab w:pos="1481" w:val="left" w:leader="none"/>
          <w:tab w:pos="1482" w:val="left" w:leader="none"/>
        </w:tabs>
        <w:spacing w:line="223" w:lineRule="auto" w:before="0" w:after="0"/>
        <w:ind w:left="1481" w:right="879" w:hanging="360"/>
        <w:jc w:val="left"/>
        <w:rPr>
          <w:sz w:val="22"/>
        </w:rPr>
      </w:pPr>
      <w:r>
        <w:rPr>
          <w:sz w:val="22"/>
        </w:rPr>
        <w:t>Forecasted budget must not exceed the PA’s annual budget </w:t>
      </w:r>
      <w:r>
        <w:rPr>
          <w:spacing w:val="-3"/>
          <w:sz w:val="22"/>
        </w:rPr>
        <w:t>in </w:t>
      </w:r>
      <w:r>
        <w:rPr>
          <w:sz w:val="22"/>
        </w:rPr>
        <w:t>the approved business plans, or (if applicable) </w:t>
      </w:r>
      <w:r>
        <w:rPr>
          <w:spacing w:val="-3"/>
          <w:sz w:val="22"/>
        </w:rPr>
        <w:t>the </w:t>
      </w:r>
      <w:r>
        <w:rPr>
          <w:sz w:val="22"/>
        </w:rPr>
        <w:t>revised annual budget in this ABAL.</w:t>
      </w:r>
      <w:r>
        <w:rPr>
          <w:spacing w:val="-36"/>
          <w:sz w:val="22"/>
        </w:rPr>
        <w:t> </w:t>
      </w:r>
      <w:r>
        <w:rPr>
          <w:sz w:val="22"/>
          <w:vertAlign w:val="superscript"/>
        </w:rPr>
        <w:t>4</w:t>
      </w:r>
    </w:p>
    <w:p>
      <w:pPr>
        <w:pStyle w:val="BodyText"/>
        <w:spacing w:before="4"/>
        <w:rPr>
          <w:sz w:val="21"/>
        </w:rPr>
      </w:pPr>
    </w:p>
    <w:p>
      <w:pPr>
        <w:pStyle w:val="BodyText"/>
        <w:spacing w:before="1"/>
        <w:ind w:left="689"/>
      </w:pPr>
      <w:r>
        <w:rPr/>
        <w:t>[to be updated with additional D.18-05-041 language]</w:t>
      </w:r>
    </w:p>
    <w:p>
      <w:pPr>
        <w:pStyle w:val="BodyText"/>
        <w:rPr>
          <w:sz w:val="28"/>
        </w:rPr>
      </w:pPr>
    </w:p>
    <w:p>
      <w:pPr>
        <w:pStyle w:val="Heading2"/>
        <w:numPr>
          <w:ilvl w:val="0"/>
          <w:numId w:val="1"/>
        </w:numPr>
        <w:tabs>
          <w:tab w:pos="1770" w:val="left" w:leader="none"/>
        </w:tabs>
        <w:spacing w:line="240" w:lineRule="auto" w:before="1" w:after="0"/>
        <w:ind w:left="1769" w:right="0" w:hanging="360"/>
        <w:jc w:val="left"/>
        <w:rPr>
          <w:u w:val="none"/>
        </w:rPr>
      </w:pPr>
      <w:r>
        <w:rPr>
          <w:u w:val="thick"/>
        </w:rPr>
        <w:t>Contents of this</w:t>
      </w:r>
      <w:r>
        <w:rPr>
          <w:spacing w:val="-2"/>
          <w:u w:val="thick"/>
        </w:rPr>
        <w:t> </w:t>
      </w:r>
      <w:r>
        <w:rPr>
          <w:u w:val="thick"/>
        </w:rPr>
        <w:t>Filing</w:t>
      </w:r>
    </w:p>
    <w:p>
      <w:pPr>
        <w:pStyle w:val="BodyText"/>
        <w:spacing w:before="1"/>
        <w:ind w:left="689"/>
      </w:pPr>
      <w:r>
        <w:rPr/>
        <w:t>SoCalREN’s advice letter is organized as follows:</w:t>
      </w:r>
    </w:p>
    <w:p>
      <w:pPr>
        <w:pStyle w:val="BodyText"/>
        <w:spacing w:before="6"/>
        <w:rPr>
          <w:sz w:val="28"/>
        </w:rPr>
      </w:pPr>
    </w:p>
    <w:p>
      <w:pPr>
        <w:pStyle w:val="ListParagraph"/>
        <w:numPr>
          <w:ilvl w:val="0"/>
          <w:numId w:val="3"/>
        </w:numPr>
        <w:tabs>
          <w:tab w:pos="1410" w:val="left" w:leader="none"/>
        </w:tabs>
        <w:spacing w:line="240" w:lineRule="auto" w:before="0" w:after="0"/>
        <w:ind w:left="1409" w:right="0" w:hanging="360"/>
        <w:jc w:val="left"/>
        <w:rPr>
          <w:sz w:val="22"/>
        </w:rPr>
      </w:pPr>
      <w:r>
        <w:rPr>
          <w:sz w:val="22"/>
        </w:rPr>
        <w:t>2019 EE Portfolio</w:t>
      </w:r>
      <w:r>
        <w:rPr>
          <w:spacing w:val="-6"/>
          <w:sz w:val="22"/>
        </w:rPr>
        <w:t> </w:t>
      </w:r>
      <w:r>
        <w:rPr>
          <w:sz w:val="22"/>
        </w:rPr>
        <w:t>Budget</w:t>
      </w:r>
    </w:p>
    <w:p>
      <w:pPr>
        <w:pStyle w:val="ListParagraph"/>
        <w:numPr>
          <w:ilvl w:val="0"/>
          <w:numId w:val="3"/>
        </w:numPr>
        <w:tabs>
          <w:tab w:pos="1410" w:val="left" w:leader="none"/>
        </w:tabs>
        <w:spacing w:line="251" w:lineRule="exact" w:before="1" w:after="0"/>
        <w:ind w:left="1409" w:right="0" w:hanging="360"/>
        <w:jc w:val="left"/>
        <w:rPr>
          <w:sz w:val="22"/>
        </w:rPr>
      </w:pPr>
      <w:r>
        <w:rPr>
          <w:sz w:val="22"/>
        </w:rPr>
        <w:t>2019 EE Portfolio Cost</w:t>
      </w:r>
      <w:r>
        <w:rPr>
          <w:spacing w:val="-10"/>
          <w:sz w:val="22"/>
        </w:rPr>
        <w:t> </w:t>
      </w:r>
      <w:r>
        <w:rPr>
          <w:sz w:val="22"/>
        </w:rPr>
        <w:t>Effectiveness</w:t>
      </w:r>
    </w:p>
    <w:p>
      <w:pPr>
        <w:pStyle w:val="ListParagraph"/>
        <w:numPr>
          <w:ilvl w:val="0"/>
          <w:numId w:val="3"/>
        </w:numPr>
        <w:tabs>
          <w:tab w:pos="1410" w:val="left" w:leader="none"/>
        </w:tabs>
        <w:spacing w:line="251" w:lineRule="exact" w:before="0" w:after="0"/>
        <w:ind w:left="1409" w:right="0" w:hanging="360"/>
        <w:jc w:val="left"/>
        <w:rPr>
          <w:sz w:val="22"/>
        </w:rPr>
      </w:pPr>
      <w:r>
        <w:rPr>
          <w:sz w:val="22"/>
        </w:rPr>
        <w:t>2019 EE Portfolio Energy</w:t>
      </w:r>
      <w:r>
        <w:rPr>
          <w:spacing w:val="-11"/>
          <w:sz w:val="22"/>
        </w:rPr>
        <w:t> </w:t>
      </w:r>
      <w:r>
        <w:rPr>
          <w:sz w:val="22"/>
        </w:rPr>
        <w:t>Savings</w:t>
      </w:r>
    </w:p>
    <w:p>
      <w:pPr>
        <w:pStyle w:val="ListParagraph"/>
        <w:numPr>
          <w:ilvl w:val="0"/>
          <w:numId w:val="3"/>
        </w:numPr>
        <w:tabs>
          <w:tab w:pos="1410" w:val="left" w:leader="none"/>
        </w:tabs>
        <w:spacing w:line="240" w:lineRule="auto" w:before="2" w:after="0"/>
        <w:ind w:left="1409" w:right="0" w:hanging="360"/>
        <w:jc w:val="left"/>
        <w:rPr>
          <w:sz w:val="22"/>
        </w:rPr>
      </w:pPr>
      <w:r>
        <w:rPr>
          <w:sz w:val="22"/>
        </w:rPr>
        <w:t>2019 Proposed Program and Portfolio</w:t>
      </w:r>
      <w:r>
        <w:rPr>
          <w:spacing w:val="-1"/>
          <w:sz w:val="22"/>
        </w:rPr>
        <w:t> </w:t>
      </w:r>
      <w:r>
        <w:rPr>
          <w:sz w:val="22"/>
        </w:rPr>
        <w:t>Changes</w:t>
      </w:r>
    </w:p>
    <w:p>
      <w:pPr>
        <w:pStyle w:val="BodyText"/>
        <w:spacing w:before="2"/>
      </w:pPr>
    </w:p>
    <w:p>
      <w:pPr>
        <w:pStyle w:val="BodyText"/>
        <w:spacing w:line="360" w:lineRule="auto" w:before="1"/>
        <w:ind w:left="689" w:right="1107"/>
      </w:pPr>
      <w:r>
        <w:rPr/>
        <w:t>In addition to the information above, SoCalREN’s 2019 EE budget AL includes the following materials:</w:t>
      </w:r>
    </w:p>
    <w:p>
      <w:pPr>
        <w:pStyle w:val="ListParagraph"/>
        <w:numPr>
          <w:ilvl w:val="0"/>
          <w:numId w:val="3"/>
        </w:numPr>
        <w:tabs>
          <w:tab w:pos="1410" w:val="left" w:leader="none"/>
        </w:tabs>
        <w:spacing w:line="240" w:lineRule="auto" w:before="196" w:after="0"/>
        <w:ind w:left="1409" w:right="0" w:hanging="360"/>
        <w:jc w:val="left"/>
        <w:rPr>
          <w:sz w:val="22"/>
        </w:rPr>
      </w:pPr>
      <w:r>
        <w:rPr>
          <w:sz w:val="22"/>
        </w:rPr>
        <w:t>Attachments</w:t>
      </w:r>
    </w:p>
    <w:p>
      <w:pPr>
        <w:pStyle w:val="ListParagraph"/>
        <w:numPr>
          <w:ilvl w:val="1"/>
          <w:numId w:val="3"/>
        </w:numPr>
        <w:tabs>
          <w:tab w:pos="2129" w:val="left" w:leader="none"/>
          <w:tab w:pos="2130" w:val="left" w:leader="none"/>
        </w:tabs>
        <w:spacing w:line="263" w:lineRule="exact" w:before="1" w:after="0"/>
        <w:ind w:left="2129" w:right="0" w:hanging="360"/>
        <w:jc w:val="left"/>
        <w:rPr>
          <w:sz w:val="22"/>
        </w:rPr>
      </w:pPr>
      <w:r>
        <w:rPr>
          <w:sz w:val="22"/>
        </w:rPr>
        <w:t>Attachment A – SoCalREN 2019 ABAL</w:t>
      </w:r>
      <w:r>
        <w:rPr>
          <w:spacing w:val="-3"/>
          <w:sz w:val="22"/>
        </w:rPr>
        <w:t> </w:t>
      </w:r>
      <w:r>
        <w:rPr>
          <w:sz w:val="22"/>
        </w:rPr>
        <w:t>Tables</w:t>
      </w:r>
    </w:p>
    <w:p>
      <w:pPr>
        <w:pStyle w:val="ListParagraph"/>
        <w:numPr>
          <w:ilvl w:val="1"/>
          <w:numId w:val="3"/>
        </w:numPr>
        <w:tabs>
          <w:tab w:pos="2129" w:val="left" w:leader="none"/>
          <w:tab w:pos="2130" w:val="left" w:leader="none"/>
        </w:tabs>
        <w:spacing w:line="252" w:lineRule="exact" w:before="0" w:after="0"/>
        <w:ind w:left="2129" w:right="0" w:hanging="360"/>
        <w:jc w:val="left"/>
        <w:rPr>
          <w:sz w:val="22"/>
        </w:rPr>
      </w:pPr>
      <w:r>
        <w:rPr>
          <w:sz w:val="22"/>
        </w:rPr>
        <w:t>Attachment B – CEDARS Filing</w:t>
      </w:r>
      <w:r>
        <w:rPr>
          <w:spacing w:val="1"/>
          <w:sz w:val="22"/>
        </w:rPr>
        <w:t> </w:t>
      </w:r>
      <w:r>
        <w:rPr>
          <w:sz w:val="22"/>
        </w:rPr>
        <w:t>Confirmation</w:t>
      </w:r>
    </w:p>
    <w:p>
      <w:pPr>
        <w:pStyle w:val="ListParagraph"/>
        <w:numPr>
          <w:ilvl w:val="1"/>
          <w:numId w:val="3"/>
        </w:numPr>
        <w:tabs>
          <w:tab w:pos="2129" w:val="left" w:leader="none"/>
          <w:tab w:pos="2130" w:val="left" w:leader="none"/>
        </w:tabs>
        <w:spacing w:line="261" w:lineRule="exact" w:before="0" w:after="0"/>
        <w:ind w:left="2129" w:right="0" w:hanging="360"/>
        <w:jc w:val="left"/>
        <w:rPr>
          <w:sz w:val="22"/>
        </w:rPr>
      </w:pPr>
      <w:r>
        <w:rPr>
          <w:sz w:val="22"/>
        </w:rPr>
        <w:t>Attachment C – Sector Level Metrics: Progress to</w:t>
      </w:r>
      <w:r>
        <w:rPr>
          <w:spacing w:val="-16"/>
          <w:sz w:val="22"/>
        </w:rPr>
        <w:t> </w:t>
      </w:r>
      <w:r>
        <w:rPr>
          <w:sz w:val="22"/>
        </w:rPr>
        <w:t>Date</w:t>
      </w:r>
    </w:p>
    <w:p>
      <w:pPr>
        <w:pStyle w:val="BodyText"/>
        <w:rPr>
          <w:sz w:val="26"/>
        </w:rPr>
      </w:pPr>
    </w:p>
    <w:p>
      <w:pPr>
        <w:pStyle w:val="BodyText"/>
        <w:rPr>
          <w:sz w:val="23"/>
        </w:rPr>
      </w:pPr>
    </w:p>
    <w:p>
      <w:pPr>
        <w:pStyle w:val="Heading1"/>
      </w:pPr>
      <w:r>
        <w:rPr>
          <w:u w:val="thick"/>
        </w:rPr>
        <w:t>Discussion</w:t>
      </w:r>
    </w:p>
    <w:p>
      <w:pPr>
        <w:pStyle w:val="BodyText"/>
        <w:spacing w:before="4"/>
        <w:rPr>
          <w:b/>
          <w:sz w:val="19"/>
        </w:rPr>
      </w:pPr>
    </w:p>
    <w:p>
      <w:pPr>
        <w:spacing w:before="92"/>
        <w:ind w:left="689" w:right="0" w:firstLine="0"/>
        <w:jc w:val="left"/>
        <w:rPr>
          <w:b/>
          <w:sz w:val="24"/>
        </w:rPr>
      </w:pPr>
      <w:r>
        <w:rPr>
          <w:b/>
          <w:sz w:val="24"/>
          <w:u w:val="thick"/>
        </w:rPr>
        <w:t>2019 EE Portfolio Budget</w:t>
      </w:r>
    </w:p>
    <w:p>
      <w:pPr>
        <w:pStyle w:val="BodyText"/>
        <w:rPr>
          <w:b/>
          <w:sz w:val="20"/>
        </w:rPr>
      </w:pPr>
    </w:p>
    <w:p>
      <w:pPr>
        <w:pStyle w:val="BodyText"/>
        <w:rPr>
          <w:b/>
          <w:sz w:val="20"/>
        </w:rPr>
      </w:pPr>
    </w:p>
    <w:p>
      <w:pPr>
        <w:pStyle w:val="BodyText"/>
        <w:rPr>
          <w:b/>
          <w:sz w:val="20"/>
        </w:rPr>
      </w:pPr>
    </w:p>
    <w:p>
      <w:pPr>
        <w:pStyle w:val="BodyText"/>
        <w:spacing w:before="2"/>
        <w:rPr>
          <w:b/>
          <w:sz w:val="25"/>
        </w:rPr>
      </w:pPr>
      <w:r>
        <w:rPr/>
        <w:pict>
          <v:line style="position:absolute;mso-position-horizontal-relative:page;mso-position-vertical-relative:paragraph;z-index:1072;mso-wrap-distance-left:0;mso-wrap-distance-right:0" from="72.470596pt,16.857243pt" to="216.470596pt,16.857243pt" stroked="true" strokeweight=".72pt" strokecolor="#000000">
            <v:stroke dashstyle="solid"/>
            <w10:wrap type="topAndBottom"/>
          </v:line>
        </w:pict>
      </w:r>
    </w:p>
    <w:p>
      <w:pPr>
        <w:tabs>
          <w:tab w:pos="1409" w:val="left" w:leader="none"/>
        </w:tabs>
        <w:spacing w:line="246" w:lineRule="exact" w:before="69"/>
        <w:ind w:left="689" w:right="0" w:firstLine="0"/>
        <w:jc w:val="left"/>
        <w:rPr>
          <w:rFonts w:ascii="Calibri"/>
          <w:sz w:val="20"/>
        </w:rPr>
      </w:pPr>
      <w:r>
        <w:rPr>
          <w:rFonts w:ascii="Calibri"/>
          <w:position w:val="7"/>
          <w:sz w:val="13"/>
        </w:rPr>
        <w:t>3</w:t>
        <w:tab/>
      </w:r>
      <w:r>
        <w:rPr>
          <w:rFonts w:ascii="Calibri"/>
          <w:i/>
          <w:sz w:val="20"/>
        </w:rPr>
        <w:t>See </w:t>
      </w:r>
      <w:r>
        <w:rPr>
          <w:rFonts w:ascii="Calibri"/>
          <w:sz w:val="20"/>
        </w:rPr>
        <w:t>D.15-10-028, ordering paragraph</w:t>
      </w:r>
      <w:r>
        <w:rPr>
          <w:rFonts w:ascii="Calibri"/>
          <w:spacing w:val="-4"/>
          <w:sz w:val="20"/>
        </w:rPr>
        <w:t> </w:t>
      </w:r>
      <w:r>
        <w:rPr>
          <w:rFonts w:ascii="Calibri"/>
          <w:sz w:val="20"/>
        </w:rPr>
        <w:t>[x].</w:t>
      </w:r>
    </w:p>
    <w:p>
      <w:pPr>
        <w:tabs>
          <w:tab w:pos="1409" w:val="left" w:leader="none"/>
        </w:tabs>
        <w:spacing w:line="246" w:lineRule="exact" w:before="0"/>
        <w:ind w:left="689" w:right="0" w:firstLine="0"/>
        <w:jc w:val="left"/>
        <w:rPr>
          <w:rFonts w:ascii="Calibri"/>
          <w:sz w:val="20"/>
        </w:rPr>
      </w:pPr>
      <w:r>
        <w:rPr>
          <w:rFonts w:ascii="Calibri"/>
          <w:position w:val="7"/>
          <w:sz w:val="13"/>
        </w:rPr>
        <w:t>4</w:t>
        <w:tab/>
      </w:r>
      <w:r>
        <w:rPr>
          <w:rFonts w:ascii="Calibri"/>
          <w:sz w:val="20"/>
        </w:rPr>
        <w:t>See.D.18-05-041, p.</w:t>
      </w:r>
      <w:r>
        <w:rPr>
          <w:rFonts w:ascii="Calibri"/>
          <w:spacing w:val="-2"/>
          <w:sz w:val="20"/>
        </w:rPr>
        <w:t> 134</w:t>
      </w:r>
    </w:p>
    <w:p>
      <w:pPr>
        <w:spacing w:after="0" w:line="246" w:lineRule="exact"/>
        <w:jc w:val="left"/>
        <w:rPr>
          <w:rFonts w:ascii="Calibri"/>
          <w:sz w:val="20"/>
        </w:rPr>
        <w:sectPr>
          <w:headerReference w:type="default" r:id="rId6"/>
          <w:pgSz w:w="12240" w:h="15840"/>
          <w:pgMar w:header="736" w:footer="0" w:top="980" w:bottom="280" w:left="760" w:right="760"/>
          <w:pgNumType w:start="1"/>
        </w:sectPr>
      </w:pPr>
    </w:p>
    <w:p>
      <w:pPr>
        <w:pStyle w:val="BodyText"/>
        <w:rPr>
          <w:rFonts w:ascii="Calibri"/>
          <w:sz w:val="20"/>
        </w:rPr>
      </w:pPr>
    </w:p>
    <w:p>
      <w:pPr>
        <w:pStyle w:val="BodyText"/>
        <w:spacing w:before="2"/>
        <w:rPr>
          <w:rFonts w:ascii="Calibri"/>
          <w:sz w:val="18"/>
        </w:rPr>
      </w:pPr>
    </w:p>
    <w:p>
      <w:pPr>
        <w:pStyle w:val="BodyText"/>
        <w:spacing w:line="276" w:lineRule="auto" w:before="1"/>
        <w:ind w:left="689" w:right="664"/>
        <w:jc w:val="both"/>
      </w:pPr>
      <w:r>
        <w:rPr/>
        <w:t>SoCalREN’s</w:t>
      </w:r>
      <w:r>
        <w:rPr>
          <w:spacing w:val="-17"/>
        </w:rPr>
        <w:t> </w:t>
      </w:r>
      <w:r>
        <w:rPr/>
        <w:t>2019</w:t>
      </w:r>
      <w:r>
        <w:rPr>
          <w:spacing w:val="-15"/>
        </w:rPr>
        <w:t> </w:t>
      </w:r>
      <w:r>
        <w:rPr/>
        <w:t>EE</w:t>
      </w:r>
      <w:r>
        <w:rPr>
          <w:spacing w:val="-15"/>
        </w:rPr>
        <w:t> </w:t>
      </w:r>
      <w:r>
        <w:rPr/>
        <w:t>Portfolio</w:t>
      </w:r>
      <w:r>
        <w:rPr>
          <w:spacing w:val="-15"/>
        </w:rPr>
        <w:t> </w:t>
      </w:r>
      <w:r>
        <w:rPr/>
        <w:t>budget</w:t>
      </w:r>
      <w:r>
        <w:rPr>
          <w:spacing w:val="-15"/>
        </w:rPr>
        <w:t> </w:t>
      </w:r>
      <w:r>
        <w:rPr/>
        <w:t>SoCalREN</w:t>
      </w:r>
      <w:r>
        <w:rPr>
          <w:spacing w:val="-18"/>
        </w:rPr>
        <w:t> </w:t>
      </w:r>
      <w:r>
        <w:rPr/>
        <w:t>requests</w:t>
      </w:r>
      <w:r>
        <w:rPr>
          <w:spacing w:val="-21"/>
        </w:rPr>
        <w:t> </w:t>
      </w:r>
      <w:r>
        <w:rPr/>
        <w:t>a</w:t>
      </w:r>
      <w:r>
        <w:rPr>
          <w:spacing w:val="-19"/>
        </w:rPr>
        <w:t> </w:t>
      </w:r>
      <w:r>
        <w:rPr/>
        <w:t>total</w:t>
      </w:r>
      <w:r>
        <w:rPr>
          <w:spacing w:val="-18"/>
        </w:rPr>
        <w:t> </w:t>
      </w:r>
      <w:r>
        <w:rPr/>
        <w:t>portfolio</w:t>
      </w:r>
      <w:r>
        <w:rPr>
          <w:spacing w:val="-20"/>
        </w:rPr>
        <w:t> </w:t>
      </w:r>
      <w:r>
        <w:rPr/>
        <w:t>budget</w:t>
      </w:r>
      <w:r>
        <w:rPr>
          <w:spacing w:val="-21"/>
        </w:rPr>
        <w:t> </w:t>
      </w:r>
      <w:r>
        <w:rPr/>
        <w:t>of</w:t>
      </w:r>
      <w:r>
        <w:rPr>
          <w:spacing w:val="-15"/>
        </w:rPr>
        <w:t> </w:t>
      </w:r>
      <w:r>
        <w:rPr/>
        <w:t>$20,740,920 and an evaluation, measurement and verification (“EM&amp;V”) budget of $327,606. The budget breakdown is reflected in </w:t>
      </w:r>
      <w:r>
        <w:rPr>
          <w:spacing w:val="-3"/>
        </w:rPr>
        <w:t>Table</w:t>
      </w:r>
      <w:r>
        <w:rPr>
          <w:spacing w:val="1"/>
        </w:rPr>
        <w:t> </w:t>
      </w:r>
      <w:r>
        <w:rPr/>
        <w:t>1.</w:t>
      </w:r>
    </w:p>
    <w:p>
      <w:pPr>
        <w:pStyle w:val="Heading1"/>
        <w:spacing w:before="198"/>
      </w:pPr>
      <w:r>
        <w:rPr/>
        <w:t>Table 1. Proposed 2019 Annual Budget</w:t>
      </w:r>
    </w:p>
    <w:p>
      <w:pPr>
        <w:pStyle w:val="BodyText"/>
        <w:rPr>
          <w:b/>
          <w:sz w:val="21"/>
        </w:rPr>
      </w:pPr>
    </w:p>
    <w:tbl>
      <w:tblPr>
        <w:tblW w:w="0" w:type="auto"/>
        <w:jc w:val="left"/>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06"/>
        <w:gridCol w:w="2337"/>
        <w:gridCol w:w="2433"/>
      </w:tblGrid>
      <w:tr>
        <w:trPr>
          <w:trHeight w:val="508" w:hRule="atLeast"/>
        </w:trPr>
        <w:tc>
          <w:tcPr>
            <w:tcW w:w="4406" w:type="dxa"/>
            <w:tcBorders>
              <w:bottom w:val="nil"/>
            </w:tcBorders>
            <w:shd w:val="clear" w:color="auto" w:fill="4F81BD"/>
          </w:tcPr>
          <w:p>
            <w:pPr>
              <w:pStyle w:val="TableParagraph"/>
              <w:spacing w:line="240" w:lineRule="auto"/>
              <w:ind w:left="110"/>
              <w:jc w:val="left"/>
              <w:rPr>
                <w:rFonts w:ascii="Arial"/>
                <w:b/>
                <w:sz w:val="22"/>
              </w:rPr>
            </w:pPr>
            <w:r>
              <w:rPr>
                <w:rFonts w:ascii="Arial"/>
                <w:b/>
                <w:color w:val="FFFFFF"/>
                <w:sz w:val="22"/>
              </w:rPr>
              <w:t>Sector</w:t>
            </w:r>
          </w:p>
        </w:tc>
        <w:tc>
          <w:tcPr>
            <w:tcW w:w="2337" w:type="dxa"/>
            <w:shd w:val="clear" w:color="auto" w:fill="4F81BD"/>
          </w:tcPr>
          <w:p>
            <w:pPr>
              <w:pStyle w:val="TableParagraph"/>
              <w:spacing w:line="254" w:lineRule="exact" w:before="3"/>
              <w:ind w:left="748" w:right="296" w:hanging="437"/>
              <w:jc w:val="left"/>
              <w:rPr>
                <w:rFonts w:ascii="Arial"/>
                <w:b/>
                <w:sz w:val="22"/>
              </w:rPr>
            </w:pPr>
            <w:r>
              <w:rPr>
                <w:rFonts w:ascii="Arial"/>
                <w:b/>
                <w:color w:val="FFFFFF"/>
                <w:sz w:val="22"/>
              </w:rPr>
              <w:t>2019 Authorized Budget</w:t>
            </w:r>
            <w:r>
              <w:rPr>
                <w:rFonts w:ascii="Arial"/>
                <w:b/>
                <w:color w:val="FFFFFF"/>
                <w:sz w:val="22"/>
                <w:vertAlign w:val="superscript"/>
              </w:rPr>
              <w:t>5</w:t>
            </w:r>
          </w:p>
        </w:tc>
        <w:tc>
          <w:tcPr>
            <w:tcW w:w="2433" w:type="dxa"/>
            <w:shd w:val="clear" w:color="auto" w:fill="4F81BD"/>
          </w:tcPr>
          <w:p>
            <w:pPr>
              <w:pStyle w:val="TableParagraph"/>
              <w:spacing w:line="240" w:lineRule="auto"/>
              <w:ind w:left="280" w:right="268"/>
              <w:jc w:val="center"/>
              <w:rPr>
                <w:rFonts w:ascii="Arial"/>
                <w:b/>
                <w:sz w:val="22"/>
              </w:rPr>
            </w:pPr>
            <w:r>
              <w:rPr>
                <w:rFonts w:ascii="Arial"/>
                <w:b/>
                <w:color w:val="FFFFFF"/>
                <w:sz w:val="22"/>
              </w:rPr>
              <w:t>2019</w:t>
            </w:r>
          </w:p>
          <w:p>
            <w:pPr>
              <w:pStyle w:val="TableParagraph"/>
              <w:spacing w:line="234" w:lineRule="exact" w:before="1"/>
              <w:ind w:left="281" w:right="268"/>
              <w:jc w:val="center"/>
              <w:rPr>
                <w:rFonts w:ascii="Arial"/>
                <w:b/>
                <w:sz w:val="22"/>
              </w:rPr>
            </w:pPr>
            <w:r>
              <w:rPr>
                <w:rFonts w:ascii="Arial"/>
                <w:b/>
                <w:color w:val="FFFFFF"/>
                <w:sz w:val="22"/>
              </w:rPr>
              <w:t>Proposed Budget</w:t>
            </w:r>
          </w:p>
        </w:tc>
      </w:tr>
      <w:tr>
        <w:trPr>
          <w:trHeight w:val="582" w:hRule="atLeast"/>
        </w:trPr>
        <w:tc>
          <w:tcPr>
            <w:tcW w:w="4406" w:type="dxa"/>
            <w:tcBorders>
              <w:top w:val="nil"/>
            </w:tcBorders>
          </w:tcPr>
          <w:p>
            <w:pPr>
              <w:pStyle w:val="TableParagraph"/>
              <w:spacing w:line="250" w:lineRule="exact"/>
              <w:ind w:left="110"/>
              <w:jc w:val="left"/>
              <w:rPr>
                <w:rFonts w:ascii="Arial"/>
                <w:b/>
                <w:sz w:val="22"/>
              </w:rPr>
            </w:pPr>
            <w:r>
              <w:rPr>
                <w:rFonts w:ascii="Arial"/>
                <w:b/>
                <w:sz w:val="22"/>
              </w:rPr>
              <w:t>A: Residential</w:t>
            </w:r>
          </w:p>
        </w:tc>
        <w:tc>
          <w:tcPr>
            <w:tcW w:w="2337" w:type="dxa"/>
          </w:tcPr>
          <w:p>
            <w:pPr>
              <w:pStyle w:val="TableParagraph"/>
              <w:spacing w:line="250" w:lineRule="exact"/>
              <w:ind w:left="614"/>
              <w:jc w:val="left"/>
              <w:rPr>
                <w:rFonts w:ascii="Arial"/>
                <w:sz w:val="22"/>
              </w:rPr>
            </w:pPr>
            <w:r>
              <w:rPr>
                <w:rFonts w:ascii="Arial"/>
                <w:sz w:val="22"/>
              </w:rPr>
              <w:t>$6,671,000</w:t>
            </w:r>
          </w:p>
        </w:tc>
        <w:tc>
          <w:tcPr>
            <w:tcW w:w="2433" w:type="dxa"/>
          </w:tcPr>
          <w:p>
            <w:pPr>
              <w:pStyle w:val="TableParagraph"/>
              <w:spacing w:line="250" w:lineRule="exact"/>
              <w:ind w:left="281" w:right="267"/>
              <w:jc w:val="center"/>
              <w:rPr>
                <w:rFonts w:ascii="Arial"/>
                <w:sz w:val="22"/>
              </w:rPr>
            </w:pPr>
            <w:r>
              <w:rPr>
                <w:rFonts w:ascii="Arial"/>
                <w:sz w:val="22"/>
              </w:rPr>
              <w:t>$6,719,920</w:t>
            </w:r>
          </w:p>
        </w:tc>
      </w:tr>
      <w:tr>
        <w:trPr>
          <w:trHeight w:val="287" w:hRule="atLeast"/>
        </w:trPr>
        <w:tc>
          <w:tcPr>
            <w:tcW w:w="4406" w:type="dxa"/>
          </w:tcPr>
          <w:p>
            <w:pPr>
              <w:pStyle w:val="TableParagraph"/>
              <w:spacing w:line="240" w:lineRule="auto"/>
              <w:ind w:left="110"/>
              <w:jc w:val="left"/>
              <w:rPr>
                <w:rFonts w:ascii="Arial"/>
                <w:b/>
                <w:sz w:val="22"/>
              </w:rPr>
            </w:pPr>
            <w:r>
              <w:rPr>
                <w:rFonts w:ascii="Arial"/>
                <w:b/>
                <w:sz w:val="22"/>
              </w:rPr>
              <w:t>B: Public Sector</w:t>
            </w:r>
          </w:p>
        </w:tc>
        <w:tc>
          <w:tcPr>
            <w:tcW w:w="2337" w:type="dxa"/>
          </w:tcPr>
          <w:p>
            <w:pPr>
              <w:pStyle w:val="TableParagraph"/>
              <w:spacing w:line="240" w:lineRule="auto"/>
              <w:ind w:left="552"/>
              <w:jc w:val="left"/>
              <w:rPr>
                <w:rFonts w:ascii="Arial"/>
                <w:sz w:val="22"/>
              </w:rPr>
            </w:pPr>
            <w:r>
              <w:rPr>
                <w:rFonts w:ascii="Arial"/>
                <w:sz w:val="22"/>
              </w:rPr>
              <w:t>$11,563,000</w:t>
            </w:r>
          </w:p>
        </w:tc>
        <w:tc>
          <w:tcPr>
            <w:tcW w:w="2433" w:type="dxa"/>
          </w:tcPr>
          <w:p>
            <w:pPr>
              <w:pStyle w:val="TableParagraph"/>
              <w:spacing w:line="240" w:lineRule="auto"/>
              <w:ind w:left="273" w:right="268"/>
              <w:jc w:val="center"/>
              <w:rPr>
                <w:rFonts w:ascii="Arial"/>
                <w:sz w:val="22"/>
              </w:rPr>
            </w:pPr>
            <w:r>
              <w:rPr>
                <w:rFonts w:ascii="Arial"/>
                <w:sz w:val="22"/>
              </w:rPr>
              <w:t>$11,500,000</w:t>
            </w:r>
          </w:p>
        </w:tc>
      </w:tr>
      <w:tr>
        <w:trPr>
          <w:trHeight w:val="282" w:hRule="atLeast"/>
        </w:trPr>
        <w:tc>
          <w:tcPr>
            <w:tcW w:w="4406" w:type="dxa"/>
          </w:tcPr>
          <w:p>
            <w:pPr>
              <w:pStyle w:val="TableParagraph"/>
              <w:spacing w:line="240" w:lineRule="auto"/>
              <w:ind w:left="110"/>
              <w:jc w:val="left"/>
              <w:rPr>
                <w:rFonts w:ascii="Arial"/>
                <w:b/>
                <w:sz w:val="22"/>
              </w:rPr>
            </w:pPr>
            <w:r>
              <w:rPr>
                <w:rFonts w:ascii="Arial"/>
                <w:b/>
                <w:sz w:val="22"/>
              </w:rPr>
              <w:t>C: Financing</w:t>
            </w:r>
          </w:p>
        </w:tc>
        <w:tc>
          <w:tcPr>
            <w:tcW w:w="2337" w:type="dxa"/>
          </w:tcPr>
          <w:p>
            <w:pPr>
              <w:pStyle w:val="TableParagraph"/>
              <w:spacing w:line="240" w:lineRule="auto"/>
              <w:ind w:left="614"/>
              <w:jc w:val="left"/>
              <w:rPr>
                <w:rFonts w:ascii="Arial"/>
                <w:sz w:val="22"/>
              </w:rPr>
            </w:pPr>
            <w:r>
              <w:rPr>
                <w:rFonts w:ascii="Arial"/>
                <w:sz w:val="22"/>
              </w:rPr>
              <w:t>$2,224,000</w:t>
            </w:r>
          </w:p>
        </w:tc>
        <w:tc>
          <w:tcPr>
            <w:tcW w:w="2433" w:type="dxa"/>
          </w:tcPr>
          <w:p>
            <w:pPr>
              <w:pStyle w:val="TableParagraph"/>
              <w:spacing w:line="240" w:lineRule="auto"/>
              <w:ind w:left="281" w:right="267"/>
              <w:jc w:val="center"/>
              <w:rPr>
                <w:rFonts w:ascii="Arial"/>
                <w:sz w:val="22"/>
              </w:rPr>
            </w:pPr>
            <w:r>
              <w:rPr>
                <w:rFonts w:ascii="Arial"/>
                <w:sz w:val="22"/>
              </w:rPr>
              <w:t>$2,237,000</w:t>
            </w:r>
          </w:p>
        </w:tc>
      </w:tr>
      <w:tr>
        <w:trPr>
          <w:trHeight w:val="268" w:hRule="atLeast"/>
        </w:trPr>
        <w:tc>
          <w:tcPr>
            <w:tcW w:w="4406" w:type="dxa"/>
          </w:tcPr>
          <w:p>
            <w:pPr>
              <w:pStyle w:val="TableParagraph"/>
              <w:spacing w:line="248" w:lineRule="exact"/>
              <w:ind w:left="110"/>
              <w:jc w:val="left"/>
              <w:rPr>
                <w:rFonts w:ascii="Arial"/>
                <w:b/>
                <w:sz w:val="22"/>
              </w:rPr>
            </w:pPr>
            <w:r>
              <w:rPr>
                <w:rFonts w:ascii="Arial"/>
                <w:b/>
                <w:sz w:val="22"/>
              </w:rPr>
              <w:t>D: WE&amp;T</w:t>
            </w:r>
          </w:p>
        </w:tc>
        <w:tc>
          <w:tcPr>
            <w:tcW w:w="2337" w:type="dxa"/>
          </w:tcPr>
          <w:p>
            <w:pPr>
              <w:pStyle w:val="TableParagraph"/>
              <w:spacing w:line="248" w:lineRule="exact"/>
              <w:ind w:left="705"/>
              <w:jc w:val="left"/>
              <w:rPr>
                <w:rFonts w:ascii="Arial"/>
                <w:sz w:val="22"/>
              </w:rPr>
            </w:pPr>
            <w:r>
              <w:rPr>
                <w:rFonts w:ascii="Arial"/>
                <w:sz w:val="22"/>
              </w:rPr>
              <w:t>$284,000</w:t>
            </w:r>
          </w:p>
        </w:tc>
        <w:tc>
          <w:tcPr>
            <w:tcW w:w="2433" w:type="dxa"/>
          </w:tcPr>
          <w:p>
            <w:pPr>
              <w:pStyle w:val="TableParagraph"/>
              <w:spacing w:line="248" w:lineRule="exact"/>
              <w:ind w:left="280" w:right="268"/>
              <w:jc w:val="center"/>
              <w:rPr>
                <w:rFonts w:ascii="Arial"/>
                <w:sz w:val="22"/>
              </w:rPr>
            </w:pPr>
            <w:r>
              <w:rPr>
                <w:rFonts w:ascii="Arial"/>
                <w:sz w:val="22"/>
              </w:rPr>
              <w:t>$284,000</w:t>
            </w:r>
          </w:p>
        </w:tc>
      </w:tr>
      <w:tr>
        <w:trPr>
          <w:trHeight w:val="273" w:hRule="atLeast"/>
        </w:trPr>
        <w:tc>
          <w:tcPr>
            <w:tcW w:w="4406" w:type="dxa"/>
          </w:tcPr>
          <w:p>
            <w:pPr>
              <w:pStyle w:val="TableParagraph"/>
              <w:spacing w:line="240" w:lineRule="auto"/>
              <w:ind w:right="89"/>
              <w:rPr>
                <w:rFonts w:ascii="Arial"/>
                <w:b/>
                <w:sz w:val="22"/>
              </w:rPr>
            </w:pPr>
            <w:r>
              <w:rPr>
                <w:rFonts w:ascii="Arial"/>
                <w:b/>
                <w:sz w:val="22"/>
              </w:rPr>
              <w:t>Sub Total</w:t>
            </w:r>
          </w:p>
        </w:tc>
        <w:tc>
          <w:tcPr>
            <w:tcW w:w="2337" w:type="dxa"/>
          </w:tcPr>
          <w:p>
            <w:pPr>
              <w:pStyle w:val="TableParagraph"/>
              <w:spacing w:line="240" w:lineRule="auto"/>
              <w:ind w:left="614"/>
              <w:jc w:val="left"/>
              <w:rPr>
                <w:rFonts w:ascii="Arial"/>
                <w:sz w:val="22"/>
              </w:rPr>
            </w:pPr>
            <w:r>
              <w:rPr>
                <w:rFonts w:ascii="Arial"/>
                <w:sz w:val="22"/>
              </w:rPr>
              <w:t>20,742,000</w:t>
            </w:r>
          </w:p>
        </w:tc>
        <w:tc>
          <w:tcPr>
            <w:tcW w:w="2433" w:type="dxa"/>
          </w:tcPr>
          <w:p>
            <w:pPr>
              <w:pStyle w:val="TableParagraph"/>
              <w:spacing w:line="240" w:lineRule="auto"/>
              <w:ind w:left="281" w:right="265"/>
              <w:jc w:val="center"/>
              <w:rPr>
                <w:rFonts w:ascii="Arial"/>
                <w:sz w:val="22"/>
              </w:rPr>
            </w:pPr>
            <w:r>
              <w:rPr>
                <w:rFonts w:ascii="Arial"/>
                <w:sz w:val="22"/>
              </w:rPr>
              <w:t>$20,740,920</w:t>
            </w:r>
          </w:p>
        </w:tc>
      </w:tr>
      <w:tr>
        <w:trPr>
          <w:trHeight w:val="268" w:hRule="atLeast"/>
        </w:trPr>
        <w:tc>
          <w:tcPr>
            <w:tcW w:w="4406" w:type="dxa"/>
          </w:tcPr>
          <w:p>
            <w:pPr>
              <w:pStyle w:val="TableParagraph"/>
              <w:spacing w:line="248" w:lineRule="exact"/>
              <w:ind w:left="110"/>
              <w:jc w:val="left"/>
              <w:rPr>
                <w:rFonts w:ascii="Arial"/>
                <w:b/>
                <w:sz w:val="22"/>
              </w:rPr>
            </w:pPr>
            <w:r>
              <w:rPr>
                <w:rFonts w:ascii="Arial"/>
                <w:b/>
                <w:sz w:val="22"/>
              </w:rPr>
              <w:t>EM&amp;V</w:t>
            </w:r>
            <w:r>
              <w:rPr>
                <w:rFonts w:ascii="Arial"/>
                <w:b/>
                <w:sz w:val="22"/>
                <w:vertAlign w:val="superscript"/>
              </w:rPr>
              <w:t>6</w:t>
            </w:r>
          </w:p>
        </w:tc>
        <w:tc>
          <w:tcPr>
            <w:tcW w:w="2337" w:type="dxa"/>
          </w:tcPr>
          <w:p>
            <w:pPr>
              <w:pStyle w:val="TableParagraph"/>
              <w:spacing w:line="248" w:lineRule="exact"/>
              <w:ind w:left="960" w:right="959"/>
              <w:jc w:val="center"/>
              <w:rPr>
                <w:rFonts w:ascii="Arial"/>
                <w:sz w:val="22"/>
              </w:rPr>
            </w:pPr>
            <w:r>
              <w:rPr>
                <w:rFonts w:ascii="Arial"/>
                <w:sz w:val="22"/>
              </w:rPr>
              <w:t>-----</w:t>
            </w:r>
          </w:p>
        </w:tc>
        <w:tc>
          <w:tcPr>
            <w:tcW w:w="2433" w:type="dxa"/>
          </w:tcPr>
          <w:p>
            <w:pPr>
              <w:pStyle w:val="TableParagraph"/>
              <w:spacing w:line="248" w:lineRule="exact"/>
              <w:ind w:left="281" w:right="267"/>
              <w:jc w:val="center"/>
              <w:rPr>
                <w:rFonts w:ascii="Arial"/>
                <w:sz w:val="22"/>
              </w:rPr>
            </w:pPr>
            <w:r>
              <w:rPr>
                <w:rFonts w:ascii="Arial"/>
                <w:sz w:val="22"/>
              </w:rPr>
              <w:t>$327,606</w:t>
            </w:r>
          </w:p>
        </w:tc>
      </w:tr>
      <w:tr>
        <w:trPr>
          <w:trHeight w:val="268" w:hRule="atLeast"/>
        </w:trPr>
        <w:tc>
          <w:tcPr>
            <w:tcW w:w="4406" w:type="dxa"/>
          </w:tcPr>
          <w:p>
            <w:pPr>
              <w:pStyle w:val="TableParagraph"/>
              <w:spacing w:line="248" w:lineRule="exact"/>
              <w:ind w:right="89"/>
              <w:rPr>
                <w:rFonts w:ascii="Arial"/>
                <w:b/>
                <w:sz w:val="22"/>
              </w:rPr>
            </w:pPr>
            <w:r>
              <w:rPr>
                <w:rFonts w:ascii="Arial"/>
                <w:b/>
                <w:sz w:val="22"/>
              </w:rPr>
              <w:t>Total</w:t>
            </w:r>
          </w:p>
        </w:tc>
        <w:tc>
          <w:tcPr>
            <w:tcW w:w="2337" w:type="dxa"/>
          </w:tcPr>
          <w:p>
            <w:pPr>
              <w:pStyle w:val="TableParagraph"/>
              <w:spacing w:line="248" w:lineRule="exact"/>
              <w:ind w:left="614"/>
              <w:jc w:val="left"/>
              <w:rPr>
                <w:rFonts w:ascii="Arial"/>
                <w:sz w:val="22"/>
              </w:rPr>
            </w:pPr>
            <w:r>
              <w:rPr>
                <w:rFonts w:ascii="Arial"/>
                <w:sz w:val="22"/>
              </w:rPr>
              <w:t>20,742,000</w:t>
            </w:r>
          </w:p>
        </w:tc>
        <w:tc>
          <w:tcPr>
            <w:tcW w:w="2433" w:type="dxa"/>
          </w:tcPr>
          <w:p>
            <w:pPr>
              <w:pStyle w:val="TableParagraph"/>
              <w:spacing w:line="248" w:lineRule="exact"/>
              <w:ind w:left="281" w:right="265"/>
              <w:jc w:val="center"/>
              <w:rPr>
                <w:rFonts w:ascii="Arial"/>
                <w:sz w:val="22"/>
              </w:rPr>
            </w:pPr>
            <w:r>
              <w:rPr>
                <w:rFonts w:ascii="Arial"/>
                <w:sz w:val="22"/>
              </w:rPr>
              <w:t>$21,068,526</w:t>
            </w:r>
          </w:p>
        </w:tc>
      </w:tr>
    </w:tbl>
    <w:p>
      <w:pPr>
        <w:pStyle w:val="BodyText"/>
        <w:spacing w:before="6"/>
        <w:rPr>
          <w:b/>
          <w:sz w:val="27"/>
        </w:rPr>
      </w:pPr>
    </w:p>
    <w:p>
      <w:pPr>
        <w:spacing w:before="1"/>
        <w:ind w:left="689" w:right="0" w:firstLine="0"/>
        <w:jc w:val="left"/>
        <w:rPr>
          <w:b/>
          <w:sz w:val="24"/>
        </w:rPr>
      </w:pPr>
      <w:r>
        <w:rPr>
          <w:b/>
          <w:sz w:val="24"/>
          <w:u w:val="thick"/>
        </w:rPr>
        <w:t>2019 EE Portfolio Cost-Effectiveness</w:t>
      </w:r>
    </w:p>
    <w:p>
      <w:pPr>
        <w:pStyle w:val="BodyText"/>
        <w:spacing w:line="273" w:lineRule="auto" w:before="198"/>
        <w:ind w:left="689" w:right="1990"/>
      </w:pPr>
      <w:r>
        <w:rPr/>
        <w:t>Table 3 below provides SoCalREN’s Total Resource Cost (TRC) test and Program Administrator Cost (PAC) test for its 2019 EE portfolio.</w:t>
      </w:r>
    </w:p>
    <w:p>
      <w:pPr>
        <w:pStyle w:val="BodyText"/>
        <w:spacing w:before="11"/>
        <w:rPr>
          <w:sz w:val="27"/>
        </w:rPr>
      </w:pPr>
    </w:p>
    <w:p>
      <w:pPr>
        <w:pStyle w:val="Heading1"/>
        <w:spacing w:after="41"/>
      </w:pPr>
      <w:r>
        <w:rPr/>
        <w:t>Table 2. Cost-Effectiveness</w:t>
      </w:r>
    </w:p>
    <w:tbl>
      <w:tblPr>
        <w:tblW w:w="0" w:type="auto"/>
        <w:jc w:val="left"/>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5"/>
        <w:gridCol w:w="1560"/>
        <w:gridCol w:w="1555"/>
      </w:tblGrid>
      <w:tr>
        <w:trPr>
          <w:trHeight w:val="253" w:hRule="atLeast"/>
        </w:trPr>
        <w:tc>
          <w:tcPr>
            <w:tcW w:w="3115" w:type="dxa"/>
            <w:tcBorders>
              <w:bottom w:val="nil"/>
            </w:tcBorders>
            <w:shd w:val="clear" w:color="auto" w:fill="4F81BD"/>
          </w:tcPr>
          <w:p>
            <w:pPr>
              <w:pStyle w:val="TableParagraph"/>
              <w:spacing w:line="234" w:lineRule="exact"/>
              <w:ind w:left="734"/>
              <w:jc w:val="left"/>
              <w:rPr>
                <w:rFonts w:ascii="Arial"/>
                <w:b/>
                <w:sz w:val="22"/>
              </w:rPr>
            </w:pPr>
            <w:r>
              <w:rPr>
                <w:rFonts w:ascii="Arial"/>
                <w:b/>
                <w:color w:val="FFFFFF"/>
                <w:sz w:val="22"/>
              </w:rPr>
              <w:t>Sector/Program</w:t>
            </w:r>
          </w:p>
        </w:tc>
        <w:tc>
          <w:tcPr>
            <w:tcW w:w="3115" w:type="dxa"/>
            <w:gridSpan w:val="2"/>
            <w:shd w:val="clear" w:color="auto" w:fill="4F81BD"/>
          </w:tcPr>
          <w:p>
            <w:pPr>
              <w:pStyle w:val="TableParagraph"/>
              <w:spacing w:line="234" w:lineRule="exact"/>
              <w:ind w:left="825"/>
              <w:jc w:val="left"/>
              <w:rPr>
                <w:rFonts w:ascii="Arial"/>
                <w:b/>
                <w:sz w:val="22"/>
              </w:rPr>
            </w:pPr>
            <w:r>
              <w:rPr>
                <w:rFonts w:ascii="Arial"/>
                <w:b/>
                <w:color w:val="FFFFFF"/>
                <w:sz w:val="22"/>
              </w:rPr>
              <w:t>Forecast 2019</w:t>
            </w:r>
          </w:p>
        </w:tc>
      </w:tr>
      <w:tr>
        <w:trPr>
          <w:trHeight w:val="253" w:hRule="atLeast"/>
        </w:trPr>
        <w:tc>
          <w:tcPr>
            <w:tcW w:w="3115" w:type="dxa"/>
            <w:tcBorders>
              <w:top w:val="nil"/>
            </w:tcBorders>
          </w:tcPr>
          <w:p>
            <w:pPr>
              <w:pStyle w:val="TableParagraph"/>
              <w:spacing w:line="240" w:lineRule="auto"/>
              <w:jc w:val="left"/>
              <w:rPr>
                <w:rFonts w:ascii="Times New Roman"/>
                <w:sz w:val="18"/>
              </w:rPr>
            </w:pPr>
          </w:p>
        </w:tc>
        <w:tc>
          <w:tcPr>
            <w:tcW w:w="1560" w:type="dxa"/>
          </w:tcPr>
          <w:p>
            <w:pPr>
              <w:pStyle w:val="TableParagraph"/>
              <w:spacing w:line="234" w:lineRule="exact"/>
              <w:ind w:left="536" w:right="521"/>
              <w:jc w:val="center"/>
              <w:rPr>
                <w:rFonts w:ascii="Arial"/>
                <w:b/>
                <w:sz w:val="22"/>
              </w:rPr>
            </w:pPr>
            <w:r>
              <w:rPr>
                <w:rFonts w:ascii="Arial"/>
                <w:b/>
                <w:sz w:val="22"/>
              </w:rPr>
              <w:t>TRC</w:t>
            </w:r>
          </w:p>
        </w:tc>
        <w:tc>
          <w:tcPr>
            <w:tcW w:w="1555" w:type="dxa"/>
          </w:tcPr>
          <w:p>
            <w:pPr>
              <w:pStyle w:val="TableParagraph"/>
              <w:spacing w:line="234" w:lineRule="exact"/>
              <w:ind w:left="542"/>
              <w:jc w:val="left"/>
              <w:rPr>
                <w:rFonts w:ascii="Arial"/>
                <w:b/>
                <w:sz w:val="22"/>
              </w:rPr>
            </w:pPr>
            <w:r>
              <w:rPr>
                <w:rFonts w:ascii="Arial"/>
                <w:b/>
                <w:sz w:val="22"/>
              </w:rPr>
              <w:t>PAC</w:t>
            </w:r>
          </w:p>
        </w:tc>
      </w:tr>
      <w:tr>
        <w:trPr>
          <w:trHeight w:val="253" w:hRule="atLeast"/>
        </w:trPr>
        <w:tc>
          <w:tcPr>
            <w:tcW w:w="3115" w:type="dxa"/>
          </w:tcPr>
          <w:p>
            <w:pPr>
              <w:pStyle w:val="TableParagraph"/>
              <w:spacing w:line="234" w:lineRule="exact"/>
              <w:ind w:left="110"/>
              <w:jc w:val="left"/>
              <w:rPr>
                <w:rFonts w:ascii="Arial"/>
                <w:b/>
                <w:sz w:val="22"/>
              </w:rPr>
            </w:pPr>
            <w:r>
              <w:rPr>
                <w:rFonts w:ascii="Arial"/>
                <w:b/>
                <w:sz w:val="22"/>
              </w:rPr>
              <w:t>Total Portfolio</w:t>
            </w:r>
          </w:p>
        </w:tc>
        <w:tc>
          <w:tcPr>
            <w:tcW w:w="1560" w:type="dxa"/>
          </w:tcPr>
          <w:p>
            <w:pPr>
              <w:pStyle w:val="TableParagraph"/>
              <w:spacing w:line="234" w:lineRule="exact"/>
              <w:ind w:left="533" w:right="521"/>
              <w:jc w:val="center"/>
              <w:rPr>
                <w:rFonts w:ascii="Arial"/>
                <w:sz w:val="22"/>
              </w:rPr>
            </w:pPr>
            <w:r>
              <w:rPr>
                <w:rFonts w:ascii="Arial"/>
                <w:sz w:val="22"/>
              </w:rPr>
              <w:t>0.27</w:t>
            </w:r>
          </w:p>
        </w:tc>
        <w:tc>
          <w:tcPr>
            <w:tcW w:w="1555" w:type="dxa"/>
          </w:tcPr>
          <w:p>
            <w:pPr>
              <w:pStyle w:val="TableParagraph"/>
              <w:spacing w:line="234" w:lineRule="exact"/>
              <w:ind w:left="561"/>
              <w:jc w:val="left"/>
              <w:rPr>
                <w:rFonts w:ascii="Arial"/>
                <w:sz w:val="22"/>
              </w:rPr>
            </w:pPr>
            <w:r>
              <w:rPr>
                <w:rFonts w:ascii="Arial"/>
                <w:sz w:val="22"/>
              </w:rPr>
              <w:t>0.28</w:t>
            </w:r>
          </w:p>
        </w:tc>
      </w:tr>
    </w:tbl>
    <w:p>
      <w:pPr>
        <w:pStyle w:val="BodyText"/>
        <w:rPr>
          <w:b/>
          <w:sz w:val="26"/>
        </w:rPr>
      </w:pPr>
    </w:p>
    <w:p>
      <w:pPr>
        <w:pStyle w:val="BodyText"/>
        <w:spacing w:before="1"/>
        <w:rPr>
          <w:b/>
          <w:sz w:val="29"/>
        </w:rPr>
      </w:pPr>
    </w:p>
    <w:p>
      <w:pPr>
        <w:spacing w:before="0"/>
        <w:ind w:left="689" w:right="0" w:firstLine="0"/>
        <w:jc w:val="left"/>
        <w:rPr>
          <w:b/>
          <w:sz w:val="24"/>
        </w:rPr>
      </w:pPr>
      <w:r>
        <w:rPr>
          <w:b/>
          <w:sz w:val="24"/>
          <w:u w:val="thick"/>
        </w:rPr>
        <w:t>2019 EE Portfolio Energy Savings</w:t>
      </w:r>
    </w:p>
    <w:p>
      <w:pPr>
        <w:pStyle w:val="BodyText"/>
        <w:spacing w:before="199"/>
        <w:ind w:left="689"/>
      </w:pPr>
      <w:r>
        <w:rPr/>
        <w:t>Table 4 below reflects SoCalREN’s 2019 forecasted energy savings.</w:t>
      </w:r>
    </w:p>
    <w:p>
      <w:pPr>
        <w:pStyle w:val="BodyText"/>
        <w:spacing w:before="7"/>
        <w:rPr>
          <w:sz w:val="30"/>
        </w:rPr>
      </w:pPr>
    </w:p>
    <w:p>
      <w:pPr>
        <w:pStyle w:val="Heading1"/>
        <w:spacing w:after="41"/>
      </w:pPr>
      <w:r>
        <w:rPr/>
        <w:t>Table 3. SoCalREN 2019 Forecasted Energy Savings (Net)</w:t>
      </w:r>
    </w:p>
    <w:tbl>
      <w:tblPr>
        <w:tblW w:w="0" w:type="auto"/>
        <w:jc w:val="left"/>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6"/>
        <w:gridCol w:w="1694"/>
        <w:gridCol w:w="1694"/>
        <w:gridCol w:w="1689"/>
      </w:tblGrid>
      <w:tr>
        <w:trPr>
          <w:trHeight w:val="556" w:hRule="atLeast"/>
        </w:trPr>
        <w:tc>
          <w:tcPr>
            <w:tcW w:w="2016" w:type="dxa"/>
            <w:shd w:val="clear" w:color="auto" w:fill="4F81BD"/>
          </w:tcPr>
          <w:p>
            <w:pPr>
              <w:pStyle w:val="TableParagraph"/>
              <w:spacing w:line="240" w:lineRule="auto" w:before="5"/>
              <w:ind w:left="143"/>
              <w:jc w:val="left"/>
              <w:rPr>
                <w:rFonts w:ascii="Arial"/>
                <w:sz w:val="24"/>
              </w:rPr>
            </w:pPr>
            <w:r>
              <w:rPr>
                <w:rFonts w:ascii="Arial"/>
                <w:b/>
                <w:color w:val="FFFFFF"/>
                <w:sz w:val="24"/>
              </w:rPr>
              <w:t>Sector</w:t>
            </w:r>
            <w:r>
              <w:rPr>
                <w:rFonts w:ascii="Arial"/>
                <w:color w:val="FFFFFF"/>
                <w:sz w:val="24"/>
              </w:rPr>
              <w:t>/Program</w:t>
            </w:r>
          </w:p>
        </w:tc>
        <w:tc>
          <w:tcPr>
            <w:tcW w:w="1694" w:type="dxa"/>
            <w:shd w:val="clear" w:color="auto" w:fill="4F81BD"/>
          </w:tcPr>
          <w:p>
            <w:pPr>
              <w:pStyle w:val="TableParagraph"/>
              <w:spacing w:line="240" w:lineRule="auto" w:before="5"/>
              <w:ind w:left="336" w:right="323"/>
              <w:jc w:val="center"/>
              <w:rPr>
                <w:rFonts w:ascii="Arial"/>
                <w:sz w:val="24"/>
              </w:rPr>
            </w:pPr>
            <w:r>
              <w:rPr>
                <w:rFonts w:ascii="Arial"/>
                <w:color w:val="FFFFFF"/>
                <w:sz w:val="24"/>
              </w:rPr>
              <w:t>kWh</w:t>
            </w:r>
          </w:p>
        </w:tc>
        <w:tc>
          <w:tcPr>
            <w:tcW w:w="1694" w:type="dxa"/>
            <w:shd w:val="clear" w:color="auto" w:fill="4F81BD"/>
          </w:tcPr>
          <w:p>
            <w:pPr>
              <w:pStyle w:val="TableParagraph"/>
              <w:spacing w:line="240" w:lineRule="auto" w:before="5"/>
              <w:ind w:left="329" w:right="323"/>
              <w:jc w:val="center"/>
              <w:rPr>
                <w:rFonts w:ascii="Arial"/>
                <w:sz w:val="24"/>
              </w:rPr>
            </w:pPr>
            <w:r>
              <w:rPr>
                <w:rFonts w:ascii="Arial"/>
                <w:color w:val="FFFFFF"/>
                <w:sz w:val="24"/>
              </w:rPr>
              <w:t>kW</w:t>
            </w:r>
          </w:p>
        </w:tc>
        <w:tc>
          <w:tcPr>
            <w:tcW w:w="1689" w:type="dxa"/>
            <w:shd w:val="clear" w:color="auto" w:fill="4F81BD"/>
          </w:tcPr>
          <w:p>
            <w:pPr>
              <w:pStyle w:val="TableParagraph"/>
              <w:spacing w:line="240" w:lineRule="auto" w:before="5"/>
              <w:ind w:left="418" w:right="407"/>
              <w:jc w:val="center"/>
              <w:rPr>
                <w:rFonts w:ascii="Arial"/>
                <w:sz w:val="24"/>
              </w:rPr>
            </w:pPr>
            <w:r>
              <w:rPr>
                <w:rFonts w:ascii="Arial"/>
                <w:color w:val="FFFFFF"/>
                <w:sz w:val="24"/>
              </w:rPr>
              <w:t>Therms</w:t>
            </w:r>
          </w:p>
        </w:tc>
      </w:tr>
      <w:tr>
        <w:trPr>
          <w:trHeight w:val="273" w:hRule="atLeast"/>
        </w:trPr>
        <w:tc>
          <w:tcPr>
            <w:tcW w:w="2016" w:type="dxa"/>
          </w:tcPr>
          <w:p>
            <w:pPr>
              <w:pStyle w:val="TableParagraph"/>
              <w:spacing w:line="253" w:lineRule="exact"/>
              <w:ind w:left="110"/>
              <w:jc w:val="left"/>
              <w:rPr>
                <w:rFonts w:ascii="Arial"/>
                <w:b/>
                <w:sz w:val="24"/>
              </w:rPr>
            </w:pPr>
            <w:r>
              <w:rPr>
                <w:rFonts w:ascii="Arial"/>
                <w:b/>
                <w:sz w:val="24"/>
              </w:rPr>
              <w:t>Residential</w:t>
            </w:r>
          </w:p>
        </w:tc>
        <w:tc>
          <w:tcPr>
            <w:tcW w:w="1694" w:type="dxa"/>
          </w:tcPr>
          <w:p>
            <w:pPr>
              <w:pStyle w:val="TableParagraph"/>
              <w:spacing w:line="248" w:lineRule="exact"/>
              <w:ind w:left="342" w:right="323"/>
              <w:jc w:val="center"/>
              <w:rPr>
                <w:rFonts w:ascii="Arial"/>
                <w:sz w:val="22"/>
              </w:rPr>
            </w:pPr>
            <w:r>
              <w:rPr>
                <w:rFonts w:ascii="Arial"/>
                <w:sz w:val="22"/>
              </w:rPr>
              <w:t>6,192,171</w:t>
            </w:r>
          </w:p>
        </w:tc>
        <w:tc>
          <w:tcPr>
            <w:tcW w:w="1694" w:type="dxa"/>
          </w:tcPr>
          <w:p>
            <w:pPr>
              <w:pStyle w:val="TableParagraph"/>
              <w:spacing w:line="248" w:lineRule="exact"/>
              <w:ind w:left="331" w:right="323"/>
              <w:jc w:val="center"/>
              <w:rPr>
                <w:rFonts w:ascii="Arial"/>
                <w:sz w:val="22"/>
              </w:rPr>
            </w:pPr>
            <w:r>
              <w:rPr>
                <w:rFonts w:ascii="Arial"/>
                <w:sz w:val="22"/>
              </w:rPr>
              <w:t>831</w:t>
            </w:r>
          </w:p>
        </w:tc>
        <w:tc>
          <w:tcPr>
            <w:tcW w:w="1689" w:type="dxa"/>
          </w:tcPr>
          <w:p>
            <w:pPr>
              <w:pStyle w:val="TableParagraph"/>
              <w:spacing w:line="248" w:lineRule="exact"/>
              <w:ind w:left="418" w:right="402"/>
              <w:jc w:val="center"/>
              <w:rPr>
                <w:rFonts w:ascii="Arial"/>
                <w:sz w:val="22"/>
              </w:rPr>
            </w:pPr>
            <w:r>
              <w:rPr>
                <w:rFonts w:ascii="Arial"/>
                <w:sz w:val="22"/>
              </w:rPr>
              <w:t>175,043</w:t>
            </w:r>
          </w:p>
        </w:tc>
      </w:tr>
      <w:tr>
        <w:trPr>
          <w:trHeight w:val="350" w:hRule="atLeast"/>
        </w:trPr>
        <w:tc>
          <w:tcPr>
            <w:tcW w:w="2016" w:type="dxa"/>
          </w:tcPr>
          <w:p>
            <w:pPr>
              <w:pStyle w:val="TableParagraph"/>
              <w:spacing w:line="276" w:lineRule="exact"/>
              <w:ind w:left="110"/>
              <w:jc w:val="left"/>
              <w:rPr>
                <w:rFonts w:ascii="Arial"/>
                <w:b/>
                <w:sz w:val="16"/>
              </w:rPr>
            </w:pPr>
            <w:r>
              <w:rPr>
                <w:rFonts w:ascii="Arial"/>
                <w:b/>
                <w:sz w:val="24"/>
              </w:rPr>
              <w:t>Public</w:t>
            </w:r>
            <w:r>
              <w:rPr>
                <w:rFonts w:ascii="Arial"/>
                <w:b/>
                <w:position w:val="8"/>
                <w:sz w:val="16"/>
              </w:rPr>
              <w:t>7</w:t>
            </w:r>
          </w:p>
        </w:tc>
        <w:tc>
          <w:tcPr>
            <w:tcW w:w="1694" w:type="dxa"/>
          </w:tcPr>
          <w:p>
            <w:pPr>
              <w:pStyle w:val="TableParagraph"/>
              <w:spacing w:line="240" w:lineRule="auto"/>
              <w:ind w:left="13"/>
              <w:jc w:val="center"/>
              <w:rPr>
                <w:rFonts w:ascii="Arial"/>
                <w:sz w:val="24"/>
              </w:rPr>
            </w:pPr>
            <w:r>
              <w:rPr>
                <w:rFonts w:ascii="Arial"/>
                <w:sz w:val="24"/>
              </w:rPr>
              <w:t>0</w:t>
            </w:r>
          </w:p>
        </w:tc>
        <w:tc>
          <w:tcPr>
            <w:tcW w:w="1694" w:type="dxa"/>
          </w:tcPr>
          <w:p>
            <w:pPr>
              <w:pStyle w:val="TableParagraph"/>
              <w:spacing w:line="240" w:lineRule="auto"/>
              <w:ind w:left="5"/>
              <w:jc w:val="center"/>
              <w:rPr>
                <w:rFonts w:ascii="Arial"/>
                <w:sz w:val="24"/>
              </w:rPr>
            </w:pPr>
            <w:r>
              <w:rPr>
                <w:rFonts w:ascii="Arial"/>
                <w:sz w:val="24"/>
              </w:rPr>
              <w:t>0</w:t>
            </w:r>
          </w:p>
        </w:tc>
        <w:tc>
          <w:tcPr>
            <w:tcW w:w="1689" w:type="dxa"/>
          </w:tcPr>
          <w:p>
            <w:pPr>
              <w:pStyle w:val="TableParagraph"/>
              <w:spacing w:line="240" w:lineRule="auto"/>
              <w:ind w:left="10"/>
              <w:jc w:val="center"/>
              <w:rPr>
                <w:rFonts w:ascii="Arial"/>
                <w:sz w:val="24"/>
              </w:rPr>
            </w:pPr>
            <w:r>
              <w:rPr>
                <w:rFonts w:ascii="Arial"/>
                <w:sz w:val="24"/>
              </w:rPr>
              <w:t>0</w:t>
            </w:r>
          </w:p>
        </w:tc>
      </w:tr>
      <w:tr>
        <w:trPr>
          <w:trHeight w:val="278" w:hRule="atLeast"/>
        </w:trPr>
        <w:tc>
          <w:tcPr>
            <w:tcW w:w="2016" w:type="dxa"/>
          </w:tcPr>
          <w:p>
            <w:pPr>
              <w:pStyle w:val="TableParagraph"/>
              <w:spacing w:line="258" w:lineRule="exact"/>
              <w:ind w:left="110"/>
              <w:jc w:val="left"/>
              <w:rPr>
                <w:rFonts w:ascii="Arial"/>
                <w:b/>
                <w:sz w:val="24"/>
              </w:rPr>
            </w:pPr>
            <w:r>
              <w:rPr>
                <w:rFonts w:ascii="Arial"/>
                <w:b/>
                <w:sz w:val="24"/>
              </w:rPr>
              <w:t>Portfolio</w:t>
            </w:r>
          </w:p>
        </w:tc>
        <w:tc>
          <w:tcPr>
            <w:tcW w:w="1694" w:type="dxa"/>
          </w:tcPr>
          <w:p>
            <w:pPr>
              <w:pStyle w:val="TableParagraph"/>
              <w:spacing w:line="240" w:lineRule="auto"/>
              <w:ind w:left="342" w:right="323"/>
              <w:jc w:val="center"/>
              <w:rPr>
                <w:rFonts w:ascii="Arial"/>
                <w:sz w:val="22"/>
              </w:rPr>
            </w:pPr>
            <w:r>
              <w:rPr>
                <w:rFonts w:ascii="Arial"/>
                <w:sz w:val="22"/>
              </w:rPr>
              <w:t>6,192,171</w:t>
            </w:r>
          </w:p>
        </w:tc>
        <w:tc>
          <w:tcPr>
            <w:tcW w:w="1694" w:type="dxa"/>
          </w:tcPr>
          <w:p>
            <w:pPr>
              <w:pStyle w:val="TableParagraph"/>
              <w:spacing w:line="240" w:lineRule="auto"/>
              <w:ind w:left="331" w:right="323"/>
              <w:jc w:val="center"/>
              <w:rPr>
                <w:rFonts w:ascii="Arial"/>
                <w:sz w:val="22"/>
              </w:rPr>
            </w:pPr>
            <w:r>
              <w:rPr>
                <w:rFonts w:ascii="Arial"/>
                <w:sz w:val="22"/>
              </w:rPr>
              <w:t>831</w:t>
            </w:r>
          </w:p>
        </w:tc>
        <w:tc>
          <w:tcPr>
            <w:tcW w:w="1689" w:type="dxa"/>
          </w:tcPr>
          <w:p>
            <w:pPr>
              <w:pStyle w:val="TableParagraph"/>
              <w:spacing w:line="240" w:lineRule="auto"/>
              <w:ind w:left="418" w:right="402"/>
              <w:jc w:val="center"/>
              <w:rPr>
                <w:rFonts w:ascii="Arial"/>
                <w:sz w:val="22"/>
              </w:rPr>
            </w:pPr>
            <w:r>
              <w:rPr>
                <w:rFonts w:ascii="Arial"/>
                <w:sz w:val="22"/>
              </w:rPr>
              <w:t>175,043</w:t>
            </w:r>
          </w:p>
        </w:tc>
      </w:tr>
    </w:tbl>
    <w:p>
      <w:pPr>
        <w:pStyle w:val="BodyText"/>
        <w:rPr>
          <w:b/>
          <w:sz w:val="20"/>
        </w:rPr>
      </w:pPr>
    </w:p>
    <w:p>
      <w:pPr>
        <w:pStyle w:val="BodyText"/>
        <w:rPr>
          <w:b/>
          <w:sz w:val="20"/>
        </w:rPr>
      </w:pPr>
    </w:p>
    <w:p>
      <w:pPr>
        <w:pStyle w:val="BodyText"/>
        <w:rPr>
          <w:b/>
          <w:sz w:val="20"/>
        </w:rPr>
      </w:pPr>
    </w:p>
    <w:p>
      <w:pPr>
        <w:pStyle w:val="BodyText"/>
        <w:spacing w:before="2"/>
        <w:rPr>
          <w:b/>
          <w:sz w:val="11"/>
        </w:rPr>
      </w:pPr>
      <w:r>
        <w:rPr/>
        <w:pict>
          <v:line style="position:absolute;mso-position-horizontal-relative:page;mso-position-vertical-relative:paragraph;z-index:1096;mso-wrap-distance-left:0;mso-wrap-distance-right:0" from="72.470596pt,8.822929pt" to="216.470596pt,8.822929pt" stroked="true" strokeweight=".72pt" strokecolor="#000000">
            <v:stroke dashstyle="solid"/>
            <w10:wrap type="topAndBottom"/>
          </v:line>
        </w:pict>
      </w:r>
    </w:p>
    <w:p>
      <w:pPr>
        <w:spacing w:line="244" w:lineRule="exact" w:before="69"/>
        <w:ind w:left="689" w:right="0" w:firstLine="0"/>
        <w:jc w:val="left"/>
        <w:rPr>
          <w:rFonts w:ascii="Calibri"/>
          <w:sz w:val="20"/>
        </w:rPr>
      </w:pPr>
      <w:r>
        <w:rPr>
          <w:rFonts w:ascii="Calibri"/>
          <w:position w:val="7"/>
          <w:sz w:val="13"/>
        </w:rPr>
        <w:t>5 </w:t>
      </w:r>
      <w:r>
        <w:rPr>
          <w:rFonts w:ascii="Calibri"/>
          <w:sz w:val="20"/>
        </w:rPr>
        <w:t>D.18-05-041, p. [x]</w:t>
      </w:r>
    </w:p>
    <w:p>
      <w:pPr>
        <w:spacing w:line="242" w:lineRule="exact" w:before="0"/>
        <w:ind w:left="689" w:right="0" w:firstLine="0"/>
        <w:jc w:val="left"/>
        <w:rPr>
          <w:rFonts w:ascii="Calibri"/>
          <w:sz w:val="20"/>
        </w:rPr>
      </w:pPr>
      <w:r>
        <w:rPr>
          <w:rFonts w:ascii="Calibri"/>
          <w:position w:val="7"/>
          <w:sz w:val="13"/>
        </w:rPr>
        <w:t>6 </w:t>
      </w:r>
      <w:r>
        <w:rPr>
          <w:rFonts w:ascii="Calibri"/>
          <w:sz w:val="20"/>
        </w:rPr>
        <w:t>[citation and directive from D.16-08-019]</w:t>
      </w:r>
    </w:p>
    <w:p>
      <w:pPr>
        <w:spacing w:before="0"/>
        <w:ind w:left="689" w:right="730" w:firstLine="0"/>
        <w:jc w:val="left"/>
        <w:rPr>
          <w:rFonts w:ascii="Calibri"/>
          <w:sz w:val="20"/>
        </w:rPr>
      </w:pPr>
      <w:r>
        <w:rPr>
          <w:rFonts w:ascii="Calibri"/>
          <w:position w:val="7"/>
          <w:sz w:val="13"/>
        </w:rPr>
        <w:t>7 </w:t>
      </w:r>
      <w:r>
        <w:rPr>
          <w:rFonts w:ascii="Calibri"/>
          <w:sz w:val="20"/>
        </w:rPr>
        <w:t>SoCalREN has proposed a NMEC resource program within the SoCalREN/SCE/SoCalGas 2019 Joint Cooperation Memo, however due to NMEC claimable savings guidelines, savings for this program are not forecasted to be realized until 2020.</w:t>
      </w:r>
    </w:p>
    <w:p>
      <w:pPr>
        <w:spacing w:after="0"/>
        <w:jc w:val="left"/>
        <w:rPr>
          <w:rFonts w:ascii="Calibri"/>
          <w:sz w:val="20"/>
        </w:rPr>
        <w:sectPr>
          <w:pgSz w:w="12240" w:h="15840"/>
          <w:pgMar w:header="736" w:footer="0" w:top="980" w:bottom="280" w:left="760" w:right="760"/>
        </w:sectPr>
      </w:pPr>
    </w:p>
    <w:p>
      <w:pPr>
        <w:pStyle w:val="BodyText"/>
        <w:rPr>
          <w:rFonts w:ascii="Calibri"/>
          <w:sz w:val="20"/>
        </w:rPr>
      </w:pPr>
    </w:p>
    <w:p>
      <w:pPr>
        <w:pStyle w:val="Heading1"/>
        <w:spacing w:before="223"/>
      </w:pPr>
      <w:r>
        <w:rPr>
          <w:u w:val="thick"/>
        </w:rPr>
        <w:t>Proposed Program and Portfolio Changes</w:t>
      </w:r>
    </w:p>
    <w:p>
      <w:pPr>
        <w:pStyle w:val="BodyText"/>
        <w:rPr>
          <w:b/>
          <w:sz w:val="20"/>
        </w:rPr>
      </w:pPr>
    </w:p>
    <w:p>
      <w:pPr>
        <w:pStyle w:val="BodyText"/>
        <w:spacing w:before="6"/>
        <w:rPr>
          <w:b/>
          <w:sz w:val="17"/>
        </w:rPr>
      </w:pPr>
    </w:p>
    <w:p>
      <w:pPr>
        <w:pStyle w:val="Heading2"/>
        <w:numPr>
          <w:ilvl w:val="0"/>
          <w:numId w:val="4"/>
        </w:numPr>
        <w:tabs>
          <w:tab w:pos="1770" w:val="left" w:leader="none"/>
        </w:tabs>
        <w:spacing w:line="240" w:lineRule="auto" w:before="94" w:after="0"/>
        <w:ind w:left="1769" w:right="0" w:hanging="360"/>
        <w:jc w:val="left"/>
        <w:rPr>
          <w:u w:val="none"/>
        </w:rPr>
      </w:pPr>
      <w:r>
        <w:rPr>
          <w:u w:val="thick"/>
        </w:rPr>
        <w:t>SoCalREN 2019 Portfolio Level</w:t>
      </w:r>
      <w:r>
        <w:rPr>
          <w:spacing w:val="-1"/>
          <w:u w:val="thick"/>
        </w:rPr>
        <w:t> </w:t>
      </w:r>
      <w:r>
        <w:rPr>
          <w:u w:val="thick"/>
        </w:rPr>
        <w:t>Changes</w:t>
      </w:r>
    </w:p>
    <w:p>
      <w:pPr>
        <w:pStyle w:val="BodyText"/>
        <w:spacing w:before="1"/>
        <w:rPr>
          <w:b/>
          <w:sz w:val="14"/>
        </w:rPr>
      </w:pPr>
    </w:p>
    <w:p>
      <w:pPr>
        <w:pStyle w:val="BodyText"/>
        <w:spacing w:line="360" w:lineRule="auto" w:before="93"/>
        <w:ind w:left="689" w:right="803"/>
      </w:pPr>
      <w:r>
        <w:rPr/>
        <w:t>SoCalREN’s 2019 EE Portfolio continues to leverage well established successes that were originally adopted during the inception of the RENs in D.12-11-015 and conforms to the authorization adopted in D.18-05-041. SoCalREN’s 2019 EE portfolio is a continuation of SoCalREN’s commitment to adopt a “long-term” path towards administrative efficiency and its endeavor to find areas that maximize outcomes, customer benefits, and program performance, while minimizing costs. This path will include practices such as:</w:t>
      </w:r>
    </w:p>
    <w:p>
      <w:pPr>
        <w:pStyle w:val="ListParagraph"/>
        <w:numPr>
          <w:ilvl w:val="0"/>
          <w:numId w:val="3"/>
        </w:numPr>
        <w:tabs>
          <w:tab w:pos="1410" w:val="left" w:leader="none"/>
        </w:tabs>
        <w:spacing w:line="360" w:lineRule="auto" w:before="200" w:after="0"/>
        <w:ind w:left="1409" w:right="1030" w:hanging="360"/>
        <w:jc w:val="left"/>
        <w:rPr>
          <w:sz w:val="22"/>
        </w:rPr>
      </w:pPr>
      <w:r>
        <w:rPr>
          <w:sz w:val="22"/>
        </w:rPr>
        <w:t>streamlining reporting processes, instituting </w:t>
      </w:r>
      <w:r>
        <w:rPr>
          <w:spacing w:val="-3"/>
          <w:sz w:val="22"/>
        </w:rPr>
        <w:t>more </w:t>
      </w:r>
      <w:r>
        <w:rPr>
          <w:sz w:val="22"/>
        </w:rPr>
        <w:t>internal detailed budgetary </w:t>
      </w:r>
      <w:r>
        <w:rPr>
          <w:spacing w:val="-9"/>
          <w:sz w:val="22"/>
        </w:rPr>
        <w:t>tracking </w:t>
      </w:r>
      <w:r>
        <w:rPr>
          <w:sz w:val="22"/>
        </w:rPr>
        <w:t>reports, standardizing infographics and other data-sharing and marketing collateral, maximizing web-based tools;</w:t>
      </w:r>
      <w:r>
        <w:rPr>
          <w:spacing w:val="6"/>
          <w:sz w:val="22"/>
        </w:rPr>
        <w:t> </w:t>
      </w:r>
      <w:r>
        <w:rPr>
          <w:sz w:val="22"/>
        </w:rPr>
        <w:t>and</w:t>
      </w:r>
    </w:p>
    <w:p>
      <w:pPr>
        <w:pStyle w:val="ListParagraph"/>
        <w:numPr>
          <w:ilvl w:val="0"/>
          <w:numId w:val="3"/>
        </w:numPr>
        <w:tabs>
          <w:tab w:pos="1410" w:val="left" w:leader="none"/>
        </w:tabs>
        <w:spacing w:line="360" w:lineRule="auto" w:before="0" w:after="0"/>
        <w:ind w:left="1409" w:right="937" w:hanging="360"/>
        <w:jc w:val="left"/>
        <w:rPr>
          <w:sz w:val="22"/>
        </w:rPr>
      </w:pPr>
      <w:r>
        <w:rPr>
          <w:sz w:val="22"/>
        </w:rPr>
        <w:t>identify administrative tasks that can be automated or eliminated so long as </w:t>
      </w:r>
      <w:r>
        <w:rPr>
          <w:spacing w:val="-8"/>
          <w:sz w:val="22"/>
        </w:rPr>
        <w:t>regulatory </w:t>
      </w:r>
      <w:r>
        <w:rPr>
          <w:sz w:val="22"/>
        </w:rPr>
        <w:t>compliance or customer support is not</w:t>
      </w:r>
      <w:r>
        <w:rPr>
          <w:spacing w:val="-6"/>
          <w:sz w:val="22"/>
        </w:rPr>
        <w:t> </w:t>
      </w:r>
      <w:r>
        <w:rPr>
          <w:sz w:val="22"/>
        </w:rPr>
        <w:t>compromised.</w:t>
      </w:r>
    </w:p>
    <w:p>
      <w:pPr>
        <w:pStyle w:val="BodyText"/>
        <w:spacing w:line="360" w:lineRule="auto" w:before="201"/>
        <w:ind w:left="689" w:right="839"/>
      </w:pPr>
      <w:r>
        <w:rPr/>
        <w:t>In addition, SoCalREN has proposed in this advice filing some performance adjustments to its existing portfolio that provide for increasing administrative efficiencies, focused behavioral marketing tactics, and include innovative strategies that would target deeper energy savings in an effort to provide a larger contribution to the State’s aggressive energy efficiency goals.</w:t>
      </w:r>
    </w:p>
    <w:p>
      <w:pPr>
        <w:pStyle w:val="BodyText"/>
        <w:spacing w:line="360" w:lineRule="auto"/>
        <w:ind w:left="689" w:right="1256"/>
      </w:pPr>
      <w:r>
        <w:rPr/>
        <w:t>Furthermore, SoCalREN’s 2019 portfolio will continue to utilize its successful “peer driven” approach to leverage public agency programs with a focus on serving hard-to-reach communities and disadvantaged communities in both its public and residential sectors.</w:t>
      </w:r>
    </w:p>
    <w:p>
      <w:pPr>
        <w:pStyle w:val="BodyText"/>
        <w:rPr>
          <w:sz w:val="24"/>
        </w:rPr>
      </w:pPr>
    </w:p>
    <w:p>
      <w:pPr>
        <w:pStyle w:val="Heading2"/>
        <w:numPr>
          <w:ilvl w:val="0"/>
          <w:numId w:val="4"/>
        </w:numPr>
        <w:tabs>
          <w:tab w:pos="1770" w:val="left" w:leader="none"/>
        </w:tabs>
        <w:spacing w:line="240" w:lineRule="auto" w:before="178" w:after="0"/>
        <w:ind w:left="1769" w:right="0" w:hanging="360"/>
        <w:jc w:val="left"/>
        <w:rPr>
          <w:u w:val="none"/>
        </w:rPr>
      </w:pPr>
      <w:r>
        <w:rPr>
          <w:u w:val="thick"/>
        </w:rPr>
        <w:t>SoCalREN 2019 Program Level Changes</w:t>
      </w:r>
    </w:p>
    <w:p>
      <w:pPr>
        <w:pStyle w:val="BodyText"/>
        <w:spacing w:before="5"/>
        <w:rPr>
          <w:b/>
          <w:sz w:val="17"/>
        </w:rPr>
      </w:pPr>
    </w:p>
    <w:p>
      <w:pPr>
        <w:pStyle w:val="BodyText"/>
        <w:spacing w:line="360" w:lineRule="auto" w:before="94"/>
        <w:ind w:left="689" w:right="754"/>
      </w:pPr>
      <w:r>
        <w:rPr/>
        <w:t>The SoCalREN has utilized the first Business Plan year of 2018 (1) to conduct deep program performance assessments and program refinements, and (2) to revise its approach to marketing, education and outreach (ME&amp;O) toward greater analytics, strategies and tactics that lend themselves to heightened traceability and may provide a more reliable nexus between ME&amp;O action and programmatic outcomes.</w:t>
      </w:r>
    </w:p>
    <w:p>
      <w:pPr>
        <w:pStyle w:val="BodyText"/>
        <w:spacing w:line="364" w:lineRule="auto" w:before="195"/>
        <w:ind w:left="689" w:right="839"/>
      </w:pPr>
      <w:r>
        <w:rPr/>
        <w:t>The SoCalREN 2019 portfolio includes programs that comply with D.12-11-015 REN threshold criteria and conform to the sector approach as adopted by D.18-05-041. SoCalREN’s 2019</w:t>
      </w:r>
    </w:p>
    <w:p>
      <w:pPr>
        <w:spacing w:after="0" w:line="364" w:lineRule="auto"/>
        <w:sectPr>
          <w:pgSz w:w="12240" w:h="15840"/>
          <w:pgMar w:header="736" w:footer="0" w:top="980" w:bottom="280" w:left="760" w:right="760"/>
        </w:sectPr>
      </w:pPr>
    </w:p>
    <w:p>
      <w:pPr>
        <w:pStyle w:val="BodyText"/>
        <w:rPr>
          <w:sz w:val="20"/>
        </w:rPr>
      </w:pPr>
    </w:p>
    <w:p>
      <w:pPr>
        <w:pStyle w:val="BodyText"/>
        <w:spacing w:before="6"/>
        <w:rPr>
          <w:sz w:val="20"/>
        </w:rPr>
      </w:pPr>
    </w:p>
    <w:p>
      <w:pPr>
        <w:pStyle w:val="BodyText"/>
        <w:spacing w:line="360" w:lineRule="auto" w:before="1"/>
        <w:ind w:left="689" w:right="1145"/>
      </w:pPr>
      <w:r>
        <w:rPr/>
        <w:t>proposed portfolio also reflects the sunset of programs deemed either (1) unsuccessful in achieving cost-effective savings, or (2) attained all objectives over successive bridge years.</w:t>
      </w:r>
    </w:p>
    <w:p>
      <w:pPr>
        <w:pStyle w:val="Heading2"/>
        <w:numPr>
          <w:ilvl w:val="1"/>
          <w:numId w:val="4"/>
        </w:numPr>
        <w:tabs>
          <w:tab w:pos="2490" w:val="left" w:leader="none"/>
        </w:tabs>
        <w:spacing w:line="240" w:lineRule="auto" w:before="196" w:after="0"/>
        <w:ind w:left="2489" w:right="0" w:hanging="360"/>
        <w:jc w:val="left"/>
        <w:rPr>
          <w:u w:val="none"/>
        </w:rPr>
      </w:pPr>
      <w:r>
        <w:rPr>
          <w:u w:val="thick"/>
        </w:rPr>
        <w:t>Proposed Programs and Subprograms to </w:t>
      </w:r>
      <w:r>
        <w:rPr>
          <w:spacing w:val="-3"/>
          <w:u w:val="thick"/>
        </w:rPr>
        <w:t>be</w:t>
      </w:r>
      <w:r>
        <w:rPr>
          <w:spacing w:val="-2"/>
          <w:u w:val="thick"/>
        </w:rPr>
        <w:t> </w:t>
      </w:r>
      <w:r>
        <w:rPr>
          <w:u w:val="thick"/>
        </w:rPr>
        <w:t>cancelled:</w:t>
      </w:r>
    </w:p>
    <w:p>
      <w:pPr>
        <w:pStyle w:val="BodyText"/>
        <w:spacing w:before="1"/>
        <w:rPr>
          <w:b/>
          <w:sz w:val="14"/>
        </w:rPr>
      </w:pPr>
    </w:p>
    <w:p>
      <w:pPr>
        <w:pStyle w:val="BodyText"/>
        <w:spacing w:line="360" w:lineRule="auto" w:before="94"/>
        <w:ind w:left="689" w:right="655"/>
      </w:pPr>
      <w:r>
        <w:rPr/>
        <w:t>SoCalREN is requesting for approval to discontinue programs that have been deemed not cost- effective, these include the Single Family (SF) Home Upgrade California program (HUP) and its associated sub programs: Greenbuilding Labeling, Single Family Local Marketing and Outreach, HUP Loan Loss Reserve and Low-income SF HUP. For the past three years of implementation the SF HUP (and its associated sub-programs) have held an extremely low TRC and achieved relatively low savings. Specifically, SoCalREN’s SF HUP TRC and energy savings were:</w:t>
      </w:r>
    </w:p>
    <w:p>
      <w:pPr>
        <w:pStyle w:val="BodyText"/>
        <w:spacing w:before="4"/>
        <w:rPr>
          <w:sz w:val="17"/>
        </w:rPr>
      </w:pPr>
    </w:p>
    <w:tbl>
      <w:tblPr>
        <w:tblW w:w="0" w:type="auto"/>
        <w:jc w:val="left"/>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04"/>
        <w:gridCol w:w="1354"/>
        <w:gridCol w:w="1709"/>
      </w:tblGrid>
      <w:tr>
        <w:trPr>
          <w:trHeight w:val="278" w:hRule="atLeast"/>
        </w:trPr>
        <w:tc>
          <w:tcPr>
            <w:tcW w:w="3504" w:type="dxa"/>
            <w:tcBorders>
              <w:bottom w:val="nil"/>
            </w:tcBorders>
            <w:shd w:val="clear" w:color="auto" w:fill="4F81BD"/>
          </w:tcPr>
          <w:p>
            <w:pPr>
              <w:pStyle w:val="TableParagraph"/>
              <w:spacing w:line="258" w:lineRule="exact"/>
              <w:ind w:left="259"/>
              <w:jc w:val="left"/>
              <w:rPr>
                <w:rFonts w:ascii="Arial"/>
                <w:sz w:val="24"/>
              </w:rPr>
            </w:pPr>
            <w:r>
              <w:rPr>
                <w:rFonts w:ascii="Arial"/>
                <w:color w:val="FFFFFF"/>
                <w:sz w:val="24"/>
              </w:rPr>
              <w:t>SF Home Upgrade Program</w:t>
            </w:r>
          </w:p>
        </w:tc>
        <w:tc>
          <w:tcPr>
            <w:tcW w:w="1354" w:type="dxa"/>
            <w:shd w:val="clear" w:color="auto" w:fill="4F81BD"/>
          </w:tcPr>
          <w:p>
            <w:pPr>
              <w:pStyle w:val="TableParagraph"/>
              <w:spacing w:line="258" w:lineRule="exact"/>
              <w:ind w:left="121" w:right="112"/>
              <w:jc w:val="center"/>
              <w:rPr>
                <w:rFonts w:ascii="Arial"/>
                <w:b/>
                <w:sz w:val="24"/>
              </w:rPr>
            </w:pPr>
            <w:r>
              <w:rPr>
                <w:rFonts w:ascii="Arial"/>
                <w:b/>
                <w:color w:val="FFFFFF"/>
                <w:sz w:val="24"/>
              </w:rPr>
              <w:t>2016</w:t>
            </w:r>
          </w:p>
        </w:tc>
        <w:tc>
          <w:tcPr>
            <w:tcW w:w="1709" w:type="dxa"/>
            <w:shd w:val="clear" w:color="auto" w:fill="4F81BD"/>
          </w:tcPr>
          <w:p>
            <w:pPr>
              <w:pStyle w:val="TableParagraph"/>
              <w:spacing w:line="258" w:lineRule="exact"/>
              <w:ind w:left="566" w:right="558"/>
              <w:jc w:val="center"/>
              <w:rPr>
                <w:rFonts w:ascii="Arial"/>
                <w:b/>
                <w:sz w:val="24"/>
              </w:rPr>
            </w:pPr>
            <w:r>
              <w:rPr>
                <w:rFonts w:ascii="Arial"/>
                <w:b/>
                <w:color w:val="FFFFFF"/>
                <w:sz w:val="24"/>
              </w:rPr>
              <w:t>2017</w:t>
            </w:r>
          </w:p>
        </w:tc>
      </w:tr>
      <w:tr>
        <w:trPr>
          <w:trHeight w:val="441" w:hRule="atLeast"/>
        </w:trPr>
        <w:tc>
          <w:tcPr>
            <w:tcW w:w="3504" w:type="dxa"/>
            <w:tcBorders>
              <w:top w:val="nil"/>
            </w:tcBorders>
          </w:tcPr>
          <w:p>
            <w:pPr>
              <w:pStyle w:val="TableParagraph"/>
              <w:spacing w:line="240" w:lineRule="auto"/>
              <w:ind w:left="110"/>
              <w:jc w:val="left"/>
              <w:rPr>
                <w:rFonts w:ascii="Arial"/>
                <w:b/>
                <w:sz w:val="22"/>
              </w:rPr>
            </w:pPr>
            <w:r>
              <w:rPr>
                <w:rFonts w:ascii="Arial"/>
                <w:b/>
                <w:sz w:val="22"/>
              </w:rPr>
              <w:t>TRC</w:t>
            </w:r>
          </w:p>
        </w:tc>
        <w:tc>
          <w:tcPr>
            <w:tcW w:w="1354" w:type="dxa"/>
          </w:tcPr>
          <w:p>
            <w:pPr>
              <w:pStyle w:val="TableParagraph"/>
              <w:spacing w:line="240" w:lineRule="auto"/>
              <w:ind w:left="118" w:right="112"/>
              <w:jc w:val="center"/>
              <w:rPr>
                <w:rFonts w:ascii="Arial"/>
                <w:sz w:val="22"/>
              </w:rPr>
            </w:pPr>
            <w:r>
              <w:rPr>
                <w:rFonts w:ascii="Arial"/>
                <w:sz w:val="22"/>
              </w:rPr>
              <w:t>0.14</w:t>
            </w:r>
          </w:p>
        </w:tc>
        <w:tc>
          <w:tcPr>
            <w:tcW w:w="1709" w:type="dxa"/>
          </w:tcPr>
          <w:p>
            <w:pPr>
              <w:pStyle w:val="TableParagraph"/>
              <w:spacing w:line="240" w:lineRule="auto"/>
              <w:ind w:left="564" w:right="558"/>
              <w:jc w:val="center"/>
              <w:rPr>
                <w:rFonts w:ascii="Arial"/>
                <w:sz w:val="22"/>
              </w:rPr>
            </w:pPr>
            <w:r>
              <w:rPr>
                <w:rFonts w:ascii="Arial"/>
                <w:sz w:val="22"/>
              </w:rPr>
              <w:t>0.08</w:t>
            </w:r>
          </w:p>
        </w:tc>
      </w:tr>
      <w:tr>
        <w:trPr>
          <w:trHeight w:val="609" w:hRule="atLeast"/>
        </w:trPr>
        <w:tc>
          <w:tcPr>
            <w:tcW w:w="3504" w:type="dxa"/>
          </w:tcPr>
          <w:p>
            <w:pPr>
              <w:pStyle w:val="TableParagraph"/>
              <w:spacing w:line="248" w:lineRule="exact"/>
              <w:ind w:left="110"/>
              <w:jc w:val="left"/>
              <w:rPr>
                <w:rFonts w:ascii="Arial"/>
                <w:b/>
                <w:sz w:val="22"/>
              </w:rPr>
            </w:pPr>
            <w:r>
              <w:rPr>
                <w:rFonts w:ascii="Arial"/>
                <w:b/>
                <w:sz w:val="22"/>
              </w:rPr>
              <w:t>Electric Savings (kWh)</w:t>
            </w:r>
          </w:p>
        </w:tc>
        <w:tc>
          <w:tcPr>
            <w:tcW w:w="1354" w:type="dxa"/>
          </w:tcPr>
          <w:p>
            <w:pPr>
              <w:pStyle w:val="TableParagraph"/>
              <w:spacing w:line="240" w:lineRule="auto"/>
              <w:ind w:left="121" w:right="112"/>
              <w:jc w:val="center"/>
              <w:rPr>
                <w:rFonts w:ascii="Arial"/>
                <w:sz w:val="24"/>
              </w:rPr>
            </w:pPr>
            <w:r>
              <w:rPr>
                <w:rFonts w:ascii="Arial"/>
                <w:sz w:val="24"/>
              </w:rPr>
              <w:t>533,990</w:t>
            </w:r>
          </w:p>
        </w:tc>
        <w:tc>
          <w:tcPr>
            <w:tcW w:w="1709" w:type="dxa"/>
          </w:tcPr>
          <w:p>
            <w:pPr>
              <w:pStyle w:val="TableParagraph"/>
              <w:spacing w:line="240" w:lineRule="auto"/>
              <w:ind w:right="406"/>
              <w:rPr>
                <w:rFonts w:ascii="Arial"/>
                <w:sz w:val="24"/>
              </w:rPr>
            </w:pPr>
            <w:r>
              <w:rPr>
                <w:rFonts w:ascii="Arial"/>
                <w:sz w:val="24"/>
              </w:rPr>
              <w:t>255,650</w:t>
            </w:r>
          </w:p>
        </w:tc>
      </w:tr>
      <w:tr>
        <w:trPr>
          <w:trHeight w:val="465" w:hRule="atLeast"/>
        </w:trPr>
        <w:tc>
          <w:tcPr>
            <w:tcW w:w="3504" w:type="dxa"/>
            <w:tcBorders>
              <w:bottom w:val="single" w:sz="4" w:space="0" w:color="4F81BD"/>
            </w:tcBorders>
          </w:tcPr>
          <w:p>
            <w:pPr>
              <w:pStyle w:val="TableParagraph"/>
              <w:spacing w:line="240" w:lineRule="auto"/>
              <w:ind w:left="110"/>
              <w:jc w:val="left"/>
              <w:rPr>
                <w:rFonts w:ascii="Arial"/>
                <w:b/>
                <w:sz w:val="22"/>
              </w:rPr>
            </w:pPr>
            <w:r>
              <w:rPr>
                <w:rFonts w:ascii="Arial"/>
                <w:b/>
                <w:sz w:val="22"/>
              </w:rPr>
              <w:t>Program Cost ($)</w:t>
            </w:r>
          </w:p>
        </w:tc>
        <w:tc>
          <w:tcPr>
            <w:tcW w:w="1354" w:type="dxa"/>
            <w:tcBorders>
              <w:bottom w:val="single" w:sz="4" w:space="0" w:color="4F81BD"/>
            </w:tcBorders>
          </w:tcPr>
          <w:p>
            <w:pPr>
              <w:pStyle w:val="TableParagraph"/>
              <w:spacing w:line="240" w:lineRule="auto"/>
              <w:ind w:left="124" w:right="112"/>
              <w:jc w:val="center"/>
              <w:rPr>
                <w:rFonts w:ascii="Arial"/>
                <w:sz w:val="24"/>
              </w:rPr>
            </w:pPr>
            <w:r>
              <w:rPr>
                <w:rFonts w:ascii="Arial"/>
                <w:sz w:val="24"/>
              </w:rPr>
              <w:t>2,672,156</w:t>
            </w:r>
          </w:p>
        </w:tc>
        <w:tc>
          <w:tcPr>
            <w:tcW w:w="1709" w:type="dxa"/>
            <w:tcBorders>
              <w:bottom w:val="single" w:sz="4" w:space="0" w:color="4F81BD"/>
            </w:tcBorders>
          </w:tcPr>
          <w:p>
            <w:pPr>
              <w:pStyle w:val="TableParagraph"/>
              <w:spacing w:line="240" w:lineRule="auto"/>
              <w:ind w:right="354"/>
              <w:rPr>
                <w:rFonts w:ascii="Arial"/>
                <w:sz w:val="22"/>
              </w:rPr>
            </w:pPr>
            <w:r>
              <w:rPr>
                <w:rFonts w:ascii="Arial"/>
                <w:sz w:val="22"/>
              </w:rPr>
              <w:t>2,215,161</w:t>
            </w:r>
          </w:p>
        </w:tc>
      </w:tr>
    </w:tbl>
    <w:p>
      <w:pPr>
        <w:pStyle w:val="BodyText"/>
        <w:spacing w:before="1"/>
      </w:pPr>
    </w:p>
    <w:p>
      <w:pPr>
        <w:pStyle w:val="BodyText"/>
        <w:spacing w:line="360" w:lineRule="auto"/>
        <w:ind w:left="689" w:right="987"/>
      </w:pPr>
      <w:r>
        <w:rPr/>
        <w:t>In addition, SoCalREN is proposing to discontinue its Public Building Loan Loss Reserve and Non-Residential PACE. These two finance subprograms have achieved all objectives over successive bridge years and shown little interest from the market in the last year.</w:t>
      </w:r>
      <w:r>
        <w:rPr>
          <w:vertAlign w:val="superscript"/>
        </w:rPr>
        <w:t>8</w:t>
      </w:r>
    </w:p>
    <w:p>
      <w:pPr>
        <w:pStyle w:val="Heading2"/>
        <w:numPr>
          <w:ilvl w:val="1"/>
          <w:numId w:val="4"/>
        </w:numPr>
        <w:tabs>
          <w:tab w:pos="2490" w:val="left" w:leader="none"/>
        </w:tabs>
        <w:spacing w:line="240" w:lineRule="auto" w:before="201" w:after="0"/>
        <w:ind w:left="2489" w:right="0" w:hanging="360"/>
        <w:jc w:val="left"/>
        <w:rPr>
          <w:u w:val="none"/>
        </w:rPr>
      </w:pPr>
      <w:r>
        <w:rPr>
          <w:u w:val="thick"/>
        </w:rPr>
        <w:t>New and Expanded</w:t>
      </w:r>
      <w:r>
        <w:rPr>
          <w:spacing w:val="-8"/>
          <w:u w:val="thick"/>
        </w:rPr>
        <w:t> </w:t>
      </w:r>
      <w:r>
        <w:rPr>
          <w:u w:val="thick"/>
        </w:rPr>
        <w:t>Programs</w:t>
      </w:r>
    </w:p>
    <w:p>
      <w:pPr>
        <w:pStyle w:val="BodyText"/>
        <w:spacing w:line="360" w:lineRule="auto" w:before="1"/>
        <w:ind w:left="689" w:right="807"/>
      </w:pPr>
      <w:r>
        <w:rPr/>
        <w:t>As a direct result of SoCalREN’s 2019 portfolio optimization, resources allocated to programs proposed to be discontinued have been adjusted in this ABAL filing to fund cost effective programs and innovative offerings. Single family residential resources will be shifted to maximize SoCalREN’s most cost-effective residential offering specifically, SoCalREN’s Multifamily program and to fund its new multifamily companion sub-program, SoCalREN’s Residential Community Coordinator. SoCalREN’s Multifamily Program continues to provide audits and improvement incentives to building owners for comprehensive energy efficiency upgrades and has shown to be cost-effective overtime. This residential community coordinator sub-program will serve as a companion program to the SoCalREN Multifamily program and will assist the hard-to-reach multifamily market by providing a variety of services to help this targeted segment overcome the traditional barriers to completing building energy upgrades.</w:t>
      </w:r>
    </w:p>
    <w:p>
      <w:pPr>
        <w:pStyle w:val="BodyText"/>
        <w:rPr>
          <w:sz w:val="20"/>
        </w:rPr>
      </w:pPr>
    </w:p>
    <w:p>
      <w:pPr>
        <w:pStyle w:val="BodyText"/>
        <w:rPr>
          <w:sz w:val="20"/>
        </w:rPr>
      </w:pPr>
    </w:p>
    <w:p>
      <w:pPr>
        <w:pStyle w:val="BodyText"/>
        <w:spacing w:before="7"/>
        <w:rPr>
          <w:sz w:val="25"/>
        </w:rPr>
      </w:pPr>
      <w:r>
        <w:rPr/>
        <w:pict>
          <v:line style="position:absolute;mso-position-horizontal-relative:page;mso-position-vertical-relative:paragraph;z-index:1120;mso-wrap-distance-left:0;mso-wrap-distance-right:0" from="72.470596pt,17.086670pt" to="216.470596pt,17.086670pt" stroked="true" strokeweight=".72pt" strokecolor="#000000">
            <v:stroke dashstyle="solid"/>
            <w10:wrap type="topAndBottom"/>
          </v:line>
        </w:pict>
      </w:r>
    </w:p>
    <w:p>
      <w:pPr>
        <w:spacing w:before="69"/>
        <w:ind w:left="689" w:right="0" w:firstLine="0"/>
        <w:jc w:val="left"/>
        <w:rPr>
          <w:rFonts w:ascii="Calibri"/>
          <w:sz w:val="20"/>
        </w:rPr>
      </w:pPr>
      <w:r>
        <w:rPr>
          <w:rFonts w:ascii="Calibri"/>
          <w:position w:val="7"/>
          <w:sz w:val="13"/>
        </w:rPr>
        <w:t>8 </w:t>
      </w:r>
      <w:r>
        <w:rPr>
          <w:rFonts w:ascii="Calibri"/>
          <w:sz w:val="20"/>
        </w:rPr>
        <w:t>[referenced citation]</w:t>
      </w:r>
    </w:p>
    <w:p>
      <w:pPr>
        <w:spacing w:after="0"/>
        <w:jc w:val="left"/>
        <w:rPr>
          <w:rFonts w:ascii="Calibri"/>
          <w:sz w:val="20"/>
        </w:rPr>
        <w:sectPr>
          <w:pgSz w:w="12240" w:h="15840"/>
          <w:pgMar w:header="736" w:footer="0" w:top="980" w:bottom="280" w:left="760" w:right="760"/>
        </w:sectPr>
      </w:pPr>
    </w:p>
    <w:p>
      <w:pPr>
        <w:pStyle w:val="BodyText"/>
        <w:rPr>
          <w:rFonts w:ascii="Calibri"/>
          <w:sz w:val="20"/>
        </w:rPr>
      </w:pPr>
    </w:p>
    <w:p>
      <w:pPr>
        <w:pStyle w:val="BodyText"/>
        <w:spacing w:before="2"/>
        <w:rPr>
          <w:rFonts w:ascii="Calibri"/>
          <w:sz w:val="18"/>
        </w:rPr>
      </w:pPr>
    </w:p>
    <w:p>
      <w:pPr>
        <w:pStyle w:val="BodyText"/>
        <w:spacing w:line="360" w:lineRule="auto" w:before="1"/>
        <w:ind w:left="689" w:right="790"/>
      </w:pPr>
      <w:r>
        <w:rPr/>
        <w:t>In addition, SoCalREN’s 2019 EE Portfolio is dedicated to finding cost efficient financing solutions for public agency customers, and multifamily property owners to help drive a greater adoption of deep comprehensive retrofits. SoCalREN’s finance budget is proposed to include two specific programs to serve as catalysts for multifamily and public agency projects. These new financing programs include SoCalREN’s Residential Loan Loss Reserve (LLR) and Public Agency Revolving Loan Fund. SoCalREN’s Residential LLR program will provide credit risk enhanced financing for multifamily property owners who are actively seeking a “whole-building” retrofits and will primarily target customers with the most need who are hard to reach, and properties within DACs</w:t>
      </w:r>
      <w:r>
        <w:rPr>
          <w:rFonts w:ascii="Times New Roman" w:hAnsi="Times New Roman"/>
        </w:rPr>
        <w:t>. </w:t>
      </w:r>
      <w:r>
        <w:rPr/>
        <w:t>The SoCalREN RLF is designed to support upgrades of public agency buildings and facilities with an emphasis on supporting projects that serve Disadvantaged Communities (DACs). Loans will serve as short-term construction financing and help under primarily two scenarios: bridge financing for approved On-Bill Financing (OBF) provided by the utility after project completion and bridge financing for approved but un-budgeted agency projects that would otherwise wait for budget allocation.</w:t>
      </w:r>
    </w:p>
    <w:p>
      <w:pPr>
        <w:pStyle w:val="BodyText"/>
        <w:spacing w:line="360" w:lineRule="auto" w:before="201"/>
        <w:ind w:left="689" w:right="699"/>
      </w:pPr>
      <w:r>
        <w:rPr/>
        <w:t>Last, with an increasing emphasis on public sector and leveraging SoCalREN’s “peer-driven” approach, SoCalREN will be introducing a new NMEC Public Agency program and expand its Energy Efficiency Project Delivery Program (</w:t>
      </w:r>
      <w:r>
        <w:rPr>
          <w:i/>
        </w:rPr>
        <w:t>formerly known as SoCalREC</w:t>
      </w:r>
      <w:r>
        <w:rPr/>
        <w:t>) to offer education and outreach regarding distributed energy resources for DACs. These two programs will work to further engage Public Agencies and help drive not only deeper energy savings within the sector but deeper reductions in greenhouse gas (GHG) thus helping the state meet its aggressive GHG reduction</w:t>
      </w:r>
      <w:r>
        <w:rPr>
          <w:spacing w:val="-1"/>
        </w:rPr>
        <w:t> </w:t>
      </w:r>
      <w:r>
        <w:rPr/>
        <w:t>objectives.</w:t>
      </w:r>
    </w:p>
    <w:p>
      <w:pPr>
        <w:pStyle w:val="BodyText"/>
        <w:rPr>
          <w:sz w:val="24"/>
        </w:rPr>
      </w:pPr>
    </w:p>
    <w:p>
      <w:pPr>
        <w:pStyle w:val="BodyText"/>
        <w:spacing w:before="10"/>
        <w:rPr>
          <w:sz w:val="18"/>
        </w:rPr>
      </w:pPr>
    </w:p>
    <w:p>
      <w:pPr>
        <w:pStyle w:val="Heading1"/>
      </w:pPr>
      <w:r>
        <w:rPr>
          <w:u w:val="thick"/>
        </w:rPr>
        <w:t>Strategies for increased cost-effectiveness</w:t>
      </w:r>
    </w:p>
    <w:p>
      <w:pPr>
        <w:pStyle w:val="BodyText"/>
        <w:spacing w:before="10"/>
        <w:rPr>
          <w:b/>
          <w:sz w:val="20"/>
        </w:rPr>
      </w:pPr>
    </w:p>
    <w:p>
      <w:pPr>
        <w:pStyle w:val="BodyText"/>
        <w:spacing w:line="360" w:lineRule="auto" w:before="94"/>
        <w:ind w:left="689" w:right="728"/>
      </w:pPr>
      <w:r>
        <w:rPr/>
        <w:t>As mentioned above, the SoCalREN’s 2019 EE Portfolio and budget continues to be committed to increasing its portfolio cost-effectiveness while meeting the state’s long-term objectives.</w:t>
      </w:r>
    </w:p>
    <w:p>
      <w:pPr>
        <w:pStyle w:val="BodyText"/>
        <w:spacing w:line="360" w:lineRule="auto"/>
        <w:ind w:left="689" w:right="974"/>
      </w:pPr>
      <w:r>
        <w:rPr/>
        <w:t>Although not currently required to meet a TRC threshold, SoCalREN believes that continued program performance enhancement can contribute and assist in meeting a path towards increased costs effectiveness. In addition to the portfolio strategies to increase administrative and cost efficiencies, SoCalREN will also institute program level strategies to increase cost- effectiveness for 2019. These strategies include but are not limited to:</w:t>
      </w:r>
    </w:p>
    <w:p>
      <w:pPr>
        <w:pStyle w:val="Heading2"/>
        <w:numPr>
          <w:ilvl w:val="0"/>
          <w:numId w:val="3"/>
        </w:numPr>
        <w:tabs>
          <w:tab w:pos="1410" w:val="left" w:leader="none"/>
        </w:tabs>
        <w:spacing w:line="240" w:lineRule="auto" w:before="199" w:after="0"/>
        <w:ind w:left="1409" w:right="0" w:hanging="360"/>
        <w:jc w:val="left"/>
        <w:rPr>
          <w:u w:val="none"/>
        </w:rPr>
      </w:pPr>
      <w:r>
        <w:rPr>
          <w:u w:val="none"/>
        </w:rPr>
        <w:t>Multifamily</w:t>
      </w:r>
    </w:p>
    <w:p>
      <w:pPr>
        <w:spacing w:after="0" w:line="240" w:lineRule="auto"/>
        <w:jc w:val="left"/>
        <w:sectPr>
          <w:pgSz w:w="12240" w:h="15840"/>
          <w:pgMar w:header="736" w:footer="0" w:top="980" w:bottom="280" w:left="760" w:right="760"/>
        </w:sectPr>
      </w:pPr>
    </w:p>
    <w:p>
      <w:pPr>
        <w:pStyle w:val="BodyText"/>
        <w:rPr>
          <w:b/>
          <w:sz w:val="20"/>
        </w:rPr>
      </w:pPr>
    </w:p>
    <w:p>
      <w:pPr>
        <w:pStyle w:val="BodyText"/>
        <w:spacing w:before="6"/>
        <w:rPr>
          <w:b/>
          <w:sz w:val="20"/>
        </w:rPr>
      </w:pPr>
    </w:p>
    <w:p>
      <w:pPr>
        <w:pStyle w:val="ListParagraph"/>
        <w:numPr>
          <w:ilvl w:val="1"/>
          <w:numId w:val="3"/>
        </w:numPr>
        <w:tabs>
          <w:tab w:pos="2129" w:val="left" w:leader="none"/>
          <w:tab w:pos="2130" w:val="left" w:leader="none"/>
        </w:tabs>
        <w:spacing w:line="333" w:lineRule="auto" w:before="1" w:after="0"/>
        <w:ind w:left="2129" w:right="871" w:hanging="360"/>
        <w:jc w:val="left"/>
        <w:rPr>
          <w:sz w:val="22"/>
        </w:rPr>
      </w:pPr>
      <w:r>
        <w:rPr>
          <w:sz w:val="22"/>
        </w:rPr>
        <w:t>Utilize innovative tools and tactics to increase participation while improving cost effectiveness</w:t>
      </w:r>
    </w:p>
    <w:p>
      <w:pPr>
        <w:pStyle w:val="ListParagraph"/>
        <w:numPr>
          <w:ilvl w:val="1"/>
          <w:numId w:val="3"/>
        </w:numPr>
        <w:tabs>
          <w:tab w:pos="2129" w:val="left" w:leader="none"/>
          <w:tab w:pos="2130" w:val="left" w:leader="none"/>
        </w:tabs>
        <w:spacing w:line="333" w:lineRule="auto" w:before="35" w:after="0"/>
        <w:ind w:left="2129" w:right="894" w:hanging="360"/>
        <w:jc w:val="left"/>
        <w:rPr>
          <w:sz w:val="22"/>
        </w:rPr>
      </w:pPr>
      <w:r>
        <w:rPr>
          <w:sz w:val="22"/>
        </w:rPr>
        <w:t>Leverage approaches that support a long-term customer journey for multifamily property</w:t>
      </w:r>
      <w:r>
        <w:rPr>
          <w:spacing w:val="-5"/>
          <w:sz w:val="22"/>
        </w:rPr>
        <w:t> </w:t>
      </w:r>
      <w:r>
        <w:rPr>
          <w:sz w:val="22"/>
        </w:rPr>
        <w:t>owners</w:t>
      </w:r>
    </w:p>
    <w:p>
      <w:pPr>
        <w:pStyle w:val="ListParagraph"/>
        <w:numPr>
          <w:ilvl w:val="1"/>
          <w:numId w:val="3"/>
        </w:numPr>
        <w:tabs>
          <w:tab w:pos="2129" w:val="left" w:leader="none"/>
          <w:tab w:pos="2130" w:val="left" w:leader="none"/>
        </w:tabs>
        <w:spacing w:line="333" w:lineRule="auto" w:before="36" w:after="0"/>
        <w:ind w:left="2129" w:right="824" w:hanging="360"/>
        <w:jc w:val="left"/>
        <w:rPr>
          <w:sz w:val="22"/>
        </w:rPr>
      </w:pPr>
      <w:r>
        <w:rPr>
          <w:sz w:val="22"/>
        </w:rPr>
        <w:t>Employ community-based relationships and networks to influence hard-to-reach and disadvantaged</w:t>
      </w:r>
      <w:r>
        <w:rPr>
          <w:spacing w:val="5"/>
          <w:sz w:val="22"/>
        </w:rPr>
        <w:t> </w:t>
      </w:r>
      <w:r>
        <w:rPr>
          <w:sz w:val="22"/>
        </w:rPr>
        <w:t>communities</w:t>
      </w:r>
    </w:p>
    <w:p>
      <w:pPr>
        <w:pStyle w:val="ListParagraph"/>
        <w:numPr>
          <w:ilvl w:val="1"/>
          <w:numId w:val="3"/>
        </w:numPr>
        <w:tabs>
          <w:tab w:pos="2129" w:val="left" w:leader="none"/>
          <w:tab w:pos="2130" w:val="left" w:leader="none"/>
        </w:tabs>
        <w:spacing w:line="333" w:lineRule="auto" w:before="36" w:after="0"/>
        <w:ind w:left="2129" w:right="802" w:hanging="360"/>
        <w:jc w:val="left"/>
        <w:rPr>
          <w:sz w:val="22"/>
        </w:rPr>
      </w:pPr>
      <w:r>
        <w:rPr>
          <w:sz w:val="22"/>
        </w:rPr>
        <w:t>Leverage County analytics and existing databases to identify key market targets and programmatic</w:t>
      </w:r>
      <w:r>
        <w:rPr>
          <w:spacing w:val="2"/>
          <w:sz w:val="22"/>
        </w:rPr>
        <w:t> </w:t>
      </w:r>
      <w:r>
        <w:rPr>
          <w:sz w:val="22"/>
        </w:rPr>
        <w:t>improvements</w:t>
      </w:r>
    </w:p>
    <w:p>
      <w:pPr>
        <w:pStyle w:val="ListParagraph"/>
        <w:numPr>
          <w:ilvl w:val="1"/>
          <w:numId w:val="3"/>
        </w:numPr>
        <w:tabs>
          <w:tab w:pos="2129" w:val="left" w:leader="none"/>
          <w:tab w:pos="2130" w:val="left" w:leader="none"/>
        </w:tabs>
        <w:spacing w:line="338" w:lineRule="auto" w:before="35" w:after="0"/>
        <w:ind w:left="2129" w:right="1040" w:hanging="360"/>
        <w:jc w:val="left"/>
        <w:rPr>
          <w:sz w:val="22"/>
        </w:rPr>
      </w:pPr>
      <w:r>
        <w:rPr>
          <w:sz w:val="22"/>
        </w:rPr>
        <w:t>Implement cost efficient financing solutions for multifamily property owners, to help drive a greater adoption of deep comprehensive</w:t>
      </w:r>
      <w:r>
        <w:rPr>
          <w:spacing w:val="-7"/>
          <w:sz w:val="22"/>
        </w:rPr>
        <w:t> </w:t>
      </w:r>
      <w:r>
        <w:rPr>
          <w:sz w:val="22"/>
        </w:rPr>
        <w:t>retrofits</w:t>
      </w:r>
    </w:p>
    <w:p>
      <w:pPr>
        <w:pStyle w:val="Heading2"/>
        <w:numPr>
          <w:ilvl w:val="0"/>
          <w:numId w:val="3"/>
        </w:numPr>
        <w:tabs>
          <w:tab w:pos="1410" w:val="left" w:leader="none"/>
        </w:tabs>
        <w:spacing w:line="240" w:lineRule="auto" w:before="31" w:after="0"/>
        <w:ind w:left="1409" w:right="0" w:hanging="360"/>
        <w:jc w:val="left"/>
        <w:rPr>
          <w:u w:val="none"/>
        </w:rPr>
      </w:pPr>
      <w:r>
        <w:rPr>
          <w:u w:val="none"/>
        </w:rPr>
        <w:t>Public</w:t>
      </w:r>
      <w:r>
        <w:rPr>
          <w:spacing w:val="-2"/>
          <w:u w:val="none"/>
        </w:rPr>
        <w:t> </w:t>
      </w:r>
      <w:r>
        <w:rPr>
          <w:u w:val="none"/>
        </w:rPr>
        <w:t>Sector</w:t>
      </w:r>
    </w:p>
    <w:p>
      <w:pPr>
        <w:pStyle w:val="ListParagraph"/>
        <w:numPr>
          <w:ilvl w:val="1"/>
          <w:numId w:val="3"/>
        </w:numPr>
        <w:tabs>
          <w:tab w:pos="2129" w:val="left" w:leader="none"/>
          <w:tab w:pos="2130" w:val="left" w:leader="none"/>
        </w:tabs>
        <w:spacing w:line="333" w:lineRule="auto" w:before="126" w:after="0"/>
        <w:ind w:left="2129" w:right="1068" w:hanging="360"/>
        <w:jc w:val="left"/>
        <w:rPr>
          <w:sz w:val="22"/>
        </w:rPr>
      </w:pPr>
      <w:r>
        <w:rPr>
          <w:sz w:val="22"/>
        </w:rPr>
        <w:t>Implement </w:t>
      </w:r>
      <w:r>
        <w:rPr>
          <w:spacing w:val="-3"/>
          <w:sz w:val="22"/>
        </w:rPr>
        <w:t>more </w:t>
      </w:r>
      <w:r>
        <w:rPr>
          <w:sz w:val="22"/>
        </w:rPr>
        <w:t>cost-effective innovative approaches </w:t>
      </w:r>
      <w:r>
        <w:rPr>
          <w:spacing w:val="-3"/>
          <w:sz w:val="22"/>
        </w:rPr>
        <w:t>such </w:t>
      </w:r>
      <w:r>
        <w:rPr>
          <w:sz w:val="22"/>
        </w:rPr>
        <w:t>as NMEC to drive deeper retrofits</w:t>
      </w:r>
      <w:r>
        <w:rPr>
          <w:spacing w:val="-1"/>
          <w:sz w:val="22"/>
        </w:rPr>
        <w:t> </w:t>
      </w:r>
      <w:r>
        <w:rPr>
          <w:sz w:val="22"/>
        </w:rPr>
        <w:t>savings</w:t>
      </w:r>
    </w:p>
    <w:p>
      <w:pPr>
        <w:pStyle w:val="ListParagraph"/>
        <w:numPr>
          <w:ilvl w:val="1"/>
          <w:numId w:val="3"/>
        </w:numPr>
        <w:tabs>
          <w:tab w:pos="2129" w:val="left" w:leader="none"/>
          <w:tab w:pos="2130" w:val="left" w:leader="none"/>
        </w:tabs>
        <w:spacing w:line="333" w:lineRule="auto" w:before="36" w:after="0"/>
        <w:ind w:left="2129" w:right="1275" w:hanging="360"/>
        <w:jc w:val="left"/>
        <w:rPr>
          <w:sz w:val="22"/>
        </w:rPr>
      </w:pPr>
      <w:r>
        <w:rPr>
          <w:sz w:val="22"/>
        </w:rPr>
        <w:t>Continue to utilize companion programs offered by partner IOUs to develop comprehensive work-scopes for public</w:t>
      </w:r>
      <w:r>
        <w:rPr>
          <w:spacing w:val="-12"/>
          <w:sz w:val="22"/>
        </w:rPr>
        <w:t> </w:t>
      </w:r>
      <w:r>
        <w:rPr>
          <w:sz w:val="22"/>
        </w:rPr>
        <w:t>agencies</w:t>
      </w:r>
    </w:p>
    <w:p>
      <w:pPr>
        <w:pStyle w:val="ListParagraph"/>
        <w:numPr>
          <w:ilvl w:val="1"/>
          <w:numId w:val="3"/>
        </w:numPr>
        <w:tabs>
          <w:tab w:pos="2129" w:val="left" w:leader="none"/>
          <w:tab w:pos="2130" w:val="left" w:leader="none"/>
        </w:tabs>
        <w:spacing w:line="348" w:lineRule="auto" w:before="35" w:after="0"/>
        <w:ind w:left="2129" w:right="706" w:hanging="360"/>
        <w:jc w:val="left"/>
        <w:rPr>
          <w:sz w:val="22"/>
        </w:rPr>
      </w:pPr>
      <w:r>
        <w:rPr>
          <w:sz w:val="22"/>
        </w:rPr>
        <w:t>Utilize SoCalREN’s “peer-driven” approach to drive program performance and reduce the program’s customer participation costs so that deeper energy savings can be</w:t>
      </w:r>
      <w:r>
        <w:rPr>
          <w:spacing w:val="-4"/>
          <w:sz w:val="22"/>
        </w:rPr>
        <w:t> </w:t>
      </w:r>
      <w:r>
        <w:rPr>
          <w:sz w:val="22"/>
        </w:rPr>
        <w:t>achieved</w:t>
      </w:r>
    </w:p>
    <w:p>
      <w:pPr>
        <w:pStyle w:val="ListParagraph"/>
        <w:numPr>
          <w:ilvl w:val="1"/>
          <w:numId w:val="3"/>
        </w:numPr>
        <w:tabs>
          <w:tab w:pos="2129" w:val="left" w:leader="none"/>
          <w:tab w:pos="2130" w:val="left" w:leader="none"/>
        </w:tabs>
        <w:spacing w:line="333" w:lineRule="auto" w:before="18" w:after="0"/>
        <w:ind w:left="2129" w:right="958" w:hanging="360"/>
        <w:jc w:val="left"/>
        <w:rPr>
          <w:sz w:val="22"/>
        </w:rPr>
      </w:pPr>
      <w:r>
        <w:rPr>
          <w:sz w:val="22"/>
        </w:rPr>
        <w:t>Implementing cost efficient financing solutions for Public Agency customers, to help drive a greater adoption of deep comprehensive</w:t>
      </w:r>
      <w:r>
        <w:rPr>
          <w:spacing w:val="-7"/>
          <w:sz w:val="22"/>
        </w:rPr>
        <w:t> </w:t>
      </w:r>
      <w:r>
        <w:rPr>
          <w:sz w:val="22"/>
        </w:rPr>
        <w:t>retrofits</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19"/>
        </w:rPr>
      </w:pPr>
    </w:p>
    <w:p>
      <w:pPr>
        <w:pStyle w:val="Heading1"/>
        <w:spacing w:before="1"/>
      </w:pPr>
      <w:r>
        <w:rPr>
          <w:u w:val="thick"/>
        </w:rPr>
        <w:t>Protests</w:t>
      </w:r>
    </w:p>
    <w:p>
      <w:pPr>
        <w:pStyle w:val="BodyText"/>
        <w:spacing w:line="362" w:lineRule="auto" w:before="59"/>
        <w:ind w:left="689" w:right="664"/>
        <w:jc w:val="both"/>
      </w:pPr>
      <w:r>
        <w:rPr/>
        <w:t>Anyone</w:t>
      </w:r>
      <w:r>
        <w:rPr>
          <w:spacing w:val="-9"/>
        </w:rPr>
        <w:t> </w:t>
      </w:r>
      <w:r>
        <w:rPr/>
        <w:t>may</w:t>
      </w:r>
      <w:r>
        <w:rPr>
          <w:spacing w:val="-16"/>
        </w:rPr>
        <w:t> </w:t>
      </w:r>
      <w:r>
        <w:rPr/>
        <w:t>protest</w:t>
      </w:r>
      <w:r>
        <w:rPr>
          <w:spacing w:val="-10"/>
        </w:rPr>
        <w:t> </w:t>
      </w:r>
      <w:r>
        <w:rPr/>
        <w:t>this</w:t>
      </w:r>
      <w:r>
        <w:rPr>
          <w:spacing w:val="-16"/>
        </w:rPr>
        <w:t> </w:t>
      </w:r>
      <w:r>
        <w:rPr/>
        <w:t>Advice</w:t>
      </w:r>
      <w:r>
        <w:rPr>
          <w:spacing w:val="-14"/>
        </w:rPr>
        <w:t> </w:t>
      </w:r>
      <w:r>
        <w:rPr/>
        <w:t>Letter.</w:t>
      </w:r>
      <w:r>
        <w:rPr>
          <w:spacing w:val="-15"/>
        </w:rPr>
        <w:t> </w:t>
      </w:r>
      <w:r>
        <w:rPr/>
        <w:t>The</w:t>
      </w:r>
      <w:r>
        <w:rPr>
          <w:spacing w:val="-14"/>
        </w:rPr>
        <w:t> </w:t>
      </w:r>
      <w:r>
        <w:rPr/>
        <w:t>protest</w:t>
      </w:r>
      <w:r>
        <w:rPr>
          <w:spacing w:val="-15"/>
        </w:rPr>
        <w:t> </w:t>
      </w:r>
      <w:r>
        <w:rPr/>
        <w:t>must</w:t>
      </w:r>
      <w:r>
        <w:rPr>
          <w:spacing w:val="-15"/>
        </w:rPr>
        <w:t> </w:t>
      </w:r>
      <w:r>
        <w:rPr/>
        <w:t>state</w:t>
      </w:r>
      <w:r>
        <w:rPr>
          <w:spacing w:val="-14"/>
        </w:rPr>
        <w:t> </w:t>
      </w:r>
      <w:r>
        <w:rPr/>
        <w:t>the</w:t>
      </w:r>
      <w:r>
        <w:rPr>
          <w:spacing w:val="-14"/>
        </w:rPr>
        <w:t> </w:t>
      </w:r>
      <w:r>
        <w:rPr/>
        <w:t>grounds</w:t>
      </w:r>
      <w:r>
        <w:rPr>
          <w:spacing w:val="-16"/>
        </w:rPr>
        <w:t> </w:t>
      </w:r>
      <w:r>
        <w:rPr/>
        <w:t>upon</w:t>
      </w:r>
      <w:r>
        <w:rPr>
          <w:spacing w:val="-14"/>
        </w:rPr>
        <w:t> </w:t>
      </w:r>
      <w:r>
        <w:rPr/>
        <w:t>which</w:t>
      </w:r>
      <w:r>
        <w:rPr>
          <w:spacing w:val="-9"/>
        </w:rPr>
        <w:t> </w:t>
      </w:r>
      <w:r>
        <w:rPr/>
        <w:t>it</w:t>
      </w:r>
      <w:r>
        <w:rPr>
          <w:spacing w:val="-10"/>
        </w:rPr>
        <w:t> </w:t>
      </w:r>
      <w:r>
        <w:rPr/>
        <w:t>is</w:t>
      </w:r>
      <w:r>
        <w:rPr>
          <w:spacing w:val="-16"/>
        </w:rPr>
        <w:t> </w:t>
      </w:r>
      <w:r>
        <w:rPr/>
        <w:t>based. The protest must be made in writing and received by </w:t>
      </w:r>
      <w:r>
        <w:rPr>
          <w:spacing w:val="-3"/>
        </w:rPr>
        <w:t>the </w:t>
      </w:r>
      <w:r>
        <w:rPr/>
        <w:t>Commission within 20 days of the date this</w:t>
      </w:r>
      <w:r>
        <w:rPr>
          <w:spacing w:val="-16"/>
        </w:rPr>
        <w:t> </w:t>
      </w:r>
      <w:r>
        <w:rPr/>
        <w:t>Advice</w:t>
      </w:r>
      <w:r>
        <w:rPr>
          <w:spacing w:val="-15"/>
        </w:rPr>
        <w:t> </w:t>
      </w:r>
      <w:r>
        <w:rPr/>
        <w:t>Letter</w:t>
      </w:r>
      <w:r>
        <w:rPr>
          <w:spacing w:val="-17"/>
        </w:rPr>
        <w:t> </w:t>
      </w:r>
      <w:r>
        <w:rPr/>
        <w:t>was</w:t>
      </w:r>
      <w:r>
        <w:rPr>
          <w:spacing w:val="-16"/>
        </w:rPr>
        <w:t> </w:t>
      </w:r>
      <w:r>
        <w:rPr/>
        <w:t>filed</w:t>
      </w:r>
      <w:r>
        <w:rPr>
          <w:spacing w:val="-10"/>
        </w:rPr>
        <w:t> </w:t>
      </w:r>
      <w:r>
        <w:rPr/>
        <w:t>with</w:t>
      </w:r>
      <w:r>
        <w:rPr>
          <w:spacing w:val="-15"/>
        </w:rPr>
        <w:t> </w:t>
      </w:r>
      <w:r>
        <w:rPr/>
        <w:t>the</w:t>
      </w:r>
      <w:r>
        <w:rPr>
          <w:spacing w:val="-10"/>
        </w:rPr>
        <w:t> </w:t>
      </w:r>
      <w:r>
        <w:rPr/>
        <w:t>Commission.</w:t>
      </w:r>
      <w:r>
        <w:rPr>
          <w:spacing w:val="35"/>
        </w:rPr>
        <w:t> </w:t>
      </w:r>
      <w:r>
        <w:rPr/>
        <w:t>There</w:t>
      </w:r>
      <w:r>
        <w:rPr>
          <w:spacing w:val="-15"/>
        </w:rPr>
        <w:t> </w:t>
      </w:r>
      <w:r>
        <w:rPr/>
        <w:t>is</w:t>
      </w:r>
      <w:r>
        <w:rPr>
          <w:spacing w:val="-16"/>
        </w:rPr>
        <w:t> </w:t>
      </w:r>
      <w:r>
        <w:rPr/>
        <w:t>no</w:t>
      </w:r>
      <w:r>
        <w:rPr>
          <w:spacing w:val="-15"/>
        </w:rPr>
        <w:t> </w:t>
      </w:r>
      <w:r>
        <w:rPr/>
        <w:t>restriction</w:t>
      </w:r>
      <w:r>
        <w:rPr>
          <w:spacing w:val="-18"/>
        </w:rPr>
        <w:t> </w:t>
      </w:r>
      <w:r>
        <w:rPr/>
        <w:t>on</w:t>
      </w:r>
      <w:r>
        <w:rPr>
          <w:spacing w:val="-15"/>
        </w:rPr>
        <w:t> </w:t>
      </w:r>
      <w:r>
        <w:rPr/>
        <w:t>who</w:t>
      </w:r>
      <w:r>
        <w:rPr>
          <w:spacing w:val="-10"/>
        </w:rPr>
        <w:t> </w:t>
      </w:r>
      <w:r>
        <w:rPr/>
        <w:t>may</w:t>
      </w:r>
      <w:r>
        <w:rPr>
          <w:spacing w:val="-12"/>
        </w:rPr>
        <w:t> </w:t>
      </w:r>
      <w:r>
        <w:rPr/>
        <w:t>file</w:t>
      </w:r>
      <w:r>
        <w:rPr>
          <w:spacing w:val="-15"/>
        </w:rPr>
        <w:t> </w:t>
      </w:r>
      <w:r>
        <w:rPr/>
        <w:t>a</w:t>
      </w:r>
      <w:r>
        <w:rPr>
          <w:spacing w:val="-15"/>
        </w:rPr>
        <w:t> </w:t>
      </w:r>
      <w:r>
        <w:rPr/>
        <w:t>protest. The address for mailing or delivering a protest to the Commission</w:t>
      </w:r>
      <w:r>
        <w:rPr>
          <w:spacing w:val="-3"/>
        </w:rPr>
        <w:t> is:</w:t>
      </w:r>
    </w:p>
    <w:p>
      <w:pPr>
        <w:pStyle w:val="BodyText"/>
        <w:spacing w:line="242" w:lineRule="auto"/>
        <w:ind w:left="3569" w:right="4490"/>
      </w:pPr>
      <w:r>
        <w:rPr/>
        <w:t>Public Utilities Commission CPUC Energy Division Attention: Tariff Unit</w:t>
      </w:r>
    </w:p>
    <w:p>
      <w:pPr>
        <w:pStyle w:val="BodyText"/>
        <w:spacing w:line="237" w:lineRule="auto"/>
        <w:ind w:left="3569" w:right="4570"/>
      </w:pPr>
      <w:r>
        <w:rPr/>
        <w:t>505 Van Ness Avenue San Francisco, CA</w:t>
      </w:r>
      <w:r>
        <w:rPr>
          <w:spacing w:val="53"/>
        </w:rPr>
        <w:t> </w:t>
      </w:r>
      <w:r>
        <w:rPr/>
        <w:t>94102</w:t>
      </w:r>
    </w:p>
    <w:p>
      <w:pPr>
        <w:spacing w:after="0" w:line="237" w:lineRule="auto"/>
        <w:sectPr>
          <w:pgSz w:w="12240" w:h="15840"/>
          <w:pgMar w:header="736" w:footer="0" w:top="980" w:bottom="280" w:left="760" w:right="760"/>
        </w:sectPr>
      </w:pPr>
    </w:p>
    <w:p>
      <w:pPr>
        <w:pStyle w:val="BodyText"/>
        <w:rPr>
          <w:sz w:val="20"/>
        </w:rPr>
      </w:pPr>
    </w:p>
    <w:p>
      <w:pPr>
        <w:pStyle w:val="BodyText"/>
        <w:spacing w:before="6"/>
        <w:rPr>
          <w:sz w:val="20"/>
        </w:rPr>
      </w:pPr>
    </w:p>
    <w:p>
      <w:pPr>
        <w:pStyle w:val="BodyText"/>
        <w:spacing w:line="360" w:lineRule="auto" w:before="1"/>
        <w:ind w:left="689" w:right="669"/>
        <w:jc w:val="both"/>
      </w:pPr>
      <w:r>
        <w:rPr/>
        <w:t>Copies of the protest should also be sent via e-mail to the attention of the Energy Division at </w:t>
      </w:r>
      <w:hyperlink r:id="rId7">
        <w:r>
          <w:rPr>
            <w:color w:val="0000FF"/>
            <w:u w:val="single" w:color="0000FF"/>
          </w:rPr>
          <w:t>EDTariffUnit@cpuc.ca.gov</w:t>
        </w:r>
        <w:r>
          <w:rPr/>
          <w:t>. </w:t>
        </w:r>
      </w:hyperlink>
      <w:r>
        <w:rPr/>
        <w:t>It is also requested that a copy of the protest be sent by email to addresses shown below on the same date it is mailed or delivered to the Commission.</w:t>
      </w:r>
    </w:p>
    <w:p>
      <w:pPr>
        <w:pStyle w:val="BodyText"/>
      </w:pPr>
    </w:p>
    <w:p>
      <w:pPr>
        <w:pStyle w:val="BodyText"/>
        <w:spacing w:line="251" w:lineRule="exact"/>
        <w:ind w:left="3003"/>
      </w:pPr>
      <w:r>
        <w:rPr/>
        <w:t>Minh Le</w:t>
      </w:r>
    </w:p>
    <w:p>
      <w:pPr>
        <w:pStyle w:val="BodyText"/>
        <w:ind w:left="3003" w:right="4199"/>
      </w:pPr>
      <w:r>
        <w:rPr/>
        <w:t>Energy and Environmental Services General Manager</w:t>
      </w:r>
    </w:p>
    <w:p>
      <w:pPr>
        <w:pStyle w:val="BodyText"/>
        <w:spacing w:before="1"/>
        <w:ind w:left="3003" w:right="4822"/>
      </w:pPr>
      <w:r>
        <w:rPr/>
        <w:t>County of Los Angeles Office 1100 North Eastern Avenue Los Angeles, CA 90063-3200 (323) 267-2006</w:t>
      </w:r>
    </w:p>
    <w:p>
      <w:pPr>
        <w:pStyle w:val="BodyText"/>
        <w:spacing w:before="1"/>
        <w:ind w:left="3003"/>
      </w:pPr>
      <w:hyperlink r:id="rId8">
        <w:r>
          <w:rPr/>
          <w:t>MSLe@isd.lacounty.gov</w:t>
        </w:r>
      </w:hyperlink>
    </w:p>
    <w:p>
      <w:pPr>
        <w:pStyle w:val="BodyText"/>
        <w:rPr>
          <w:sz w:val="24"/>
        </w:rPr>
      </w:pPr>
    </w:p>
    <w:p>
      <w:pPr>
        <w:pStyle w:val="Heading1"/>
      </w:pPr>
      <w:r>
        <w:rPr>
          <w:u w:val="thick"/>
        </w:rPr>
        <w:t>Effective Date</w:t>
      </w:r>
    </w:p>
    <w:p>
      <w:pPr>
        <w:pStyle w:val="BodyText"/>
        <w:spacing w:line="276" w:lineRule="auto" w:before="59"/>
        <w:ind w:left="689" w:right="888"/>
      </w:pPr>
      <w:r>
        <w:rPr/>
        <w:t>Per D. 14-10-046 this Advice Letter is subject to Energy Division disposition and should be classified as Tier 2 (effective after staff approval) pursuant to General Order (GO) 96-B. SoCalREN respectfully requests that this Advice Letter be made effective on October 4, 2018, which is 30 calendar days after the date filed.</w:t>
      </w:r>
    </w:p>
    <w:p>
      <w:pPr>
        <w:pStyle w:val="Heading1"/>
        <w:spacing w:before="200"/>
      </w:pPr>
      <w:r>
        <w:rPr>
          <w:u w:val="thick"/>
        </w:rPr>
        <w:t>Notice</w:t>
      </w:r>
    </w:p>
    <w:p>
      <w:pPr>
        <w:pStyle w:val="BodyText"/>
        <w:spacing w:line="276" w:lineRule="auto" w:before="60"/>
        <w:ind w:left="689" w:right="790"/>
      </w:pPr>
      <w:r>
        <w:rPr/>
        <w:t>A copy of this Advice Letter is being sent to the Commission’s service lists for R.13-11-005 and A.17-01-013 (et al.). For changes to R.13-11-005 or A.17-01-013 (et al.) service lists, please contact the Commission’s Process Office at 415-703-2021 or by electronic mail at</w:t>
      </w:r>
      <w:hyperlink r:id="rId9">
        <w:r>
          <w:rPr/>
          <w:t> process_office@cpuc.ca.gov.</w:t>
        </w:r>
      </w:hyperlink>
    </w:p>
    <w:p>
      <w:pPr>
        <w:pStyle w:val="BodyText"/>
        <w:spacing w:before="2"/>
        <w:rPr>
          <w:sz w:val="9"/>
        </w:rPr>
      </w:pPr>
    </w:p>
    <w:p>
      <w:pPr>
        <w:pStyle w:val="BodyText"/>
        <w:spacing w:before="94"/>
        <w:ind w:left="5009"/>
      </w:pPr>
      <w:r>
        <w:rPr/>
        <w:t>Respectfully Submitted,</w:t>
      </w:r>
    </w:p>
    <w:p>
      <w:pPr>
        <w:pStyle w:val="BodyText"/>
        <w:rPr>
          <w:sz w:val="24"/>
        </w:rPr>
      </w:pPr>
    </w:p>
    <w:p>
      <w:pPr>
        <w:pStyle w:val="BodyText"/>
        <w:rPr>
          <w:sz w:val="24"/>
        </w:rPr>
      </w:pPr>
    </w:p>
    <w:p>
      <w:pPr>
        <w:pStyle w:val="BodyText"/>
        <w:tabs>
          <w:tab w:pos="7169" w:val="left" w:leader="none"/>
        </w:tabs>
        <w:spacing w:before="203"/>
        <w:ind w:left="5009" w:right="3548"/>
      </w:pPr>
      <w:r>
        <w:rPr>
          <w:u w:val="single"/>
        </w:rPr>
        <w:t>/s/</w:t>
        <w:tab/>
      </w:r>
      <w:r>
        <w:rPr/>
        <w:t> Minh</w:t>
      </w:r>
      <w:r>
        <w:rPr>
          <w:spacing w:val="1"/>
        </w:rPr>
        <w:t> </w:t>
      </w:r>
      <w:r>
        <w:rPr/>
        <w:t>Le</w:t>
      </w:r>
    </w:p>
    <w:p>
      <w:pPr>
        <w:pStyle w:val="BodyText"/>
        <w:spacing w:line="237" w:lineRule="auto" w:before="5"/>
        <w:ind w:left="5009" w:right="1349"/>
      </w:pPr>
      <w:r>
        <w:rPr/>
        <w:t>Energy and Environmental Services General Manager</w:t>
      </w:r>
    </w:p>
    <w:p>
      <w:pPr>
        <w:pStyle w:val="BodyText"/>
        <w:spacing w:before="1"/>
        <w:ind w:left="5009" w:right="2816"/>
      </w:pPr>
      <w:r>
        <w:rPr/>
        <w:t>County of Los Angeles Office 1100 North Eastern Avenue Los Angeles, CA 90063-3200 (323) 267-2006</w:t>
      </w:r>
    </w:p>
    <w:p>
      <w:pPr>
        <w:pStyle w:val="BodyText"/>
        <w:spacing w:before="1"/>
        <w:ind w:left="5009"/>
      </w:pPr>
      <w:hyperlink r:id="rId8">
        <w:r>
          <w:rPr/>
          <w:t>MSLe@isd.lacounty.gov</w:t>
        </w:r>
      </w:hyperlink>
    </w:p>
    <w:p>
      <w:pPr>
        <w:spacing w:after="0"/>
        <w:sectPr>
          <w:pgSz w:w="12240" w:h="15840"/>
          <w:pgMar w:header="736" w:footer="0" w:top="980" w:bottom="280" w:left="76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10"/>
        <w:ind w:left="1409" w:right="0" w:firstLine="0"/>
        <w:jc w:val="left"/>
        <w:rPr>
          <w:b/>
          <w:sz w:val="36"/>
        </w:rPr>
      </w:pPr>
      <w:r>
        <w:rPr>
          <w:b/>
          <w:sz w:val="36"/>
        </w:rPr>
        <w:t>ATTACHMENT A: SoCalREN 2019 ABAL Tables</w:t>
      </w:r>
    </w:p>
    <w:p>
      <w:pPr>
        <w:spacing w:after="0"/>
        <w:jc w:val="left"/>
        <w:rPr>
          <w:sz w:val="36"/>
        </w:rPr>
        <w:sectPr>
          <w:pgSz w:w="12240" w:h="15840"/>
          <w:pgMar w:header="736" w:footer="0" w:top="980" w:bottom="280" w:left="760" w:right="760"/>
        </w:sectPr>
      </w:pPr>
    </w:p>
    <w:p>
      <w:pPr>
        <w:spacing w:before="87"/>
        <w:ind w:left="5617" w:right="5555" w:firstLine="0"/>
        <w:jc w:val="center"/>
        <w:rPr>
          <w:rFonts w:ascii="Calibri"/>
          <w:sz w:val="21"/>
        </w:rPr>
      </w:pPr>
      <w:bookmarkStart w:name="FINAL_ABAL_SoCalREN_(Final Draft)_081320" w:id="2"/>
      <w:bookmarkEnd w:id="2"/>
      <w:r>
        <w:rPr/>
      </w:r>
      <w:r>
        <w:rPr>
          <w:rFonts w:ascii="Calibri"/>
          <w:w w:val="105"/>
          <w:sz w:val="21"/>
        </w:rPr>
        <w:t>1b. CCA-REN PY budget_savings</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1"/>
        </w:rPr>
      </w:pPr>
    </w:p>
    <w:p>
      <w:pPr>
        <w:spacing w:before="0"/>
        <w:ind w:left="8332" w:right="0" w:firstLine="0"/>
        <w:jc w:val="left"/>
        <w:rPr>
          <w:rFonts w:ascii="Calibri"/>
          <w:b/>
          <w:sz w:val="21"/>
        </w:rPr>
      </w:pPr>
      <w:r>
        <w:rPr>
          <w:rFonts w:ascii="Calibri"/>
          <w:b/>
          <w:w w:val="105"/>
          <w:sz w:val="21"/>
        </w:rPr>
        <w:t>SoCalREN FORECAST ENERGY SAVINGS (Net)</w:t>
      </w:r>
    </w:p>
    <w:p>
      <w:pPr>
        <w:spacing w:after="0"/>
        <w:jc w:val="left"/>
        <w:rPr>
          <w:rFonts w:ascii="Calibri"/>
          <w:sz w:val="21"/>
        </w:rPr>
        <w:sectPr>
          <w:headerReference w:type="default" r:id="rId10"/>
          <w:pgSz w:w="15840" w:h="12240" w:orient="landscape"/>
          <w:pgMar w:header="0" w:footer="0" w:top="340" w:bottom="280" w:left="860" w:right="920"/>
        </w:sectPr>
      </w:pPr>
    </w:p>
    <w:p>
      <w:pPr>
        <w:pStyle w:val="BodyText"/>
        <w:rPr>
          <w:rFonts w:ascii="Calibri"/>
          <w:b/>
          <w:sz w:val="24"/>
        </w:rPr>
      </w:pPr>
    </w:p>
    <w:p>
      <w:pPr>
        <w:tabs>
          <w:tab w:pos="5960" w:val="left" w:leader="none"/>
        </w:tabs>
        <w:spacing w:before="0"/>
        <w:ind w:left="2452" w:right="0" w:firstLine="0"/>
        <w:jc w:val="left"/>
        <w:rPr>
          <w:rFonts w:ascii="Calibri"/>
          <w:b/>
          <w:sz w:val="21"/>
        </w:rPr>
      </w:pPr>
      <w:r>
        <w:rPr>
          <w:rFonts w:ascii="Calibri"/>
          <w:b/>
          <w:w w:val="105"/>
          <w:sz w:val="21"/>
        </w:rPr>
        <w:t>Sector</w:t>
        <w:tab/>
        <w:t>Program</w:t>
      </w:r>
      <w:r>
        <w:rPr>
          <w:rFonts w:ascii="Calibri"/>
          <w:b/>
          <w:spacing w:val="-29"/>
          <w:w w:val="105"/>
          <w:sz w:val="21"/>
        </w:rPr>
        <w:t> </w:t>
      </w:r>
      <w:r>
        <w:rPr>
          <w:rFonts w:ascii="Calibri"/>
          <w:b/>
          <w:w w:val="105"/>
          <w:sz w:val="21"/>
        </w:rPr>
        <w:t>Year</w:t>
      </w:r>
      <w:r>
        <w:rPr>
          <w:rFonts w:ascii="Calibri"/>
          <w:b/>
          <w:spacing w:val="-29"/>
          <w:w w:val="105"/>
          <w:sz w:val="21"/>
        </w:rPr>
        <w:t> </w:t>
      </w:r>
      <w:r>
        <w:rPr>
          <w:rFonts w:ascii="Calibri"/>
          <w:b/>
          <w:w w:val="105"/>
          <w:sz w:val="21"/>
        </w:rPr>
        <w:t>Budget</w:t>
      </w:r>
    </w:p>
    <w:p>
      <w:pPr>
        <w:spacing w:line="256" w:lineRule="auto" w:before="18"/>
        <w:ind w:left="140" w:right="-16" w:firstLine="156"/>
        <w:jc w:val="left"/>
        <w:rPr>
          <w:rFonts w:ascii="Calibri"/>
          <w:sz w:val="21"/>
        </w:rPr>
      </w:pPr>
      <w:r>
        <w:rPr/>
        <w:br w:type="column"/>
      </w:r>
      <w:r>
        <w:rPr>
          <w:rFonts w:ascii="Calibri"/>
          <w:w w:val="105"/>
          <w:sz w:val="21"/>
        </w:rPr>
        <w:t>SoCalREN </w:t>
      </w:r>
      <w:r>
        <w:rPr>
          <w:rFonts w:ascii="Calibri"/>
          <w:spacing w:val="-3"/>
          <w:w w:val="105"/>
          <w:sz w:val="21"/>
        </w:rPr>
        <w:t>forecast</w:t>
      </w:r>
      <w:r>
        <w:rPr>
          <w:rFonts w:ascii="Calibri"/>
          <w:spacing w:val="-19"/>
          <w:w w:val="105"/>
          <w:sz w:val="21"/>
        </w:rPr>
        <w:t> </w:t>
      </w:r>
      <w:r>
        <w:rPr>
          <w:rFonts w:ascii="Calibri"/>
          <w:w w:val="105"/>
          <w:sz w:val="21"/>
        </w:rPr>
        <w:t>kWh</w:t>
      </w:r>
    </w:p>
    <w:p>
      <w:pPr>
        <w:spacing w:line="256" w:lineRule="auto" w:before="18"/>
        <w:ind w:left="316" w:right="-16" w:firstLine="98"/>
        <w:jc w:val="left"/>
        <w:rPr>
          <w:rFonts w:ascii="Calibri"/>
          <w:sz w:val="21"/>
        </w:rPr>
      </w:pPr>
      <w:r>
        <w:rPr/>
        <w:br w:type="column"/>
      </w:r>
      <w:r>
        <w:rPr>
          <w:rFonts w:ascii="Calibri"/>
          <w:w w:val="105"/>
          <w:sz w:val="21"/>
        </w:rPr>
        <w:t>SoCalREN </w:t>
      </w:r>
      <w:r>
        <w:rPr>
          <w:rFonts w:ascii="Calibri"/>
          <w:spacing w:val="-3"/>
          <w:w w:val="105"/>
          <w:sz w:val="21"/>
        </w:rPr>
        <w:t>forecast</w:t>
      </w:r>
      <w:r>
        <w:rPr>
          <w:rFonts w:ascii="Calibri"/>
          <w:spacing w:val="-20"/>
          <w:w w:val="105"/>
          <w:sz w:val="21"/>
        </w:rPr>
        <w:t> </w:t>
      </w:r>
      <w:r>
        <w:rPr>
          <w:rFonts w:ascii="Calibri"/>
          <w:w w:val="105"/>
          <w:sz w:val="21"/>
        </w:rPr>
        <w:t>kW</w:t>
      </w:r>
    </w:p>
    <w:p>
      <w:pPr>
        <w:spacing w:line="256" w:lineRule="auto" w:before="18"/>
        <w:ind w:left="532" w:right="1481" w:hanging="236"/>
        <w:jc w:val="left"/>
        <w:rPr>
          <w:rFonts w:ascii="Calibri"/>
          <w:sz w:val="21"/>
        </w:rPr>
      </w:pPr>
      <w:r>
        <w:rPr/>
        <w:br w:type="column"/>
      </w:r>
      <w:r>
        <w:rPr>
          <w:rFonts w:ascii="Calibri"/>
          <w:w w:val="105"/>
          <w:sz w:val="21"/>
        </w:rPr>
        <w:t>SoCalREN forecast therms (MM)</w:t>
      </w:r>
    </w:p>
    <w:p>
      <w:pPr>
        <w:spacing w:after="0" w:line="256" w:lineRule="auto"/>
        <w:jc w:val="left"/>
        <w:rPr>
          <w:rFonts w:ascii="Calibri"/>
          <w:sz w:val="21"/>
        </w:rPr>
        <w:sectPr>
          <w:type w:val="continuous"/>
          <w:pgSz w:w="15840" w:h="12240" w:orient="landscape"/>
          <w:pgMar w:top="700" w:bottom="280" w:left="860" w:right="920"/>
          <w:cols w:num="4" w:equalWidth="0">
            <w:col w:w="7859" w:space="40"/>
            <w:col w:w="1293" w:space="39"/>
            <w:col w:w="1352" w:space="39"/>
            <w:col w:w="3438"/>
          </w:cols>
        </w:sectPr>
      </w:pPr>
    </w:p>
    <w:tbl>
      <w:tblPr>
        <w:tblW w:w="0" w:type="auto"/>
        <w:jc w:val="left"/>
        <w:tblInd w:w="11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5366"/>
        <w:gridCol w:w="2405"/>
        <w:gridCol w:w="1430"/>
        <w:gridCol w:w="1469"/>
        <w:gridCol w:w="1802"/>
      </w:tblGrid>
      <w:tr>
        <w:trPr>
          <w:trHeight w:val="2723" w:hRule="atLeast"/>
        </w:trPr>
        <w:tc>
          <w:tcPr>
            <w:tcW w:w="5366" w:type="dxa"/>
            <w:tcBorders>
              <w:left w:val="nil"/>
              <w:right w:val="nil"/>
            </w:tcBorders>
          </w:tcPr>
          <w:p>
            <w:pPr>
              <w:pStyle w:val="TableParagraph"/>
              <w:spacing w:line="237" w:lineRule="exact"/>
              <w:ind w:left="88"/>
              <w:jc w:val="left"/>
              <w:rPr>
                <w:sz w:val="21"/>
              </w:rPr>
            </w:pPr>
            <w:r>
              <w:rPr>
                <w:w w:val="105"/>
                <w:sz w:val="21"/>
              </w:rPr>
              <w:t>Residential</w:t>
            </w:r>
          </w:p>
          <w:p>
            <w:pPr>
              <w:pStyle w:val="TableParagraph"/>
              <w:spacing w:line="256" w:lineRule="auto" w:before="18"/>
              <w:ind w:left="88" w:right="3937"/>
              <w:jc w:val="left"/>
              <w:rPr>
                <w:sz w:val="21"/>
              </w:rPr>
            </w:pPr>
            <w:r>
              <w:rPr>
                <w:w w:val="105"/>
                <w:sz w:val="21"/>
              </w:rPr>
              <w:t>Commercial Industrial Agriculture Emerging Tech Public</w:t>
            </w:r>
          </w:p>
          <w:p>
            <w:pPr>
              <w:pStyle w:val="TableParagraph"/>
              <w:spacing w:line="256" w:lineRule="auto"/>
              <w:ind w:left="88" w:right="3378"/>
              <w:jc w:val="left"/>
              <w:rPr>
                <w:sz w:val="21"/>
              </w:rPr>
            </w:pPr>
            <w:r>
              <w:rPr>
                <w:w w:val="105"/>
                <w:sz w:val="21"/>
              </w:rPr>
              <w:t>Codes and Standards WE&amp;T</w:t>
            </w:r>
          </w:p>
          <w:p>
            <w:pPr>
              <w:pStyle w:val="TableParagraph"/>
              <w:spacing w:line="240" w:lineRule="auto" w:before="1"/>
              <w:ind w:left="88"/>
              <w:jc w:val="left"/>
              <w:rPr>
                <w:sz w:val="21"/>
              </w:rPr>
            </w:pPr>
            <w:r>
              <w:rPr>
                <w:w w:val="105"/>
                <w:sz w:val="21"/>
              </w:rPr>
              <w:t>Finance</w:t>
            </w:r>
          </w:p>
          <w:p>
            <w:pPr>
              <w:pStyle w:val="TableParagraph"/>
              <w:spacing w:line="253" w:lineRule="exact" w:before="18"/>
              <w:ind w:left="88"/>
              <w:jc w:val="left"/>
              <w:rPr>
                <w:sz w:val="21"/>
              </w:rPr>
            </w:pPr>
            <w:r>
              <w:rPr>
                <w:w w:val="105"/>
                <w:sz w:val="21"/>
              </w:rPr>
              <w:t>OBF Loan Pool</w:t>
            </w:r>
          </w:p>
        </w:tc>
        <w:tc>
          <w:tcPr>
            <w:tcW w:w="2405" w:type="dxa"/>
            <w:tcBorders>
              <w:left w:val="nil"/>
            </w:tcBorders>
          </w:tcPr>
          <w:p>
            <w:pPr>
              <w:pStyle w:val="TableParagraph"/>
              <w:spacing w:line="237" w:lineRule="exact"/>
              <w:ind w:right="46"/>
              <w:rPr>
                <w:sz w:val="21"/>
              </w:rPr>
            </w:pPr>
            <w:r>
              <w:rPr>
                <w:sz w:val="21"/>
              </w:rPr>
              <w:t>$6,721,000</w:t>
            </w:r>
          </w:p>
          <w:p>
            <w:pPr>
              <w:pStyle w:val="TableParagraph"/>
              <w:spacing w:line="240" w:lineRule="auto" w:before="18"/>
              <w:ind w:right="45"/>
              <w:rPr>
                <w:sz w:val="21"/>
              </w:rPr>
            </w:pPr>
            <w:r>
              <w:rPr>
                <w:sz w:val="21"/>
              </w:rPr>
              <w:t>$0</w:t>
            </w:r>
          </w:p>
          <w:p>
            <w:pPr>
              <w:pStyle w:val="TableParagraph"/>
              <w:spacing w:line="240" w:lineRule="auto" w:before="18"/>
              <w:ind w:right="45"/>
              <w:rPr>
                <w:sz w:val="21"/>
              </w:rPr>
            </w:pPr>
            <w:r>
              <w:rPr>
                <w:sz w:val="21"/>
              </w:rPr>
              <w:t>$0</w:t>
            </w:r>
          </w:p>
          <w:p>
            <w:pPr>
              <w:pStyle w:val="TableParagraph"/>
              <w:spacing w:line="240" w:lineRule="auto" w:before="18"/>
              <w:ind w:right="45"/>
              <w:rPr>
                <w:sz w:val="21"/>
              </w:rPr>
            </w:pPr>
            <w:r>
              <w:rPr>
                <w:sz w:val="21"/>
              </w:rPr>
              <w:t>$0</w:t>
            </w:r>
          </w:p>
          <w:p>
            <w:pPr>
              <w:pStyle w:val="TableParagraph"/>
              <w:spacing w:line="240" w:lineRule="auto" w:before="18"/>
              <w:ind w:right="45"/>
              <w:rPr>
                <w:sz w:val="21"/>
              </w:rPr>
            </w:pPr>
            <w:r>
              <w:rPr>
                <w:sz w:val="21"/>
              </w:rPr>
              <w:t>$0</w:t>
            </w:r>
          </w:p>
          <w:p>
            <w:pPr>
              <w:pStyle w:val="TableParagraph"/>
              <w:spacing w:line="240" w:lineRule="auto" w:before="18"/>
              <w:ind w:right="46"/>
              <w:rPr>
                <w:sz w:val="21"/>
              </w:rPr>
            </w:pPr>
            <w:r>
              <w:rPr>
                <w:sz w:val="21"/>
              </w:rPr>
              <w:t>$11,500,000</w:t>
            </w:r>
          </w:p>
          <w:p>
            <w:pPr>
              <w:pStyle w:val="TableParagraph"/>
              <w:spacing w:line="240" w:lineRule="auto" w:before="18"/>
              <w:ind w:right="45"/>
              <w:rPr>
                <w:sz w:val="21"/>
              </w:rPr>
            </w:pPr>
            <w:r>
              <w:rPr>
                <w:sz w:val="21"/>
              </w:rPr>
              <w:t>$0</w:t>
            </w:r>
          </w:p>
          <w:p>
            <w:pPr>
              <w:pStyle w:val="TableParagraph"/>
              <w:spacing w:line="240" w:lineRule="auto" w:before="18"/>
              <w:ind w:right="46"/>
              <w:rPr>
                <w:sz w:val="21"/>
              </w:rPr>
            </w:pPr>
            <w:r>
              <w:rPr>
                <w:sz w:val="21"/>
              </w:rPr>
              <w:t>$284,000</w:t>
            </w:r>
          </w:p>
          <w:p>
            <w:pPr>
              <w:pStyle w:val="TableParagraph"/>
              <w:spacing w:line="240" w:lineRule="auto" w:before="18"/>
              <w:ind w:right="46"/>
              <w:rPr>
                <w:sz w:val="21"/>
              </w:rPr>
            </w:pPr>
            <w:r>
              <w:rPr>
                <w:sz w:val="21"/>
              </w:rPr>
              <w:t>$2,237,000</w:t>
            </w:r>
          </w:p>
          <w:p>
            <w:pPr>
              <w:pStyle w:val="TableParagraph"/>
              <w:spacing w:line="253" w:lineRule="exact" w:before="18"/>
              <w:ind w:right="45"/>
              <w:rPr>
                <w:sz w:val="21"/>
              </w:rPr>
            </w:pPr>
            <w:r>
              <w:rPr>
                <w:sz w:val="21"/>
              </w:rPr>
              <w:t>$0</w:t>
            </w:r>
          </w:p>
        </w:tc>
        <w:tc>
          <w:tcPr>
            <w:tcW w:w="1430" w:type="dxa"/>
          </w:tcPr>
          <w:p>
            <w:pPr>
              <w:pStyle w:val="TableParagraph"/>
              <w:spacing w:line="237" w:lineRule="exact"/>
              <w:ind w:left="382"/>
              <w:jc w:val="left"/>
              <w:rPr>
                <w:sz w:val="21"/>
              </w:rPr>
            </w:pPr>
            <w:r>
              <w:rPr>
                <w:w w:val="105"/>
                <w:sz w:val="21"/>
              </w:rPr>
              <w:t>4,367,008</w:t>
            </w:r>
          </w:p>
          <w:p>
            <w:pPr>
              <w:pStyle w:val="TableParagraph"/>
              <w:spacing w:line="256" w:lineRule="auto" w:before="18"/>
              <w:ind w:left="1107" w:right="35"/>
              <w:jc w:val="both"/>
              <w:rPr>
                <w:sz w:val="21"/>
              </w:rPr>
            </w:pPr>
            <w:r>
              <w:rPr>
                <w:sz w:val="21"/>
              </w:rPr>
              <w:t>na na na na</w:t>
            </w:r>
          </w:p>
          <w:p>
            <w:pPr>
              <w:pStyle w:val="TableParagraph"/>
              <w:spacing w:line="240" w:lineRule="auto"/>
              <w:ind w:right="273"/>
              <w:rPr>
                <w:sz w:val="21"/>
              </w:rPr>
            </w:pPr>
            <w:r>
              <w:rPr>
                <w:w w:val="102"/>
                <w:sz w:val="21"/>
              </w:rPr>
              <w:t>-</w:t>
            </w:r>
          </w:p>
          <w:p>
            <w:pPr>
              <w:pStyle w:val="TableParagraph"/>
              <w:spacing w:line="270" w:lineRule="atLeast" w:before="5"/>
              <w:ind w:left="1107" w:right="35"/>
              <w:jc w:val="both"/>
              <w:rPr>
                <w:sz w:val="21"/>
              </w:rPr>
            </w:pPr>
            <w:r>
              <w:rPr>
                <w:sz w:val="21"/>
              </w:rPr>
              <w:t>na na na na</w:t>
            </w:r>
          </w:p>
        </w:tc>
        <w:tc>
          <w:tcPr>
            <w:tcW w:w="1469" w:type="dxa"/>
          </w:tcPr>
          <w:p>
            <w:pPr>
              <w:pStyle w:val="TableParagraph"/>
              <w:spacing w:line="237" w:lineRule="exact"/>
              <w:ind w:left="1009"/>
              <w:jc w:val="left"/>
              <w:rPr>
                <w:sz w:val="21"/>
              </w:rPr>
            </w:pPr>
            <w:r>
              <w:rPr>
                <w:w w:val="105"/>
                <w:sz w:val="21"/>
              </w:rPr>
              <w:t>586</w:t>
            </w:r>
          </w:p>
          <w:p>
            <w:pPr>
              <w:pStyle w:val="TableParagraph"/>
              <w:spacing w:line="256" w:lineRule="auto" w:before="18"/>
              <w:ind w:left="1147" w:right="34"/>
              <w:jc w:val="both"/>
              <w:rPr>
                <w:sz w:val="21"/>
              </w:rPr>
            </w:pPr>
            <w:r>
              <w:rPr>
                <w:sz w:val="21"/>
              </w:rPr>
              <w:t>na na na na</w:t>
            </w:r>
          </w:p>
          <w:p>
            <w:pPr>
              <w:pStyle w:val="TableParagraph"/>
              <w:spacing w:line="240" w:lineRule="auto"/>
              <w:ind w:right="272"/>
              <w:rPr>
                <w:sz w:val="21"/>
              </w:rPr>
            </w:pPr>
            <w:r>
              <w:rPr>
                <w:w w:val="102"/>
                <w:sz w:val="21"/>
              </w:rPr>
              <w:t>-</w:t>
            </w:r>
          </w:p>
          <w:p>
            <w:pPr>
              <w:pStyle w:val="TableParagraph"/>
              <w:spacing w:line="270" w:lineRule="atLeast" w:before="5"/>
              <w:ind w:left="1147" w:right="34"/>
              <w:jc w:val="both"/>
              <w:rPr>
                <w:sz w:val="21"/>
              </w:rPr>
            </w:pPr>
            <w:r>
              <w:rPr>
                <w:sz w:val="21"/>
              </w:rPr>
              <w:t>na na na na</w:t>
            </w:r>
          </w:p>
        </w:tc>
        <w:tc>
          <w:tcPr>
            <w:tcW w:w="1802" w:type="dxa"/>
          </w:tcPr>
          <w:p>
            <w:pPr>
              <w:pStyle w:val="TableParagraph"/>
              <w:spacing w:line="237" w:lineRule="exact"/>
              <w:ind w:left="1167"/>
              <w:jc w:val="left"/>
              <w:rPr>
                <w:sz w:val="21"/>
              </w:rPr>
            </w:pPr>
            <w:r>
              <w:rPr>
                <w:w w:val="105"/>
                <w:sz w:val="21"/>
              </w:rPr>
              <w:t>0.123</w:t>
            </w:r>
          </w:p>
          <w:p>
            <w:pPr>
              <w:pStyle w:val="TableParagraph"/>
              <w:spacing w:line="256" w:lineRule="auto" w:before="18"/>
              <w:ind w:left="1481" w:right="33"/>
              <w:jc w:val="both"/>
              <w:rPr>
                <w:sz w:val="21"/>
              </w:rPr>
            </w:pPr>
            <w:r>
              <w:rPr>
                <w:sz w:val="21"/>
              </w:rPr>
              <w:t>na na na na</w:t>
            </w:r>
          </w:p>
          <w:p>
            <w:pPr>
              <w:pStyle w:val="TableParagraph"/>
              <w:spacing w:line="240" w:lineRule="auto"/>
              <w:ind w:right="270"/>
              <w:rPr>
                <w:sz w:val="21"/>
              </w:rPr>
            </w:pPr>
            <w:r>
              <w:rPr>
                <w:w w:val="102"/>
                <w:sz w:val="21"/>
              </w:rPr>
              <w:t>-</w:t>
            </w:r>
          </w:p>
          <w:p>
            <w:pPr>
              <w:pStyle w:val="TableParagraph"/>
              <w:spacing w:line="270" w:lineRule="atLeast" w:before="5"/>
              <w:ind w:left="1481" w:right="33"/>
              <w:jc w:val="both"/>
              <w:rPr>
                <w:sz w:val="21"/>
              </w:rPr>
            </w:pPr>
            <w:r>
              <w:rPr>
                <w:sz w:val="21"/>
              </w:rPr>
              <w:t>na na na na</w:t>
            </w:r>
          </w:p>
        </w:tc>
      </w:tr>
      <w:tr>
        <w:trPr>
          <w:trHeight w:val="233" w:hRule="atLeast"/>
        </w:trPr>
        <w:tc>
          <w:tcPr>
            <w:tcW w:w="5366" w:type="dxa"/>
            <w:tcBorders>
              <w:left w:val="nil"/>
              <w:right w:val="nil"/>
            </w:tcBorders>
          </w:tcPr>
          <w:p>
            <w:pPr>
              <w:pStyle w:val="TableParagraph"/>
              <w:spacing w:line="214" w:lineRule="exact"/>
              <w:ind w:left="88"/>
              <w:jc w:val="left"/>
              <w:rPr>
                <w:b/>
                <w:sz w:val="21"/>
              </w:rPr>
            </w:pPr>
            <w:r>
              <w:rPr>
                <w:b/>
                <w:w w:val="105"/>
                <w:sz w:val="21"/>
              </w:rPr>
              <w:t>Subtotal</w:t>
            </w:r>
          </w:p>
        </w:tc>
        <w:tc>
          <w:tcPr>
            <w:tcW w:w="2405" w:type="dxa"/>
            <w:tcBorders>
              <w:left w:val="nil"/>
            </w:tcBorders>
          </w:tcPr>
          <w:p>
            <w:pPr>
              <w:pStyle w:val="TableParagraph"/>
              <w:spacing w:line="214" w:lineRule="exact"/>
              <w:ind w:right="46"/>
              <w:rPr>
                <w:sz w:val="21"/>
              </w:rPr>
            </w:pPr>
            <w:r>
              <w:rPr>
                <w:sz w:val="21"/>
              </w:rPr>
              <w:t>$20,742,000</w:t>
            </w:r>
          </w:p>
        </w:tc>
        <w:tc>
          <w:tcPr>
            <w:tcW w:w="1430" w:type="dxa"/>
            <w:tcBorders>
              <w:right w:val="nil"/>
            </w:tcBorders>
          </w:tcPr>
          <w:p>
            <w:pPr>
              <w:pStyle w:val="TableParagraph"/>
              <w:spacing w:line="214" w:lineRule="exact"/>
              <w:ind w:left="382"/>
              <w:jc w:val="left"/>
              <w:rPr>
                <w:sz w:val="21"/>
              </w:rPr>
            </w:pPr>
            <w:r>
              <w:rPr>
                <w:w w:val="105"/>
                <w:sz w:val="21"/>
              </w:rPr>
              <w:t>4,367,008</w:t>
            </w:r>
          </w:p>
        </w:tc>
        <w:tc>
          <w:tcPr>
            <w:tcW w:w="1469" w:type="dxa"/>
            <w:tcBorders>
              <w:left w:val="nil"/>
              <w:right w:val="nil"/>
            </w:tcBorders>
          </w:tcPr>
          <w:p>
            <w:pPr>
              <w:pStyle w:val="TableParagraph"/>
              <w:spacing w:line="214" w:lineRule="exact"/>
              <w:ind w:right="74"/>
              <w:rPr>
                <w:sz w:val="21"/>
              </w:rPr>
            </w:pPr>
            <w:r>
              <w:rPr>
                <w:sz w:val="21"/>
              </w:rPr>
              <w:t>586</w:t>
            </w:r>
          </w:p>
        </w:tc>
        <w:tc>
          <w:tcPr>
            <w:tcW w:w="1802" w:type="dxa"/>
            <w:tcBorders>
              <w:left w:val="nil"/>
            </w:tcBorders>
          </w:tcPr>
          <w:p>
            <w:pPr>
              <w:pStyle w:val="TableParagraph"/>
              <w:spacing w:line="214" w:lineRule="exact"/>
              <w:ind w:right="42"/>
              <w:rPr>
                <w:sz w:val="21"/>
              </w:rPr>
            </w:pPr>
            <w:r>
              <w:rPr>
                <w:sz w:val="21"/>
              </w:rPr>
              <w:t>0.123</w:t>
            </w:r>
          </w:p>
        </w:tc>
      </w:tr>
      <w:tr>
        <w:trPr>
          <w:trHeight w:val="234" w:hRule="atLeast"/>
        </w:trPr>
        <w:tc>
          <w:tcPr>
            <w:tcW w:w="5366" w:type="dxa"/>
            <w:tcBorders>
              <w:left w:val="nil"/>
              <w:right w:val="nil"/>
            </w:tcBorders>
          </w:tcPr>
          <w:p>
            <w:pPr>
              <w:pStyle w:val="TableParagraph"/>
              <w:spacing w:line="214" w:lineRule="exact"/>
              <w:ind w:left="88"/>
              <w:jc w:val="left"/>
              <w:rPr>
                <w:b/>
                <w:sz w:val="21"/>
              </w:rPr>
            </w:pPr>
            <w:r>
              <w:rPr>
                <w:b/>
                <w:w w:val="105"/>
                <w:sz w:val="21"/>
              </w:rPr>
              <w:t>PA EM&amp;V</w:t>
            </w:r>
          </w:p>
        </w:tc>
        <w:tc>
          <w:tcPr>
            <w:tcW w:w="2405" w:type="dxa"/>
            <w:tcBorders>
              <w:left w:val="nil"/>
            </w:tcBorders>
          </w:tcPr>
          <w:p>
            <w:pPr>
              <w:pStyle w:val="TableParagraph"/>
              <w:spacing w:line="214" w:lineRule="exact"/>
              <w:ind w:right="-15"/>
              <w:rPr>
                <w:sz w:val="21"/>
              </w:rPr>
            </w:pPr>
            <w:r>
              <w:rPr>
                <w:sz w:val="21"/>
              </w:rPr>
              <w:t>$327,606</w:t>
            </w:r>
          </w:p>
        </w:tc>
        <w:tc>
          <w:tcPr>
            <w:tcW w:w="4701" w:type="dxa"/>
            <w:gridSpan w:val="3"/>
            <w:vMerge w:val="restart"/>
            <w:tcBorders>
              <w:bottom w:val="nil"/>
              <w:right w:val="nil"/>
            </w:tcBorders>
          </w:tcPr>
          <w:p>
            <w:pPr>
              <w:pStyle w:val="TableParagraph"/>
              <w:spacing w:line="240" w:lineRule="auto"/>
              <w:jc w:val="left"/>
              <w:rPr>
                <w:rFonts w:ascii="Times New Roman"/>
                <w:sz w:val="20"/>
              </w:rPr>
            </w:pPr>
          </w:p>
        </w:tc>
      </w:tr>
      <w:tr>
        <w:trPr>
          <w:trHeight w:val="273" w:hRule="atLeast"/>
        </w:trPr>
        <w:tc>
          <w:tcPr>
            <w:tcW w:w="5366" w:type="dxa"/>
            <w:tcBorders>
              <w:left w:val="nil"/>
              <w:right w:val="nil"/>
            </w:tcBorders>
          </w:tcPr>
          <w:p>
            <w:pPr>
              <w:pStyle w:val="TableParagraph"/>
              <w:spacing w:line="237" w:lineRule="exact"/>
              <w:ind w:left="88"/>
              <w:jc w:val="left"/>
              <w:rPr>
                <w:b/>
                <w:sz w:val="21"/>
              </w:rPr>
            </w:pPr>
            <w:r>
              <w:rPr>
                <w:b/>
                <w:w w:val="105"/>
                <w:sz w:val="21"/>
              </w:rPr>
              <w:t>Total SoCalREN PY Spending Budget</w:t>
            </w:r>
            <w:r>
              <w:rPr>
                <w:b/>
                <w:w w:val="105"/>
                <w:sz w:val="21"/>
                <w:vertAlign w:val="superscript"/>
              </w:rPr>
              <w:t>1</w:t>
            </w:r>
          </w:p>
        </w:tc>
        <w:tc>
          <w:tcPr>
            <w:tcW w:w="2405" w:type="dxa"/>
            <w:tcBorders>
              <w:left w:val="nil"/>
            </w:tcBorders>
          </w:tcPr>
          <w:p>
            <w:pPr>
              <w:pStyle w:val="TableParagraph"/>
              <w:spacing w:line="253" w:lineRule="exact"/>
              <w:ind w:right="-15"/>
              <w:rPr>
                <w:sz w:val="21"/>
              </w:rPr>
            </w:pPr>
            <w:r>
              <w:rPr>
                <w:sz w:val="21"/>
              </w:rPr>
              <w:t>$21,069,606</w:t>
            </w:r>
          </w:p>
        </w:tc>
        <w:tc>
          <w:tcPr>
            <w:tcW w:w="4701" w:type="dxa"/>
            <w:gridSpan w:val="3"/>
            <w:vMerge/>
            <w:tcBorders>
              <w:top w:val="nil"/>
              <w:bottom w:val="nil"/>
              <w:right w:val="nil"/>
            </w:tcBorders>
          </w:tcPr>
          <w:p>
            <w:pPr>
              <w:rPr>
                <w:sz w:val="2"/>
                <w:szCs w:val="2"/>
              </w:rPr>
            </w:pPr>
          </w:p>
        </w:tc>
      </w:tr>
      <w:tr>
        <w:trPr>
          <w:trHeight w:val="273" w:hRule="atLeast"/>
        </w:trPr>
        <w:tc>
          <w:tcPr>
            <w:tcW w:w="5366" w:type="dxa"/>
            <w:tcBorders>
              <w:left w:val="nil"/>
              <w:right w:val="nil"/>
            </w:tcBorders>
          </w:tcPr>
          <w:p>
            <w:pPr>
              <w:pStyle w:val="TableParagraph"/>
              <w:spacing w:line="237" w:lineRule="exact"/>
              <w:ind w:left="88"/>
              <w:jc w:val="left"/>
              <w:rPr>
                <w:b/>
                <w:sz w:val="21"/>
              </w:rPr>
            </w:pPr>
            <w:r>
              <w:rPr>
                <w:b/>
                <w:w w:val="105"/>
                <w:sz w:val="21"/>
              </w:rPr>
              <w:t>Uncommitted and Unspent Carryover balance</w:t>
            </w:r>
            <w:r>
              <w:rPr>
                <w:b/>
                <w:w w:val="105"/>
                <w:sz w:val="21"/>
                <w:vertAlign w:val="superscript"/>
              </w:rPr>
              <w:t>2</w:t>
            </w:r>
          </w:p>
        </w:tc>
        <w:tc>
          <w:tcPr>
            <w:tcW w:w="2405" w:type="dxa"/>
            <w:tcBorders>
              <w:left w:val="nil"/>
            </w:tcBorders>
          </w:tcPr>
          <w:p>
            <w:pPr>
              <w:pStyle w:val="TableParagraph"/>
              <w:spacing w:line="253" w:lineRule="exact"/>
              <w:ind w:right="-15"/>
              <w:rPr>
                <w:sz w:val="21"/>
              </w:rPr>
            </w:pPr>
            <w:r>
              <w:rPr>
                <w:sz w:val="21"/>
              </w:rPr>
              <w:t>$4,200,000</w:t>
            </w:r>
          </w:p>
        </w:tc>
        <w:tc>
          <w:tcPr>
            <w:tcW w:w="4701" w:type="dxa"/>
            <w:gridSpan w:val="3"/>
            <w:vMerge/>
            <w:tcBorders>
              <w:top w:val="nil"/>
              <w:bottom w:val="nil"/>
              <w:right w:val="nil"/>
            </w:tcBorders>
          </w:tcPr>
          <w:p>
            <w:pPr>
              <w:rPr>
                <w:sz w:val="2"/>
                <w:szCs w:val="2"/>
              </w:rPr>
            </w:pPr>
          </w:p>
        </w:tc>
      </w:tr>
      <w:tr>
        <w:trPr>
          <w:trHeight w:val="273" w:hRule="atLeast"/>
        </w:trPr>
        <w:tc>
          <w:tcPr>
            <w:tcW w:w="5366" w:type="dxa"/>
            <w:tcBorders>
              <w:left w:val="nil"/>
              <w:right w:val="nil"/>
            </w:tcBorders>
          </w:tcPr>
          <w:p>
            <w:pPr>
              <w:pStyle w:val="TableParagraph"/>
              <w:spacing w:line="237" w:lineRule="exact"/>
              <w:ind w:left="88"/>
              <w:jc w:val="left"/>
              <w:rPr>
                <w:b/>
                <w:sz w:val="21"/>
              </w:rPr>
            </w:pPr>
            <w:r>
              <w:rPr>
                <w:b/>
                <w:w w:val="105"/>
                <w:sz w:val="21"/>
              </w:rPr>
              <w:t>Total SoCalREN PY Budget Recovery Request</w:t>
            </w:r>
            <w:r>
              <w:rPr>
                <w:b/>
                <w:w w:val="105"/>
                <w:sz w:val="21"/>
                <w:vertAlign w:val="superscript"/>
              </w:rPr>
              <w:t>3</w:t>
            </w:r>
          </w:p>
        </w:tc>
        <w:tc>
          <w:tcPr>
            <w:tcW w:w="2405" w:type="dxa"/>
            <w:tcBorders>
              <w:left w:val="nil"/>
            </w:tcBorders>
          </w:tcPr>
          <w:p>
            <w:pPr>
              <w:pStyle w:val="TableParagraph"/>
              <w:spacing w:line="253" w:lineRule="exact"/>
              <w:ind w:right="-15"/>
              <w:rPr>
                <w:sz w:val="21"/>
              </w:rPr>
            </w:pPr>
            <w:r>
              <w:rPr>
                <w:sz w:val="21"/>
              </w:rPr>
              <w:t>$16,869,606</w:t>
            </w:r>
          </w:p>
        </w:tc>
        <w:tc>
          <w:tcPr>
            <w:tcW w:w="4701" w:type="dxa"/>
            <w:gridSpan w:val="3"/>
            <w:vMerge/>
            <w:tcBorders>
              <w:top w:val="nil"/>
              <w:bottom w:val="nil"/>
              <w:right w:val="nil"/>
            </w:tcBorders>
          </w:tcPr>
          <w:p>
            <w:pPr>
              <w:rPr>
                <w:sz w:val="2"/>
                <w:szCs w:val="2"/>
              </w:rPr>
            </w:pPr>
          </w:p>
        </w:tc>
      </w:tr>
      <w:tr>
        <w:trPr>
          <w:trHeight w:val="234" w:hRule="atLeast"/>
        </w:trPr>
        <w:tc>
          <w:tcPr>
            <w:tcW w:w="5366" w:type="dxa"/>
            <w:tcBorders>
              <w:left w:val="nil"/>
              <w:right w:val="nil"/>
            </w:tcBorders>
          </w:tcPr>
          <w:p>
            <w:pPr>
              <w:pStyle w:val="TableParagraph"/>
              <w:spacing w:line="214" w:lineRule="exact"/>
              <w:ind w:left="88"/>
              <w:jc w:val="left"/>
              <w:rPr>
                <w:b/>
                <w:sz w:val="21"/>
              </w:rPr>
            </w:pPr>
            <w:r>
              <w:rPr>
                <w:b/>
                <w:w w:val="105"/>
                <w:sz w:val="21"/>
              </w:rPr>
              <w:t>Authorized PY Budget Cap (D.18-05-041)</w:t>
            </w:r>
          </w:p>
        </w:tc>
        <w:tc>
          <w:tcPr>
            <w:tcW w:w="2405" w:type="dxa"/>
            <w:tcBorders>
              <w:left w:val="nil"/>
            </w:tcBorders>
          </w:tcPr>
          <w:p>
            <w:pPr>
              <w:pStyle w:val="TableParagraph"/>
              <w:spacing w:line="214" w:lineRule="exact"/>
              <w:ind w:right="-15"/>
              <w:rPr>
                <w:sz w:val="21"/>
              </w:rPr>
            </w:pPr>
            <w:r>
              <w:rPr>
                <w:sz w:val="21"/>
              </w:rPr>
              <w:t>$20,740,920</w:t>
            </w:r>
          </w:p>
        </w:tc>
        <w:tc>
          <w:tcPr>
            <w:tcW w:w="4701" w:type="dxa"/>
            <w:gridSpan w:val="3"/>
            <w:vMerge/>
            <w:tcBorders>
              <w:top w:val="nil"/>
              <w:bottom w:val="nil"/>
              <w:right w:val="nil"/>
            </w:tcBorders>
          </w:tcPr>
          <w:p>
            <w:pPr>
              <w:rPr>
                <w:sz w:val="2"/>
                <w:szCs w:val="2"/>
              </w:rPr>
            </w:pPr>
          </w:p>
        </w:tc>
      </w:tr>
    </w:tbl>
    <w:p>
      <w:pPr>
        <w:pStyle w:val="BodyText"/>
        <w:spacing w:before="9"/>
        <w:rPr>
          <w:rFonts w:ascii="Calibri"/>
          <w:sz w:val="14"/>
        </w:rPr>
      </w:pPr>
      <w:r>
        <w:rPr/>
        <w:pict>
          <v:group style="position:absolute;margin-left:49.98pt;margin-top:11.020527pt;width:390.05pt;height:32.35pt;mso-position-horizontal-relative:page;mso-position-vertical-relative:paragraph;z-index:1192;mso-wrap-distance-left:0;mso-wrap-distance-right:0" coordorigin="1000,220" coordsize="7801,647">
            <v:line style="position:absolute" from="8771,279" to="8771,867" stroked="true" strokeweight="2.94pt" strokecolor="#000000">
              <v:stroke dashstyle="solid"/>
            </v:line>
            <v:line style="position:absolute" from="1000,250" to="8800,250" stroked="true" strokeweight="2.94pt" strokecolor="#000000">
              <v:stroke dashstyle="solid"/>
            </v:line>
            <v:line style="position:absolute" from="1000,544" to="8800,544" stroked="true" strokeweight="2.94pt" strokecolor="#000000">
              <v:stroke dashstyle="solid"/>
            </v:line>
            <v:line style="position:absolute" from="1000,838" to="8800,838" stroked="true" strokeweight="2.94pt" strokecolor="#000000">
              <v:stroke dashstyle="solid"/>
            </v:line>
            <v:shape style="position:absolute;left:1058;top:250;width:1467;height:558" type="#_x0000_t202" filled="false" stroked="false">
              <v:textbox inset="0,0,0,0">
                <w:txbxContent>
                  <w:p>
                    <w:pPr>
                      <w:spacing w:before="5"/>
                      <w:ind w:left="0" w:right="0" w:firstLine="0"/>
                      <w:jc w:val="left"/>
                      <w:rPr>
                        <w:rFonts w:ascii="Calibri"/>
                        <w:b/>
                        <w:sz w:val="21"/>
                      </w:rPr>
                    </w:pPr>
                    <w:r>
                      <w:rPr>
                        <w:rFonts w:ascii="Calibri"/>
                        <w:b/>
                        <w:w w:val="105"/>
                        <w:sz w:val="21"/>
                      </w:rPr>
                      <w:t>Forecast PY TRC</w:t>
                    </w:r>
                  </w:p>
                  <w:p>
                    <w:pPr>
                      <w:spacing w:before="38"/>
                      <w:ind w:left="0" w:right="0" w:firstLine="0"/>
                      <w:jc w:val="left"/>
                      <w:rPr>
                        <w:rFonts w:ascii="Calibri"/>
                        <w:b/>
                        <w:sz w:val="21"/>
                      </w:rPr>
                    </w:pPr>
                    <w:r>
                      <w:rPr>
                        <w:rFonts w:ascii="Calibri"/>
                        <w:b/>
                        <w:w w:val="105"/>
                        <w:sz w:val="21"/>
                      </w:rPr>
                      <w:t>Forecast PY</w:t>
                    </w:r>
                    <w:r>
                      <w:rPr>
                        <w:rFonts w:ascii="Calibri"/>
                        <w:b/>
                        <w:spacing w:val="-34"/>
                        <w:w w:val="105"/>
                        <w:sz w:val="21"/>
                      </w:rPr>
                      <w:t> </w:t>
                    </w:r>
                    <w:r>
                      <w:rPr>
                        <w:rFonts w:ascii="Calibri"/>
                        <w:b/>
                        <w:w w:val="105"/>
                        <w:sz w:val="21"/>
                      </w:rPr>
                      <w:t>PAC</w:t>
                    </w:r>
                  </w:p>
                </w:txbxContent>
              </v:textbox>
              <w10:wrap type="none"/>
            </v:shape>
            <v:shape style="position:absolute;left:8310;top:250;width:432;height:558" type="#_x0000_t202" filled="false" stroked="false">
              <v:textbox inset="0,0,0,0">
                <w:txbxContent>
                  <w:p>
                    <w:pPr>
                      <w:spacing w:before="5"/>
                      <w:ind w:left="0" w:right="0" w:firstLine="0"/>
                      <w:jc w:val="left"/>
                      <w:rPr>
                        <w:rFonts w:ascii="Calibri"/>
                        <w:sz w:val="21"/>
                      </w:rPr>
                    </w:pPr>
                    <w:r>
                      <w:rPr>
                        <w:rFonts w:ascii="Calibri"/>
                        <w:w w:val="105"/>
                        <w:sz w:val="21"/>
                      </w:rPr>
                      <w:t>0.28</w:t>
                    </w:r>
                  </w:p>
                  <w:p>
                    <w:pPr>
                      <w:spacing w:before="38"/>
                      <w:ind w:left="0" w:right="0" w:firstLine="0"/>
                      <w:jc w:val="left"/>
                      <w:rPr>
                        <w:rFonts w:ascii="Calibri"/>
                        <w:sz w:val="21"/>
                      </w:rPr>
                    </w:pPr>
                    <w:r>
                      <w:rPr>
                        <w:rFonts w:ascii="Calibri"/>
                        <w:w w:val="105"/>
                        <w:sz w:val="21"/>
                      </w:rPr>
                      <w:t>0.29</w:t>
                    </w:r>
                  </w:p>
                </w:txbxContent>
              </v:textbox>
              <w10:wrap type="none"/>
            </v:shape>
            <w10:wrap type="topAndBottom"/>
          </v:group>
        </w:pict>
      </w:r>
    </w:p>
    <w:p>
      <w:pPr>
        <w:pStyle w:val="BodyText"/>
        <w:rPr>
          <w:rFonts w:ascii="Calibri"/>
          <w:sz w:val="20"/>
        </w:rPr>
      </w:pPr>
    </w:p>
    <w:p>
      <w:pPr>
        <w:spacing w:before="237"/>
        <w:ind w:left="198" w:right="0" w:firstLine="0"/>
        <w:jc w:val="left"/>
        <w:rPr>
          <w:rFonts w:ascii="Calibri"/>
          <w:b/>
          <w:sz w:val="21"/>
        </w:rPr>
      </w:pPr>
      <w:r>
        <w:rPr>
          <w:rFonts w:ascii="Calibri"/>
          <w:b/>
          <w:w w:val="105"/>
          <w:position w:val="10"/>
          <w:sz w:val="13"/>
        </w:rPr>
        <w:t>1 </w:t>
      </w:r>
      <w:r>
        <w:rPr>
          <w:rFonts w:ascii="Calibri"/>
          <w:b/>
          <w:w w:val="105"/>
          <w:sz w:val="21"/>
        </w:rPr>
        <w:t>Total proposed program year budget spending, including uncommitted unspent carryover</w:t>
      </w:r>
    </w:p>
    <w:p>
      <w:pPr>
        <w:pStyle w:val="BodyText"/>
        <w:spacing w:before="7"/>
        <w:rPr>
          <w:rFonts w:ascii="Calibri"/>
          <w:b/>
          <w:sz w:val="23"/>
        </w:rPr>
      </w:pPr>
    </w:p>
    <w:p>
      <w:pPr>
        <w:spacing w:line="256" w:lineRule="auto" w:before="1"/>
        <w:ind w:left="198" w:right="8696" w:firstLine="0"/>
        <w:jc w:val="left"/>
        <w:rPr>
          <w:rFonts w:ascii="Calibri"/>
          <w:b/>
          <w:sz w:val="21"/>
        </w:rPr>
      </w:pPr>
      <w:r>
        <w:rPr>
          <w:rFonts w:ascii="Calibri"/>
          <w:b/>
          <w:w w:val="105"/>
          <w:position w:val="10"/>
          <w:sz w:val="13"/>
        </w:rPr>
        <w:t>2</w:t>
      </w:r>
      <w:r>
        <w:rPr>
          <w:rFonts w:ascii="Calibri"/>
          <w:b/>
          <w:spacing w:val="12"/>
          <w:w w:val="105"/>
          <w:position w:val="10"/>
          <w:sz w:val="13"/>
        </w:rPr>
        <w:t> </w:t>
      </w:r>
      <w:r>
        <w:rPr>
          <w:rFonts w:ascii="Calibri"/>
          <w:b/>
          <w:spacing w:val="-3"/>
          <w:w w:val="105"/>
          <w:sz w:val="21"/>
        </w:rPr>
        <w:t>The</w:t>
      </w:r>
      <w:r>
        <w:rPr>
          <w:rFonts w:ascii="Calibri"/>
          <w:b/>
          <w:spacing w:val="-12"/>
          <w:w w:val="105"/>
          <w:sz w:val="21"/>
        </w:rPr>
        <w:t> </w:t>
      </w:r>
      <w:r>
        <w:rPr>
          <w:rFonts w:ascii="Calibri"/>
          <w:b/>
          <w:w w:val="105"/>
          <w:sz w:val="21"/>
        </w:rPr>
        <w:t>balance</w:t>
      </w:r>
      <w:r>
        <w:rPr>
          <w:rFonts w:ascii="Calibri"/>
          <w:b/>
          <w:spacing w:val="-12"/>
          <w:w w:val="105"/>
          <w:sz w:val="21"/>
        </w:rPr>
        <w:t> </w:t>
      </w:r>
      <w:r>
        <w:rPr>
          <w:rFonts w:ascii="Calibri"/>
          <w:b/>
          <w:w w:val="105"/>
          <w:sz w:val="21"/>
        </w:rPr>
        <w:t>of</w:t>
      </w:r>
      <w:r>
        <w:rPr>
          <w:rFonts w:ascii="Calibri"/>
          <w:b/>
          <w:spacing w:val="-27"/>
          <w:w w:val="105"/>
          <w:sz w:val="21"/>
        </w:rPr>
        <w:t> </w:t>
      </w:r>
      <w:r>
        <w:rPr>
          <w:rFonts w:ascii="Calibri"/>
          <w:b/>
          <w:w w:val="105"/>
          <w:sz w:val="21"/>
        </w:rPr>
        <w:t>unspent</w:t>
      </w:r>
      <w:r>
        <w:rPr>
          <w:rFonts w:ascii="Calibri"/>
          <w:b/>
          <w:spacing w:val="-16"/>
          <w:w w:val="105"/>
          <w:sz w:val="21"/>
        </w:rPr>
        <w:t> </w:t>
      </w:r>
      <w:r>
        <w:rPr>
          <w:rFonts w:ascii="Calibri"/>
          <w:b/>
          <w:spacing w:val="1"/>
          <w:w w:val="105"/>
          <w:sz w:val="21"/>
        </w:rPr>
        <w:t>uncommitted</w:t>
      </w:r>
      <w:r>
        <w:rPr>
          <w:rFonts w:ascii="Calibri"/>
          <w:b/>
          <w:spacing w:val="-18"/>
          <w:w w:val="105"/>
          <w:sz w:val="21"/>
        </w:rPr>
        <w:t> </w:t>
      </w:r>
      <w:r>
        <w:rPr>
          <w:rFonts w:ascii="Calibri"/>
          <w:b/>
          <w:w w:val="105"/>
          <w:sz w:val="21"/>
        </w:rPr>
        <w:t>must</w:t>
      </w:r>
      <w:r>
        <w:rPr>
          <w:rFonts w:ascii="Calibri"/>
          <w:b/>
          <w:spacing w:val="-16"/>
          <w:w w:val="105"/>
          <w:sz w:val="21"/>
        </w:rPr>
        <w:t> </w:t>
      </w:r>
      <w:r>
        <w:rPr>
          <w:rFonts w:ascii="Calibri"/>
          <w:b/>
          <w:spacing w:val="1"/>
          <w:w w:val="105"/>
          <w:sz w:val="21"/>
        </w:rPr>
        <w:t>reflect</w:t>
      </w:r>
      <w:r>
        <w:rPr>
          <w:rFonts w:ascii="Calibri"/>
          <w:b/>
          <w:spacing w:val="-16"/>
          <w:w w:val="105"/>
          <w:sz w:val="21"/>
        </w:rPr>
        <w:t> </w:t>
      </w:r>
      <w:r>
        <w:rPr>
          <w:rFonts w:ascii="Calibri"/>
          <w:b/>
          <w:w w:val="105"/>
          <w:sz w:val="21"/>
        </w:rPr>
        <w:t>the total</w:t>
      </w:r>
      <w:r>
        <w:rPr>
          <w:rFonts w:ascii="Calibri"/>
          <w:b/>
          <w:spacing w:val="-17"/>
          <w:w w:val="105"/>
          <w:sz w:val="21"/>
        </w:rPr>
        <w:t> </w:t>
      </w:r>
      <w:r>
        <w:rPr>
          <w:rFonts w:ascii="Calibri"/>
          <w:b/>
          <w:w w:val="105"/>
          <w:sz w:val="21"/>
        </w:rPr>
        <w:t>unspent</w:t>
      </w:r>
      <w:r>
        <w:rPr>
          <w:rFonts w:ascii="Calibri"/>
          <w:b/>
          <w:spacing w:val="-19"/>
          <w:w w:val="105"/>
          <w:sz w:val="21"/>
        </w:rPr>
        <w:t> </w:t>
      </w:r>
      <w:r>
        <w:rPr>
          <w:rFonts w:ascii="Calibri"/>
          <w:b/>
          <w:spacing w:val="1"/>
          <w:w w:val="105"/>
          <w:sz w:val="21"/>
        </w:rPr>
        <w:t>uncommitted</w:t>
      </w:r>
      <w:r>
        <w:rPr>
          <w:rFonts w:ascii="Calibri"/>
          <w:b/>
          <w:spacing w:val="-20"/>
          <w:w w:val="105"/>
          <w:sz w:val="21"/>
        </w:rPr>
        <w:t> </w:t>
      </w:r>
      <w:r>
        <w:rPr>
          <w:rFonts w:ascii="Calibri"/>
          <w:b/>
          <w:w w:val="105"/>
          <w:sz w:val="21"/>
        </w:rPr>
        <w:t>starting</w:t>
      </w:r>
      <w:r>
        <w:rPr>
          <w:rFonts w:ascii="Calibri"/>
          <w:b/>
          <w:spacing w:val="-25"/>
          <w:w w:val="105"/>
          <w:sz w:val="21"/>
        </w:rPr>
        <w:t> </w:t>
      </w:r>
      <w:r>
        <w:rPr>
          <w:rFonts w:ascii="Calibri"/>
          <w:b/>
          <w:w w:val="105"/>
          <w:sz w:val="21"/>
        </w:rPr>
        <w:t>Jan</w:t>
      </w:r>
      <w:r>
        <w:rPr>
          <w:rFonts w:ascii="Calibri"/>
          <w:b/>
          <w:spacing w:val="-20"/>
          <w:w w:val="105"/>
          <w:sz w:val="21"/>
        </w:rPr>
        <w:t> </w:t>
      </w:r>
      <w:r>
        <w:rPr>
          <w:rFonts w:ascii="Calibri"/>
          <w:b/>
          <w:w w:val="105"/>
          <w:sz w:val="21"/>
        </w:rPr>
        <w:t>1</w:t>
      </w:r>
      <w:r>
        <w:rPr>
          <w:rFonts w:ascii="Calibri"/>
          <w:b/>
          <w:spacing w:val="-15"/>
          <w:w w:val="105"/>
          <w:sz w:val="21"/>
        </w:rPr>
        <w:t> </w:t>
      </w:r>
      <w:r>
        <w:rPr>
          <w:rFonts w:ascii="Calibri"/>
          <w:b/>
          <w:spacing w:val="5"/>
          <w:w w:val="105"/>
          <w:sz w:val="21"/>
        </w:rPr>
        <w:t>2018</w:t>
      </w:r>
      <w:r>
        <w:rPr>
          <w:rFonts w:ascii="Calibri"/>
          <w:b/>
          <w:spacing w:val="-15"/>
          <w:w w:val="105"/>
          <w:sz w:val="21"/>
        </w:rPr>
        <w:t> </w:t>
      </w:r>
      <w:r>
        <w:rPr>
          <w:rFonts w:ascii="Calibri"/>
          <w:b/>
          <w:w w:val="105"/>
          <w:sz w:val="21"/>
        </w:rPr>
        <w:t>through </w:t>
      </w:r>
      <w:r>
        <w:rPr>
          <w:rFonts w:ascii="Calibri"/>
          <w:b/>
          <w:spacing w:val="1"/>
          <w:w w:val="105"/>
          <w:sz w:val="21"/>
        </w:rPr>
        <w:t>Dec</w:t>
      </w:r>
      <w:r>
        <w:rPr>
          <w:rFonts w:ascii="Calibri"/>
          <w:b/>
          <w:spacing w:val="-11"/>
          <w:w w:val="105"/>
          <w:sz w:val="21"/>
        </w:rPr>
        <w:t> </w:t>
      </w:r>
      <w:r>
        <w:rPr>
          <w:rFonts w:ascii="Calibri"/>
          <w:b/>
          <w:spacing w:val="2"/>
          <w:w w:val="105"/>
          <w:sz w:val="21"/>
        </w:rPr>
        <w:t>31</w:t>
      </w:r>
      <w:r>
        <w:rPr>
          <w:rFonts w:ascii="Calibri"/>
          <w:b/>
          <w:spacing w:val="-11"/>
          <w:w w:val="105"/>
          <w:sz w:val="21"/>
        </w:rPr>
        <w:t> </w:t>
      </w:r>
      <w:r>
        <w:rPr>
          <w:rFonts w:ascii="Calibri"/>
          <w:b/>
          <w:w w:val="105"/>
          <w:sz w:val="21"/>
        </w:rPr>
        <w:t>of</w:t>
      </w:r>
      <w:r>
        <w:rPr>
          <w:rFonts w:ascii="Calibri"/>
          <w:b/>
          <w:spacing w:val="-26"/>
          <w:w w:val="105"/>
          <w:sz w:val="21"/>
        </w:rPr>
        <w:t> </w:t>
      </w:r>
      <w:r>
        <w:rPr>
          <w:rFonts w:ascii="Calibri"/>
          <w:b/>
          <w:w w:val="105"/>
          <w:sz w:val="21"/>
        </w:rPr>
        <w:t>current</w:t>
      </w:r>
      <w:r>
        <w:rPr>
          <w:rFonts w:ascii="Calibri"/>
          <w:b/>
          <w:spacing w:val="-15"/>
          <w:w w:val="105"/>
          <w:sz w:val="21"/>
        </w:rPr>
        <w:t> </w:t>
      </w:r>
      <w:r>
        <w:rPr>
          <w:rFonts w:ascii="Calibri"/>
          <w:b/>
          <w:w w:val="105"/>
          <w:sz w:val="21"/>
        </w:rPr>
        <w:t>year</w:t>
      </w:r>
      <w:r>
        <w:rPr>
          <w:rFonts w:ascii="Calibri"/>
          <w:b/>
          <w:spacing w:val="-16"/>
          <w:w w:val="105"/>
          <w:sz w:val="21"/>
        </w:rPr>
        <w:t> </w:t>
      </w:r>
      <w:r>
        <w:rPr>
          <w:rFonts w:ascii="Calibri"/>
          <w:b/>
          <w:w w:val="105"/>
          <w:sz w:val="21"/>
        </w:rPr>
        <w:t>(PY-1).</w:t>
      </w:r>
      <w:r>
        <w:rPr>
          <w:rFonts w:ascii="Calibri"/>
          <w:b/>
          <w:spacing w:val="-17"/>
          <w:w w:val="105"/>
          <w:sz w:val="21"/>
        </w:rPr>
        <w:t> </w:t>
      </w:r>
      <w:r>
        <w:rPr>
          <w:rFonts w:ascii="Calibri"/>
          <w:b/>
          <w:w w:val="105"/>
          <w:sz w:val="21"/>
        </w:rPr>
        <w:t>Because</w:t>
      </w:r>
      <w:r>
        <w:rPr>
          <w:rFonts w:ascii="Calibri"/>
          <w:b/>
          <w:spacing w:val="-11"/>
          <w:w w:val="105"/>
          <w:sz w:val="21"/>
        </w:rPr>
        <w:t> </w:t>
      </w:r>
      <w:r>
        <w:rPr>
          <w:rFonts w:ascii="Calibri"/>
          <w:b/>
          <w:w w:val="105"/>
          <w:sz w:val="21"/>
        </w:rPr>
        <w:t>each</w:t>
      </w:r>
      <w:r>
        <w:rPr>
          <w:rFonts w:ascii="Calibri"/>
          <w:b/>
          <w:spacing w:val="-16"/>
          <w:w w:val="105"/>
          <w:sz w:val="21"/>
        </w:rPr>
        <w:t> </w:t>
      </w:r>
      <w:r>
        <w:rPr>
          <w:rFonts w:ascii="Calibri"/>
          <w:b/>
          <w:w w:val="105"/>
          <w:sz w:val="21"/>
        </w:rPr>
        <w:t>ABAL</w:t>
      </w:r>
      <w:r>
        <w:rPr>
          <w:rFonts w:ascii="Calibri"/>
          <w:b/>
          <w:spacing w:val="-12"/>
          <w:w w:val="105"/>
          <w:sz w:val="21"/>
        </w:rPr>
        <w:t> </w:t>
      </w:r>
      <w:r>
        <w:rPr>
          <w:rFonts w:ascii="Calibri"/>
          <w:b/>
          <w:spacing w:val="1"/>
          <w:w w:val="105"/>
          <w:sz w:val="21"/>
        </w:rPr>
        <w:t>is</w:t>
      </w:r>
      <w:r>
        <w:rPr>
          <w:rFonts w:ascii="Calibri"/>
          <w:b/>
          <w:spacing w:val="-25"/>
          <w:w w:val="105"/>
          <w:sz w:val="21"/>
        </w:rPr>
        <w:t> </w:t>
      </w:r>
      <w:r>
        <w:rPr>
          <w:rFonts w:ascii="Calibri"/>
          <w:b/>
          <w:w w:val="105"/>
          <w:sz w:val="21"/>
        </w:rPr>
        <w:t>filed </w:t>
      </w:r>
      <w:r>
        <w:rPr>
          <w:rFonts w:ascii="Calibri"/>
          <w:b/>
          <w:spacing w:val="1"/>
          <w:w w:val="105"/>
          <w:sz w:val="21"/>
        </w:rPr>
        <w:t>in </w:t>
      </w:r>
      <w:r>
        <w:rPr>
          <w:rFonts w:ascii="Calibri"/>
          <w:b/>
          <w:spacing w:val="3"/>
          <w:w w:val="105"/>
          <w:sz w:val="21"/>
        </w:rPr>
        <w:t>Q3, </w:t>
      </w:r>
      <w:r>
        <w:rPr>
          <w:rFonts w:ascii="Calibri"/>
          <w:b/>
          <w:w w:val="105"/>
          <w:sz w:val="21"/>
        </w:rPr>
        <w:t>this unspent </w:t>
      </w:r>
      <w:r>
        <w:rPr>
          <w:rFonts w:ascii="Calibri"/>
          <w:b/>
          <w:spacing w:val="1"/>
          <w:w w:val="105"/>
          <w:sz w:val="21"/>
        </w:rPr>
        <w:t>uncommitted </w:t>
      </w:r>
      <w:r>
        <w:rPr>
          <w:rFonts w:ascii="Calibri"/>
          <w:b/>
          <w:w w:val="105"/>
          <w:sz w:val="21"/>
        </w:rPr>
        <w:t>amount will be </w:t>
      </w:r>
      <w:r>
        <w:rPr>
          <w:rFonts w:ascii="Calibri"/>
          <w:b/>
          <w:spacing w:val="-5"/>
          <w:w w:val="105"/>
          <w:sz w:val="21"/>
        </w:rPr>
        <w:t>an </w:t>
      </w:r>
      <w:r>
        <w:rPr>
          <w:rFonts w:ascii="Calibri"/>
          <w:b/>
          <w:w w:val="105"/>
          <w:sz w:val="21"/>
        </w:rPr>
        <w:t>estimate</w:t>
      </w:r>
      <w:r>
        <w:rPr>
          <w:rFonts w:ascii="Calibri"/>
          <w:b/>
          <w:spacing w:val="-5"/>
          <w:w w:val="105"/>
          <w:sz w:val="21"/>
        </w:rPr>
        <w:t> </w:t>
      </w:r>
      <w:r>
        <w:rPr>
          <w:rFonts w:ascii="Calibri"/>
          <w:b/>
          <w:spacing w:val="-4"/>
          <w:w w:val="105"/>
          <w:sz w:val="21"/>
        </w:rPr>
        <w:t>for</w:t>
      </w:r>
      <w:r>
        <w:rPr>
          <w:rFonts w:ascii="Calibri"/>
          <w:b/>
          <w:spacing w:val="-11"/>
          <w:w w:val="105"/>
          <w:sz w:val="21"/>
        </w:rPr>
        <w:t> </w:t>
      </w:r>
      <w:r>
        <w:rPr>
          <w:rFonts w:ascii="Calibri"/>
          <w:b/>
          <w:w w:val="105"/>
          <w:sz w:val="21"/>
        </w:rPr>
        <w:t>the</w:t>
      </w:r>
      <w:r>
        <w:rPr>
          <w:rFonts w:ascii="Calibri"/>
          <w:b/>
          <w:spacing w:val="-5"/>
          <w:w w:val="105"/>
          <w:sz w:val="21"/>
        </w:rPr>
        <w:t> </w:t>
      </w:r>
      <w:r>
        <w:rPr>
          <w:rFonts w:ascii="Calibri"/>
          <w:b/>
          <w:w w:val="105"/>
          <w:sz w:val="21"/>
        </w:rPr>
        <w:t>year</w:t>
      </w:r>
      <w:r>
        <w:rPr>
          <w:rFonts w:ascii="Calibri"/>
          <w:b/>
          <w:spacing w:val="-11"/>
          <w:w w:val="105"/>
          <w:sz w:val="21"/>
        </w:rPr>
        <w:t> </w:t>
      </w:r>
      <w:r>
        <w:rPr>
          <w:rFonts w:ascii="Calibri"/>
          <w:b/>
          <w:spacing w:val="1"/>
          <w:w w:val="105"/>
          <w:sz w:val="21"/>
        </w:rPr>
        <w:t>in</w:t>
      </w:r>
      <w:r>
        <w:rPr>
          <w:rFonts w:ascii="Calibri"/>
          <w:b/>
          <w:spacing w:val="-11"/>
          <w:w w:val="105"/>
          <w:sz w:val="21"/>
        </w:rPr>
        <w:t> </w:t>
      </w:r>
      <w:r>
        <w:rPr>
          <w:rFonts w:ascii="Calibri"/>
          <w:b/>
          <w:w w:val="105"/>
          <w:sz w:val="21"/>
        </w:rPr>
        <w:t>which</w:t>
      </w:r>
      <w:r>
        <w:rPr>
          <w:rFonts w:ascii="Calibri"/>
          <w:b/>
          <w:spacing w:val="-11"/>
          <w:w w:val="105"/>
          <w:sz w:val="21"/>
        </w:rPr>
        <w:t> </w:t>
      </w:r>
      <w:r>
        <w:rPr>
          <w:rFonts w:ascii="Calibri"/>
          <w:b/>
          <w:w w:val="105"/>
          <w:sz w:val="21"/>
        </w:rPr>
        <w:t>the</w:t>
      </w:r>
      <w:r>
        <w:rPr>
          <w:rFonts w:ascii="Calibri"/>
          <w:b/>
          <w:spacing w:val="-5"/>
          <w:w w:val="105"/>
          <w:sz w:val="21"/>
        </w:rPr>
        <w:t> </w:t>
      </w:r>
      <w:r>
        <w:rPr>
          <w:rFonts w:ascii="Calibri"/>
          <w:b/>
          <w:w w:val="105"/>
          <w:sz w:val="21"/>
        </w:rPr>
        <w:t>ABAL</w:t>
      </w:r>
      <w:r>
        <w:rPr>
          <w:rFonts w:ascii="Calibri"/>
          <w:b/>
          <w:spacing w:val="-7"/>
          <w:w w:val="105"/>
          <w:sz w:val="21"/>
        </w:rPr>
        <w:t> </w:t>
      </w:r>
      <w:r>
        <w:rPr>
          <w:rFonts w:ascii="Calibri"/>
          <w:b/>
          <w:spacing w:val="1"/>
          <w:w w:val="105"/>
          <w:sz w:val="21"/>
        </w:rPr>
        <w:t>is</w:t>
      </w:r>
      <w:r>
        <w:rPr>
          <w:rFonts w:ascii="Calibri"/>
          <w:b/>
          <w:spacing w:val="-20"/>
          <w:w w:val="105"/>
          <w:sz w:val="21"/>
        </w:rPr>
        <w:t> </w:t>
      </w:r>
      <w:r>
        <w:rPr>
          <w:rFonts w:ascii="Calibri"/>
          <w:b/>
          <w:w w:val="105"/>
          <w:sz w:val="21"/>
        </w:rPr>
        <w:t>filed.</w:t>
      </w:r>
    </w:p>
    <w:p>
      <w:pPr>
        <w:spacing w:line="276" w:lineRule="exact" w:before="0"/>
        <w:ind w:left="198" w:right="0" w:firstLine="0"/>
        <w:jc w:val="left"/>
        <w:rPr>
          <w:rFonts w:ascii="Calibri"/>
          <w:b/>
          <w:sz w:val="21"/>
        </w:rPr>
      </w:pPr>
      <w:r>
        <w:rPr>
          <w:rFonts w:ascii="Calibri"/>
          <w:b/>
          <w:w w:val="105"/>
          <w:position w:val="10"/>
          <w:sz w:val="13"/>
        </w:rPr>
        <w:t>3 </w:t>
      </w:r>
      <w:r>
        <w:rPr>
          <w:rFonts w:ascii="Calibri"/>
          <w:b/>
          <w:w w:val="105"/>
          <w:sz w:val="21"/>
        </w:rPr>
        <w:t>Amount of funds to be collected for the Program Year - Line 18 less Line 19</w:t>
      </w:r>
    </w:p>
    <w:p>
      <w:pPr>
        <w:spacing w:after="0" w:line="276" w:lineRule="exact"/>
        <w:jc w:val="left"/>
        <w:rPr>
          <w:rFonts w:ascii="Calibri"/>
          <w:sz w:val="21"/>
        </w:rPr>
        <w:sectPr>
          <w:type w:val="continuous"/>
          <w:pgSz w:w="15840" w:h="12240" w:orient="landscape"/>
          <w:pgMar w:top="700" w:bottom="280" w:left="860" w:right="920"/>
        </w:sectPr>
      </w:pPr>
    </w:p>
    <w:p>
      <w:pPr>
        <w:spacing w:before="78"/>
        <w:ind w:left="5593" w:right="5555" w:firstLine="0"/>
        <w:jc w:val="center"/>
        <w:rPr>
          <w:rFonts w:ascii="Calibri"/>
          <w:sz w:val="14"/>
        </w:rPr>
      </w:pPr>
      <w:r>
        <w:rPr>
          <w:rFonts w:ascii="Calibri"/>
          <w:sz w:val="14"/>
        </w:rPr>
        <w:t>2b. CCA-REN budget trueup</w:t>
      </w:r>
    </w:p>
    <w:p>
      <w:pPr>
        <w:pStyle w:val="BodyText"/>
        <w:rPr>
          <w:rFonts w:ascii="Calibri"/>
          <w:sz w:val="20"/>
        </w:rPr>
      </w:pPr>
    </w:p>
    <w:p>
      <w:pPr>
        <w:pStyle w:val="BodyText"/>
        <w:spacing w:before="9"/>
        <w:rPr>
          <w:rFonts w:ascii="Calibri"/>
          <w:sz w:val="25"/>
        </w:rPr>
      </w:pPr>
    </w:p>
    <w:p>
      <w:pPr>
        <w:spacing w:before="103" w:after="9"/>
        <w:ind w:left="6862" w:right="0" w:firstLine="0"/>
        <w:jc w:val="left"/>
        <w:rPr>
          <w:rFonts w:ascii="Calibri"/>
          <w:b/>
          <w:sz w:val="14"/>
        </w:rPr>
      </w:pPr>
      <w:r>
        <w:rPr>
          <w:rFonts w:ascii="Calibri"/>
          <w:b/>
          <w:sz w:val="14"/>
        </w:rPr>
        <w:t>SoCalREN Annual Rolling Portfolio Budget Forecast - True-up</w:t>
      </w:r>
    </w:p>
    <w:tbl>
      <w:tblPr>
        <w:tblW w:w="0" w:type="auto"/>
        <w:jc w:val="left"/>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91"/>
        <w:gridCol w:w="2140"/>
        <w:gridCol w:w="1146"/>
        <w:gridCol w:w="1143"/>
        <w:gridCol w:w="1143"/>
        <w:gridCol w:w="1143"/>
        <w:gridCol w:w="1143"/>
        <w:gridCol w:w="1143"/>
        <w:gridCol w:w="1182"/>
        <w:gridCol w:w="1058"/>
      </w:tblGrid>
      <w:tr>
        <w:trPr>
          <w:trHeight w:val="172" w:hRule="atLeast"/>
        </w:trPr>
        <w:tc>
          <w:tcPr>
            <w:tcW w:w="2491" w:type="dxa"/>
            <w:tcBorders>
              <w:bottom w:val="single" w:sz="18" w:space="0" w:color="000000"/>
            </w:tcBorders>
          </w:tcPr>
          <w:p>
            <w:pPr>
              <w:pStyle w:val="TableParagraph"/>
              <w:spacing w:line="149" w:lineRule="exact" w:before="3"/>
              <w:ind w:left="39"/>
              <w:jc w:val="left"/>
              <w:rPr>
                <w:b/>
                <w:sz w:val="14"/>
              </w:rPr>
            </w:pPr>
            <w:r>
              <w:rPr>
                <w:b/>
                <w:sz w:val="14"/>
              </w:rPr>
              <w:t>Sector</w:t>
            </w:r>
          </w:p>
        </w:tc>
        <w:tc>
          <w:tcPr>
            <w:tcW w:w="2140" w:type="dxa"/>
            <w:tcBorders>
              <w:bottom w:val="single" w:sz="18" w:space="0" w:color="000000"/>
            </w:tcBorders>
          </w:tcPr>
          <w:p>
            <w:pPr>
              <w:pStyle w:val="TableParagraph"/>
              <w:spacing w:line="149" w:lineRule="exact" w:before="3"/>
              <w:ind w:left="1253"/>
              <w:jc w:val="left"/>
              <w:rPr>
                <w:sz w:val="14"/>
              </w:rPr>
            </w:pPr>
            <w:r>
              <w:rPr>
                <w:sz w:val="14"/>
              </w:rPr>
              <w:t>2018**</w:t>
            </w:r>
          </w:p>
        </w:tc>
        <w:tc>
          <w:tcPr>
            <w:tcW w:w="1146" w:type="dxa"/>
            <w:tcBorders>
              <w:bottom w:val="single" w:sz="18" w:space="0" w:color="000000"/>
            </w:tcBorders>
          </w:tcPr>
          <w:p>
            <w:pPr>
              <w:pStyle w:val="TableParagraph"/>
              <w:spacing w:line="149" w:lineRule="exact" w:before="3"/>
              <w:ind w:right="158"/>
              <w:rPr>
                <w:sz w:val="14"/>
              </w:rPr>
            </w:pPr>
            <w:r>
              <w:rPr>
                <w:sz w:val="14"/>
              </w:rPr>
              <w:t>2019</w:t>
            </w:r>
          </w:p>
        </w:tc>
        <w:tc>
          <w:tcPr>
            <w:tcW w:w="1143" w:type="dxa"/>
            <w:tcBorders>
              <w:bottom w:val="single" w:sz="18" w:space="0" w:color="000000"/>
            </w:tcBorders>
          </w:tcPr>
          <w:p>
            <w:pPr>
              <w:pStyle w:val="TableParagraph"/>
              <w:spacing w:line="149" w:lineRule="exact" w:before="3"/>
              <w:ind w:right="157"/>
              <w:rPr>
                <w:sz w:val="14"/>
              </w:rPr>
            </w:pPr>
            <w:r>
              <w:rPr>
                <w:sz w:val="14"/>
              </w:rPr>
              <w:t>2020</w:t>
            </w:r>
          </w:p>
        </w:tc>
        <w:tc>
          <w:tcPr>
            <w:tcW w:w="1143" w:type="dxa"/>
            <w:tcBorders>
              <w:bottom w:val="single" w:sz="18" w:space="0" w:color="000000"/>
            </w:tcBorders>
          </w:tcPr>
          <w:p>
            <w:pPr>
              <w:pStyle w:val="TableParagraph"/>
              <w:spacing w:line="149" w:lineRule="exact" w:before="3"/>
              <w:ind w:right="156"/>
              <w:rPr>
                <w:sz w:val="14"/>
              </w:rPr>
            </w:pPr>
            <w:r>
              <w:rPr>
                <w:sz w:val="14"/>
              </w:rPr>
              <w:t>2021</w:t>
            </w:r>
          </w:p>
        </w:tc>
        <w:tc>
          <w:tcPr>
            <w:tcW w:w="1143" w:type="dxa"/>
            <w:tcBorders>
              <w:bottom w:val="single" w:sz="18" w:space="0" w:color="000000"/>
            </w:tcBorders>
          </w:tcPr>
          <w:p>
            <w:pPr>
              <w:pStyle w:val="TableParagraph"/>
              <w:spacing w:line="149" w:lineRule="exact" w:before="3"/>
              <w:ind w:right="155"/>
              <w:rPr>
                <w:sz w:val="14"/>
              </w:rPr>
            </w:pPr>
            <w:r>
              <w:rPr>
                <w:sz w:val="14"/>
              </w:rPr>
              <w:t>2022</w:t>
            </w:r>
          </w:p>
        </w:tc>
        <w:tc>
          <w:tcPr>
            <w:tcW w:w="1143" w:type="dxa"/>
            <w:tcBorders>
              <w:bottom w:val="single" w:sz="18" w:space="0" w:color="000000"/>
            </w:tcBorders>
          </w:tcPr>
          <w:p>
            <w:pPr>
              <w:pStyle w:val="TableParagraph"/>
              <w:spacing w:line="149" w:lineRule="exact" w:before="3"/>
              <w:ind w:right="154"/>
              <w:rPr>
                <w:sz w:val="14"/>
              </w:rPr>
            </w:pPr>
            <w:r>
              <w:rPr>
                <w:sz w:val="14"/>
              </w:rPr>
              <w:t>2023</w:t>
            </w:r>
          </w:p>
        </w:tc>
        <w:tc>
          <w:tcPr>
            <w:tcW w:w="1143" w:type="dxa"/>
            <w:tcBorders>
              <w:bottom w:val="single" w:sz="18" w:space="0" w:color="000000"/>
            </w:tcBorders>
          </w:tcPr>
          <w:p>
            <w:pPr>
              <w:pStyle w:val="TableParagraph"/>
              <w:spacing w:line="149" w:lineRule="exact" w:before="3"/>
              <w:ind w:right="153"/>
              <w:rPr>
                <w:sz w:val="14"/>
              </w:rPr>
            </w:pPr>
            <w:r>
              <w:rPr>
                <w:sz w:val="14"/>
              </w:rPr>
              <w:t>2024</w:t>
            </w:r>
          </w:p>
        </w:tc>
        <w:tc>
          <w:tcPr>
            <w:tcW w:w="1182" w:type="dxa"/>
            <w:tcBorders>
              <w:bottom w:val="single" w:sz="18" w:space="0" w:color="000000"/>
            </w:tcBorders>
          </w:tcPr>
          <w:p>
            <w:pPr>
              <w:pStyle w:val="TableParagraph"/>
              <w:spacing w:line="149" w:lineRule="exact" w:before="3"/>
              <w:ind w:right="191"/>
              <w:rPr>
                <w:sz w:val="14"/>
              </w:rPr>
            </w:pPr>
            <w:r>
              <w:rPr>
                <w:sz w:val="14"/>
              </w:rPr>
              <w:t>2025</w:t>
            </w:r>
          </w:p>
        </w:tc>
        <w:tc>
          <w:tcPr>
            <w:tcW w:w="1058" w:type="dxa"/>
            <w:tcBorders>
              <w:bottom w:val="single" w:sz="18" w:space="0" w:color="000000"/>
            </w:tcBorders>
          </w:tcPr>
          <w:p>
            <w:pPr>
              <w:pStyle w:val="TableParagraph"/>
              <w:spacing w:line="149" w:lineRule="exact" w:before="3"/>
              <w:ind w:right="31"/>
              <w:rPr>
                <w:b/>
                <w:sz w:val="14"/>
              </w:rPr>
            </w:pPr>
            <w:r>
              <w:rPr>
                <w:b/>
                <w:sz w:val="14"/>
              </w:rPr>
              <w:t>Total</w:t>
            </w:r>
          </w:p>
        </w:tc>
      </w:tr>
      <w:tr>
        <w:trPr>
          <w:trHeight w:val="169" w:hRule="atLeast"/>
        </w:trPr>
        <w:tc>
          <w:tcPr>
            <w:tcW w:w="2491" w:type="dxa"/>
            <w:tcBorders>
              <w:top w:val="single" w:sz="18" w:space="0" w:color="000000"/>
            </w:tcBorders>
          </w:tcPr>
          <w:p>
            <w:pPr>
              <w:pStyle w:val="TableParagraph"/>
              <w:spacing w:line="149" w:lineRule="exact"/>
              <w:ind w:left="39"/>
              <w:jc w:val="left"/>
              <w:rPr>
                <w:sz w:val="14"/>
              </w:rPr>
            </w:pPr>
            <w:r>
              <w:rPr>
                <w:sz w:val="14"/>
              </w:rPr>
              <w:t>Residential</w:t>
            </w:r>
          </w:p>
        </w:tc>
        <w:tc>
          <w:tcPr>
            <w:tcW w:w="2140" w:type="dxa"/>
            <w:tcBorders>
              <w:top w:val="single" w:sz="18" w:space="0" w:color="000000"/>
            </w:tcBorders>
          </w:tcPr>
          <w:p>
            <w:pPr>
              <w:pStyle w:val="TableParagraph"/>
              <w:spacing w:line="149" w:lineRule="exact"/>
              <w:ind w:right="196"/>
              <w:rPr>
                <w:sz w:val="14"/>
              </w:rPr>
            </w:pPr>
            <w:r>
              <w:rPr>
                <w:sz w:val="14"/>
              </w:rPr>
              <w:t>$6,540,000</w:t>
            </w:r>
          </w:p>
        </w:tc>
        <w:tc>
          <w:tcPr>
            <w:tcW w:w="1146" w:type="dxa"/>
            <w:tcBorders>
              <w:top w:val="single" w:sz="18" w:space="0" w:color="000000"/>
            </w:tcBorders>
          </w:tcPr>
          <w:p>
            <w:pPr>
              <w:pStyle w:val="TableParagraph"/>
              <w:spacing w:line="149" w:lineRule="exact"/>
              <w:ind w:right="198"/>
              <w:rPr>
                <w:sz w:val="14"/>
              </w:rPr>
            </w:pPr>
            <w:r>
              <w:rPr>
                <w:sz w:val="14"/>
              </w:rPr>
              <w:t>$6,721,000</w:t>
            </w:r>
          </w:p>
        </w:tc>
        <w:tc>
          <w:tcPr>
            <w:tcW w:w="1143" w:type="dxa"/>
            <w:tcBorders>
              <w:top w:val="single" w:sz="18" w:space="0" w:color="000000"/>
            </w:tcBorders>
          </w:tcPr>
          <w:p>
            <w:pPr>
              <w:pStyle w:val="TableParagraph"/>
              <w:spacing w:line="149" w:lineRule="exact"/>
              <w:ind w:right="197"/>
              <w:rPr>
                <w:sz w:val="14"/>
              </w:rPr>
            </w:pPr>
            <w:r>
              <w:rPr>
                <w:sz w:val="14"/>
              </w:rPr>
              <w:t>$6,804,000</w:t>
            </w:r>
          </w:p>
        </w:tc>
        <w:tc>
          <w:tcPr>
            <w:tcW w:w="1143" w:type="dxa"/>
            <w:tcBorders>
              <w:top w:val="single" w:sz="18" w:space="0" w:color="000000"/>
            </w:tcBorders>
          </w:tcPr>
          <w:p>
            <w:pPr>
              <w:pStyle w:val="TableParagraph"/>
              <w:spacing w:line="149" w:lineRule="exact"/>
              <w:ind w:right="196"/>
              <w:rPr>
                <w:sz w:val="14"/>
              </w:rPr>
            </w:pPr>
            <w:r>
              <w:rPr>
                <w:sz w:val="14"/>
              </w:rPr>
              <w:t>$6,940,000</w:t>
            </w:r>
          </w:p>
        </w:tc>
        <w:tc>
          <w:tcPr>
            <w:tcW w:w="1143" w:type="dxa"/>
            <w:tcBorders>
              <w:top w:val="single" w:sz="18" w:space="0" w:color="000000"/>
            </w:tcBorders>
          </w:tcPr>
          <w:p>
            <w:pPr>
              <w:pStyle w:val="TableParagraph"/>
              <w:spacing w:line="149" w:lineRule="exact"/>
              <w:ind w:right="195"/>
              <w:rPr>
                <w:sz w:val="14"/>
              </w:rPr>
            </w:pPr>
            <w:r>
              <w:rPr>
                <w:sz w:val="14"/>
              </w:rPr>
              <w:t>$7,079,000</w:t>
            </w:r>
          </w:p>
        </w:tc>
        <w:tc>
          <w:tcPr>
            <w:tcW w:w="1143" w:type="dxa"/>
            <w:tcBorders>
              <w:top w:val="single" w:sz="18" w:space="0" w:color="000000"/>
            </w:tcBorders>
          </w:tcPr>
          <w:p>
            <w:pPr>
              <w:pStyle w:val="TableParagraph"/>
              <w:spacing w:line="149" w:lineRule="exact"/>
              <w:ind w:right="194"/>
              <w:rPr>
                <w:sz w:val="14"/>
              </w:rPr>
            </w:pPr>
            <w:r>
              <w:rPr>
                <w:sz w:val="14"/>
              </w:rPr>
              <w:t>$7,221,000</w:t>
            </w:r>
          </w:p>
        </w:tc>
        <w:tc>
          <w:tcPr>
            <w:tcW w:w="1143" w:type="dxa"/>
            <w:tcBorders>
              <w:top w:val="single" w:sz="18" w:space="0" w:color="000000"/>
            </w:tcBorders>
          </w:tcPr>
          <w:p>
            <w:pPr>
              <w:pStyle w:val="TableParagraph"/>
              <w:spacing w:line="149" w:lineRule="exact"/>
              <w:ind w:right="193"/>
              <w:rPr>
                <w:sz w:val="14"/>
              </w:rPr>
            </w:pPr>
            <w:r>
              <w:rPr>
                <w:sz w:val="14"/>
              </w:rPr>
              <w:t>$7,365,000</w:t>
            </w:r>
          </w:p>
        </w:tc>
        <w:tc>
          <w:tcPr>
            <w:tcW w:w="1182" w:type="dxa"/>
            <w:tcBorders>
              <w:top w:val="single" w:sz="18" w:space="0" w:color="000000"/>
            </w:tcBorders>
          </w:tcPr>
          <w:p>
            <w:pPr>
              <w:pStyle w:val="TableParagraph"/>
              <w:spacing w:line="149" w:lineRule="exact"/>
              <w:ind w:right="231"/>
              <w:rPr>
                <w:sz w:val="14"/>
              </w:rPr>
            </w:pPr>
            <w:r>
              <w:rPr>
                <w:sz w:val="14"/>
              </w:rPr>
              <w:t>$7,512,000</w:t>
            </w:r>
          </w:p>
        </w:tc>
        <w:tc>
          <w:tcPr>
            <w:tcW w:w="1058" w:type="dxa"/>
            <w:tcBorders>
              <w:top w:val="single" w:sz="18" w:space="0" w:color="000000"/>
            </w:tcBorders>
          </w:tcPr>
          <w:p>
            <w:pPr>
              <w:pStyle w:val="TableParagraph"/>
              <w:spacing w:line="149" w:lineRule="exact"/>
              <w:ind w:right="67"/>
              <w:rPr>
                <w:b/>
                <w:sz w:val="14"/>
              </w:rPr>
            </w:pPr>
            <w:r>
              <w:rPr>
                <w:b/>
                <w:sz w:val="14"/>
              </w:rPr>
              <w:t>$56,182,000</w:t>
            </w:r>
          </w:p>
        </w:tc>
      </w:tr>
      <w:tr>
        <w:trPr>
          <w:trHeight w:val="181" w:hRule="atLeast"/>
        </w:trPr>
        <w:tc>
          <w:tcPr>
            <w:tcW w:w="2491" w:type="dxa"/>
          </w:tcPr>
          <w:p>
            <w:pPr>
              <w:pStyle w:val="TableParagraph"/>
              <w:spacing w:line="155" w:lineRule="exact" w:before="6"/>
              <w:ind w:left="39"/>
              <w:jc w:val="left"/>
              <w:rPr>
                <w:sz w:val="14"/>
              </w:rPr>
            </w:pPr>
            <w:r>
              <w:rPr>
                <w:sz w:val="14"/>
              </w:rPr>
              <w:t>Commercial</w:t>
            </w:r>
          </w:p>
        </w:tc>
        <w:tc>
          <w:tcPr>
            <w:tcW w:w="2140" w:type="dxa"/>
          </w:tcPr>
          <w:p>
            <w:pPr>
              <w:pStyle w:val="TableParagraph"/>
              <w:spacing w:line="155" w:lineRule="exact" w:before="6"/>
              <w:ind w:right="162"/>
              <w:rPr>
                <w:sz w:val="14"/>
              </w:rPr>
            </w:pPr>
            <w:r>
              <w:rPr>
                <w:w w:val="102"/>
                <w:sz w:val="14"/>
              </w:rPr>
              <w:t>0</w:t>
            </w:r>
          </w:p>
        </w:tc>
        <w:tc>
          <w:tcPr>
            <w:tcW w:w="1146" w:type="dxa"/>
          </w:tcPr>
          <w:p>
            <w:pPr>
              <w:pStyle w:val="TableParagraph"/>
              <w:spacing w:line="155" w:lineRule="exact" w:before="6"/>
              <w:ind w:right="164"/>
              <w:rPr>
                <w:sz w:val="14"/>
              </w:rPr>
            </w:pPr>
            <w:r>
              <w:rPr>
                <w:w w:val="102"/>
                <w:sz w:val="14"/>
              </w:rPr>
              <w:t>0</w:t>
            </w:r>
          </w:p>
        </w:tc>
        <w:tc>
          <w:tcPr>
            <w:tcW w:w="1143" w:type="dxa"/>
          </w:tcPr>
          <w:p>
            <w:pPr>
              <w:pStyle w:val="TableParagraph"/>
              <w:spacing w:line="155" w:lineRule="exact" w:before="6"/>
              <w:ind w:right="163"/>
              <w:rPr>
                <w:sz w:val="14"/>
              </w:rPr>
            </w:pPr>
            <w:r>
              <w:rPr>
                <w:w w:val="102"/>
                <w:sz w:val="14"/>
              </w:rPr>
              <w:t>0</w:t>
            </w:r>
          </w:p>
        </w:tc>
        <w:tc>
          <w:tcPr>
            <w:tcW w:w="1143" w:type="dxa"/>
          </w:tcPr>
          <w:p>
            <w:pPr>
              <w:pStyle w:val="TableParagraph"/>
              <w:spacing w:line="155" w:lineRule="exact" w:before="6"/>
              <w:ind w:right="162"/>
              <w:rPr>
                <w:sz w:val="14"/>
              </w:rPr>
            </w:pPr>
            <w:r>
              <w:rPr>
                <w:w w:val="102"/>
                <w:sz w:val="14"/>
              </w:rPr>
              <w:t>0</w:t>
            </w:r>
          </w:p>
        </w:tc>
        <w:tc>
          <w:tcPr>
            <w:tcW w:w="1143" w:type="dxa"/>
          </w:tcPr>
          <w:p>
            <w:pPr>
              <w:pStyle w:val="TableParagraph"/>
              <w:spacing w:line="155" w:lineRule="exact" w:before="6"/>
              <w:ind w:right="161"/>
              <w:rPr>
                <w:sz w:val="14"/>
              </w:rPr>
            </w:pPr>
            <w:r>
              <w:rPr>
                <w:w w:val="102"/>
                <w:sz w:val="14"/>
              </w:rPr>
              <w:t>0</w:t>
            </w:r>
          </w:p>
        </w:tc>
        <w:tc>
          <w:tcPr>
            <w:tcW w:w="1143" w:type="dxa"/>
          </w:tcPr>
          <w:p>
            <w:pPr>
              <w:pStyle w:val="TableParagraph"/>
              <w:spacing w:line="155" w:lineRule="exact" w:before="6"/>
              <w:ind w:right="160"/>
              <w:rPr>
                <w:sz w:val="14"/>
              </w:rPr>
            </w:pPr>
            <w:r>
              <w:rPr>
                <w:w w:val="102"/>
                <w:sz w:val="14"/>
              </w:rPr>
              <w:t>0</w:t>
            </w:r>
          </w:p>
        </w:tc>
        <w:tc>
          <w:tcPr>
            <w:tcW w:w="1143" w:type="dxa"/>
          </w:tcPr>
          <w:p>
            <w:pPr>
              <w:pStyle w:val="TableParagraph"/>
              <w:spacing w:line="155" w:lineRule="exact" w:before="6"/>
              <w:ind w:right="159"/>
              <w:rPr>
                <w:sz w:val="14"/>
              </w:rPr>
            </w:pPr>
            <w:r>
              <w:rPr>
                <w:w w:val="102"/>
                <w:sz w:val="14"/>
              </w:rPr>
              <w:t>0</w:t>
            </w:r>
          </w:p>
        </w:tc>
        <w:tc>
          <w:tcPr>
            <w:tcW w:w="1182" w:type="dxa"/>
          </w:tcPr>
          <w:p>
            <w:pPr>
              <w:pStyle w:val="TableParagraph"/>
              <w:spacing w:line="155" w:lineRule="exact" w:before="6"/>
              <w:ind w:right="197"/>
              <w:rPr>
                <w:sz w:val="14"/>
              </w:rPr>
            </w:pPr>
            <w:r>
              <w:rPr>
                <w:w w:val="102"/>
                <w:sz w:val="14"/>
              </w:rPr>
              <w:t>0</w:t>
            </w:r>
          </w:p>
        </w:tc>
        <w:tc>
          <w:tcPr>
            <w:tcW w:w="1058" w:type="dxa"/>
          </w:tcPr>
          <w:p>
            <w:pPr>
              <w:pStyle w:val="TableParagraph"/>
              <w:spacing w:line="155" w:lineRule="exact" w:before="6"/>
              <w:ind w:right="33"/>
              <w:rPr>
                <w:b/>
                <w:sz w:val="14"/>
              </w:rPr>
            </w:pPr>
            <w:r>
              <w:rPr>
                <w:b/>
                <w:w w:val="102"/>
                <w:sz w:val="14"/>
              </w:rPr>
              <w:t>0</w:t>
            </w:r>
          </w:p>
        </w:tc>
      </w:tr>
      <w:tr>
        <w:trPr>
          <w:trHeight w:val="182" w:hRule="atLeast"/>
        </w:trPr>
        <w:tc>
          <w:tcPr>
            <w:tcW w:w="2491" w:type="dxa"/>
          </w:tcPr>
          <w:p>
            <w:pPr>
              <w:pStyle w:val="TableParagraph"/>
              <w:spacing w:line="155" w:lineRule="exact" w:before="6"/>
              <w:ind w:left="39"/>
              <w:jc w:val="left"/>
              <w:rPr>
                <w:sz w:val="14"/>
              </w:rPr>
            </w:pPr>
            <w:r>
              <w:rPr>
                <w:sz w:val="14"/>
              </w:rPr>
              <w:t>Industrial</w:t>
            </w:r>
          </w:p>
        </w:tc>
        <w:tc>
          <w:tcPr>
            <w:tcW w:w="2140" w:type="dxa"/>
          </w:tcPr>
          <w:p>
            <w:pPr>
              <w:pStyle w:val="TableParagraph"/>
              <w:spacing w:line="155" w:lineRule="exact" w:before="6"/>
              <w:ind w:right="162"/>
              <w:rPr>
                <w:sz w:val="14"/>
              </w:rPr>
            </w:pPr>
            <w:r>
              <w:rPr>
                <w:w w:val="102"/>
                <w:sz w:val="14"/>
              </w:rPr>
              <w:t>0</w:t>
            </w:r>
          </w:p>
        </w:tc>
        <w:tc>
          <w:tcPr>
            <w:tcW w:w="1146" w:type="dxa"/>
          </w:tcPr>
          <w:p>
            <w:pPr>
              <w:pStyle w:val="TableParagraph"/>
              <w:spacing w:line="155" w:lineRule="exact" w:before="6"/>
              <w:ind w:right="164"/>
              <w:rPr>
                <w:sz w:val="14"/>
              </w:rPr>
            </w:pPr>
            <w:r>
              <w:rPr>
                <w:w w:val="102"/>
                <w:sz w:val="14"/>
              </w:rPr>
              <w:t>0</w:t>
            </w:r>
          </w:p>
        </w:tc>
        <w:tc>
          <w:tcPr>
            <w:tcW w:w="1143" w:type="dxa"/>
          </w:tcPr>
          <w:p>
            <w:pPr>
              <w:pStyle w:val="TableParagraph"/>
              <w:spacing w:line="155" w:lineRule="exact" w:before="6"/>
              <w:ind w:right="163"/>
              <w:rPr>
                <w:sz w:val="14"/>
              </w:rPr>
            </w:pPr>
            <w:r>
              <w:rPr>
                <w:w w:val="102"/>
                <w:sz w:val="14"/>
              </w:rPr>
              <w:t>0</w:t>
            </w:r>
          </w:p>
        </w:tc>
        <w:tc>
          <w:tcPr>
            <w:tcW w:w="1143" w:type="dxa"/>
          </w:tcPr>
          <w:p>
            <w:pPr>
              <w:pStyle w:val="TableParagraph"/>
              <w:spacing w:line="155" w:lineRule="exact" w:before="6"/>
              <w:ind w:right="162"/>
              <w:rPr>
                <w:sz w:val="14"/>
              </w:rPr>
            </w:pPr>
            <w:r>
              <w:rPr>
                <w:w w:val="102"/>
                <w:sz w:val="14"/>
              </w:rPr>
              <w:t>0</w:t>
            </w:r>
          </w:p>
        </w:tc>
        <w:tc>
          <w:tcPr>
            <w:tcW w:w="1143" w:type="dxa"/>
          </w:tcPr>
          <w:p>
            <w:pPr>
              <w:pStyle w:val="TableParagraph"/>
              <w:spacing w:line="155" w:lineRule="exact" w:before="6"/>
              <w:ind w:right="161"/>
              <w:rPr>
                <w:sz w:val="14"/>
              </w:rPr>
            </w:pPr>
            <w:r>
              <w:rPr>
                <w:w w:val="102"/>
                <w:sz w:val="14"/>
              </w:rPr>
              <w:t>0</w:t>
            </w:r>
          </w:p>
        </w:tc>
        <w:tc>
          <w:tcPr>
            <w:tcW w:w="1143" w:type="dxa"/>
          </w:tcPr>
          <w:p>
            <w:pPr>
              <w:pStyle w:val="TableParagraph"/>
              <w:spacing w:line="155" w:lineRule="exact" w:before="6"/>
              <w:ind w:right="160"/>
              <w:rPr>
                <w:sz w:val="14"/>
              </w:rPr>
            </w:pPr>
            <w:r>
              <w:rPr>
                <w:w w:val="102"/>
                <w:sz w:val="14"/>
              </w:rPr>
              <w:t>0</w:t>
            </w:r>
          </w:p>
        </w:tc>
        <w:tc>
          <w:tcPr>
            <w:tcW w:w="1143" w:type="dxa"/>
          </w:tcPr>
          <w:p>
            <w:pPr>
              <w:pStyle w:val="TableParagraph"/>
              <w:spacing w:line="155" w:lineRule="exact" w:before="6"/>
              <w:ind w:right="159"/>
              <w:rPr>
                <w:sz w:val="14"/>
              </w:rPr>
            </w:pPr>
            <w:r>
              <w:rPr>
                <w:w w:val="102"/>
                <w:sz w:val="14"/>
              </w:rPr>
              <w:t>0</w:t>
            </w:r>
          </w:p>
        </w:tc>
        <w:tc>
          <w:tcPr>
            <w:tcW w:w="1182" w:type="dxa"/>
          </w:tcPr>
          <w:p>
            <w:pPr>
              <w:pStyle w:val="TableParagraph"/>
              <w:spacing w:line="155" w:lineRule="exact" w:before="6"/>
              <w:ind w:right="197"/>
              <w:rPr>
                <w:sz w:val="14"/>
              </w:rPr>
            </w:pPr>
            <w:r>
              <w:rPr>
                <w:w w:val="102"/>
                <w:sz w:val="14"/>
              </w:rPr>
              <w:t>0</w:t>
            </w:r>
          </w:p>
        </w:tc>
        <w:tc>
          <w:tcPr>
            <w:tcW w:w="1058" w:type="dxa"/>
          </w:tcPr>
          <w:p>
            <w:pPr>
              <w:pStyle w:val="TableParagraph"/>
              <w:spacing w:line="155" w:lineRule="exact" w:before="6"/>
              <w:ind w:right="33"/>
              <w:rPr>
                <w:b/>
                <w:sz w:val="14"/>
              </w:rPr>
            </w:pPr>
            <w:r>
              <w:rPr>
                <w:b/>
                <w:w w:val="102"/>
                <w:sz w:val="14"/>
              </w:rPr>
              <w:t>0</w:t>
            </w:r>
          </w:p>
        </w:tc>
      </w:tr>
      <w:tr>
        <w:trPr>
          <w:trHeight w:val="182" w:hRule="atLeast"/>
        </w:trPr>
        <w:tc>
          <w:tcPr>
            <w:tcW w:w="2491" w:type="dxa"/>
          </w:tcPr>
          <w:p>
            <w:pPr>
              <w:pStyle w:val="TableParagraph"/>
              <w:spacing w:line="155" w:lineRule="exact" w:before="6"/>
              <w:ind w:left="39"/>
              <w:jc w:val="left"/>
              <w:rPr>
                <w:sz w:val="14"/>
              </w:rPr>
            </w:pPr>
            <w:r>
              <w:rPr>
                <w:sz w:val="14"/>
              </w:rPr>
              <w:t>Agriculture</w:t>
            </w:r>
          </w:p>
        </w:tc>
        <w:tc>
          <w:tcPr>
            <w:tcW w:w="2140" w:type="dxa"/>
          </w:tcPr>
          <w:p>
            <w:pPr>
              <w:pStyle w:val="TableParagraph"/>
              <w:spacing w:line="155" w:lineRule="exact" w:before="6"/>
              <w:ind w:right="162"/>
              <w:rPr>
                <w:sz w:val="14"/>
              </w:rPr>
            </w:pPr>
            <w:r>
              <w:rPr>
                <w:w w:val="102"/>
                <w:sz w:val="14"/>
              </w:rPr>
              <w:t>0</w:t>
            </w:r>
          </w:p>
        </w:tc>
        <w:tc>
          <w:tcPr>
            <w:tcW w:w="1146" w:type="dxa"/>
          </w:tcPr>
          <w:p>
            <w:pPr>
              <w:pStyle w:val="TableParagraph"/>
              <w:spacing w:line="155" w:lineRule="exact" w:before="6"/>
              <w:ind w:right="164"/>
              <w:rPr>
                <w:sz w:val="14"/>
              </w:rPr>
            </w:pPr>
            <w:r>
              <w:rPr>
                <w:w w:val="102"/>
                <w:sz w:val="14"/>
              </w:rPr>
              <w:t>0</w:t>
            </w:r>
          </w:p>
        </w:tc>
        <w:tc>
          <w:tcPr>
            <w:tcW w:w="1143" w:type="dxa"/>
          </w:tcPr>
          <w:p>
            <w:pPr>
              <w:pStyle w:val="TableParagraph"/>
              <w:spacing w:line="155" w:lineRule="exact" w:before="6"/>
              <w:ind w:right="163"/>
              <w:rPr>
                <w:sz w:val="14"/>
              </w:rPr>
            </w:pPr>
            <w:r>
              <w:rPr>
                <w:w w:val="102"/>
                <w:sz w:val="14"/>
              </w:rPr>
              <w:t>0</w:t>
            </w:r>
          </w:p>
        </w:tc>
        <w:tc>
          <w:tcPr>
            <w:tcW w:w="1143" w:type="dxa"/>
          </w:tcPr>
          <w:p>
            <w:pPr>
              <w:pStyle w:val="TableParagraph"/>
              <w:spacing w:line="155" w:lineRule="exact" w:before="6"/>
              <w:ind w:right="162"/>
              <w:rPr>
                <w:sz w:val="14"/>
              </w:rPr>
            </w:pPr>
            <w:r>
              <w:rPr>
                <w:w w:val="102"/>
                <w:sz w:val="14"/>
              </w:rPr>
              <w:t>0</w:t>
            </w:r>
          </w:p>
        </w:tc>
        <w:tc>
          <w:tcPr>
            <w:tcW w:w="1143" w:type="dxa"/>
          </w:tcPr>
          <w:p>
            <w:pPr>
              <w:pStyle w:val="TableParagraph"/>
              <w:spacing w:line="155" w:lineRule="exact" w:before="6"/>
              <w:ind w:right="161"/>
              <w:rPr>
                <w:sz w:val="14"/>
              </w:rPr>
            </w:pPr>
            <w:r>
              <w:rPr>
                <w:w w:val="102"/>
                <w:sz w:val="14"/>
              </w:rPr>
              <w:t>0</w:t>
            </w:r>
          </w:p>
        </w:tc>
        <w:tc>
          <w:tcPr>
            <w:tcW w:w="1143" w:type="dxa"/>
          </w:tcPr>
          <w:p>
            <w:pPr>
              <w:pStyle w:val="TableParagraph"/>
              <w:spacing w:line="155" w:lineRule="exact" w:before="6"/>
              <w:ind w:right="160"/>
              <w:rPr>
                <w:sz w:val="14"/>
              </w:rPr>
            </w:pPr>
            <w:r>
              <w:rPr>
                <w:w w:val="102"/>
                <w:sz w:val="14"/>
              </w:rPr>
              <w:t>0</w:t>
            </w:r>
          </w:p>
        </w:tc>
        <w:tc>
          <w:tcPr>
            <w:tcW w:w="1143" w:type="dxa"/>
          </w:tcPr>
          <w:p>
            <w:pPr>
              <w:pStyle w:val="TableParagraph"/>
              <w:spacing w:line="155" w:lineRule="exact" w:before="6"/>
              <w:ind w:right="159"/>
              <w:rPr>
                <w:sz w:val="14"/>
              </w:rPr>
            </w:pPr>
            <w:r>
              <w:rPr>
                <w:w w:val="102"/>
                <w:sz w:val="14"/>
              </w:rPr>
              <w:t>0</w:t>
            </w:r>
          </w:p>
        </w:tc>
        <w:tc>
          <w:tcPr>
            <w:tcW w:w="1182" w:type="dxa"/>
          </w:tcPr>
          <w:p>
            <w:pPr>
              <w:pStyle w:val="TableParagraph"/>
              <w:spacing w:line="155" w:lineRule="exact" w:before="6"/>
              <w:ind w:right="197"/>
              <w:rPr>
                <w:sz w:val="14"/>
              </w:rPr>
            </w:pPr>
            <w:r>
              <w:rPr>
                <w:w w:val="102"/>
                <w:sz w:val="14"/>
              </w:rPr>
              <w:t>0</w:t>
            </w:r>
          </w:p>
        </w:tc>
        <w:tc>
          <w:tcPr>
            <w:tcW w:w="1058" w:type="dxa"/>
          </w:tcPr>
          <w:p>
            <w:pPr>
              <w:pStyle w:val="TableParagraph"/>
              <w:spacing w:line="155" w:lineRule="exact" w:before="6"/>
              <w:ind w:right="33"/>
              <w:rPr>
                <w:b/>
                <w:sz w:val="14"/>
              </w:rPr>
            </w:pPr>
            <w:r>
              <w:rPr>
                <w:b/>
                <w:w w:val="102"/>
                <w:sz w:val="14"/>
              </w:rPr>
              <w:t>0</w:t>
            </w:r>
          </w:p>
        </w:tc>
      </w:tr>
      <w:tr>
        <w:trPr>
          <w:trHeight w:val="181" w:hRule="atLeast"/>
        </w:trPr>
        <w:tc>
          <w:tcPr>
            <w:tcW w:w="2491" w:type="dxa"/>
          </w:tcPr>
          <w:p>
            <w:pPr>
              <w:pStyle w:val="TableParagraph"/>
              <w:spacing w:line="155" w:lineRule="exact" w:before="6"/>
              <w:ind w:left="39"/>
              <w:jc w:val="left"/>
              <w:rPr>
                <w:sz w:val="14"/>
              </w:rPr>
            </w:pPr>
            <w:r>
              <w:rPr>
                <w:sz w:val="14"/>
              </w:rPr>
              <w:t>Emerging Tech</w:t>
            </w:r>
          </w:p>
        </w:tc>
        <w:tc>
          <w:tcPr>
            <w:tcW w:w="2140" w:type="dxa"/>
          </w:tcPr>
          <w:p>
            <w:pPr>
              <w:pStyle w:val="TableParagraph"/>
              <w:spacing w:line="155" w:lineRule="exact" w:before="6"/>
              <w:ind w:right="162"/>
              <w:rPr>
                <w:sz w:val="14"/>
              </w:rPr>
            </w:pPr>
            <w:r>
              <w:rPr>
                <w:w w:val="102"/>
                <w:sz w:val="14"/>
              </w:rPr>
              <w:t>0</w:t>
            </w:r>
          </w:p>
        </w:tc>
        <w:tc>
          <w:tcPr>
            <w:tcW w:w="1146" w:type="dxa"/>
          </w:tcPr>
          <w:p>
            <w:pPr>
              <w:pStyle w:val="TableParagraph"/>
              <w:spacing w:line="155" w:lineRule="exact" w:before="6"/>
              <w:ind w:right="164"/>
              <w:rPr>
                <w:sz w:val="14"/>
              </w:rPr>
            </w:pPr>
            <w:r>
              <w:rPr>
                <w:w w:val="102"/>
                <w:sz w:val="14"/>
              </w:rPr>
              <w:t>0</w:t>
            </w:r>
          </w:p>
        </w:tc>
        <w:tc>
          <w:tcPr>
            <w:tcW w:w="1143" w:type="dxa"/>
          </w:tcPr>
          <w:p>
            <w:pPr>
              <w:pStyle w:val="TableParagraph"/>
              <w:spacing w:line="155" w:lineRule="exact" w:before="6"/>
              <w:ind w:right="163"/>
              <w:rPr>
                <w:sz w:val="14"/>
              </w:rPr>
            </w:pPr>
            <w:r>
              <w:rPr>
                <w:w w:val="102"/>
                <w:sz w:val="14"/>
              </w:rPr>
              <w:t>0</w:t>
            </w:r>
          </w:p>
        </w:tc>
        <w:tc>
          <w:tcPr>
            <w:tcW w:w="1143" w:type="dxa"/>
          </w:tcPr>
          <w:p>
            <w:pPr>
              <w:pStyle w:val="TableParagraph"/>
              <w:spacing w:line="155" w:lineRule="exact" w:before="6"/>
              <w:ind w:right="162"/>
              <w:rPr>
                <w:sz w:val="14"/>
              </w:rPr>
            </w:pPr>
            <w:r>
              <w:rPr>
                <w:w w:val="102"/>
                <w:sz w:val="14"/>
              </w:rPr>
              <w:t>0</w:t>
            </w:r>
          </w:p>
        </w:tc>
        <w:tc>
          <w:tcPr>
            <w:tcW w:w="1143" w:type="dxa"/>
          </w:tcPr>
          <w:p>
            <w:pPr>
              <w:pStyle w:val="TableParagraph"/>
              <w:spacing w:line="155" w:lineRule="exact" w:before="6"/>
              <w:ind w:right="161"/>
              <w:rPr>
                <w:sz w:val="14"/>
              </w:rPr>
            </w:pPr>
            <w:r>
              <w:rPr>
                <w:w w:val="102"/>
                <w:sz w:val="14"/>
              </w:rPr>
              <w:t>0</w:t>
            </w:r>
          </w:p>
        </w:tc>
        <w:tc>
          <w:tcPr>
            <w:tcW w:w="1143" w:type="dxa"/>
          </w:tcPr>
          <w:p>
            <w:pPr>
              <w:pStyle w:val="TableParagraph"/>
              <w:spacing w:line="155" w:lineRule="exact" w:before="6"/>
              <w:ind w:right="160"/>
              <w:rPr>
                <w:sz w:val="14"/>
              </w:rPr>
            </w:pPr>
            <w:r>
              <w:rPr>
                <w:w w:val="102"/>
                <w:sz w:val="14"/>
              </w:rPr>
              <w:t>0</w:t>
            </w:r>
          </w:p>
        </w:tc>
        <w:tc>
          <w:tcPr>
            <w:tcW w:w="1143" w:type="dxa"/>
          </w:tcPr>
          <w:p>
            <w:pPr>
              <w:pStyle w:val="TableParagraph"/>
              <w:spacing w:line="155" w:lineRule="exact" w:before="6"/>
              <w:ind w:right="159"/>
              <w:rPr>
                <w:sz w:val="14"/>
              </w:rPr>
            </w:pPr>
            <w:r>
              <w:rPr>
                <w:w w:val="102"/>
                <w:sz w:val="14"/>
              </w:rPr>
              <w:t>0</w:t>
            </w:r>
          </w:p>
        </w:tc>
        <w:tc>
          <w:tcPr>
            <w:tcW w:w="1182" w:type="dxa"/>
          </w:tcPr>
          <w:p>
            <w:pPr>
              <w:pStyle w:val="TableParagraph"/>
              <w:spacing w:line="155" w:lineRule="exact" w:before="6"/>
              <w:ind w:right="197"/>
              <w:rPr>
                <w:sz w:val="14"/>
              </w:rPr>
            </w:pPr>
            <w:r>
              <w:rPr>
                <w:w w:val="102"/>
                <w:sz w:val="14"/>
              </w:rPr>
              <w:t>0</w:t>
            </w:r>
          </w:p>
        </w:tc>
        <w:tc>
          <w:tcPr>
            <w:tcW w:w="1058" w:type="dxa"/>
          </w:tcPr>
          <w:p>
            <w:pPr>
              <w:pStyle w:val="TableParagraph"/>
              <w:spacing w:line="155" w:lineRule="exact" w:before="6"/>
              <w:ind w:right="33"/>
              <w:rPr>
                <w:b/>
                <w:sz w:val="14"/>
              </w:rPr>
            </w:pPr>
            <w:r>
              <w:rPr>
                <w:b/>
                <w:w w:val="102"/>
                <w:sz w:val="14"/>
              </w:rPr>
              <w:t>0</w:t>
            </w:r>
          </w:p>
        </w:tc>
      </w:tr>
      <w:tr>
        <w:trPr>
          <w:trHeight w:val="182" w:hRule="atLeast"/>
        </w:trPr>
        <w:tc>
          <w:tcPr>
            <w:tcW w:w="2491" w:type="dxa"/>
          </w:tcPr>
          <w:p>
            <w:pPr>
              <w:pStyle w:val="TableParagraph"/>
              <w:spacing w:line="155" w:lineRule="exact" w:before="6"/>
              <w:ind w:left="39"/>
              <w:jc w:val="left"/>
              <w:rPr>
                <w:sz w:val="14"/>
              </w:rPr>
            </w:pPr>
            <w:r>
              <w:rPr>
                <w:sz w:val="14"/>
              </w:rPr>
              <w:t>Public</w:t>
            </w:r>
          </w:p>
        </w:tc>
        <w:tc>
          <w:tcPr>
            <w:tcW w:w="2140" w:type="dxa"/>
          </w:tcPr>
          <w:p>
            <w:pPr>
              <w:pStyle w:val="TableParagraph"/>
              <w:spacing w:line="155" w:lineRule="exact" w:before="6"/>
              <w:ind w:right="196"/>
              <w:rPr>
                <w:sz w:val="14"/>
              </w:rPr>
            </w:pPr>
            <w:r>
              <w:rPr>
                <w:sz w:val="14"/>
              </w:rPr>
              <w:t>$9,815,000</w:t>
            </w:r>
          </w:p>
        </w:tc>
        <w:tc>
          <w:tcPr>
            <w:tcW w:w="1146" w:type="dxa"/>
          </w:tcPr>
          <w:p>
            <w:pPr>
              <w:pStyle w:val="TableParagraph"/>
              <w:spacing w:line="155" w:lineRule="exact" w:before="6"/>
              <w:ind w:right="198"/>
              <w:rPr>
                <w:sz w:val="14"/>
              </w:rPr>
            </w:pPr>
            <w:r>
              <w:rPr>
                <w:sz w:val="14"/>
              </w:rPr>
              <w:t>$11,500,000</w:t>
            </w:r>
          </w:p>
        </w:tc>
        <w:tc>
          <w:tcPr>
            <w:tcW w:w="1143" w:type="dxa"/>
          </w:tcPr>
          <w:p>
            <w:pPr>
              <w:pStyle w:val="TableParagraph"/>
              <w:spacing w:line="155" w:lineRule="exact" w:before="6"/>
              <w:ind w:right="197"/>
              <w:rPr>
                <w:sz w:val="14"/>
              </w:rPr>
            </w:pPr>
            <w:r>
              <w:rPr>
                <w:sz w:val="14"/>
              </w:rPr>
              <w:t>$11,794,000</w:t>
            </w:r>
          </w:p>
        </w:tc>
        <w:tc>
          <w:tcPr>
            <w:tcW w:w="1143" w:type="dxa"/>
          </w:tcPr>
          <w:p>
            <w:pPr>
              <w:pStyle w:val="TableParagraph"/>
              <w:spacing w:line="155" w:lineRule="exact" w:before="6"/>
              <w:ind w:right="196"/>
              <w:rPr>
                <w:sz w:val="14"/>
              </w:rPr>
            </w:pPr>
            <w:r>
              <w:rPr>
                <w:sz w:val="14"/>
              </w:rPr>
              <w:t>$12,030,000</w:t>
            </w:r>
          </w:p>
        </w:tc>
        <w:tc>
          <w:tcPr>
            <w:tcW w:w="1143" w:type="dxa"/>
          </w:tcPr>
          <w:p>
            <w:pPr>
              <w:pStyle w:val="TableParagraph"/>
              <w:spacing w:line="155" w:lineRule="exact" w:before="6"/>
              <w:ind w:right="195"/>
              <w:rPr>
                <w:sz w:val="14"/>
              </w:rPr>
            </w:pPr>
            <w:r>
              <w:rPr>
                <w:sz w:val="14"/>
              </w:rPr>
              <w:t>$12,270,000</w:t>
            </w:r>
          </w:p>
        </w:tc>
        <w:tc>
          <w:tcPr>
            <w:tcW w:w="1143" w:type="dxa"/>
          </w:tcPr>
          <w:p>
            <w:pPr>
              <w:pStyle w:val="TableParagraph"/>
              <w:spacing w:line="155" w:lineRule="exact" w:before="6"/>
              <w:ind w:right="194"/>
              <w:rPr>
                <w:sz w:val="14"/>
              </w:rPr>
            </w:pPr>
            <w:r>
              <w:rPr>
                <w:sz w:val="14"/>
              </w:rPr>
              <w:t>$12,516,000</w:t>
            </w:r>
          </w:p>
        </w:tc>
        <w:tc>
          <w:tcPr>
            <w:tcW w:w="1143" w:type="dxa"/>
          </w:tcPr>
          <w:p>
            <w:pPr>
              <w:pStyle w:val="TableParagraph"/>
              <w:spacing w:line="155" w:lineRule="exact" w:before="6"/>
              <w:ind w:right="193"/>
              <w:rPr>
                <w:sz w:val="14"/>
              </w:rPr>
            </w:pPr>
            <w:r>
              <w:rPr>
                <w:sz w:val="14"/>
              </w:rPr>
              <w:t>$12,766,000</w:t>
            </w:r>
          </w:p>
        </w:tc>
        <w:tc>
          <w:tcPr>
            <w:tcW w:w="1182" w:type="dxa"/>
          </w:tcPr>
          <w:p>
            <w:pPr>
              <w:pStyle w:val="TableParagraph"/>
              <w:spacing w:line="155" w:lineRule="exact" w:before="6"/>
              <w:ind w:right="231"/>
              <w:rPr>
                <w:sz w:val="14"/>
              </w:rPr>
            </w:pPr>
            <w:r>
              <w:rPr>
                <w:sz w:val="14"/>
              </w:rPr>
              <w:t>$13,022,000</w:t>
            </w:r>
          </w:p>
        </w:tc>
        <w:tc>
          <w:tcPr>
            <w:tcW w:w="1058" w:type="dxa"/>
          </w:tcPr>
          <w:p>
            <w:pPr>
              <w:pStyle w:val="TableParagraph"/>
              <w:spacing w:line="155" w:lineRule="exact" w:before="6"/>
              <w:ind w:right="67"/>
              <w:rPr>
                <w:b/>
                <w:sz w:val="14"/>
              </w:rPr>
            </w:pPr>
            <w:r>
              <w:rPr>
                <w:b/>
                <w:sz w:val="14"/>
              </w:rPr>
              <w:t>$95,713,000</w:t>
            </w:r>
          </w:p>
        </w:tc>
      </w:tr>
      <w:tr>
        <w:trPr>
          <w:trHeight w:val="182" w:hRule="atLeast"/>
        </w:trPr>
        <w:tc>
          <w:tcPr>
            <w:tcW w:w="2491" w:type="dxa"/>
          </w:tcPr>
          <w:p>
            <w:pPr>
              <w:pStyle w:val="TableParagraph"/>
              <w:spacing w:line="155" w:lineRule="exact" w:before="6"/>
              <w:ind w:left="39"/>
              <w:jc w:val="left"/>
              <w:rPr>
                <w:sz w:val="14"/>
              </w:rPr>
            </w:pPr>
            <w:r>
              <w:rPr>
                <w:sz w:val="14"/>
              </w:rPr>
              <w:t>Codes and Standards</w:t>
            </w:r>
          </w:p>
        </w:tc>
        <w:tc>
          <w:tcPr>
            <w:tcW w:w="2140" w:type="dxa"/>
          </w:tcPr>
          <w:p>
            <w:pPr>
              <w:pStyle w:val="TableParagraph"/>
              <w:spacing w:line="155" w:lineRule="exact" w:before="6"/>
              <w:ind w:right="162"/>
              <w:rPr>
                <w:sz w:val="14"/>
              </w:rPr>
            </w:pPr>
            <w:r>
              <w:rPr>
                <w:w w:val="102"/>
                <w:sz w:val="14"/>
              </w:rPr>
              <w:t>0</w:t>
            </w:r>
          </w:p>
        </w:tc>
        <w:tc>
          <w:tcPr>
            <w:tcW w:w="1146" w:type="dxa"/>
          </w:tcPr>
          <w:p>
            <w:pPr>
              <w:pStyle w:val="TableParagraph"/>
              <w:spacing w:line="155" w:lineRule="exact" w:before="6"/>
              <w:ind w:right="164"/>
              <w:rPr>
                <w:sz w:val="14"/>
              </w:rPr>
            </w:pPr>
            <w:r>
              <w:rPr>
                <w:w w:val="102"/>
                <w:sz w:val="14"/>
              </w:rPr>
              <w:t>0</w:t>
            </w:r>
          </w:p>
        </w:tc>
        <w:tc>
          <w:tcPr>
            <w:tcW w:w="1143" w:type="dxa"/>
          </w:tcPr>
          <w:p>
            <w:pPr>
              <w:pStyle w:val="TableParagraph"/>
              <w:spacing w:line="155" w:lineRule="exact" w:before="6"/>
              <w:ind w:right="163"/>
              <w:rPr>
                <w:sz w:val="14"/>
              </w:rPr>
            </w:pPr>
            <w:r>
              <w:rPr>
                <w:w w:val="102"/>
                <w:sz w:val="14"/>
              </w:rPr>
              <w:t>0</w:t>
            </w:r>
          </w:p>
        </w:tc>
        <w:tc>
          <w:tcPr>
            <w:tcW w:w="1143" w:type="dxa"/>
          </w:tcPr>
          <w:p>
            <w:pPr>
              <w:pStyle w:val="TableParagraph"/>
              <w:spacing w:line="155" w:lineRule="exact" w:before="6"/>
              <w:ind w:right="162"/>
              <w:rPr>
                <w:sz w:val="14"/>
              </w:rPr>
            </w:pPr>
            <w:r>
              <w:rPr>
                <w:w w:val="102"/>
                <w:sz w:val="14"/>
              </w:rPr>
              <w:t>0</w:t>
            </w:r>
          </w:p>
        </w:tc>
        <w:tc>
          <w:tcPr>
            <w:tcW w:w="1143" w:type="dxa"/>
          </w:tcPr>
          <w:p>
            <w:pPr>
              <w:pStyle w:val="TableParagraph"/>
              <w:spacing w:line="155" w:lineRule="exact" w:before="6"/>
              <w:ind w:right="161"/>
              <w:rPr>
                <w:sz w:val="14"/>
              </w:rPr>
            </w:pPr>
            <w:r>
              <w:rPr>
                <w:w w:val="102"/>
                <w:sz w:val="14"/>
              </w:rPr>
              <w:t>0</w:t>
            </w:r>
          </w:p>
        </w:tc>
        <w:tc>
          <w:tcPr>
            <w:tcW w:w="1143" w:type="dxa"/>
          </w:tcPr>
          <w:p>
            <w:pPr>
              <w:pStyle w:val="TableParagraph"/>
              <w:spacing w:line="155" w:lineRule="exact" w:before="6"/>
              <w:ind w:right="160"/>
              <w:rPr>
                <w:sz w:val="14"/>
              </w:rPr>
            </w:pPr>
            <w:r>
              <w:rPr>
                <w:w w:val="102"/>
                <w:sz w:val="14"/>
              </w:rPr>
              <w:t>0</w:t>
            </w:r>
          </w:p>
        </w:tc>
        <w:tc>
          <w:tcPr>
            <w:tcW w:w="1143" w:type="dxa"/>
          </w:tcPr>
          <w:p>
            <w:pPr>
              <w:pStyle w:val="TableParagraph"/>
              <w:spacing w:line="155" w:lineRule="exact" w:before="6"/>
              <w:ind w:right="159"/>
              <w:rPr>
                <w:sz w:val="14"/>
              </w:rPr>
            </w:pPr>
            <w:r>
              <w:rPr>
                <w:w w:val="102"/>
                <w:sz w:val="14"/>
              </w:rPr>
              <w:t>0</w:t>
            </w:r>
          </w:p>
        </w:tc>
        <w:tc>
          <w:tcPr>
            <w:tcW w:w="1182" w:type="dxa"/>
          </w:tcPr>
          <w:p>
            <w:pPr>
              <w:pStyle w:val="TableParagraph"/>
              <w:spacing w:line="155" w:lineRule="exact" w:before="6"/>
              <w:ind w:right="197"/>
              <w:rPr>
                <w:sz w:val="14"/>
              </w:rPr>
            </w:pPr>
            <w:r>
              <w:rPr>
                <w:w w:val="102"/>
                <w:sz w:val="14"/>
              </w:rPr>
              <w:t>0</w:t>
            </w:r>
          </w:p>
        </w:tc>
        <w:tc>
          <w:tcPr>
            <w:tcW w:w="1058" w:type="dxa"/>
          </w:tcPr>
          <w:p>
            <w:pPr>
              <w:pStyle w:val="TableParagraph"/>
              <w:spacing w:line="155" w:lineRule="exact" w:before="6"/>
              <w:ind w:right="33"/>
              <w:rPr>
                <w:b/>
                <w:sz w:val="14"/>
              </w:rPr>
            </w:pPr>
            <w:r>
              <w:rPr>
                <w:b/>
                <w:w w:val="102"/>
                <w:sz w:val="14"/>
              </w:rPr>
              <w:t>0</w:t>
            </w:r>
          </w:p>
        </w:tc>
      </w:tr>
      <w:tr>
        <w:trPr>
          <w:trHeight w:val="181" w:hRule="atLeast"/>
        </w:trPr>
        <w:tc>
          <w:tcPr>
            <w:tcW w:w="2491" w:type="dxa"/>
          </w:tcPr>
          <w:p>
            <w:pPr>
              <w:pStyle w:val="TableParagraph"/>
              <w:spacing w:line="155" w:lineRule="exact" w:before="6"/>
              <w:ind w:left="39"/>
              <w:jc w:val="left"/>
              <w:rPr>
                <w:sz w:val="14"/>
              </w:rPr>
            </w:pPr>
            <w:r>
              <w:rPr>
                <w:sz w:val="14"/>
              </w:rPr>
              <w:t>WE&amp;T</w:t>
            </w:r>
          </w:p>
        </w:tc>
        <w:tc>
          <w:tcPr>
            <w:tcW w:w="2140" w:type="dxa"/>
          </w:tcPr>
          <w:p>
            <w:pPr>
              <w:pStyle w:val="TableParagraph"/>
              <w:spacing w:line="155" w:lineRule="exact" w:before="6"/>
              <w:ind w:right="196"/>
              <w:rPr>
                <w:sz w:val="14"/>
              </w:rPr>
            </w:pPr>
            <w:r>
              <w:rPr>
                <w:sz w:val="14"/>
              </w:rPr>
              <w:t>$258,000</w:t>
            </w:r>
          </w:p>
        </w:tc>
        <w:tc>
          <w:tcPr>
            <w:tcW w:w="1146" w:type="dxa"/>
          </w:tcPr>
          <w:p>
            <w:pPr>
              <w:pStyle w:val="TableParagraph"/>
              <w:spacing w:line="155" w:lineRule="exact" w:before="6"/>
              <w:ind w:right="198"/>
              <w:rPr>
                <w:sz w:val="14"/>
              </w:rPr>
            </w:pPr>
            <w:r>
              <w:rPr>
                <w:sz w:val="14"/>
              </w:rPr>
              <w:t>$284,000</w:t>
            </w:r>
          </w:p>
        </w:tc>
        <w:tc>
          <w:tcPr>
            <w:tcW w:w="1143" w:type="dxa"/>
          </w:tcPr>
          <w:p>
            <w:pPr>
              <w:pStyle w:val="TableParagraph"/>
              <w:spacing w:line="155" w:lineRule="exact" w:before="6"/>
              <w:ind w:right="197"/>
              <w:rPr>
                <w:sz w:val="14"/>
              </w:rPr>
            </w:pPr>
            <w:r>
              <w:rPr>
                <w:sz w:val="14"/>
              </w:rPr>
              <w:t>$312,000</w:t>
            </w:r>
          </w:p>
        </w:tc>
        <w:tc>
          <w:tcPr>
            <w:tcW w:w="1143" w:type="dxa"/>
          </w:tcPr>
          <w:p>
            <w:pPr>
              <w:pStyle w:val="TableParagraph"/>
              <w:spacing w:line="155" w:lineRule="exact" w:before="6"/>
              <w:ind w:right="196"/>
              <w:rPr>
                <w:sz w:val="14"/>
              </w:rPr>
            </w:pPr>
            <w:r>
              <w:rPr>
                <w:sz w:val="14"/>
              </w:rPr>
              <w:t>$343,000</w:t>
            </w:r>
          </w:p>
        </w:tc>
        <w:tc>
          <w:tcPr>
            <w:tcW w:w="1143" w:type="dxa"/>
          </w:tcPr>
          <w:p>
            <w:pPr>
              <w:pStyle w:val="TableParagraph"/>
              <w:spacing w:line="155" w:lineRule="exact" w:before="6"/>
              <w:ind w:right="195"/>
              <w:rPr>
                <w:sz w:val="14"/>
              </w:rPr>
            </w:pPr>
            <w:r>
              <w:rPr>
                <w:sz w:val="14"/>
              </w:rPr>
              <w:t>$378,000</w:t>
            </w:r>
          </w:p>
        </w:tc>
        <w:tc>
          <w:tcPr>
            <w:tcW w:w="1143" w:type="dxa"/>
          </w:tcPr>
          <w:p>
            <w:pPr>
              <w:pStyle w:val="TableParagraph"/>
              <w:spacing w:line="155" w:lineRule="exact" w:before="6"/>
              <w:ind w:right="194"/>
              <w:rPr>
                <w:sz w:val="14"/>
              </w:rPr>
            </w:pPr>
            <w:r>
              <w:rPr>
                <w:sz w:val="14"/>
              </w:rPr>
              <w:t>$416,000</w:t>
            </w:r>
          </w:p>
        </w:tc>
        <w:tc>
          <w:tcPr>
            <w:tcW w:w="1143" w:type="dxa"/>
          </w:tcPr>
          <w:p>
            <w:pPr>
              <w:pStyle w:val="TableParagraph"/>
              <w:spacing w:line="155" w:lineRule="exact" w:before="6"/>
              <w:ind w:right="193"/>
              <w:rPr>
                <w:sz w:val="14"/>
              </w:rPr>
            </w:pPr>
            <w:r>
              <w:rPr>
                <w:sz w:val="14"/>
              </w:rPr>
              <w:t>$457,000</w:t>
            </w:r>
          </w:p>
        </w:tc>
        <w:tc>
          <w:tcPr>
            <w:tcW w:w="1182" w:type="dxa"/>
          </w:tcPr>
          <w:p>
            <w:pPr>
              <w:pStyle w:val="TableParagraph"/>
              <w:spacing w:line="155" w:lineRule="exact" w:before="6"/>
              <w:ind w:right="231"/>
              <w:rPr>
                <w:sz w:val="14"/>
              </w:rPr>
            </w:pPr>
            <w:r>
              <w:rPr>
                <w:sz w:val="14"/>
              </w:rPr>
              <w:t>$503,000</w:t>
            </w:r>
          </w:p>
        </w:tc>
        <w:tc>
          <w:tcPr>
            <w:tcW w:w="1058" w:type="dxa"/>
          </w:tcPr>
          <w:p>
            <w:pPr>
              <w:pStyle w:val="TableParagraph"/>
              <w:spacing w:line="155" w:lineRule="exact" w:before="6"/>
              <w:ind w:right="67"/>
              <w:rPr>
                <w:b/>
                <w:sz w:val="14"/>
              </w:rPr>
            </w:pPr>
            <w:r>
              <w:rPr>
                <w:b/>
                <w:sz w:val="14"/>
              </w:rPr>
              <w:t>$2,951,000</w:t>
            </w:r>
          </w:p>
        </w:tc>
      </w:tr>
      <w:tr>
        <w:trPr>
          <w:trHeight w:val="178" w:hRule="atLeast"/>
        </w:trPr>
        <w:tc>
          <w:tcPr>
            <w:tcW w:w="2491" w:type="dxa"/>
          </w:tcPr>
          <w:p>
            <w:pPr>
              <w:pStyle w:val="TableParagraph"/>
              <w:spacing w:line="152" w:lineRule="exact" w:before="6"/>
              <w:ind w:left="39"/>
              <w:jc w:val="left"/>
              <w:rPr>
                <w:sz w:val="14"/>
              </w:rPr>
            </w:pPr>
            <w:r>
              <w:rPr>
                <w:sz w:val="14"/>
              </w:rPr>
              <w:t>Finance</w:t>
            </w:r>
          </w:p>
        </w:tc>
        <w:tc>
          <w:tcPr>
            <w:tcW w:w="2140" w:type="dxa"/>
          </w:tcPr>
          <w:p>
            <w:pPr>
              <w:pStyle w:val="TableParagraph"/>
              <w:spacing w:line="152" w:lineRule="exact" w:before="6"/>
              <w:ind w:right="196"/>
              <w:rPr>
                <w:sz w:val="14"/>
              </w:rPr>
            </w:pPr>
            <w:r>
              <w:rPr>
                <w:sz w:val="14"/>
              </w:rPr>
              <w:t>$2,180,000</w:t>
            </w:r>
          </w:p>
        </w:tc>
        <w:tc>
          <w:tcPr>
            <w:tcW w:w="1146" w:type="dxa"/>
          </w:tcPr>
          <w:p>
            <w:pPr>
              <w:pStyle w:val="TableParagraph"/>
              <w:spacing w:line="152" w:lineRule="exact" w:before="6"/>
              <w:ind w:right="198"/>
              <w:rPr>
                <w:sz w:val="14"/>
              </w:rPr>
            </w:pPr>
            <w:r>
              <w:rPr>
                <w:sz w:val="14"/>
              </w:rPr>
              <w:t>$2,237,000</w:t>
            </w:r>
          </w:p>
        </w:tc>
        <w:tc>
          <w:tcPr>
            <w:tcW w:w="1143" w:type="dxa"/>
          </w:tcPr>
          <w:p>
            <w:pPr>
              <w:pStyle w:val="TableParagraph"/>
              <w:spacing w:line="152" w:lineRule="exact" w:before="6"/>
              <w:ind w:right="197"/>
              <w:rPr>
                <w:sz w:val="14"/>
              </w:rPr>
            </w:pPr>
            <w:r>
              <w:rPr>
                <w:sz w:val="14"/>
              </w:rPr>
              <w:t>$2,268,000</w:t>
            </w:r>
          </w:p>
        </w:tc>
        <w:tc>
          <w:tcPr>
            <w:tcW w:w="1143" w:type="dxa"/>
          </w:tcPr>
          <w:p>
            <w:pPr>
              <w:pStyle w:val="TableParagraph"/>
              <w:spacing w:line="152" w:lineRule="exact" w:before="6"/>
              <w:ind w:right="196"/>
              <w:rPr>
                <w:sz w:val="14"/>
              </w:rPr>
            </w:pPr>
            <w:r>
              <w:rPr>
                <w:sz w:val="14"/>
              </w:rPr>
              <w:t>$2,313,000</w:t>
            </w:r>
          </w:p>
        </w:tc>
        <w:tc>
          <w:tcPr>
            <w:tcW w:w="1143" w:type="dxa"/>
          </w:tcPr>
          <w:p>
            <w:pPr>
              <w:pStyle w:val="TableParagraph"/>
              <w:spacing w:line="152" w:lineRule="exact" w:before="6"/>
              <w:ind w:right="195"/>
              <w:rPr>
                <w:sz w:val="14"/>
              </w:rPr>
            </w:pPr>
            <w:r>
              <w:rPr>
                <w:sz w:val="14"/>
              </w:rPr>
              <w:t>$2,360,000</w:t>
            </w:r>
          </w:p>
        </w:tc>
        <w:tc>
          <w:tcPr>
            <w:tcW w:w="1143" w:type="dxa"/>
          </w:tcPr>
          <w:p>
            <w:pPr>
              <w:pStyle w:val="TableParagraph"/>
              <w:spacing w:line="152" w:lineRule="exact" w:before="6"/>
              <w:ind w:right="194"/>
              <w:rPr>
                <w:sz w:val="14"/>
              </w:rPr>
            </w:pPr>
            <w:r>
              <w:rPr>
                <w:sz w:val="14"/>
              </w:rPr>
              <w:t>$2,407,000</w:t>
            </w:r>
          </w:p>
        </w:tc>
        <w:tc>
          <w:tcPr>
            <w:tcW w:w="1143" w:type="dxa"/>
          </w:tcPr>
          <w:p>
            <w:pPr>
              <w:pStyle w:val="TableParagraph"/>
              <w:spacing w:line="152" w:lineRule="exact" w:before="6"/>
              <w:ind w:right="193"/>
              <w:rPr>
                <w:sz w:val="14"/>
              </w:rPr>
            </w:pPr>
            <w:r>
              <w:rPr>
                <w:sz w:val="14"/>
              </w:rPr>
              <w:t>$2,455,000</w:t>
            </w:r>
          </w:p>
        </w:tc>
        <w:tc>
          <w:tcPr>
            <w:tcW w:w="1182" w:type="dxa"/>
          </w:tcPr>
          <w:p>
            <w:pPr>
              <w:pStyle w:val="TableParagraph"/>
              <w:spacing w:line="152" w:lineRule="exact" w:before="6"/>
              <w:ind w:right="231"/>
              <w:rPr>
                <w:sz w:val="14"/>
              </w:rPr>
            </w:pPr>
            <w:r>
              <w:rPr>
                <w:sz w:val="14"/>
              </w:rPr>
              <w:t>$2,504,000</w:t>
            </w:r>
          </w:p>
        </w:tc>
        <w:tc>
          <w:tcPr>
            <w:tcW w:w="1058" w:type="dxa"/>
          </w:tcPr>
          <w:p>
            <w:pPr>
              <w:pStyle w:val="TableParagraph"/>
              <w:spacing w:line="152" w:lineRule="exact" w:before="6"/>
              <w:ind w:right="67"/>
              <w:rPr>
                <w:b/>
                <w:sz w:val="14"/>
              </w:rPr>
            </w:pPr>
            <w:r>
              <w:rPr>
                <w:b/>
                <w:sz w:val="14"/>
              </w:rPr>
              <w:t>$18,724,000</w:t>
            </w:r>
          </w:p>
        </w:tc>
      </w:tr>
    </w:tbl>
    <w:p>
      <w:pPr>
        <w:tabs>
          <w:tab w:pos="4365" w:val="left" w:leader="none"/>
          <w:tab w:pos="5509" w:val="left" w:leader="none"/>
          <w:tab w:pos="6653" w:val="left" w:leader="none"/>
          <w:tab w:pos="7797" w:val="left" w:leader="none"/>
          <w:tab w:pos="8941" w:val="left" w:leader="none"/>
          <w:tab w:pos="10085" w:val="left" w:leader="none"/>
          <w:tab w:pos="11229" w:val="left" w:leader="none"/>
          <w:tab w:pos="12373" w:val="left" w:leader="none"/>
          <w:tab w:pos="13595" w:val="left" w:leader="none"/>
        </w:tabs>
        <w:spacing w:line="254" w:lineRule="auto" w:before="10"/>
        <w:ind w:left="167" w:right="418" w:firstLine="0"/>
        <w:jc w:val="left"/>
        <w:rPr>
          <w:rFonts w:ascii="Calibri"/>
          <w:b/>
          <w:sz w:val="14"/>
        </w:rPr>
      </w:pPr>
      <w:r>
        <w:rPr>
          <w:rFonts w:ascii="Calibri"/>
          <w:sz w:val="14"/>
        </w:rPr>
        <w:t>OBF</w:t>
      </w:r>
      <w:r>
        <w:rPr>
          <w:rFonts w:ascii="Calibri"/>
          <w:spacing w:val="-4"/>
          <w:sz w:val="14"/>
        </w:rPr>
        <w:t> </w:t>
      </w:r>
      <w:r>
        <w:rPr>
          <w:rFonts w:ascii="Calibri"/>
          <w:sz w:val="14"/>
        </w:rPr>
        <w:t>Loan</w:t>
      </w:r>
      <w:r>
        <w:rPr>
          <w:rFonts w:ascii="Calibri"/>
          <w:spacing w:val="0"/>
          <w:sz w:val="14"/>
        </w:rPr>
        <w:t> </w:t>
      </w:r>
      <w:r>
        <w:rPr>
          <w:rFonts w:ascii="Calibri"/>
          <w:sz w:val="14"/>
        </w:rPr>
        <w:t>Pool</w:t>
        <w:tab/>
        <w:t>-</w:t>
        <w:tab/>
        <w:t>-</w:t>
        <w:tab/>
        <w:t>-</w:t>
        <w:tab/>
        <w:t>-</w:t>
        <w:tab/>
        <w:t>-</w:t>
        <w:tab/>
        <w:t>-</w:t>
        <w:tab/>
        <w:t>-</w:t>
        <w:tab/>
        <w:t>-</w:t>
        <w:tab/>
      </w:r>
      <w:r>
        <w:rPr>
          <w:rFonts w:ascii="Calibri"/>
          <w:b/>
          <w:sz w:val="14"/>
        </w:rPr>
        <w:t>- Subtotal</w:t>
        <w:tab/>
        <w:tab/>
        <w:tab/>
        <w:tab/>
        <w:tab/>
        <w:tab/>
        <w:tab/>
        <w:tab/>
        <w:tab/>
        <w:t>-</w:t>
      </w:r>
    </w:p>
    <w:tbl>
      <w:tblPr>
        <w:tblW w:w="0" w:type="auto"/>
        <w:jc w:val="left"/>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425"/>
        <w:gridCol w:w="1079"/>
        <w:gridCol w:w="1144"/>
        <w:gridCol w:w="1144"/>
        <w:gridCol w:w="1144"/>
        <w:gridCol w:w="1144"/>
        <w:gridCol w:w="1144"/>
        <w:gridCol w:w="1144"/>
        <w:gridCol w:w="1144"/>
        <w:gridCol w:w="1222"/>
      </w:tblGrid>
      <w:tr>
        <w:trPr>
          <w:trHeight w:val="150" w:hRule="atLeast"/>
        </w:trPr>
        <w:tc>
          <w:tcPr>
            <w:tcW w:w="3425" w:type="dxa"/>
            <w:tcBorders>
              <w:left w:val="nil"/>
            </w:tcBorders>
          </w:tcPr>
          <w:p>
            <w:pPr>
              <w:pStyle w:val="TableParagraph"/>
              <w:spacing w:line="130" w:lineRule="exact"/>
              <w:ind w:left="58"/>
              <w:jc w:val="left"/>
              <w:rPr>
                <w:b/>
                <w:sz w:val="14"/>
              </w:rPr>
            </w:pPr>
            <w:r>
              <w:rPr>
                <w:b/>
                <w:sz w:val="14"/>
              </w:rPr>
              <w:t>EM&amp;V</w:t>
            </w:r>
          </w:p>
        </w:tc>
        <w:tc>
          <w:tcPr>
            <w:tcW w:w="1079" w:type="dxa"/>
            <w:tcBorders>
              <w:right w:val="nil"/>
            </w:tcBorders>
          </w:tcPr>
          <w:p>
            <w:pPr>
              <w:pStyle w:val="TableParagraph"/>
              <w:spacing w:line="130" w:lineRule="exact"/>
              <w:ind w:right="16"/>
              <w:rPr>
                <w:sz w:val="14"/>
              </w:rPr>
            </w:pPr>
            <w:r>
              <w:rPr>
                <w:w w:val="102"/>
                <w:sz w:val="14"/>
              </w:rPr>
              <w:t>0</w:t>
            </w:r>
          </w:p>
        </w:tc>
        <w:tc>
          <w:tcPr>
            <w:tcW w:w="1144" w:type="dxa"/>
            <w:tcBorders>
              <w:left w:val="nil"/>
              <w:right w:val="nil"/>
            </w:tcBorders>
          </w:tcPr>
          <w:p>
            <w:pPr>
              <w:pStyle w:val="TableParagraph"/>
              <w:spacing w:line="130" w:lineRule="exact"/>
              <w:ind w:right="49"/>
              <w:rPr>
                <w:sz w:val="14"/>
              </w:rPr>
            </w:pPr>
            <w:r>
              <w:rPr>
                <w:sz w:val="14"/>
              </w:rPr>
              <w:t>$327,606</w:t>
            </w:r>
          </w:p>
        </w:tc>
        <w:tc>
          <w:tcPr>
            <w:tcW w:w="1144" w:type="dxa"/>
            <w:tcBorders>
              <w:left w:val="nil"/>
              <w:right w:val="nil"/>
            </w:tcBorders>
          </w:tcPr>
          <w:p>
            <w:pPr>
              <w:pStyle w:val="TableParagraph"/>
              <w:spacing w:line="130" w:lineRule="exact"/>
              <w:ind w:right="49"/>
              <w:rPr>
                <w:sz w:val="14"/>
              </w:rPr>
            </w:pPr>
            <w:r>
              <w:rPr>
                <w:sz w:val="14"/>
              </w:rPr>
              <w:t>$343,986</w:t>
            </w:r>
          </w:p>
        </w:tc>
        <w:tc>
          <w:tcPr>
            <w:tcW w:w="1144" w:type="dxa"/>
            <w:tcBorders>
              <w:left w:val="nil"/>
              <w:right w:val="nil"/>
            </w:tcBorders>
          </w:tcPr>
          <w:p>
            <w:pPr>
              <w:pStyle w:val="TableParagraph"/>
              <w:spacing w:line="130" w:lineRule="exact"/>
              <w:ind w:right="49"/>
              <w:rPr>
                <w:sz w:val="14"/>
              </w:rPr>
            </w:pPr>
            <w:r>
              <w:rPr>
                <w:sz w:val="14"/>
              </w:rPr>
              <w:t>$361,186</w:t>
            </w:r>
          </w:p>
        </w:tc>
        <w:tc>
          <w:tcPr>
            <w:tcW w:w="1144" w:type="dxa"/>
            <w:tcBorders>
              <w:left w:val="nil"/>
              <w:right w:val="nil"/>
            </w:tcBorders>
          </w:tcPr>
          <w:p>
            <w:pPr>
              <w:pStyle w:val="TableParagraph"/>
              <w:spacing w:line="130" w:lineRule="exact"/>
              <w:ind w:right="49"/>
              <w:rPr>
                <w:sz w:val="14"/>
              </w:rPr>
            </w:pPr>
            <w:r>
              <w:rPr>
                <w:sz w:val="14"/>
              </w:rPr>
              <w:t>$379,245</w:t>
            </w:r>
          </w:p>
        </w:tc>
        <w:tc>
          <w:tcPr>
            <w:tcW w:w="1144" w:type="dxa"/>
            <w:tcBorders>
              <w:left w:val="nil"/>
              <w:right w:val="nil"/>
            </w:tcBorders>
          </w:tcPr>
          <w:p>
            <w:pPr>
              <w:pStyle w:val="TableParagraph"/>
              <w:spacing w:line="130" w:lineRule="exact"/>
              <w:ind w:right="49"/>
              <w:rPr>
                <w:sz w:val="14"/>
              </w:rPr>
            </w:pPr>
            <w:r>
              <w:rPr>
                <w:sz w:val="14"/>
              </w:rPr>
              <w:t>$398,207</w:t>
            </w:r>
          </w:p>
        </w:tc>
        <w:tc>
          <w:tcPr>
            <w:tcW w:w="1144" w:type="dxa"/>
            <w:tcBorders>
              <w:left w:val="nil"/>
              <w:right w:val="nil"/>
            </w:tcBorders>
          </w:tcPr>
          <w:p>
            <w:pPr>
              <w:pStyle w:val="TableParagraph"/>
              <w:spacing w:line="130" w:lineRule="exact"/>
              <w:ind w:right="49"/>
              <w:rPr>
                <w:sz w:val="14"/>
              </w:rPr>
            </w:pPr>
            <w:r>
              <w:rPr>
                <w:sz w:val="14"/>
              </w:rPr>
              <w:t>$418,117</w:t>
            </w:r>
          </w:p>
        </w:tc>
        <w:tc>
          <w:tcPr>
            <w:tcW w:w="1144" w:type="dxa"/>
            <w:tcBorders>
              <w:left w:val="nil"/>
              <w:right w:val="nil"/>
            </w:tcBorders>
          </w:tcPr>
          <w:p>
            <w:pPr>
              <w:pStyle w:val="TableParagraph"/>
              <w:spacing w:line="130" w:lineRule="exact"/>
              <w:ind w:right="49"/>
              <w:rPr>
                <w:sz w:val="14"/>
              </w:rPr>
            </w:pPr>
            <w:r>
              <w:rPr>
                <w:sz w:val="14"/>
              </w:rPr>
              <w:t>$439,023</w:t>
            </w:r>
          </w:p>
        </w:tc>
        <w:tc>
          <w:tcPr>
            <w:tcW w:w="1222" w:type="dxa"/>
            <w:tcBorders>
              <w:left w:val="nil"/>
            </w:tcBorders>
          </w:tcPr>
          <w:p>
            <w:pPr>
              <w:pStyle w:val="TableParagraph"/>
              <w:tabs>
                <w:tab w:pos="517" w:val="left" w:leader="none"/>
              </w:tabs>
              <w:spacing w:line="130" w:lineRule="exact"/>
              <w:ind w:left="62"/>
              <w:jc w:val="center"/>
              <w:rPr>
                <w:b/>
                <w:sz w:val="14"/>
              </w:rPr>
            </w:pPr>
            <w:r>
              <w:rPr>
                <w:b/>
                <w:sz w:val="14"/>
              </w:rPr>
              <w:t>$</w:t>
              <w:tab/>
            </w:r>
            <w:r>
              <w:rPr>
                <w:b/>
                <w:spacing w:val="3"/>
                <w:sz w:val="14"/>
              </w:rPr>
              <w:t>2,667,371</w:t>
            </w:r>
          </w:p>
        </w:tc>
      </w:tr>
      <w:tr>
        <w:trPr>
          <w:trHeight w:val="150" w:hRule="atLeast"/>
        </w:trPr>
        <w:tc>
          <w:tcPr>
            <w:tcW w:w="3425" w:type="dxa"/>
            <w:tcBorders>
              <w:left w:val="nil"/>
            </w:tcBorders>
          </w:tcPr>
          <w:p>
            <w:pPr>
              <w:pStyle w:val="TableParagraph"/>
              <w:spacing w:line="130" w:lineRule="exact"/>
              <w:ind w:left="58"/>
              <w:jc w:val="left"/>
              <w:rPr>
                <w:b/>
                <w:sz w:val="14"/>
              </w:rPr>
            </w:pPr>
            <w:r>
              <w:rPr>
                <w:b/>
                <w:sz w:val="14"/>
              </w:rPr>
              <w:t>Total Portfolio Program Year SoCalREN Budget</w:t>
            </w:r>
          </w:p>
        </w:tc>
        <w:tc>
          <w:tcPr>
            <w:tcW w:w="1079" w:type="dxa"/>
          </w:tcPr>
          <w:p>
            <w:pPr>
              <w:pStyle w:val="TableParagraph"/>
              <w:spacing w:line="130" w:lineRule="exact"/>
              <w:ind w:right="27"/>
              <w:rPr>
                <w:sz w:val="14"/>
              </w:rPr>
            </w:pPr>
            <w:r>
              <w:rPr>
                <w:sz w:val="14"/>
              </w:rPr>
              <w:t>$ 18,793,000</w:t>
            </w:r>
          </w:p>
        </w:tc>
        <w:tc>
          <w:tcPr>
            <w:tcW w:w="1144" w:type="dxa"/>
          </w:tcPr>
          <w:p>
            <w:pPr>
              <w:pStyle w:val="TableParagraph"/>
              <w:tabs>
                <w:tab w:pos="298" w:val="left" w:leader="none"/>
              </w:tabs>
              <w:spacing w:line="130" w:lineRule="exact"/>
              <w:ind w:right="27"/>
              <w:rPr>
                <w:sz w:val="14"/>
              </w:rPr>
            </w:pPr>
            <w:r>
              <w:rPr>
                <w:sz w:val="14"/>
              </w:rPr>
              <w:t>$</w:t>
              <w:tab/>
            </w:r>
            <w:r>
              <w:rPr>
                <w:spacing w:val="3"/>
                <w:sz w:val="14"/>
              </w:rPr>
              <w:t>20,742,000</w:t>
            </w:r>
          </w:p>
        </w:tc>
        <w:tc>
          <w:tcPr>
            <w:tcW w:w="1144" w:type="dxa"/>
          </w:tcPr>
          <w:p>
            <w:pPr>
              <w:pStyle w:val="TableParagraph"/>
              <w:tabs>
                <w:tab w:pos="298" w:val="left" w:leader="none"/>
              </w:tabs>
              <w:spacing w:line="130" w:lineRule="exact"/>
              <w:ind w:right="27"/>
              <w:rPr>
                <w:sz w:val="14"/>
              </w:rPr>
            </w:pPr>
            <w:r>
              <w:rPr>
                <w:sz w:val="14"/>
              </w:rPr>
              <w:t>$</w:t>
              <w:tab/>
            </w:r>
            <w:r>
              <w:rPr>
                <w:spacing w:val="3"/>
                <w:sz w:val="14"/>
              </w:rPr>
              <w:t>21,178,000</w:t>
            </w:r>
          </w:p>
        </w:tc>
        <w:tc>
          <w:tcPr>
            <w:tcW w:w="1144" w:type="dxa"/>
          </w:tcPr>
          <w:p>
            <w:pPr>
              <w:pStyle w:val="TableParagraph"/>
              <w:tabs>
                <w:tab w:pos="298" w:val="left" w:leader="none"/>
              </w:tabs>
              <w:spacing w:line="130" w:lineRule="exact"/>
              <w:ind w:right="27"/>
              <w:rPr>
                <w:sz w:val="14"/>
              </w:rPr>
            </w:pPr>
            <w:r>
              <w:rPr>
                <w:sz w:val="14"/>
              </w:rPr>
              <w:t>$</w:t>
              <w:tab/>
            </w:r>
            <w:r>
              <w:rPr>
                <w:spacing w:val="3"/>
                <w:sz w:val="14"/>
              </w:rPr>
              <w:t>21,626,000</w:t>
            </w:r>
          </w:p>
        </w:tc>
        <w:tc>
          <w:tcPr>
            <w:tcW w:w="1144" w:type="dxa"/>
          </w:tcPr>
          <w:p>
            <w:pPr>
              <w:pStyle w:val="TableParagraph"/>
              <w:tabs>
                <w:tab w:pos="298" w:val="left" w:leader="none"/>
              </w:tabs>
              <w:spacing w:line="130" w:lineRule="exact"/>
              <w:ind w:right="27"/>
              <w:rPr>
                <w:sz w:val="14"/>
              </w:rPr>
            </w:pPr>
            <w:r>
              <w:rPr>
                <w:sz w:val="14"/>
              </w:rPr>
              <w:t>$</w:t>
              <w:tab/>
            </w:r>
            <w:r>
              <w:rPr>
                <w:spacing w:val="3"/>
                <w:sz w:val="14"/>
              </w:rPr>
              <w:t>22,087,000</w:t>
            </w:r>
          </w:p>
        </w:tc>
        <w:tc>
          <w:tcPr>
            <w:tcW w:w="1144" w:type="dxa"/>
          </w:tcPr>
          <w:p>
            <w:pPr>
              <w:pStyle w:val="TableParagraph"/>
              <w:tabs>
                <w:tab w:pos="298" w:val="left" w:leader="none"/>
              </w:tabs>
              <w:spacing w:line="130" w:lineRule="exact"/>
              <w:ind w:right="27"/>
              <w:rPr>
                <w:sz w:val="14"/>
              </w:rPr>
            </w:pPr>
            <w:r>
              <w:rPr>
                <w:sz w:val="14"/>
              </w:rPr>
              <w:t>$</w:t>
              <w:tab/>
            </w:r>
            <w:r>
              <w:rPr>
                <w:spacing w:val="3"/>
                <w:sz w:val="14"/>
              </w:rPr>
              <w:t>22,560,000</w:t>
            </w:r>
          </w:p>
        </w:tc>
        <w:tc>
          <w:tcPr>
            <w:tcW w:w="1144" w:type="dxa"/>
          </w:tcPr>
          <w:p>
            <w:pPr>
              <w:pStyle w:val="TableParagraph"/>
              <w:tabs>
                <w:tab w:pos="298" w:val="left" w:leader="none"/>
              </w:tabs>
              <w:spacing w:line="130" w:lineRule="exact"/>
              <w:ind w:right="27"/>
              <w:rPr>
                <w:sz w:val="14"/>
              </w:rPr>
            </w:pPr>
            <w:r>
              <w:rPr>
                <w:sz w:val="14"/>
              </w:rPr>
              <w:t>$</w:t>
              <w:tab/>
            </w:r>
            <w:r>
              <w:rPr>
                <w:spacing w:val="3"/>
                <w:sz w:val="14"/>
              </w:rPr>
              <w:t>23,043,000</w:t>
            </w:r>
          </w:p>
        </w:tc>
        <w:tc>
          <w:tcPr>
            <w:tcW w:w="1144" w:type="dxa"/>
          </w:tcPr>
          <w:p>
            <w:pPr>
              <w:pStyle w:val="TableParagraph"/>
              <w:tabs>
                <w:tab w:pos="298" w:val="left" w:leader="none"/>
              </w:tabs>
              <w:spacing w:line="130" w:lineRule="exact"/>
              <w:ind w:right="27"/>
              <w:rPr>
                <w:sz w:val="14"/>
              </w:rPr>
            </w:pPr>
            <w:r>
              <w:rPr>
                <w:sz w:val="14"/>
              </w:rPr>
              <w:t>$</w:t>
              <w:tab/>
            </w:r>
            <w:r>
              <w:rPr>
                <w:spacing w:val="3"/>
                <w:sz w:val="14"/>
              </w:rPr>
              <w:t>23,541,000</w:t>
            </w:r>
          </w:p>
        </w:tc>
        <w:tc>
          <w:tcPr>
            <w:tcW w:w="1222" w:type="dxa"/>
          </w:tcPr>
          <w:p>
            <w:pPr>
              <w:pStyle w:val="TableParagraph"/>
              <w:tabs>
                <w:tab w:pos="338" w:val="left" w:leader="none"/>
              </w:tabs>
              <w:spacing w:line="130" w:lineRule="exact"/>
              <w:ind w:left="39"/>
              <w:jc w:val="center"/>
              <w:rPr>
                <w:b/>
                <w:sz w:val="14"/>
              </w:rPr>
            </w:pPr>
            <w:r>
              <w:rPr>
                <w:b/>
                <w:sz w:val="14"/>
              </w:rPr>
              <w:t>$</w:t>
              <w:tab/>
            </w:r>
            <w:r>
              <w:rPr>
                <w:b/>
                <w:spacing w:val="3"/>
                <w:sz w:val="14"/>
              </w:rPr>
              <w:t>173,570,000</w:t>
            </w:r>
          </w:p>
        </w:tc>
      </w:tr>
      <w:tr>
        <w:trPr>
          <w:trHeight w:val="150" w:hRule="atLeast"/>
        </w:trPr>
        <w:tc>
          <w:tcPr>
            <w:tcW w:w="3425" w:type="dxa"/>
            <w:tcBorders>
              <w:left w:val="nil"/>
            </w:tcBorders>
          </w:tcPr>
          <w:p>
            <w:pPr>
              <w:pStyle w:val="TableParagraph"/>
              <w:spacing w:line="130" w:lineRule="exact"/>
              <w:ind w:left="58"/>
              <w:jc w:val="left"/>
              <w:rPr>
                <w:b/>
                <w:sz w:val="14"/>
              </w:rPr>
            </w:pPr>
            <w:r>
              <w:rPr>
                <w:b/>
                <w:sz w:val="14"/>
              </w:rPr>
              <w:t>Total Authorized Portfolio PY Budget Cap</w:t>
            </w:r>
          </w:p>
        </w:tc>
        <w:tc>
          <w:tcPr>
            <w:tcW w:w="1079" w:type="dxa"/>
            <w:tcBorders>
              <w:right w:val="nil"/>
            </w:tcBorders>
          </w:tcPr>
          <w:p>
            <w:pPr>
              <w:pStyle w:val="TableParagraph"/>
              <w:spacing w:line="130" w:lineRule="exact"/>
              <w:ind w:right="49"/>
              <w:rPr>
                <w:sz w:val="14"/>
              </w:rPr>
            </w:pPr>
            <w:r>
              <w:rPr>
                <w:sz w:val="14"/>
              </w:rPr>
              <w:t>$ 18,793,000</w:t>
            </w:r>
          </w:p>
        </w:tc>
        <w:tc>
          <w:tcPr>
            <w:tcW w:w="1144" w:type="dxa"/>
            <w:tcBorders>
              <w:left w:val="nil"/>
              <w:right w:val="nil"/>
            </w:tcBorders>
          </w:tcPr>
          <w:p>
            <w:pPr>
              <w:pStyle w:val="TableParagraph"/>
              <w:tabs>
                <w:tab w:pos="298" w:val="left" w:leader="none"/>
              </w:tabs>
              <w:spacing w:line="130" w:lineRule="exact"/>
              <w:ind w:right="49"/>
              <w:rPr>
                <w:sz w:val="14"/>
              </w:rPr>
            </w:pPr>
            <w:r>
              <w:rPr>
                <w:sz w:val="14"/>
              </w:rPr>
              <w:t>$</w:t>
              <w:tab/>
            </w:r>
            <w:r>
              <w:rPr>
                <w:spacing w:val="3"/>
                <w:sz w:val="14"/>
              </w:rPr>
              <w:t>20,742,000</w:t>
            </w:r>
          </w:p>
        </w:tc>
        <w:tc>
          <w:tcPr>
            <w:tcW w:w="1144" w:type="dxa"/>
            <w:tcBorders>
              <w:left w:val="nil"/>
              <w:right w:val="nil"/>
            </w:tcBorders>
          </w:tcPr>
          <w:p>
            <w:pPr>
              <w:pStyle w:val="TableParagraph"/>
              <w:tabs>
                <w:tab w:pos="298" w:val="left" w:leader="none"/>
              </w:tabs>
              <w:spacing w:line="130" w:lineRule="exact"/>
              <w:ind w:right="49"/>
              <w:rPr>
                <w:sz w:val="14"/>
              </w:rPr>
            </w:pPr>
            <w:r>
              <w:rPr>
                <w:sz w:val="14"/>
              </w:rPr>
              <w:t>$</w:t>
              <w:tab/>
            </w:r>
            <w:r>
              <w:rPr>
                <w:spacing w:val="3"/>
                <w:sz w:val="14"/>
              </w:rPr>
              <w:t>21,178,000</w:t>
            </w:r>
          </w:p>
        </w:tc>
        <w:tc>
          <w:tcPr>
            <w:tcW w:w="1144" w:type="dxa"/>
            <w:tcBorders>
              <w:left w:val="nil"/>
              <w:right w:val="nil"/>
            </w:tcBorders>
          </w:tcPr>
          <w:p>
            <w:pPr>
              <w:pStyle w:val="TableParagraph"/>
              <w:tabs>
                <w:tab w:pos="298" w:val="left" w:leader="none"/>
              </w:tabs>
              <w:spacing w:line="130" w:lineRule="exact"/>
              <w:ind w:right="49"/>
              <w:rPr>
                <w:sz w:val="14"/>
              </w:rPr>
            </w:pPr>
            <w:r>
              <w:rPr>
                <w:sz w:val="14"/>
              </w:rPr>
              <w:t>$</w:t>
              <w:tab/>
            </w:r>
            <w:r>
              <w:rPr>
                <w:spacing w:val="3"/>
                <w:sz w:val="14"/>
              </w:rPr>
              <w:t>21,626,000</w:t>
            </w:r>
          </w:p>
        </w:tc>
        <w:tc>
          <w:tcPr>
            <w:tcW w:w="1144" w:type="dxa"/>
            <w:tcBorders>
              <w:left w:val="nil"/>
              <w:right w:val="nil"/>
            </w:tcBorders>
          </w:tcPr>
          <w:p>
            <w:pPr>
              <w:pStyle w:val="TableParagraph"/>
              <w:tabs>
                <w:tab w:pos="298" w:val="left" w:leader="none"/>
              </w:tabs>
              <w:spacing w:line="130" w:lineRule="exact"/>
              <w:ind w:right="49"/>
              <w:rPr>
                <w:sz w:val="14"/>
              </w:rPr>
            </w:pPr>
            <w:r>
              <w:rPr>
                <w:sz w:val="14"/>
              </w:rPr>
              <w:t>$</w:t>
              <w:tab/>
            </w:r>
            <w:r>
              <w:rPr>
                <w:spacing w:val="3"/>
                <w:sz w:val="14"/>
              </w:rPr>
              <w:t>22,087,000</w:t>
            </w:r>
          </w:p>
        </w:tc>
        <w:tc>
          <w:tcPr>
            <w:tcW w:w="1144" w:type="dxa"/>
            <w:tcBorders>
              <w:left w:val="nil"/>
              <w:right w:val="nil"/>
            </w:tcBorders>
          </w:tcPr>
          <w:p>
            <w:pPr>
              <w:pStyle w:val="TableParagraph"/>
              <w:tabs>
                <w:tab w:pos="298" w:val="left" w:leader="none"/>
              </w:tabs>
              <w:spacing w:line="130" w:lineRule="exact"/>
              <w:ind w:right="49"/>
              <w:rPr>
                <w:sz w:val="14"/>
              </w:rPr>
            </w:pPr>
            <w:r>
              <w:rPr>
                <w:sz w:val="14"/>
              </w:rPr>
              <w:t>$</w:t>
              <w:tab/>
            </w:r>
            <w:r>
              <w:rPr>
                <w:spacing w:val="3"/>
                <w:sz w:val="14"/>
              </w:rPr>
              <w:t>22,560,000</w:t>
            </w:r>
          </w:p>
        </w:tc>
        <w:tc>
          <w:tcPr>
            <w:tcW w:w="1144" w:type="dxa"/>
            <w:tcBorders>
              <w:left w:val="nil"/>
              <w:right w:val="nil"/>
            </w:tcBorders>
          </w:tcPr>
          <w:p>
            <w:pPr>
              <w:pStyle w:val="TableParagraph"/>
              <w:tabs>
                <w:tab w:pos="298" w:val="left" w:leader="none"/>
              </w:tabs>
              <w:spacing w:line="130" w:lineRule="exact"/>
              <w:ind w:right="49"/>
              <w:rPr>
                <w:sz w:val="14"/>
              </w:rPr>
            </w:pPr>
            <w:r>
              <w:rPr>
                <w:sz w:val="14"/>
              </w:rPr>
              <w:t>$</w:t>
              <w:tab/>
            </w:r>
            <w:r>
              <w:rPr>
                <w:spacing w:val="3"/>
                <w:sz w:val="14"/>
              </w:rPr>
              <w:t>23,043,000</w:t>
            </w:r>
          </w:p>
        </w:tc>
        <w:tc>
          <w:tcPr>
            <w:tcW w:w="1144" w:type="dxa"/>
            <w:tcBorders>
              <w:left w:val="nil"/>
              <w:right w:val="nil"/>
            </w:tcBorders>
          </w:tcPr>
          <w:p>
            <w:pPr>
              <w:pStyle w:val="TableParagraph"/>
              <w:tabs>
                <w:tab w:pos="298" w:val="left" w:leader="none"/>
              </w:tabs>
              <w:spacing w:line="130" w:lineRule="exact"/>
              <w:ind w:right="49"/>
              <w:rPr>
                <w:sz w:val="14"/>
              </w:rPr>
            </w:pPr>
            <w:r>
              <w:rPr>
                <w:sz w:val="14"/>
              </w:rPr>
              <w:t>$</w:t>
              <w:tab/>
            </w:r>
            <w:r>
              <w:rPr>
                <w:spacing w:val="3"/>
                <w:sz w:val="14"/>
              </w:rPr>
              <w:t>23,541,000</w:t>
            </w:r>
          </w:p>
        </w:tc>
        <w:tc>
          <w:tcPr>
            <w:tcW w:w="1222" w:type="dxa"/>
            <w:tcBorders>
              <w:left w:val="nil"/>
            </w:tcBorders>
          </w:tcPr>
          <w:p>
            <w:pPr>
              <w:pStyle w:val="TableParagraph"/>
              <w:tabs>
                <w:tab w:pos="361" w:val="left" w:leader="none"/>
              </w:tabs>
              <w:spacing w:line="130" w:lineRule="exact"/>
              <w:ind w:left="62"/>
              <w:jc w:val="center"/>
              <w:rPr>
                <w:b/>
                <w:sz w:val="14"/>
              </w:rPr>
            </w:pPr>
            <w:r>
              <w:rPr>
                <w:b/>
                <w:sz w:val="14"/>
              </w:rPr>
              <w:t>$</w:t>
              <w:tab/>
            </w:r>
            <w:r>
              <w:rPr>
                <w:b/>
                <w:spacing w:val="3"/>
                <w:sz w:val="14"/>
              </w:rPr>
              <w:t>173,570,000</w:t>
            </w:r>
          </w:p>
        </w:tc>
      </w:tr>
    </w:tbl>
    <w:p>
      <w:pPr>
        <w:pStyle w:val="BodyText"/>
        <w:spacing w:before="1" w:after="1"/>
        <w:rPr>
          <w:rFonts w:ascii="Calibri"/>
          <w:b/>
          <w:sz w:val="12"/>
        </w:rPr>
      </w:pPr>
    </w:p>
    <w:tbl>
      <w:tblPr>
        <w:tblW w:w="0" w:type="auto"/>
        <w:jc w:val="left"/>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425"/>
        <w:gridCol w:w="1079"/>
        <w:gridCol w:w="1144"/>
        <w:gridCol w:w="1144"/>
        <w:gridCol w:w="1144"/>
        <w:gridCol w:w="1144"/>
        <w:gridCol w:w="1144"/>
        <w:gridCol w:w="1144"/>
        <w:gridCol w:w="1144"/>
        <w:gridCol w:w="1222"/>
      </w:tblGrid>
      <w:tr>
        <w:trPr>
          <w:trHeight w:val="150" w:hRule="atLeast"/>
        </w:trPr>
        <w:tc>
          <w:tcPr>
            <w:tcW w:w="3425" w:type="dxa"/>
            <w:tcBorders>
              <w:left w:val="nil"/>
            </w:tcBorders>
          </w:tcPr>
          <w:p>
            <w:pPr>
              <w:pStyle w:val="TableParagraph"/>
              <w:spacing w:line="130" w:lineRule="exact"/>
              <w:ind w:left="58"/>
              <w:jc w:val="left"/>
              <w:rPr>
                <w:b/>
                <w:sz w:val="14"/>
              </w:rPr>
            </w:pPr>
            <w:r>
              <w:rPr>
                <w:b/>
                <w:sz w:val="14"/>
              </w:rPr>
              <w:t>Forecast Portfolio PY TRC</w:t>
            </w:r>
          </w:p>
        </w:tc>
        <w:tc>
          <w:tcPr>
            <w:tcW w:w="1079" w:type="dxa"/>
          </w:tcPr>
          <w:p>
            <w:pPr>
              <w:pStyle w:val="TableParagraph"/>
              <w:spacing w:line="130" w:lineRule="exact"/>
              <w:ind w:right="-15"/>
              <w:rPr>
                <w:sz w:val="14"/>
              </w:rPr>
            </w:pPr>
            <w:r>
              <w:rPr>
                <w:sz w:val="14"/>
              </w:rPr>
              <w:t>0.19</w:t>
            </w:r>
          </w:p>
        </w:tc>
        <w:tc>
          <w:tcPr>
            <w:tcW w:w="1144" w:type="dxa"/>
          </w:tcPr>
          <w:p>
            <w:pPr>
              <w:pStyle w:val="TableParagraph"/>
              <w:spacing w:line="130" w:lineRule="exact"/>
              <w:ind w:right="-15"/>
              <w:rPr>
                <w:sz w:val="14"/>
              </w:rPr>
            </w:pPr>
            <w:r>
              <w:rPr>
                <w:sz w:val="14"/>
              </w:rPr>
              <w:t>0.28</w:t>
            </w:r>
          </w:p>
        </w:tc>
        <w:tc>
          <w:tcPr>
            <w:tcW w:w="1144" w:type="dxa"/>
          </w:tcPr>
          <w:p>
            <w:pPr>
              <w:pStyle w:val="TableParagraph"/>
              <w:spacing w:line="130" w:lineRule="exact"/>
              <w:ind w:right="-15"/>
              <w:rPr>
                <w:sz w:val="14"/>
              </w:rPr>
            </w:pPr>
            <w:r>
              <w:rPr>
                <w:sz w:val="14"/>
              </w:rPr>
              <w:t>0.29</w:t>
            </w:r>
          </w:p>
        </w:tc>
        <w:tc>
          <w:tcPr>
            <w:tcW w:w="1144" w:type="dxa"/>
          </w:tcPr>
          <w:p>
            <w:pPr>
              <w:pStyle w:val="TableParagraph"/>
              <w:spacing w:line="130" w:lineRule="exact"/>
              <w:ind w:right="-15"/>
              <w:rPr>
                <w:sz w:val="14"/>
              </w:rPr>
            </w:pPr>
            <w:r>
              <w:rPr>
                <w:sz w:val="14"/>
              </w:rPr>
              <w:t>0.31</w:t>
            </w:r>
          </w:p>
        </w:tc>
        <w:tc>
          <w:tcPr>
            <w:tcW w:w="1144" w:type="dxa"/>
          </w:tcPr>
          <w:p>
            <w:pPr>
              <w:pStyle w:val="TableParagraph"/>
              <w:spacing w:line="130" w:lineRule="exact"/>
              <w:ind w:right="-15"/>
              <w:rPr>
                <w:sz w:val="14"/>
              </w:rPr>
            </w:pPr>
            <w:r>
              <w:rPr>
                <w:sz w:val="14"/>
              </w:rPr>
              <w:t>0.32</w:t>
            </w:r>
          </w:p>
        </w:tc>
        <w:tc>
          <w:tcPr>
            <w:tcW w:w="1144" w:type="dxa"/>
          </w:tcPr>
          <w:p>
            <w:pPr>
              <w:pStyle w:val="TableParagraph"/>
              <w:spacing w:line="130" w:lineRule="exact"/>
              <w:ind w:right="-15"/>
              <w:rPr>
                <w:sz w:val="14"/>
              </w:rPr>
            </w:pPr>
            <w:r>
              <w:rPr>
                <w:sz w:val="14"/>
              </w:rPr>
              <w:t>0.33</w:t>
            </w:r>
          </w:p>
        </w:tc>
        <w:tc>
          <w:tcPr>
            <w:tcW w:w="1144" w:type="dxa"/>
          </w:tcPr>
          <w:p>
            <w:pPr>
              <w:pStyle w:val="TableParagraph"/>
              <w:spacing w:line="130" w:lineRule="exact"/>
              <w:ind w:right="-15"/>
              <w:rPr>
                <w:sz w:val="14"/>
              </w:rPr>
            </w:pPr>
            <w:r>
              <w:rPr>
                <w:sz w:val="14"/>
              </w:rPr>
              <w:t>0.34</w:t>
            </w:r>
          </w:p>
        </w:tc>
        <w:tc>
          <w:tcPr>
            <w:tcW w:w="1144" w:type="dxa"/>
          </w:tcPr>
          <w:p>
            <w:pPr>
              <w:pStyle w:val="TableParagraph"/>
              <w:spacing w:line="130" w:lineRule="exact"/>
              <w:ind w:right="-15"/>
              <w:rPr>
                <w:sz w:val="14"/>
              </w:rPr>
            </w:pPr>
            <w:r>
              <w:rPr>
                <w:sz w:val="14"/>
              </w:rPr>
              <w:t>0.35</w:t>
            </w:r>
          </w:p>
        </w:tc>
        <w:tc>
          <w:tcPr>
            <w:tcW w:w="1222" w:type="dxa"/>
            <w:shd w:val="clear" w:color="auto" w:fill="BFBFBF"/>
          </w:tcPr>
          <w:p>
            <w:pPr>
              <w:pStyle w:val="TableParagraph"/>
              <w:spacing w:line="240" w:lineRule="auto"/>
              <w:jc w:val="left"/>
              <w:rPr>
                <w:rFonts w:ascii="Times New Roman"/>
                <w:sz w:val="8"/>
              </w:rPr>
            </w:pPr>
          </w:p>
        </w:tc>
      </w:tr>
      <w:tr>
        <w:trPr>
          <w:trHeight w:val="150" w:hRule="atLeast"/>
        </w:trPr>
        <w:tc>
          <w:tcPr>
            <w:tcW w:w="3425" w:type="dxa"/>
            <w:tcBorders>
              <w:left w:val="nil"/>
            </w:tcBorders>
          </w:tcPr>
          <w:p>
            <w:pPr>
              <w:pStyle w:val="TableParagraph"/>
              <w:spacing w:line="130" w:lineRule="exact"/>
              <w:ind w:left="58"/>
              <w:jc w:val="left"/>
              <w:rPr>
                <w:b/>
                <w:sz w:val="14"/>
              </w:rPr>
            </w:pPr>
            <w:r>
              <w:rPr>
                <w:b/>
                <w:sz w:val="14"/>
              </w:rPr>
              <w:t>Forecast Portfolio PY PAC</w:t>
            </w:r>
          </w:p>
        </w:tc>
        <w:tc>
          <w:tcPr>
            <w:tcW w:w="1079" w:type="dxa"/>
          </w:tcPr>
          <w:p>
            <w:pPr>
              <w:pStyle w:val="TableParagraph"/>
              <w:spacing w:line="130" w:lineRule="exact"/>
              <w:ind w:right="-15"/>
              <w:rPr>
                <w:sz w:val="14"/>
              </w:rPr>
            </w:pPr>
            <w:r>
              <w:rPr>
                <w:sz w:val="14"/>
              </w:rPr>
              <w:t>0.21</w:t>
            </w:r>
          </w:p>
        </w:tc>
        <w:tc>
          <w:tcPr>
            <w:tcW w:w="1144" w:type="dxa"/>
          </w:tcPr>
          <w:p>
            <w:pPr>
              <w:pStyle w:val="TableParagraph"/>
              <w:spacing w:line="130" w:lineRule="exact"/>
              <w:ind w:right="-15"/>
              <w:rPr>
                <w:sz w:val="14"/>
              </w:rPr>
            </w:pPr>
            <w:r>
              <w:rPr>
                <w:sz w:val="14"/>
              </w:rPr>
              <w:t>0.29</w:t>
            </w:r>
          </w:p>
        </w:tc>
        <w:tc>
          <w:tcPr>
            <w:tcW w:w="1144" w:type="dxa"/>
          </w:tcPr>
          <w:p>
            <w:pPr>
              <w:pStyle w:val="TableParagraph"/>
              <w:spacing w:line="130" w:lineRule="exact"/>
              <w:ind w:right="-15"/>
              <w:rPr>
                <w:sz w:val="14"/>
              </w:rPr>
            </w:pPr>
            <w:r>
              <w:rPr>
                <w:sz w:val="14"/>
              </w:rPr>
              <w:t>0.30</w:t>
            </w:r>
          </w:p>
        </w:tc>
        <w:tc>
          <w:tcPr>
            <w:tcW w:w="1144" w:type="dxa"/>
          </w:tcPr>
          <w:p>
            <w:pPr>
              <w:pStyle w:val="TableParagraph"/>
              <w:spacing w:line="130" w:lineRule="exact"/>
              <w:ind w:right="-15"/>
              <w:rPr>
                <w:sz w:val="14"/>
              </w:rPr>
            </w:pPr>
            <w:r>
              <w:rPr>
                <w:sz w:val="14"/>
              </w:rPr>
              <w:t>0.33</w:t>
            </w:r>
          </w:p>
        </w:tc>
        <w:tc>
          <w:tcPr>
            <w:tcW w:w="1144" w:type="dxa"/>
          </w:tcPr>
          <w:p>
            <w:pPr>
              <w:pStyle w:val="TableParagraph"/>
              <w:spacing w:line="130" w:lineRule="exact"/>
              <w:ind w:right="-15"/>
              <w:rPr>
                <w:sz w:val="14"/>
              </w:rPr>
            </w:pPr>
            <w:r>
              <w:rPr>
                <w:sz w:val="14"/>
              </w:rPr>
              <w:t>0.35</w:t>
            </w:r>
          </w:p>
        </w:tc>
        <w:tc>
          <w:tcPr>
            <w:tcW w:w="1144" w:type="dxa"/>
          </w:tcPr>
          <w:p>
            <w:pPr>
              <w:pStyle w:val="TableParagraph"/>
              <w:spacing w:line="130" w:lineRule="exact"/>
              <w:ind w:right="-15"/>
              <w:rPr>
                <w:sz w:val="14"/>
              </w:rPr>
            </w:pPr>
            <w:r>
              <w:rPr>
                <w:sz w:val="14"/>
              </w:rPr>
              <w:t>0.36</w:t>
            </w:r>
          </w:p>
        </w:tc>
        <w:tc>
          <w:tcPr>
            <w:tcW w:w="1144" w:type="dxa"/>
          </w:tcPr>
          <w:p>
            <w:pPr>
              <w:pStyle w:val="TableParagraph"/>
              <w:spacing w:line="130" w:lineRule="exact"/>
              <w:ind w:right="-15"/>
              <w:rPr>
                <w:sz w:val="14"/>
              </w:rPr>
            </w:pPr>
            <w:r>
              <w:rPr>
                <w:sz w:val="14"/>
              </w:rPr>
              <w:t>0.37</w:t>
            </w:r>
          </w:p>
        </w:tc>
        <w:tc>
          <w:tcPr>
            <w:tcW w:w="1144" w:type="dxa"/>
          </w:tcPr>
          <w:p>
            <w:pPr>
              <w:pStyle w:val="TableParagraph"/>
              <w:spacing w:line="130" w:lineRule="exact"/>
              <w:ind w:right="-15"/>
              <w:rPr>
                <w:sz w:val="14"/>
              </w:rPr>
            </w:pPr>
            <w:r>
              <w:rPr>
                <w:sz w:val="14"/>
              </w:rPr>
              <w:t>0.38</w:t>
            </w:r>
          </w:p>
        </w:tc>
        <w:tc>
          <w:tcPr>
            <w:tcW w:w="1222" w:type="dxa"/>
            <w:shd w:val="clear" w:color="auto" w:fill="BFBFBF"/>
          </w:tcPr>
          <w:p>
            <w:pPr>
              <w:pStyle w:val="TableParagraph"/>
              <w:spacing w:line="240" w:lineRule="auto"/>
              <w:jc w:val="left"/>
              <w:rPr>
                <w:rFonts w:ascii="Times New Roman"/>
                <w:sz w:val="8"/>
              </w:rPr>
            </w:pPr>
          </w:p>
        </w:tc>
      </w:tr>
    </w:tbl>
    <w:p>
      <w:pPr>
        <w:pStyle w:val="BodyText"/>
        <w:rPr>
          <w:rFonts w:ascii="Calibri"/>
          <w:b/>
          <w:sz w:val="16"/>
        </w:rPr>
      </w:pPr>
    </w:p>
    <w:p>
      <w:pPr>
        <w:pStyle w:val="BodyText"/>
        <w:spacing w:before="6"/>
        <w:rPr>
          <w:rFonts w:ascii="Calibri"/>
          <w:b/>
          <w:sz w:val="13"/>
        </w:rPr>
      </w:pPr>
    </w:p>
    <w:p>
      <w:pPr>
        <w:spacing w:before="0"/>
        <w:ind w:left="167" w:right="0" w:firstLine="0"/>
        <w:jc w:val="left"/>
        <w:rPr>
          <w:rFonts w:ascii="Calibri"/>
          <w:b/>
          <w:sz w:val="14"/>
        </w:rPr>
      </w:pPr>
      <w:r>
        <w:rPr>
          <w:rFonts w:ascii="Calibri"/>
          <w:b/>
          <w:sz w:val="14"/>
        </w:rPr>
        <w:t>** "Reset" 2018 budget at or below 2018 annual budget approved in Business plan Decision. "True-up" years 2019-2025.</w:t>
      </w:r>
    </w:p>
    <w:p>
      <w:pPr>
        <w:spacing w:after="0"/>
        <w:jc w:val="left"/>
        <w:rPr>
          <w:rFonts w:ascii="Calibri"/>
          <w:sz w:val="14"/>
        </w:rPr>
        <w:sectPr>
          <w:headerReference w:type="default" r:id="rId11"/>
          <w:pgSz w:w="15840" w:h="12240" w:orient="landscape"/>
          <w:pgMar w:header="0" w:footer="0" w:top="360" w:bottom="280" w:left="860" w:right="920"/>
        </w:sectPr>
      </w:pPr>
    </w:p>
    <w:p>
      <w:pPr>
        <w:spacing w:before="193" w:after="10"/>
        <w:ind w:left="5699" w:right="0" w:firstLine="0"/>
        <w:jc w:val="left"/>
        <w:rPr>
          <w:rFonts w:ascii="Calibri"/>
          <w:b/>
          <w:sz w:val="19"/>
        </w:rPr>
      </w:pPr>
      <w:r>
        <w:rPr>
          <w:rFonts w:ascii="Calibri"/>
          <w:b/>
          <w:sz w:val="19"/>
        </w:rPr>
        <w:t>Annual Rolling Portfolio Savings Forecast - True-up (kWh)</w:t>
      </w: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76"/>
        <w:gridCol w:w="1499"/>
        <w:gridCol w:w="1323"/>
        <w:gridCol w:w="1323"/>
        <w:gridCol w:w="1323"/>
        <w:gridCol w:w="1323"/>
        <w:gridCol w:w="1323"/>
        <w:gridCol w:w="1323"/>
        <w:gridCol w:w="1155"/>
      </w:tblGrid>
      <w:tr>
        <w:trPr>
          <w:trHeight w:val="230" w:hRule="atLeast"/>
        </w:trPr>
        <w:tc>
          <w:tcPr>
            <w:tcW w:w="3176" w:type="dxa"/>
            <w:tcBorders>
              <w:bottom w:val="single" w:sz="24" w:space="0" w:color="000000"/>
            </w:tcBorders>
          </w:tcPr>
          <w:p>
            <w:pPr>
              <w:pStyle w:val="TableParagraph"/>
              <w:spacing w:line="209" w:lineRule="exact" w:before="1"/>
              <w:ind w:left="52"/>
              <w:jc w:val="left"/>
              <w:rPr>
                <w:b/>
                <w:sz w:val="19"/>
              </w:rPr>
            </w:pPr>
            <w:r>
              <w:rPr>
                <w:b/>
                <w:sz w:val="19"/>
              </w:rPr>
              <w:t>Sector</w:t>
            </w:r>
          </w:p>
        </w:tc>
        <w:tc>
          <w:tcPr>
            <w:tcW w:w="1499" w:type="dxa"/>
            <w:tcBorders>
              <w:bottom w:val="single" w:sz="24" w:space="0" w:color="000000"/>
            </w:tcBorders>
          </w:tcPr>
          <w:p>
            <w:pPr>
              <w:pStyle w:val="TableParagraph"/>
              <w:spacing w:line="209" w:lineRule="exact" w:before="1"/>
              <w:ind w:right="218"/>
              <w:rPr>
                <w:sz w:val="19"/>
              </w:rPr>
            </w:pPr>
            <w:r>
              <w:rPr>
                <w:sz w:val="19"/>
              </w:rPr>
              <w:t>2018</w:t>
            </w:r>
          </w:p>
        </w:tc>
        <w:tc>
          <w:tcPr>
            <w:tcW w:w="1323" w:type="dxa"/>
            <w:tcBorders>
              <w:bottom w:val="single" w:sz="24" w:space="0" w:color="000000"/>
            </w:tcBorders>
          </w:tcPr>
          <w:p>
            <w:pPr>
              <w:pStyle w:val="TableParagraph"/>
              <w:spacing w:line="209" w:lineRule="exact" w:before="1"/>
              <w:ind w:right="219"/>
              <w:rPr>
                <w:sz w:val="19"/>
              </w:rPr>
            </w:pPr>
            <w:r>
              <w:rPr>
                <w:sz w:val="19"/>
              </w:rPr>
              <w:t>2019</w:t>
            </w:r>
          </w:p>
        </w:tc>
        <w:tc>
          <w:tcPr>
            <w:tcW w:w="1323" w:type="dxa"/>
            <w:tcBorders>
              <w:bottom w:val="single" w:sz="24" w:space="0" w:color="000000"/>
            </w:tcBorders>
          </w:tcPr>
          <w:p>
            <w:pPr>
              <w:pStyle w:val="TableParagraph"/>
              <w:spacing w:line="209" w:lineRule="exact" w:before="1"/>
              <w:ind w:right="219"/>
              <w:rPr>
                <w:sz w:val="19"/>
              </w:rPr>
            </w:pPr>
            <w:r>
              <w:rPr>
                <w:sz w:val="19"/>
              </w:rPr>
              <w:t>2020</w:t>
            </w:r>
          </w:p>
        </w:tc>
        <w:tc>
          <w:tcPr>
            <w:tcW w:w="1323" w:type="dxa"/>
            <w:tcBorders>
              <w:bottom w:val="single" w:sz="24" w:space="0" w:color="000000"/>
            </w:tcBorders>
          </w:tcPr>
          <w:p>
            <w:pPr>
              <w:pStyle w:val="TableParagraph"/>
              <w:spacing w:line="209" w:lineRule="exact" w:before="1"/>
              <w:ind w:right="220"/>
              <w:rPr>
                <w:sz w:val="19"/>
              </w:rPr>
            </w:pPr>
            <w:r>
              <w:rPr>
                <w:sz w:val="19"/>
              </w:rPr>
              <w:t>2021</w:t>
            </w:r>
          </w:p>
        </w:tc>
        <w:tc>
          <w:tcPr>
            <w:tcW w:w="1323" w:type="dxa"/>
            <w:tcBorders>
              <w:bottom w:val="single" w:sz="24" w:space="0" w:color="000000"/>
            </w:tcBorders>
          </w:tcPr>
          <w:p>
            <w:pPr>
              <w:pStyle w:val="TableParagraph"/>
              <w:spacing w:line="209" w:lineRule="exact" w:before="1"/>
              <w:ind w:right="220"/>
              <w:rPr>
                <w:sz w:val="19"/>
              </w:rPr>
            </w:pPr>
            <w:r>
              <w:rPr>
                <w:sz w:val="19"/>
              </w:rPr>
              <w:t>2022</w:t>
            </w:r>
          </w:p>
        </w:tc>
        <w:tc>
          <w:tcPr>
            <w:tcW w:w="1323" w:type="dxa"/>
            <w:tcBorders>
              <w:bottom w:val="single" w:sz="24" w:space="0" w:color="000000"/>
            </w:tcBorders>
          </w:tcPr>
          <w:p>
            <w:pPr>
              <w:pStyle w:val="TableParagraph"/>
              <w:spacing w:line="209" w:lineRule="exact" w:before="1"/>
              <w:ind w:right="221"/>
              <w:rPr>
                <w:sz w:val="19"/>
              </w:rPr>
            </w:pPr>
            <w:r>
              <w:rPr>
                <w:sz w:val="19"/>
              </w:rPr>
              <w:t>2023</w:t>
            </w:r>
          </w:p>
        </w:tc>
        <w:tc>
          <w:tcPr>
            <w:tcW w:w="1323" w:type="dxa"/>
            <w:tcBorders>
              <w:bottom w:val="single" w:sz="24" w:space="0" w:color="000000"/>
            </w:tcBorders>
          </w:tcPr>
          <w:p>
            <w:pPr>
              <w:pStyle w:val="TableParagraph"/>
              <w:spacing w:line="209" w:lineRule="exact" w:before="1"/>
              <w:ind w:right="222"/>
              <w:rPr>
                <w:sz w:val="19"/>
              </w:rPr>
            </w:pPr>
            <w:r>
              <w:rPr>
                <w:sz w:val="19"/>
              </w:rPr>
              <w:t>2024</w:t>
            </w:r>
          </w:p>
        </w:tc>
        <w:tc>
          <w:tcPr>
            <w:tcW w:w="1155" w:type="dxa"/>
            <w:tcBorders>
              <w:bottom w:val="single" w:sz="24" w:space="0" w:color="000000"/>
            </w:tcBorders>
          </w:tcPr>
          <w:p>
            <w:pPr>
              <w:pStyle w:val="TableParagraph"/>
              <w:spacing w:line="209" w:lineRule="exact" w:before="1"/>
              <w:ind w:right="54"/>
              <w:rPr>
                <w:sz w:val="19"/>
              </w:rPr>
            </w:pPr>
            <w:r>
              <w:rPr>
                <w:sz w:val="19"/>
              </w:rPr>
              <w:t>2025</w:t>
            </w:r>
          </w:p>
        </w:tc>
      </w:tr>
      <w:tr>
        <w:trPr>
          <w:trHeight w:val="226" w:hRule="atLeast"/>
        </w:trPr>
        <w:tc>
          <w:tcPr>
            <w:tcW w:w="3176" w:type="dxa"/>
            <w:tcBorders>
              <w:top w:val="single" w:sz="24" w:space="0" w:color="000000"/>
            </w:tcBorders>
          </w:tcPr>
          <w:p>
            <w:pPr>
              <w:pStyle w:val="TableParagraph"/>
              <w:spacing w:line="206" w:lineRule="exact"/>
              <w:ind w:left="52"/>
              <w:jc w:val="left"/>
              <w:rPr>
                <w:sz w:val="19"/>
              </w:rPr>
            </w:pPr>
            <w:r>
              <w:rPr>
                <w:sz w:val="19"/>
              </w:rPr>
              <w:t>Residential</w:t>
            </w:r>
          </w:p>
        </w:tc>
        <w:tc>
          <w:tcPr>
            <w:tcW w:w="1499" w:type="dxa"/>
            <w:tcBorders>
              <w:top w:val="single" w:sz="24" w:space="0" w:color="000000"/>
            </w:tcBorders>
          </w:tcPr>
          <w:p>
            <w:pPr>
              <w:pStyle w:val="TableParagraph"/>
              <w:spacing w:line="206" w:lineRule="exact"/>
              <w:ind w:left="390"/>
              <w:jc w:val="left"/>
              <w:rPr>
                <w:sz w:val="19"/>
              </w:rPr>
            </w:pPr>
            <w:r>
              <w:rPr>
                <w:sz w:val="19"/>
              </w:rPr>
              <w:t>2,881,748</w:t>
            </w:r>
          </w:p>
        </w:tc>
        <w:tc>
          <w:tcPr>
            <w:tcW w:w="1323" w:type="dxa"/>
            <w:tcBorders>
              <w:top w:val="single" w:sz="24" w:space="0" w:color="000000"/>
            </w:tcBorders>
          </w:tcPr>
          <w:p>
            <w:pPr>
              <w:pStyle w:val="TableParagraph"/>
              <w:spacing w:line="206" w:lineRule="exact"/>
              <w:ind w:left="214"/>
              <w:jc w:val="left"/>
              <w:rPr>
                <w:sz w:val="19"/>
              </w:rPr>
            </w:pPr>
            <w:r>
              <w:rPr>
                <w:sz w:val="19"/>
              </w:rPr>
              <w:t>4,367,008</w:t>
            </w:r>
          </w:p>
        </w:tc>
        <w:tc>
          <w:tcPr>
            <w:tcW w:w="1323" w:type="dxa"/>
            <w:tcBorders>
              <w:top w:val="single" w:sz="24" w:space="0" w:color="000000"/>
            </w:tcBorders>
          </w:tcPr>
          <w:p>
            <w:pPr>
              <w:pStyle w:val="TableParagraph"/>
              <w:spacing w:line="206" w:lineRule="exact"/>
              <w:ind w:left="213"/>
              <w:jc w:val="left"/>
              <w:rPr>
                <w:sz w:val="19"/>
              </w:rPr>
            </w:pPr>
            <w:r>
              <w:rPr>
                <w:sz w:val="19"/>
              </w:rPr>
              <w:t>4,420,937</w:t>
            </w:r>
          </w:p>
        </w:tc>
        <w:tc>
          <w:tcPr>
            <w:tcW w:w="1323" w:type="dxa"/>
            <w:tcBorders>
              <w:top w:val="single" w:sz="24" w:space="0" w:color="000000"/>
            </w:tcBorders>
          </w:tcPr>
          <w:p>
            <w:pPr>
              <w:pStyle w:val="TableParagraph"/>
              <w:spacing w:line="206" w:lineRule="exact"/>
              <w:ind w:right="272"/>
              <w:rPr>
                <w:sz w:val="19"/>
              </w:rPr>
            </w:pPr>
            <w:r>
              <w:rPr>
                <w:sz w:val="19"/>
              </w:rPr>
              <w:t>4,509,304</w:t>
            </w:r>
          </w:p>
        </w:tc>
        <w:tc>
          <w:tcPr>
            <w:tcW w:w="1323" w:type="dxa"/>
            <w:tcBorders>
              <w:top w:val="single" w:sz="24" w:space="0" w:color="000000"/>
            </w:tcBorders>
          </w:tcPr>
          <w:p>
            <w:pPr>
              <w:pStyle w:val="TableParagraph"/>
              <w:spacing w:line="206" w:lineRule="exact"/>
              <w:ind w:right="273"/>
              <w:rPr>
                <w:sz w:val="19"/>
              </w:rPr>
            </w:pPr>
            <w:r>
              <w:rPr>
                <w:sz w:val="19"/>
              </w:rPr>
              <w:t>4,599,620</w:t>
            </w:r>
          </w:p>
        </w:tc>
        <w:tc>
          <w:tcPr>
            <w:tcW w:w="1323" w:type="dxa"/>
            <w:tcBorders>
              <w:top w:val="single" w:sz="24" w:space="0" w:color="000000"/>
            </w:tcBorders>
          </w:tcPr>
          <w:p>
            <w:pPr>
              <w:pStyle w:val="TableParagraph"/>
              <w:spacing w:line="206" w:lineRule="exact"/>
              <w:ind w:right="273"/>
              <w:rPr>
                <w:sz w:val="19"/>
              </w:rPr>
            </w:pPr>
            <w:r>
              <w:rPr>
                <w:sz w:val="19"/>
              </w:rPr>
              <w:t>4,691,885</w:t>
            </w:r>
          </w:p>
        </w:tc>
        <w:tc>
          <w:tcPr>
            <w:tcW w:w="1323" w:type="dxa"/>
            <w:tcBorders>
              <w:top w:val="single" w:sz="24" w:space="0" w:color="000000"/>
            </w:tcBorders>
          </w:tcPr>
          <w:p>
            <w:pPr>
              <w:pStyle w:val="TableParagraph"/>
              <w:spacing w:line="206" w:lineRule="exact"/>
              <w:ind w:right="274"/>
              <w:rPr>
                <w:sz w:val="19"/>
              </w:rPr>
            </w:pPr>
            <w:r>
              <w:rPr>
                <w:sz w:val="19"/>
              </w:rPr>
              <w:t>4,785,450</w:t>
            </w:r>
          </w:p>
        </w:tc>
        <w:tc>
          <w:tcPr>
            <w:tcW w:w="1155" w:type="dxa"/>
            <w:tcBorders>
              <w:top w:val="single" w:sz="24" w:space="0" w:color="000000"/>
            </w:tcBorders>
          </w:tcPr>
          <w:p>
            <w:pPr>
              <w:pStyle w:val="TableParagraph"/>
              <w:spacing w:line="206" w:lineRule="exact"/>
              <w:ind w:right="107"/>
              <w:rPr>
                <w:sz w:val="19"/>
              </w:rPr>
            </w:pPr>
            <w:r>
              <w:rPr>
                <w:sz w:val="19"/>
              </w:rPr>
              <w:t>4,880,964</w:t>
            </w:r>
          </w:p>
        </w:tc>
      </w:tr>
      <w:tr>
        <w:trPr>
          <w:trHeight w:val="243" w:hRule="atLeast"/>
        </w:trPr>
        <w:tc>
          <w:tcPr>
            <w:tcW w:w="3176" w:type="dxa"/>
          </w:tcPr>
          <w:p>
            <w:pPr>
              <w:pStyle w:val="TableParagraph"/>
              <w:spacing w:before="6"/>
              <w:ind w:left="52"/>
              <w:jc w:val="left"/>
              <w:rPr>
                <w:sz w:val="19"/>
              </w:rPr>
            </w:pPr>
            <w:r>
              <w:rPr>
                <w:sz w:val="19"/>
              </w:rPr>
              <w:t>Commercial</w:t>
            </w:r>
          </w:p>
        </w:tc>
        <w:tc>
          <w:tcPr>
            <w:tcW w:w="1499" w:type="dxa"/>
          </w:tcPr>
          <w:p>
            <w:pPr>
              <w:pStyle w:val="TableParagraph"/>
              <w:spacing w:before="6"/>
              <w:ind w:right="213"/>
              <w:rPr>
                <w:sz w:val="19"/>
              </w:rPr>
            </w:pPr>
            <w:r>
              <w:rPr>
                <w:sz w:val="19"/>
              </w:rPr>
              <w:t>n/a</w:t>
            </w:r>
          </w:p>
        </w:tc>
        <w:tc>
          <w:tcPr>
            <w:tcW w:w="1323" w:type="dxa"/>
          </w:tcPr>
          <w:p>
            <w:pPr>
              <w:pStyle w:val="TableParagraph"/>
              <w:spacing w:before="6"/>
              <w:ind w:right="214"/>
              <w:rPr>
                <w:sz w:val="19"/>
              </w:rPr>
            </w:pPr>
            <w:r>
              <w:rPr>
                <w:sz w:val="19"/>
              </w:rPr>
              <w:t>n/a</w:t>
            </w:r>
          </w:p>
        </w:tc>
        <w:tc>
          <w:tcPr>
            <w:tcW w:w="1323" w:type="dxa"/>
          </w:tcPr>
          <w:p>
            <w:pPr>
              <w:pStyle w:val="TableParagraph"/>
              <w:spacing w:before="6"/>
              <w:ind w:right="215"/>
              <w:rPr>
                <w:sz w:val="19"/>
              </w:rPr>
            </w:pPr>
            <w:r>
              <w:rPr>
                <w:sz w:val="19"/>
              </w:rPr>
              <w:t>n/a</w:t>
            </w:r>
          </w:p>
        </w:tc>
        <w:tc>
          <w:tcPr>
            <w:tcW w:w="1323" w:type="dxa"/>
          </w:tcPr>
          <w:p>
            <w:pPr>
              <w:pStyle w:val="TableParagraph"/>
              <w:spacing w:before="6"/>
              <w:ind w:right="215"/>
              <w:rPr>
                <w:sz w:val="19"/>
              </w:rPr>
            </w:pPr>
            <w:r>
              <w:rPr>
                <w:sz w:val="19"/>
              </w:rPr>
              <w:t>n/a</w:t>
            </w:r>
          </w:p>
        </w:tc>
        <w:tc>
          <w:tcPr>
            <w:tcW w:w="1323" w:type="dxa"/>
          </w:tcPr>
          <w:p>
            <w:pPr>
              <w:pStyle w:val="TableParagraph"/>
              <w:spacing w:before="6"/>
              <w:ind w:right="216"/>
              <w:rPr>
                <w:sz w:val="19"/>
              </w:rPr>
            </w:pPr>
            <w:r>
              <w:rPr>
                <w:sz w:val="19"/>
              </w:rPr>
              <w:t>n/a</w:t>
            </w:r>
          </w:p>
        </w:tc>
        <w:tc>
          <w:tcPr>
            <w:tcW w:w="1323" w:type="dxa"/>
          </w:tcPr>
          <w:p>
            <w:pPr>
              <w:pStyle w:val="TableParagraph"/>
              <w:spacing w:before="6"/>
              <w:ind w:right="216"/>
              <w:rPr>
                <w:sz w:val="19"/>
              </w:rPr>
            </w:pPr>
            <w:r>
              <w:rPr>
                <w:sz w:val="19"/>
              </w:rPr>
              <w:t>n/a</w:t>
            </w:r>
          </w:p>
        </w:tc>
        <w:tc>
          <w:tcPr>
            <w:tcW w:w="1323" w:type="dxa"/>
          </w:tcPr>
          <w:p>
            <w:pPr>
              <w:pStyle w:val="TableParagraph"/>
              <w:spacing w:before="6"/>
              <w:ind w:right="217"/>
              <w:rPr>
                <w:sz w:val="19"/>
              </w:rPr>
            </w:pPr>
            <w:r>
              <w:rPr>
                <w:sz w:val="19"/>
              </w:rPr>
              <w:t>n/a</w:t>
            </w:r>
          </w:p>
        </w:tc>
        <w:tc>
          <w:tcPr>
            <w:tcW w:w="1155" w:type="dxa"/>
          </w:tcPr>
          <w:p>
            <w:pPr>
              <w:pStyle w:val="TableParagraph"/>
              <w:spacing w:before="6"/>
              <w:ind w:right="50"/>
              <w:rPr>
                <w:sz w:val="19"/>
              </w:rPr>
            </w:pPr>
            <w:r>
              <w:rPr>
                <w:sz w:val="19"/>
              </w:rPr>
              <w:t>n/a</w:t>
            </w:r>
          </w:p>
        </w:tc>
      </w:tr>
      <w:tr>
        <w:trPr>
          <w:trHeight w:val="243" w:hRule="atLeast"/>
        </w:trPr>
        <w:tc>
          <w:tcPr>
            <w:tcW w:w="3176" w:type="dxa"/>
          </w:tcPr>
          <w:p>
            <w:pPr>
              <w:pStyle w:val="TableParagraph"/>
              <w:spacing w:before="6"/>
              <w:ind w:left="52"/>
              <w:jc w:val="left"/>
              <w:rPr>
                <w:sz w:val="19"/>
              </w:rPr>
            </w:pPr>
            <w:r>
              <w:rPr>
                <w:sz w:val="19"/>
              </w:rPr>
              <w:t>Industrial</w:t>
            </w:r>
          </w:p>
        </w:tc>
        <w:tc>
          <w:tcPr>
            <w:tcW w:w="1499" w:type="dxa"/>
          </w:tcPr>
          <w:p>
            <w:pPr>
              <w:pStyle w:val="TableParagraph"/>
              <w:spacing w:before="6"/>
              <w:ind w:right="213"/>
              <w:rPr>
                <w:sz w:val="19"/>
              </w:rPr>
            </w:pPr>
            <w:r>
              <w:rPr>
                <w:sz w:val="19"/>
              </w:rPr>
              <w:t>n/a</w:t>
            </w:r>
          </w:p>
        </w:tc>
        <w:tc>
          <w:tcPr>
            <w:tcW w:w="1323" w:type="dxa"/>
          </w:tcPr>
          <w:p>
            <w:pPr>
              <w:pStyle w:val="TableParagraph"/>
              <w:spacing w:before="6"/>
              <w:ind w:right="214"/>
              <w:rPr>
                <w:sz w:val="19"/>
              </w:rPr>
            </w:pPr>
            <w:r>
              <w:rPr>
                <w:sz w:val="19"/>
              </w:rPr>
              <w:t>n/a</w:t>
            </w:r>
          </w:p>
        </w:tc>
        <w:tc>
          <w:tcPr>
            <w:tcW w:w="1323" w:type="dxa"/>
          </w:tcPr>
          <w:p>
            <w:pPr>
              <w:pStyle w:val="TableParagraph"/>
              <w:spacing w:before="6"/>
              <w:ind w:right="215"/>
              <w:rPr>
                <w:sz w:val="19"/>
              </w:rPr>
            </w:pPr>
            <w:r>
              <w:rPr>
                <w:sz w:val="19"/>
              </w:rPr>
              <w:t>n/a</w:t>
            </w:r>
          </w:p>
        </w:tc>
        <w:tc>
          <w:tcPr>
            <w:tcW w:w="1323" w:type="dxa"/>
          </w:tcPr>
          <w:p>
            <w:pPr>
              <w:pStyle w:val="TableParagraph"/>
              <w:spacing w:before="6"/>
              <w:ind w:right="215"/>
              <w:rPr>
                <w:sz w:val="19"/>
              </w:rPr>
            </w:pPr>
            <w:r>
              <w:rPr>
                <w:sz w:val="19"/>
              </w:rPr>
              <w:t>n/a</w:t>
            </w:r>
          </w:p>
        </w:tc>
        <w:tc>
          <w:tcPr>
            <w:tcW w:w="1323" w:type="dxa"/>
          </w:tcPr>
          <w:p>
            <w:pPr>
              <w:pStyle w:val="TableParagraph"/>
              <w:spacing w:before="6"/>
              <w:ind w:right="216"/>
              <w:rPr>
                <w:sz w:val="19"/>
              </w:rPr>
            </w:pPr>
            <w:r>
              <w:rPr>
                <w:sz w:val="19"/>
              </w:rPr>
              <w:t>n/a</w:t>
            </w:r>
          </w:p>
        </w:tc>
        <w:tc>
          <w:tcPr>
            <w:tcW w:w="1323" w:type="dxa"/>
          </w:tcPr>
          <w:p>
            <w:pPr>
              <w:pStyle w:val="TableParagraph"/>
              <w:spacing w:before="6"/>
              <w:ind w:right="216"/>
              <w:rPr>
                <w:sz w:val="19"/>
              </w:rPr>
            </w:pPr>
            <w:r>
              <w:rPr>
                <w:sz w:val="19"/>
              </w:rPr>
              <w:t>n/a</w:t>
            </w:r>
          </w:p>
        </w:tc>
        <w:tc>
          <w:tcPr>
            <w:tcW w:w="1323" w:type="dxa"/>
          </w:tcPr>
          <w:p>
            <w:pPr>
              <w:pStyle w:val="TableParagraph"/>
              <w:spacing w:before="6"/>
              <w:ind w:right="217"/>
              <w:rPr>
                <w:sz w:val="19"/>
              </w:rPr>
            </w:pPr>
            <w:r>
              <w:rPr>
                <w:sz w:val="19"/>
              </w:rPr>
              <w:t>n/a</w:t>
            </w:r>
          </w:p>
        </w:tc>
        <w:tc>
          <w:tcPr>
            <w:tcW w:w="1155" w:type="dxa"/>
          </w:tcPr>
          <w:p>
            <w:pPr>
              <w:pStyle w:val="TableParagraph"/>
              <w:spacing w:before="6"/>
              <w:ind w:right="50"/>
              <w:rPr>
                <w:sz w:val="19"/>
              </w:rPr>
            </w:pPr>
            <w:r>
              <w:rPr>
                <w:sz w:val="19"/>
              </w:rPr>
              <w:t>n/a</w:t>
            </w:r>
          </w:p>
        </w:tc>
      </w:tr>
      <w:tr>
        <w:trPr>
          <w:trHeight w:val="243" w:hRule="atLeast"/>
        </w:trPr>
        <w:tc>
          <w:tcPr>
            <w:tcW w:w="3176" w:type="dxa"/>
          </w:tcPr>
          <w:p>
            <w:pPr>
              <w:pStyle w:val="TableParagraph"/>
              <w:spacing w:before="6"/>
              <w:ind w:left="52"/>
              <w:jc w:val="left"/>
              <w:rPr>
                <w:sz w:val="19"/>
              </w:rPr>
            </w:pPr>
            <w:r>
              <w:rPr>
                <w:sz w:val="19"/>
              </w:rPr>
              <w:t>Agriculture</w:t>
            </w:r>
          </w:p>
        </w:tc>
        <w:tc>
          <w:tcPr>
            <w:tcW w:w="1499" w:type="dxa"/>
          </w:tcPr>
          <w:p>
            <w:pPr>
              <w:pStyle w:val="TableParagraph"/>
              <w:spacing w:before="6"/>
              <w:ind w:right="213"/>
              <w:rPr>
                <w:sz w:val="19"/>
              </w:rPr>
            </w:pPr>
            <w:r>
              <w:rPr>
                <w:sz w:val="19"/>
              </w:rPr>
              <w:t>n/a</w:t>
            </w:r>
          </w:p>
        </w:tc>
        <w:tc>
          <w:tcPr>
            <w:tcW w:w="1323" w:type="dxa"/>
          </w:tcPr>
          <w:p>
            <w:pPr>
              <w:pStyle w:val="TableParagraph"/>
              <w:spacing w:before="6"/>
              <w:ind w:right="214"/>
              <w:rPr>
                <w:sz w:val="19"/>
              </w:rPr>
            </w:pPr>
            <w:r>
              <w:rPr>
                <w:sz w:val="19"/>
              </w:rPr>
              <w:t>n/a</w:t>
            </w:r>
          </w:p>
        </w:tc>
        <w:tc>
          <w:tcPr>
            <w:tcW w:w="1323" w:type="dxa"/>
          </w:tcPr>
          <w:p>
            <w:pPr>
              <w:pStyle w:val="TableParagraph"/>
              <w:spacing w:before="6"/>
              <w:ind w:right="215"/>
              <w:rPr>
                <w:sz w:val="19"/>
              </w:rPr>
            </w:pPr>
            <w:r>
              <w:rPr>
                <w:sz w:val="19"/>
              </w:rPr>
              <w:t>n/a</w:t>
            </w:r>
          </w:p>
        </w:tc>
        <w:tc>
          <w:tcPr>
            <w:tcW w:w="1323" w:type="dxa"/>
          </w:tcPr>
          <w:p>
            <w:pPr>
              <w:pStyle w:val="TableParagraph"/>
              <w:spacing w:before="6"/>
              <w:ind w:right="215"/>
              <w:rPr>
                <w:sz w:val="19"/>
              </w:rPr>
            </w:pPr>
            <w:r>
              <w:rPr>
                <w:sz w:val="19"/>
              </w:rPr>
              <w:t>n/a</w:t>
            </w:r>
          </w:p>
        </w:tc>
        <w:tc>
          <w:tcPr>
            <w:tcW w:w="1323" w:type="dxa"/>
          </w:tcPr>
          <w:p>
            <w:pPr>
              <w:pStyle w:val="TableParagraph"/>
              <w:spacing w:before="6"/>
              <w:ind w:right="216"/>
              <w:rPr>
                <w:sz w:val="19"/>
              </w:rPr>
            </w:pPr>
            <w:r>
              <w:rPr>
                <w:sz w:val="19"/>
              </w:rPr>
              <w:t>n/a</w:t>
            </w:r>
          </w:p>
        </w:tc>
        <w:tc>
          <w:tcPr>
            <w:tcW w:w="1323" w:type="dxa"/>
          </w:tcPr>
          <w:p>
            <w:pPr>
              <w:pStyle w:val="TableParagraph"/>
              <w:spacing w:before="6"/>
              <w:ind w:right="216"/>
              <w:rPr>
                <w:sz w:val="19"/>
              </w:rPr>
            </w:pPr>
            <w:r>
              <w:rPr>
                <w:sz w:val="19"/>
              </w:rPr>
              <w:t>n/a</w:t>
            </w:r>
          </w:p>
        </w:tc>
        <w:tc>
          <w:tcPr>
            <w:tcW w:w="1323" w:type="dxa"/>
          </w:tcPr>
          <w:p>
            <w:pPr>
              <w:pStyle w:val="TableParagraph"/>
              <w:spacing w:before="6"/>
              <w:ind w:right="217"/>
              <w:rPr>
                <w:sz w:val="19"/>
              </w:rPr>
            </w:pPr>
            <w:r>
              <w:rPr>
                <w:sz w:val="19"/>
              </w:rPr>
              <w:t>n/a</w:t>
            </w:r>
          </w:p>
        </w:tc>
        <w:tc>
          <w:tcPr>
            <w:tcW w:w="1155" w:type="dxa"/>
          </w:tcPr>
          <w:p>
            <w:pPr>
              <w:pStyle w:val="TableParagraph"/>
              <w:spacing w:before="6"/>
              <w:ind w:right="50"/>
              <w:rPr>
                <w:sz w:val="19"/>
              </w:rPr>
            </w:pPr>
            <w:r>
              <w:rPr>
                <w:sz w:val="19"/>
              </w:rPr>
              <w:t>n/a</w:t>
            </w:r>
          </w:p>
        </w:tc>
      </w:tr>
      <w:tr>
        <w:trPr>
          <w:trHeight w:val="243" w:hRule="atLeast"/>
        </w:trPr>
        <w:tc>
          <w:tcPr>
            <w:tcW w:w="3176" w:type="dxa"/>
          </w:tcPr>
          <w:p>
            <w:pPr>
              <w:pStyle w:val="TableParagraph"/>
              <w:spacing w:before="6"/>
              <w:ind w:left="52"/>
              <w:jc w:val="left"/>
              <w:rPr>
                <w:sz w:val="19"/>
              </w:rPr>
            </w:pPr>
            <w:r>
              <w:rPr>
                <w:sz w:val="19"/>
              </w:rPr>
              <w:t>Emerging Tech</w:t>
            </w:r>
          </w:p>
        </w:tc>
        <w:tc>
          <w:tcPr>
            <w:tcW w:w="1499" w:type="dxa"/>
          </w:tcPr>
          <w:p>
            <w:pPr>
              <w:pStyle w:val="TableParagraph"/>
              <w:spacing w:before="6"/>
              <w:ind w:right="213"/>
              <w:rPr>
                <w:sz w:val="19"/>
              </w:rPr>
            </w:pPr>
            <w:r>
              <w:rPr>
                <w:sz w:val="19"/>
              </w:rPr>
              <w:t>n/a</w:t>
            </w:r>
          </w:p>
        </w:tc>
        <w:tc>
          <w:tcPr>
            <w:tcW w:w="1323" w:type="dxa"/>
          </w:tcPr>
          <w:p>
            <w:pPr>
              <w:pStyle w:val="TableParagraph"/>
              <w:spacing w:before="6"/>
              <w:ind w:right="214"/>
              <w:rPr>
                <w:sz w:val="19"/>
              </w:rPr>
            </w:pPr>
            <w:r>
              <w:rPr>
                <w:sz w:val="19"/>
              </w:rPr>
              <w:t>n/a</w:t>
            </w:r>
          </w:p>
        </w:tc>
        <w:tc>
          <w:tcPr>
            <w:tcW w:w="1323" w:type="dxa"/>
          </w:tcPr>
          <w:p>
            <w:pPr>
              <w:pStyle w:val="TableParagraph"/>
              <w:spacing w:before="6"/>
              <w:ind w:right="215"/>
              <w:rPr>
                <w:sz w:val="19"/>
              </w:rPr>
            </w:pPr>
            <w:r>
              <w:rPr>
                <w:sz w:val="19"/>
              </w:rPr>
              <w:t>n/a</w:t>
            </w:r>
          </w:p>
        </w:tc>
        <w:tc>
          <w:tcPr>
            <w:tcW w:w="1323" w:type="dxa"/>
          </w:tcPr>
          <w:p>
            <w:pPr>
              <w:pStyle w:val="TableParagraph"/>
              <w:spacing w:before="6"/>
              <w:ind w:right="215"/>
              <w:rPr>
                <w:sz w:val="19"/>
              </w:rPr>
            </w:pPr>
            <w:r>
              <w:rPr>
                <w:sz w:val="19"/>
              </w:rPr>
              <w:t>n/a</w:t>
            </w:r>
          </w:p>
        </w:tc>
        <w:tc>
          <w:tcPr>
            <w:tcW w:w="1323" w:type="dxa"/>
          </w:tcPr>
          <w:p>
            <w:pPr>
              <w:pStyle w:val="TableParagraph"/>
              <w:spacing w:before="6"/>
              <w:ind w:right="216"/>
              <w:rPr>
                <w:sz w:val="19"/>
              </w:rPr>
            </w:pPr>
            <w:r>
              <w:rPr>
                <w:sz w:val="19"/>
              </w:rPr>
              <w:t>n/a</w:t>
            </w:r>
          </w:p>
        </w:tc>
        <w:tc>
          <w:tcPr>
            <w:tcW w:w="1323" w:type="dxa"/>
          </w:tcPr>
          <w:p>
            <w:pPr>
              <w:pStyle w:val="TableParagraph"/>
              <w:spacing w:before="6"/>
              <w:ind w:right="216"/>
              <w:rPr>
                <w:sz w:val="19"/>
              </w:rPr>
            </w:pPr>
            <w:r>
              <w:rPr>
                <w:sz w:val="19"/>
              </w:rPr>
              <w:t>n/a</w:t>
            </w:r>
          </w:p>
        </w:tc>
        <w:tc>
          <w:tcPr>
            <w:tcW w:w="1323" w:type="dxa"/>
          </w:tcPr>
          <w:p>
            <w:pPr>
              <w:pStyle w:val="TableParagraph"/>
              <w:spacing w:before="6"/>
              <w:ind w:right="217"/>
              <w:rPr>
                <w:sz w:val="19"/>
              </w:rPr>
            </w:pPr>
            <w:r>
              <w:rPr>
                <w:sz w:val="19"/>
              </w:rPr>
              <w:t>n/a</w:t>
            </w:r>
          </w:p>
        </w:tc>
        <w:tc>
          <w:tcPr>
            <w:tcW w:w="1155" w:type="dxa"/>
          </w:tcPr>
          <w:p>
            <w:pPr>
              <w:pStyle w:val="TableParagraph"/>
              <w:spacing w:before="6"/>
              <w:ind w:right="50"/>
              <w:rPr>
                <w:sz w:val="19"/>
              </w:rPr>
            </w:pPr>
            <w:r>
              <w:rPr>
                <w:sz w:val="19"/>
              </w:rPr>
              <w:t>n/a</w:t>
            </w:r>
          </w:p>
        </w:tc>
      </w:tr>
      <w:tr>
        <w:trPr>
          <w:trHeight w:val="243" w:hRule="atLeast"/>
        </w:trPr>
        <w:tc>
          <w:tcPr>
            <w:tcW w:w="3176" w:type="dxa"/>
          </w:tcPr>
          <w:p>
            <w:pPr>
              <w:pStyle w:val="TableParagraph"/>
              <w:spacing w:before="6"/>
              <w:ind w:left="52"/>
              <w:jc w:val="left"/>
              <w:rPr>
                <w:sz w:val="19"/>
              </w:rPr>
            </w:pPr>
            <w:r>
              <w:rPr>
                <w:sz w:val="19"/>
              </w:rPr>
              <w:t>Public</w:t>
            </w:r>
          </w:p>
        </w:tc>
        <w:tc>
          <w:tcPr>
            <w:tcW w:w="1499" w:type="dxa"/>
          </w:tcPr>
          <w:p>
            <w:pPr>
              <w:pStyle w:val="TableParagraph"/>
              <w:spacing w:before="6"/>
              <w:ind w:right="213"/>
              <w:rPr>
                <w:sz w:val="19"/>
              </w:rPr>
            </w:pPr>
            <w:r>
              <w:rPr>
                <w:sz w:val="19"/>
              </w:rPr>
              <w:t>n/a</w:t>
            </w:r>
          </w:p>
        </w:tc>
        <w:tc>
          <w:tcPr>
            <w:tcW w:w="1323" w:type="dxa"/>
          </w:tcPr>
          <w:p>
            <w:pPr>
              <w:pStyle w:val="TableParagraph"/>
              <w:spacing w:before="6"/>
              <w:ind w:right="214"/>
              <w:rPr>
                <w:sz w:val="19"/>
              </w:rPr>
            </w:pPr>
            <w:r>
              <w:rPr>
                <w:sz w:val="19"/>
              </w:rPr>
              <w:t>n/a</w:t>
            </w:r>
          </w:p>
        </w:tc>
        <w:tc>
          <w:tcPr>
            <w:tcW w:w="1323" w:type="dxa"/>
          </w:tcPr>
          <w:p>
            <w:pPr>
              <w:pStyle w:val="TableParagraph"/>
              <w:spacing w:before="6"/>
              <w:ind w:right="215"/>
              <w:rPr>
                <w:sz w:val="19"/>
              </w:rPr>
            </w:pPr>
            <w:r>
              <w:rPr>
                <w:sz w:val="19"/>
              </w:rPr>
              <w:t>n/a</w:t>
            </w:r>
          </w:p>
        </w:tc>
        <w:tc>
          <w:tcPr>
            <w:tcW w:w="1323" w:type="dxa"/>
          </w:tcPr>
          <w:p>
            <w:pPr>
              <w:pStyle w:val="TableParagraph"/>
              <w:spacing w:before="6"/>
              <w:ind w:right="215"/>
              <w:rPr>
                <w:sz w:val="19"/>
              </w:rPr>
            </w:pPr>
            <w:r>
              <w:rPr>
                <w:sz w:val="19"/>
              </w:rPr>
              <w:t>n/a</w:t>
            </w:r>
          </w:p>
        </w:tc>
        <w:tc>
          <w:tcPr>
            <w:tcW w:w="1323" w:type="dxa"/>
          </w:tcPr>
          <w:p>
            <w:pPr>
              <w:pStyle w:val="TableParagraph"/>
              <w:spacing w:before="6"/>
              <w:ind w:right="216"/>
              <w:rPr>
                <w:sz w:val="19"/>
              </w:rPr>
            </w:pPr>
            <w:r>
              <w:rPr>
                <w:sz w:val="19"/>
              </w:rPr>
              <w:t>n/a</w:t>
            </w:r>
          </w:p>
        </w:tc>
        <w:tc>
          <w:tcPr>
            <w:tcW w:w="1323" w:type="dxa"/>
          </w:tcPr>
          <w:p>
            <w:pPr>
              <w:pStyle w:val="TableParagraph"/>
              <w:spacing w:before="6"/>
              <w:ind w:right="216"/>
              <w:rPr>
                <w:sz w:val="19"/>
              </w:rPr>
            </w:pPr>
            <w:r>
              <w:rPr>
                <w:sz w:val="19"/>
              </w:rPr>
              <w:t>n/a</w:t>
            </w:r>
          </w:p>
        </w:tc>
        <w:tc>
          <w:tcPr>
            <w:tcW w:w="1323" w:type="dxa"/>
          </w:tcPr>
          <w:p>
            <w:pPr>
              <w:pStyle w:val="TableParagraph"/>
              <w:spacing w:before="6"/>
              <w:ind w:right="217"/>
              <w:rPr>
                <w:sz w:val="19"/>
              </w:rPr>
            </w:pPr>
            <w:r>
              <w:rPr>
                <w:sz w:val="19"/>
              </w:rPr>
              <w:t>n/a</w:t>
            </w:r>
          </w:p>
        </w:tc>
        <w:tc>
          <w:tcPr>
            <w:tcW w:w="1155" w:type="dxa"/>
          </w:tcPr>
          <w:p>
            <w:pPr>
              <w:pStyle w:val="TableParagraph"/>
              <w:spacing w:before="6"/>
              <w:ind w:right="50"/>
              <w:rPr>
                <w:sz w:val="19"/>
              </w:rPr>
            </w:pPr>
            <w:r>
              <w:rPr>
                <w:sz w:val="19"/>
              </w:rPr>
              <w:t>n/a</w:t>
            </w:r>
          </w:p>
        </w:tc>
      </w:tr>
      <w:tr>
        <w:trPr>
          <w:trHeight w:val="243" w:hRule="atLeast"/>
        </w:trPr>
        <w:tc>
          <w:tcPr>
            <w:tcW w:w="3176" w:type="dxa"/>
          </w:tcPr>
          <w:p>
            <w:pPr>
              <w:pStyle w:val="TableParagraph"/>
              <w:spacing w:before="6"/>
              <w:ind w:left="52"/>
              <w:jc w:val="left"/>
              <w:rPr>
                <w:sz w:val="19"/>
              </w:rPr>
            </w:pPr>
            <w:r>
              <w:rPr>
                <w:sz w:val="19"/>
              </w:rPr>
              <w:t>Codes and Standards</w:t>
            </w:r>
          </w:p>
        </w:tc>
        <w:tc>
          <w:tcPr>
            <w:tcW w:w="1499" w:type="dxa"/>
          </w:tcPr>
          <w:p>
            <w:pPr>
              <w:pStyle w:val="TableParagraph"/>
              <w:spacing w:before="6"/>
              <w:ind w:right="213"/>
              <w:rPr>
                <w:sz w:val="19"/>
              </w:rPr>
            </w:pPr>
            <w:r>
              <w:rPr>
                <w:sz w:val="19"/>
              </w:rPr>
              <w:t>n/a</w:t>
            </w:r>
          </w:p>
        </w:tc>
        <w:tc>
          <w:tcPr>
            <w:tcW w:w="1323" w:type="dxa"/>
          </w:tcPr>
          <w:p>
            <w:pPr>
              <w:pStyle w:val="TableParagraph"/>
              <w:spacing w:before="6"/>
              <w:ind w:right="214"/>
              <w:rPr>
                <w:sz w:val="19"/>
              </w:rPr>
            </w:pPr>
            <w:r>
              <w:rPr>
                <w:sz w:val="19"/>
              </w:rPr>
              <w:t>n/a</w:t>
            </w:r>
          </w:p>
        </w:tc>
        <w:tc>
          <w:tcPr>
            <w:tcW w:w="1323" w:type="dxa"/>
          </w:tcPr>
          <w:p>
            <w:pPr>
              <w:pStyle w:val="TableParagraph"/>
              <w:spacing w:before="6"/>
              <w:ind w:right="215"/>
              <w:rPr>
                <w:sz w:val="19"/>
              </w:rPr>
            </w:pPr>
            <w:r>
              <w:rPr>
                <w:sz w:val="19"/>
              </w:rPr>
              <w:t>n/a</w:t>
            </w:r>
          </w:p>
        </w:tc>
        <w:tc>
          <w:tcPr>
            <w:tcW w:w="1323" w:type="dxa"/>
          </w:tcPr>
          <w:p>
            <w:pPr>
              <w:pStyle w:val="TableParagraph"/>
              <w:spacing w:before="6"/>
              <w:ind w:right="215"/>
              <w:rPr>
                <w:sz w:val="19"/>
              </w:rPr>
            </w:pPr>
            <w:r>
              <w:rPr>
                <w:sz w:val="19"/>
              </w:rPr>
              <w:t>n/a</w:t>
            </w:r>
          </w:p>
        </w:tc>
        <w:tc>
          <w:tcPr>
            <w:tcW w:w="1323" w:type="dxa"/>
          </w:tcPr>
          <w:p>
            <w:pPr>
              <w:pStyle w:val="TableParagraph"/>
              <w:spacing w:before="6"/>
              <w:ind w:right="216"/>
              <w:rPr>
                <w:sz w:val="19"/>
              </w:rPr>
            </w:pPr>
            <w:r>
              <w:rPr>
                <w:sz w:val="19"/>
              </w:rPr>
              <w:t>n/a</w:t>
            </w:r>
          </w:p>
        </w:tc>
        <w:tc>
          <w:tcPr>
            <w:tcW w:w="1323" w:type="dxa"/>
          </w:tcPr>
          <w:p>
            <w:pPr>
              <w:pStyle w:val="TableParagraph"/>
              <w:spacing w:before="6"/>
              <w:ind w:right="216"/>
              <w:rPr>
                <w:sz w:val="19"/>
              </w:rPr>
            </w:pPr>
            <w:r>
              <w:rPr>
                <w:sz w:val="19"/>
              </w:rPr>
              <w:t>n/a</w:t>
            </w:r>
          </w:p>
        </w:tc>
        <w:tc>
          <w:tcPr>
            <w:tcW w:w="1323" w:type="dxa"/>
          </w:tcPr>
          <w:p>
            <w:pPr>
              <w:pStyle w:val="TableParagraph"/>
              <w:spacing w:before="6"/>
              <w:ind w:right="217"/>
              <w:rPr>
                <w:sz w:val="19"/>
              </w:rPr>
            </w:pPr>
            <w:r>
              <w:rPr>
                <w:sz w:val="19"/>
              </w:rPr>
              <w:t>n/a</w:t>
            </w:r>
          </w:p>
        </w:tc>
        <w:tc>
          <w:tcPr>
            <w:tcW w:w="1155" w:type="dxa"/>
          </w:tcPr>
          <w:p>
            <w:pPr>
              <w:pStyle w:val="TableParagraph"/>
              <w:spacing w:before="6"/>
              <w:ind w:right="50"/>
              <w:rPr>
                <w:sz w:val="19"/>
              </w:rPr>
            </w:pPr>
            <w:r>
              <w:rPr>
                <w:sz w:val="19"/>
              </w:rPr>
              <w:t>n/a</w:t>
            </w:r>
          </w:p>
        </w:tc>
      </w:tr>
      <w:tr>
        <w:trPr>
          <w:trHeight w:val="243" w:hRule="atLeast"/>
        </w:trPr>
        <w:tc>
          <w:tcPr>
            <w:tcW w:w="3176" w:type="dxa"/>
          </w:tcPr>
          <w:p>
            <w:pPr>
              <w:pStyle w:val="TableParagraph"/>
              <w:spacing w:before="6"/>
              <w:ind w:left="52"/>
              <w:jc w:val="left"/>
              <w:rPr>
                <w:sz w:val="19"/>
              </w:rPr>
            </w:pPr>
            <w:r>
              <w:rPr>
                <w:sz w:val="19"/>
              </w:rPr>
              <w:t>WE&amp;T</w:t>
            </w:r>
          </w:p>
        </w:tc>
        <w:tc>
          <w:tcPr>
            <w:tcW w:w="1499" w:type="dxa"/>
          </w:tcPr>
          <w:p>
            <w:pPr>
              <w:pStyle w:val="TableParagraph"/>
              <w:spacing w:before="6"/>
              <w:ind w:right="213"/>
              <w:rPr>
                <w:sz w:val="19"/>
              </w:rPr>
            </w:pPr>
            <w:r>
              <w:rPr>
                <w:sz w:val="19"/>
              </w:rPr>
              <w:t>n/a</w:t>
            </w:r>
          </w:p>
        </w:tc>
        <w:tc>
          <w:tcPr>
            <w:tcW w:w="1323" w:type="dxa"/>
          </w:tcPr>
          <w:p>
            <w:pPr>
              <w:pStyle w:val="TableParagraph"/>
              <w:spacing w:before="6"/>
              <w:ind w:right="214"/>
              <w:rPr>
                <w:sz w:val="19"/>
              </w:rPr>
            </w:pPr>
            <w:r>
              <w:rPr>
                <w:sz w:val="19"/>
              </w:rPr>
              <w:t>n/a</w:t>
            </w:r>
          </w:p>
        </w:tc>
        <w:tc>
          <w:tcPr>
            <w:tcW w:w="1323" w:type="dxa"/>
          </w:tcPr>
          <w:p>
            <w:pPr>
              <w:pStyle w:val="TableParagraph"/>
              <w:spacing w:before="6"/>
              <w:ind w:right="215"/>
              <w:rPr>
                <w:sz w:val="19"/>
              </w:rPr>
            </w:pPr>
            <w:r>
              <w:rPr>
                <w:sz w:val="19"/>
              </w:rPr>
              <w:t>n/a</w:t>
            </w:r>
          </w:p>
        </w:tc>
        <w:tc>
          <w:tcPr>
            <w:tcW w:w="1323" w:type="dxa"/>
          </w:tcPr>
          <w:p>
            <w:pPr>
              <w:pStyle w:val="TableParagraph"/>
              <w:spacing w:before="6"/>
              <w:ind w:right="215"/>
              <w:rPr>
                <w:sz w:val="19"/>
              </w:rPr>
            </w:pPr>
            <w:r>
              <w:rPr>
                <w:sz w:val="19"/>
              </w:rPr>
              <w:t>n/a</w:t>
            </w:r>
          </w:p>
        </w:tc>
        <w:tc>
          <w:tcPr>
            <w:tcW w:w="1323" w:type="dxa"/>
          </w:tcPr>
          <w:p>
            <w:pPr>
              <w:pStyle w:val="TableParagraph"/>
              <w:spacing w:before="6"/>
              <w:ind w:right="216"/>
              <w:rPr>
                <w:sz w:val="19"/>
              </w:rPr>
            </w:pPr>
            <w:r>
              <w:rPr>
                <w:sz w:val="19"/>
              </w:rPr>
              <w:t>n/a</w:t>
            </w:r>
          </w:p>
        </w:tc>
        <w:tc>
          <w:tcPr>
            <w:tcW w:w="1323" w:type="dxa"/>
          </w:tcPr>
          <w:p>
            <w:pPr>
              <w:pStyle w:val="TableParagraph"/>
              <w:spacing w:before="6"/>
              <w:ind w:right="216"/>
              <w:rPr>
                <w:sz w:val="19"/>
              </w:rPr>
            </w:pPr>
            <w:r>
              <w:rPr>
                <w:sz w:val="19"/>
              </w:rPr>
              <w:t>n/a</w:t>
            </w:r>
          </w:p>
        </w:tc>
        <w:tc>
          <w:tcPr>
            <w:tcW w:w="1323" w:type="dxa"/>
          </w:tcPr>
          <w:p>
            <w:pPr>
              <w:pStyle w:val="TableParagraph"/>
              <w:spacing w:before="6"/>
              <w:ind w:right="217"/>
              <w:rPr>
                <w:sz w:val="19"/>
              </w:rPr>
            </w:pPr>
            <w:r>
              <w:rPr>
                <w:sz w:val="19"/>
              </w:rPr>
              <w:t>n/a</w:t>
            </w:r>
          </w:p>
        </w:tc>
        <w:tc>
          <w:tcPr>
            <w:tcW w:w="1155" w:type="dxa"/>
          </w:tcPr>
          <w:p>
            <w:pPr>
              <w:pStyle w:val="TableParagraph"/>
              <w:spacing w:before="6"/>
              <w:ind w:right="50"/>
              <w:rPr>
                <w:sz w:val="19"/>
              </w:rPr>
            </w:pPr>
            <w:r>
              <w:rPr>
                <w:sz w:val="19"/>
              </w:rPr>
              <w:t>n/a</w:t>
            </w:r>
          </w:p>
        </w:tc>
      </w:tr>
      <w:tr>
        <w:trPr>
          <w:trHeight w:val="243" w:hRule="atLeast"/>
        </w:trPr>
        <w:tc>
          <w:tcPr>
            <w:tcW w:w="3176" w:type="dxa"/>
          </w:tcPr>
          <w:p>
            <w:pPr>
              <w:pStyle w:val="TableParagraph"/>
              <w:spacing w:before="6"/>
              <w:ind w:left="52"/>
              <w:jc w:val="left"/>
              <w:rPr>
                <w:sz w:val="19"/>
              </w:rPr>
            </w:pPr>
            <w:r>
              <w:rPr>
                <w:sz w:val="19"/>
              </w:rPr>
              <w:t>Finance</w:t>
            </w:r>
          </w:p>
        </w:tc>
        <w:tc>
          <w:tcPr>
            <w:tcW w:w="1499" w:type="dxa"/>
          </w:tcPr>
          <w:p>
            <w:pPr>
              <w:pStyle w:val="TableParagraph"/>
              <w:spacing w:before="6"/>
              <w:ind w:right="213"/>
              <w:rPr>
                <w:sz w:val="19"/>
              </w:rPr>
            </w:pPr>
            <w:r>
              <w:rPr>
                <w:sz w:val="19"/>
              </w:rPr>
              <w:t>n/a</w:t>
            </w:r>
          </w:p>
        </w:tc>
        <w:tc>
          <w:tcPr>
            <w:tcW w:w="1323" w:type="dxa"/>
          </w:tcPr>
          <w:p>
            <w:pPr>
              <w:pStyle w:val="TableParagraph"/>
              <w:spacing w:before="6"/>
              <w:ind w:right="214"/>
              <w:rPr>
                <w:sz w:val="19"/>
              </w:rPr>
            </w:pPr>
            <w:r>
              <w:rPr>
                <w:sz w:val="19"/>
              </w:rPr>
              <w:t>n/a</w:t>
            </w:r>
          </w:p>
        </w:tc>
        <w:tc>
          <w:tcPr>
            <w:tcW w:w="1323" w:type="dxa"/>
          </w:tcPr>
          <w:p>
            <w:pPr>
              <w:pStyle w:val="TableParagraph"/>
              <w:spacing w:before="6"/>
              <w:ind w:right="215"/>
              <w:rPr>
                <w:sz w:val="19"/>
              </w:rPr>
            </w:pPr>
            <w:r>
              <w:rPr>
                <w:sz w:val="19"/>
              </w:rPr>
              <w:t>n/a</w:t>
            </w:r>
          </w:p>
        </w:tc>
        <w:tc>
          <w:tcPr>
            <w:tcW w:w="1323" w:type="dxa"/>
          </w:tcPr>
          <w:p>
            <w:pPr>
              <w:pStyle w:val="TableParagraph"/>
              <w:spacing w:before="6"/>
              <w:ind w:right="215"/>
              <w:rPr>
                <w:sz w:val="19"/>
              </w:rPr>
            </w:pPr>
            <w:r>
              <w:rPr>
                <w:sz w:val="19"/>
              </w:rPr>
              <w:t>n/a</w:t>
            </w:r>
          </w:p>
        </w:tc>
        <w:tc>
          <w:tcPr>
            <w:tcW w:w="1323" w:type="dxa"/>
          </w:tcPr>
          <w:p>
            <w:pPr>
              <w:pStyle w:val="TableParagraph"/>
              <w:spacing w:before="6"/>
              <w:ind w:right="216"/>
              <w:rPr>
                <w:sz w:val="19"/>
              </w:rPr>
            </w:pPr>
            <w:r>
              <w:rPr>
                <w:sz w:val="19"/>
              </w:rPr>
              <w:t>n/a</w:t>
            </w:r>
          </w:p>
        </w:tc>
        <w:tc>
          <w:tcPr>
            <w:tcW w:w="1323" w:type="dxa"/>
          </w:tcPr>
          <w:p>
            <w:pPr>
              <w:pStyle w:val="TableParagraph"/>
              <w:spacing w:before="6"/>
              <w:ind w:right="216"/>
              <w:rPr>
                <w:sz w:val="19"/>
              </w:rPr>
            </w:pPr>
            <w:r>
              <w:rPr>
                <w:sz w:val="19"/>
              </w:rPr>
              <w:t>n/a</w:t>
            </w:r>
          </w:p>
        </w:tc>
        <w:tc>
          <w:tcPr>
            <w:tcW w:w="1323" w:type="dxa"/>
          </w:tcPr>
          <w:p>
            <w:pPr>
              <w:pStyle w:val="TableParagraph"/>
              <w:spacing w:before="6"/>
              <w:ind w:right="217"/>
              <w:rPr>
                <w:sz w:val="19"/>
              </w:rPr>
            </w:pPr>
            <w:r>
              <w:rPr>
                <w:sz w:val="19"/>
              </w:rPr>
              <w:t>n/a</w:t>
            </w:r>
          </w:p>
        </w:tc>
        <w:tc>
          <w:tcPr>
            <w:tcW w:w="1155" w:type="dxa"/>
          </w:tcPr>
          <w:p>
            <w:pPr>
              <w:pStyle w:val="TableParagraph"/>
              <w:spacing w:before="6"/>
              <w:ind w:right="50"/>
              <w:rPr>
                <w:sz w:val="19"/>
              </w:rPr>
            </w:pPr>
            <w:r>
              <w:rPr>
                <w:sz w:val="19"/>
              </w:rPr>
              <w:t>n/a</w:t>
            </w:r>
          </w:p>
        </w:tc>
      </w:tr>
      <w:tr>
        <w:trPr>
          <w:trHeight w:val="235" w:hRule="atLeast"/>
        </w:trPr>
        <w:tc>
          <w:tcPr>
            <w:tcW w:w="3176" w:type="dxa"/>
            <w:tcBorders>
              <w:bottom w:val="single" w:sz="24" w:space="0" w:color="000000"/>
            </w:tcBorders>
          </w:tcPr>
          <w:p>
            <w:pPr>
              <w:pStyle w:val="TableParagraph"/>
              <w:spacing w:line="209" w:lineRule="exact" w:before="6"/>
              <w:ind w:left="52"/>
              <w:jc w:val="left"/>
              <w:rPr>
                <w:sz w:val="19"/>
              </w:rPr>
            </w:pPr>
            <w:r>
              <w:rPr>
                <w:sz w:val="19"/>
              </w:rPr>
              <w:t>OBF Loan Pool</w:t>
            </w:r>
          </w:p>
        </w:tc>
        <w:tc>
          <w:tcPr>
            <w:tcW w:w="1499" w:type="dxa"/>
            <w:tcBorders>
              <w:bottom w:val="single" w:sz="24" w:space="0" w:color="000000"/>
            </w:tcBorders>
          </w:tcPr>
          <w:p>
            <w:pPr>
              <w:pStyle w:val="TableParagraph"/>
              <w:spacing w:line="209" w:lineRule="exact" w:before="6"/>
              <w:ind w:right="213"/>
              <w:rPr>
                <w:sz w:val="19"/>
              </w:rPr>
            </w:pPr>
            <w:r>
              <w:rPr>
                <w:sz w:val="19"/>
              </w:rPr>
              <w:t>n/a</w:t>
            </w:r>
          </w:p>
        </w:tc>
        <w:tc>
          <w:tcPr>
            <w:tcW w:w="1323" w:type="dxa"/>
            <w:tcBorders>
              <w:bottom w:val="single" w:sz="24" w:space="0" w:color="000000"/>
            </w:tcBorders>
          </w:tcPr>
          <w:p>
            <w:pPr>
              <w:pStyle w:val="TableParagraph"/>
              <w:spacing w:line="209" w:lineRule="exact" w:before="6"/>
              <w:ind w:right="214"/>
              <w:rPr>
                <w:sz w:val="19"/>
              </w:rPr>
            </w:pPr>
            <w:r>
              <w:rPr>
                <w:sz w:val="19"/>
              </w:rPr>
              <w:t>n/a</w:t>
            </w:r>
          </w:p>
        </w:tc>
        <w:tc>
          <w:tcPr>
            <w:tcW w:w="1323" w:type="dxa"/>
            <w:tcBorders>
              <w:bottom w:val="single" w:sz="24" w:space="0" w:color="000000"/>
            </w:tcBorders>
          </w:tcPr>
          <w:p>
            <w:pPr>
              <w:pStyle w:val="TableParagraph"/>
              <w:spacing w:line="209" w:lineRule="exact" w:before="6"/>
              <w:ind w:right="215"/>
              <w:rPr>
                <w:sz w:val="19"/>
              </w:rPr>
            </w:pPr>
            <w:r>
              <w:rPr>
                <w:sz w:val="19"/>
              </w:rPr>
              <w:t>n/a</w:t>
            </w:r>
          </w:p>
        </w:tc>
        <w:tc>
          <w:tcPr>
            <w:tcW w:w="1323" w:type="dxa"/>
            <w:tcBorders>
              <w:bottom w:val="single" w:sz="24" w:space="0" w:color="000000"/>
            </w:tcBorders>
          </w:tcPr>
          <w:p>
            <w:pPr>
              <w:pStyle w:val="TableParagraph"/>
              <w:spacing w:line="209" w:lineRule="exact" w:before="6"/>
              <w:ind w:right="215"/>
              <w:rPr>
                <w:sz w:val="19"/>
              </w:rPr>
            </w:pPr>
            <w:r>
              <w:rPr>
                <w:sz w:val="19"/>
              </w:rPr>
              <w:t>n/a</w:t>
            </w:r>
          </w:p>
        </w:tc>
        <w:tc>
          <w:tcPr>
            <w:tcW w:w="1323" w:type="dxa"/>
            <w:tcBorders>
              <w:bottom w:val="single" w:sz="24" w:space="0" w:color="000000"/>
            </w:tcBorders>
          </w:tcPr>
          <w:p>
            <w:pPr>
              <w:pStyle w:val="TableParagraph"/>
              <w:spacing w:line="209" w:lineRule="exact" w:before="6"/>
              <w:ind w:right="216"/>
              <w:rPr>
                <w:sz w:val="19"/>
              </w:rPr>
            </w:pPr>
            <w:r>
              <w:rPr>
                <w:sz w:val="19"/>
              </w:rPr>
              <w:t>n/a</w:t>
            </w:r>
          </w:p>
        </w:tc>
        <w:tc>
          <w:tcPr>
            <w:tcW w:w="1323" w:type="dxa"/>
            <w:tcBorders>
              <w:bottom w:val="single" w:sz="24" w:space="0" w:color="000000"/>
            </w:tcBorders>
          </w:tcPr>
          <w:p>
            <w:pPr>
              <w:pStyle w:val="TableParagraph"/>
              <w:spacing w:line="209" w:lineRule="exact" w:before="6"/>
              <w:ind w:right="216"/>
              <w:rPr>
                <w:sz w:val="19"/>
              </w:rPr>
            </w:pPr>
            <w:r>
              <w:rPr>
                <w:sz w:val="19"/>
              </w:rPr>
              <w:t>n/a</w:t>
            </w:r>
          </w:p>
        </w:tc>
        <w:tc>
          <w:tcPr>
            <w:tcW w:w="1323" w:type="dxa"/>
            <w:tcBorders>
              <w:bottom w:val="single" w:sz="24" w:space="0" w:color="000000"/>
            </w:tcBorders>
          </w:tcPr>
          <w:p>
            <w:pPr>
              <w:pStyle w:val="TableParagraph"/>
              <w:spacing w:line="209" w:lineRule="exact" w:before="6"/>
              <w:ind w:right="217"/>
              <w:rPr>
                <w:sz w:val="19"/>
              </w:rPr>
            </w:pPr>
            <w:r>
              <w:rPr>
                <w:sz w:val="19"/>
              </w:rPr>
              <w:t>n/a</w:t>
            </w:r>
          </w:p>
        </w:tc>
        <w:tc>
          <w:tcPr>
            <w:tcW w:w="1155" w:type="dxa"/>
            <w:tcBorders>
              <w:bottom w:val="single" w:sz="24" w:space="0" w:color="000000"/>
            </w:tcBorders>
          </w:tcPr>
          <w:p>
            <w:pPr>
              <w:pStyle w:val="TableParagraph"/>
              <w:spacing w:line="209" w:lineRule="exact" w:before="6"/>
              <w:ind w:right="50"/>
              <w:rPr>
                <w:sz w:val="19"/>
              </w:rPr>
            </w:pPr>
            <w:r>
              <w:rPr>
                <w:sz w:val="19"/>
              </w:rPr>
              <w:t>n/a</w:t>
            </w:r>
          </w:p>
        </w:tc>
      </w:tr>
      <w:tr>
        <w:trPr>
          <w:trHeight w:val="201" w:hRule="atLeast"/>
        </w:trPr>
        <w:tc>
          <w:tcPr>
            <w:tcW w:w="3176" w:type="dxa"/>
            <w:tcBorders>
              <w:top w:val="single" w:sz="24" w:space="0" w:color="000000"/>
              <w:bottom w:val="single" w:sz="24" w:space="0" w:color="000000"/>
              <w:right w:val="single" w:sz="24" w:space="0" w:color="000000"/>
            </w:tcBorders>
          </w:tcPr>
          <w:p>
            <w:pPr>
              <w:pStyle w:val="TableParagraph"/>
              <w:spacing w:line="181" w:lineRule="exact"/>
              <w:ind w:left="52"/>
              <w:jc w:val="left"/>
              <w:rPr>
                <w:b/>
                <w:sz w:val="19"/>
              </w:rPr>
            </w:pPr>
            <w:r>
              <w:rPr>
                <w:b/>
                <w:sz w:val="19"/>
              </w:rPr>
              <w:t>Total Forecast Portfolio Savings</w:t>
            </w:r>
          </w:p>
        </w:tc>
        <w:tc>
          <w:tcPr>
            <w:tcW w:w="1499" w:type="dxa"/>
            <w:tcBorders>
              <w:top w:val="single" w:sz="24" w:space="0" w:color="000000"/>
              <w:left w:val="single" w:sz="24" w:space="0" w:color="000000"/>
              <w:bottom w:val="single" w:sz="24" w:space="0" w:color="000000"/>
            </w:tcBorders>
          </w:tcPr>
          <w:p>
            <w:pPr>
              <w:pStyle w:val="TableParagraph"/>
              <w:spacing w:line="181" w:lineRule="exact"/>
              <w:ind w:left="360"/>
              <w:jc w:val="left"/>
              <w:rPr>
                <w:sz w:val="19"/>
              </w:rPr>
            </w:pPr>
            <w:r>
              <w:rPr>
                <w:sz w:val="19"/>
              </w:rPr>
              <w:t>2,881,748</w:t>
            </w:r>
          </w:p>
        </w:tc>
        <w:tc>
          <w:tcPr>
            <w:tcW w:w="1323" w:type="dxa"/>
            <w:tcBorders>
              <w:top w:val="single" w:sz="24" w:space="0" w:color="000000"/>
              <w:bottom w:val="single" w:sz="24" w:space="0" w:color="000000"/>
            </w:tcBorders>
          </w:tcPr>
          <w:p>
            <w:pPr>
              <w:pStyle w:val="TableParagraph"/>
              <w:spacing w:line="181" w:lineRule="exact"/>
              <w:ind w:left="214"/>
              <w:jc w:val="left"/>
              <w:rPr>
                <w:sz w:val="19"/>
              </w:rPr>
            </w:pPr>
            <w:r>
              <w:rPr>
                <w:sz w:val="19"/>
              </w:rPr>
              <w:t>4,367,008</w:t>
            </w:r>
          </w:p>
        </w:tc>
        <w:tc>
          <w:tcPr>
            <w:tcW w:w="1323" w:type="dxa"/>
            <w:tcBorders>
              <w:top w:val="single" w:sz="24" w:space="0" w:color="000000"/>
              <w:bottom w:val="single" w:sz="24" w:space="0" w:color="000000"/>
            </w:tcBorders>
          </w:tcPr>
          <w:p>
            <w:pPr>
              <w:pStyle w:val="TableParagraph"/>
              <w:spacing w:line="181" w:lineRule="exact"/>
              <w:ind w:left="213"/>
              <w:jc w:val="left"/>
              <w:rPr>
                <w:sz w:val="19"/>
              </w:rPr>
            </w:pPr>
            <w:r>
              <w:rPr>
                <w:sz w:val="19"/>
              </w:rPr>
              <w:t>4,420,937</w:t>
            </w:r>
          </w:p>
        </w:tc>
        <w:tc>
          <w:tcPr>
            <w:tcW w:w="1323" w:type="dxa"/>
            <w:tcBorders>
              <w:top w:val="single" w:sz="24" w:space="0" w:color="000000"/>
              <w:bottom w:val="single" w:sz="24" w:space="0" w:color="000000"/>
            </w:tcBorders>
          </w:tcPr>
          <w:p>
            <w:pPr>
              <w:pStyle w:val="TableParagraph"/>
              <w:spacing w:line="181" w:lineRule="exact"/>
              <w:ind w:right="272"/>
              <w:rPr>
                <w:sz w:val="19"/>
              </w:rPr>
            </w:pPr>
            <w:r>
              <w:rPr>
                <w:sz w:val="19"/>
              </w:rPr>
              <w:t>4,509,304</w:t>
            </w:r>
          </w:p>
        </w:tc>
        <w:tc>
          <w:tcPr>
            <w:tcW w:w="1323" w:type="dxa"/>
            <w:tcBorders>
              <w:top w:val="single" w:sz="24" w:space="0" w:color="000000"/>
              <w:bottom w:val="single" w:sz="24" w:space="0" w:color="000000"/>
            </w:tcBorders>
          </w:tcPr>
          <w:p>
            <w:pPr>
              <w:pStyle w:val="TableParagraph"/>
              <w:spacing w:line="181" w:lineRule="exact"/>
              <w:ind w:right="273"/>
              <w:rPr>
                <w:sz w:val="19"/>
              </w:rPr>
            </w:pPr>
            <w:r>
              <w:rPr>
                <w:sz w:val="19"/>
              </w:rPr>
              <w:t>4,599,620</w:t>
            </w:r>
          </w:p>
        </w:tc>
        <w:tc>
          <w:tcPr>
            <w:tcW w:w="1323" w:type="dxa"/>
            <w:tcBorders>
              <w:top w:val="single" w:sz="24" w:space="0" w:color="000000"/>
              <w:bottom w:val="single" w:sz="24" w:space="0" w:color="000000"/>
            </w:tcBorders>
          </w:tcPr>
          <w:p>
            <w:pPr>
              <w:pStyle w:val="TableParagraph"/>
              <w:spacing w:line="181" w:lineRule="exact"/>
              <w:ind w:right="273"/>
              <w:rPr>
                <w:sz w:val="19"/>
              </w:rPr>
            </w:pPr>
            <w:r>
              <w:rPr>
                <w:sz w:val="19"/>
              </w:rPr>
              <w:t>4,691,885</w:t>
            </w:r>
          </w:p>
        </w:tc>
        <w:tc>
          <w:tcPr>
            <w:tcW w:w="1323" w:type="dxa"/>
            <w:tcBorders>
              <w:top w:val="single" w:sz="24" w:space="0" w:color="000000"/>
              <w:bottom w:val="single" w:sz="24" w:space="0" w:color="000000"/>
            </w:tcBorders>
          </w:tcPr>
          <w:p>
            <w:pPr>
              <w:pStyle w:val="TableParagraph"/>
              <w:spacing w:line="181" w:lineRule="exact"/>
              <w:ind w:right="274"/>
              <w:rPr>
                <w:sz w:val="19"/>
              </w:rPr>
            </w:pPr>
            <w:r>
              <w:rPr>
                <w:sz w:val="19"/>
              </w:rPr>
              <w:t>4,785,450</w:t>
            </w:r>
          </w:p>
        </w:tc>
        <w:tc>
          <w:tcPr>
            <w:tcW w:w="1155" w:type="dxa"/>
            <w:tcBorders>
              <w:top w:val="single" w:sz="24" w:space="0" w:color="000000"/>
              <w:bottom w:val="single" w:sz="24" w:space="0" w:color="000000"/>
            </w:tcBorders>
          </w:tcPr>
          <w:p>
            <w:pPr>
              <w:pStyle w:val="TableParagraph"/>
              <w:spacing w:line="181" w:lineRule="exact"/>
              <w:ind w:right="107"/>
              <w:rPr>
                <w:sz w:val="19"/>
              </w:rPr>
            </w:pPr>
            <w:r>
              <w:rPr>
                <w:sz w:val="19"/>
              </w:rPr>
              <w:t>4,880,964</w:t>
            </w:r>
          </w:p>
        </w:tc>
      </w:tr>
      <w:tr>
        <w:trPr>
          <w:trHeight w:val="201" w:hRule="atLeast"/>
        </w:trPr>
        <w:tc>
          <w:tcPr>
            <w:tcW w:w="3176" w:type="dxa"/>
            <w:tcBorders>
              <w:top w:val="single" w:sz="24" w:space="0" w:color="000000"/>
              <w:bottom w:val="single" w:sz="24" w:space="0" w:color="000000"/>
              <w:right w:val="single" w:sz="24" w:space="0" w:color="000000"/>
            </w:tcBorders>
          </w:tcPr>
          <w:p>
            <w:pPr>
              <w:pStyle w:val="TableParagraph"/>
              <w:spacing w:line="181" w:lineRule="exact"/>
              <w:ind w:left="52"/>
              <w:jc w:val="left"/>
              <w:rPr>
                <w:sz w:val="19"/>
              </w:rPr>
            </w:pPr>
            <w:r>
              <w:rPr>
                <w:sz w:val="19"/>
              </w:rPr>
              <w:t>CPUC Goal*</w:t>
            </w:r>
          </w:p>
        </w:tc>
        <w:tc>
          <w:tcPr>
            <w:tcW w:w="1499" w:type="dxa"/>
            <w:tcBorders>
              <w:top w:val="single" w:sz="24" w:space="0" w:color="000000"/>
              <w:left w:val="single" w:sz="24" w:space="0" w:color="000000"/>
              <w:bottom w:val="single" w:sz="24" w:space="0" w:color="000000"/>
            </w:tcBorders>
          </w:tcPr>
          <w:p>
            <w:pPr>
              <w:pStyle w:val="TableParagraph"/>
              <w:spacing w:line="181" w:lineRule="exact"/>
              <w:ind w:right="213"/>
              <w:rPr>
                <w:sz w:val="19"/>
              </w:rPr>
            </w:pPr>
            <w:r>
              <w:rPr>
                <w:sz w:val="19"/>
              </w:rPr>
              <w:t>n/a</w:t>
            </w:r>
          </w:p>
        </w:tc>
        <w:tc>
          <w:tcPr>
            <w:tcW w:w="1323" w:type="dxa"/>
            <w:tcBorders>
              <w:top w:val="single" w:sz="24" w:space="0" w:color="000000"/>
              <w:bottom w:val="single" w:sz="24" w:space="0" w:color="000000"/>
            </w:tcBorders>
          </w:tcPr>
          <w:p>
            <w:pPr>
              <w:pStyle w:val="TableParagraph"/>
              <w:spacing w:line="181" w:lineRule="exact"/>
              <w:ind w:right="214"/>
              <w:rPr>
                <w:sz w:val="19"/>
              </w:rPr>
            </w:pPr>
            <w:r>
              <w:rPr>
                <w:sz w:val="19"/>
              </w:rPr>
              <w:t>n/a</w:t>
            </w:r>
          </w:p>
        </w:tc>
        <w:tc>
          <w:tcPr>
            <w:tcW w:w="1323" w:type="dxa"/>
            <w:tcBorders>
              <w:top w:val="single" w:sz="24" w:space="0" w:color="000000"/>
              <w:bottom w:val="single" w:sz="24" w:space="0" w:color="000000"/>
            </w:tcBorders>
          </w:tcPr>
          <w:p>
            <w:pPr>
              <w:pStyle w:val="TableParagraph"/>
              <w:spacing w:line="181" w:lineRule="exact"/>
              <w:ind w:right="215"/>
              <w:rPr>
                <w:sz w:val="19"/>
              </w:rPr>
            </w:pPr>
            <w:r>
              <w:rPr>
                <w:sz w:val="19"/>
              </w:rPr>
              <w:t>n/a</w:t>
            </w:r>
          </w:p>
        </w:tc>
        <w:tc>
          <w:tcPr>
            <w:tcW w:w="1323" w:type="dxa"/>
            <w:tcBorders>
              <w:top w:val="single" w:sz="24" w:space="0" w:color="000000"/>
              <w:bottom w:val="single" w:sz="24" w:space="0" w:color="000000"/>
            </w:tcBorders>
          </w:tcPr>
          <w:p>
            <w:pPr>
              <w:pStyle w:val="TableParagraph"/>
              <w:spacing w:line="181" w:lineRule="exact"/>
              <w:ind w:right="215"/>
              <w:rPr>
                <w:sz w:val="19"/>
              </w:rPr>
            </w:pPr>
            <w:r>
              <w:rPr>
                <w:sz w:val="19"/>
              </w:rPr>
              <w:t>n/a</w:t>
            </w:r>
          </w:p>
        </w:tc>
        <w:tc>
          <w:tcPr>
            <w:tcW w:w="1323" w:type="dxa"/>
            <w:tcBorders>
              <w:top w:val="single" w:sz="24" w:space="0" w:color="000000"/>
              <w:bottom w:val="single" w:sz="24" w:space="0" w:color="000000"/>
            </w:tcBorders>
          </w:tcPr>
          <w:p>
            <w:pPr>
              <w:pStyle w:val="TableParagraph"/>
              <w:spacing w:line="181" w:lineRule="exact"/>
              <w:ind w:right="216"/>
              <w:rPr>
                <w:sz w:val="19"/>
              </w:rPr>
            </w:pPr>
            <w:r>
              <w:rPr>
                <w:sz w:val="19"/>
              </w:rPr>
              <w:t>n/a</w:t>
            </w:r>
          </w:p>
        </w:tc>
        <w:tc>
          <w:tcPr>
            <w:tcW w:w="1323" w:type="dxa"/>
            <w:tcBorders>
              <w:top w:val="single" w:sz="24" w:space="0" w:color="000000"/>
              <w:bottom w:val="single" w:sz="24" w:space="0" w:color="000000"/>
            </w:tcBorders>
          </w:tcPr>
          <w:p>
            <w:pPr>
              <w:pStyle w:val="TableParagraph"/>
              <w:spacing w:line="181" w:lineRule="exact"/>
              <w:ind w:right="216"/>
              <w:rPr>
                <w:sz w:val="19"/>
              </w:rPr>
            </w:pPr>
            <w:r>
              <w:rPr>
                <w:sz w:val="19"/>
              </w:rPr>
              <w:t>n/a</w:t>
            </w:r>
          </w:p>
        </w:tc>
        <w:tc>
          <w:tcPr>
            <w:tcW w:w="1323" w:type="dxa"/>
            <w:tcBorders>
              <w:top w:val="single" w:sz="24" w:space="0" w:color="000000"/>
              <w:bottom w:val="single" w:sz="24" w:space="0" w:color="000000"/>
            </w:tcBorders>
          </w:tcPr>
          <w:p>
            <w:pPr>
              <w:pStyle w:val="TableParagraph"/>
              <w:spacing w:line="181" w:lineRule="exact"/>
              <w:ind w:right="217"/>
              <w:rPr>
                <w:sz w:val="19"/>
              </w:rPr>
            </w:pPr>
            <w:r>
              <w:rPr>
                <w:sz w:val="19"/>
              </w:rPr>
              <w:t>n/a</w:t>
            </w:r>
          </w:p>
        </w:tc>
        <w:tc>
          <w:tcPr>
            <w:tcW w:w="1155" w:type="dxa"/>
            <w:tcBorders>
              <w:top w:val="single" w:sz="24" w:space="0" w:color="000000"/>
              <w:bottom w:val="single" w:sz="24" w:space="0" w:color="000000"/>
            </w:tcBorders>
          </w:tcPr>
          <w:p>
            <w:pPr>
              <w:pStyle w:val="TableParagraph"/>
              <w:spacing w:line="181" w:lineRule="exact"/>
              <w:ind w:right="50"/>
              <w:rPr>
                <w:sz w:val="19"/>
              </w:rPr>
            </w:pPr>
            <w:r>
              <w:rPr>
                <w:sz w:val="19"/>
              </w:rPr>
              <w:t>n/a</w:t>
            </w:r>
          </w:p>
        </w:tc>
      </w:tr>
      <w:tr>
        <w:trPr>
          <w:trHeight w:val="200" w:hRule="atLeast"/>
        </w:trPr>
        <w:tc>
          <w:tcPr>
            <w:tcW w:w="3176" w:type="dxa"/>
            <w:tcBorders>
              <w:top w:val="single" w:sz="24" w:space="0" w:color="000000"/>
              <w:bottom w:val="single" w:sz="24" w:space="0" w:color="000000"/>
              <w:right w:val="single" w:sz="24" w:space="0" w:color="000000"/>
            </w:tcBorders>
          </w:tcPr>
          <w:p>
            <w:pPr>
              <w:pStyle w:val="TableParagraph"/>
              <w:spacing w:line="181" w:lineRule="exact"/>
              <w:ind w:left="52"/>
              <w:jc w:val="left"/>
              <w:rPr>
                <w:sz w:val="19"/>
              </w:rPr>
            </w:pPr>
            <w:r>
              <w:rPr>
                <w:sz w:val="19"/>
              </w:rPr>
              <w:t>% of Goal*</w:t>
            </w:r>
          </w:p>
        </w:tc>
        <w:tc>
          <w:tcPr>
            <w:tcW w:w="1499" w:type="dxa"/>
            <w:tcBorders>
              <w:top w:val="single" w:sz="24" w:space="0" w:color="000000"/>
              <w:left w:val="single" w:sz="24" w:space="0" w:color="000000"/>
              <w:bottom w:val="single" w:sz="24" w:space="0" w:color="000000"/>
            </w:tcBorders>
          </w:tcPr>
          <w:p>
            <w:pPr>
              <w:pStyle w:val="TableParagraph"/>
              <w:spacing w:line="181" w:lineRule="exact"/>
              <w:ind w:right="213"/>
              <w:rPr>
                <w:sz w:val="19"/>
              </w:rPr>
            </w:pPr>
            <w:r>
              <w:rPr>
                <w:sz w:val="19"/>
              </w:rPr>
              <w:t>n/a</w:t>
            </w:r>
          </w:p>
        </w:tc>
        <w:tc>
          <w:tcPr>
            <w:tcW w:w="1323" w:type="dxa"/>
            <w:tcBorders>
              <w:top w:val="single" w:sz="24" w:space="0" w:color="000000"/>
              <w:bottom w:val="single" w:sz="24" w:space="0" w:color="000000"/>
            </w:tcBorders>
          </w:tcPr>
          <w:p>
            <w:pPr>
              <w:pStyle w:val="TableParagraph"/>
              <w:spacing w:line="181" w:lineRule="exact"/>
              <w:ind w:right="214"/>
              <w:rPr>
                <w:sz w:val="19"/>
              </w:rPr>
            </w:pPr>
            <w:r>
              <w:rPr>
                <w:sz w:val="19"/>
              </w:rPr>
              <w:t>n/a</w:t>
            </w:r>
          </w:p>
        </w:tc>
        <w:tc>
          <w:tcPr>
            <w:tcW w:w="1323" w:type="dxa"/>
            <w:tcBorders>
              <w:top w:val="single" w:sz="24" w:space="0" w:color="000000"/>
              <w:bottom w:val="single" w:sz="24" w:space="0" w:color="000000"/>
            </w:tcBorders>
          </w:tcPr>
          <w:p>
            <w:pPr>
              <w:pStyle w:val="TableParagraph"/>
              <w:spacing w:line="181" w:lineRule="exact"/>
              <w:ind w:right="215"/>
              <w:rPr>
                <w:sz w:val="19"/>
              </w:rPr>
            </w:pPr>
            <w:r>
              <w:rPr>
                <w:sz w:val="19"/>
              </w:rPr>
              <w:t>n/a</w:t>
            </w:r>
          </w:p>
        </w:tc>
        <w:tc>
          <w:tcPr>
            <w:tcW w:w="1323" w:type="dxa"/>
            <w:tcBorders>
              <w:top w:val="single" w:sz="24" w:space="0" w:color="000000"/>
              <w:bottom w:val="single" w:sz="24" w:space="0" w:color="000000"/>
            </w:tcBorders>
          </w:tcPr>
          <w:p>
            <w:pPr>
              <w:pStyle w:val="TableParagraph"/>
              <w:spacing w:line="181" w:lineRule="exact"/>
              <w:ind w:right="215"/>
              <w:rPr>
                <w:sz w:val="19"/>
              </w:rPr>
            </w:pPr>
            <w:r>
              <w:rPr>
                <w:sz w:val="19"/>
              </w:rPr>
              <w:t>n/a</w:t>
            </w:r>
          </w:p>
        </w:tc>
        <w:tc>
          <w:tcPr>
            <w:tcW w:w="1323" w:type="dxa"/>
            <w:tcBorders>
              <w:top w:val="single" w:sz="24" w:space="0" w:color="000000"/>
              <w:bottom w:val="single" w:sz="24" w:space="0" w:color="000000"/>
            </w:tcBorders>
          </w:tcPr>
          <w:p>
            <w:pPr>
              <w:pStyle w:val="TableParagraph"/>
              <w:spacing w:line="181" w:lineRule="exact"/>
              <w:ind w:right="216"/>
              <w:rPr>
                <w:sz w:val="19"/>
              </w:rPr>
            </w:pPr>
            <w:r>
              <w:rPr>
                <w:sz w:val="19"/>
              </w:rPr>
              <w:t>n/a</w:t>
            </w:r>
          </w:p>
        </w:tc>
        <w:tc>
          <w:tcPr>
            <w:tcW w:w="1323" w:type="dxa"/>
            <w:tcBorders>
              <w:top w:val="single" w:sz="24" w:space="0" w:color="000000"/>
              <w:bottom w:val="single" w:sz="24" w:space="0" w:color="000000"/>
            </w:tcBorders>
          </w:tcPr>
          <w:p>
            <w:pPr>
              <w:pStyle w:val="TableParagraph"/>
              <w:spacing w:line="181" w:lineRule="exact"/>
              <w:ind w:right="216"/>
              <w:rPr>
                <w:sz w:val="19"/>
              </w:rPr>
            </w:pPr>
            <w:r>
              <w:rPr>
                <w:sz w:val="19"/>
              </w:rPr>
              <w:t>n/a</w:t>
            </w:r>
          </w:p>
        </w:tc>
        <w:tc>
          <w:tcPr>
            <w:tcW w:w="1323" w:type="dxa"/>
            <w:tcBorders>
              <w:top w:val="single" w:sz="24" w:space="0" w:color="000000"/>
              <w:bottom w:val="single" w:sz="24" w:space="0" w:color="000000"/>
            </w:tcBorders>
          </w:tcPr>
          <w:p>
            <w:pPr>
              <w:pStyle w:val="TableParagraph"/>
              <w:spacing w:line="181" w:lineRule="exact"/>
              <w:ind w:right="217"/>
              <w:rPr>
                <w:sz w:val="19"/>
              </w:rPr>
            </w:pPr>
            <w:r>
              <w:rPr>
                <w:sz w:val="19"/>
              </w:rPr>
              <w:t>n/a</w:t>
            </w:r>
          </w:p>
        </w:tc>
        <w:tc>
          <w:tcPr>
            <w:tcW w:w="1155" w:type="dxa"/>
            <w:tcBorders>
              <w:top w:val="single" w:sz="24" w:space="0" w:color="000000"/>
              <w:bottom w:val="single" w:sz="24" w:space="0" w:color="000000"/>
            </w:tcBorders>
          </w:tcPr>
          <w:p>
            <w:pPr>
              <w:pStyle w:val="TableParagraph"/>
              <w:spacing w:line="181" w:lineRule="exact"/>
              <w:ind w:right="50"/>
              <w:rPr>
                <w:sz w:val="19"/>
              </w:rPr>
            </w:pPr>
            <w:r>
              <w:rPr>
                <w:sz w:val="19"/>
              </w:rPr>
              <w:t>n/a</w:t>
            </w:r>
          </w:p>
        </w:tc>
      </w:tr>
    </w:tbl>
    <w:p>
      <w:pPr>
        <w:pStyle w:val="BodyText"/>
        <w:spacing w:before="3"/>
        <w:rPr>
          <w:rFonts w:ascii="Calibri"/>
          <w:b/>
          <w:sz w:val="17"/>
        </w:rPr>
      </w:pPr>
    </w:p>
    <w:p>
      <w:pPr>
        <w:spacing w:before="0"/>
        <w:ind w:left="184" w:right="0" w:firstLine="0"/>
        <w:jc w:val="left"/>
        <w:rPr>
          <w:rFonts w:ascii="Calibri"/>
          <w:b/>
          <w:sz w:val="19"/>
        </w:rPr>
      </w:pPr>
      <w:r>
        <w:rPr>
          <w:rFonts w:ascii="Calibri"/>
          <w:b/>
          <w:sz w:val="19"/>
        </w:rPr>
        <w:t>* Not applicable to CCA/REN as of 2018, in template for future ABAL when applicable</w:t>
      </w:r>
    </w:p>
    <w:p>
      <w:pPr>
        <w:spacing w:after="0"/>
        <w:jc w:val="left"/>
        <w:rPr>
          <w:rFonts w:ascii="Calibri"/>
          <w:sz w:val="19"/>
        </w:rPr>
        <w:sectPr>
          <w:headerReference w:type="default" r:id="rId12"/>
          <w:pgSz w:w="15840" w:h="12240" w:orient="landscape"/>
          <w:pgMar w:header="0" w:footer="0" w:top="1140" w:bottom="280" w:left="860" w:right="920"/>
        </w:sectPr>
      </w:pPr>
    </w:p>
    <w:p>
      <w:pPr>
        <w:pStyle w:val="BodyText"/>
        <w:spacing w:before="8"/>
        <w:rPr>
          <w:rFonts w:ascii="Calibri"/>
          <w:b/>
          <w:sz w:val="10"/>
        </w:rPr>
      </w:pPr>
    </w:p>
    <w:p>
      <w:pPr>
        <w:pStyle w:val="Heading2"/>
        <w:spacing w:before="100" w:after="12"/>
        <w:ind w:left="5040" w:firstLine="0"/>
        <w:rPr>
          <w:rFonts w:ascii="Calibri"/>
          <w:u w:val="none"/>
        </w:rPr>
      </w:pPr>
      <w:r>
        <w:rPr>
          <w:rFonts w:ascii="Calibri"/>
          <w:u w:val="none"/>
        </w:rPr>
        <w:t>Annual Rolling Portfolio Savings Forecast - True-up (kW)</w:t>
      </w: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10"/>
        <w:gridCol w:w="1303"/>
        <w:gridCol w:w="1060"/>
        <w:gridCol w:w="1060"/>
        <w:gridCol w:w="1060"/>
        <w:gridCol w:w="1060"/>
        <w:gridCol w:w="1060"/>
        <w:gridCol w:w="1060"/>
        <w:gridCol w:w="827"/>
      </w:tblGrid>
      <w:tr>
        <w:trPr>
          <w:trHeight w:val="269" w:hRule="atLeast"/>
        </w:trPr>
        <w:tc>
          <w:tcPr>
            <w:tcW w:w="3710" w:type="dxa"/>
            <w:tcBorders>
              <w:bottom w:val="single" w:sz="24" w:space="0" w:color="000000"/>
            </w:tcBorders>
          </w:tcPr>
          <w:p>
            <w:pPr>
              <w:pStyle w:val="TableParagraph"/>
              <w:spacing w:line="249" w:lineRule="exact"/>
              <w:ind w:left="60"/>
              <w:jc w:val="left"/>
              <w:rPr>
                <w:b/>
                <w:sz w:val="22"/>
              </w:rPr>
            </w:pPr>
            <w:r>
              <w:rPr>
                <w:b/>
                <w:sz w:val="22"/>
              </w:rPr>
              <w:t>Sector</w:t>
            </w:r>
          </w:p>
        </w:tc>
        <w:tc>
          <w:tcPr>
            <w:tcW w:w="1303" w:type="dxa"/>
            <w:tcBorders>
              <w:bottom w:val="single" w:sz="24" w:space="0" w:color="000000"/>
            </w:tcBorders>
          </w:tcPr>
          <w:p>
            <w:pPr>
              <w:pStyle w:val="TableParagraph"/>
              <w:spacing w:line="249" w:lineRule="exact"/>
              <w:ind w:right="290"/>
              <w:rPr>
                <w:sz w:val="22"/>
              </w:rPr>
            </w:pPr>
            <w:r>
              <w:rPr>
                <w:sz w:val="22"/>
              </w:rPr>
              <w:t>2018</w:t>
            </w:r>
          </w:p>
        </w:tc>
        <w:tc>
          <w:tcPr>
            <w:tcW w:w="1060" w:type="dxa"/>
            <w:tcBorders>
              <w:bottom w:val="single" w:sz="24" w:space="0" w:color="000000"/>
            </w:tcBorders>
          </w:tcPr>
          <w:p>
            <w:pPr>
              <w:pStyle w:val="TableParagraph"/>
              <w:spacing w:line="249" w:lineRule="exact"/>
              <w:ind w:right="290"/>
              <w:rPr>
                <w:sz w:val="22"/>
              </w:rPr>
            </w:pPr>
            <w:r>
              <w:rPr>
                <w:sz w:val="22"/>
              </w:rPr>
              <w:t>2019</w:t>
            </w:r>
          </w:p>
        </w:tc>
        <w:tc>
          <w:tcPr>
            <w:tcW w:w="1060" w:type="dxa"/>
            <w:tcBorders>
              <w:bottom w:val="single" w:sz="24" w:space="0" w:color="000000"/>
            </w:tcBorders>
          </w:tcPr>
          <w:p>
            <w:pPr>
              <w:pStyle w:val="TableParagraph"/>
              <w:spacing w:line="249" w:lineRule="exact"/>
              <w:ind w:left="287"/>
              <w:jc w:val="left"/>
              <w:rPr>
                <w:sz w:val="22"/>
              </w:rPr>
            </w:pPr>
            <w:r>
              <w:rPr>
                <w:sz w:val="22"/>
              </w:rPr>
              <w:t>2020</w:t>
            </w:r>
          </w:p>
        </w:tc>
        <w:tc>
          <w:tcPr>
            <w:tcW w:w="1060" w:type="dxa"/>
            <w:tcBorders>
              <w:bottom w:val="single" w:sz="24" w:space="0" w:color="000000"/>
            </w:tcBorders>
          </w:tcPr>
          <w:p>
            <w:pPr>
              <w:pStyle w:val="TableParagraph"/>
              <w:spacing w:line="249" w:lineRule="exact"/>
              <w:ind w:right="290"/>
              <w:rPr>
                <w:sz w:val="22"/>
              </w:rPr>
            </w:pPr>
            <w:r>
              <w:rPr>
                <w:sz w:val="22"/>
              </w:rPr>
              <w:t>2021</w:t>
            </w:r>
          </w:p>
        </w:tc>
        <w:tc>
          <w:tcPr>
            <w:tcW w:w="1060" w:type="dxa"/>
            <w:tcBorders>
              <w:bottom w:val="single" w:sz="24" w:space="0" w:color="000000"/>
            </w:tcBorders>
          </w:tcPr>
          <w:p>
            <w:pPr>
              <w:pStyle w:val="TableParagraph"/>
              <w:spacing w:line="249" w:lineRule="exact"/>
              <w:ind w:right="290"/>
              <w:rPr>
                <w:sz w:val="22"/>
              </w:rPr>
            </w:pPr>
            <w:r>
              <w:rPr>
                <w:sz w:val="22"/>
              </w:rPr>
              <w:t>2022</w:t>
            </w:r>
          </w:p>
        </w:tc>
        <w:tc>
          <w:tcPr>
            <w:tcW w:w="1060" w:type="dxa"/>
            <w:tcBorders>
              <w:bottom w:val="single" w:sz="24" w:space="0" w:color="000000"/>
            </w:tcBorders>
          </w:tcPr>
          <w:p>
            <w:pPr>
              <w:pStyle w:val="TableParagraph"/>
              <w:spacing w:line="249" w:lineRule="exact"/>
              <w:ind w:right="290"/>
              <w:rPr>
                <w:sz w:val="22"/>
              </w:rPr>
            </w:pPr>
            <w:r>
              <w:rPr>
                <w:sz w:val="22"/>
              </w:rPr>
              <w:t>2023</w:t>
            </w:r>
          </w:p>
        </w:tc>
        <w:tc>
          <w:tcPr>
            <w:tcW w:w="1060" w:type="dxa"/>
            <w:tcBorders>
              <w:bottom w:val="single" w:sz="24" w:space="0" w:color="000000"/>
            </w:tcBorders>
          </w:tcPr>
          <w:p>
            <w:pPr>
              <w:pStyle w:val="TableParagraph"/>
              <w:spacing w:line="249" w:lineRule="exact"/>
              <w:ind w:left="287"/>
              <w:jc w:val="left"/>
              <w:rPr>
                <w:sz w:val="22"/>
              </w:rPr>
            </w:pPr>
            <w:r>
              <w:rPr>
                <w:sz w:val="22"/>
              </w:rPr>
              <w:t>2024</w:t>
            </w:r>
          </w:p>
        </w:tc>
        <w:tc>
          <w:tcPr>
            <w:tcW w:w="827" w:type="dxa"/>
            <w:tcBorders>
              <w:bottom w:val="single" w:sz="24" w:space="0" w:color="000000"/>
            </w:tcBorders>
          </w:tcPr>
          <w:p>
            <w:pPr>
              <w:pStyle w:val="TableParagraph"/>
              <w:spacing w:line="249" w:lineRule="exact"/>
              <w:ind w:right="57"/>
              <w:rPr>
                <w:sz w:val="22"/>
              </w:rPr>
            </w:pPr>
            <w:r>
              <w:rPr>
                <w:sz w:val="22"/>
              </w:rPr>
              <w:t>2025</w:t>
            </w:r>
          </w:p>
        </w:tc>
      </w:tr>
      <w:tr>
        <w:trPr>
          <w:trHeight w:val="264" w:hRule="atLeast"/>
        </w:trPr>
        <w:tc>
          <w:tcPr>
            <w:tcW w:w="3710" w:type="dxa"/>
            <w:tcBorders>
              <w:top w:val="single" w:sz="24" w:space="0" w:color="000000"/>
            </w:tcBorders>
          </w:tcPr>
          <w:p>
            <w:pPr>
              <w:pStyle w:val="TableParagraph"/>
              <w:spacing w:line="245" w:lineRule="exact"/>
              <w:ind w:left="60"/>
              <w:jc w:val="left"/>
              <w:rPr>
                <w:sz w:val="22"/>
              </w:rPr>
            </w:pPr>
            <w:r>
              <w:rPr>
                <w:sz w:val="22"/>
              </w:rPr>
              <w:t>Residential</w:t>
            </w:r>
          </w:p>
        </w:tc>
        <w:tc>
          <w:tcPr>
            <w:tcW w:w="1303" w:type="dxa"/>
            <w:tcBorders>
              <w:top w:val="single" w:sz="24" w:space="0" w:color="000000"/>
            </w:tcBorders>
          </w:tcPr>
          <w:p>
            <w:pPr>
              <w:pStyle w:val="TableParagraph"/>
              <w:spacing w:line="245" w:lineRule="exact"/>
              <w:ind w:left="590"/>
              <w:jc w:val="left"/>
              <w:rPr>
                <w:sz w:val="22"/>
              </w:rPr>
            </w:pPr>
            <w:r>
              <w:rPr>
                <w:sz w:val="22"/>
              </w:rPr>
              <w:t>685</w:t>
            </w:r>
          </w:p>
        </w:tc>
        <w:tc>
          <w:tcPr>
            <w:tcW w:w="1060" w:type="dxa"/>
            <w:tcBorders>
              <w:top w:val="single" w:sz="24" w:space="0" w:color="000000"/>
            </w:tcBorders>
          </w:tcPr>
          <w:p>
            <w:pPr>
              <w:pStyle w:val="TableParagraph"/>
              <w:spacing w:line="245" w:lineRule="exact"/>
              <w:ind w:right="350"/>
              <w:rPr>
                <w:sz w:val="22"/>
              </w:rPr>
            </w:pPr>
            <w:r>
              <w:rPr>
                <w:sz w:val="22"/>
              </w:rPr>
              <w:t>586</w:t>
            </w:r>
          </w:p>
        </w:tc>
        <w:tc>
          <w:tcPr>
            <w:tcW w:w="1060" w:type="dxa"/>
            <w:tcBorders>
              <w:top w:val="single" w:sz="24" w:space="0" w:color="000000"/>
            </w:tcBorders>
          </w:tcPr>
          <w:p>
            <w:pPr>
              <w:pStyle w:val="TableParagraph"/>
              <w:spacing w:line="245" w:lineRule="exact"/>
              <w:ind w:left="347"/>
              <w:jc w:val="left"/>
              <w:rPr>
                <w:sz w:val="22"/>
              </w:rPr>
            </w:pPr>
            <w:r>
              <w:rPr>
                <w:sz w:val="22"/>
              </w:rPr>
              <w:t>593</w:t>
            </w:r>
          </w:p>
        </w:tc>
        <w:tc>
          <w:tcPr>
            <w:tcW w:w="1060" w:type="dxa"/>
            <w:tcBorders>
              <w:top w:val="single" w:sz="24" w:space="0" w:color="000000"/>
            </w:tcBorders>
          </w:tcPr>
          <w:p>
            <w:pPr>
              <w:pStyle w:val="TableParagraph"/>
              <w:spacing w:line="245" w:lineRule="exact"/>
              <w:ind w:right="350"/>
              <w:rPr>
                <w:sz w:val="22"/>
              </w:rPr>
            </w:pPr>
            <w:r>
              <w:rPr>
                <w:sz w:val="22"/>
              </w:rPr>
              <w:t>605</w:t>
            </w:r>
          </w:p>
        </w:tc>
        <w:tc>
          <w:tcPr>
            <w:tcW w:w="1060" w:type="dxa"/>
            <w:tcBorders>
              <w:top w:val="single" w:sz="24" w:space="0" w:color="000000"/>
            </w:tcBorders>
          </w:tcPr>
          <w:p>
            <w:pPr>
              <w:pStyle w:val="TableParagraph"/>
              <w:spacing w:line="245" w:lineRule="exact"/>
              <w:ind w:left="347"/>
              <w:jc w:val="left"/>
              <w:rPr>
                <w:sz w:val="22"/>
              </w:rPr>
            </w:pPr>
            <w:r>
              <w:rPr>
                <w:sz w:val="22"/>
              </w:rPr>
              <w:t>617</w:t>
            </w:r>
          </w:p>
        </w:tc>
        <w:tc>
          <w:tcPr>
            <w:tcW w:w="1060" w:type="dxa"/>
            <w:tcBorders>
              <w:top w:val="single" w:sz="24" w:space="0" w:color="000000"/>
            </w:tcBorders>
          </w:tcPr>
          <w:p>
            <w:pPr>
              <w:pStyle w:val="TableParagraph"/>
              <w:spacing w:line="245" w:lineRule="exact"/>
              <w:ind w:right="350"/>
              <w:rPr>
                <w:sz w:val="22"/>
              </w:rPr>
            </w:pPr>
            <w:r>
              <w:rPr>
                <w:sz w:val="22"/>
              </w:rPr>
              <w:t>630</w:t>
            </w:r>
          </w:p>
        </w:tc>
        <w:tc>
          <w:tcPr>
            <w:tcW w:w="1060" w:type="dxa"/>
            <w:tcBorders>
              <w:top w:val="single" w:sz="24" w:space="0" w:color="000000"/>
            </w:tcBorders>
          </w:tcPr>
          <w:p>
            <w:pPr>
              <w:pStyle w:val="TableParagraph"/>
              <w:spacing w:line="245" w:lineRule="exact"/>
              <w:ind w:left="347"/>
              <w:jc w:val="left"/>
              <w:rPr>
                <w:sz w:val="22"/>
              </w:rPr>
            </w:pPr>
            <w:r>
              <w:rPr>
                <w:sz w:val="22"/>
              </w:rPr>
              <w:t>642</w:t>
            </w:r>
          </w:p>
        </w:tc>
        <w:tc>
          <w:tcPr>
            <w:tcW w:w="827" w:type="dxa"/>
            <w:tcBorders>
              <w:top w:val="single" w:sz="24" w:space="0" w:color="000000"/>
            </w:tcBorders>
          </w:tcPr>
          <w:p>
            <w:pPr>
              <w:pStyle w:val="TableParagraph"/>
              <w:spacing w:line="245" w:lineRule="exact"/>
              <w:ind w:right="117"/>
              <w:rPr>
                <w:sz w:val="22"/>
              </w:rPr>
            </w:pPr>
            <w:r>
              <w:rPr>
                <w:sz w:val="22"/>
              </w:rPr>
              <w:t>655</w:t>
            </w:r>
          </w:p>
        </w:tc>
      </w:tr>
      <w:tr>
        <w:trPr>
          <w:trHeight w:val="280" w:hRule="atLeast"/>
        </w:trPr>
        <w:tc>
          <w:tcPr>
            <w:tcW w:w="3710" w:type="dxa"/>
          </w:tcPr>
          <w:p>
            <w:pPr>
              <w:pStyle w:val="TableParagraph"/>
              <w:spacing w:line="254" w:lineRule="exact" w:before="5"/>
              <w:ind w:left="60"/>
              <w:jc w:val="left"/>
              <w:rPr>
                <w:sz w:val="22"/>
              </w:rPr>
            </w:pPr>
            <w:r>
              <w:rPr>
                <w:sz w:val="22"/>
              </w:rPr>
              <w:t>Commercial</w:t>
            </w:r>
          </w:p>
        </w:tc>
        <w:tc>
          <w:tcPr>
            <w:tcW w:w="1303"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827" w:type="dxa"/>
          </w:tcPr>
          <w:p>
            <w:pPr>
              <w:pStyle w:val="TableParagraph"/>
              <w:spacing w:line="254" w:lineRule="exact" w:before="5"/>
              <w:ind w:right="52"/>
              <w:rPr>
                <w:sz w:val="22"/>
              </w:rPr>
            </w:pPr>
            <w:r>
              <w:rPr>
                <w:sz w:val="22"/>
              </w:rPr>
              <w:t>n/a</w:t>
            </w:r>
          </w:p>
        </w:tc>
      </w:tr>
      <w:tr>
        <w:trPr>
          <w:trHeight w:val="280" w:hRule="atLeast"/>
        </w:trPr>
        <w:tc>
          <w:tcPr>
            <w:tcW w:w="3710" w:type="dxa"/>
          </w:tcPr>
          <w:p>
            <w:pPr>
              <w:pStyle w:val="TableParagraph"/>
              <w:spacing w:line="254" w:lineRule="exact" w:before="5"/>
              <w:ind w:left="60"/>
              <w:jc w:val="left"/>
              <w:rPr>
                <w:sz w:val="22"/>
              </w:rPr>
            </w:pPr>
            <w:r>
              <w:rPr>
                <w:sz w:val="22"/>
              </w:rPr>
              <w:t>Industrial</w:t>
            </w:r>
          </w:p>
        </w:tc>
        <w:tc>
          <w:tcPr>
            <w:tcW w:w="1303"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827" w:type="dxa"/>
          </w:tcPr>
          <w:p>
            <w:pPr>
              <w:pStyle w:val="TableParagraph"/>
              <w:spacing w:line="254" w:lineRule="exact" w:before="5"/>
              <w:ind w:right="52"/>
              <w:rPr>
                <w:sz w:val="22"/>
              </w:rPr>
            </w:pPr>
            <w:r>
              <w:rPr>
                <w:sz w:val="22"/>
              </w:rPr>
              <w:t>n/a</w:t>
            </w:r>
          </w:p>
        </w:tc>
      </w:tr>
      <w:tr>
        <w:trPr>
          <w:trHeight w:val="280" w:hRule="atLeast"/>
        </w:trPr>
        <w:tc>
          <w:tcPr>
            <w:tcW w:w="3710" w:type="dxa"/>
          </w:tcPr>
          <w:p>
            <w:pPr>
              <w:pStyle w:val="TableParagraph"/>
              <w:spacing w:line="254" w:lineRule="exact" w:before="5"/>
              <w:ind w:left="60"/>
              <w:jc w:val="left"/>
              <w:rPr>
                <w:sz w:val="22"/>
              </w:rPr>
            </w:pPr>
            <w:r>
              <w:rPr>
                <w:sz w:val="22"/>
              </w:rPr>
              <w:t>Agriculture</w:t>
            </w:r>
          </w:p>
        </w:tc>
        <w:tc>
          <w:tcPr>
            <w:tcW w:w="1303"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827" w:type="dxa"/>
          </w:tcPr>
          <w:p>
            <w:pPr>
              <w:pStyle w:val="TableParagraph"/>
              <w:spacing w:line="254" w:lineRule="exact" w:before="5"/>
              <w:ind w:right="52"/>
              <w:rPr>
                <w:sz w:val="22"/>
              </w:rPr>
            </w:pPr>
            <w:r>
              <w:rPr>
                <w:sz w:val="22"/>
              </w:rPr>
              <w:t>n/a</w:t>
            </w:r>
          </w:p>
        </w:tc>
      </w:tr>
      <w:tr>
        <w:trPr>
          <w:trHeight w:val="280" w:hRule="atLeast"/>
        </w:trPr>
        <w:tc>
          <w:tcPr>
            <w:tcW w:w="3710" w:type="dxa"/>
          </w:tcPr>
          <w:p>
            <w:pPr>
              <w:pStyle w:val="TableParagraph"/>
              <w:spacing w:line="254" w:lineRule="exact" w:before="5"/>
              <w:ind w:left="60"/>
              <w:jc w:val="left"/>
              <w:rPr>
                <w:sz w:val="22"/>
              </w:rPr>
            </w:pPr>
            <w:r>
              <w:rPr>
                <w:sz w:val="22"/>
              </w:rPr>
              <w:t>Emerging Tech</w:t>
            </w:r>
          </w:p>
        </w:tc>
        <w:tc>
          <w:tcPr>
            <w:tcW w:w="1303"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827" w:type="dxa"/>
          </w:tcPr>
          <w:p>
            <w:pPr>
              <w:pStyle w:val="TableParagraph"/>
              <w:spacing w:line="254" w:lineRule="exact" w:before="5"/>
              <w:ind w:right="52"/>
              <w:rPr>
                <w:sz w:val="22"/>
              </w:rPr>
            </w:pPr>
            <w:r>
              <w:rPr>
                <w:sz w:val="22"/>
              </w:rPr>
              <w:t>n/a</w:t>
            </w:r>
          </w:p>
        </w:tc>
      </w:tr>
      <w:tr>
        <w:trPr>
          <w:trHeight w:val="280" w:hRule="atLeast"/>
        </w:trPr>
        <w:tc>
          <w:tcPr>
            <w:tcW w:w="3710" w:type="dxa"/>
          </w:tcPr>
          <w:p>
            <w:pPr>
              <w:pStyle w:val="TableParagraph"/>
              <w:spacing w:line="254" w:lineRule="exact" w:before="5"/>
              <w:ind w:left="60"/>
              <w:jc w:val="left"/>
              <w:rPr>
                <w:sz w:val="22"/>
              </w:rPr>
            </w:pPr>
            <w:r>
              <w:rPr>
                <w:sz w:val="22"/>
              </w:rPr>
              <w:t>Public</w:t>
            </w:r>
          </w:p>
        </w:tc>
        <w:tc>
          <w:tcPr>
            <w:tcW w:w="1303"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827" w:type="dxa"/>
          </w:tcPr>
          <w:p>
            <w:pPr>
              <w:pStyle w:val="TableParagraph"/>
              <w:spacing w:line="254" w:lineRule="exact" w:before="5"/>
              <w:ind w:right="52"/>
              <w:rPr>
                <w:sz w:val="22"/>
              </w:rPr>
            </w:pPr>
            <w:r>
              <w:rPr>
                <w:sz w:val="22"/>
              </w:rPr>
              <w:t>n/a</w:t>
            </w:r>
          </w:p>
        </w:tc>
      </w:tr>
      <w:tr>
        <w:trPr>
          <w:trHeight w:val="280" w:hRule="atLeast"/>
        </w:trPr>
        <w:tc>
          <w:tcPr>
            <w:tcW w:w="3710" w:type="dxa"/>
          </w:tcPr>
          <w:p>
            <w:pPr>
              <w:pStyle w:val="TableParagraph"/>
              <w:spacing w:line="254" w:lineRule="exact" w:before="5"/>
              <w:ind w:left="60"/>
              <w:jc w:val="left"/>
              <w:rPr>
                <w:sz w:val="22"/>
              </w:rPr>
            </w:pPr>
            <w:r>
              <w:rPr>
                <w:sz w:val="22"/>
              </w:rPr>
              <w:t>Codes and Standards</w:t>
            </w:r>
          </w:p>
        </w:tc>
        <w:tc>
          <w:tcPr>
            <w:tcW w:w="1303"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827" w:type="dxa"/>
          </w:tcPr>
          <w:p>
            <w:pPr>
              <w:pStyle w:val="TableParagraph"/>
              <w:spacing w:line="254" w:lineRule="exact" w:before="5"/>
              <w:ind w:right="52"/>
              <w:rPr>
                <w:sz w:val="22"/>
              </w:rPr>
            </w:pPr>
            <w:r>
              <w:rPr>
                <w:sz w:val="22"/>
              </w:rPr>
              <w:t>n/a</w:t>
            </w:r>
          </w:p>
        </w:tc>
      </w:tr>
      <w:tr>
        <w:trPr>
          <w:trHeight w:val="280" w:hRule="atLeast"/>
        </w:trPr>
        <w:tc>
          <w:tcPr>
            <w:tcW w:w="3710" w:type="dxa"/>
          </w:tcPr>
          <w:p>
            <w:pPr>
              <w:pStyle w:val="TableParagraph"/>
              <w:spacing w:line="254" w:lineRule="exact" w:before="5"/>
              <w:ind w:left="60"/>
              <w:jc w:val="left"/>
              <w:rPr>
                <w:sz w:val="22"/>
              </w:rPr>
            </w:pPr>
            <w:r>
              <w:rPr>
                <w:sz w:val="22"/>
              </w:rPr>
              <w:t>WE&amp;T</w:t>
            </w:r>
          </w:p>
        </w:tc>
        <w:tc>
          <w:tcPr>
            <w:tcW w:w="1303"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827" w:type="dxa"/>
          </w:tcPr>
          <w:p>
            <w:pPr>
              <w:pStyle w:val="TableParagraph"/>
              <w:spacing w:line="254" w:lineRule="exact" w:before="5"/>
              <w:ind w:right="52"/>
              <w:rPr>
                <w:sz w:val="22"/>
              </w:rPr>
            </w:pPr>
            <w:r>
              <w:rPr>
                <w:sz w:val="22"/>
              </w:rPr>
              <w:t>n/a</w:t>
            </w:r>
          </w:p>
        </w:tc>
      </w:tr>
      <w:tr>
        <w:trPr>
          <w:trHeight w:val="280" w:hRule="atLeast"/>
        </w:trPr>
        <w:tc>
          <w:tcPr>
            <w:tcW w:w="3710" w:type="dxa"/>
          </w:tcPr>
          <w:p>
            <w:pPr>
              <w:pStyle w:val="TableParagraph"/>
              <w:spacing w:line="254" w:lineRule="exact" w:before="5"/>
              <w:ind w:left="60"/>
              <w:jc w:val="left"/>
              <w:rPr>
                <w:sz w:val="22"/>
              </w:rPr>
            </w:pPr>
            <w:r>
              <w:rPr>
                <w:sz w:val="22"/>
              </w:rPr>
              <w:t>Finance</w:t>
            </w:r>
          </w:p>
        </w:tc>
        <w:tc>
          <w:tcPr>
            <w:tcW w:w="1303"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1060" w:type="dxa"/>
          </w:tcPr>
          <w:p>
            <w:pPr>
              <w:pStyle w:val="TableParagraph"/>
              <w:spacing w:line="254" w:lineRule="exact" w:before="5"/>
              <w:ind w:right="285"/>
              <w:rPr>
                <w:sz w:val="22"/>
              </w:rPr>
            </w:pPr>
            <w:r>
              <w:rPr>
                <w:sz w:val="22"/>
              </w:rPr>
              <w:t>n/a</w:t>
            </w:r>
          </w:p>
        </w:tc>
        <w:tc>
          <w:tcPr>
            <w:tcW w:w="827" w:type="dxa"/>
          </w:tcPr>
          <w:p>
            <w:pPr>
              <w:pStyle w:val="TableParagraph"/>
              <w:spacing w:line="254" w:lineRule="exact" w:before="5"/>
              <w:ind w:right="52"/>
              <w:rPr>
                <w:sz w:val="22"/>
              </w:rPr>
            </w:pPr>
            <w:r>
              <w:rPr>
                <w:sz w:val="22"/>
              </w:rPr>
              <w:t>n/a</w:t>
            </w:r>
          </w:p>
        </w:tc>
      </w:tr>
      <w:tr>
        <w:trPr>
          <w:trHeight w:val="275" w:hRule="atLeast"/>
        </w:trPr>
        <w:tc>
          <w:tcPr>
            <w:tcW w:w="3710" w:type="dxa"/>
            <w:tcBorders>
              <w:bottom w:val="single" w:sz="24" w:space="0" w:color="000000"/>
            </w:tcBorders>
          </w:tcPr>
          <w:p>
            <w:pPr>
              <w:pStyle w:val="TableParagraph"/>
              <w:spacing w:line="249" w:lineRule="exact" w:before="5"/>
              <w:ind w:left="60"/>
              <w:jc w:val="left"/>
              <w:rPr>
                <w:sz w:val="22"/>
              </w:rPr>
            </w:pPr>
            <w:r>
              <w:rPr>
                <w:sz w:val="22"/>
              </w:rPr>
              <w:t>OBF Loan Pool</w:t>
            </w:r>
          </w:p>
        </w:tc>
        <w:tc>
          <w:tcPr>
            <w:tcW w:w="1303" w:type="dxa"/>
            <w:tcBorders>
              <w:bottom w:val="single" w:sz="24" w:space="0" w:color="000000"/>
            </w:tcBorders>
          </w:tcPr>
          <w:p>
            <w:pPr>
              <w:pStyle w:val="TableParagraph"/>
              <w:spacing w:line="249" w:lineRule="exact" w:before="5"/>
              <w:ind w:right="285"/>
              <w:rPr>
                <w:sz w:val="22"/>
              </w:rPr>
            </w:pPr>
            <w:r>
              <w:rPr>
                <w:sz w:val="22"/>
              </w:rPr>
              <w:t>n/a</w:t>
            </w:r>
          </w:p>
        </w:tc>
        <w:tc>
          <w:tcPr>
            <w:tcW w:w="1060" w:type="dxa"/>
            <w:tcBorders>
              <w:bottom w:val="single" w:sz="24" w:space="0" w:color="000000"/>
            </w:tcBorders>
          </w:tcPr>
          <w:p>
            <w:pPr>
              <w:pStyle w:val="TableParagraph"/>
              <w:spacing w:line="249" w:lineRule="exact" w:before="5"/>
              <w:ind w:right="285"/>
              <w:rPr>
                <w:sz w:val="22"/>
              </w:rPr>
            </w:pPr>
            <w:r>
              <w:rPr>
                <w:sz w:val="22"/>
              </w:rPr>
              <w:t>n/a</w:t>
            </w:r>
          </w:p>
        </w:tc>
        <w:tc>
          <w:tcPr>
            <w:tcW w:w="1060" w:type="dxa"/>
            <w:tcBorders>
              <w:bottom w:val="single" w:sz="24" w:space="0" w:color="000000"/>
            </w:tcBorders>
          </w:tcPr>
          <w:p>
            <w:pPr>
              <w:pStyle w:val="TableParagraph"/>
              <w:spacing w:line="249" w:lineRule="exact" w:before="5"/>
              <w:ind w:right="285"/>
              <w:rPr>
                <w:sz w:val="22"/>
              </w:rPr>
            </w:pPr>
            <w:r>
              <w:rPr>
                <w:sz w:val="22"/>
              </w:rPr>
              <w:t>n/a</w:t>
            </w:r>
          </w:p>
        </w:tc>
        <w:tc>
          <w:tcPr>
            <w:tcW w:w="1060" w:type="dxa"/>
            <w:tcBorders>
              <w:bottom w:val="single" w:sz="24" w:space="0" w:color="000000"/>
            </w:tcBorders>
          </w:tcPr>
          <w:p>
            <w:pPr>
              <w:pStyle w:val="TableParagraph"/>
              <w:spacing w:line="249" w:lineRule="exact" w:before="5"/>
              <w:ind w:right="285"/>
              <w:rPr>
                <w:sz w:val="22"/>
              </w:rPr>
            </w:pPr>
            <w:r>
              <w:rPr>
                <w:sz w:val="22"/>
              </w:rPr>
              <w:t>n/a</w:t>
            </w:r>
          </w:p>
        </w:tc>
        <w:tc>
          <w:tcPr>
            <w:tcW w:w="1060" w:type="dxa"/>
            <w:tcBorders>
              <w:bottom w:val="single" w:sz="24" w:space="0" w:color="000000"/>
            </w:tcBorders>
          </w:tcPr>
          <w:p>
            <w:pPr>
              <w:pStyle w:val="TableParagraph"/>
              <w:spacing w:line="249" w:lineRule="exact" w:before="5"/>
              <w:ind w:right="285"/>
              <w:rPr>
                <w:sz w:val="22"/>
              </w:rPr>
            </w:pPr>
            <w:r>
              <w:rPr>
                <w:sz w:val="22"/>
              </w:rPr>
              <w:t>n/a</w:t>
            </w:r>
          </w:p>
        </w:tc>
        <w:tc>
          <w:tcPr>
            <w:tcW w:w="1060" w:type="dxa"/>
            <w:tcBorders>
              <w:bottom w:val="single" w:sz="24" w:space="0" w:color="000000"/>
            </w:tcBorders>
          </w:tcPr>
          <w:p>
            <w:pPr>
              <w:pStyle w:val="TableParagraph"/>
              <w:spacing w:line="249" w:lineRule="exact" w:before="5"/>
              <w:ind w:right="285"/>
              <w:rPr>
                <w:sz w:val="22"/>
              </w:rPr>
            </w:pPr>
            <w:r>
              <w:rPr>
                <w:sz w:val="22"/>
              </w:rPr>
              <w:t>n/a</w:t>
            </w:r>
          </w:p>
        </w:tc>
        <w:tc>
          <w:tcPr>
            <w:tcW w:w="1060" w:type="dxa"/>
            <w:tcBorders>
              <w:bottom w:val="single" w:sz="24" w:space="0" w:color="000000"/>
            </w:tcBorders>
          </w:tcPr>
          <w:p>
            <w:pPr>
              <w:pStyle w:val="TableParagraph"/>
              <w:spacing w:line="249" w:lineRule="exact" w:before="5"/>
              <w:ind w:right="285"/>
              <w:rPr>
                <w:sz w:val="22"/>
              </w:rPr>
            </w:pPr>
            <w:r>
              <w:rPr>
                <w:sz w:val="22"/>
              </w:rPr>
              <w:t>n/a</w:t>
            </w:r>
          </w:p>
        </w:tc>
        <w:tc>
          <w:tcPr>
            <w:tcW w:w="827" w:type="dxa"/>
            <w:tcBorders>
              <w:bottom w:val="single" w:sz="24" w:space="0" w:color="000000"/>
            </w:tcBorders>
          </w:tcPr>
          <w:p>
            <w:pPr>
              <w:pStyle w:val="TableParagraph"/>
              <w:spacing w:line="249" w:lineRule="exact" w:before="5"/>
              <w:ind w:right="52"/>
              <w:rPr>
                <w:sz w:val="22"/>
              </w:rPr>
            </w:pPr>
            <w:r>
              <w:rPr>
                <w:sz w:val="22"/>
              </w:rPr>
              <w:t>n/a</w:t>
            </w:r>
          </w:p>
        </w:tc>
      </w:tr>
      <w:tr>
        <w:trPr>
          <w:trHeight w:val="240" w:hRule="atLeast"/>
        </w:trPr>
        <w:tc>
          <w:tcPr>
            <w:tcW w:w="3710" w:type="dxa"/>
            <w:tcBorders>
              <w:top w:val="single" w:sz="24" w:space="0" w:color="000000"/>
              <w:bottom w:val="single" w:sz="24" w:space="0" w:color="000000"/>
              <w:right w:val="single" w:sz="24" w:space="0" w:color="000000"/>
            </w:tcBorders>
          </w:tcPr>
          <w:p>
            <w:pPr>
              <w:pStyle w:val="TableParagraph"/>
              <w:spacing w:line="220" w:lineRule="exact"/>
              <w:ind w:left="60"/>
              <w:jc w:val="left"/>
              <w:rPr>
                <w:b/>
                <w:sz w:val="22"/>
              </w:rPr>
            </w:pPr>
            <w:r>
              <w:rPr>
                <w:b/>
                <w:sz w:val="22"/>
              </w:rPr>
              <w:t>Total Forecast Portfolio Savings</w:t>
            </w:r>
          </w:p>
        </w:tc>
        <w:tc>
          <w:tcPr>
            <w:tcW w:w="1303" w:type="dxa"/>
            <w:tcBorders>
              <w:top w:val="single" w:sz="24" w:space="0" w:color="000000"/>
              <w:left w:val="single" w:sz="24" w:space="0" w:color="000000"/>
              <w:bottom w:val="single" w:sz="24" w:space="0" w:color="000000"/>
            </w:tcBorders>
          </w:tcPr>
          <w:p>
            <w:pPr>
              <w:pStyle w:val="TableParagraph"/>
              <w:spacing w:line="220" w:lineRule="exact"/>
              <w:ind w:left="560"/>
              <w:jc w:val="left"/>
              <w:rPr>
                <w:sz w:val="22"/>
              </w:rPr>
            </w:pPr>
            <w:r>
              <w:rPr>
                <w:sz w:val="22"/>
              </w:rPr>
              <w:t>685</w:t>
            </w:r>
          </w:p>
        </w:tc>
        <w:tc>
          <w:tcPr>
            <w:tcW w:w="1060" w:type="dxa"/>
            <w:tcBorders>
              <w:top w:val="single" w:sz="24" w:space="0" w:color="000000"/>
              <w:bottom w:val="single" w:sz="24" w:space="0" w:color="000000"/>
            </w:tcBorders>
          </w:tcPr>
          <w:p>
            <w:pPr>
              <w:pStyle w:val="TableParagraph"/>
              <w:spacing w:line="220" w:lineRule="exact"/>
              <w:ind w:right="350"/>
              <w:rPr>
                <w:sz w:val="22"/>
              </w:rPr>
            </w:pPr>
            <w:r>
              <w:rPr>
                <w:sz w:val="22"/>
              </w:rPr>
              <w:t>586</w:t>
            </w:r>
          </w:p>
        </w:tc>
        <w:tc>
          <w:tcPr>
            <w:tcW w:w="1060" w:type="dxa"/>
            <w:tcBorders>
              <w:top w:val="single" w:sz="24" w:space="0" w:color="000000"/>
              <w:bottom w:val="single" w:sz="24" w:space="0" w:color="000000"/>
            </w:tcBorders>
          </w:tcPr>
          <w:p>
            <w:pPr>
              <w:pStyle w:val="TableParagraph"/>
              <w:spacing w:line="220" w:lineRule="exact"/>
              <w:ind w:left="347"/>
              <w:jc w:val="left"/>
              <w:rPr>
                <w:sz w:val="22"/>
              </w:rPr>
            </w:pPr>
            <w:r>
              <w:rPr>
                <w:sz w:val="22"/>
              </w:rPr>
              <w:t>593</w:t>
            </w:r>
          </w:p>
        </w:tc>
        <w:tc>
          <w:tcPr>
            <w:tcW w:w="1060" w:type="dxa"/>
            <w:tcBorders>
              <w:top w:val="single" w:sz="24" w:space="0" w:color="000000"/>
              <w:bottom w:val="single" w:sz="24" w:space="0" w:color="000000"/>
            </w:tcBorders>
          </w:tcPr>
          <w:p>
            <w:pPr>
              <w:pStyle w:val="TableParagraph"/>
              <w:spacing w:line="220" w:lineRule="exact"/>
              <w:ind w:right="350"/>
              <w:rPr>
                <w:sz w:val="22"/>
              </w:rPr>
            </w:pPr>
            <w:r>
              <w:rPr>
                <w:sz w:val="22"/>
              </w:rPr>
              <w:t>605</w:t>
            </w:r>
          </w:p>
        </w:tc>
        <w:tc>
          <w:tcPr>
            <w:tcW w:w="1060" w:type="dxa"/>
            <w:tcBorders>
              <w:top w:val="single" w:sz="24" w:space="0" w:color="000000"/>
              <w:bottom w:val="single" w:sz="24" w:space="0" w:color="000000"/>
            </w:tcBorders>
          </w:tcPr>
          <w:p>
            <w:pPr>
              <w:pStyle w:val="TableParagraph"/>
              <w:spacing w:line="220" w:lineRule="exact"/>
              <w:ind w:left="347"/>
              <w:jc w:val="left"/>
              <w:rPr>
                <w:sz w:val="22"/>
              </w:rPr>
            </w:pPr>
            <w:r>
              <w:rPr>
                <w:sz w:val="22"/>
              </w:rPr>
              <w:t>617</w:t>
            </w:r>
          </w:p>
        </w:tc>
        <w:tc>
          <w:tcPr>
            <w:tcW w:w="1060" w:type="dxa"/>
            <w:tcBorders>
              <w:top w:val="single" w:sz="24" w:space="0" w:color="000000"/>
              <w:bottom w:val="single" w:sz="24" w:space="0" w:color="000000"/>
            </w:tcBorders>
          </w:tcPr>
          <w:p>
            <w:pPr>
              <w:pStyle w:val="TableParagraph"/>
              <w:spacing w:line="220" w:lineRule="exact"/>
              <w:ind w:right="350"/>
              <w:rPr>
                <w:sz w:val="22"/>
              </w:rPr>
            </w:pPr>
            <w:r>
              <w:rPr>
                <w:sz w:val="22"/>
              </w:rPr>
              <w:t>630</w:t>
            </w:r>
          </w:p>
        </w:tc>
        <w:tc>
          <w:tcPr>
            <w:tcW w:w="1060" w:type="dxa"/>
            <w:tcBorders>
              <w:top w:val="single" w:sz="24" w:space="0" w:color="000000"/>
              <w:bottom w:val="single" w:sz="24" w:space="0" w:color="000000"/>
            </w:tcBorders>
          </w:tcPr>
          <w:p>
            <w:pPr>
              <w:pStyle w:val="TableParagraph"/>
              <w:spacing w:line="220" w:lineRule="exact"/>
              <w:ind w:left="347"/>
              <w:jc w:val="left"/>
              <w:rPr>
                <w:sz w:val="22"/>
              </w:rPr>
            </w:pPr>
            <w:r>
              <w:rPr>
                <w:sz w:val="22"/>
              </w:rPr>
              <w:t>642</w:t>
            </w:r>
          </w:p>
        </w:tc>
        <w:tc>
          <w:tcPr>
            <w:tcW w:w="827" w:type="dxa"/>
            <w:tcBorders>
              <w:top w:val="single" w:sz="24" w:space="0" w:color="000000"/>
              <w:bottom w:val="single" w:sz="24" w:space="0" w:color="000000"/>
            </w:tcBorders>
          </w:tcPr>
          <w:p>
            <w:pPr>
              <w:pStyle w:val="TableParagraph"/>
              <w:spacing w:line="220" w:lineRule="exact"/>
              <w:ind w:right="117"/>
              <w:rPr>
                <w:sz w:val="22"/>
              </w:rPr>
            </w:pPr>
            <w:r>
              <w:rPr>
                <w:sz w:val="22"/>
              </w:rPr>
              <w:t>655</w:t>
            </w:r>
          </w:p>
        </w:tc>
      </w:tr>
      <w:tr>
        <w:trPr>
          <w:trHeight w:val="240" w:hRule="atLeast"/>
        </w:trPr>
        <w:tc>
          <w:tcPr>
            <w:tcW w:w="3710" w:type="dxa"/>
            <w:tcBorders>
              <w:top w:val="single" w:sz="24" w:space="0" w:color="000000"/>
              <w:bottom w:val="single" w:sz="24" w:space="0" w:color="000000"/>
              <w:right w:val="single" w:sz="24" w:space="0" w:color="000000"/>
            </w:tcBorders>
          </w:tcPr>
          <w:p>
            <w:pPr>
              <w:pStyle w:val="TableParagraph"/>
              <w:spacing w:line="220" w:lineRule="exact"/>
              <w:ind w:left="60"/>
              <w:jc w:val="left"/>
              <w:rPr>
                <w:sz w:val="22"/>
              </w:rPr>
            </w:pPr>
            <w:r>
              <w:rPr>
                <w:sz w:val="22"/>
              </w:rPr>
              <w:t>CPUC Goal*</w:t>
            </w:r>
          </w:p>
        </w:tc>
        <w:tc>
          <w:tcPr>
            <w:tcW w:w="1303" w:type="dxa"/>
            <w:tcBorders>
              <w:top w:val="single" w:sz="24" w:space="0" w:color="000000"/>
              <w:left w:val="single" w:sz="24" w:space="0" w:color="000000"/>
              <w:bottom w:val="single" w:sz="24" w:space="0" w:color="000000"/>
            </w:tcBorders>
          </w:tcPr>
          <w:p>
            <w:pPr>
              <w:pStyle w:val="TableParagraph"/>
              <w:spacing w:line="220" w:lineRule="exact"/>
              <w:ind w:right="285"/>
              <w:rPr>
                <w:sz w:val="22"/>
              </w:rPr>
            </w:pPr>
            <w:r>
              <w:rPr>
                <w:sz w:val="22"/>
              </w:rPr>
              <w:t>n/a</w:t>
            </w:r>
          </w:p>
        </w:tc>
        <w:tc>
          <w:tcPr>
            <w:tcW w:w="1060" w:type="dxa"/>
            <w:tcBorders>
              <w:top w:val="single" w:sz="24" w:space="0" w:color="000000"/>
              <w:bottom w:val="single" w:sz="24" w:space="0" w:color="000000"/>
            </w:tcBorders>
          </w:tcPr>
          <w:p>
            <w:pPr>
              <w:pStyle w:val="TableParagraph"/>
              <w:spacing w:line="220" w:lineRule="exact"/>
              <w:ind w:right="285"/>
              <w:rPr>
                <w:sz w:val="22"/>
              </w:rPr>
            </w:pPr>
            <w:r>
              <w:rPr>
                <w:sz w:val="22"/>
              </w:rPr>
              <w:t>n/a</w:t>
            </w:r>
          </w:p>
        </w:tc>
        <w:tc>
          <w:tcPr>
            <w:tcW w:w="1060" w:type="dxa"/>
            <w:tcBorders>
              <w:top w:val="single" w:sz="24" w:space="0" w:color="000000"/>
              <w:bottom w:val="single" w:sz="24" w:space="0" w:color="000000"/>
            </w:tcBorders>
          </w:tcPr>
          <w:p>
            <w:pPr>
              <w:pStyle w:val="TableParagraph"/>
              <w:spacing w:line="220" w:lineRule="exact"/>
              <w:ind w:right="285"/>
              <w:rPr>
                <w:sz w:val="22"/>
              </w:rPr>
            </w:pPr>
            <w:r>
              <w:rPr>
                <w:sz w:val="22"/>
              </w:rPr>
              <w:t>n/a</w:t>
            </w:r>
          </w:p>
        </w:tc>
        <w:tc>
          <w:tcPr>
            <w:tcW w:w="1060" w:type="dxa"/>
            <w:tcBorders>
              <w:top w:val="single" w:sz="24" w:space="0" w:color="000000"/>
              <w:bottom w:val="single" w:sz="24" w:space="0" w:color="000000"/>
            </w:tcBorders>
          </w:tcPr>
          <w:p>
            <w:pPr>
              <w:pStyle w:val="TableParagraph"/>
              <w:spacing w:line="220" w:lineRule="exact"/>
              <w:ind w:right="285"/>
              <w:rPr>
                <w:sz w:val="22"/>
              </w:rPr>
            </w:pPr>
            <w:r>
              <w:rPr>
                <w:sz w:val="22"/>
              </w:rPr>
              <w:t>n/a</w:t>
            </w:r>
          </w:p>
        </w:tc>
        <w:tc>
          <w:tcPr>
            <w:tcW w:w="1060" w:type="dxa"/>
            <w:tcBorders>
              <w:top w:val="single" w:sz="24" w:space="0" w:color="000000"/>
              <w:bottom w:val="single" w:sz="24" w:space="0" w:color="000000"/>
            </w:tcBorders>
          </w:tcPr>
          <w:p>
            <w:pPr>
              <w:pStyle w:val="TableParagraph"/>
              <w:spacing w:line="220" w:lineRule="exact"/>
              <w:ind w:right="285"/>
              <w:rPr>
                <w:sz w:val="22"/>
              </w:rPr>
            </w:pPr>
            <w:r>
              <w:rPr>
                <w:sz w:val="22"/>
              </w:rPr>
              <w:t>n/a</w:t>
            </w:r>
          </w:p>
        </w:tc>
        <w:tc>
          <w:tcPr>
            <w:tcW w:w="1060" w:type="dxa"/>
            <w:tcBorders>
              <w:top w:val="single" w:sz="24" w:space="0" w:color="000000"/>
              <w:bottom w:val="single" w:sz="24" w:space="0" w:color="000000"/>
            </w:tcBorders>
          </w:tcPr>
          <w:p>
            <w:pPr>
              <w:pStyle w:val="TableParagraph"/>
              <w:spacing w:line="220" w:lineRule="exact"/>
              <w:ind w:right="285"/>
              <w:rPr>
                <w:sz w:val="22"/>
              </w:rPr>
            </w:pPr>
            <w:r>
              <w:rPr>
                <w:sz w:val="22"/>
              </w:rPr>
              <w:t>n/a</w:t>
            </w:r>
          </w:p>
        </w:tc>
        <w:tc>
          <w:tcPr>
            <w:tcW w:w="1060" w:type="dxa"/>
            <w:tcBorders>
              <w:top w:val="single" w:sz="24" w:space="0" w:color="000000"/>
              <w:bottom w:val="single" w:sz="24" w:space="0" w:color="000000"/>
            </w:tcBorders>
          </w:tcPr>
          <w:p>
            <w:pPr>
              <w:pStyle w:val="TableParagraph"/>
              <w:spacing w:line="220" w:lineRule="exact"/>
              <w:ind w:right="285"/>
              <w:rPr>
                <w:sz w:val="22"/>
              </w:rPr>
            </w:pPr>
            <w:r>
              <w:rPr>
                <w:sz w:val="22"/>
              </w:rPr>
              <w:t>n/a</w:t>
            </w:r>
          </w:p>
        </w:tc>
        <w:tc>
          <w:tcPr>
            <w:tcW w:w="827" w:type="dxa"/>
            <w:tcBorders>
              <w:top w:val="single" w:sz="24" w:space="0" w:color="000000"/>
              <w:bottom w:val="single" w:sz="24" w:space="0" w:color="000000"/>
            </w:tcBorders>
          </w:tcPr>
          <w:p>
            <w:pPr>
              <w:pStyle w:val="TableParagraph"/>
              <w:spacing w:line="220" w:lineRule="exact"/>
              <w:ind w:right="52"/>
              <w:rPr>
                <w:sz w:val="22"/>
              </w:rPr>
            </w:pPr>
            <w:r>
              <w:rPr>
                <w:sz w:val="22"/>
              </w:rPr>
              <w:t>n/a</w:t>
            </w:r>
          </w:p>
        </w:tc>
      </w:tr>
      <w:tr>
        <w:trPr>
          <w:trHeight w:val="240" w:hRule="atLeast"/>
        </w:trPr>
        <w:tc>
          <w:tcPr>
            <w:tcW w:w="3710" w:type="dxa"/>
            <w:tcBorders>
              <w:top w:val="single" w:sz="24" w:space="0" w:color="000000"/>
              <w:bottom w:val="single" w:sz="24" w:space="0" w:color="000000"/>
              <w:right w:val="single" w:sz="24" w:space="0" w:color="000000"/>
            </w:tcBorders>
          </w:tcPr>
          <w:p>
            <w:pPr>
              <w:pStyle w:val="TableParagraph"/>
              <w:spacing w:line="220" w:lineRule="exact"/>
              <w:ind w:left="60"/>
              <w:jc w:val="left"/>
              <w:rPr>
                <w:sz w:val="22"/>
              </w:rPr>
            </w:pPr>
            <w:r>
              <w:rPr>
                <w:sz w:val="22"/>
              </w:rPr>
              <w:t>% of Goal*</w:t>
            </w:r>
          </w:p>
        </w:tc>
        <w:tc>
          <w:tcPr>
            <w:tcW w:w="1303" w:type="dxa"/>
            <w:tcBorders>
              <w:top w:val="single" w:sz="24" w:space="0" w:color="000000"/>
              <w:left w:val="single" w:sz="24" w:space="0" w:color="000000"/>
              <w:bottom w:val="single" w:sz="24" w:space="0" w:color="000000"/>
            </w:tcBorders>
          </w:tcPr>
          <w:p>
            <w:pPr>
              <w:pStyle w:val="TableParagraph"/>
              <w:spacing w:line="220" w:lineRule="exact"/>
              <w:ind w:right="285"/>
              <w:rPr>
                <w:sz w:val="22"/>
              </w:rPr>
            </w:pPr>
            <w:r>
              <w:rPr>
                <w:sz w:val="22"/>
              </w:rPr>
              <w:t>n/a</w:t>
            </w:r>
          </w:p>
        </w:tc>
        <w:tc>
          <w:tcPr>
            <w:tcW w:w="1060" w:type="dxa"/>
            <w:tcBorders>
              <w:top w:val="single" w:sz="24" w:space="0" w:color="000000"/>
              <w:bottom w:val="single" w:sz="24" w:space="0" w:color="000000"/>
            </w:tcBorders>
          </w:tcPr>
          <w:p>
            <w:pPr>
              <w:pStyle w:val="TableParagraph"/>
              <w:spacing w:line="220" w:lineRule="exact"/>
              <w:ind w:right="285"/>
              <w:rPr>
                <w:sz w:val="22"/>
              </w:rPr>
            </w:pPr>
            <w:r>
              <w:rPr>
                <w:sz w:val="22"/>
              </w:rPr>
              <w:t>n/a</w:t>
            </w:r>
          </w:p>
        </w:tc>
        <w:tc>
          <w:tcPr>
            <w:tcW w:w="1060" w:type="dxa"/>
            <w:tcBorders>
              <w:top w:val="single" w:sz="24" w:space="0" w:color="000000"/>
              <w:bottom w:val="single" w:sz="24" w:space="0" w:color="000000"/>
            </w:tcBorders>
          </w:tcPr>
          <w:p>
            <w:pPr>
              <w:pStyle w:val="TableParagraph"/>
              <w:spacing w:line="220" w:lineRule="exact"/>
              <w:ind w:right="285"/>
              <w:rPr>
                <w:sz w:val="22"/>
              </w:rPr>
            </w:pPr>
            <w:r>
              <w:rPr>
                <w:sz w:val="22"/>
              </w:rPr>
              <w:t>n/a</w:t>
            </w:r>
          </w:p>
        </w:tc>
        <w:tc>
          <w:tcPr>
            <w:tcW w:w="1060" w:type="dxa"/>
            <w:tcBorders>
              <w:top w:val="single" w:sz="24" w:space="0" w:color="000000"/>
              <w:bottom w:val="single" w:sz="24" w:space="0" w:color="000000"/>
            </w:tcBorders>
          </w:tcPr>
          <w:p>
            <w:pPr>
              <w:pStyle w:val="TableParagraph"/>
              <w:spacing w:line="220" w:lineRule="exact"/>
              <w:ind w:right="285"/>
              <w:rPr>
                <w:sz w:val="22"/>
              </w:rPr>
            </w:pPr>
            <w:r>
              <w:rPr>
                <w:sz w:val="22"/>
              </w:rPr>
              <w:t>n/a</w:t>
            </w:r>
          </w:p>
        </w:tc>
        <w:tc>
          <w:tcPr>
            <w:tcW w:w="1060" w:type="dxa"/>
            <w:tcBorders>
              <w:top w:val="single" w:sz="24" w:space="0" w:color="000000"/>
              <w:bottom w:val="single" w:sz="24" w:space="0" w:color="000000"/>
            </w:tcBorders>
          </w:tcPr>
          <w:p>
            <w:pPr>
              <w:pStyle w:val="TableParagraph"/>
              <w:spacing w:line="220" w:lineRule="exact"/>
              <w:ind w:right="285"/>
              <w:rPr>
                <w:sz w:val="22"/>
              </w:rPr>
            </w:pPr>
            <w:r>
              <w:rPr>
                <w:sz w:val="22"/>
              </w:rPr>
              <w:t>n/a</w:t>
            </w:r>
          </w:p>
        </w:tc>
        <w:tc>
          <w:tcPr>
            <w:tcW w:w="1060" w:type="dxa"/>
            <w:tcBorders>
              <w:top w:val="single" w:sz="24" w:space="0" w:color="000000"/>
              <w:bottom w:val="single" w:sz="24" w:space="0" w:color="000000"/>
            </w:tcBorders>
          </w:tcPr>
          <w:p>
            <w:pPr>
              <w:pStyle w:val="TableParagraph"/>
              <w:spacing w:line="220" w:lineRule="exact"/>
              <w:ind w:right="285"/>
              <w:rPr>
                <w:sz w:val="22"/>
              </w:rPr>
            </w:pPr>
            <w:r>
              <w:rPr>
                <w:sz w:val="22"/>
              </w:rPr>
              <w:t>n/a</w:t>
            </w:r>
          </w:p>
        </w:tc>
        <w:tc>
          <w:tcPr>
            <w:tcW w:w="1060" w:type="dxa"/>
            <w:tcBorders>
              <w:top w:val="single" w:sz="24" w:space="0" w:color="000000"/>
              <w:bottom w:val="single" w:sz="24" w:space="0" w:color="000000"/>
            </w:tcBorders>
          </w:tcPr>
          <w:p>
            <w:pPr>
              <w:pStyle w:val="TableParagraph"/>
              <w:spacing w:line="220" w:lineRule="exact"/>
              <w:ind w:right="285"/>
              <w:rPr>
                <w:sz w:val="22"/>
              </w:rPr>
            </w:pPr>
            <w:r>
              <w:rPr>
                <w:sz w:val="22"/>
              </w:rPr>
              <w:t>n/a</w:t>
            </w:r>
          </w:p>
        </w:tc>
        <w:tc>
          <w:tcPr>
            <w:tcW w:w="827" w:type="dxa"/>
            <w:tcBorders>
              <w:top w:val="single" w:sz="24" w:space="0" w:color="000000"/>
              <w:bottom w:val="single" w:sz="24" w:space="0" w:color="000000"/>
            </w:tcBorders>
          </w:tcPr>
          <w:p>
            <w:pPr>
              <w:pStyle w:val="TableParagraph"/>
              <w:spacing w:line="220" w:lineRule="exact"/>
              <w:ind w:right="52"/>
              <w:rPr>
                <w:sz w:val="22"/>
              </w:rPr>
            </w:pPr>
            <w:r>
              <w:rPr>
                <w:sz w:val="22"/>
              </w:rPr>
              <w:t>n/a</w:t>
            </w:r>
          </w:p>
        </w:tc>
      </w:tr>
    </w:tbl>
    <w:p>
      <w:pPr>
        <w:pStyle w:val="BodyText"/>
        <w:spacing w:before="8"/>
        <w:rPr>
          <w:rFonts w:ascii="Calibri"/>
          <w:b/>
          <w:sz w:val="19"/>
        </w:rPr>
      </w:pPr>
    </w:p>
    <w:p>
      <w:pPr>
        <w:spacing w:before="0"/>
        <w:ind w:left="200" w:right="0" w:firstLine="0"/>
        <w:jc w:val="left"/>
        <w:rPr>
          <w:rFonts w:ascii="Calibri"/>
          <w:b/>
          <w:sz w:val="22"/>
        </w:rPr>
      </w:pPr>
      <w:r>
        <w:rPr>
          <w:rFonts w:ascii="Calibri"/>
          <w:b/>
          <w:sz w:val="22"/>
        </w:rPr>
        <w:t>* Not applicable to CCA/REN as of 2018, in template for future ABAL when applicable</w:t>
      </w:r>
    </w:p>
    <w:p>
      <w:pPr>
        <w:spacing w:after="0"/>
        <w:jc w:val="left"/>
        <w:rPr>
          <w:rFonts w:ascii="Calibri"/>
          <w:sz w:val="22"/>
        </w:rPr>
        <w:sectPr>
          <w:headerReference w:type="default" r:id="rId13"/>
          <w:pgSz w:w="15840" w:h="12240" w:orient="landscape"/>
          <w:pgMar w:header="0" w:footer="0" w:top="1140" w:bottom="280" w:left="860" w:right="920"/>
        </w:sectPr>
      </w:pPr>
    </w:p>
    <w:p>
      <w:pPr>
        <w:pStyle w:val="BodyText"/>
        <w:spacing w:before="6"/>
        <w:rPr>
          <w:rFonts w:ascii="Calibri"/>
          <w:b/>
          <w:sz w:val="10"/>
        </w:rPr>
      </w:pPr>
    </w:p>
    <w:p>
      <w:pPr>
        <w:spacing w:before="103" w:after="12"/>
        <w:ind w:left="5522" w:right="0" w:firstLine="0"/>
        <w:jc w:val="left"/>
        <w:rPr>
          <w:rFonts w:ascii="Calibri"/>
          <w:b/>
          <w:sz w:val="21"/>
        </w:rPr>
      </w:pPr>
      <w:r>
        <w:rPr>
          <w:rFonts w:ascii="Calibri"/>
          <w:b/>
          <w:sz w:val="21"/>
        </w:rPr>
        <w:t>Annual Rolling Portfolio Savings Forecast - True-up (therms)</w:t>
      </w:r>
    </w:p>
    <w:tbl>
      <w:tblPr>
        <w:tblW w:w="0" w:type="auto"/>
        <w:jc w:val="left"/>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21"/>
        <w:gridCol w:w="1380"/>
        <w:gridCol w:w="1300"/>
        <w:gridCol w:w="1300"/>
        <w:gridCol w:w="1300"/>
        <w:gridCol w:w="1300"/>
        <w:gridCol w:w="1300"/>
        <w:gridCol w:w="1300"/>
        <w:gridCol w:w="1113"/>
      </w:tblGrid>
      <w:tr>
        <w:trPr>
          <w:trHeight w:val="260" w:hRule="atLeast"/>
        </w:trPr>
        <w:tc>
          <w:tcPr>
            <w:tcW w:w="3521" w:type="dxa"/>
            <w:tcBorders>
              <w:bottom w:val="single" w:sz="24" w:space="0" w:color="000000"/>
            </w:tcBorders>
          </w:tcPr>
          <w:p>
            <w:pPr>
              <w:pStyle w:val="TableParagraph"/>
              <w:spacing w:line="237" w:lineRule="exact" w:before="3"/>
              <w:ind w:left="58"/>
              <w:jc w:val="left"/>
              <w:rPr>
                <w:b/>
                <w:sz w:val="21"/>
              </w:rPr>
            </w:pPr>
            <w:r>
              <w:rPr>
                <w:b/>
                <w:sz w:val="21"/>
              </w:rPr>
              <w:t>Sector</w:t>
            </w:r>
          </w:p>
        </w:tc>
        <w:tc>
          <w:tcPr>
            <w:tcW w:w="1380" w:type="dxa"/>
            <w:tcBorders>
              <w:bottom w:val="single" w:sz="24" w:space="0" w:color="000000"/>
            </w:tcBorders>
          </w:tcPr>
          <w:p>
            <w:pPr>
              <w:pStyle w:val="TableParagraph"/>
              <w:spacing w:line="237" w:lineRule="exact" w:before="3"/>
              <w:ind w:right="242"/>
              <w:rPr>
                <w:sz w:val="21"/>
              </w:rPr>
            </w:pPr>
            <w:r>
              <w:rPr>
                <w:sz w:val="21"/>
              </w:rPr>
              <w:t>2018</w:t>
            </w:r>
          </w:p>
        </w:tc>
        <w:tc>
          <w:tcPr>
            <w:tcW w:w="1300" w:type="dxa"/>
            <w:tcBorders>
              <w:bottom w:val="single" w:sz="24" w:space="0" w:color="000000"/>
            </w:tcBorders>
          </w:tcPr>
          <w:p>
            <w:pPr>
              <w:pStyle w:val="TableParagraph"/>
              <w:spacing w:line="237" w:lineRule="exact" w:before="3"/>
              <w:ind w:right="243"/>
              <w:rPr>
                <w:sz w:val="21"/>
              </w:rPr>
            </w:pPr>
            <w:r>
              <w:rPr>
                <w:sz w:val="21"/>
              </w:rPr>
              <w:t>2019</w:t>
            </w:r>
          </w:p>
        </w:tc>
        <w:tc>
          <w:tcPr>
            <w:tcW w:w="1300" w:type="dxa"/>
            <w:tcBorders>
              <w:bottom w:val="single" w:sz="24" w:space="0" w:color="000000"/>
            </w:tcBorders>
          </w:tcPr>
          <w:p>
            <w:pPr>
              <w:pStyle w:val="TableParagraph"/>
              <w:spacing w:line="237" w:lineRule="exact" w:before="3"/>
              <w:ind w:right="243"/>
              <w:rPr>
                <w:sz w:val="21"/>
              </w:rPr>
            </w:pPr>
            <w:r>
              <w:rPr>
                <w:sz w:val="21"/>
              </w:rPr>
              <w:t>2020</w:t>
            </w:r>
          </w:p>
        </w:tc>
        <w:tc>
          <w:tcPr>
            <w:tcW w:w="1300" w:type="dxa"/>
            <w:tcBorders>
              <w:bottom w:val="single" w:sz="24" w:space="0" w:color="000000"/>
            </w:tcBorders>
          </w:tcPr>
          <w:p>
            <w:pPr>
              <w:pStyle w:val="TableParagraph"/>
              <w:spacing w:line="237" w:lineRule="exact" w:before="3"/>
              <w:ind w:right="243"/>
              <w:rPr>
                <w:sz w:val="21"/>
              </w:rPr>
            </w:pPr>
            <w:r>
              <w:rPr>
                <w:sz w:val="21"/>
              </w:rPr>
              <w:t>2021</w:t>
            </w:r>
          </w:p>
        </w:tc>
        <w:tc>
          <w:tcPr>
            <w:tcW w:w="1300" w:type="dxa"/>
            <w:tcBorders>
              <w:bottom w:val="single" w:sz="24" w:space="0" w:color="000000"/>
            </w:tcBorders>
          </w:tcPr>
          <w:p>
            <w:pPr>
              <w:pStyle w:val="TableParagraph"/>
              <w:spacing w:line="237" w:lineRule="exact" w:before="3"/>
              <w:ind w:right="243"/>
              <w:rPr>
                <w:sz w:val="21"/>
              </w:rPr>
            </w:pPr>
            <w:r>
              <w:rPr>
                <w:sz w:val="21"/>
              </w:rPr>
              <w:t>2022</w:t>
            </w:r>
          </w:p>
        </w:tc>
        <w:tc>
          <w:tcPr>
            <w:tcW w:w="1300" w:type="dxa"/>
            <w:tcBorders>
              <w:bottom w:val="single" w:sz="24" w:space="0" w:color="000000"/>
            </w:tcBorders>
          </w:tcPr>
          <w:p>
            <w:pPr>
              <w:pStyle w:val="TableParagraph"/>
              <w:spacing w:line="237" w:lineRule="exact" w:before="3"/>
              <w:ind w:right="243"/>
              <w:rPr>
                <w:sz w:val="21"/>
              </w:rPr>
            </w:pPr>
            <w:r>
              <w:rPr>
                <w:sz w:val="21"/>
              </w:rPr>
              <w:t>2023</w:t>
            </w:r>
          </w:p>
        </w:tc>
        <w:tc>
          <w:tcPr>
            <w:tcW w:w="1300" w:type="dxa"/>
            <w:tcBorders>
              <w:bottom w:val="single" w:sz="24" w:space="0" w:color="000000"/>
            </w:tcBorders>
          </w:tcPr>
          <w:p>
            <w:pPr>
              <w:pStyle w:val="TableParagraph"/>
              <w:spacing w:line="237" w:lineRule="exact" w:before="3"/>
              <w:ind w:right="244"/>
              <w:rPr>
                <w:sz w:val="21"/>
              </w:rPr>
            </w:pPr>
            <w:r>
              <w:rPr>
                <w:sz w:val="21"/>
              </w:rPr>
              <w:t>2024</w:t>
            </w:r>
          </w:p>
        </w:tc>
        <w:tc>
          <w:tcPr>
            <w:tcW w:w="1113" w:type="dxa"/>
            <w:tcBorders>
              <w:bottom w:val="single" w:sz="24" w:space="0" w:color="000000"/>
            </w:tcBorders>
          </w:tcPr>
          <w:p>
            <w:pPr>
              <w:pStyle w:val="TableParagraph"/>
              <w:spacing w:line="237" w:lineRule="exact" w:before="3"/>
              <w:ind w:right="57"/>
              <w:rPr>
                <w:sz w:val="21"/>
              </w:rPr>
            </w:pPr>
            <w:r>
              <w:rPr>
                <w:sz w:val="21"/>
              </w:rPr>
              <w:t>2025</w:t>
            </w:r>
          </w:p>
        </w:tc>
      </w:tr>
      <w:tr>
        <w:trPr>
          <w:trHeight w:val="255" w:hRule="atLeast"/>
        </w:trPr>
        <w:tc>
          <w:tcPr>
            <w:tcW w:w="3521" w:type="dxa"/>
            <w:tcBorders>
              <w:top w:val="single" w:sz="24" w:space="0" w:color="000000"/>
            </w:tcBorders>
          </w:tcPr>
          <w:p>
            <w:pPr>
              <w:pStyle w:val="TableParagraph"/>
              <w:spacing w:line="236" w:lineRule="exact"/>
              <w:ind w:left="58"/>
              <w:jc w:val="left"/>
              <w:rPr>
                <w:sz w:val="21"/>
              </w:rPr>
            </w:pPr>
            <w:r>
              <w:rPr>
                <w:sz w:val="21"/>
              </w:rPr>
              <w:t>Residential</w:t>
            </w:r>
          </w:p>
        </w:tc>
        <w:tc>
          <w:tcPr>
            <w:tcW w:w="1380" w:type="dxa"/>
            <w:tcBorders>
              <w:top w:val="single" w:sz="24" w:space="0" w:color="000000"/>
            </w:tcBorders>
          </w:tcPr>
          <w:p>
            <w:pPr>
              <w:pStyle w:val="TableParagraph"/>
              <w:spacing w:line="236" w:lineRule="exact"/>
              <w:ind w:left="436"/>
              <w:jc w:val="left"/>
              <w:rPr>
                <w:sz w:val="21"/>
              </w:rPr>
            </w:pPr>
            <w:r>
              <w:rPr>
                <w:sz w:val="21"/>
              </w:rPr>
              <w:t>96,632</w:t>
            </w:r>
          </w:p>
        </w:tc>
        <w:tc>
          <w:tcPr>
            <w:tcW w:w="1300" w:type="dxa"/>
            <w:tcBorders>
              <w:top w:val="single" w:sz="24" w:space="0" w:color="000000"/>
            </w:tcBorders>
          </w:tcPr>
          <w:p>
            <w:pPr>
              <w:pStyle w:val="TableParagraph"/>
              <w:spacing w:line="236" w:lineRule="exact"/>
              <w:ind w:right="301"/>
              <w:rPr>
                <w:sz w:val="21"/>
              </w:rPr>
            </w:pPr>
            <w:r>
              <w:rPr>
                <w:sz w:val="21"/>
              </w:rPr>
              <w:t>123,440</w:t>
            </w:r>
          </w:p>
        </w:tc>
        <w:tc>
          <w:tcPr>
            <w:tcW w:w="1300" w:type="dxa"/>
            <w:tcBorders>
              <w:top w:val="single" w:sz="24" w:space="0" w:color="000000"/>
            </w:tcBorders>
          </w:tcPr>
          <w:p>
            <w:pPr>
              <w:pStyle w:val="TableParagraph"/>
              <w:spacing w:line="236" w:lineRule="exact"/>
              <w:ind w:left="239"/>
              <w:jc w:val="left"/>
              <w:rPr>
                <w:sz w:val="21"/>
              </w:rPr>
            </w:pPr>
            <w:r>
              <w:rPr>
                <w:sz w:val="21"/>
              </w:rPr>
              <w:t>124,965</w:t>
            </w:r>
          </w:p>
        </w:tc>
        <w:tc>
          <w:tcPr>
            <w:tcW w:w="1300" w:type="dxa"/>
            <w:tcBorders>
              <w:top w:val="single" w:sz="24" w:space="0" w:color="000000"/>
            </w:tcBorders>
          </w:tcPr>
          <w:p>
            <w:pPr>
              <w:pStyle w:val="TableParagraph"/>
              <w:spacing w:line="236" w:lineRule="exact"/>
              <w:ind w:right="301"/>
              <w:rPr>
                <w:sz w:val="21"/>
              </w:rPr>
            </w:pPr>
            <w:r>
              <w:rPr>
                <w:sz w:val="21"/>
              </w:rPr>
              <w:t>127,463</w:t>
            </w:r>
          </w:p>
        </w:tc>
        <w:tc>
          <w:tcPr>
            <w:tcW w:w="1300" w:type="dxa"/>
            <w:tcBorders>
              <w:top w:val="single" w:sz="24" w:space="0" w:color="000000"/>
            </w:tcBorders>
          </w:tcPr>
          <w:p>
            <w:pPr>
              <w:pStyle w:val="TableParagraph"/>
              <w:spacing w:line="236" w:lineRule="exact"/>
              <w:ind w:left="239"/>
              <w:jc w:val="left"/>
              <w:rPr>
                <w:sz w:val="21"/>
              </w:rPr>
            </w:pPr>
            <w:r>
              <w:rPr>
                <w:sz w:val="21"/>
              </w:rPr>
              <w:t>130,015</w:t>
            </w:r>
          </w:p>
        </w:tc>
        <w:tc>
          <w:tcPr>
            <w:tcW w:w="1300" w:type="dxa"/>
            <w:tcBorders>
              <w:top w:val="single" w:sz="24" w:space="0" w:color="000000"/>
            </w:tcBorders>
          </w:tcPr>
          <w:p>
            <w:pPr>
              <w:pStyle w:val="TableParagraph"/>
              <w:spacing w:line="236" w:lineRule="exact"/>
              <w:ind w:right="302"/>
              <w:rPr>
                <w:sz w:val="21"/>
              </w:rPr>
            </w:pPr>
            <w:r>
              <w:rPr>
                <w:sz w:val="21"/>
              </w:rPr>
              <w:t>132,623</w:t>
            </w:r>
          </w:p>
        </w:tc>
        <w:tc>
          <w:tcPr>
            <w:tcW w:w="1300" w:type="dxa"/>
            <w:tcBorders>
              <w:top w:val="single" w:sz="24" w:space="0" w:color="000000"/>
            </w:tcBorders>
          </w:tcPr>
          <w:p>
            <w:pPr>
              <w:pStyle w:val="TableParagraph"/>
              <w:spacing w:line="236" w:lineRule="exact"/>
              <w:ind w:left="239"/>
              <w:jc w:val="left"/>
              <w:rPr>
                <w:sz w:val="21"/>
              </w:rPr>
            </w:pPr>
            <w:r>
              <w:rPr>
                <w:sz w:val="21"/>
              </w:rPr>
              <w:t>135,268</w:t>
            </w:r>
          </w:p>
        </w:tc>
        <w:tc>
          <w:tcPr>
            <w:tcW w:w="1113" w:type="dxa"/>
            <w:tcBorders>
              <w:top w:val="single" w:sz="24" w:space="0" w:color="000000"/>
            </w:tcBorders>
          </w:tcPr>
          <w:p>
            <w:pPr>
              <w:pStyle w:val="TableParagraph"/>
              <w:spacing w:line="236" w:lineRule="exact"/>
              <w:ind w:right="115"/>
              <w:rPr>
                <w:sz w:val="21"/>
              </w:rPr>
            </w:pPr>
            <w:r>
              <w:rPr>
                <w:sz w:val="21"/>
              </w:rPr>
              <w:t>137,968</w:t>
            </w:r>
          </w:p>
        </w:tc>
      </w:tr>
      <w:tr>
        <w:trPr>
          <w:trHeight w:val="271" w:hRule="atLeast"/>
        </w:trPr>
        <w:tc>
          <w:tcPr>
            <w:tcW w:w="3521" w:type="dxa"/>
          </w:tcPr>
          <w:p>
            <w:pPr>
              <w:pStyle w:val="TableParagraph"/>
              <w:spacing w:line="243" w:lineRule="exact" w:before="8"/>
              <w:ind w:left="58"/>
              <w:jc w:val="left"/>
              <w:rPr>
                <w:sz w:val="21"/>
              </w:rPr>
            </w:pPr>
            <w:r>
              <w:rPr>
                <w:sz w:val="21"/>
              </w:rPr>
              <w:t>Commercial</w:t>
            </w:r>
          </w:p>
        </w:tc>
        <w:tc>
          <w:tcPr>
            <w:tcW w:w="1380" w:type="dxa"/>
          </w:tcPr>
          <w:p>
            <w:pPr>
              <w:pStyle w:val="TableParagraph"/>
              <w:spacing w:line="243" w:lineRule="exact" w:before="8"/>
              <w:ind w:right="237"/>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9"/>
              <w:rPr>
                <w:sz w:val="21"/>
              </w:rPr>
            </w:pPr>
            <w:r>
              <w:rPr>
                <w:sz w:val="21"/>
              </w:rPr>
              <w:t>n/a</w:t>
            </w:r>
          </w:p>
        </w:tc>
        <w:tc>
          <w:tcPr>
            <w:tcW w:w="1113" w:type="dxa"/>
          </w:tcPr>
          <w:p>
            <w:pPr>
              <w:pStyle w:val="TableParagraph"/>
              <w:spacing w:line="243" w:lineRule="exact" w:before="8"/>
              <w:ind w:right="52"/>
              <w:rPr>
                <w:sz w:val="21"/>
              </w:rPr>
            </w:pPr>
            <w:r>
              <w:rPr>
                <w:sz w:val="21"/>
              </w:rPr>
              <w:t>n/a</w:t>
            </w:r>
          </w:p>
        </w:tc>
      </w:tr>
      <w:tr>
        <w:trPr>
          <w:trHeight w:val="271" w:hRule="atLeast"/>
        </w:trPr>
        <w:tc>
          <w:tcPr>
            <w:tcW w:w="3521" w:type="dxa"/>
          </w:tcPr>
          <w:p>
            <w:pPr>
              <w:pStyle w:val="TableParagraph"/>
              <w:spacing w:line="243" w:lineRule="exact" w:before="8"/>
              <w:ind w:left="58"/>
              <w:jc w:val="left"/>
              <w:rPr>
                <w:sz w:val="21"/>
              </w:rPr>
            </w:pPr>
            <w:r>
              <w:rPr>
                <w:sz w:val="21"/>
              </w:rPr>
              <w:t>Industrial</w:t>
            </w:r>
          </w:p>
        </w:tc>
        <w:tc>
          <w:tcPr>
            <w:tcW w:w="1380" w:type="dxa"/>
          </w:tcPr>
          <w:p>
            <w:pPr>
              <w:pStyle w:val="TableParagraph"/>
              <w:spacing w:line="243" w:lineRule="exact" w:before="8"/>
              <w:ind w:right="237"/>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9"/>
              <w:rPr>
                <w:sz w:val="21"/>
              </w:rPr>
            </w:pPr>
            <w:r>
              <w:rPr>
                <w:sz w:val="21"/>
              </w:rPr>
              <w:t>n/a</w:t>
            </w:r>
          </w:p>
        </w:tc>
        <w:tc>
          <w:tcPr>
            <w:tcW w:w="1113" w:type="dxa"/>
          </w:tcPr>
          <w:p>
            <w:pPr>
              <w:pStyle w:val="TableParagraph"/>
              <w:spacing w:line="243" w:lineRule="exact" w:before="8"/>
              <w:ind w:right="52"/>
              <w:rPr>
                <w:sz w:val="21"/>
              </w:rPr>
            </w:pPr>
            <w:r>
              <w:rPr>
                <w:sz w:val="21"/>
              </w:rPr>
              <w:t>n/a</w:t>
            </w:r>
          </w:p>
        </w:tc>
      </w:tr>
      <w:tr>
        <w:trPr>
          <w:trHeight w:val="271" w:hRule="atLeast"/>
        </w:trPr>
        <w:tc>
          <w:tcPr>
            <w:tcW w:w="3521" w:type="dxa"/>
          </w:tcPr>
          <w:p>
            <w:pPr>
              <w:pStyle w:val="TableParagraph"/>
              <w:spacing w:line="243" w:lineRule="exact" w:before="8"/>
              <w:ind w:left="58"/>
              <w:jc w:val="left"/>
              <w:rPr>
                <w:sz w:val="21"/>
              </w:rPr>
            </w:pPr>
            <w:r>
              <w:rPr>
                <w:sz w:val="21"/>
              </w:rPr>
              <w:t>Agriculture</w:t>
            </w:r>
          </w:p>
        </w:tc>
        <w:tc>
          <w:tcPr>
            <w:tcW w:w="1380" w:type="dxa"/>
          </w:tcPr>
          <w:p>
            <w:pPr>
              <w:pStyle w:val="TableParagraph"/>
              <w:spacing w:line="243" w:lineRule="exact" w:before="8"/>
              <w:ind w:right="237"/>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9"/>
              <w:rPr>
                <w:sz w:val="21"/>
              </w:rPr>
            </w:pPr>
            <w:r>
              <w:rPr>
                <w:sz w:val="21"/>
              </w:rPr>
              <w:t>n/a</w:t>
            </w:r>
          </w:p>
        </w:tc>
        <w:tc>
          <w:tcPr>
            <w:tcW w:w="1113" w:type="dxa"/>
          </w:tcPr>
          <w:p>
            <w:pPr>
              <w:pStyle w:val="TableParagraph"/>
              <w:spacing w:line="243" w:lineRule="exact" w:before="8"/>
              <w:ind w:right="52"/>
              <w:rPr>
                <w:sz w:val="21"/>
              </w:rPr>
            </w:pPr>
            <w:r>
              <w:rPr>
                <w:sz w:val="21"/>
              </w:rPr>
              <w:t>n/a</w:t>
            </w:r>
          </w:p>
        </w:tc>
      </w:tr>
      <w:tr>
        <w:trPr>
          <w:trHeight w:val="271" w:hRule="atLeast"/>
        </w:trPr>
        <w:tc>
          <w:tcPr>
            <w:tcW w:w="3521" w:type="dxa"/>
          </w:tcPr>
          <w:p>
            <w:pPr>
              <w:pStyle w:val="TableParagraph"/>
              <w:spacing w:line="243" w:lineRule="exact" w:before="8"/>
              <w:ind w:left="58"/>
              <w:jc w:val="left"/>
              <w:rPr>
                <w:sz w:val="21"/>
              </w:rPr>
            </w:pPr>
            <w:r>
              <w:rPr>
                <w:sz w:val="21"/>
              </w:rPr>
              <w:t>Emerging Tech</w:t>
            </w:r>
          </w:p>
        </w:tc>
        <w:tc>
          <w:tcPr>
            <w:tcW w:w="1380" w:type="dxa"/>
          </w:tcPr>
          <w:p>
            <w:pPr>
              <w:pStyle w:val="TableParagraph"/>
              <w:spacing w:line="243" w:lineRule="exact" w:before="8"/>
              <w:ind w:right="237"/>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9"/>
              <w:rPr>
                <w:sz w:val="21"/>
              </w:rPr>
            </w:pPr>
            <w:r>
              <w:rPr>
                <w:sz w:val="21"/>
              </w:rPr>
              <w:t>n/a</w:t>
            </w:r>
          </w:p>
        </w:tc>
        <w:tc>
          <w:tcPr>
            <w:tcW w:w="1113" w:type="dxa"/>
          </w:tcPr>
          <w:p>
            <w:pPr>
              <w:pStyle w:val="TableParagraph"/>
              <w:spacing w:line="243" w:lineRule="exact" w:before="8"/>
              <w:ind w:right="52"/>
              <w:rPr>
                <w:sz w:val="21"/>
              </w:rPr>
            </w:pPr>
            <w:r>
              <w:rPr>
                <w:sz w:val="21"/>
              </w:rPr>
              <w:t>n/a</w:t>
            </w:r>
          </w:p>
        </w:tc>
      </w:tr>
      <w:tr>
        <w:trPr>
          <w:trHeight w:val="271" w:hRule="atLeast"/>
        </w:trPr>
        <w:tc>
          <w:tcPr>
            <w:tcW w:w="3521" w:type="dxa"/>
          </w:tcPr>
          <w:p>
            <w:pPr>
              <w:pStyle w:val="TableParagraph"/>
              <w:spacing w:line="243" w:lineRule="exact" w:before="8"/>
              <w:ind w:left="58"/>
              <w:jc w:val="left"/>
              <w:rPr>
                <w:sz w:val="21"/>
              </w:rPr>
            </w:pPr>
            <w:r>
              <w:rPr>
                <w:sz w:val="21"/>
              </w:rPr>
              <w:t>Public</w:t>
            </w:r>
          </w:p>
        </w:tc>
        <w:tc>
          <w:tcPr>
            <w:tcW w:w="1380" w:type="dxa"/>
          </w:tcPr>
          <w:p>
            <w:pPr>
              <w:pStyle w:val="TableParagraph"/>
              <w:spacing w:line="243" w:lineRule="exact" w:before="8"/>
              <w:ind w:right="237"/>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9"/>
              <w:rPr>
                <w:sz w:val="21"/>
              </w:rPr>
            </w:pPr>
            <w:r>
              <w:rPr>
                <w:sz w:val="21"/>
              </w:rPr>
              <w:t>n/a</w:t>
            </w:r>
          </w:p>
        </w:tc>
        <w:tc>
          <w:tcPr>
            <w:tcW w:w="1113" w:type="dxa"/>
          </w:tcPr>
          <w:p>
            <w:pPr>
              <w:pStyle w:val="TableParagraph"/>
              <w:spacing w:line="243" w:lineRule="exact" w:before="8"/>
              <w:ind w:right="52"/>
              <w:rPr>
                <w:sz w:val="21"/>
              </w:rPr>
            </w:pPr>
            <w:r>
              <w:rPr>
                <w:sz w:val="21"/>
              </w:rPr>
              <w:t>n/a</w:t>
            </w:r>
          </w:p>
        </w:tc>
      </w:tr>
      <w:tr>
        <w:trPr>
          <w:trHeight w:val="271" w:hRule="atLeast"/>
        </w:trPr>
        <w:tc>
          <w:tcPr>
            <w:tcW w:w="3521" w:type="dxa"/>
          </w:tcPr>
          <w:p>
            <w:pPr>
              <w:pStyle w:val="TableParagraph"/>
              <w:spacing w:line="243" w:lineRule="exact" w:before="8"/>
              <w:ind w:left="58"/>
              <w:jc w:val="left"/>
              <w:rPr>
                <w:sz w:val="21"/>
              </w:rPr>
            </w:pPr>
            <w:r>
              <w:rPr>
                <w:sz w:val="21"/>
              </w:rPr>
              <w:t>Codes and Standards</w:t>
            </w:r>
          </w:p>
        </w:tc>
        <w:tc>
          <w:tcPr>
            <w:tcW w:w="1380" w:type="dxa"/>
          </w:tcPr>
          <w:p>
            <w:pPr>
              <w:pStyle w:val="TableParagraph"/>
              <w:spacing w:line="243" w:lineRule="exact" w:before="8"/>
              <w:ind w:right="237"/>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9"/>
              <w:rPr>
                <w:sz w:val="21"/>
              </w:rPr>
            </w:pPr>
            <w:r>
              <w:rPr>
                <w:sz w:val="21"/>
              </w:rPr>
              <w:t>n/a</w:t>
            </w:r>
          </w:p>
        </w:tc>
        <w:tc>
          <w:tcPr>
            <w:tcW w:w="1113" w:type="dxa"/>
          </w:tcPr>
          <w:p>
            <w:pPr>
              <w:pStyle w:val="TableParagraph"/>
              <w:spacing w:line="243" w:lineRule="exact" w:before="8"/>
              <w:ind w:right="52"/>
              <w:rPr>
                <w:sz w:val="21"/>
              </w:rPr>
            </w:pPr>
            <w:r>
              <w:rPr>
                <w:sz w:val="21"/>
              </w:rPr>
              <w:t>n/a</w:t>
            </w:r>
          </w:p>
        </w:tc>
      </w:tr>
      <w:tr>
        <w:trPr>
          <w:trHeight w:val="271" w:hRule="atLeast"/>
        </w:trPr>
        <w:tc>
          <w:tcPr>
            <w:tcW w:w="3521" w:type="dxa"/>
          </w:tcPr>
          <w:p>
            <w:pPr>
              <w:pStyle w:val="TableParagraph"/>
              <w:spacing w:line="243" w:lineRule="exact" w:before="8"/>
              <w:ind w:left="58"/>
              <w:jc w:val="left"/>
              <w:rPr>
                <w:sz w:val="21"/>
              </w:rPr>
            </w:pPr>
            <w:r>
              <w:rPr>
                <w:sz w:val="21"/>
              </w:rPr>
              <w:t>WE&amp;T</w:t>
            </w:r>
          </w:p>
        </w:tc>
        <w:tc>
          <w:tcPr>
            <w:tcW w:w="1380" w:type="dxa"/>
          </w:tcPr>
          <w:p>
            <w:pPr>
              <w:pStyle w:val="TableParagraph"/>
              <w:spacing w:line="243" w:lineRule="exact" w:before="8"/>
              <w:ind w:right="237"/>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9"/>
              <w:rPr>
                <w:sz w:val="21"/>
              </w:rPr>
            </w:pPr>
            <w:r>
              <w:rPr>
                <w:sz w:val="21"/>
              </w:rPr>
              <w:t>n/a</w:t>
            </w:r>
          </w:p>
        </w:tc>
        <w:tc>
          <w:tcPr>
            <w:tcW w:w="1113" w:type="dxa"/>
          </w:tcPr>
          <w:p>
            <w:pPr>
              <w:pStyle w:val="TableParagraph"/>
              <w:spacing w:line="243" w:lineRule="exact" w:before="8"/>
              <w:ind w:right="52"/>
              <w:rPr>
                <w:sz w:val="21"/>
              </w:rPr>
            </w:pPr>
            <w:r>
              <w:rPr>
                <w:sz w:val="21"/>
              </w:rPr>
              <w:t>n/a</w:t>
            </w:r>
          </w:p>
        </w:tc>
      </w:tr>
      <w:tr>
        <w:trPr>
          <w:trHeight w:val="271" w:hRule="atLeast"/>
        </w:trPr>
        <w:tc>
          <w:tcPr>
            <w:tcW w:w="3521" w:type="dxa"/>
          </w:tcPr>
          <w:p>
            <w:pPr>
              <w:pStyle w:val="TableParagraph"/>
              <w:spacing w:line="243" w:lineRule="exact" w:before="8"/>
              <w:ind w:left="58"/>
              <w:jc w:val="left"/>
              <w:rPr>
                <w:sz w:val="21"/>
              </w:rPr>
            </w:pPr>
            <w:r>
              <w:rPr>
                <w:sz w:val="21"/>
              </w:rPr>
              <w:t>Finance</w:t>
            </w:r>
          </w:p>
        </w:tc>
        <w:tc>
          <w:tcPr>
            <w:tcW w:w="1380" w:type="dxa"/>
          </w:tcPr>
          <w:p>
            <w:pPr>
              <w:pStyle w:val="TableParagraph"/>
              <w:spacing w:line="243" w:lineRule="exact" w:before="8"/>
              <w:ind w:right="237"/>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8"/>
              <w:rPr>
                <w:sz w:val="21"/>
              </w:rPr>
            </w:pPr>
            <w:r>
              <w:rPr>
                <w:sz w:val="21"/>
              </w:rPr>
              <w:t>n/a</w:t>
            </w:r>
          </w:p>
        </w:tc>
        <w:tc>
          <w:tcPr>
            <w:tcW w:w="1300" w:type="dxa"/>
          </w:tcPr>
          <w:p>
            <w:pPr>
              <w:pStyle w:val="TableParagraph"/>
              <w:spacing w:line="243" w:lineRule="exact" w:before="8"/>
              <w:ind w:right="239"/>
              <w:rPr>
                <w:sz w:val="21"/>
              </w:rPr>
            </w:pPr>
            <w:r>
              <w:rPr>
                <w:sz w:val="21"/>
              </w:rPr>
              <w:t>n/a</w:t>
            </w:r>
          </w:p>
        </w:tc>
        <w:tc>
          <w:tcPr>
            <w:tcW w:w="1113" w:type="dxa"/>
          </w:tcPr>
          <w:p>
            <w:pPr>
              <w:pStyle w:val="TableParagraph"/>
              <w:spacing w:line="243" w:lineRule="exact" w:before="8"/>
              <w:ind w:right="52"/>
              <w:rPr>
                <w:sz w:val="21"/>
              </w:rPr>
            </w:pPr>
            <w:r>
              <w:rPr>
                <w:sz w:val="21"/>
              </w:rPr>
              <w:t>n/a</w:t>
            </w:r>
          </w:p>
        </w:tc>
      </w:tr>
      <w:tr>
        <w:trPr>
          <w:trHeight w:val="266" w:hRule="atLeast"/>
        </w:trPr>
        <w:tc>
          <w:tcPr>
            <w:tcW w:w="3521" w:type="dxa"/>
            <w:tcBorders>
              <w:bottom w:val="single" w:sz="24" w:space="0" w:color="000000"/>
            </w:tcBorders>
          </w:tcPr>
          <w:p>
            <w:pPr>
              <w:pStyle w:val="TableParagraph"/>
              <w:spacing w:line="237" w:lineRule="exact" w:before="8"/>
              <w:ind w:left="58"/>
              <w:jc w:val="left"/>
              <w:rPr>
                <w:sz w:val="21"/>
              </w:rPr>
            </w:pPr>
            <w:r>
              <w:rPr>
                <w:sz w:val="21"/>
              </w:rPr>
              <w:t>OBF Loan Pool</w:t>
            </w:r>
          </w:p>
        </w:tc>
        <w:tc>
          <w:tcPr>
            <w:tcW w:w="1380" w:type="dxa"/>
            <w:tcBorders>
              <w:bottom w:val="single" w:sz="24" w:space="0" w:color="000000"/>
            </w:tcBorders>
          </w:tcPr>
          <w:p>
            <w:pPr>
              <w:pStyle w:val="TableParagraph"/>
              <w:spacing w:line="237" w:lineRule="exact" w:before="8"/>
              <w:ind w:right="237"/>
              <w:rPr>
                <w:sz w:val="21"/>
              </w:rPr>
            </w:pPr>
            <w:r>
              <w:rPr>
                <w:sz w:val="21"/>
              </w:rPr>
              <w:t>n/a</w:t>
            </w:r>
          </w:p>
        </w:tc>
        <w:tc>
          <w:tcPr>
            <w:tcW w:w="1300" w:type="dxa"/>
            <w:tcBorders>
              <w:bottom w:val="single" w:sz="24" w:space="0" w:color="000000"/>
            </w:tcBorders>
          </w:tcPr>
          <w:p>
            <w:pPr>
              <w:pStyle w:val="TableParagraph"/>
              <w:spacing w:line="237" w:lineRule="exact" w:before="8"/>
              <w:ind w:right="238"/>
              <w:rPr>
                <w:sz w:val="21"/>
              </w:rPr>
            </w:pPr>
            <w:r>
              <w:rPr>
                <w:sz w:val="21"/>
              </w:rPr>
              <w:t>n/a</w:t>
            </w:r>
          </w:p>
        </w:tc>
        <w:tc>
          <w:tcPr>
            <w:tcW w:w="1300" w:type="dxa"/>
            <w:tcBorders>
              <w:bottom w:val="single" w:sz="24" w:space="0" w:color="000000"/>
            </w:tcBorders>
          </w:tcPr>
          <w:p>
            <w:pPr>
              <w:pStyle w:val="TableParagraph"/>
              <w:spacing w:line="237" w:lineRule="exact" w:before="8"/>
              <w:ind w:right="238"/>
              <w:rPr>
                <w:sz w:val="21"/>
              </w:rPr>
            </w:pPr>
            <w:r>
              <w:rPr>
                <w:sz w:val="21"/>
              </w:rPr>
              <w:t>n/a</w:t>
            </w:r>
          </w:p>
        </w:tc>
        <w:tc>
          <w:tcPr>
            <w:tcW w:w="1300" w:type="dxa"/>
            <w:tcBorders>
              <w:bottom w:val="single" w:sz="24" w:space="0" w:color="000000"/>
            </w:tcBorders>
          </w:tcPr>
          <w:p>
            <w:pPr>
              <w:pStyle w:val="TableParagraph"/>
              <w:spacing w:line="237" w:lineRule="exact" w:before="8"/>
              <w:ind w:right="238"/>
              <w:rPr>
                <w:sz w:val="21"/>
              </w:rPr>
            </w:pPr>
            <w:r>
              <w:rPr>
                <w:sz w:val="21"/>
              </w:rPr>
              <w:t>n/a</w:t>
            </w:r>
          </w:p>
        </w:tc>
        <w:tc>
          <w:tcPr>
            <w:tcW w:w="1300" w:type="dxa"/>
            <w:tcBorders>
              <w:bottom w:val="single" w:sz="24" w:space="0" w:color="000000"/>
            </w:tcBorders>
          </w:tcPr>
          <w:p>
            <w:pPr>
              <w:pStyle w:val="TableParagraph"/>
              <w:spacing w:line="237" w:lineRule="exact" w:before="8"/>
              <w:ind w:right="238"/>
              <w:rPr>
                <w:sz w:val="21"/>
              </w:rPr>
            </w:pPr>
            <w:r>
              <w:rPr>
                <w:sz w:val="21"/>
              </w:rPr>
              <w:t>n/a</w:t>
            </w:r>
          </w:p>
        </w:tc>
        <w:tc>
          <w:tcPr>
            <w:tcW w:w="1300" w:type="dxa"/>
            <w:tcBorders>
              <w:bottom w:val="single" w:sz="24" w:space="0" w:color="000000"/>
            </w:tcBorders>
          </w:tcPr>
          <w:p>
            <w:pPr>
              <w:pStyle w:val="TableParagraph"/>
              <w:spacing w:line="237" w:lineRule="exact" w:before="8"/>
              <w:ind w:right="238"/>
              <w:rPr>
                <w:sz w:val="21"/>
              </w:rPr>
            </w:pPr>
            <w:r>
              <w:rPr>
                <w:sz w:val="21"/>
              </w:rPr>
              <w:t>n/a</w:t>
            </w:r>
          </w:p>
        </w:tc>
        <w:tc>
          <w:tcPr>
            <w:tcW w:w="1300" w:type="dxa"/>
            <w:tcBorders>
              <w:bottom w:val="single" w:sz="24" w:space="0" w:color="000000"/>
            </w:tcBorders>
          </w:tcPr>
          <w:p>
            <w:pPr>
              <w:pStyle w:val="TableParagraph"/>
              <w:spacing w:line="237" w:lineRule="exact" w:before="8"/>
              <w:ind w:right="239"/>
              <w:rPr>
                <w:sz w:val="21"/>
              </w:rPr>
            </w:pPr>
            <w:r>
              <w:rPr>
                <w:sz w:val="21"/>
              </w:rPr>
              <w:t>n/a</w:t>
            </w:r>
          </w:p>
        </w:tc>
        <w:tc>
          <w:tcPr>
            <w:tcW w:w="1113" w:type="dxa"/>
            <w:tcBorders>
              <w:bottom w:val="single" w:sz="24" w:space="0" w:color="000000"/>
            </w:tcBorders>
          </w:tcPr>
          <w:p>
            <w:pPr>
              <w:pStyle w:val="TableParagraph"/>
              <w:spacing w:line="237" w:lineRule="exact" w:before="8"/>
              <w:ind w:right="52"/>
              <w:rPr>
                <w:sz w:val="21"/>
              </w:rPr>
            </w:pPr>
            <w:r>
              <w:rPr>
                <w:sz w:val="21"/>
              </w:rPr>
              <w:t>n/a</w:t>
            </w:r>
          </w:p>
        </w:tc>
      </w:tr>
      <w:tr>
        <w:trPr>
          <w:trHeight w:val="230" w:hRule="atLeast"/>
        </w:trPr>
        <w:tc>
          <w:tcPr>
            <w:tcW w:w="3521" w:type="dxa"/>
            <w:tcBorders>
              <w:top w:val="single" w:sz="24" w:space="0" w:color="000000"/>
              <w:bottom w:val="single" w:sz="24" w:space="0" w:color="000000"/>
              <w:right w:val="single" w:sz="24" w:space="0" w:color="000000"/>
            </w:tcBorders>
          </w:tcPr>
          <w:p>
            <w:pPr>
              <w:pStyle w:val="TableParagraph"/>
              <w:spacing w:line="211" w:lineRule="exact"/>
              <w:ind w:left="58"/>
              <w:jc w:val="left"/>
              <w:rPr>
                <w:b/>
                <w:sz w:val="21"/>
              </w:rPr>
            </w:pPr>
            <w:r>
              <w:rPr>
                <w:b/>
                <w:sz w:val="21"/>
              </w:rPr>
              <w:t>Total Forecast Portfolio Savings</w:t>
            </w:r>
          </w:p>
        </w:tc>
        <w:tc>
          <w:tcPr>
            <w:tcW w:w="1380" w:type="dxa"/>
            <w:tcBorders>
              <w:top w:val="single" w:sz="24" w:space="0" w:color="000000"/>
              <w:left w:val="single" w:sz="24" w:space="0" w:color="000000"/>
              <w:bottom w:val="single" w:sz="24" w:space="0" w:color="000000"/>
            </w:tcBorders>
          </w:tcPr>
          <w:p>
            <w:pPr>
              <w:pStyle w:val="TableParagraph"/>
              <w:spacing w:line="211" w:lineRule="exact"/>
              <w:ind w:left="406"/>
              <w:jc w:val="left"/>
              <w:rPr>
                <w:sz w:val="21"/>
              </w:rPr>
            </w:pPr>
            <w:r>
              <w:rPr>
                <w:sz w:val="21"/>
              </w:rPr>
              <w:t>96,632</w:t>
            </w:r>
          </w:p>
        </w:tc>
        <w:tc>
          <w:tcPr>
            <w:tcW w:w="1300" w:type="dxa"/>
            <w:tcBorders>
              <w:top w:val="single" w:sz="24" w:space="0" w:color="000000"/>
              <w:bottom w:val="single" w:sz="24" w:space="0" w:color="000000"/>
            </w:tcBorders>
          </w:tcPr>
          <w:p>
            <w:pPr>
              <w:pStyle w:val="TableParagraph"/>
              <w:spacing w:line="211" w:lineRule="exact"/>
              <w:ind w:right="301"/>
              <w:rPr>
                <w:sz w:val="21"/>
              </w:rPr>
            </w:pPr>
            <w:r>
              <w:rPr>
                <w:sz w:val="21"/>
              </w:rPr>
              <w:t>123,440</w:t>
            </w:r>
          </w:p>
        </w:tc>
        <w:tc>
          <w:tcPr>
            <w:tcW w:w="1300" w:type="dxa"/>
            <w:tcBorders>
              <w:top w:val="single" w:sz="24" w:space="0" w:color="000000"/>
              <w:bottom w:val="single" w:sz="24" w:space="0" w:color="000000"/>
            </w:tcBorders>
          </w:tcPr>
          <w:p>
            <w:pPr>
              <w:pStyle w:val="TableParagraph"/>
              <w:spacing w:line="211" w:lineRule="exact"/>
              <w:ind w:left="239"/>
              <w:jc w:val="left"/>
              <w:rPr>
                <w:sz w:val="21"/>
              </w:rPr>
            </w:pPr>
            <w:r>
              <w:rPr>
                <w:sz w:val="21"/>
              </w:rPr>
              <w:t>124,965</w:t>
            </w:r>
          </w:p>
        </w:tc>
        <w:tc>
          <w:tcPr>
            <w:tcW w:w="1300" w:type="dxa"/>
            <w:tcBorders>
              <w:top w:val="single" w:sz="24" w:space="0" w:color="000000"/>
              <w:bottom w:val="single" w:sz="24" w:space="0" w:color="000000"/>
            </w:tcBorders>
          </w:tcPr>
          <w:p>
            <w:pPr>
              <w:pStyle w:val="TableParagraph"/>
              <w:spacing w:line="211" w:lineRule="exact"/>
              <w:ind w:right="301"/>
              <w:rPr>
                <w:sz w:val="21"/>
              </w:rPr>
            </w:pPr>
            <w:r>
              <w:rPr>
                <w:sz w:val="21"/>
              </w:rPr>
              <w:t>127,463</w:t>
            </w:r>
          </w:p>
        </w:tc>
        <w:tc>
          <w:tcPr>
            <w:tcW w:w="1300" w:type="dxa"/>
            <w:tcBorders>
              <w:top w:val="single" w:sz="24" w:space="0" w:color="000000"/>
              <w:bottom w:val="single" w:sz="24" w:space="0" w:color="000000"/>
            </w:tcBorders>
          </w:tcPr>
          <w:p>
            <w:pPr>
              <w:pStyle w:val="TableParagraph"/>
              <w:spacing w:line="211" w:lineRule="exact"/>
              <w:ind w:left="239"/>
              <w:jc w:val="left"/>
              <w:rPr>
                <w:sz w:val="21"/>
              </w:rPr>
            </w:pPr>
            <w:r>
              <w:rPr>
                <w:sz w:val="21"/>
              </w:rPr>
              <w:t>130,015</w:t>
            </w:r>
          </w:p>
        </w:tc>
        <w:tc>
          <w:tcPr>
            <w:tcW w:w="1300" w:type="dxa"/>
            <w:tcBorders>
              <w:top w:val="single" w:sz="24" w:space="0" w:color="000000"/>
              <w:bottom w:val="single" w:sz="24" w:space="0" w:color="000000"/>
            </w:tcBorders>
          </w:tcPr>
          <w:p>
            <w:pPr>
              <w:pStyle w:val="TableParagraph"/>
              <w:spacing w:line="211" w:lineRule="exact"/>
              <w:ind w:right="302"/>
              <w:rPr>
                <w:sz w:val="21"/>
              </w:rPr>
            </w:pPr>
            <w:r>
              <w:rPr>
                <w:sz w:val="21"/>
              </w:rPr>
              <w:t>132,623</w:t>
            </w:r>
          </w:p>
        </w:tc>
        <w:tc>
          <w:tcPr>
            <w:tcW w:w="1300" w:type="dxa"/>
            <w:tcBorders>
              <w:top w:val="single" w:sz="24" w:space="0" w:color="000000"/>
              <w:bottom w:val="single" w:sz="24" w:space="0" w:color="000000"/>
            </w:tcBorders>
          </w:tcPr>
          <w:p>
            <w:pPr>
              <w:pStyle w:val="TableParagraph"/>
              <w:spacing w:line="211" w:lineRule="exact"/>
              <w:ind w:left="239"/>
              <w:jc w:val="left"/>
              <w:rPr>
                <w:sz w:val="21"/>
              </w:rPr>
            </w:pPr>
            <w:r>
              <w:rPr>
                <w:sz w:val="21"/>
              </w:rPr>
              <w:t>135,268</w:t>
            </w:r>
          </w:p>
        </w:tc>
        <w:tc>
          <w:tcPr>
            <w:tcW w:w="1113" w:type="dxa"/>
            <w:tcBorders>
              <w:top w:val="single" w:sz="24" w:space="0" w:color="000000"/>
              <w:bottom w:val="single" w:sz="24" w:space="0" w:color="000000"/>
            </w:tcBorders>
          </w:tcPr>
          <w:p>
            <w:pPr>
              <w:pStyle w:val="TableParagraph"/>
              <w:spacing w:line="211" w:lineRule="exact"/>
              <w:ind w:right="115"/>
              <w:rPr>
                <w:sz w:val="21"/>
              </w:rPr>
            </w:pPr>
            <w:r>
              <w:rPr>
                <w:sz w:val="21"/>
              </w:rPr>
              <w:t>137,968</w:t>
            </w:r>
          </w:p>
        </w:tc>
      </w:tr>
      <w:tr>
        <w:trPr>
          <w:trHeight w:val="231" w:hRule="atLeast"/>
        </w:trPr>
        <w:tc>
          <w:tcPr>
            <w:tcW w:w="3521" w:type="dxa"/>
            <w:tcBorders>
              <w:top w:val="single" w:sz="24" w:space="0" w:color="000000"/>
              <w:bottom w:val="single" w:sz="24" w:space="0" w:color="000000"/>
              <w:right w:val="single" w:sz="24" w:space="0" w:color="000000"/>
            </w:tcBorders>
          </w:tcPr>
          <w:p>
            <w:pPr>
              <w:pStyle w:val="TableParagraph"/>
              <w:spacing w:line="211" w:lineRule="exact"/>
              <w:ind w:left="58"/>
              <w:jc w:val="left"/>
              <w:rPr>
                <w:sz w:val="21"/>
              </w:rPr>
            </w:pPr>
            <w:r>
              <w:rPr>
                <w:sz w:val="21"/>
              </w:rPr>
              <w:t>CPUC Goal*</w:t>
            </w:r>
          </w:p>
        </w:tc>
        <w:tc>
          <w:tcPr>
            <w:tcW w:w="1380" w:type="dxa"/>
            <w:tcBorders>
              <w:top w:val="single" w:sz="24" w:space="0" w:color="000000"/>
              <w:left w:val="single" w:sz="24" w:space="0" w:color="000000"/>
              <w:bottom w:val="single" w:sz="24" w:space="0" w:color="000000"/>
            </w:tcBorders>
          </w:tcPr>
          <w:p>
            <w:pPr>
              <w:pStyle w:val="TableParagraph"/>
              <w:spacing w:line="211" w:lineRule="exact"/>
              <w:ind w:right="237"/>
              <w:rPr>
                <w:sz w:val="21"/>
              </w:rPr>
            </w:pPr>
            <w:r>
              <w:rPr>
                <w:sz w:val="21"/>
              </w:rPr>
              <w:t>n/a</w:t>
            </w:r>
          </w:p>
        </w:tc>
        <w:tc>
          <w:tcPr>
            <w:tcW w:w="1300" w:type="dxa"/>
            <w:tcBorders>
              <w:top w:val="single" w:sz="24" w:space="0" w:color="000000"/>
              <w:bottom w:val="single" w:sz="24" w:space="0" w:color="000000"/>
            </w:tcBorders>
          </w:tcPr>
          <w:p>
            <w:pPr>
              <w:pStyle w:val="TableParagraph"/>
              <w:spacing w:line="211" w:lineRule="exact"/>
              <w:ind w:right="238"/>
              <w:rPr>
                <w:sz w:val="21"/>
              </w:rPr>
            </w:pPr>
            <w:r>
              <w:rPr>
                <w:sz w:val="21"/>
              </w:rPr>
              <w:t>n/a</w:t>
            </w:r>
          </w:p>
        </w:tc>
        <w:tc>
          <w:tcPr>
            <w:tcW w:w="1300" w:type="dxa"/>
            <w:tcBorders>
              <w:top w:val="single" w:sz="24" w:space="0" w:color="000000"/>
              <w:bottom w:val="single" w:sz="24" w:space="0" w:color="000000"/>
            </w:tcBorders>
          </w:tcPr>
          <w:p>
            <w:pPr>
              <w:pStyle w:val="TableParagraph"/>
              <w:spacing w:line="211" w:lineRule="exact"/>
              <w:ind w:right="238"/>
              <w:rPr>
                <w:sz w:val="21"/>
              </w:rPr>
            </w:pPr>
            <w:r>
              <w:rPr>
                <w:sz w:val="21"/>
              </w:rPr>
              <w:t>n/a</w:t>
            </w:r>
          </w:p>
        </w:tc>
        <w:tc>
          <w:tcPr>
            <w:tcW w:w="1300" w:type="dxa"/>
            <w:tcBorders>
              <w:top w:val="single" w:sz="24" w:space="0" w:color="000000"/>
              <w:bottom w:val="single" w:sz="24" w:space="0" w:color="000000"/>
            </w:tcBorders>
          </w:tcPr>
          <w:p>
            <w:pPr>
              <w:pStyle w:val="TableParagraph"/>
              <w:spacing w:line="211" w:lineRule="exact"/>
              <w:ind w:right="238"/>
              <w:rPr>
                <w:sz w:val="21"/>
              </w:rPr>
            </w:pPr>
            <w:r>
              <w:rPr>
                <w:sz w:val="21"/>
              </w:rPr>
              <w:t>n/a</w:t>
            </w:r>
          </w:p>
        </w:tc>
        <w:tc>
          <w:tcPr>
            <w:tcW w:w="1300" w:type="dxa"/>
            <w:tcBorders>
              <w:top w:val="single" w:sz="24" w:space="0" w:color="000000"/>
              <w:bottom w:val="single" w:sz="24" w:space="0" w:color="000000"/>
            </w:tcBorders>
          </w:tcPr>
          <w:p>
            <w:pPr>
              <w:pStyle w:val="TableParagraph"/>
              <w:spacing w:line="211" w:lineRule="exact"/>
              <w:ind w:right="238"/>
              <w:rPr>
                <w:sz w:val="21"/>
              </w:rPr>
            </w:pPr>
            <w:r>
              <w:rPr>
                <w:sz w:val="21"/>
              </w:rPr>
              <w:t>n/a</w:t>
            </w:r>
          </w:p>
        </w:tc>
        <w:tc>
          <w:tcPr>
            <w:tcW w:w="1300" w:type="dxa"/>
            <w:tcBorders>
              <w:top w:val="single" w:sz="24" w:space="0" w:color="000000"/>
              <w:bottom w:val="single" w:sz="24" w:space="0" w:color="000000"/>
            </w:tcBorders>
          </w:tcPr>
          <w:p>
            <w:pPr>
              <w:pStyle w:val="TableParagraph"/>
              <w:spacing w:line="211" w:lineRule="exact"/>
              <w:ind w:right="238"/>
              <w:rPr>
                <w:sz w:val="21"/>
              </w:rPr>
            </w:pPr>
            <w:r>
              <w:rPr>
                <w:sz w:val="21"/>
              </w:rPr>
              <w:t>n/a</w:t>
            </w:r>
          </w:p>
        </w:tc>
        <w:tc>
          <w:tcPr>
            <w:tcW w:w="1300" w:type="dxa"/>
            <w:tcBorders>
              <w:top w:val="single" w:sz="24" w:space="0" w:color="000000"/>
              <w:bottom w:val="single" w:sz="24" w:space="0" w:color="000000"/>
            </w:tcBorders>
          </w:tcPr>
          <w:p>
            <w:pPr>
              <w:pStyle w:val="TableParagraph"/>
              <w:spacing w:line="211" w:lineRule="exact"/>
              <w:ind w:right="239"/>
              <w:rPr>
                <w:sz w:val="21"/>
              </w:rPr>
            </w:pPr>
            <w:r>
              <w:rPr>
                <w:sz w:val="21"/>
              </w:rPr>
              <w:t>n/a</w:t>
            </w:r>
          </w:p>
        </w:tc>
        <w:tc>
          <w:tcPr>
            <w:tcW w:w="1113" w:type="dxa"/>
            <w:tcBorders>
              <w:top w:val="single" w:sz="24" w:space="0" w:color="000000"/>
              <w:bottom w:val="single" w:sz="24" w:space="0" w:color="000000"/>
            </w:tcBorders>
          </w:tcPr>
          <w:p>
            <w:pPr>
              <w:pStyle w:val="TableParagraph"/>
              <w:spacing w:line="211" w:lineRule="exact"/>
              <w:ind w:right="52"/>
              <w:rPr>
                <w:sz w:val="21"/>
              </w:rPr>
            </w:pPr>
            <w:r>
              <w:rPr>
                <w:sz w:val="21"/>
              </w:rPr>
              <w:t>n/a</w:t>
            </w:r>
          </w:p>
        </w:tc>
      </w:tr>
      <w:tr>
        <w:trPr>
          <w:trHeight w:val="230" w:hRule="atLeast"/>
        </w:trPr>
        <w:tc>
          <w:tcPr>
            <w:tcW w:w="3521" w:type="dxa"/>
            <w:tcBorders>
              <w:top w:val="single" w:sz="24" w:space="0" w:color="000000"/>
              <w:bottom w:val="single" w:sz="24" w:space="0" w:color="000000"/>
              <w:right w:val="single" w:sz="24" w:space="0" w:color="000000"/>
            </w:tcBorders>
          </w:tcPr>
          <w:p>
            <w:pPr>
              <w:pStyle w:val="TableParagraph"/>
              <w:spacing w:line="211" w:lineRule="exact"/>
              <w:ind w:left="58"/>
              <w:jc w:val="left"/>
              <w:rPr>
                <w:sz w:val="21"/>
              </w:rPr>
            </w:pPr>
            <w:r>
              <w:rPr>
                <w:sz w:val="21"/>
              </w:rPr>
              <w:t>% of Goal*</w:t>
            </w:r>
          </w:p>
        </w:tc>
        <w:tc>
          <w:tcPr>
            <w:tcW w:w="1380" w:type="dxa"/>
            <w:tcBorders>
              <w:top w:val="single" w:sz="24" w:space="0" w:color="000000"/>
              <w:left w:val="single" w:sz="24" w:space="0" w:color="000000"/>
              <w:bottom w:val="single" w:sz="24" w:space="0" w:color="000000"/>
            </w:tcBorders>
          </w:tcPr>
          <w:p>
            <w:pPr>
              <w:pStyle w:val="TableParagraph"/>
              <w:spacing w:line="211" w:lineRule="exact"/>
              <w:ind w:right="237"/>
              <w:rPr>
                <w:sz w:val="21"/>
              </w:rPr>
            </w:pPr>
            <w:r>
              <w:rPr>
                <w:sz w:val="21"/>
              </w:rPr>
              <w:t>n/a</w:t>
            </w:r>
          </w:p>
        </w:tc>
        <w:tc>
          <w:tcPr>
            <w:tcW w:w="1300" w:type="dxa"/>
            <w:tcBorders>
              <w:top w:val="single" w:sz="24" w:space="0" w:color="000000"/>
              <w:bottom w:val="single" w:sz="24" w:space="0" w:color="000000"/>
            </w:tcBorders>
          </w:tcPr>
          <w:p>
            <w:pPr>
              <w:pStyle w:val="TableParagraph"/>
              <w:spacing w:line="211" w:lineRule="exact"/>
              <w:ind w:right="238"/>
              <w:rPr>
                <w:sz w:val="21"/>
              </w:rPr>
            </w:pPr>
            <w:r>
              <w:rPr>
                <w:sz w:val="21"/>
              </w:rPr>
              <w:t>n/a</w:t>
            </w:r>
          </w:p>
        </w:tc>
        <w:tc>
          <w:tcPr>
            <w:tcW w:w="1300" w:type="dxa"/>
            <w:tcBorders>
              <w:top w:val="single" w:sz="24" w:space="0" w:color="000000"/>
              <w:bottom w:val="single" w:sz="24" w:space="0" w:color="000000"/>
            </w:tcBorders>
          </w:tcPr>
          <w:p>
            <w:pPr>
              <w:pStyle w:val="TableParagraph"/>
              <w:spacing w:line="211" w:lineRule="exact"/>
              <w:ind w:right="238"/>
              <w:rPr>
                <w:sz w:val="21"/>
              </w:rPr>
            </w:pPr>
            <w:r>
              <w:rPr>
                <w:sz w:val="21"/>
              </w:rPr>
              <w:t>n/a</w:t>
            </w:r>
          </w:p>
        </w:tc>
        <w:tc>
          <w:tcPr>
            <w:tcW w:w="1300" w:type="dxa"/>
            <w:tcBorders>
              <w:top w:val="single" w:sz="24" w:space="0" w:color="000000"/>
              <w:bottom w:val="single" w:sz="24" w:space="0" w:color="000000"/>
            </w:tcBorders>
          </w:tcPr>
          <w:p>
            <w:pPr>
              <w:pStyle w:val="TableParagraph"/>
              <w:spacing w:line="211" w:lineRule="exact"/>
              <w:ind w:right="238"/>
              <w:rPr>
                <w:sz w:val="21"/>
              </w:rPr>
            </w:pPr>
            <w:r>
              <w:rPr>
                <w:sz w:val="21"/>
              </w:rPr>
              <w:t>n/a</w:t>
            </w:r>
          </w:p>
        </w:tc>
        <w:tc>
          <w:tcPr>
            <w:tcW w:w="1300" w:type="dxa"/>
            <w:tcBorders>
              <w:top w:val="single" w:sz="24" w:space="0" w:color="000000"/>
              <w:bottom w:val="single" w:sz="24" w:space="0" w:color="000000"/>
            </w:tcBorders>
          </w:tcPr>
          <w:p>
            <w:pPr>
              <w:pStyle w:val="TableParagraph"/>
              <w:spacing w:line="211" w:lineRule="exact"/>
              <w:ind w:right="238"/>
              <w:rPr>
                <w:sz w:val="21"/>
              </w:rPr>
            </w:pPr>
            <w:r>
              <w:rPr>
                <w:sz w:val="21"/>
              </w:rPr>
              <w:t>n/a</w:t>
            </w:r>
          </w:p>
        </w:tc>
        <w:tc>
          <w:tcPr>
            <w:tcW w:w="1300" w:type="dxa"/>
            <w:tcBorders>
              <w:top w:val="single" w:sz="24" w:space="0" w:color="000000"/>
              <w:bottom w:val="single" w:sz="24" w:space="0" w:color="000000"/>
            </w:tcBorders>
          </w:tcPr>
          <w:p>
            <w:pPr>
              <w:pStyle w:val="TableParagraph"/>
              <w:spacing w:line="211" w:lineRule="exact"/>
              <w:ind w:right="238"/>
              <w:rPr>
                <w:sz w:val="21"/>
              </w:rPr>
            </w:pPr>
            <w:r>
              <w:rPr>
                <w:sz w:val="21"/>
              </w:rPr>
              <w:t>n/a</w:t>
            </w:r>
          </w:p>
        </w:tc>
        <w:tc>
          <w:tcPr>
            <w:tcW w:w="1300" w:type="dxa"/>
            <w:tcBorders>
              <w:top w:val="single" w:sz="24" w:space="0" w:color="000000"/>
              <w:bottom w:val="single" w:sz="24" w:space="0" w:color="000000"/>
            </w:tcBorders>
          </w:tcPr>
          <w:p>
            <w:pPr>
              <w:pStyle w:val="TableParagraph"/>
              <w:spacing w:line="211" w:lineRule="exact"/>
              <w:ind w:right="239"/>
              <w:rPr>
                <w:sz w:val="21"/>
              </w:rPr>
            </w:pPr>
            <w:r>
              <w:rPr>
                <w:sz w:val="21"/>
              </w:rPr>
              <w:t>n/a</w:t>
            </w:r>
          </w:p>
        </w:tc>
        <w:tc>
          <w:tcPr>
            <w:tcW w:w="1113" w:type="dxa"/>
            <w:tcBorders>
              <w:top w:val="single" w:sz="24" w:space="0" w:color="000000"/>
              <w:bottom w:val="single" w:sz="24" w:space="0" w:color="000000"/>
            </w:tcBorders>
          </w:tcPr>
          <w:p>
            <w:pPr>
              <w:pStyle w:val="TableParagraph"/>
              <w:spacing w:line="211" w:lineRule="exact"/>
              <w:ind w:right="52"/>
              <w:rPr>
                <w:sz w:val="21"/>
              </w:rPr>
            </w:pPr>
            <w:r>
              <w:rPr>
                <w:sz w:val="21"/>
              </w:rPr>
              <w:t>n/a</w:t>
            </w:r>
          </w:p>
        </w:tc>
      </w:tr>
    </w:tbl>
    <w:p>
      <w:pPr>
        <w:pStyle w:val="BodyText"/>
        <w:spacing w:before="4"/>
        <w:rPr>
          <w:rFonts w:ascii="Calibri"/>
          <w:b/>
          <w:sz w:val="19"/>
        </w:rPr>
      </w:pPr>
    </w:p>
    <w:p>
      <w:pPr>
        <w:spacing w:before="0"/>
        <w:ind w:left="187" w:right="0" w:firstLine="0"/>
        <w:jc w:val="left"/>
        <w:rPr>
          <w:rFonts w:ascii="Calibri"/>
          <w:b/>
          <w:sz w:val="21"/>
        </w:rPr>
      </w:pPr>
      <w:r>
        <w:rPr>
          <w:rFonts w:ascii="Calibri"/>
          <w:b/>
          <w:sz w:val="21"/>
        </w:rPr>
        <w:t>* Not applicable to CCA/REN as of 2018, in template for future ABAL when applicable</w:t>
      </w:r>
    </w:p>
    <w:p>
      <w:pPr>
        <w:spacing w:after="0"/>
        <w:jc w:val="left"/>
        <w:rPr>
          <w:rFonts w:ascii="Calibri"/>
          <w:sz w:val="21"/>
        </w:rPr>
        <w:sectPr>
          <w:headerReference w:type="default" r:id="rId14"/>
          <w:pgSz w:w="15840" w:h="12240" w:orient="landscape"/>
          <w:pgMar w:header="0" w:footer="0" w:top="1140" w:bottom="280" w:left="860" w:right="920"/>
        </w:sectPr>
      </w:pPr>
    </w:p>
    <w:p>
      <w:pPr>
        <w:pStyle w:val="BodyText"/>
        <w:rPr>
          <w:rFonts w:ascii="Calibri"/>
          <w:b/>
          <w:sz w:val="16"/>
        </w:rPr>
      </w:pPr>
    </w:p>
    <w:p>
      <w:pPr>
        <w:spacing w:before="107"/>
        <w:ind w:left="7044" w:right="0" w:firstLine="0"/>
        <w:jc w:val="left"/>
        <w:rPr>
          <w:rFonts w:ascii="Calibri"/>
          <w:b/>
          <w:sz w:val="19"/>
        </w:rPr>
      </w:pPr>
      <w:r>
        <w:rPr>
          <w:rFonts w:ascii="Calibri"/>
          <w:b/>
          <w:w w:val="105"/>
          <w:sz w:val="19"/>
        </w:rPr>
        <w:t>Authorized PA Budgets for 2018-2025</w:t>
      </w:r>
    </w:p>
    <w:p>
      <w:pPr>
        <w:pStyle w:val="BodyText"/>
        <w:spacing w:before="9"/>
        <w:rPr>
          <w:rFonts w:ascii="Calibri"/>
          <w:b/>
          <w:sz w:val="20"/>
        </w:rPr>
      </w:pPr>
    </w:p>
    <w:tbl>
      <w:tblPr>
        <w:tblW w:w="0" w:type="auto"/>
        <w:jc w:val="left"/>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8"/>
        <w:gridCol w:w="1397"/>
        <w:gridCol w:w="1443"/>
        <w:gridCol w:w="1550"/>
        <w:gridCol w:w="1476"/>
        <w:gridCol w:w="1087"/>
        <w:gridCol w:w="1230"/>
        <w:gridCol w:w="1585"/>
        <w:gridCol w:w="1581"/>
      </w:tblGrid>
      <w:tr>
        <w:trPr>
          <w:trHeight w:val="215" w:hRule="atLeast"/>
        </w:trPr>
        <w:tc>
          <w:tcPr>
            <w:tcW w:w="2198" w:type="dxa"/>
            <w:tcBorders>
              <w:bottom w:val="single" w:sz="24" w:space="0" w:color="000000"/>
            </w:tcBorders>
          </w:tcPr>
          <w:p>
            <w:pPr>
              <w:pStyle w:val="TableParagraph"/>
              <w:spacing w:line="240" w:lineRule="auto"/>
              <w:jc w:val="left"/>
              <w:rPr>
                <w:rFonts w:ascii="Times New Roman"/>
                <w:sz w:val="14"/>
              </w:rPr>
            </w:pPr>
          </w:p>
        </w:tc>
        <w:tc>
          <w:tcPr>
            <w:tcW w:w="1397" w:type="dxa"/>
            <w:tcBorders>
              <w:bottom w:val="single" w:sz="24" w:space="0" w:color="000000"/>
            </w:tcBorders>
          </w:tcPr>
          <w:p>
            <w:pPr>
              <w:pStyle w:val="TableParagraph"/>
              <w:spacing w:line="195" w:lineRule="exact"/>
              <w:ind w:right="60"/>
              <w:rPr>
                <w:b/>
                <w:sz w:val="18"/>
              </w:rPr>
            </w:pPr>
            <w:r>
              <w:rPr>
                <w:b/>
                <w:sz w:val="18"/>
              </w:rPr>
              <w:t>PG&amp;E</w:t>
            </w:r>
          </w:p>
        </w:tc>
        <w:tc>
          <w:tcPr>
            <w:tcW w:w="1443" w:type="dxa"/>
            <w:tcBorders>
              <w:bottom w:val="single" w:sz="24" w:space="0" w:color="000000"/>
            </w:tcBorders>
          </w:tcPr>
          <w:p>
            <w:pPr>
              <w:pStyle w:val="TableParagraph"/>
              <w:spacing w:line="195" w:lineRule="exact"/>
              <w:ind w:right="142"/>
              <w:rPr>
                <w:b/>
                <w:sz w:val="18"/>
              </w:rPr>
            </w:pPr>
            <w:r>
              <w:rPr>
                <w:b/>
                <w:sz w:val="18"/>
              </w:rPr>
              <w:t>SCE</w:t>
            </w:r>
          </w:p>
        </w:tc>
        <w:tc>
          <w:tcPr>
            <w:tcW w:w="1550" w:type="dxa"/>
            <w:tcBorders>
              <w:bottom w:val="single" w:sz="24" w:space="0" w:color="000000"/>
            </w:tcBorders>
          </w:tcPr>
          <w:p>
            <w:pPr>
              <w:pStyle w:val="TableParagraph"/>
              <w:spacing w:line="195" w:lineRule="exact"/>
              <w:ind w:right="314"/>
              <w:rPr>
                <w:b/>
                <w:sz w:val="18"/>
              </w:rPr>
            </w:pPr>
            <w:r>
              <w:rPr>
                <w:b/>
                <w:sz w:val="18"/>
              </w:rPr>
              <w:t>SDG&amp;E</w:t>
            </w:r>
          </w:p>
        </w:tc>
        <w:tc>
          <w:tcPr>
            <w:tcW w:w="1476" w:type="dxa"/>
            <w:tcBorders>
              <w:bottom w:val="single" w:sz="24" w:space="0" w:color="000000"/>
            </w:tcBorders>
          </w:tcPr>
          <w:p>
            <w:pPr>
              <w:pStyle w:val="TableParagraph"/>
              <w:spacing w:line="195" w:lineRule="exact"/>
              <w:ind w:right="68"/>
              <w:rPr>
                <w:b/>
                <w:sz w:val="18"/>
              </w:rPr>
            </w:pPr>
            <w:r>
              <w:rPr>
                <w:b/>
                <w:sz w:val="18"/>
              </w:rPr>
              <w:t>SoCalGas</w:t>
            </w:r>
          </w:p>
        </w:tc>
        <w:tc>
          <w:tcPr>
            <w:tcW w:w="1087" w:type="dxa"/>
            <w:tcBorders>
              <w:bottom w:val="single" w:sz="24" w:space="0" w:color="000000"/>
            </w:tcBorders>
          </w:tcPr>
          <w:p>
            <w:pPr>
              <w:pStyle w:val="TableParagraph"/>
              <w:spacing w:line="195" w:lineRule="exact"/>
              <w:ind w:right="24"/>
              <w:rPr>
                <w:b/>
                <w:sz w:val="18"/>
              </w:rPr>
            </w:pPr>
            <w:r>
              <w:rPr>
                <w:b/>
                <w:sz w:val="18"/>
              </w:rPr>
              <w:t>MCE</w:t>
            </w:r>
          </w:p>
        </w:tc>
        <w:tc>
          <w:tcPr>
            <w:tcW w:w="1230" w:type="dxa"/>
            <w:tcBorders>
              <w:bottom w:val="single" w:sz="24" w:space="0" w:color="000000"/>
            </w:tcBorders>
          </w:tcPr>
          <w:p>
            <w:pPr>
              <w:pStyle w:val="TableParagraph"/>
              <w:spacing w:line="195" w:lineRule="exact"/>
              <w:ind w:right="43"/>
              <w:rPr>
                <w:b/>
                <w:sz w:val="18"/>
              </w:rPr>
            </w:pPr>
            <w:r>
              <w:rPr>
                <w:b/>
                <w:sz w:val="18"/>
              </w:rPr>
              <w:t>SoCalREN</w:t>
            </w:r>
          </w:p>
        </w:tc>
        <w:tc>
          <w:tcPr>
            <w:tcW w:w="1585" w:type="dxa"/>
            <w:tcBorders>
              <w:bottom w:val="single" w:sz="24" w:space="0" w:color="000000"/>
            </w:tcBorders>
          </w:tcPr>
          <w:p>
            <w:pPr>
              <w:pStyle w:val="TableParagraph"/>
              <w:spacing w:line="195" w:lineRule="exact"/>
              <w:ind w:right="299"/>
              <w:rPr>
                <w:b/>
                <w:sz w:val="18"/>
              </w:rPr>
            </w:pPr>
            <w:r>
              <w:rPr>
                <w:b/>
                <w:sz w:val="18"/>
              </w:rPr>
              <w:t>BayREN</w:t>
            </w:r>
          </w:p>
        </w:tc>
        <w:tc>
          <w:tcPr>
            <w:tcW w:w="1581" w:type="dxa"/>
            <w:tcBorders>
              <w:bottom w:val="single" w:sz="24" w:space="0" w:color="000000"/>
            </w:tcBorders>
          </w:tcPr>
          <w:p>
            <w:pPr>
              <w:pStyle w:val="TableParagraph"/>
              <w:spacing w:line="195" w:lineRule="exact"/>
              <w:ind w:right="52"/>
              <w:rPr>
                <w:b/>
                <w:sz w:val="18"/>
              </w:rPr>
            </w:pPr>
            <w:r>
              <w:rPr>
                <w:b/>
                <w:sz w:val="18"/>
              </w:rPr>
              <w:t>Total</w:t>
            </w:r>
          </w:p>
        </w:tc>
      </w:tr>
      <w:tr>
        <w:trPr>
          <w:trHeight w:val="211" w:hRule="atLeast"/>
        </w:trPr>
        <w:tc>
          <w:tcPr>
            <w:tcW w:w="2198" w:type="dxa"/>
            <w:tcBorders>
              <w:top w:val="single" w:sz="24" w:space="0" w:color="000000"/>
            </w:tcBorders>
          </w:tcPr>
          <w:p>
            <w:pPr>
              <w:pStyle w:val="TableParagraph"/>
              <w:spacing w:line="192" w:lineRule="exact"/>
              <w:ind w:right="47"/>
              <w:rPr>
                <w:b/>
                <w:sz w:val="18"/>
              </w:rPr>
            </w:pPr>
            <w:r>
              <w:rPr>
                <w:b/>
                <w:sz w:val="18"/>
              </w:rPr>
              <w:t>2018</w:t>
            </w:r>
          </w:p>
        </w:tc>
        <w:tc>
          <w:tcPr>
            <w:tcW w:w="1397" w:type="dxa"/>
            <w:tcBorders>
              <w:top w:val="single" w:sz="24" w:space="0" w:color="000000"/>
            </w:tcBorders>
          </w:tcPr>
          <w:p>
            <w:pPr>
              <w:pStyle w:val="TableParagraph"/>
              <w:spacing w:line="192" w:lineRule="exact"/>
              <w:ind w:right="67"/>
              <w:rPr>
                <w:sz w:val="18"/>
              </w:rPr>
            </w:pPr>
            <w:r>
              <w:rPr>
                <w:sz w:val="18"/>
              </w:rPr>
              <w:t>$398,590,433</w:t>
            </w:r>
          </w:p>
        </w:tc>
        <w:tc>
          <w:tcPr>
            <w:tcW w:w="1443" w:type="dxa"/>
            <w:tcBorders>
              <w:top w:val="single" w:sz="24" w:space="0" w:color="000000"/>
            </w:tcBorders>
          </w:tcPr>
          <w:p>
            <w:pPr>
              <w:pStyle w:val="TableParagraph"/>
              <w:spacing w:line="192" w:lineRule="exact"/>
              <w:ind w:right="148"/>
              <w:rPr>
                <w:sz w:val="18"/>
              </w:rPr>
            </w:pPr>
            <w:r>
              <w:rPr>
                <w:sz w:val="18"/>
              </w:rPr>
              <w:t>$233,027,000</w:t>
            </w:r>
          </w:p>
        </w:tc>
        <w:tc>
          <w:tcPr>
            <w:tcW w:w="1550" w:type="dxa"/>
            <w:tcBorders>
              <w:top w:val="single" w:sz="24" w:space="0" w:color="000000"/>
            </w:tcBorders>
          </w:tcPr>
          <w:p>
            <w:pPr>
              <w:pStyle w:val="TableParagraph"/>
              <w:spacing w:line="192" w:lineRule="exact"/>
              <w:ind w:right="321"/>
              <w:rPr>
                <w:sz w:val="18"/>
              </w:rPr>
            </w:pPr>
            <w:r>
              <w:rPr>
                <w:sz w:val="18"/>
              </w:rPr>
              <w:t>$116,456,309</w:t>
            </w:r>
          </w:p>
        </w:tc>
        <w:tc>
          <w:tcPr>
            <w:tcW w:w="1476" w:type="dxa"/>
            <w:tcBorders>
              <w:top w:val="single" w:sz="24" w:space="0" w:color="000000"/>
            </w:tcBorders>
          </w:tcPr>
          <w:p>
            <w:pPr>
              <w:pStyle w:val="TableParagraph"/>
              <w:spacing w:line="192" w:lineRule="exact"/>
              <w:ind w:right="75"/>
              <w:rPr>
                <w:sz w:val="18"/>
              </w:rPr>
            </w:pPr>
            <w:r>
              <w:rPr>
                <w:sz w:val="18"/>
              </w:rPr>
              <w:t>$98,812,573</w:t>
            </w:r>
          </w:p>
        </w:tc>
        <w:tc>
          <w:tcPr>
            <w:tcW w:w="1087" w:type="dxa"/>
            <w:tcBorders>
              <w:top w:val="single" w:sz="24" w:space="0" w:color="000000"/>
            </w:tcBorders>
          </w:tcPr>
          <w:p>
            <w:pPr>
              <w:pStyle w:val="TableParagraph"/>
              <w:spacing w:line="192" w:lineRule="exact"/>
              <w:ind w:right="30"/>
              <w:rPr>
                <w:sz w:val="18"/>
              </w:rPr>
            </w:pPr>
            <w:r>
              <w:rPr>
                <w:sz w:val="18"/>
              </w:rPr>
              <w:t>$8,532,000</w:t>
            </w:r>
          </w:p>
        </w:tc>
        <w:tc>
          <w:tcPr>
            <w:tcW w:w="1230" w:type="dxa"/>
            <w:tcBorders>
              <w:top w:val="single" w:sz="24" w:space="0" w:color="000000"/>
            </w:tcBorders>
            <w:shd w:val="clear" w:color="auto" w:fill="FFC000"/>
          </w:tcPr>
          <w:p>
            <w:pPr>
              <w:pStyle w:val="TableParagraph"/>
              <w:spacing w:line="192" w:lineRule="exact"/>
              <w:ind w:right="47"/>
              <w:rPr>
                <w:sz w:val="18"/>
              </w:rPr>
            </w:pPr>
            <w:r>
              <w:rPr>
                <w:sz w:val="18"/>
              </w:rPr>
              <w:t>$18,793,099</w:t>
            </w:r>
          </w:p>
        </w:tc>
        <w:tc>
          <w:tcPr>
            <w:tcW w:w="1585" w:type="dxa"/>
            <w:tcBorders>
              <w:top w:val="single" w:sz="24" w:space="0" w:color="000000"/>
            </w:tcBorders>
          </w:tcPr>
          <w:p>
            <w:pPr>
              <w:pStyle w:val="TableParagraph"/>
              <w:spacing w:line="192" w:lineRule="exact"/>
              <w:ind w:right="303"/>
              <w:rPr>
                <w:sz w:val="18"/>
              </w:rPr>
            </w:pPr>
            <w:r>
              <w:rPr>
                <w:sz w:val="18"/>
              </w:rPr>
              <w:t>$22,738,000</w:t>
            </w:r>
          </w:p>
        </w:tc>
        <w:tc>
          <w:tcPr>
            <w:tcW w:w="1581" w:type="dxa"/>
            <w:tcBorders>
              <w:top w:val="single" w:sz="24" w:space="0" w:color="000000"/>
            </w:tcBorders>
          </w:tcPr>
          <w:p>
            <w:pPr>
              <w:pStyle w:val="TableParagraph"/>
              <w:spacing w:line="192" w:lineRule="exact"/>
              <w:ind w:right="47"/>
              <w:rPr>
                <w:sz w:val="18"/>
              </w:rPr>
            </w:pPr>
            <w:r>
              <w:rPr>
                <w:sz w:val="18"/>
              </w:rPr>
              <w:t>$896,949,414</w:t>
            </w:r>
          </w:p>
        </w:tc>
      </w:tr>
      <w:tr>
        <w:trPr>
          <w:trHeight w:val="229" w:hRule="atLeast"/>
        </w:trPr>
        <w:tc>
          <w:tcPr>
            <w:tcW w:w="2198" w:type="dxa"/>
          </w:tcPr>
          <w:p>
            <w:pPr>
              <w:pStyle w:val="TableParagraph"/>
              <w:spacing w:line="205" w:lineRule="exact" w:before="5"/>
              <w:ind w:right="47"/>
              <w:rPr>
                <w:b/>
                <w:sz w:val="18"/>
              </w:rPr>
            </w:pPr>
            <w:r>
              <w:rPr>
                <w:b/>
                <w:sz w:val="18"/>
              </w:rPr>
              <w:t>2019</w:t>
            </w:r>
          </w:p>
        </w:tc>
        <w:tc>
          <w:tcPr>
            <w:tcW w:w="1397" w:type="dxa"/>
          </w:tcPr>
          <w:p>
            <w:pPr>
              <w:pStyle w:val="TableParagraph"/>
              <w:spacing w:line="205" w:lineRule="exact" w:before="5"/>
              <w:ind w:right="67"/>
              <w:rPr>
                <w:sz w:val="18"/>
              </w:rPr>
            </w:pPr>
            <w:r>
              <w:rPr>
                <w:sz w:val="18"/>
              </w:rPr>
              <w:t>$390,634,566</w:t>
            </w:r>
          </w:p>
        </w:tc>
        <w:tc>
          <w:tcPr>
            <w:tcW w:w="1443" w:type="dxa"/>
          </w:tcPr>
          <w:p>
            <w:pPr>
              <w:pStyle w:val="TableParagraph"/>
              <w:spacing w:line="205" w:lineRule="exact" w:before="5"/>
              <w:ind w:right="148"/>
              <w:rPr>
                <w:sz w:val="18"/>
              </w:rPr>
            </w:pPr>
            <w:r>
              <w:rPr>
                <w:sz w:val="18"/>
              </w:rPr>
              <w:t>$253,364,000</w:t>
            </w:r>
          </w:p>
        </w:tc>
        <w:tc>
          <w:tcPr>
            <w:tcW w:w="1550" w:type="dxa"/>
          </w:tcPr>
          <w:p>
            <w:pPr>
              <w:pStyle w:val="TableParagraph"/>
              <w:spacing w:line="205" w:lineRule="exact" w:before="5"/>
              <w:ind w:right="321"/>
              <w:rPr>
                <w:sz w:val="18"/>
              </w:rPr>
            </w:pPr>
            <w:r>
              <w:rPr>
                <w:sz w:val="18"/>
              </w:rPr>
              <w:t>$116,456,309</w:t>
            </w:r>
          </w:p>
        </w:tc>
        <w:tc>
          <w:tcPr>
            <w:tcW w:w="1476" w:type="dxa"/>
          </w:tcPr>
          <w:p>
            <w:pPr>
              <w:pStyle w:val="TableParagraph"/>
              <w:spacing w:line="205" w:lineRule="exact" w:before="5"/>
              <w:ind w:right="75"/>
              <w:rPr>
                <w:sz w:val="18"/>
              </w:rPr>
            </w:pPr>
            <w:r>
              <w:rPr>
                <w:sz w:val="18"/>
              </w:rPr>
              <w:t>$101,961,000</w:t>
            </w:r>
          </w:p>
        </w:tc>
        <w:tc>
          <w:tcPr>
            <w:tcW w:w="1087" w:type="dxa"/>
          </w:tcPr>
          <w:p>
            <w:pPr>
              <w:pStyle w:val="TableParagraph"/>
              <w:spacing w:line="205" w:lineRule="exact" w:before="5"/>
              <w:ind w:right="30"/>
              <w:rPr>
                <w:sz w:val="18"/>
              </w:rPr>
            </w:pPr>
            <w:r>
              <w:rPr>
                <w:sz w:val="18"/>
              </w:rPr>
              <w:t>$8,532,000</w:t>
            </w:r>
          </w:p>
        </w:tc>
        <w:tc>
          <w:tcPr>
            <w:tcW w:w="1230" w:type="dxa"/>
            <w:shd w:val="clear" w:color="auto" w:fill="FFC000"/>
          </w:tcPr>
          <w:p>
            <w:pPr>
              <w:pStyle w:val="TableParagraph"/>
              <w:spacing w:line="205" w:lineRule="exact" w:before="5"/>
              <w:ind w:right="47"/>
              <w:rPr>
                <w:sz w:val="18"/>
              </w:rPr>
            </w:pPr>
            <w:r>
              <w:rPr>
                <w:sz w:val="18"/>
              </w:rPr>
              <w:t>$20,740,920</w:t>
            </w:r>
          </w:p>
        </w:tc>
        <w:tc>
          <w:tcPr>
            <w:tcW w:w="1585" w:type="dxa"/>
          </w:tcPr>
          <w:p>
            <w:pPr>
              <w:pStyle w:val="TableParagraph"/>
              <w:spacing w:line="205" w:lineRule="exact" w:before="5"/>
              <w:ind w:right="303"/>
              <w:rPr>
                <w:sz w:val="18"/>
              </w:rPr>
            </w:pPr>
            <w:r>
              <w:rPr>
                <w:sz w:val="18"/>
              </w:rPr>
              <w:t>$23,950,000</w:t>
            </w:r>
          </w:p>
        </w:tc>
        <w:tc>
          <w:tcPr>
            <w:tcW w:w="1581" w:type="dxa"/>
          </w:tcPr>
          <w:p>
            <w:pPr>
              <w:pStyle w:val="TableParagraph"/>
              <w:spacing w:line="205" w:lineRule="exact" w:before="5"/>
              <w:ind w:right="47"/>
              <w:rPr>
                <w:sz w:val="18"/>
              </w:rPr>
            </w:pPr>
            <w:r>
              <w:rPr>
                <w:sz w:val="18"/>
              </w:rPr>
              <w:t>$915,638,795</w:t>
            </w:r>
          </w:p>
        </w:tc>
      </w:tr>
      <w:tr>
        <w:trPr>
          <w:trHeight w:val="229" w:hRule="atLeast"/>
        </w:trPr>
        <w:tc>
          <w:tcPr>
            <w:tcW w:w="2198" w:type="dxa"/>
          </w:tcPr>
          <w:p>
            <w:pPr>
              <w:pStyle w:val="TableParagraph"/>
              <w:spacing w:line="205" w:lineRule="exact" w:before="5"/>
              <w:ind w:right="47"/>
              <w:rPr>
                <w:b/>
                <w:sz w:val="18"/>
              </w:rPr>
            </w:pPr>
            <w:r>
              <w:rPr>
                <w:b/>
                <w:sz w:val="18"/>
              </w:rPr>
              <w:t>2020</w:t>
            </w:r>
          </w:p>
        </w:tc>
        <w:tc>
          <w:tcPr>
            <w:tcW w:w="1397" w:type="dxa"/>
          </w:tcPr>
          <w:p>
            <w:pPr>
              <w:pStyle w:val="TableParagraph"/>
              <w:spacing w:line="205" w:lineRule="exact" w:before="5"/>
              <w:ind w:right="67"/>
              <w:rPr>
                <w:sz w:val="18"/>
              </w:rPr>
            </w:pPr>
            <w:r>
              <w:rPr>
                <w:sz w:val="18"/>
              </w:rPr>
              <w:t>$376,627,905</w:t>
            </w:r>
          </w:p>
        </w:tc>
        <w:tc>
          <w:tcPr>
            <w:tcW w:w="1443" w:type="dxa"/>
          </w:tcPr>
          <w:p>
            <w:pPr>
              <w:pStyle w:val="TableParagraph"/>
              <w:spacing w:line="205" w:lineRule="exact" w:before="5"/>
              <w:ind w:right="148"/>
              <w:rPr>
                <w:sz w:val="18"/>
              </w:rPr>
            </w:pPr>
            <w:r>
              <w:rPr>
                <w:sz w:val="18"/>
              </w:rPr>
              <w:t>$271,852,000</w:t>
            </w:r>
          </w:p>
        </w:tc>
        <w:tc>
          <w:tcPr>
            <w:tcW w:w="1550" w:type="dxa"/>
          </w:tcPr>
          <w:p>
            <w:pPr>
              <w:pStyle w:val="TableParagraph"/>
              <w:spacing w:line="205" w:lineRule="exact" w:before="5"/>
              <w:ind w:right="321"/>
              <w:rPr>
                <w:sz w:val="18"/>
              </w:rPr>
            </w:pPr>
            <w:r>
              <w:rPr>
                <w:sz w:val="18"/>
              </w:rPr>
              <w:t>$116,456,309</w:t>
            </w:r>
          </w:p>
        </w:tc>
        <w:tc>
          <w:tcPr>
            <w:tcW w:w="1476" w:type="dxa"/>
          </w:tcPr>
          <w:p>
            <w:pPr>
              <w:pStyle w:val="TableParagraph"/>
              <w:spacing w:line="205" w:lineRule="exact" w:before="5"/>
              <w:ind w:right="75"/>
              <w:rPr>
                <w:sz w:val="18"/>
              </w:rPr>
            </w:pPr>
            <w:r>
              <w:rPr>
                <w:sz w:val="18"/>
              </w:rPr>
              <w:t>$104,064,000</w:t>
            </w:r>
          </w:p>
        </w:tc>
        <w:tc>
          <w:tcPr>
            <w:tcW w:w="1087" w:type="dxa"/>
          </w:tcPr>
          <w:p>
            <w:pPr>
              <w:pStyle w:val="TableParagraph"/>
              <w:spacing w:line="205" w:lineRule="exact" w:before="5"/>
              <w:ind w:right="30"/>
              <w:rPr>
                <w:sz w:val="18"/>
              </w:rPr>
            </w:pPr>
            <w:r>
              <w:rPr>
                <w:sz w:val="18"/>
              </w:rPr>
              <w:t>$12,404,000</w:t>
            </w:r>
          </w:p>
        </w:tc>
        <w:tc>
          <w:tcPr>
            <w:tcW w:w="1230" w:type="dxa"/>
            <w:shd w:val="clear" w:color="auto" w:fill="FFC000"/>
          </w:tcPr>
          <w:p>
            <w:pPr>
              <w:pStyle w:val="TableParagraph"/>
              <w:spacing w:line="205" w:lineRule="exact" w:before="5"/>
              <w:ind w:right="47"/>
              <w:rPr>
                <w:sz w:val="18"/>
              </w:rPr>
            </w:pPr>
            <w:r>
              <w:rPr>
                <w:sz w:val="18"/>
              </w:rPr>
              <w:t>$21,178,362</w:t>
            </w:r>
          </w:p>
        </w:tc>
        <w:tc>
          <w:tcPr>
            <w:tcW w:w="1585" w:type="dxa"/>
          </w:tcPr>
          <w:p>
            <w:pPr>
              <w:pStyle w:val="TableParagraph"/>
              <w:spacing w:line="205" w:lineRule="exact" w:before="5"/>
              <w:ind w:right="303"/>
              <w:rPr>
                <w:sz w:val="18"/>
              </w:rPr>
            </w:pPr>
            <w:r>
              <w:rPr>
                <w:sz w:val="18"/>
              </w:rPr>
              <w:t>$24,615,000</w:t>
            </w:r>
          </w:p>
        </w:tc>
        <w:tc>
          <w:tcPr>
            <w:tcW w:w="1581" w:type="dxa"/>
          </w:tcPr>
          <w:p>
            <w:pPr>
              <w:pStyle w:val="TableParagraph"/>
              <w:spacing w:line="205" w:lineRule="exact" w:before="5"/>
              <w:ind w:right="47"/>
              <w:rPr>
                <w:sz w:val="18"/>
              </w:rPr>
            </w:pPr>
            <w:r>
              <w:rPr>
                <w:sz w:val="18"/>
              </w:rPr>
              <w:t>$927,197,576</w:t>
            </w:r>
          </w:p>
        </w:tc>
      </w:tr>
      <w:tr>
        <w:trPr>
          <w:trHeight w:val="229" w:hRule="atLeast"/>
        </w:trPr>
        <w:tc>
          <w:tcPr>
            <w:tcW w:w="2198" w:type="dxa"/>
          </w:tcPr>
          <w:p>
            <w:pPr>
              <w:pStyle w:val="TableParagraph"/>
              <w:spacing w:line="205" w:lineRule="exact" w:before="5"/>
              <w:ind w:right="47"/>
              <w:rPr>
                <w:b/>
                <w:sz w:val="18"/>
              </w:rPr>
            </w:pPr>
            <w:r>
              <w:rPr>
                <w:b/>
                <w:sz w:val="18"/>
              </w:rPr>
              <w:t>2021</w:t>
            </w:r>
          </w:p>
        </w:tc>
        <w:tc>
          <w:tcPr>
            <w:tcW w:w="1397" w:type="dxa"/>
          </w:tcPr>
          <w:p>
            <w:pPr>
              <w:pStyle w:val="TableParagraph"/>
              <w:spacing w:line="205" w:lineRule="exact" w:before="5"/>
              <w:ind w:right="67"/>
              <w:rPr>
                <w:sz w:val="18"/>
              </w:rPr>
            </w:pPr>
            <w:r>
              <w:rPr>
                <w:sz w:val="18"/>
              </w:rPr>
              <w:t>$376,627,905</w:t>
            </w:r>
          </w:p>
        </w:tc>
        <w:tc>
          <w:tcPr>
            <w:tcW w:w="1443" w:type="dxa"/>
          </w:tcPr>
          <w:p>
            <w:pPr>
              <w:pStyle w:val="TableParagraph"/>
              <w:spacing w:line="205" w:lineRule="exact" w:before="5"/>
              <w:ind w:right="148"/>
              <w:rPr>
                <w:sz w:val="18"/>
              </w:rPr>
            </w:pPr>
            <w:r>
              <w:rPr>
                <w:sz w:val="18"/>
              </w:rPr>
              <w:t>$266,803,000</w:t>
            </w:r>
          </w:p>
        </w:tc>
        <w:tc>
          <w:tcPr>
            <w:tcW w:w="1550" w:type="dxa"/>
          </w:tcPr>
          <w:p>
            <w:pPr>
              <w:pStyle w:val="TableParagraph"/>
              <w:spacing w:line="205" w:lineRule="exact" w:before="5"/>
              <w:ind w:right="321"/>
              <w:rPr>
                <w:sz w:val="18"/>
              </w:rPr>
            </w:pPr>
            <w:r>
              <w:rPr>
                <w:sz w:val="18"/>
              </w:rPr>
              <w:t>$116,456,309</w:t>
            </w:r>
          </w:p>
        </w:tc>
        <w:tc>
          <w:tcPr>
            <w:tcW w:w="1476" w:type="dxa"/>
          </w:tcPr>
          <w:p>
            <w:pPr>
              <w:pStyle w:val="TableParagraph"/>
              <w:spacing w:line="205" w:lineRule="exact" w:before="5"/>
              <w:ind w:right="75"/>
              <w:rPr>
                <w:sz w:val="18"/>
              </w:rPr>
            </w:pPr>
            <w:r>
              <w:rPr>
                <w:sz w:val="18"/>
              </w:rPr>
              <w:t>$106,195,000</w:t>
            </w:r>
          </w:p>
        </w:tc>
        <w:tc>
          <w:tcPr>
            <w:tcW w:w="1087" w:type="dxa"/>
          </w:tcPr>
          <w:p>
            <w:pPr>
              <w:pStyle w:val="TableParagraph"/>
              <w:spacing w:line="205" w:lineRule="exact" w:before="5"/>
              <w:ind w:right="30"/>
              <w:rPr>
                <w:sz w:val="18"/>
              </w:rPr>
            </w:pPr>
            <w:r>
              <w:rPr>
                <w:sz w:val="18"/>
              </w:rPr>
              <w:t>$12,404,000</w:t>
            </w:r>
          </w:p>
        </w:tc>
        <w:tc>
          <w:tcPr>
            <w:tcW w:w="1230" w:type="dxa"/>
            <w:shd w:val="clear" w:color="auto" w:fill="FFC000"/>
          </w:tcPr>
          <w:p>
            <w:pPr>
              <w:pStyle w:val="TableParagraph"/>
              <w:spacing w:line="205" w:lineRule="exact" w:before="5"/>
              <w:ind w:right="47"/>
              <w:rPr>
                <w:sz w:val="18"/>
              </w:rPr>
            </w:pPr>
            <w:r>
              <w:rPr>
                <w:sz w:val="18"/>
              </w:rPr>
              <w:t>$21,626,987</w:t>
            </w:r>
          </w:p>
        </w:tc>
        <w:tc>
          <w:tcPr>
            <w:tcW w:w="1585" w:type="dxa"/>
          </w:tcPr>
          <w:p>
            <w:pPr>
              <w:pStyle w:val="TableParagraph"/>
              <w:spacing w:line="205" w:lineRule="exact" w:before="5"/>
              <w:ind w:right="303"/>
              <w:rPr>
                <w:sz w:val="18"/>
              </w:rPr>
            </w:pPr>
            <w:r>
              <w:rPr>
                <w:sz w:val="18"/>
              </w:rPr>
              <w:t>$23,216,000</w:t>
            </w:r>
          </w:p>
        </w:tc>
        <w:tc>
          <w:tcPr>
            <w:tcW w:w="1581" w:type="dxa"/>
          </w:tcPr>
          <w:p>
            <w:pPr>
              <w:pStyle w:val="TableParagraph"/>
              <w:spacing w:line="205" w:lineRule="exact" w:before="5"/>
              <w:ind w:right="47"/>
              <w:rPr>
                <w:sz w:val="18"/>
              </w:rPr>
            </w:pPr>
            <w:r>
              <w:rPr>
                <w:sz w:val="18"/>
              </w:rPr>
              <w:t>$923,329,201</w:t>
            </w:r>
          </w:p>
        </w:tc>
      </w:tr>
      <w:tr>
        <w:trPr>
          <w:trHeight w:val="229" w:hRule="atLeast"/>
        </w:trPr>
        <w:tc>
          <w:tcPr>
            <w:tcW w:w="2198" w:type="dxa"/>
          </w:tcPr>
          <w:p>
            <w:pPr>
              <w:pStyle w:val="TableParagraph"/>
              <w:spacing w:line="205" w:lineRule="exact" w:before="5"/>
              <w:ind w:right="47"/>
              <w:rPr>
                <w:b/>
                <w:sz w:val="18"/>
              </w:rPr>
            </w:pPr>
            <w:r>
              <w:rPr>
                <w:b/>
                <w:sz w:val="18"/>
              </w:rPr>
              <w:t>2022</w:t>
            </w:r>
          </w:p>
        </w:tc>
        <w:tc>
          <w:tcPr>
            <w:tcW w:w="1397" w:type="dxa"/>
          </w:tcPr>
          <w:p>
            <w:pPr>
              <w:pStyle w:val="TableParagraph"/>
              <w:spacing w:line="205" w:lineRule="exact" w:before="5"/>
              <w:ind w:right="67"/>
              <w:rPr>
                <w:sz w:val="18"/>
              </w:rPr>
            </w:pPr>
            <w:r>
              <w:rPr>
                <w:sz w:val="18"/>
              </w:rPr>
              <w:t>$376,627,905</w:t>
            </w:r>
          </w:p>
        </w:tc>
        <w:tc>
          <w:tcPr>
            <w:tcW w:w="1443" w:type="dxa"/>
          </w:tcPr>
          <w:p>
            <w:pPr>
              <w:pStyle w:val="TableParagraph"/>
              <w:spacing w:line="205" w:lineRule="exact" w:before="5"/>
              <w:ind w:right="148"/>
              <w:rPr>
                <w:sz w:val="18"/>
              </w:rPr>
            </w:pPr>
            <w:r>
              <w:rPr>
                <w:sz w:val="18"/>
              </w:rPr>
              <w:t>$274,785,000</w:t>
            </w:r>
          </w:p>
        </w:tc>
        <w:tc>
          <w:tcPr>
            <w:tcW w:w="1550" w:type="dxa"/>
          </w:tcPr>
          <w:p>
            <w:pPr>
              <w:pStyle w:val="TableParagraph"/>
              <w:spacing w:line="205" w:lineRule="exact" w:before="5"/>
              <w:ind w:right="321"/>
              <w:rPr>
                <w:sz w:val="18"/>
              </w:rPr>
            </w:pPr>
            <w:r>
              <w:rPr>
                <w:sz w:val="18"/>
              </w:rPr>
              <w:t>$116,456,309</w:t>
            </w:r>
          </w:p>
        </w:tc>
        <w:tc>
          <w:tcPr>
            <w:tcW w:w="1476" w:type="dxa"/>
          </w:tcPr>
          <w:p>
            <w:pPr>
              <w:pStyle w:val="TableParagraph"/>
              <w:spacing w:line="205" w:lineRule="exact" w:before="5"/>
              <w:ind w:right="75"/>
              <w:rPr>
                <w:sz w:val="18"/>
              </w:rPr>
            </w:pPr>
            <w:r>
              <w:rPr>
                <w:sz w:val="18"/>
              </w:rPr>
              <w:t>$108,356,000</w:t>
            </w:r>
          </w:p>
        </w:tc>
        <w:tc>
          <w:tcPr>
            <w:tcW w:w="1087" w:type="dxa"/>
          </w:tcPr>
          <w:p>
            <w:pPr>
              <w:pStyle w:val="TableParagraph"/>
              <w:spacing w:line="205" w:lineRule="exact" w:before="5"/>
              <w:ind w:right="30"/>
              <w:rPr>
                <w:sz w:val="18"/>
              </w:rPr>
            </w:pPr>
            <w:r>
              <w:rPr>
                <w:sz w:val="18"/>
              </w:rPr>
              <w:t>$10,998,000</w:t>
            </w:r>
          </w:p>
        </w:tc>
        <w:tc>
          <w:tcPr>
            <w:tcW w:w="1230" w:type="dxa"/>
            <w:shd w:val="clear" w:color="auto" w:fill="FFC000"/>
          </w:tcPr>
          <w:p>
            <w:pPr>
              <w:pStyle w:val="TableParagraph"/>
              <w:spacing w:line="205" w:lineRule="exact" w:before="5"/>
              <w:ind w:right="47"/>
              <w:rPr>
                <w:sz w:val="18"/>
              </w:rPr>
            </w:pPr>
            <w:r>
              <w:rPr>
                <w:sz w:val="18"/>
              </w:rPr>
              <w:t>$22,086,959</w:t>
            </w:r>
          </w:p>
        </w:tc>
        <w:tc>
          <w:tcPr>
            <w:tcW w:w="1585" w:type="dxa"/>
          </w:tcPr>
          <w:p>
            <w:pPr>
              <w:pStyle w:val="TableParagraph"/>
              <w:spacing w:line="205" w:lineRule="exact" w:before="5"/>
              <w:ind w:right="303"/>
              <w:rPr>
                <w:sz w:val="18"/>
              </w:rPr>
            </w:pPr>
            <w:r>
              <w:rPr>
                <w:sz w:val="18"/>
              </w:rPr>
              <w:t>$23,720,000</w:t>
            </w:r>
          </w:p>
        </w:tc>
        <w:tc>
          <w:tcPr>
            <w:tcW w:w="1581" w:type="dxa"/>
          </w:tcPr>
          <w:p>
            <w:pPr>
              <w:pStyle w:val="TableParagraph"/>
              <w:spacing w:line="205" w:lineRule="exact" w:before="5"/>
              <w:ind w:right="47"/>
              <w:rPr>
                <w:sz w:val="18"/>
              </w:rPr>
            </w:pPr>
            <w:r>
              <w:rPr>
                <w:sz w:val="18"/>
              </w:rPr>
              <w:t>$933,030,173</w:t>
            </w:r>
          </w:p>
        </w:tc>
      </w:tr>
      <w:tr>
        <w:trPr>
          <w:trHeight w:val="229" w:hRule="atLeast"/>
        </w:trPr>
        <w:tc>
          <w:tcPr>
            <w:tcW w:w="2198" w:type="dxa"/>
          </w:tcPr>
          <w:p>
            <w:pPr>
              <w:pStyle w:val="TableParagraph"/>
              <w:spacing w:line="205" w:lineRule="exact" w:before="5"/>
              <w:ind w:right="47"/>
              <w:rPr>
                <w:b/>
                <w:sz w:val="18"/>
              </w:rPr>
            </w:pPr>
            <w:r>
              <w:rPr>
                <w:b/>
                <w:sz w:val="18"/>
              </w:rPr>
              <w:t>2023</w:t>
            </w:r>
          </w:p>
        </w:tc>
        <w:tc>
          <w:tcPr>
            <w:tcW w:w="1397" w:type="dxa"/>
          </w:tcPr>
          <w:p>
            <w:pPr>
              <w:pStyle w:val="TableParagraph"/>
              <w:spacing w:line="205" w:lineRule="exact" w:before="5"/>
              <w:ind w:right="67"/>
              <w:rPr>
                <w:sz w:val="18"/>
              </w:rPr>
            </w:pPr>
            <w:r>
              <w:rPr>
                <w:sz w:val="18"/>
              </w:rPr>
              <w:t>$376,627,905</w:t>
            </w:r>
          </w:p>
        </w:tc>
        <w:tc>
          <w:tcPr>
            <w:tcW w:w="1443" w:type="dxa"/>
          </w:tcPr>
          <w:p>
            <w:pPr>
              <w:pStyle w:val="TableParagraph"/>
              <w:spacing w:line="205" w:lineRule="exact" w:before="5"/>
              <w:ind w:right="148"/>
              <w:rPr>
                <w:sz w:val="18"/>
              </w:rPr>
            </w:pPr>
            <w:r>
              <w:rPr>
                <w:sz w:val="18"/>
              </w:rPr>
              <w:t>$283,007,000</w:t>
            </w:r>
          </w:p>
        </w:tc>
        <w:tc>
          <w:tcPr>
            <w:tcW w:w="1550" w:type="dxa"/>
          </w:tcPr>
          <w:p>
            <w:pPr>
              <w:pStyle w:val="TableParagraph"/>
              <w:spacing w:line="205" w:lineRule="exact" w:before="5"/>
              <w:ind w:right="321"/>
              <w:rPr>
                <w:sz w:val="18"/>
              </w:rPr>
            </w:pPr>
            <w:r>
              <w:rPr>
                <w:sz w:val="18"/>
              </w:rPr>
              <w:t>$116,456,309</w:t>
            </w:r>
          </w:p>
        </w:tc>
        <w:tc>
          <w:tcPr>
            <w:tcW w:w="1476" w:type="dxa"/>
          </w:tcPr>
          <w:p>
            <w:pPr>
              <w:pStyle w:val="TableParagraph"/>
              <w:spacing w:line="205" w:lineRule="exact" w:before="5"/>
              <w:ind w:right="75"/>
              <w:rPr>
                <w:sz w:val="18"/>
              </w:rPr>
            </w:pPr>
            <w:r>
              <w:rPr>
                <w:sz w:val="18"/>
              </w:rPr>
              <w:t>$110,548,000</w:t>
            </w:r>
          </w:p>
        </w:tc>
        <w:tc>
          <w:tcPr>
            <w:tcW w:w="1087" w:type="dxa"/>
          </w:tcPr>
          <w:p>
            <w:pPr>
              <w:pStyle w:val="TableParagraph"/>
              <w:spacing w:line="205" w:lineRule="exact" w:before="5"/>
              <w:ind w:right="30"/>
              <w:rPr>
                <w:sz w:val="18"/>
              </w:rPr>
            </w:pPr>
            <w:r>
              <w:rPr>
                <w:sz w:val="18"/>
              </w:rPr>
              <w:t>$10,998,000</w:t>
            </w:r>
          </w:p>
        </w:tc>
        <w:tc>
          <w:tcPr>
            <w:tcW w:w="1230" w:type="dxa"/>
            <w:shd w:val="clear" w:color="auto" w:fill="FFC000"/>
          </w:tcPr>
          <w:p>
            <w:pPr>
              <w:pStyle w:val="TableParagraph"/>
              <w:spacing w:line="205" w:lineRule="exact" w:before="5"/>
              <w:ind w:right="47"/>
              <w:rPr>
                <w:sz w:val="18"/>
              </w:rPr>
            </w:pPr>
            <w:r>
              <w:rPr>
                <w:sz w:val="18"/>
              </w:rPr>
              <w:t>$22,558,944</w:t>
            </w:r>
          </w:p>
        </w:tc>
        <w:tc>
          <w:tcPr>
            <w:tcW w:w="1585" w:type="dxa"/>
          </w:tcPr>
          <w:p>
            <w:pPr>
              <w:pStyle w:val="TableParagraph"/>
              <w:spacing w:line="205" w:lineRule="exact" w:before="5"/>
              <w:ind w:right="303"/>
              <w:rPr>
                <w:sz w:val="18"/>
              </w:rPr>
            </w:pPr>
            <w:r>
              <w:rPr>
                <w:sz w:val="18"/>
              </w:rPr>
              <w:t>$24,605,000</w:t>
            </w:r>
          </w:p>
        </w:tc>
        <w:tc>
          <w:tcPr>
            <w:tcW w:w="1581" w:type="dxa"/>
          </w:tcPr>
          <w:p>
            <w:pPr>
              <w:pStyle w:val="TableParagraph"/>
              <w:spacing w:line="205" w:lineRule="exact" w:before="5"/>
              <w:ind w:right="47"/>
              <w:rPr>
                <w:sz w:val="18"/>
              </w:rPr>
            </w:pPr>
            <w:r>
              <w:rPr>
                <w:sz w:val="18"/>
              </w:rPr>
              <w:t>$944,801,158</w:t>
            </w:r>
          </w:p>
        </w:tc>
      </w:tr>
      <w:tr>
        <w:trPr>
          <w:trHeight w:val="229" w:hRule="atLeast"/>
        </w:trPr>
        <w:tc>
          <w:tcPr>
            <w:tcW w:w="2198" w:type="dxa"/>
          </w:tcPr>
          <w:p>
            <w:pPr>
              <w:pStyle w:val="TableParagraph"/>
              <w:spacing w:line="205" w:lineRule="exact" w:before="5"/>
              <w:ind w:right="47"/>
              <w:rPr>
                <w:b/>
                <w:sz w:val="18"/>
              </w:rPr>
            </w:pPr>
            <w:r>
              <w:rPr>
                <w:b/>
                <w:sz w:val="18"/>
              </w:rPr>
              <w:t>2024</w:t>
            </w:r>
          </w:p>
        </w:tc>
        <w:tc>
          <w:tcPr>
            <w:tcW w:w="1397" w:type="dxa"/>
          </w:tcPr>
          <w:p>
            <w:pPr>
              <w:pStyle w:val="TableParagraph"/>
              <w:spacing w:line="205" w:lineRule="exact" w:before="5"/>
              <w:ind w:right="67"/>
              <w:rPr>
                <w:sz w:val="18"/>
              </w:rPr>
            </w:pPr>
            <w:r>
              <w:rPr>
                <w:sz w:val="18"/>
              </w:rPr>
              <w:t>$376,627,905</w:t>
            </w:r>
          </w:p>
        </w:tc>
        <w:tc>
          <w:tcPr>
            <w:tcW w:w="1443" w:type="dxa"/>
          </w:tcPr>
          <w:p>
            <w:pPr>
              <w:pStyle w:val="TableParagraph"/>
              <w:spacing w:line="205" w:lineRule="exact" w:before="5"/>
              <w:ind w:right="148"/>
              <w:rPr>
                <w:sz w:val="18"/>
              </w:rPr>
            </w:pPr>
            <w:r>
              <w:rPr>
                <w:sz w:val="18"/>
              </w:rPr>
              <w:t>$291,476,000</w:t>
            </w:r>
          </w:p>
        </w:tc>
        <w:tc>
          <w:tcPr>
            <w:tcW w:w="1550" w:type="dxa"/>
          </w:tcPr>
          <w:p>
            <w:pPr>
              <w:pStyle w:val="TableParagraph"/>
              <w:spacing w:line="205" w:lineRule="exact" w:before="5"/>
              <w:ind w:right="321"/>
              <w:rPr>
                <w:sz w:val="18"/>
              </w:rPr>
            </w:pPr>
            <w:r>
              <w:rPr>
                <w:sz w:val="18"/>
              </w:rPr>
              <w:t>$116,456,309</w:t>
            </w:r>
          </w:p>
        </w:tc>
        <w:tc>
          <w:tcPr>
            <w:tcW w:w="1476" w:type="dxa"/>
          </w:tcPr>
          <w:p>
            <w:pPr>
              <w:pStyle w:val="TableParagraph"/>
              <w:spacing w:line="205" w:lineRule="exact" w:before="5"/>
              <w:ind w:right="75"/>
              <w:rPr>
                <w:sz w:val="18"/>
              </w:rPr>
            </w:pPr>
            <w:r>
              <w:rPr>
                <w:sz w:val="18"/>
              </w:rPr>
              <w:t>$112,771,000</w:t>
            </w:r>
          </w:p>
        </w:tc>
        <w:tc>
          <w:tcPr>
            <w:tcW w:w="1087" w:type="dxa"/>
          </w:tcPr>
          <w:p>
            <w:pPr>
              <w:pStyle w:val="TableParagraph"/>
              <w:spacing w:line="205" w:lineRule="exact" w:before="5"/>
              <w:ind w:right="30"/>
              <w:rPr>
                <w:sz w:val="18"/>
              </w:rPr>
            </w:pPr>
            <w:r>
              <w:rPr>
                <w:sz w:val="18"/>
              </w:rPr>
              <w:t>$10,998,000</w:t>
            </w:r>
          </w:p>
        </w:tc>
        <w:tc>
          <w:tcPr>
            <w:tcW w:w="1230" w:type="dxa"/>
            <w:shd w:val="clear" w:color="auto" w:fill="FFC000"/>
          </w:tcPr>
          <w:p>
            <w:pPr>
              <w:pStyle w:val="TableParagraph"/>
              <w:spacing w:line="205" w:lineRule="exact" w:before="5"/>
              <w:ind w:right="47"/>
              <w:rPr>
                <w:sz w:val="18"/>
              </w:rPr>
            </w:pPr>
            <w:r>
              <w:rPr>
                <w:sz w:val="18"/>
              </w:rPr>
              <w:t>$23,043,313</w:t>
            </w:r>
          </w:p>
        </w:tc>
        <w:tc>
          <w:tcPr>
            <w:tcW w:w="1585" w:type="dxa"/>
          </w:tcPr>
          <w:p>
            <w:pPr>
              <w:pStyle w:val="TableParagraph"/>
              <w:spacing w:line="205" w:lineRule="exact" w:before="5"/>
              <w:ind w:right="303"/>
              <w:rPr>
                <w:sz w:val="18"/>
              </w:rPr>
            </w:pPr>
            <w:r>
              <w:rPr>
                <w:sz w:val="18"/>
              </w:rPr>
              <w:t>$24,629,000</w:t>
            </w:r>
          </w:p>
        </w:tc>
        <w:tc>
          <w:tcPr>
            <w:tcW w:w="1581" w:type="dxa"/>
          </w:tcPr>
          <w:p>
            <w:pPr>
              <w:pStyle w:val="TableParagraph"/>
              <w:spacing w:line="205" w:lineRule="exact" w:before="5"/>
              <w:ind w:right="47"/>
              <w:rPr>
                <w:sz w:val="18"/>
              </w:rPr>
            </w:pPr>
            <w:r>
              <w:rPr>
                <w:sz w:val="18"/>
              </w:rPr>
              <w:t>$956,001,527</w:t>
            </w:r>
          </w:p>
        </w:tc>
      </w:tr>
      <w:tr>
        <w:trPr>
          <w:trHeight w:val="220" w:hRule="atLeast"/>
        </w:trPr>
        <w:tc>
          <w:tcPr>
            <w:tcW w:w="2198" w:type="dxa"/>
            <w:tcBorders>
              <w:bottom w:val="single" w:sz="24" w:space="0" w:color="000000"/>
            </w:tcBorders>
          </w:tcPr>
          <w:p>
            <w:pPr>
              <w:pStyle w:val="TableParagraph"/>
              <w:spacing w:line="195" w:lineRule="exact" w:before="5"/>
              <w:ind w:right="47"/>
              <w:rPr>
                <w:b/>
                <w:sz w:val="18"/>
              </w:rPr>
            </w:pPr>
            <w:r>
              <w:rPr>
                <w:b/>
                <w:sz w:val="18"/>
              </w:rPr>
              <w:t>2025</w:t>
            </w:r>
          </w:p>
        </w:tc>
        <w:tc>
          <w:tcPr>
            <w:tcW w:w="1397" w:type="dxa"/>
          </w:tcPr>
          <w:p>
            <w:pPr>
              <w:pStyle w:val="TableParagraph"/>
              <w:spacing w:line="195" w:lineRule="exact" w:before="5"/>
              <w:ind w:right="67"/>
              <w:rPr>
                <w:sz w:val="18"/>
              </w:rPr>
            </w:pPr>
            <w:r>
              <w:rPr>
                <w:sz w:val="18"/>
              </w:rPr>
              <w:t>$376,627,905</w:t>
            </w:r>
          </w:p>
        </w:tc>
        <w:tc>
          <w:tcPr>
            <w:tcW w:w="1443" w:type="dxa"/>
          </w:tcPr>
          <w:p>
            <w:pPr>
              <w:pStyle w:val="TableParagraph"/>
              <w:spacing w:line="195" w:lineRule="exact" w:before="5"/>
              <w:ind w:right="148"/>
              <w:rPr>
                <w:sz w:val="18"/>
              </w:rPr>
            </w:pPr>
            <w:r>
              <w:rPr>
                <w:sz w:val="18"/>
              </w:rPr>
              <w:t>$300,198,000</w:t>
            </w:r>
          </w:p>
        </w:tc>
        <w:tc>
          <w:tcPr>
            <w:tcW w:w="1550" w:type="dxa"/>
          </w:tcPr>
          <w:p>
            <w:pPr>
              <w:pStyle w:val="TableParagraph"/>
              <w:spacing w:line="195" w:lineRule="exact" w:before="5"/>
              <w:ind w:right="321"/>
              <w:rPr>
                <w:sz w:val="18"/>
              </w:rPr>
            </w:pPr>
            <w:r>
              <w:rPr>
                <w:sz w:val="18"/>
              </w:rPr>
              <w:t>$116,456,309</w:t>
            </w:r>
          </w:p>
        </w:tc>
        <w:tc>
          <w:tcPr>
            <w:tcW w:w="1476" w:type="dxa"/>
          </w:tcPr>
          <w:p>
            <w:pPr>
              <w:pStyle w:val="TableParagraph"/>
              <w:spacing w:line="195" w:lineRule="exact" w:before="5"/>
              <w:ind w:right="75"/>
              <w:rPr>
                <w:sz w:val="18"/>
              </w:rPr>
            </w:pPr>
            <w:r>
              <w:rPr>
                <w:sz w:val="18"/>
              </w:rPr>
              <w:t>$115,028,000</w:t>
            </w:r>
          </w:p>
        </w:tc>
        <w:tc>
          <w:tcPr>
            <w:tcW w:w="1087" w:type="dxa"/>
          </w:tcPr>
          <w:p>
            <w:pPr>
              <w:pStyle w:val="TableParagraph"/>
              <w:spacing w:line="195" w:lineRule="exact" w:before="5"/>
              <w:ind w:right="30"/>
              <w:rPr>
                <w:sz w:val="18"/>
              </w:rPr>
            </w:pPr>
            <w:r>
              <w:rPr>
                <w:sz w:val="18"/>
              </w:rPr>
              <w:t>$10,870,000</w:t>
            </w:r>
          </w:p>
        </w:tc>
        <w:tc>
          <w:tcPr>
            <w:tcW w:w="1230" w:type="dxa"/>
            <w:shd w:val="clear" w:color="auto" w:fill="FFC000"/>
          </w:tcPr>
          <w:p>
            <w:pPr>
              <w:pStyle w:val="TableParagraph"/>
              <w:spacing w:line="195" w:lineRule="exact" w:before="5"/>
              <w:ind w:right="47"/>
              <w:rPr>
                <w:sz w:val="18"/>
              </w:rPr>
            </w:pPr>
            <w:r>
              <w:rPr>
                <w:sz w:val="18"/>
              </w:rPr>
              <w:t>$23,540,840</w:t>
            </w:r>
          </w:p>
        </w:tc>
        <w:tc>
          <w:tcPr>
            <w:tcW w:w="1585" w:type="dxa"/>
          </w:tcPr>
          <w:p>
            <w:pPr>
              <w:pStyle w:val="TableParagraph"/>
              <w:spacing w:line="195" w:lineRule="exact" w:before="5"/>
              <w:ind w:right="303"/>
              <w:rPr>
                <w:sz w:val="18"/>
              </w:rPr>
            </w:pPr>
            <w:r>
              <w:rPr>
                <w:sz w:val="18"/>
              </w:rPr>
              <w:t>$25,503,000</w:t>
            </w:r>
          </w:p>
        </w:tc>
        <w:tc>
          <w:tcPr>
            <w:tcW w:w="1581" w:type="dxa"/>
          </w:tcPr>
          <w:p>
            <w:pPr>
              <w:pStyle w:val="TableParagraph"/>
              <w:spacing w:line="195" w:lineRule="exact" w:before="5"/>
              <w:ind w:right="47"/>
              <w:rPr>
                <w:sz w:val="18"/>
              </w:rPr>
            </w:pPr>
            <w:r>
              <w:rPr>
                <w:sz w:val="18"/>
              </w:rPr>
              <w:t>$968,224,054</w:t>
            </w:r>
          </w:p>
        </w:tc>
      </w:tr>
      <w:tr>
        <w:trPr>
          <w:trHeight w:val="211" w:hRule="atLeast"/>
        </w:trPr>
        <w:tc>
          <w:tcPr>
            <w:tcW w:w="2198" w:type="dxa"/>
            <w:tcBorders>
              <w:top w:val="single" w:sz="24" w:space="0" w:color="000000"/>
            </w:tcBorders>
          </w:tcPr>
          <w:p>
            <w:pPr>
              <w:pStyle w:val="TableParagraph"/>
              <w:spacing w:line="192" w:lineRule="exact"/>
              <w:ind w:right="92"/>
              <w:rPr>
                <w:b/>
                <w:sz w:val="18"/>
              </w:rPr>
            </w:pPr>
            <w:r>
              <w:rPr>
                <w:b/>
                <w:sz w:val="18"/>
              </w:rPr>
              <w:t>TOTAL (excluding CCA/REN</w:t>
            </w:r>
          </w:p>
        </w:tc>
        <w:tc>
          <w:tcPr>
            <w:tcW w:w="1397" w:type="dxa"/>
          </w:tcPr>
          <w:p>
            <w:pPr>
              <w:pStyle w:val="TableParagraph"/>
              <w:spacing w:line="240" w:lineRule="auto"/>
              <w:jc w:val="left"/>
              <w:rPr>
                <w:rFonts w:ascii="Times New Roman"/>
                <w:sz w:val="14"/>
              </w:rPr>
            </w:pPr>
          </w:p>
        </w:tc>
        <w:tc>
          <w:tcPr>
            <w:tcW w:w="1443" w:type="dxa"/>
          </w:tcPr>
          <w:p>
            <w:pPr>
              <w:pStyle w:val="TableParagraph"/>
              <w:spacing w:line="240" w:lineRule="auto"/>
              <w:jc w:val="left"/>
              <w:rPr>
                <w:rFonts w:ascii="Times New Roman"/>
                <w:sz w:val="14"/>
              </w:rPr>
            </w:pPr>
          </w:p>
        </w:tc>
        <w:tc>
          <w:tcPr>
            <w:tcW w:w="1550" w:type="dxa"/>
          </w:tcPr>
          <w:p>
            <w:pPr>
              <w:pStyle w:val="TableParagraph"/>
              <w:spacing w:line="240" w:lineRule="auto"/>
              <w:jc w:val="left"/>
              <w:rPr>
                <w:rFonts w:ascii="Times New Roman"/>
                <w:sz w:val="14"/>
              </w:rPr>
            </w:pPr>
          </w:p>
        </w:tc>
        <w:tc>
          <w:tcPr>
            <w:tcW w:w="1476" w:type="dxa"/>
          </w:tcPr>
          <w:p>
            <w:pPr>
              <w:pStyle w:val="TableParagraph"/>
              <w:spacing w:line="240" w:lineRule="auto"/>
              <w:jc w:val="left"/>
              <w:rPr>
                <w:rFonts w:ascii="Times New Roman"/>
                <w:sz w:val="14"/>
              </w:rPr>
            </w:pPr>
          </w:p>
        </w:tc>
        <w:tc>
          <w:tcPr>
            <w:tcW w:w="1087" w:type="dxa"/>
          </w:tcPr>
          <w:p>
            <w:pPr>
              <w:pStyle w:val="TableParagraph"/>
              <w:spacing w:line="240" w:lineRule="auto"/>
              <w:jc w:val="left"/>
              <w:rPr>
                <w:rFonts w:ascii="Times New Roman"/>
                <w:sz w:val="14"/>
              </w:rPr>
            </w:pPr>
          </w:p>
        </w:tc>
        <w:tc>
          <w:tcPr>
            <w:tcW w:w="1230" w:type="dxa"/>
            <w:shd w:val="clear" w:color="auto" w:fill="FFC000"/>
          </w:tcPr>
          <w:p>
            <w:pPr>
              <w:pStyle w:val="TableParagraph"/>
              <w:spacing w:line="240" w:lineRule="auto"/>
              <w:jc w:val="left"/>
              <w:rPr>
                <w:rFonts w:ascii="Times New Roman"/>
                <w:sz w:val="14"/>
              </w:rPr>
            </w:pPr>
          </w:p>
        </w:tc>
        <w:tc>
          <w:tcPr>
            <w:tcW w:w="1585" w:type="dxa"/>
          </w:tcPr>
          <w:p>
            <w:pPr>
              <w:pStyle w:val="TableParagraph"/>
              <w:spacing w:line="240" w:lineRule="auto"/>
              <w:jc w:val="left"/>
              <w:rPr>
                <w:rFonts w:ascii="Times New Roman"/>
                <w:sz w:val="14"/>
              </w:rPr>
            </w:pPr>
          </w:p>
        </w:tc>
        <w:tc>
          <w:tcPr>
            <w:tcW w:w="1581" w:type="dxa"/>
          </w:tcPr>
          <w:p>
            <w:pPr>
              <w:pStyle w:val="TableParagraph"/>
              <w:spacing w:line="240" w:lineRule="auto"/>
              <w:jc w:val="left"/>
              <w:rPr>
                <w:rFonts w:ascii="Times New Roman"/>
                <w:sz w:val="14"/>
              </w:rPr>
            </w:pPr>
          </w:p>
        </w:tc>
      </w:tr>
      <w:tr>
        <w:trPr>
          <w:trHeight w:val="242" w:hRule="atLeast"/>
        </w:trPr>
        <w:tc>
          <w:tcPr>
            <w:tcW w:w="2198" w:type="dxa"/>
          </w:tcPr>
          <w:p>
            <w:pPr>
              <w:pStyle w:val="TableParagraph"/>
              <w:spacing w:before="5"/>
              <w:ind w:left="656"/>
              <w:jc w:val="left"/>
              <w:rPr>
                <w:b/>
                <w:sz w:val="18"/>
              </w:rPr>
            </w:pPr>
            <w:r>
              <w:rPr>
                <w:b/>
                <w:sz w:val="18"/>
              </w:rPr>
              <w:t>for IOU PAs)</w:t>
            </w:r>
          </w:p>
        </w:tc>
        <w:tc>
          <w:tcPr>
            <w:tcW w:w="1397" w:type="dxa"/>
          </w:tcPr>
          <w:p>
            <w:pPr>
              <w:pStyle w:val="TableParagraph"/>
              <w:spacing w:before="5"/>
              <w:ind w:right="67"/>
              <w:rPr>
                <w:sz w:val="18"/>
              </w:rPr>
            </w:pPr>
            <w:r>
              <w:rPr>
                <w:sz w:val="18"/>
              </w:rPr>
              <w:t>$3,048,992,429</w:t>
            </w:r>
          </w:p>
        </w:tc>
        <w:tc>
          <w:tcPr>
            <w:tcW w:w="1443" w:type="dxa"/>
          </w:tcPr>
          <w:p>
            <w:pPr>
              <w:pStyle w:val="TableParagraph"/>
              <w:spacing w:before="5"/>
              <w:ind w:right="149"/>
              <w:rPr>
                <w:sz w:val="18"/>
              </w:rPr>
            </w:pPr>
            <w:r>
              <w:rPr>
                <w:sz w:val="18"/>
              </w:rPr>
              <w:t>$2,174,512,000</w:t>
            </w:r>
          </w:p>
        </w:tc>
        <w:tc>
          <w:tcPr>
            <w:tcW w:w="1550" w:type="dxa"/>
          </w:tcPr>
          <w:p>
            <w:pPr>
              <w:pStyle w:val="TableParagraph"/>
              <w:spacing w:before="5"/>
              <w:ind w:right="321"/>
              <w:rPr>
                <w:sz w:val="18"/>
              </w:rPr>
            </w:pPr>
            <w:r>
              <w:rPr>
                <w:sz w:val="18"/>
              </w:rPr>
              <w:t>$931,650,472</w:t>
            </w:r>
          </w:p>
        </w:tc>
        <w:tc>
          <w:tcPr>
            <w:tcW w:w="1476" w:type="dxa"/>
          </w:tcPr>
          <w:p>
            <w:pPr>
              <w:pStyle w:val="TableParagraph"/>
              <w:spacing w:before="5"/>
              <w:ind w:right="75"/>
              <w:rPr>
                <w:sz w:val="18"/>
              </w:rPr>
            </w:pPr>
            <w:r>
              <w:rPr>
                <w:sz w:val="18"/>
              </w:rPr>
              <w:t>$857,735,573</w:t>
            </w:r>
          </w:p>
        </w:tc>
        <w:tc>
          <w:tcPr>
            <w:tcW w:w="1087" w:type="dxa"/>
          </w:tcPr>
          <w:p>
            <w:pPr>
              <w:pStyle w:val="TableParagraph"/>
              <w:spacing w:before="5"/>
              <w:ind w:right="30"/>
              <w:rPr>
                <w:sz w:val="18"/>
              </w:rPr>
            </w:pPr>
            <w:r>
              <w:rPr>
                <w:sz w:val="18"/>
              </w:rPr>
              <w:t>$85,736,000</w:t>
            </w:r>
          </w:p>
        </w:tc>
        <w:tc>
          <w:tcPr>
            <w:tcW w:w="1230" w:type="dxa"/>
            <w:shd w:val="clear" w:color="auto" w:fill="FFC000"/>
          </w:tcPr>
          <w:p>
            <w:pPr>
              <w:pStyle w:val="TableParagraph"/>
              <w:spacing w:before="5"/>
              <w:ind w:right="47"/>
              <w:rPr>
                <w:sz w:val="18"/>
              </w:rPr>
            </w:pPr>
            <w:r>
              <w:rPr>
                <w:sz w:val="18"/>
              </w:rPr>
              <w:t>$173,569,424</w:t>
            </w:r>
          </w:p>
        </w:tc>
        <w:tc>
          <w:tcPr>
            <w:tcW w:w="1585" w:type="dxa"/>
          </w:tcPr>
          <w:p>
            <w:pPr>
              <w:pStyle w:val="TableParagraph"/>
              <w:spacing w:before="5"/>
              <w:ind w:right="303"/>
              <w:rPr>
                <w:sz w:val="18"/>
              </w:rPr>
            </w:pPr>
            <w:r>
              <w:rPr>
                <w:sz w:val="18"/>
              </w:rPr>
              <w:t>$192,976,000</w:t>
            </w:r>
          </w:p>
        </w:tc>
        <w:tc>
          <w:tcPr>
            <w:tcW w:w="1581" w:type="dxa"/>
          </w:tcPr>
          <w:p>
            <w:pPr>
              <w:pStyle w:val="TableParagraph"/>
              <w:spacing w:before="5"/>
              <w:ind w:right="48"/>
              <w:rPr>
                <w:sz w:val="18"/>
              </w:rPr>
            </w:pPr>
            <w:r>
              <w:rPr>
                <w:sz w:val="18"/>
              </w:rPr>
              <w:t>$7,465,171,898</w:t>
            </w:r>
          </w:p>
        </w:tc>
      </w:tr>
    </w:tbl>
    <w:sectPr>
      <w:headerReference w:type="default" r:id="rId15"/>
      <w:pgSz w:w="15840" w:h="12240" w:orient="landscape"/>
      <w:pgMar w:header="0" w:footer="0" w:top="1140" w:bottom="280" w:left="8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0"/>
    <w:family w:val="auto"/>
    <w:pitch w:val="variable"/>
  </w:font>
  <w:font w:name="Wingdings">
    <w:altName w:val="Wingdings"/>
    <w:charset w:val="0"/>
    <w:family w:val="auto"/>
    <w:pitch w:val="variable"/>
  </w:font>
  <w:font w:name="Courier New">
    <w:altName w:val="Courier New"/>
    <w:charset w:val="0"/>
    <w:family w:val="roma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470596pt;margin-top:35.796383pt;width:67.5pt;height:14.35pt;mso-position-horizontal-relative:page;mso-position-vertical-relative:page;z-index:-62512" type="#_x0000_t202" filled="false" stroked="false">
          <v:textbox inset="0,0,0,0">
            <w:txbxContent>
              <w:p>
                <w:pPr>
                  <w:pStyle w:val="BodyText"/>
                  <w:spacing w:before="13"/>
                  <w:ind w:left="20"/>
                </w:pPr>
                <w:r>
                  <w:rPr/>
                  <w:t>Advice 8-E-G</w:t>
                </w:r>
              </w:p>
            </w:txbxContent>
          </v:textbox>
          <w10:wrap type="none"/>
        </v:shape>
      </w:pict>
    </w:r>
    <w:r>
      <w:rPr/>
      <w:pict>
        <v:shape style="position:absolute;margin-left:295.870605pt;margin-top:35.796383pt;width:21.8pt;height:14.35pt;mso-position-horizontal-relative:page;mso-position-vertical-relative:page;z-index:-62488" type="#_x0000_t202" filled="false" stroked="false">
          <v:textbox inset="0,0,0,0">
            <w:txbxContent>
              <w:p>
                <w:pPr>
                  <w:pStyle w:val="BodyText"/>
                  <w:spacing w:before="13"/>
                  <w:ind w:left="20"/>
                </w:pPr>
                <w:r>
                  <w:rPr/>
                  <w:t>- </w:t>
                </w:r>
                <w:r>
                  <w:rPr/>
                  <w:fldChar w:fldCharType="begin"/>
                </w:r>
                <w:r>
                  <w:rPr/>
                  <w:instrText> PAGE </w:instrText>
                </w:r>
                <w:r>
                  <w:rPr/>
                  <w:fldChar w:fldCharType="separate"/>
                </w:r>
                <w:r>
                  <w:rPr/>
                  <w:t>1</w:t>
                </w:r>
                <w:r>
                  <w:rPr/>
                  <w:fldChar w:fldCharType="end"/>
                </w:r>
                <w:r>
                  <w:rPr/>
                  <w:t> -</w:t>
                </w:r>
              </w:p>
            </w:txbxContent>
          </v:textbox>
          <w10:wrap type="none"/>
        </v:shape>
      </w:pict>
    </w:r>
    <w:r>
      <w:rPr/>
      <w:pict>
        <v:shape style="position:absolute;margin-left:445.870605pt;margin-top:35.796383pt;width:95.75pt;height:14.35pt;mso-position-horizontal-relative:page;mso-position-vertical-relative:page;z-index:-62464" type="#_x0000_t202" filled="false" stroked="false">
          <v:textbox inset="0,0,0,0">
            <w:txbxContent>
              <w:p>
                <w:pPr>
                  <w:pStyle w:val="BodyText"/>
                  <w:spacing w:before="13"/>
                  <w:ind w:left="20"/>
                </w:pPr>
                <w:r>
                  <w:rPr/>
                  <w:t>September 4, 2018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769" w:hanging="360"/>
        <w:jc w:val="left"/>
      </w:pPr>
      <w:rPr>
        <w:rFonts w:hint="default" w:ascii="Arial" w:hAnsi="Arial" w:eastAsia="Arial" w:cs="Arial"/>
        <w:b/>
        <w:bCs/>
        <w:spacing w:val="0"/>
        <w:w w:val="100"/>
        <w:sz w:val="22"/>
        <w:szCs w:val="22"/>
      </w:rPr>
    </w:lvl>
    <w:lvl w:ilvl="1">
      <w:start w:val="1"/>
      <w:numFmt w:val="lowerLetter"/>
      <w:lvlText w:val="%2."/>
      <w:lvlJc w:val="left"/>
      <w:pPr>
        <w:ind w:left="2489" w:hanging="360"/>
        <w:jc w:val="left"/>
      </w:pPr>
      <w:rPr>
        <w:rFonts w:hint="default" w:ascii="Arial" w:hAnsi="Arial" w:eastAsia="Arial" w:cs="Arial"/>
        <w:b/>
        <w:bCs/>
        <w:spacing w:val="0"/>
        <w:w w:val="100"/>
        <w:sz w:val="22"/>
        <w:szCs w:val="22"/>
      </w:rPr>
    </w:lvl>
    <w:lvl w:ilvl="2">
      <w:start w:val="0"/>
      <w:numFmt w:val="bullet"/>
      <w:lvlText w:val="•"/>
      <w:lvlJc w:val="left"/>
      <w:pPr>
        <w:ind w:left="3395" w:hanging="360"/>
      </w:pPr>
      <w:rPr>
        <w:rFonts w:hint="default"/>
      </w:rPr>
    </w:lvl>
    <w:lvl w:ilvl="3">
      <w:start w:val="0"/>
      <w:numFmt w:val="bullet"/>
      <w:lvlText w:val="•"/>
      <w:lvlJc w:val="left"/>
      <w:pPr>
        <w:ind w:left="4311" w:hanging="360"/>
      </w:pPr>
      <w:rPr>
        <w:rFonts w:hint="default"/>
      </w:rPr>
    </w:lvl>
    <w:lvl w:ilvl="4">
      <w:start w:val="0"/>
      <w:numFmt w:val="bullet"/>
      <w:lvlText w:val="•"/>
      <w:lvlJc w:val="left"/>
      <w:pPr>
        <w:ind w:left="5226" w:hanging="360"/>
      </w:pPr>
      <w:rPr>
        <w:rFonts w:hint="default"/>
      </w:rPr>
    </w:lvl>
    <w:lvl w:ilvl="5">
      <w:start w:val="0"/>
      <w:numFmt w:val="bullet"/>
      <w:lvlText w:val="•"/>
      <w:lvlJc w:val="left"/>
      <w:pPr>
        <w:ind w:left="6142" w:hanging="360"/>
      </w:pPr>
      <w:rPr>
        <w:rFonts w:hint="default"/>
      </w:rPr>
    </w:lvl>
    <w:lvl w:ilvl="6">
      <w:start w:val="0"/>
      <w:numFmt w:val="bullet"/>
      <w:lvlText w:val="•"/>
      <w:lvlJc w:val="left"/>
      <w:pPr>
        <w:ind w:left="7057" w:hanging="360"/>
      </w:pPr>
      <w:rPr>
        <w:rFonts w:hint="default"/>
      </w:rPr>
    </w:lvl>
    <w:lvl w:ilvl="7">
      <w:start w:val="0"/>
      <w:numFmt w:val="bullet"/>
      <w:lvlText w:val="•"/>
      <w:lvlJc w:val="left"/>
      <w:pPr>
        <w:ind w:left="7973" w:hanging="360"/>
      </w:pPr>
      <w:rPr>
        <w:rFonts w:hint="default"/>
      </w:rPr>
    </w:lvl>
    <w:lvl w:ilvl="8">
      <w:start w:val="0"/>
      <w:numFmt w:val="bullet"/>
      <w:lvlText w:val="•"/>
      <w:lvlJc w:val="left"/>
      <w:pPr>
        <w:ind w:left="8888" w:hanging="360"/>
      </w:pPr>
      <w:rPr>
        <w:rFonts w:hint="default"/>
      </w:rPr>
    </w:lvl>
  </w:abstractNum>
  <w:abstractNum w:abstractNumId="2">
    <w:multiLevelType w:val="hybridMultilevel"/>
    <w:lvl w:ilvl="0">
      <w:start w:val="0"/>
      <w:numFmt w:val="bullet"/>
      <w:lvlText w:val="▪"/>
      <w:lvlJc w:val="left"/>
      <w:pPr>
        <w:ind w:left="1409" w:hanging="360"/>
      </w:pPr>
      <w:rPr>
        <w:rFonts w:hint="default" w:ascii="Wingdings" w:hAnsi="Wingdings" w:eastAsia="Wingdings" w:cs="Wingdings"/>
        <w:w w:val="91"/>
        <w:sz w:val="22"/>
        <w:szCs w:val="22"/>
      </w:rPr>
    </w:lvl>
    <w:lvl w:ilvl="1">
      <w:start w:val="0"/>
      <w:numFmt w:val="bullet"/>
      <w:lvlText w:val="o"/>
      <w:lvlJc w:val="left"/>
      <w:pPr>
        <w:ind w:left="2129" w:hanging="360"/>
      </w:pPr>
      <w:rPr>
        <w:rFonts w:hint="default" w:ascii="Courier New" w:hAnsi="Courier New" w:eastAsia="Courier New" w:cs="Courier New"/>
        <w:w w:val="100"/>
        <w:sz w:val="22"/>
        <w:szCs w:val="22"/>
      </w:rPr>
    </w:lvl>
    <w:lvl w:ilvl="2">
      <w:start w:val="0"/>
      <w:numFmt w:val="bullet"/>
      <w:lvlText w:val="•"/>
      <w:lvlJc w:val="left"/>
      <w:pPr>
        <w:ind w:left="3560" w:hanging="360"/>
      </w:pPr>
      <w:rPr>
        <w:rFonts w:hint="default"/>
      </w:rPr>
    </w:lvl>
    <w:lvl w:ilvl="3">
      <w:start w:val="0"/>
      <w:numFmt w:val="bullet"/>
      <w:lvlText w:val="•"/>
      <w:lvlJc w:val="left"/>
      <w:pPr>
        <w:ind w:left="4455" w:hanging="360"/>
      </w:pPr>
      <w:rPr>
        <w:rFonts w:hint="default"/>
      </w:rPr>
    </w:lvl>
    <w:lvl w:ilvl="4">
      <w:start w:val="0"/>
      <w:numFmt w:val="bullet"/>
      <w:lvlText w:val="•"/>
      <w:lvlJc w:val="left"/>
      <w:pPr>
        <w:ind w:left="5350" w:hanging="360"/>
      </w:pPr>
      <w:rPr>
        <w:rFonts w:hint="default"/>
      </w:rPr>
    </w:lvl>
    <w:lvl w:ilvl="5">
      <w:start w:val="0"/>
      <w:numFmt w:val="bullet"/>
      <w:lvlText w:val="•"/>
      <w:lvlJc w:val="left"/>
      <w:pPr>
        <w:ind w:left="6245" w:hanging="360"/>
      </w:pPr>
      <w:rPr>
        <w:rFonts w:hint="default"/>
      </w:rPr>
    </w:lvl>
    <w:lvl w:ilvl="6">
      <w:start w:val="0"/>
      <w:numFmt w:val="bullet"/>
      <w:lvlText w:val="•"/>
      <w:lvlJc w:val="left"/>
      <w:pPr>
        <w:ind w:left="7140" w:hanging="360"/>
      </w:pPr>
      <w:rPr>
        <w:rFonts w:hint="default"/>
      </w:rPr>
    </w:lvl>
    <w:lvl w:ilvl="7">
      <w:start w:val="0"/>
      <w:numFmt w:val="bullet"/>
      <w:lvlText w:val="•"/>
      <w:lvlJc w:val="left"/>
      <w:pPr>
        <w:ind w:left="8035" w:hanging="360"/>
      </w:pPr>
      <w:rPr>
        <w:rFonts w:hint="default"/>
      </w:rPr>
    </w:lvl>
    <w:lvl w:ilvl="8">
      <w:start w:val="0"/>
      <w:numFmt w:val="bullet"/>
      <w:lvlText w:val="•"/>
      <w:lvlJc w:val="left"/>
      <w:pPr>
        <w:ind w:left="8930" w:hanging="360"/>
      </w:pPr>
      <w:rPr>
        <w:rFonts w:hint="default"/>
      </w:rPr>
    </w:lvl>
  </w:abstractNum>
  <w:abstractNum w:abstractNumId="1">
    <w:multiLevelType w:val="hybridMultilevel"/>
    <w:lvl w:ilvl="0">
      <w:start w:val="0"/>
      <w:numFmt w:val="bullet"/>
      <w:lvlText w:val="•"/>
      <w:lvlJc w:val="left"/>
      <w:pPr>
        <w:ind w:left="1409" w:hanging="360"/>
      </w:pPr>
      <w:rPr>
        <w:rFonts w:hint="default" w:ascii="Symbol" w:hAnsi="Symbol" w:eastAsia="Symbol" w:cs="Symbol"/>
        <w:w w:val="100"/>
        <w:sz w:val="22"/>
        <w:szCs w:val="22"/>
      </w:rPr>
    </w:lvl>
    <w:lvl w:ilvl="1">
      <w:start w:val="0"/>
      <w:numFmt w:val="bullet"/>
      <w:lvlText w:val="•"/>
      <w:lvlJc w:val="left"/>
      <w:pPr>
        <w:ind w:left="2332" w:hanging="360"/>
      </w:pPr>
      <w:rPr>
        <w:rFonts w:hint="default"/>
      </w:rPr>
    </w:lvl>
    <w:lvl w:ilvl="2">
      <w:start w:val="0"/>
      <w:numFmt w:val="bullet"/>
      <w:lvlText w:val="•"/>
      <w:lvlJc w:val="left"/>
      <w:pPr>
        <w:ind w:left="3264" w:hanging="360"/>
      </w:pPr>
      <w:rPr>
        <w:rFonts w:hint="default"/>
      </w:rPr>
    </w:lvl>
    <w:lvl w:ilvl="3">
      <w:start w:val="0"/>
      <w:numFmt w:val="bullet"/>
      <w:lvlText w:val="•"/>
      <w:lvlJc w:val="left"/>
      <w:pPr>
        <w:ind w:left="4196" w:hanging="360"/>
      </w:pPr>
      <w:rPr>
        <w:rFonts w:hint="default"/>
      </w:rPr>
    </w:lvl>
    <w:lvl w:ilvl="4">
      <w:start w:val="0"/>
      <w:numFmt w:val="bullet"/>
      <w:lvlText w:val="•"/>
      <w:lvlJc w:val="left"/>
      <w:pPr>
        <w:ind w:left="5128" w:hanging="360"/>
      </w:pPr>
      <w:rPr>
        <w:rFonts w:hint="default"/>
      </w:rPr>
    </w:lvl>
    <w:lvl w:ilvl="5">
      <w:start w:val="0"/>
      <w:numFmt w:val="bullet"/>
      <w:lvlText w:val="•"/>
      <w:lvlJc w:val="left"/>
      <w:pPr>
        <w:ind w:left="6060" w:hanging="360"/>
      </w:pPr>
      <w:rPr>
        <w:rFonts w:hint="default"/>
      </w:rPr>
    </w:lvl>
    <w:lvl w:ilvl="6">
      <w:start w:val="0"/>
      <w:numFmt w:val="bullet"/>
      <w:lvlText w:val="•"/>
      <w:lvlJc w:val="left"/>
      <w:pPr>
        <w:ind w:left="6992" w:hanging="360"/>
      </w:pPr>
      <w:rPr>
        <w:rFonts w:hint="default"/>
      </w:rPr>
    </w:lvl>
    <w:lvl w:ilvl="7">
      <w:start w:val="0"/>
      <w:numFmt w:val="bullet"/>
      <w:lvlText w:val="•"/>
      <w:lvlJc w:val="left"/>
      <w:pPr>
        <w:ind w:left="7924" w:hanging="360"/>
      </w:pPr>
      <w:rPr>
        <w:rFonts w:hint="default"/>
      </w:rPr>
    </w:lvl>
    <w:lvl w:ilvl="8">
      <w:start w:val="0"/>
      <w:numFmt w:val="bullet"/>
      <w:lvlText w:val="•"/>
      <w:lvlJc w:val="left"/>
      <w:pPr>
        <w:ind w:left="8856" w:hanging="360"/>
      </w:pPr>
      <w:rPr>
        <w:rFonts w:hint="default"/>
      </w:rPr>
    </w:lvl>
  </w:abstractNum>
  <w:abstractNum w:abstractNumId="0">
    <w:multiLevelType w:val="hybridMultilevel"/>
    <w:lvl w:ilvl="0">
      <w:start w:val="1"/>
      <w:numFmt w:val="decimal"/>
      <w:lvlText w:val="%1."/>
      <w:lvlJc w:val="left"/>
      <w:pPr>
        <w:ind w:left="1769" w:hanging="360"/>
        <w:jc w:val="left"/>
      </w:pPr>
      <w:rPr>
        <w:rFonts w:hint="default" w:ascii="Arial" w:hAnsi="Arial" w:eastAsia="Arial" w:cs="Arial"/>
        <w:b/>
        <w:bCs/>
        <w:spacing w:val="0"/>
        <w:w w:val="100"/>
        <w:sz w:val="22"/>
        <w:szCs w:val="22"/>
      </w:rPr>
    </w:lvl>
    <w:lvl w:ilvl="1">
      <w:start w:val="0"/>
      <w:numFmt w:val="bullet"/>
      <w:lvlText w:val="•"/>
      <w:lvlJc w:val="left"/>
      <w:pPr>
        <w:ind w:left="2656" w:hanging="360"/>
      </w:pPr>
      <w:rPr>
        <w:rFonts w:hint="default"/>
      </w:rPr>
    </w:lvl>
    <w:lvl w:ilvl="2">
      <w:start w:val="0"/>
      <w:numFmt w:val="bullet"/>
      <w:lvlText w:val="•"/>
      <w:lvlJc w:val="left"/>
      <w:pPr>
        <w:ind w:left="3552" w:hanging="360"/>
      </w:pPr>
      <w:rPr>
        <w:rFonts w:hint="default"/>
      </w:rPr>
    </w:lvl>
    <w:lvl w:ilvl="3">
      <w:start w:val="0"/>
      <w:numFmt w:val="bullet"/>
      <w:lvlText w:val="•"/>
      <w:lvlJc w:val="left"/>
      <w:pPr>
        <w:ind w:left="4448" w:hanging="360"/>
      </w:pPr>
      <w:rPr>
        <w:rFonts w:hint="default"/>
      </w:rPr>
    </w:lvl>
    <w:lvl w:ilvl="4">
      <w:start w:val="0"/>
      <w:numFmt w:val="bullet"/>
      <w:lvlText w:val="•"/>
      <w:lvlJc w:val="left"/>
      <w:pPr>
        <w:ind w:left="5344" w:hanging="360"/>
      </w:pPr>
      <w:rPr>
        <w:rFonts w:hint="default"/>
      </w:rPr>
    </w:lvl>
    <w:lvl w:ilvl="5">
      <w:start w:val="0"/>
      <w:numFmt w:val="bullet"/>
      <w:lvlText w:val="•"/>
      <w:lvlJc w:val="left"/>
      <w:pPr>
        <w:ind w:left="6240" w:hanging="360"/>
      </w:pPr>
      <w:rPr>
        <w:rFonts w:hint="default"/>
      </w:rPr>
    </w:lvl>
    <w:lvl w:ilvl="6">
      <w:start w:val="0"/>
      <w:numFmt w:val="bullet"/>
      <w:lvlText w:val="•"/>
      <w:lvlJc w:val="left"/>
      <w:pPr>
        <w:ind w:left="7136" w:hanging="360"/>
      </w:pPr>
      <w:rPr>
        <w:rFonts w:hint="default"/>
      </w:rPr>
    </w:lvl>
    <w:lvl w:ilvl="7">
      <w:start w:val="0"/>
      <w:numFmt w:val="bullet"/>
      <w:lvlText w:val="•"/>
      <w:lvlJc w:val="left"/>
      <w:pPr>
        <w:ind w:left="8032" w:hanging="360"/>
      </w:pPr>
      <w:rPr>
        <w:rFonts w:hint="default"/>
      </w:rPr>
    </w:lvl>
    <w:lvl w:ilvl="8">
      <w:start w:val="0"/>
      <w:numFmt w:val="bullet"/>
      <w:lvlText w:val="•"/>
      <w:lvlJc w:val="left"/>
      <w:pPr>
        <w:ind w:left="8928"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689"/>
      <w:outlineLvl w:val="1"/>
    </w:pPr>
    <w:rPr>
      <w:rFonts w:ascii="Arial" w:hAnsi="Arial" w:eastAsia="Arial" w:cs="Arial"/>
      <w:b/>
      <w:bCs/>
      <w:sz w:val="24"/>
      <w:szCs w:val="24"/>
    </w:rPr>
  </w:style>
  <w:style w:styleId="Heading2" w:type="paragraph">
    <w:name w:val="Heading 2"/>
    <w:basedOn w:val="Normal"/>
    <w:uiPriority w:val="1"/>
    <w:qFormat/>
    <w:pPr>
      <w:spacing w:before="94"/>
      <w:ind w:left="1769" w:hanging="360"/>
      <w:outlineLvl w:val="2"/>
    </w:pPr>
    <w:rPr>
      <w:rFonts w:ascii="Arial" w:hAnsi="Arial" w:eastAsia="Arial" w:cs="Arial"/>
      <w:b/>
      <w:bCs/>
      <w:sz w:val="22"/>
      <w:szCs w:val="22"/>
      <w:u w:val="single" w:color="000000"/>
    </w:rPr>
  </w:style>
  <w:style w:styleId="ListParagraph" w:type="paragraph">
    <w:name w:val="List Paragraph"/>
    <w:basedOn w:val="Normal"/>
    <w:uiPriority w:val="1"/>
    <w:qFormat/>
    <w:pPr>
      <w:ind w:left="2129" w:hanging="360"/>
    </w:pPr>
    <w:rPr>
      <w:rFonts w:ascii="Arial" w:hAnsi="Arial" w:eastAsia="Arial" w:cs="Arial"/>
    </w:rPr>
  </w:style>
  <w:style w:styleId="TableParagraph" w:type="paragraph">
    <w:name w:val="Table Paragraph"/>
    <w:basedOn w:val="Normal"/>
    <w:uiPriority w:val="1"/>
    <w:qFormat/>
    <w:pPr>
      <w:spacing w:line="217" w:lineRule="exact"/>
      <w:jc w:val="righ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yperlink" Target="mailto:EDTariffUnit@cpuc.ca.gov" TargetMode="External"/><Relationship Id="rId8" Type="http://schemas.openxmlformats.org/officeDocument/2006/relationships/hyperlink" Target="mailto:MSLe@isd.lacounty.gov" TargetMode="External"/><Relationship Id="rId9" Type="http://schemas.openxmlformats.org/officeDocument/2006/relationships/hyperlink" Target="mailto:process_office@cpuc.ca.gov" TargetMode="Externa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Lujuanna Medina</dc:creator>
  <dcterms:created xsi:type="dcterms:W3CDTF">2018-08-15T21:00:15Z</dcterms:created>
  <dcterms:modified xsi:type="dcterms:W3CDTF">2018-08-15T21:00:15Z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Acrobat Pro DC 18.11.20055</vt:lpwstr>
  </property>
  <property fmtid="{D5CDD505-2E9C-101B-9397-08002B2CF9AE}" pid="4" name="LastSaved">
    <vt:filetime>2018-08-15T00:00:00Z</vt:filetime>
  </property>
</Properties>
</file>