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91F85" w14:textId="0FFEDFA2" w:rsidR="004057AC" w:rsidRPr="00232785" w:rsidRDefault="004057AC" w:rsidP="004057AC">
      <w:pPr>
        <w:jc w:val="center"/>
        <w:rPr>
          <w:rFonts w:ascii="Cambria" w:hAnsi="Cambria"/>
          <w:bCs/>
        </w:rPr>
      </w:pPr>
      <w:r w:rsidRPr="00232785">
        <w:rPr>
          <w:rFonts w:ascii="Cambria" w:hAnsi="Cambria"/>
          <w:bCs/>
        </w:rPr>
        <w:t>California Energy Efficiency Coordinating Committee-Hosted Market Transformation Working Group – Phase II</w:t>
      </w:r>
    </w:p>
    <w:p w14:paraId="00DAF129" w14:textId="06059992" w:rsidR="004057AC" w:rsidRPr="00232785" w:rsidRDefault="004057AC" w:rsidP="004057AC">
      <w:pPr>
        <w:jc w:val="center"/>
        <w:rPr>
          <w:rFonts w:ascii="Cambria" w:hAnsi="Cambria"/>
          <w:bCs/>
        </w:rPr>
      </w:pPr>
      <w:r w:rsidRPr="00232785">
        <w:rPr>
          <w:rFonts w:ascii="Cambria" w:hAnsi="Cambria"/>
          <w:bCs/>
        </w:rPr>
        <w:t>January 22, 2021 1-4:00 pm</w:t>
      </w:r>
    </w:p>
    <w:p w14:paraId="6A625C14" w14:textId="77777777" w:rsidR="004057AC" w:rsidRPr="00232785" w:rsidRDefault="004057AC" w:rsidP="004057AC">
      <w:pPr>
        <w:jc w:val="center"/>
        <w:rPr>
          <w:rFonts w:ascii="Cambria" w:hAnsi="Cambria"/>
          <w:bCs/>
        </w:rPr>
      </w:pPr>
      <w:r w:rsidRPr="00232785">
        <w:rPr>
          <w:rFonts w:ascii="Cambria" w:hAnsi="Cambria"/>
          <w:bCs/>
        </w:rPr>
        <w:t>WebEx-Based Meeting</w:t>
      </w:r>
    </w:p>
    <w:p w14:paraId="5A734F38" w14:textId="77777777" w:rsidR="004057AC" w:rsidRPr="00232785" w:rsidRDefault="004057AC" w:rsidP="004057AC">
      <w:pPr>
        <w:jc w:val="center"/>
        <w:rPr>
          <w:rFonts w:ascii="Cambria" w:hAnsi="Cambria"/>
          <w:bCs/>
        </w:rPr>
      </w:pPr>
      <w:r w:rsidRPr="00232785">
        <w:rPr>
          <w:rFonts w:ascii="Cambria" w:hAnsi="Cambria"/>
          <w:bCs/>
        </w:rPr>
        <w:t>Draft Meeting Summary</w:t>
      </w:r>
    </w:p>
    <w:p w14:paraId="14B3087D" w14:textId="77777777" w:rsidR="004057AC" w:rsidRPr="00232785" w:rsidRDefault="004057AC" w:rsidP="004057AC">
      <w:pPr>
        <w:widowControl w:val="0"/>
        <w:pBdr>
          <w:bottom w:val="thickThinSmallGap" w:sz="24" w:space="1" w:color="C45911" w:themeColor="accent2" w:themeShade="BF"/>
        </w:pBdr>
        <w:autoSpaceDE w:val="0"/>
        <w:autoSpaceDN w:val="0"/>
        <w:adjustRightInd w:val="0"/>
        <w:jc w:val="center"/>
        <w:rPr>
          <w:rFonts w:ascii="Cambria" w:hAnsi="Cambria"/>
        </w:rPr>
      </w:pPr>
      <w:r w:rsidRPr="00232785">
        <w:rPr>
          <w:rFonts w:ascii="Cambria" w:hAnsi="Cambria"/>
        </w:rPr>
        <w:t>Facilitators: Dr. Jonathan Raab &amp; Katie Abrams</w:t>
      </w:r>
    </w:p>
    <w:p w14:paraId="33596187" w14:textId="77777777" w:rsidR="004057AC" w:rsidRPr="00232785" w:rsidRDefault="004057AC" w:rsidP="004057AC">
      <w:pPr>
        <w:rPr>
          <w:rFonts w:ascii="Cambria" w:hAnsi="Cambria"/>
        </w:rPr>
      </w:pPr>
    </w:p>
    <w:p w14:paraId="06FF41C7" w14:textId="29FA84DB" w:rsidR="004057AC" w:rsidRPr="00232785" w:rsidRDefault="004057AC" w:rsidP="004057AC">
      <w:pPr>
        <w:widowControl w:val="0"/>
        <w:autoSpaceDE w:val="0"/>
        <w:autoSpaceDN w:val="0"/>
        <w:adjustRightInd w:val="0"/>
        <w:rPr>
          <w:rFonts w:ascii="Cambria" w:hAnsi="Cambria"/>
        </w:rPr>
      </w:pPr>
      <w:r w:rsidRPr="00232785">
        <w:rPr>
          <w:rFonts w:ascii="Cambria" w:hAnsi="Cambria"/>
        </w:rPr>
        <w:t xml:space="preserve">On January 22, 2021, the CAEECC hosted the </w:t>
      </w:r>
      <w:r w:rsidR="00B560A1" w:rsidRPr="00232785">
        <w:rPr>
          <w:rFonts w:ascii="Cambria" w:hAnsi="Cambria"/>
        </w:rPr>
        <w:t>final</w:t>
      </w:r>
      <w:r w:rsidRPr="00232785">
        <w:rPr>
          <w:rFonts w:ascii="Cambria" w:hAnsi="Cambria"/>
        </w:rPr>
        <w:t xml:space="preserve"> meeting of the Market Transformation Working Group Part II (MTWG) via </w:t>
      </w:r>
      <w:r w:rsidRPr="00B83ACE">
        <w:rPr>
          <w:rFonts w:ascii="Cambria" w:hAnsi="Cambria"/>
        </w:rPr>
        <w:t xml:space="preserve">WebEx. </w:t>
      </w:r>
      <w:r w:rsidR="00B83ACE" w:rsidRPr="00B83ACE">
        <w:rPr>
          <w:rFonts w:ascii="Cambria" w:hAnsi="Cambria"/>
        </w:rPr>
        <w:t>Twenty-three</w:t>
      </w:r>
      <w:r w:rsidRPr="00B83ACE">
        <w:rPr>
          <w:rFonts w:ascii="Cambria" w:hAnsi="Cambria"/>
        </w:rPr>
        <w:t xml:space="preserve"> MTWG Members (including Leads, Proxies and Ex Officio) participated in the meeting as panelists. Approximately </w:t>
      </w:r>
      <w:r w:rsidR="00B83ACE" w:rsidRPr="00B83ACE">
        <w:rPr>
          <w:rFonts w:ascii="Cambria" w:hAnsi="Cambria"/>
        </w:rPr>
        <w:t xml:space="preserve">11 ex-officio and resource </w:t>
      </w:r>
      <w:r w:rsidR="007E0C6D" w:rsidRPr="00B83ACE">
        <w:rPr>
          <w:rFonts w:ascii="Cambria" w:hAnsi="Cambria"/>
        </w:rPr>
        <w:t>participants</w:t>
      </w:r>
      <w:r w:rsidRPr="00B83ACE">
        <w:rPr>
          <w:rFonts w:ascii="Cambria" w:hAnsi="Cambria"/>
        </w:rPr>
        <w:t xml:space="preserve"> </w:t>
      </w:r>
      <w:r w:rsidR="00B83ACE" w:rsidRPr="00B83ACE">
        <w:rPr>
          <w:rFonts w:ascii="Cambria" w:hAnsi="Cambria"/>
        </w:rPr>
        <w:t>and</w:t>
      </w:r>
      <w:r w:rsidRPr="00B83ACE">
        <w:rPr>
          <w:rFonts w:ascii="Cambria" w:hAnsi="Cambria"/>
        </w:rPr>
        <w:t xml:space="preserve"> members of the public participated as attendees. A full list of meeting registrants is provided in Appendix A.</w:t>
      </w:r>
      <w:r w:rsidRPr="00232785">
        <w:rPr>
          <w:rFonts w:ascii="Cambria" w:hAnsi="Cambria"/>
        </w:rPr>
        <w:t xml:space="preserve"> </w:t>
      </w:r>
    </w:p>
    <w:p w14:paraId="4151096B" w14:textId="42C4398C" w:rsidR="004057AC" w:rsidRPr="00232785" w:rsidRDefault="004057AC" w:rsidP="004057AC">
      <w:pPr>
        <w:rPr>
          <w:rFonts w:ascii="Cambria" w:hAnsi="Cambria"/>
        </w:rPr>
      </w:pPr>
    </w:p>
    <w:p w14:paraId="1146461C" w14:textId="014CD343" w:rsidR="004057AC" w:rsidRPr="00232785" w:rsidRDefault="00B560A1" w:rsidP="004057AC">
      <w:pPr>
        <w:rPr>
          <w:rFonts w:ascii="Cambria" w:hAnsi="Cambria"/>
        </w:rPr>
      </w:pPr>
      <w:r w:rsidRPr="00232785">
        <w:rPr>
          <w:rFonts w:ascii="Cambria" w:hAnsi="Cambria"/>
        </w:rPr>
        <w:t xml:space="preserve">This meeting summary is a high-level overview of agreed-upon changes to the MTWG Phase II report. It does not capture the discussion on options, as that is largely captured in previous meeting summaries and the report itself serves as the ultimate record going forward. </w:t>
      </w:r>
      <w:r w:rsidR="004057AC" w:rsidRPr="00232785">
        <w:rPr>
          <w:rFonts w:ascii="Cambria" w:hAnsi="Cambria"/>
        </w:rPr>
        <w:t xml:space="preserve">Next Steps, at the end of this document, list all next steps discussed at the meeting. </w:t>
      </w:r>
    </w:p>
    <w:p w14:paraId="7B517299" w14:textId="77777777" w:rsidR="003B67E8" w:rsidRPr="00232785" w:rsidRDefault="003B67E8" w:rsidP="004057AC">
      <w:pPr>
        <w:rPr>
          <w:rFonts w:ascii="Cambria" w:hAnsi="Cambria"/>
        </w:rPr>
      </w:pPr>
    </w:p>
    <w:p w14:paraId="74EEE995" w14:textId="3C96D3EC" w:rsidR="003B67E8" w:rsidRPr="00232785" w:rsidRDefault="003B67E8" w:rsidP="004057AC">
      <w:pPr>
        <w:rPr>
          <w:rFonts w:ascii="Cambria" w:hAnsi="Cambria"/>
          <w:b/>
          <w:bCs/>
        </w:rPr>
      </w:pPr>
      <w:r w:rsidRPr="00232785">
        <w:rPr>
          <w:rFonts w:ascii="Cambria" w:hAnsi="Cambria"/>
          <w:b/>
          <w:bCs/>
        </w:rPr>
        <w:t xml:space="preserve">Meeting materials, including the redline changes made during the meeting, are provided on the CAEECC website at: </w:t>
      </w:r>
      <w:hyperlink r:id="rId8" w:history="1">
        <w:r w:rsidRPr="00232785">
          <w:rPr>
            <w:rStyle w:val="Hyperlink"/>
            <w:rFonts w:ascii="Cambria" w:hAnsi="Cambria"/>
            <w:b/>
            <w:bCs/>
          </w:rPr>
          <w:t>https://www.caeecc.org/1-22-21-mtwg-mtg</w:t>
        </w:r>
      </w:hyperlink>
      <w:r w:rsidRPr="00232785">
        <w:rPr>
          <w:rFonts w:ascii="Cambria" w:hAnsi="Cambria"/>
          <w:b/>
          <w:bCs/>
        </w:rPr>
        <w:t xml:space="preserve"> </w:t>
      </w:r>
    </w:p>
    <w:p w14:paraId="4FFC687A" w14:textId="77777777" w:rsidR="004057AC" w:rsidRPr="00232785" w:rsidRDefault="004057AC" w:rsidP="004057AC">
      <w:pPr>
        <w:rPr>
          <w:rFonts w:ascii="Cambria" w:hAnsi="Cambria"/>
        </w:rPr>
      </w:pPr>
    </w:p>
    <w:p w14:paraId="2140F507" w14:textId="566B7A32" w:rsidR="004057AC" w:rsidRPr="00232785" w:rsidRDefault="004057AC" w:rsidP="004057AC">
      <w:pPr>
        <w:rPr>
          <w:rFonts w:ascii="Cambria" w:hAnsi="Cambria" w:cs="Times New Roman (Body CS)"/>
          <w:b/>
          <w:smallCaps/>
          <w:sz w:val="26"/>
          <w:szCs w:val="26"/>
        </w:rPr>
      </w:pPr>
      <w:r w:rsidRPr="00232785">
        <w:rPr>
          <w:rFonts w:ascii="Cambria" w:hAnsi="Cambria" w:cs="Times New Roman (Body CS)"/>
          <w:b/>
          <w:smallCaps/>
          <w:sz w:val="26"/>
          <w:szCs w:val="26"/>
        </w:rPr>
        <w:t>Introductions and Goals</w:t>
      </w:r>
    </w:p>
    <w:p w14:paraId="0EDC53B0" w14:textId="41E3E617" w:rsidR="00B560A1" w:rsidRPr="00232785" w:rsidRDefault="00B560A1" w:rsidP="008314A1">
      <w:pPr>
        <w:rPr>
          <w:rFonts w:ascii="Cambria" w:hAnsi="Cambria"/>
        </w:rPr>
      </w:pPr>
      <w:r w:rsidRPr="00232785">
        <w:rPr>
          <w:rFonts w:ascii="Cambria" w:hAnsi="Cambria"/>
        </w:rPr>
        <w:t xml:space="preserve">J. Raab summarized the intent of the meeting is to finalize the report by reviewing changes made since the last working group (WG) meeting and by reviewing the </w:t>
      </w:r>
      <w:r w:rsidR="007E0C6D" w:rsidRPr="00232785">
        <w:rPr>
          <w:rFonts w:ascii="Cambria" w:hAnsi="Cambria"/>
        </w:rPr>
        <w:t>consensus</w:t>
      </w:r>
      <w:r w:rsidRPr="00232785">
        <w:rPr>
          <w:rFonts w:ascii="Cambria" w:hAnsi="Cambria"/>
        </w:rPr>
        <w:t xml:space="preserve"> and non-consensus options. </w:t>
      </w:r>
      <w:r w:rsidR="00F24A23">
        <w:rPr>
          <w:rFonts w:ascii="Cambria" w:hAnsi="Cambria"/>
        </w:rPr>
        <w:t xml:space="preserve"> For each non-consensus issues, those supporting each non-consensus option were given 4 minutes each to pitch their option.  This was followed by Q&amp;A and then discussion of the options.</w:t>
      </w:r>
    </w:p>
    <w:p w14:paraId="04C6D8CE" w14:textId="77777777" w:rsidR="00B560A1" w:rsidRPr="00232785" w:rsidRDefault="00B560A1" w:rsidP="008314A1">
      <w:pPr>
        <w:rPr>
          <w:rFonts w:ascii="Cambria" w:hAnsi="Cambria"/>
        </w:rPr>
      </w:pPr>
    </w:p>
    <w:p w14:paraId="7073950E" w14:textId="3269907C" w:rsidR="00F24A23" w:rsidRPr="00BC56E0" w:rsidRDefault="008314A1" w:rsidP="00F24A23">
      <w:pPr>
        <w:rPr>
          <w:rFonts w:ascii="Cambria" w:hAnsi="Cambria"/>
        </w:rPr>
      </w:pPr>
      <w:r w:rsidRPr="00232785">
        <w:rPr>
          <w:rFonts w:ascii="Cambria" w:hAnsi="Cambria"/>
        </w:rPr>
        <w:t xml:space="preserve">C. Torok gave an update on the status of the </w:t>
      </w:r>
      <w:r w:rsidR="00977CC3" w:rsidRPr="00232785">
        <w:rPr>
          <w:rFonts w:ascii="Cambria" w:hAnsi="Cambria"/>
        </w:rPr>
        <w:t>Market Transformation Administrator (</w:t>
      </w:r>
      <w:r w:rsidRPr="00232785">
        <w:rPr>
          <w:rFonts w:ascii="Cambria" w:hAnsi="Cambria"/>
        </w:rPr>
        <w:t>MTA</w:t>
      </w:r>
      <w:r w:rsidR="00977CC3" w:rsidRPr="00232785">
        <w:rPr>
          <w:rFonts w:ascii="Cambria" w:hAnsi="Cambria"/>
        </w:rPr>
        <w:t>)</w:t>
      </w:r>
      <w:r w:rsidRPr="00232785">
        <w:rPr>
          <w:rFonts w:ascii="Cambria" w:hAnsi="Cambria"/>
        </w:rPr>
        <w:t xml:space="preserve"> process</w:t>
      </w:r>
      <w:r w:rsidR="00B560A1" w:rsidRPr="00232785">
        <w:rPr>
          <w:rFonts w:ascii="Cambria" w:hAnsi="Cambria"/>
        </w:rPr>
        <w:t>: t</w:t>
      </w:r>
      <w:r w:rsidR="0067507E" w:rsidRPr="00232785">
        <w:rPr>
          <w:rFonts w:ascii="Cambria" w:hAnsi="Cambria"/>
        </w:rPr>
        <w:t xml:space="preserve">he </w:t>
      </w:r>
      <w:r w:rsidR="00977CC3" w:rsidRPr="00232785">
        <w:rPr>
          <w:rFonts w:ascii="Cambria" w:hAnsi="Cambria"/>
        </w:rPr>
        <w:t>California Public Utilities Commission (</w:t>
      </w:r>
      <w:r w:rsidR="0067507E" w:rsidRPr="00232785">
        <w:rPr>
          <w:rFonts w:ascii="Cambria" w:hAnsi="Cambria"/>
        </w:rPr>
        <w:t>CPUC</w:t>
      </w:r>
      <w:r w:rsidR="00977CC3" w:rsidRPr="00232785">
        <w:rPr>
          <w:rFonts w:ascii="Cambria" w:hAnsi="Cambria"/>
        </w:rPr>
        <w:t>)</w:t>
      </w:r>
      <w:r w:rsidR="0067507E" w:rsidRPr="00232785">
        <w:rPr>
          <w:rFonts w:ascii="Cambria" w:hAnsi="Cambria"/>
        </w:rPr>
        <w:t xml:space="preserve"> expects to post the </w:t>
      </w:r>
      <w:r w:rsidR="00977CC3" w:rsidRPr="00232785">
        <w:rPr>
          <w:rFonts w:ascii="Cambria" w:hAnsi="Cambria"/>
        </w:rPr>
        <w:t>request-for-proposal (</w:t>
      </w:r>
      <w:r w:rsidR="0067507E" w:rsidRPr="00232785">
        <w:rPr>
          <w:rFonts w:ascii="Cambria" w:hAnsi="Cambria"/>
        </w:rPr>
        <w:t>RFP</w:t>
      </w:r>
      <w:r w:rsidR="00977CC3" w:rsidRPr="00232785">
        <w:rPr>
          <w:rFonts w:ascii="Cambria" w:hAnsi="Cambria"/>
        </w:rPr>
        <w:t>)</w:t>
      </w:r>
      <w:r w:rsidR="0067507E" w:rsidRPr="00232785">
        <w:rPr>
          <w:rFonts w:ascii="Cambria" w:hAnsi="Cambria"/>
        </w:rPr>
        <w:t xml:space="preserve"> in</w:t>
      </w:r>
      <w:r w:rsidR="00B560A1" w:rsidRPr="00232785">
        <w:rPr>
          <w:rFonts w:ascii="Cambria" w:hAnsi="Cambria"/>
        </w:rPr>
        <w:t xml:space="preserve"> early February 2021</w:t>
      </w:r>
      <w:r w:rsidR="0067507E" w:rsidRPr="00232785">
        <w:rPr>
          <w:rFonts w:ascii="Cambria" w:hAnsi="Cambria"/>
        </w:rPr>
        <w:t>.</w:t>
      </w:r>
      <w:r w:rsidR="00F24A23">
        <w:rPr>
          <w:rFonts w:ascii="Cambria" w:hAnsi="Cambria"/>
        </w:rPr>
        <w:t xml:space="preserve">  She further</w:t>
      </w:r>
      <w:r w:rsidR="00F24A23" w:rsidRPr="00BC56E0">
        <w:rPr>
          <w:rFonts w:ascii="Cambria" w:hAnsi="Cambria"/>
        </w:rPr>
        <w:t xml:space="preserve"> explained that the WG finalization timeline effects the </w:t>
      </w:r>
      <w:r w:rsidR="007E0C6D" w:rsidRPr="00BC56E0">
        <w:rPr>
          <w:rFonts w:ascii="Cambria" w:hAnsi="Cambria"/>
        </w:rPr>
        <w:t>RFP and</w:t>
      </w:r>
      <w:r w:rsidR="00F24A23" w:rsidRPr="00BC56E0">
        <w:rPr>
          <w:rFonts w:ascii="Cambria" w:hAnsi="Cambria"/>
        </w:rPr>
        <w:t xml:space="preserve"> emphasized the importance that all bidders have access to the report for the same amount of time.</w:t>
      </w:r>
    </w:p>
    <w:p w14:paraId="3E1E757B" w14:textId="0AAF50E9" w:rsidR="00042462" w:rsidRPr="00232785" w:rsidRDefault="00042462" w:rsidP="00184A93">
      <w:pPr>
        <w:shd w:val="clear" w:color="auto" w:fill="FFFFFF"/>
        <w:rPr>
          <w:rFonts w:ascii="Cambria" w:eastAsia="Times New Roman" w:hAnsi="Cambria" w:cs="Calibri"/>
        </w:rPr>
      </w:pPr>
    </w:p>
    <w:p w14:paraId="4FB46205" w14:textId="5625A636" w:rsidR="00857F5C" w:rsidRPr="00232785" w:rsidRDefault="00857F5C" w:rsidP="007A122B">
      <w:pPr>
        <w:rPr>
          <w:rFonts w:ascii="Cambria" w:hAnsi="Cambria" w:cs="Times New Roman (Body CS)"/>
          <w:b/>
          <w:smallCaps/>
          <w:sz w:val="26"/>
          <w:szCs w:val="26"/>
        </w:rPr>
      </w:pPr>
      <w:r w:rsidRPr="00232785">
        <w:rPr>
          <w:rFonts w:ascii="Cambria" w:hAnsi="Cambria" w:cs="Times New Roman (Body CS)"/>
          <w:b/>
          <w:smallCaps/>
          <w:sz w:val="26"/>
          <w:szCs w:val="26"/>
        </w:rPr>
        <w:t>Section 1: Introduction Overview</w:t>
      </w:r>
    </w:p>
    <w:p w14:paraId="2AFA5882" w14:textId="020D384F" w:rsidR="00FE05FD" w:rsidRPr="00232785" w:rsidRDefault="00FE05FD" w:rsidP="00FE05FD">
      <w:pPr>
        <w:rPr>
          <w:rFonts w:ascii="Cambria" w:eastAsia="Times New Roman" w:hAnsi="Cambria" w:cs="Calibri"/>
        </w:rPr>
      </w:pPr>
      <w:r w:rsidRPr="00232785">
        <w:rPr>
          <w:rFonts w:ascii="Cambria" w:eastAsia="Times New Roman" w:hAnsi="Cambria" w:cs="Calibri"/>
        </w:rPr>
        <w:t>No substantive changes were proposed for this section.</w:t>
      </w:r>
    </w:p>
    <w:p w14:paraId="53E418E6" w14:textId="77777777" w:rsidR="00857F5C" w:rsidRPr="00232785" w:rsidRDefault="00857F5C" w:rsidP="007A122B">
      <w:pPr>
        <w:rPr>
          <w:rFonts w:ascii="Cambria" w:eastAsia="Times New Roman" w:hAnsi="Cambria" w:cs="Calibri"/>
          <w:b/>
          <w:bCs/>
        </w:rPr>
      </w:pPr>
    </w:p>
    <w:p w14:paraId="2A08F71A" w14:textId="34FC6E72" w:rsidR="00977CC3" w:rsidRPr="00232785" w:rsidRDefault="00857F5C" w:rsidP="007A122B">
      <w:pPr>
        <w:rPr>
          <w:rFonts w:ascii="Cambria" w:hAnsi="Cambria" w:cs="Times New Roman (Body CS)"/>
          <w:b/>
          <w:smallCaps/>
          <w:sz w:val="26"/>
          <w:szCs w:val="26"/>
        </w:rPr>
      </w:pPr>
      <w:r w:rsidRPr="00232785">
        <w:rPr>
          <w:rFonts w:ascii="Cambria" w:hAnsi="Cambria" w:cs="Times New Roman (Body CS)"/>
          <w:b/>
          <w:smallCaps/>
          <w:sz w:val="26"/>
          <w:szCs w:val="26"/>
        </w:rPr>
        <w:t xml:space="preserve">Section 2: </w:t>
      </w:r>
      <w:r w:rsidR="00E27EE0" w:rsidRPr="00232785">
        <w:rPr>
          <w:rFonts w:ascii="Cambria" w:hAnsi="Cambria" w:cs="Times New Roman (Body CS)"/>
          <w:b/>
          <w:smallCaps/>
          <w:sz w:val="26"/>
          <w:szCs w:val="26"/>
        </w:rPr>
        <w:t xml:space="preserve">Savings </w:t>
      </w:r>
      <w:r w:rsidRPr="00232785">
        <w:rPr>
          <w:rFonts w:ascii="Cambria" w:hAnsi="Cambria" w:cs="Times New Roman (Body CS)"/>
          <w:b/>
          <w:smallCaps/>
          <w:sz w:val="26"/>
          <w:szCs w:val="26"/>
        </w:rPr>
        <w:t xml:space="preserve">Attributions:  </w:t>
      </w:r>
      <w:r w:rsidR="00977CC3" w:rsidRPr="00232785">
        <w:rPr>
          <w:rFonts w:ascii="Cambria" w:hAnsi="Cambria" w:cs="Times New Roman (Body CS)"/>
          <w:b/>
          <w:smallCaps/>
          <w:sz w:val="26"/>
          <w:szCs w:val="26"/>
        </w:rPr>
        <w:t>Market Transformation Initiatives (</w:t>
      </w:r>
      <w:r w:rsidRPr="00232785">
        <w:rPr>
          <w:rFonts w:ascii="Cambria" w:hAnsi="Cambria" w:cs="Times New Roman (Body CS)"/>
          <w:b/>
          <w:smallCaps/>
          <w:sz w:val="26"/>
          <w:szCs w:val="26"/>
        </w:rPr>
        <w:t>MTIs</w:t>
      </w:r>
      <w:r w:rsidR="00977CC3" w:rsidRPr="00232785">
        <w:rPr>
          <w:rFonts w:ascii="Cambria" w:hAnsi="Cambria" w:cs="Times New Roman (Body CS)"/>
          <w:b/>
          <w:smallCaps/>
          <w:sz w:val="26"/>
          <w:szCs w:val="26"/>
        </w:rPr>
        <w:t>)</w:t>
      </w:r>
      <w:r w:rsidRPr="00232785">
        <w:rPr>
          <w:rFonts w:ascii="Cambria" w:hAnsi="Cambria" w:cs="Times New Roman (Body CS)"/>
          <w:b/>
          <w:smallCaps/>
          <w:sz w:val="26"/>
          <w:szCs w:val="26"/>
        </w:rPr>
        <w:t xml:space="preserve"> and </w:t>
      </w:r>
      <w:r w:rsidR="00977CC3" w:rsidRPr="00232785">
        <w:rPr>
          <w:rFonts w:ascii="Cambria" w:hAnsi="Cambria" w:cs="Times New Roman (Body CS)"/>
          <w:b/>
          <w:smallCaps/>
          <w:sz w:val="26"/>
          <w:szCs w:val="26"/>
        </w:rPr>
        <w:t>Resource Acquisition (</w:t>
      </w:r>
      <w:r w:rsidRPr="00232785">
        <w:rPr>
          <w:rFonts w:ascii="Cambria" w:hAnsi="Cambria" w:cs="Times New Roman (Body CS)"/>
          <w:b/>
          <w:smallCaps/>
          <w:sz w:val="26"/>
          <w:szCs w:val="26"/>
        </w:rPr>
        <w:t>RAs</w:t>
      </w:r>
      <w:r w:rsidR="00977CC3" w:rsidRPr="00232785">
        <w:rPr>
          <w:rFonts w:ascii="Cambria" w:hAnsi="Cambria" w:cs="Times New Roman (Body CS)"/>
          <w:b/>
          <w:smallCaps/>
          <w:sz w:val="26"/>
          <w:szCs w:val="26"/>
        </w:rPr>
        <w:t>)</w:t>
      </w:r>
    </w:p>
    <w:p w14:paraId="54B183FC" w14:textId="5046969B" w:rsidR="00857F5C" w:rsidRPr="00232785" w:rsidRDefault="00857F5C" w:rsidP="00DB7C8E">
      <w:pPr>
        <w:rPr>
          <w:rFonts w:ascii="Cambria" w:hAnsi="Cambria" w:cs="Calibri"/>
          <w:b/>
          <w:bCs/>
        </w:rPr>
      </w:pPr>
      <w:r w:rsidRPr="00232785">
        <w:rPr>
          <w:rFonts w:ascii="Cambria" w:hAnsi="Cambria" w:cs="Calibri"/>
          <w:b/>
          <w:bCs/>
        </w:rPr>
        <w:t>Non-Consensus Issue—</w:t>
      </w:r>
      <w:r w:rsidR="0014457B" w:rsidRPr="00232785">
        <w:rPr>
          <w:rFonts w:ascii="Cambria" w:hAnsi="Cambria" w:cs="Calibri"/>
          <w:b/>
          <w:bCs/>
        </w:rPr>
        <w:t>Overall Approach</w:t>
      </w:r>
    </w:p>
    <w:p w14:paraId="1A5ECD27" w14:textId="0211ADCF" w:rsidR="003B67E8" w:rsidRPr="00232785" w:rsidRDefault="003B67E8" w:rsidP="003B67E8">
      <w:pPr>
        <w:rPr>
          <w:rFonts w:ascii="Cambria" w:hAnsi="Cambria" w:cs="Calibri"/>
        </w:rPr>
      </w:pPr>
      <w:r w:rsidRPr="00232785">
        <w:rPr>
          <w:rFonts w:ascii="Cambria" w:hAnsi="Cambria" w:cs="Calibri"/>
        </w:rPr>
        <w:t xml:space="preserve">Margie Gardner (Resource Innovations) gave a brief verbal presentation on Option A: Remove all </w:t>
      </w:r>
      <w:r w:rsidR="00977CC3" w:rsidRPr="00232785">
        <w:rPr>
          <w:rFonts w:ascii="Cambria" w:hAnsi="Cambria" w:cs="Calibri"/>
        </w:rPr>
        <w:t xml:space="preserve">resource acquisition (RA) </w:t>
      </w:r>
      <w:r w:rsidRPr="00232785">
        <w:rPr>
          <w:rFonts w:ascii="Cambria" w:hAnsi="Cambria" w:cs="Calibri"/>
        </w:rPr>
        <w:t>Savings</w:t>
      </w:r>
      <w:r w:rsidR="00977CC3" w:rsidRPr="00232785">
        <w:rPr>
          <w:rFonts w:ascii="Cambria" w:hAnsi="Cambria" w:cs="Calibri"/>
        </w:rPr>
        <w:t xml:space="preserve">. </w:t>
      </w:r>
      <w:r w:rsidRPr="00232785">
        <w:rPr>
          <w:rFonts w:ascii="Cambria" w:hAnsi="Cambria" w:cs="Calibri"/>
        </w:rPr>
        <w:t xml:space="preserve">Randall Higa (SCE) gave a brief verbal presentation on Option B: Remove all </w:t>
      </w:r>
      <w:r w:rsidR="00977CC3" w:rsidRPr="00232785">
        <w:rPr>
          <w:rFonts w:ascii="Cambria" w:hAnsi="Cambria" w:cs="Calibri"/>
        </w:rPr>
        <w:t>Program Administrator (</w:t>
      </w:r>
      <w:r w:rsidRPr="00232785">
        <w:rPr>
          <w:rFonts w:ascii="Cambria" w:hAnsi="Cambria" w:cs="Calibri"/>
        </w:rPr>
        <w:t>PA</w:t>
      </w:r>
      <w:r w:rsidR="00977CC3" w:rsidRPr="00232785">
        <w:rPr>
          <w:rFonts w:ascii="Cambria" w:hAnsi="Cambria" w:cs="Calibri"/>
        </w:rPr>
        <w:t>)</w:t>
      </w:r>
      <w:r w:rsidRPr="00232785">
        <w:rPr>
          <w:rFonts w:ascii="Cambria" w:hAnsi="Cambria" w:cs="Calibri"/>
        </w:rPr>
        <w:t xml:space="preserve"> Savings and Market Effects.</w:t>
      </w:r>
    </w:p>
    <w:p w14:paraId="1F3A6087" w14:textId="1D95D411" w:rsidR="003B67E8" w:rsidRPr="00232785" w:rsidRDefault="003B67E8" w:rsidP="003B67E8">
      <w:pPr>
        <w:rPr>
          <w:rFonts w:ascii="Cambria" w:hAnsi="Cambria" w:cs="Calibri"/>
        </w:rPr>
      </w:pPr>
    </w:p>
    <w:p w14:paraId="4DE5764E" w14:textId="035A0055" w:rsidR="003B67E8" w:rsidRPr="00232785" w:rsidRDefault="003B67E8" w:rsidP="003B67E8">
      <w:pPr>
        <w:rPr>
          <w:rFonts w:ascii="Cambria" w:hAnsi="Cambria" w:cs="Calibri"/>
        </w:rPr>
      </w:pPr>
      <w:r w:rsidRPr="00232785">
        <w:rPr>
          <w:rFonts w:ascii="Cambria" w:hAnsi="Cambria" w:cs="Calibri"/>
        </w:rPr>
        <w:lastRenderedPageBreak/>
        <w:t>WG member discussion centered around the following high-level topics: the decision to reference codes and standards (C&amp;S) within this section, the merits of each option in light of uncertainty over the report’s use-case</w:t>
      </w:r>
      <w:r w:rsidR="00F24A23">
        <w:rPr>
          <w:rFonts w:ascii="Cambria" w:hAnsi="Cambria" w:cs="Calibri"/>
        </w:rPr>
        <w:t>(s)</w:t>
      </w:r>
      <w:r w:rsidRPr="00232785">
        <w:rPr>
          <w:rFonts w:ascii="Cambria" w:hAnsi="Cambria" w:cs="Calibri"/>
        </w:rPr>
        <w:t xml:space="preserve">, and the impact of changing cost-effectiveness rules, among other topics. </w:t>
      </w:r>
      <w:r w:rsidR="00F24A23">
        <w:rPr>
          <w:rFonts w:ascii="Cambria" w:hAnsi="Cambria" w:cs="Calibri"/>
        </w:rPr>
        <w:t>Option B supporters</w:t>
      </w:r>
      <w:r w:rsidRPr="00232785">
        <w:rPr>
          <w:rFonts w:ascii="Cambria" w:hAnsi="Cambria" w:cs="Calibri"/>
        </w:rPr>
        <w:t xml:space="preserve"> concluded that the reference to C&amp;S would remain, though the focus of the chapter will continue to be on RA programs. </w:t>
      </w:r>
    </w:p>
    <w:p w14:paraId="6D5F868F" w14:textId="2ECB6BB6" w:rsidR="003B67E8" w:rsidRPr="00232785" w:rsidRDefault="003B67E8" w:rsidP="003B67E8">
      <w:pPr>
        <w:rPr>
          <w:rFonts w:ascii="Cambria" w:hAnsi="Cambria" w:cs="Calibri"/>
        </w:rPr>
      </w:pPr>
    </w:p>
    <w:p w14:paraId="1972269C" w14:textId="548B7D1D" w:rsidR="00F24A23" w:rsidRPr="00B83ACE" w:rsidRDefault="00201ECB" w:rsidP="00B83ACE">
      <w:pPr>
        <w:rPr>
          <w:rFonts w:ascii="Cambria" w:hAnsi="Cambria" w:cs="Calibri"/>
        </w:rPr>
      </w:pPr>
      <w:r w:rsidRPr="00B83ACE">
        <w:rPr>
          <w:rFonts w:ascii="Cambria" w:hAnsi="Cambria" w:cs="Calibri"/>
        </w:rPr>
        <w:t xml:space="preserve">A. Arquit will work with IOUs and possibly others to flesh out </w:t>
      </w:r>
      <w:r w:rsidR="00F24A23" w:rsidRPr="00B83ACE">
        <w:rPr>
          <w:rFonts w:ascii="Cambria" w:hAnsi="Cambria" w:cs="Calibri"/>
        </w:rPr>
        <w:t>either a</w:t>
      </w:r>
      <w:r w:rsidRPr="00B83ACE">
        <w:rPr>
          <w:rFonts w:ascii="Cambria" w:hAnsi="Cambria" w:cs="Calibri"/>
        </w:rPr>
        <w:t xml:space="preserve"> revised Option B, create a new Option C, or do nothing</w:t>
      </w:r>
      <w:r w:rsidR="00F24A23" w:rsidRPr="00B83ACE">
        <w:rPr>
          <w:rFonts w:ascii="Cambria" w:hAnsi="Cambria" w:cs="Calibri"/>
        </w:rPr>
        <w:t>.  This could also include adding language clarifying their approach in light of different potential use cases.  She will notify J.Raab o</w:t>
      </w:r>
      <w:r w:rsidR="00DA2198" w:rsidRPr="00B83ACE">
        <w:rPr>
          <w:rFonts w:ascii="Cambria" w:hAnsi="Cambria" w:cs="Calibri"/>
        </w:rPr>
        <w:t>f the direction she/they plan to take by COB Monday 25th and provide language by noon on Tuesday the 26th.</w:t>
      </w:r>
    </w:p>
    <w:p w14:paraId="243555B6" w14:textId="4B3FFD1F" w:rsidR="00201ECB" w:rsidRPr="00B83ACE" w:rsidRDefault="00201ECB" w:rsidP="007E0C6D">
      <w:pPr>
        <w:pStyle w:val="ListParagraph"/>
        <w:rPr>
          <w:rFonts w:ascii="Cambria" w:eastAsiaTheme="minorHAnsi" w:hAnsi="Cambria" w:cs="Calibri"/>
        </w:rPr>
      </w:pPr>
    </w:p>
    <w:p w14:paraId="087B0F69" w14:textId="77777777" w:rsidR="00977CC3" w:rsidRPr="00232785" w:rsidRDefault="000A1689" w:rsidP="000A1689">
      <w:pPr>
        <w:rPr>
          <w:rFonts w:ascii="Cambria" w:hAnsi="Cambria" w:cs="Calibri"/>
        </w:rPr>
      </w:pPr>
      <w:r w:rsidRPr="00232785">
        <w:rPr>
          <w:rFonts w:ascii="Cambria" w:hAnsi="Cambria" w:cs="Calibri"/>
        </w:rPr>
        <w:t>J. Raa</w:t>
      </w:r>
      <w:r w:rsidR="003B67E8" w:rsidRPr="00232785">
        <w:rPr>
          <w:rFonts w:ascii="Cambria" w:hAnsi="Cambria" w:cs="Calibri"/>
        </w:rPr>
        <w:t>b summarized that the WG’s original charter</w:t>
      </w:r>
      <w:r w:rsidR="00977CC3" w:rsidRPr="00232785">
        <w:rPr>
          <w:rFonts w:ascii="Cambria" w:hAnsi="Cambria" w:cs="Calibri"/>
        </w:rPr>
        <w:t xml:space="preserve"> was determining how to</w:t>
      </w:r>
      <w:r w:rsidRPr="00232785">
        <w:rPr>
          <w:rFonts w:ascii="Cambria" w:hAnsi="Cambria" w:cs="Calibri"/>
        </w:rPr>
        <w:t xml:space="preserve"> </w:t>
      </w:r>
      <w:r w:rsidR="00977CC3" w:rsidRPr="00232785">
        <w:rPr>
          <w:rFonts w:ascii="Cambria" w:hAnsi="Cambria" w:cs="Calibri"/>
        </w:rPr>
        <w:t>address</w:t>
      </w:r>
      <w:r w:rsidRPr="00232785">
        <w:rPr>
          <w:rFonts w:ascii="Cambria" w:hAnsi="Cambria" w:cs="Calibri"/>
        </w:rPr>
        <w:t xml:space="preserve"> attribution between RA and MTIs. </w:t>
      </w:r>
      <w:r w:rsidR="00977CC3" w:rsidRPr="00232785">
        <w:rPr>
          <w:rFonts w:ascii="Cambria" w:hAnsi="Cambria" w:cs="Calibri"/>
        </w:rPr>
        <w:t>He outlined that the key next steps t</w:t>
      </w:r>
      <w:r w:rsidRPr="00232785">
        <w:rPr>
          <w:rFonts w:ascii="Cambria" w:hAnsi="Cambria" w:cs="Calibri"/>
        </w:rPr>
        <w:t>o wrap up this section</w:t>
      </w:r>
      <w:r w:rsidR="00977CC3" w:rsidRPr="00232785">
        <w:rPr>
          <w:rFonts w:ascii="Cambria" w:hAnsi="Cambria" w:cs="Calibri"/>
        </w:rPr>
        <w:t xml:space="preserve"> include:</w:t>
      </w:r>
    </w:p>
    <w:p w14:paraId="006E0A42" w14:textId="09E8E36B" w:rsidR="00977CC3" w:rsidRPr="00232785" w:rsidRDefault="00977CC3" w:rsidP="00977CC3">
      <w:pPr>
        <w:pStyle w:val="ListParagraph"/>
        <w:numPr>
          <w:ilvl w:val="0"/>
          <w:numId w:val="27"/>
        </w:numPr>
        <w:rPr>
          <w:rFonts w:ascii="Cambria" w:hAnsi="Cambria" w:cs="Calibri"/>
        </w:rPr>
      </w:pPr>
      <w:r w:rsidRPr="00232785">
        <w:rPr>
          <w:rFonts w:ascii="Cambria" w:hAnsi="Cambria" w:cs="Calibri"/>
        </w:rPr>
        <w:t>C</w:t>
      </w:r>
      <w:r w:rsidR="000A1689" w:rsidRPr="00232785">
        <w:rPr>
          <w:rFonts w:ascii="Cambria" w:hAnsi="Cambria" w:cs="Calibri"/>
        </w:rPr>
        <w:t>onduct polling</w:t>
      </w:r>
      <w:r w:rsidRPr="00232785">
        <w:rPr>
          <w:rFonts w:ascii="Cambria" w:hAnsi="Cambria" w:cs="Calibri"/>
        </w:rPr>
        <w:t xml:space="preserve"> for WG to select their preferred option</w:t>
      </w:r>
    </w:p>
    <w:p w14:paraId="1869769E" w14:textId="425C6740" w:rsidR="000A1689" w:rsidRDefault="00977CC3" w:rsidP="00977CC3">
      <w:pPr>
        <w:pStyle w:val="ListParagraph"/>
        <w:numPr>
          <w:ilvl w:val="0"/>
          <w:numId w:val="27"/>
        </w:numPr>
        <w:rPr>
          <w:rFonts w:ascii="Cambria" w:hAnsi="Cambria" w:cs="Calibri"/>
        </w:rPr>
      </w:pPr>
      <w:r w:rsidRPr="00232785">
        <w:rPr>
          <w:rFonts w:ascii="Cambria" w:hAnsi="Cambria" w:cs="Calibri"/>
        </w:rPr>
        <w:t>O</w:t>
      </w:r>
      <w:r w:rsidR="000A1689" w:rsidRPr="00232785">
        <w:rPr>
          <w:rFonts w:ascii="Cambria" w:hAnsi="Cambria" w:cs="Calibri"/>
        </w:rPr>
        <w:t xml:space="preserve">ffer the option for </w:t>
      </w:r>
      <w:r w:rsidRPr="00232785">
        <w:rPr>
          <w:rFonts w:ascii="Cambria" w:hAnsi="Cambria" w:cs="Calibri"/>
        </w:rPr>
        <w:t xml:space="preserve">WG members to prepare </w:t>
      </w:r>
      <w:r w:rsidR="000A1689" w:rsidRPr="00232785">
        <w:rPr>
          <w:rFonts w:ascii="Cambria" w:hAnsi="Cambria" w:cs="Calibri"/>
        </w:rPr>
        <w:t>comments in an appendix</w:t>
      </w:r>
      <w:r w:rsidRPr="00232785">
        <w:rPr>
          <w:rFonts w:ascii="Cambria" w:hAnsi="Cambria" w:cs="Calibri"/>
        </w:rPr>
        <w:t xml:space="preserve"> (</w:t>
      </w:r>
      <w:r w:rsidR="000A1689" w:rsidRPr="00232785">
        <w:rPr>
          <w:rFonts w:ascii="Cambria" w:hAnsi="Cambria" w:cs="Calibri"/>
        </w:rPr>
        <w:t>rather than rewriting the text in the body</w:t>
      </w:r>
      <w:r w:rsidRPr="00232785">
        <w:rPr>
          <w:rFonts w:ascii="Cambria" w:hAnsi="Cambria" w:cs="Calibri"/>
        </w:rPr>
        <w:t>)</w:t>
      </w:r>
    </w:p>
    <w:p w14:paraId="6DF1DE09" w14:textId="28E806E9" w:rsidR="00F24A23" w:rsidRPr="00232785" w:rsidRDefault="007E0C6D" w:rsidP="00977CC3">
      <w:pPr>
        <w:pStyle w:val="ListParagraph"/>
        <w:numPr>
          <w:ilvl w:val="0"/>
          <w:numId w:val="27"/>
        </w:numPr>
        <w:rPr>
          <w:rFonts w:ascii="Cambria" w:hAnsi="Cambria" w:cs="Calibri"/>
        </w:rPr>
      </w:pPr>
      <w:r>
        <w:rPr>
          <w:rFonts w:ascii="Cambria" w:hAnsi="Cambria" w:cs="Calibri"/>
        </w:rPr>
        <w:t>Plus,</w:t>
      </w:r>
      <w:r w:rsidR="00F24A23">
        <w:rPr>
          <w:rFonts w:ascii="Cambria" w:hAnsi="Cambria" w:cs="Calibri"/>
        </w:rPr>
        <w:t xml:space="preserve"> revise section based on A.Ar</w:t>
      </w:r>
      <w:r>
        <w:rPr>
          <w:rFonts w:ascii="Cambria" w:hAnsi="Cambria" w:cs="Calibri"/>
        </w:rPr>
        <w:t>q</w:t>
      </w:r>
      <w:r w:rsidR="00F24A23">
        <w:rPr>
          <w:rFonts w:ascii="Cambria" w:hAnsi="Cambria" w:cs="Calibri"/>
        </w:rPr>
        <w:t>uit’s efforts (described above)</w:t>
      </w:r>
    </w:p>
    <w:p w14:paraId="2787A6C7" w14:textId="77777777" w:rsidR="00857F5C" w:rsidRPr="00232785" w:rsidRDefault="00857F5C" w:rsidP="007A122B">
      <w:pPr>
        <w:rPr>
          <w:rFonts w:ascii="Cambria" w:hAnsi="Cambria" w:cs="Calibri"/>
          <w:b/>
          <w:bCs/>
        </w:rPr>
      </w:pPr>
    </w:p>
    <w:p w14:paraId="711F9944" w14:textId="263DA3B6" w:rsidR="002C12E5" w:rsidRPr="00232785" w:rsidRDefault="00593FCD" w:rsidP="00593FCD">
      <w:pPr>
        <w:rPr>
          <w:rFonts w:ascii="Cambria" w:hAnsi="Cambria" w:cs="Times New Roman (Body CS)"/>
          <w:b/>
          <w:smallCaps/>
          <w:sz w:val="26"/>
          <w:szCs w:val="26"/>
        </w:rPr>
      </w:pPr>
      <w:r w:rsidRPr="00232785">
        <w:rPr>
          <w:rFonts w:ascii="Cambria" w:hAnsi="Cambria" w:cs="Times New Roman (Body CS)"/>
          <w:b/>
          <w:smallCaps/>
          <w:sz w:val="26"/>
          <w:szCs w:val="26"/>
        </w:rPr>
        <w:t xml:space="preserve">Section 3: </w:t>
      </w:r>
      <w:r w:rsidR="002C12E5" w:rsidRPr="00232785">
        <w:rPr>
          <w:rFonts w:ascii="Cambria" w:hAnsi="Cambria" w:cs="Times New Roman (Body CS)"/>
          <w:b/>
          <w:smallCaps/>
          <w:sz w:val="26"/>
          <w:szCs w:val="26"/>
        </w:rPr>
        <w:t>Savings Attribution</w:t>
      </w:r>
      <w:r w:rsidRPr="00232785">
        <w:rPr>
          <w:rFonts w:ascii="Cambria" w:hAnsi="Cambria" w:cs="Times New Roman (Body CS)"/>
          <w:b/>
          <w:smallCaps/>
          <w:sz w:val="26"/>
          <w:szCs w:val="26"/>
        </w:rPr>
        <w:t xml:space="preserve">: </w:t>
      </w:r>
      <w:r w:rsidR="002C12E5" w:rsidRPr="00232785">
        <w:rPr>
          <w:rFonts w:ascii="Cambria" w:hAnsi="Cambria" w:cs="Times New Roman (Body CS)"/>
          <w:b/>
          <w:smallCaps/>
          <w:sz w:val="26"/>
          <w:szCs w:val="26"/>
        </w:rPr>
        <w:t>MTI’s and Codes and Standards</w:t>
      </w:r>
    </w:p>
    <w:p w14:paraId="3013F3B4" w14:textId="48D194B5" w:rsidR="00593FCD" w:rsidRPr="00232785" w:rsidRDefault="00593FCD" w:rsidP="00130AED">
      <w:pPr>
        <w:rPr>
          <w:rFonts w:ascii="Cambria" w:hAnsi="Cambria" w:cs="Calibri"/>
          <w:b/>
          <w:bCs/>
        </w:rPr>
      </w:pPr>
      <w:r w:rsidRPr="00232785">
        <w:rPr>
          <w:rFonts w:ascii="Cambria" w:hAnsi="Cambria" w:cs="Calibri"/>
          <w:b/>
          <w:bCs/>
        </w:rPr>
        <w:t>Non-Consensus Issue</w:t>
      </w:r>
      <w:r w:rsidR="00481482" w:rsidRPr="00232785">
        <w:rPr>
          <w:rFonts w:ascii="Cambria" w:hAnsi="Cambria" w:cs="Calibri"/>
          <w:b/>
          <w:bCs/>
        </w:rPr>
        <w:t>—</w:t>
      </w:r>
      <w:r w:rsidR="00847E93" w:rsidRPr="00232785">
        <w:rPr>
          <w:rFonts w:ascii="Cambria" w:hAnsi="Cambria" w:cs="Calibri"/>
          <w:b/>
          <w:bCs/>
        </w:rPr>
        <w:t xml:space="preserve">Attribution Factors </w:t>
      </w:r>
    </w:p>
    <w:p w14:paraId="2B42C889" w14:textId="36BAEFBF" w:rsidR="0080607C" w:rsidRPr="00232785" w:rsidRDefault="0080607C" w:rsidP="00130AED">
      <w:pPr>
        <w:rPr>
          <w:rFonts w:ascii="Cambria" w:hAnsi="Cambria" w:cs="Calibri"/>
        </w:rPr>
      </w:pPr>
      <w:r w:rsidRPr="00232785">
        <w:rPr>
          <w:rFonts w:ascii="Cambria" w:hAnsi="Cambria" w:cs="Calibri"/>
        </w:rPr>
        <w:t xml:space="preserve">Dan Suyeyasu (CodeCycle) gave a brief verbal presentation on Option A: </w:t>
      </w:r>
      <w:r w:rsidRPr="00232785">
        <w:rPr>
          <w:rFonts w:ascii="Cambria" w:hAnsi="Cambria"/>
          <w:color w:val="000000"/>
        </w:rPr>
        <w:t>Addition of MTI Related Factors Now</w:t>
      </w:r>
      <w:r w:rsidRPr="00232785">
        <w:rPr>
          <w:rFonts w:ascii="Cambria" w:hAnsi="Cambria" w:cs="Calibri"/>
        </w:rPr>
        <w:t xml:space="preserve">. Pat Eilert (PG&amp;E) gave a brief verbal presentation on Option B: </w:t>
      </w:r>
      <w:r w:rsidRPr="00232785">
        <w:rPr>
          <w:rFonts w:ascii="Cambria" w:hAnsi="Cambria"/>
          <w:color w:val="000000"/>
        </w:rPr>
        <w:t>Detailing Additional Factors is Premature.</w:t>
      </w:r>
    </w:p>
    <w:p w14:paraId="6B9D5287" w14:textId="37872204" w:rsidR="0080607C" w:rsidRPr="00232785" w:rsidRDefault="0080607C" w:rsidP="000A1689">
      <w:pPr>
        <w:rPr>
          <w:rFonts w:ascii="Cambria" w:hAnsi="Cambria" w:cs="Calibri"/>
        </w:rPr>
      </w:pPr>
    </w:p>
    <w:p w14:paraId="49E678D7" w14:textId="242CE9AB" w:rsidR="003623FB" w:rsidRPr="00232785" w:rsidRDefault="003D7883" w:rsidP="00FD7FE4">
      <w:pPr>
        <w:rPr>
          <w:rFonts w:ascii="Cambria" w:hAnsi="Cambria" w:cs="Calibri"/>
        </w:rPr>
      </w:pPr>
      <w:r>
        <w:rPr>
          <w:rFonts w:ascii="Cambria" w:hAnsi="Cambria" w:cs="Calibri"/>
        </w:rPr>
        <w:t>After lengthy discussion on several issues, n</w:t>
      </w:r>
      <w:r w:rsidR="0080607C" w:rsidRPr="00232785">
        <w:rPr>
          <w:rFonts w:ascii="Cambria" w:hAnsi="Cambria" w:cs="Calibri"/>
        </w:rPr>
        <w:t>o changes were agreed to during the meeting</w:t>
      </w:r>
      <w:r>
        <w:rPr>
          <w:rFonts w:ascii="Cambria" w:hAnsi="Cambria" w:cs="Calibri"/>
        </w:rPr>
        <w:t xml:space="preserve"> for either non-consensus option, </w:t>
      </w:r>
      <w:r>
        <w:rPr>
          <w:rFonts w:ascii="Cambria" w:eastAsia="Times New Roman" w:hAnsi="Cambria" w:cs="Calibri"/>
        </w:rPr>
        <w:t>or the other report language</w:t>
      </w:r>
      <w:r w:rsidR="0080607C" w:rsidRPr="00232785">
        <w:rPr>
          <w:rFonts w:ascii="Cambria" w:hAnsi="Cambria" w:cs="Calibri"/>
        </w:rPr>
        <w:t xml:space="preserve">. </w:t>
      </w:r>
    </w:p>
    <w:p w14:paraId="0B9122D9" w14:textId="77777777" w:rsidR="003623FB" w:rsidRPr="00232785" w:rsidRDefault="003623FB" w:rsidP="00FD7FE4">
      <w:pPr>
        <w:rPr>
          <w:rFonts w:ascii="Cambria" w:hAnsi="Cambria" w:cs="Calibri"/>
        </w:rPr>
      </w:pPr>
    </w:p>
    <w:p w14:paraId="0D9B1F8F" w14:textId="7D69A13E" w:rsidR="00593FCD" w:rsidRPr="00232785" w:rsidRDefault="00593FCD" w:rsidP="00130AED">
      <w:pPr>
        <w:rPr>
          <w:rFonts w:ascii="Cambria" w:hAnsi="Cambria" w:cs="Calibri"/>
          <w:b/>
          <w:bCs/>
        </w:rPr>
      </w:pPr>
      <w:r w:rsidRPr="00232785">
        <w:rPr>
          <w:rFonts w:ascii="Cambria" w:hAnsi="Cambria" w:cs="Calibri"/>
          <w:b/>
          <w:bCs/>
        </w:rPr>
        <w:t>Non-Consensus Issue—Factor Weighting</w:t>
      </w:r>
    </w:p>
    <w:p w14:paraId="098B2ADA" w14:textId="6D6AE4BA" w:rsidR="00593FCD" w:rsidRPr="00232785" w:rsidRDefault="003623FB" w:rsidP="003623FB">
      <w:pPr>
        <w:rPr>
          <w:rFonts w:ascii="Cambria" w:hAnsi="Cambria" w:cs="Calibri"/>
        </w:rPr>
      </w:pPr>
      <w:r w:rsidRPr="00232785">
        <w:rPr>
          <w:rFonts w:ascii="Cambria" w:hAnsi="Cambria" w:cs="Calibri"/>
        </w:rPr>
        <w:t>Jay Luboff (Luboff Consulting) gave a brief verbal presentation on</w:t>
      </w:r>
      <w:r w:rsidRPr="00232785">
        <w:rPr>
          <w:rFonts w:ascii="Cambria" w:hAnsi="Cambria" w:cs="Calibri"/>
          <w:b/>
          <w:bCs/>
        </w:rPr>
        <w:t xml:space="preserve"> </w:t>
      </w:r>
      <w:r w:rsidR="00593FCD" w:rsidRPr="00232785">
        <w:rPr>
          <w:rFonts w:ascii="Cambria" w:hAnsi="Cambria" w:cs="Calibri"/>
        </w:rPr>
        <w:t xml:space="preserve">Option A: </w:t>
      </w:r>
      <w:r w:rsidR="00481482" w:rsidRPr="00232785">
        <w:rPr>
          <w:rFonts w:ascii="Cambria" w:hAnsi="Cambria"/>
          <w:color w:val="000000"/>
        </w:rPr>
        <w:t>Make Adjustments to Weighting of Factors Now</w:t>
      </w:r>
      <w:r w:rsidRPr="00232785">
        <w:rPr>
          <w:rFonts w:ascii="Cambria" w:hAnsi="Cambria" w:cs="Calibri"/>
        </w:rPr>
        <w:t xml:space="preserve">. Pat Eilert (PG&amp;E) gave a brief verbal presentation on </w:t>
      </w:r>
      <w:r w:rsidR="00593FCD" w:rsidRPr="00232785">
        <w:rPr>
          <w:rFonts w:ascii="Cambria" w:hAnsi="Cambria" w:cs="Calibri"/>
        </w:rPr>
        <w:t xml:space="preserve">Option B: </w:t>
      </w:r>
      <w:r w:rsidR="00481482" w:rsidRPr="00232785">
        <w:rPr>
          <w:rFonts w:ascii="Cambria" w:hAnsi="Cambria"/>
          <w:color w:val="000000"/>
        </w:rPr>
        <w:t xml:space="preserve">Adjustments to Weighting of Factors Now is </w:t>
      </w:r>
      <w:r w:rsidRPr="00232785">
        <w:rPr>
          <w:rFonts w:ascii="Cambria" w:hAnsi="Cambria"/>
          <w:color w:val="000000"/>
        </w:rPr>
        <w:t>Premature.</w:t>
      </w:r>
    </w:p>
    <w:p w14:paraId="55DA582F" w14:textId="77777777" w:rsidR="001A675A" w:rsidRPr="00232785" w:rsidRDefault="001A675A" w:rsidP="003623FB">
      <w:pPr>
        <w:rPr>
          <w:rFonts w:ascii="Cambria" w:hAnsi="Cambria" w:cs="Calibri"/>
        </w:rPr>
      </w:pPr>
    </w:p>
    <w:p w14:paraId="445C529B" w14:textId="6A0D099A" w:rsidR="003623FB" w:rsidRPr="00232785" w:rsidRDefault="003623FB" w:rsidP="003623FB">
      <w:pPr>
        <w:rPr>
          <w:rFonts w:ascii="Cambria" w:eastAsia="Times New Roman" w:hAnsi="Cambria" w:cs="Calibri"/>
        </w:rPr>
      </w:pPr>
      <w:r w:rsidRPr="00232785">
        <w:rPr>
          <w:rFonts w:ascii="Cambria" w:eastAsia="Times New Roman" w:hAnsi="Cambria" w:cs="Calibri"/>
        </w:rPr>
        <w:t xml:space="preserve">No substantive changes were proposed for </w:t>
      </w:r>
      <w:r w:rsidR="003D7883">
        <w:rPr>
          <w:rFonts w:ascii="Cambria" w:eastAsia="Times New Roman" w:hAnsi="Cambria" w:cs="Calibri"/>
        </w:rPr>
        <w:t>either non-consensus option, or the other report language</w:t>
      </w:r>
      <w:r w:rsidRPr="00232785">
        <w:rPr>
          <w:rFonts w:ascii="Cambria" w:eastAsia="Times New Roman" w:hAnsi="Cambria" w:cs="Calibri"/>
        </w:rPr>
        <w:t>.</w:t>
      </w:r>
    </w:p>
    <w:p w14:paraId="2717F45A" w14:textId="33B7CE03" w:rsidR="00FD7FE4" w:rsidRPr="00232785" w:rsidRDefault="00FD7FE4" w:rsidP="001A675A">
      <w:pPr>
        <w:rPr>
          <w:rFonts w:ascii="Cambria" w:hAnsi="Cambria" w:cs="Calibri"/>
        </w:rPr>
      </w:pPr>
    </w:p>
    <w:p w14:paraId="1A0CD6B8" w14:textId="5E6CE964" w:rsidR="00593FCD" w:rsidRPr="00232785" w:rsidRDefault="00593FCD" w:rsidP="00130AED">
      <w:pPr>
        <w:rPr>
          <w:rFonts w:ascii="Cambria" w:hAnsi="Cambria" w:cs="Calibri"/>
          <w:b/>
          <w:bCs/>
        </w:rPr>
      </w:pPr>
      <w:r w:rsidRPr="00232785">
        <w:rPr>
          <w:rFonts w:ascii="Cambria" w:hAnsi="Cambria" w:cs="Calibri"/>
          <w:b/>
          <w:bCs/>
        </w:rPr>
        <w:t>Non-Consensus Issue—Pre-Allocation of Savings</w:t>
      </w:r>
    </w:p>
    <w:p w14:paraId="0F60BF3A" w14:textId="435C16F7" w:rsidR="00593FCD" w:rsidRPr="00232785" w:rsidRDefault="003623FB" w:rsidP="003623FB">
      <w:pPr>
        <w:rPr>
          <w:rFonts w:ascii="Cambria" w:hAnsi="Cambria" w:cs="Calibri"/>
        </w:rPr>
      </w:pPr>
      <w:r w:rsidRPr="00232785">
        <w:rPr>
          <w:rFonts w:ascii="Cambria" w:hAnsi="Cambria" w:cs="Calibri"/>
        </w:rPr>
        <w:t xml:space="preserve">Dan and Jay (CodeCycle, Luboff et al) gave a brief verbal presentation on </w:t>
      </w:r>
      <w:r w:rsidR="00593FCD" w:rsidRPr="00232785">
        <w:rPr>
          <w:rFonts w:ascii="Cambria" w:hAnsi="Cambria" w:cs="Calibri"/>
        </w:rPr>
        <w:t xml:space="preserve">Option A: </w:t>
      </w:r>
      <w:r w:rsidR="00481482" w:rsidRPr="00232785">
        <w:rPr>
          <w:rFonts w:ascii="Cambria" w:eastAsia="Times New Roman" w:hAnsi="Cambria" w:cs="Calibri"/>
          <w:color w:val="000000"/>
        </w:rPr>
        <w:t>Pre-allocate a portion of savings and the rest allocated ex post</w:t>
      </w:r>
      <w:r w:rsidRPr="00232785">
        <w:rPr>
          <w:rFonts w:ascii="Cambria" w:hAnsi="Cambria" w:cs="Calibri"/>
        </w:rPr>
        <w:t xml:space="preserve">. The IOUs gave a brief verbal presentation on </w:t>
      </w:r>
      <w:r w:rsidR="00593FCD" w:rsidRPr="00232785">
        <w:rPr>
          <w:rFonts w:ascii="Cambria" w:hAnsi="Cambria" w:cs="Calibri"/>
        </w:rPr>
        <w:t xml:space="preserve">Option B: </w:t>
      </w:r>
      <w:r w:rsidR="00481482" w:rsidRPr="00232785">
        <w:rPr>
          <w:rFonts w:ascii="Cambria" w:eastAsia="Times New Roman" w:hAnsi="Cambria" w:cs="Calibri"/>
          <w:color w:val="000000"/>
        </w:rPr>
        <w:t>No pre-allocation of savings—entirely ex post</w:t>
      </w:r>
      <w:r w:rsidRPr="00232785">
        <w:rPr>
          <w:rFonts w:ascii="Cambria" w:hAnsi="Cambria" w:cs="Calibri"/>
        </w:rPr>
        <w:t>.</w:t>
      </w:r>
    </w:p>
    <w:p w14:paraId="1F05BF82" w14:textId="22B7C1BA" w:rsidR="001D52AC" w:rsidRPr="00232785" w:rsidRDefault="001D52AC" w:rsidP="001D52AC">
      <w:pPr>
        <w:rPr>
          <w:rFonts w:ascii="Cambria" w:hAnsi="Cambria" w:cs="Calibri"/>
        </w:rPr>
      </w:pPr>
    </w:p>
    <w:p w14:paraId="7E8FC313" w14:textId="49CEBC1D" w:rsidR="001D52AC" w:rsidRPr="00232785" w:rsidRDefault="007E0C6D" w:rsidP="001D52AC">
      <w:pPr>
        <w:rPr>
          <w:rFonts w:ascii="Cambria" w:hAnsi="Cambria" w:cs="Calibri"/>
        </w:rPr>
      </w:pPr>
      <w:r>
        <w:rPr>
          <w:rFonts w:ascii="Cambria" w:hAnsi="Cambria" w:cs="Calibri"/>
        </w:rPr>
        <w:t>J. Raab</w:t>
      </w:r>
      <w:r w:rsidR="003D7883">
        <w:rPr>
          <w:rFonts w:ascii="Cambria" w:hAnsi="Cambria" w:cs="Calibri"/>
        </w:rPr>
        <w:t xml:space="preserve"> showed the results of the sign-up process, mentioned that eight MTWG members had not responded to the survey </w:t>
      </w:r>
      <w:r>
        <w:rPr>
          <w:rFonts w:ascii="Cambria" w:hAnsi="Cambria" w:cs="Calibri"/>
        </w:rPr>
        <w:t>despite</w:t>
      </w:r>
      <w:r w:rsidR="003D7883">
        <w:rPr>
          <w:rFonts w:ascii="Cambria" w:hAnsi="Cambria" w:cs="Calibri"/>
        </w:rPr>
        <w:t xml:space="preserve"> three emails to do so. </w:t>
      </w:r>
    </w:p>
    <w:p w14:paraId="48E196BA" w14:textId="77777777" w:rsidR="00130AED" w:rsidRPr="00232785" w:rsidRDefault="00130AED" w:rsidP="00130AED">
      <w:pPr>
        <w:rPr>
          <w:rFonts w:ascii="Cambria" w:hAnsi="Cambria" w:cs="Calibri"/>
        </w:rPr>
      </w:pPr>
    </w:p>
    <w:p w14:paraId="17B3B0FC" w14:textId="3EE9E396" w:rsidR="00593FCD" w:rsidRPr="00232785" w:rsidRDefault="00593FCD" w:rsidP="00130AED">
      <w:pPr>
        <w:rPr>
          <w:rFonts w:ascii="Cambria" w:hAnsi="Cambria" w:cs="Calibri"/>
          <w:b/>
          <w:bCs/>
        </w:rPr>
      </w:pPr>
      <w:r w:rsidRPr="00232785">
        <w:rPr>
          <w:rFonts w:ascii="Cambria" w:hAnsi="Cambria" w:cs="Calibri"/>
          <w:b/>
          <w:bCs/>
        </w:rPr>
        <w:lastRenderedPageBreak/>
        <w:t>Other Section text</w:t>
      </w:r>
    </w:p>
    <w:p w14:paraId="4F71E93B" w14:textId="7DFAEDEC" w:rsidR="00566136" w:rsidRPr="00232785" w:rsidRDefault="00566136" w:rsidP="00130AED">
      <w:pPr>
        <w:rPr>
          <w:rFonts w:ascii="Cambria" w:hAnsi="Cambria" w:cs="Calibri"/>
        </w:rPr>
      </w:pPr>
      <w:r w:rsidRPr="00232785">
        <w:rPr>
          <w:rFonts w:ascii="Cambria" w:hAnsi="Cambria" w:cs="Calibri"/>
        </w:rPr>
        <w:t xml:space="preserve">J. Raab walked participants through the non-option language in section 3, including principles 1-6 (pages 12-13). </w:t>
      </w:r>
    </w:p>
    <w:p w14:paraId="1E868061" w14:textId="28F7D6A4" w:rsidR="003623FB" w:rsidRPr="00232785" w:rsidRDefault="003623FB" w:rsidP="00130AED">
      <w:pPr>
        <w:rPr>
          <w:rFonts w:ascii="Cambria" w:hAnsi="Cambria" w:cs="Calibri"/>
        </w:rPr>
      </w:pPr>
    </w:p>
    <w:p w14:paraId="515EF1BA" w14:textId="77777777" w:rsidR="003623FB" w:rsidRPr="00232785" w:rsidRDefault="003623FB" w:rsidP="003623FB">
      <w:pPr>
        <w:rPr>
          <w:rFonts w:ascii="Cambria" w:hAnsi="Cambria" w:cs="Calibri"/>
        </w:rPr>
      </w:pPr>
      <w:r w:rsidRPr="00232785">
        <w:rPr>
          <w:rFonts w:ascii="Cambria" w:hAnsi="Cambria" w:cs="Calibri"/>
        </w:rPr>
        <w:t>WG members agreed to the following substantive changes:</w:t>
      </w:r>
    </w:p>
    <w:p w14:paraId="426C4955" w14:textId="77777777" w:rsidR="003623FB" w:rsidRPr="00232785" w:rsidRDefault="003623FB" w:rsidP="003623FB">
      <w:pPr>
        <w:pStyle w:val="ListParagraph"/>
        <w:numPr>
          <w:ilvl w:val="0"/>
          <w:numId w:val="28"/>
        </w:numPr>
        <w:rPr>
          <w:rFonts w:ascii="Cambria" w:hAnsi="Cambria" w:cs="Calibri"/>
        </w:rPr>
      </w:pPr>
      <w:r w:rsidRPr="00232785">
        <w:rPr>
          <w:rFonts w:ascii="Cambria" w:hAnsi="Cambria" w:cs="Calibri"/>
        </w:rPr>
        <w:t>In Section 3 “Background”, remove the following line: “above and beyond those embodied in C&amp;S administrator’s planned activities at time the MTI is proposed” – as well as the two paragraphs proposed by CodeCycle on 1/14 beginning with the phrase “While there are distinct categories of influence”</w:t>
      </w:r>
    </w:p>
    <w:p w14:paraId="3F75FB41" w14:textId="47176321" w:rsidR="00EA3B23" w:rsidRPr="00232785" w:rsidRDefault="003623FB" w:rsidP="00EA3B23">
      <w:pPr>
        <w:pStyle w:val="ListParagraph"/>
        <w:numPr>
          <w:ilvl w:val="0"/>
          <w:numId w:val="28"/>
        </w:numPr>
        <w:rPr>
          <w:rFonts w:ascii="Cambria" w:hAnsi="Cambria" w:cs="Calibri"/>
        </w:rPr>
      </w:pPr>
      <w:r w:rsidRPr="00232785">
        <w:rPr>
          <w:rFonts w:ascii="Cambria" w:hAnsi="Cambria" w:cs="Calibri"/>
        </w:rPr>
        <w:t>In Section 3 “Recommended Principles and Overall Approach”, change #4 to the following: “</w:t>
      </w:r>
      <w:r w:rsidRPr="00232785">
        <w:rPr>
          <w:rFonts w:ascii="Cambria" w:hAnsi="Cambria" w:cs="Calibri"/>
          <w:color w:val="000000"/>
        </w:rPr>
        <w:t>The MTA will create an initial forecast</w:t>
      </w:r>
      <w:r w:rsidRPr="00232785">
        <w:rPr>
          <w:rFonts w:ascii="Cambria" w:hAnsi="Cambria" w:cs="Calibri"/>
          <w:color w:val="000000"/>
          <w:vertAlign w:val="superscript"/>
        </w:rPr>
        <w:footnoteReference w:id="1"/>
      </w:r>
      <w:r w:rsidRPr="00232785">
        <w:rPr>
          <w:rFonts w:ascii="Cambria" w:hAnsi="Cambria" w:cs="Calibri"/>
          <w:color w:val="000000"/>
        </w:rPr>
        <w:t xml:space="preserve"> of total MTI/C&amp;S savings for planning purposes in close collaboration with C&amp;S Program Administrator as described in the Decision 19-12-021. Combined C&amp;S and MTIs savings are incremental to naturally occurring baseline”</w:t>
      </w:r>
      <w:r w:rsidR="00D26F44" w:rsidRPr="00232785">
        <w:rPr>
          <w:rFonts w:ascii="Cambria" w:hAnsi="Cambria" w:cs="Calibri"/>
          <w:color w:val="000000"/>
        </w:rPr>
        <w:t xml:space="preserve">. This new line no longer has the following reference: </w:t>
      </w:r>
      <w:r w:rsidR="00566136" w:rsidRPr="00232785">
        <w:rPr>
          <w:rFonts w:ascii="Cambria" w:hAnsi="Cambria" w:cs="Calibri"/>
        </w:rPr>
        <w:t>“</w:t>
      </w:r>
      <w:r w:rsidR="00566136" w:rsidRPr="00232785">
        <w:rPr>
          <w:rFonts w:ascii="Cambria" w:hAnsi="Cambria" w:cs="Calibri"/>
          <w:color w:val="000000"/>
        </w:rPr>
        <w:t xml:space="preserve">and planned C&amp;S (and RA) activities at the time an MTI is proposed” </w:t>
      </w:r>
      <w:r w:rsidR="00D26F44" w:rsidRPr="00232785">
        <w:rPr>
          <w:rFonts w:ascii="Cambria" w:hAnsi="Cambria" w:cs="Calibri"/>
          <w:color w:val="000000"/>
        </w:rPr>
        <w:t xml:space="preserve">but </w:t>
      </w:r>
      <w:r w:rsidR="001505D1" w:rsidRPr="00232785">
        <w:rPr>
          <w:rFonts w:ascii="Cambria" w:hAnsi="Cambria" w:cs="Calibri"/>
        </w:rPr>
        <w:t xml:space="preserve">“as described in </w:t>
      </w:r>
      <w:r w:rsidR="007E0C6D">
        <w:rPr>
          <w:rFonts w:ascii="Cambria" w:hAnsi="Cambria" w:cs="Calibri"/>
        </w:rPr>
        <w:t>Decision</w:t>
      </w:r>
      <w:r w:rsidR="001505D1" w:rsidRPr="00232785">
        <w:rPr>
          <w:rFonts w:ascii="Cambria" w:hAnsi="Cambria" w:cs="Calibri"/>
        </w:rPr>
        <w:t xml:space="preserve"> 19-12-021” </w:t>
      </w:r>
      <w:r w:rsidR="00D26F44" w:rsidRPr="00232785">
        <w:rPr>
          <w:rFonts w:ascii="Cambria" w:hAnsi="Cambria" w:cs="Calibri"/>
        </w:rPr>
        <w:t xml:space="preserve">was added to </w:t>
      </w:r>
      <w:r w:rsidR="001505D1" w:rsidRPr="00232785">
        <w:rPr>
          <w:rFonts w:ascii="Cambria" w:hAnsi="Cambria" w:cs="Calibri"/>
        </w:rPr>
        <w:t>reference that PAs will have a seat at the table.</w:t>
      </w:r>
    </w:p>
    <w:p w14:paraId="2D756A51" w14:textId="77777777" w:rsidR="00F87F6A" w:rsidRPr="00232785" w:rsidRDefault="00F87F6A" w:rsidP="00042462">
      <w:pPr>
        <w:shd w:val="clear" w:color="auto" w:fill="FFFFFF"/>
        <w:rPr>
          <w:rFonts w:ascii="Cambria" w:eastAsia="Times New Roman" w:hAnsi="Cambria" w:cs="Calibri"/>
          <w:b/>
          <w:bCs/>
        </w:rPr>
      </w:pPr>
    </w:p>
    <w:p w14:paraId="113FF63F" w14:textId="004C80B9" w:rsidR="00A7795A" w:rsidRPr="00232785" w:rsidRDefault="005A23B5" w:rsidP="004057AC">
      <w:pPr>
        <w:rPr>
          <w:rFonts w:ascii="Cambria" w:hAnsi="Cambria" w:cs="Times New Roman (Body CS)"/>
          <w:b/>
          <w:smallCaps/>
          <w:sz w:val="26"/>
          <w:szCs w:val="26"/>
        </w:rPr>
      </w:pPr>
      <w:r w:rsidRPr="00232785">
        <w:rPr>
          <w:rFonts w:ascii="Cambria" w:hAnsi="Cambria" w:cs="Times New Roman (Body CS)"/>
          <w:b/>
          <w:smallCaps/>
          <w:sz w:val="26"/>
          <w:szCs w:val="26"/>
        </w:rPr>
        <w:t xml:space="preserve">Section </w:t>
      </w:r>
      <w:r w:rsidR="0014457B" w:rsidRPr="00232785">
        <w:rPr>
          <w:rFonts w:ascii="Cambria" w:hAnsi="Cambria" w:cs="Times New Roman (Body CS)"/>
          <w:b/>
          <w:smallCaps/>
          <w:sz w:val="26"/>
          <w:szCs w:val="26"/>
        </w:rPr>
        <w:t>4</w:t>
      </w:r>
      <w:r w:rsidRPr="00232785">
        <w:rPr>
          <w:rFonts w:ascii="Cambria" w:hAnsi="Cambria" w:cs="Times New Roman (Body CS)"/>
          <w:b/>
          <w:smallCaps/>
          <w:sz w:val="26"/>
          <w:szCs w:val="26"/>
        </w:rPr>
        <w:t xml:space="preserve">: </w:t>
      </w:r>
      <w:r w:rsidR="0014457B" w:rsidRPr="00232785">
        <w:rPr>
          <w:rFonts w:ascii="Cambria" w:hAnsi="Cambria" w:cs="Times New Roman (Body CS)"/>
          <w:b/>
          <w:smallCaps/>
          <w:sz w:val="26"/>
          <w:szCs w:val="26"/>
        </w:rPr>
        <w:t>Savings Goal-Setting</w:t>
      </w:r>
      <w:r w:rsidR="00B35197" w:rsidRPr="00232785">
        <w:rPr>
          <w:rFonts w:ascii="Cambria" w:hAnsi="Cambria" w:cs="Times New Roman (Body CS)"/>
          <w:b/>
          <w:smallCaps/>
          <w:sz w:val="26"/>
          <w:szCs w:val="26"/>
        </w:rPr>
        <w:t xml:space="preserve"> for</w:t>
      </w:r>
      <w:r w:rsidR="00FA0582" w:rsidRPr="00232785">
        <w:rPr>
          <w:rFonts w:ascii="Cambria" w:hAnsi="Cambria" w:cs="Times New Roman (Body CS)"/>
          <w:b/>
          <w:smallCaps/>
          <w:sz w:val="26"/>
          <w:szCs w:val="26"/>
        </w:rPr>
        <w:t xml:space="preserve"> MTIs </w:t>
      </w:r>
    </w:p>
    <w:p w14:paraId="0E43566A" w14:textId="3960733A" w:rsidR="00E278D9" w:rsidRDefault="00A421EA" w:rsidP="00A421EA">
      <w:pPr>
        <w:rPr>
          <w:rFonts w:ascii="Cambria" w:hAnsi="Cambria" w:cs="Calibri"/>
        </w:rPr>
      </w:pPr>
      <w:r w:rsidRPr="00232785">
        <w:rPr>
          <w:rFonts w:ascii="Cambria" w:hAnsi="Cambria" w:cs="Calibri"/>
        </w:rPr>
        <w:t>J. Raab</w:t>
      </w:r>
      <w:r w:rsidR="00D26F44" w:rsidRPr="00232785">
        <w:rPr>
          <w:rFonts w:ascii="Cambria" w:hAnsi="Cambria" w:cs="Calibri"/>
        </w:rPr>
        <w:t xml:space="preserve"> explained that this section included a potential non-consensus issue. Option A, which was documented in the body of the report, calls for setting goals at the MTI level. Option B, which was in an appendix, calls for setting goals at the portfolio level. He</w:t>
      </w:r>
      <w:r w:rsidR="003D7883">
        <w:rPr>
          <w:rFonts w:ascii="Cambria" w:hAnsi="Cambria" w:cs="Calibri"/>
        </w:rPr>
        <w:t xml:space="preserve">, </w:t>
      </w:r>
      <w:r w:rsidR="00D26F44" w:rsidRPr="00232785">
        <w:rPr>
          <w:rFonts w:ascii="Cambria" w:hAnsi="Cambria" w:cs="Calibri"/>
        </w:rPr>
        <w:t>J. Burrows</w:t>
      </w:r>
      <w:r w:rsidR="003D7883">
        <w:rPr>
          <w:rFonts w:ascii="Cambria" w:hAnsi="Cambria" w:cs="Calibri"/>
        </w:rPr>
        <w:t xml:space="preserve">, and </w:t>
      </w:r>
      <w:r w:rsidR="007E0C6D">
        <w:rPr>
          <w:rFonts w:ascii="Cambria" w:hAnsi="Cambria" w:cs="Calibri"/>
        </w:rPr>
        <w:t>M. Gardner</w:t>
      </w:r>
      <w:r w:rsidR="00D26F44" w:rsidRPr="00232785">
        <w:rPr>
          <w:rFonts w:ascii="Cambria" w:hAnsi="Cambria" w:cs="Calibri"/>
        </w:rPr>
        <w:t xml:space="preserve"> provided historical context for the evolution of these options. </w:t>
      </w:r>
    </w:p>
    <w:p w14:paraId="74BBD55D" w14:textId="311A99BD" w:rsidR="00E278D9" w:rsidRDefault="00D26F44" w:rsidP="00A421EA">
      <w:pPr>
        <w:rPr>
          <w:rFonts w:ascii="Cambria" w:hAnsi="Cambria" w:cs="Calibri"/>
        </w:rPr>
      </w:pPr>
      <w:r w:rsidRPr="00232785">
        <w:rPr>
          <w:rFonts w:ascii="Cambria" w:hAnsi="Cambria" w:cs="Calibri"/>
        </w:rPr>
        <w:t>Then J. Raab invited discussion on the two options</w:t>
      </w:r>
      <w:r w:rsidR="00E278D9">
        <w:rPr>
          <w:rFonts w:ascii="Cambria" w:hAnsi="Cambria" w:cs="Calibri"/>
        </w:rPr>
        <w:t>, and asked if any Member preferred Option B.  Hearing none, it was concluded that Option A is a consensus recommendation.</w:t>
      </w:r>
    </w:p>
    <w:p w14:paraId="2F2B8E86" w14:textId="77777777" w:rsidR="00E278D9" w:rsidRDefault="00E278D9" w:rsidP="00A421EA">
      <w:pPr>
        <w:rPr>
          <w:rFonts w:ascii="Cambria" w:hAnsi="Cambria" w:cs="Calibri"/>
        </w:rPr>
      </w:pPr>
    </w:p>
    <w:p w14:paraId="70A2FD52" w14:textId="0792F09E" w:rsidR="00D26F44" w:rsidRPr="00232785" w:rsidRDefault="00D26F44" w:rsidP="00A421EA">
      <w:pPr>
        <w:rPr>
          <w:rFonts w:ascii="Cambria" w:hAnsi="Cambria" w:cs="Calibri"/>
        </w:rPr>
      </w:pPr>
      <w:r w:rsidRPr="00232785">
        <w:rPr>
          <w:rFonts w:ascii="Cambria" w:hAnsi="Cambria" w:cs="Calibri"/>
        </w:rPr>
        <w:t>He also noted the section titled “MTI Goals if Implementer is a California Program Administrator” (page 22), which was originally proposed by Christie. He asked if anyone had concerns</w:t>
      </w:r>
      <w:r w:rsidR="00E278D9">
        <w:rPr>
          <w:rFonts w:ascii="Cambria" w:hAnsi="Cambria" w:cs="Calibri"/>
        </w:rPr>
        <w:t xml:space="preserve"> with that section</w:t>
      </w:r>
      <w:r w:rsidRPr="00232785">
        <w:rPr>
          <w:rFonts w:ascii="Cambria" w:hAnsi="Cambria" w:cs="Calibri"/>
        </w:rPr>
        <w:t xml:space="preserve">; and hearing none, concluded </w:t>
      </w:r>
      <w:r w:rsidR="007E0C6D" w:rsidRPr="00232785">
        <w:rPr>
          <w:rFonts w:ascii="Cambria" w:hAnsi="Cambria" w:cs="Calibri"/>
        </w:rPr>
        <w:t xml:space="preserve">it </w:t>
      </w:r>
      <w:r w:rsidR="007E0C6D">
        <w:rPr>
          <w:rFonts w:ascii="Cambria" w:hAnsi="Cambria" w:cs="Calibri"/>
        </w:rPr>
        <w:t>too</w:t>
      </w:r>
      <w:r w:rsidR="00E278D9">
        <w:rPr>
          <w:rFonts w:ascii="Cambria" w:hAnsi="Cambria" w:cs="Calibri"/>
        </w:rPr>
        <w:t xml:space="preserve"> </w:t>
      </w:r>
      <w:r w:rsidRPr="00232785">
        <w:rPr>
          <w:rFonts w:ascii="Cambria" w:hAnsi="Cambria" w:cs="Calibri"/>
        </w:rPr>
        <w:t>will be considered a consensus proposal.</w:t>
      </w:r>
    </w:p>
    <w:p w14:paraId="38091957" w14:textId="51F224A2" w:rsidR="00D26F44" w:rsidRPr="00232785" w:rsidRDefault="00D26F44" w:rsidP="00A421EA">
      <w:pPr>
        <w:rPr>
          <w:rFonts w:ascii="Cambria" w:hAnsi="Cambria" w:cs="Calibri"/>
        </w:rPr>
      </w:pPr>
    </w:p>
    <w:p w14:paraId="75AE1296" w14:textId="77777777" w:rsidR="00D26F44" w:rsidRPr="00232785" w:rsidRDefault="00D26F44" w:rsidP="00D26F44">
      <w:pPr>
        <w:rPr>
          <w:rFonts w:ascii="Cambria" w:hAnsi="Cambria" w:cs="Calibri"/>
        </w:rPr>
      </w:pPr>
      <w:r w:rsidRPr="00232785">
        <w:rPr>
          <w:rFonts w:ascii="Cambria" w:hAnsi="Cambria" w:cs="Calibri"/>
        </w:rPr>
        <w:t>WG members agreed to the following substantive changes:</w:t>
      </w:r>
    </w:p>
    <w:p w14:paraId="51744CAB" w14:textId="40C6CF35" w:rsidR="00D26F44" w:rsidRPr="00232785" w:rsidRDefault="00D26F44" w:rsidP="00D26F44">
      <w:pPr>
        <w:pStyle w:val="ListParagraph"/>
        <w:numPr>
          <w:ilvl w:val="0"/>
          <w:numId w:val="29"/>
        </w:numPr>
        <w:rPr>
          <w:rFonts w:ascii="Cambria" w:hAnsi="Cambria" w:cs="Calibri"/>
        </w:rPr>
      </w:pPr>
      <w:r w:rsidRPr="00232785">
        <w:rPr>
          <w:rFonts w:ascii="Cambria" w:hAnsi="Cambria" w:cs="Calibri"/>
        </w:rPr>
        <w:t>Removal of Option B from the appendix, as well as all references to it</w:t>
      </w:r>
    </w:p>
    <w:p w14:paraId="1044449E" w14:textId="77777777" w:rsidR="00F87F6A" w:rsidRPr="00232785" w:rsidRDefault="00F87F6A" w:rsidP="00FD7FE4">
      <w:pPr>
        <w:rPr>
          <w:rFonts w:ascii="Cambria" w:hAnsi="Cambria" w:cs="Calibri"/>
          <w:b/>
          <w:bCs/>
        </w:rPr>
      </w:pPr>
    </w:p>
    <w:p w14:paraId="63A358E1" w14:textId="2E57F3CB" w:rsidR="00112FC6" w:rsidRPr="00232785" w:rsidRDefault="0095656D" w:rsidP="004057AC">
      <w:pPr>
        <w:rPr>
          <w:rFonts w:ascii="Cambria" w:hAnsi="Cambria" w:cs="Times New Roman (Body CS)"/>
          <w:b/>
          <w:smallCaps/>
          <w:sz w:val="26"/>
          <w:szCs w:val="26"/>
        </w:rPr>
      </w:pPr>
      <w:r w:rsidRPr="00232785">
        <w:rPr>
          <w:rFonts w:ascii="Cambria" w:hAnsi="Cambria" w:cs="Times New Roman (Body CS)"/>
          <w:b/>
          <w:smallCaps/>
          <w:sz w:val="26"/>
          <w:szCs w:val="26"/>
        </w:rPr>
        <w:t>Wrap-Up/Next Steps</w:t>
      </w:r>
    </w:p>
    <w:p w14:paraId="7F30843F" w14:textId="6BE6CCDC" w:rsidR="00FD7FE4" w:rsidRPr="00232785" w:rsidRDefault="0092743B" w:rsidP="0092743B">
      <w:pPr>
        <w:rPr>
          <w:rFonts w:ascii="Cambria" w:hAnsi="Cambria"/>
        </w:rPr>
      </w:pPr>
      <w:r w:rsidRPr="00232785">
        <w:rPr>
          <w:rFonts w:ascii="Cambria" w:hAnsi="Cambria"/>
        </w:rPr>
        <w:t>J. Raab thanked participants. He asked for an</w:t>
      </w:r>
      <w:r w:rsidR="002A5015">
        <w:rPr>
          <w:rFonts w:ascii="Cambria" w:hAnsi="Cambria"/>
        </w:rPr>
        <w:t>y</w:t>
      </w:r>
      <w:r w:rsidRPr="00232785">
        <w:rPr>
          <w:rFonts w:ascii="Cambria" w:hAnsi="Cambria"/>
        </w:rPr>
        <w:t xml:space="preserve"> additional copy edits by COB </w:t>
      </w:r>
      <w:r w:rsidR="00D26F44" w:rsidRPr="00232785">
        <w:rPr>
          <w:rFonts w:ascii="Cambria" w:hAnsi="Cambria"/>
        </w:rPr>
        <w:t>1/22/2021</w:t>
      </w:r>
      <w:r w:rsidR="002A5015">
        <w:rPr>
          <w:rFonts w:ascii="Cambria" w:hAnsi="Cambria"/>
        </w:rPr>
        <w:t xml:space="preserve"> (Note: none were received)</w:t>
      </w:r>
      <w:r w:rsidRPr="00232785">
        <w:rPr>
          <w:rFonts w:ascii="Cambria" w:hAnsi="Cambria"/>
        </w:rPr>
        <w:t>.</w:t>
      </w:r>
      <w:r w:rsidR="00D26F44" w:rsidRPr="00232785">
        <w:rPr>
          <w:rFonts w:ascii="Cambria" w:hAnsi="Cambria"/>
        </w:rPr>
        <w:t xml:space="preserve"> He summarized next steps as follows (dates subject to 1-2 day delays based on what changes, if any, A. Arquit proposes):</w:t>
      </w:r>
      <w:r w:rsidRPr="00232785">
        <w:rPr>
          <w:rFonts w:ascii="Cambria" w:hAnsi="Cambria"/>
        </w:rPr>
        <w:t xml:space="preserve"> </w:t>
      </w:r>
    </w:p>
    <w:p w14:paraId="0F226013" w14:textId="18B026B6" w:rsidR="0015251E" w:rsidRDefault="0015251E" w:rsidP="0092743B">
      <w:pPr>
        <w:pStyle w:val="ListParagraph"/>
        <w:numPr>
          <w:ilvl w:val="0"/>
          <w:numId w:val="25"/>
        </w:numPr>
        <w:rPr>
          <w:rFonts w:ascii="Cambria" w:hAnsi="Cambria"/>
        </w:rPr>
      </w:pPr>
      <w:r w:rsidRPr="00BC56E0">
        <w:rPr>
          <w:rFonts w:ascii="Cambria" w:hAnsi="Cambria" w:cs="Calibri"/>
        </w:rPr>
        <w:t xml:space="preserve">A. Arquit will work with IOUs and possibly others to flesh out either a revised Option B, create a new Option C, or do nothing.  This could also include adding language clarifying their approach in light of different potential use cases.  She will notify </w:t>
      </w:r>
      <w:r w:rsidR="007E0C6D" w:rsidRPr="00BC56E0">
        <w:rPr>
          <w:rFonts w:ascii="Cambria" w:hAnsi="Cambria" w:cs="Calibri"/>
        </w:rPr>
        <w:t>J. Raab</w:t>
      </w:r>
      <w:r w:rsidRPr="00BC56E0">
        <w:rPr>
          <w:rFonts w:ascii="Cambria" w:hAnsi="Cambria" w:cs="Calibri"/>
        </w:rPr>
        <w:t xml:space="preserve"> of the direction she/they plan to take by COB </w:t>
      </w:r>
      <w:r>
        <w:rPr>
          <w:rFonts w:ascii="Cambria" w:hAnsi="Cambria" w:cs="Calibri"/>
        </w:rPr>
        <w:t>1/25</w:t>
      </w:r>
      <w:r w:rsidRPr="00BC56E0">
        <w:rPr>
          <w:rFonts w:ascii="Cambria" w:hAnsi="Cambria" w:cs="Calibri"/>
        </w:rPr>
        <w:t xml:space="preserve"> and provide language by noon on </w:t>
      </w:r>
      <w:r>
        <w:rPr>
          <w:rFonts w:ascii="Cambria" w:hAnsi="Cambria" w:cs="Calibri"/>
        </w:rPr>
        <w:t>1/26</w:t>
      </w:r>
    </w:p>
    <w:p w14:paraId="22FD291E" w14:textId="7686095E" w:rsidR="0092743B" w:rsidRPr="00232785" w:rsidRDefault="0092743B" w:rsidP="0092743B">
      <w:pPr>
        <w:pStyle w:val="ListParagraph"/>
        <w:numPr>
          <w:ilvl w:val="0"/>
          <w:numId w:val="25"/>
        </w:numPr>
        <w:rPr>
          <w:rFonts w:ascii="Cambria" w:hAnsi="Cambria"/>
        </w:rPr>
      </w:pPr>
      <w:r w:rsidRPr="00232785">
        <w:rPr>
          <w:rFonts w:ascii="Cambria" w:hAnsi="Cambria"/>
        </w:rPr>
        <w:lastRenderedPageBreak/>
        <w:t>Facilitator to</w:t>
      </w:r>
      <w:r w:rsidR="00814415" w:rsidRPr="00232785">
        <w:rPr>
          <w:rFonts w:ascii="Cambria" w:hAnsi="Cambria"/>
        </w:rPr>
        <w:t xml:space="preserve"> make the substantive changes agreed to during the meeting (and outlined above) and</w:t>
      </w:r>
      <w:r w:rsidRPr="00232785">
        <w:rPr>
          <w:rFonts w:ascii="Cambria" w:hAnsi="Cambria"/>
        </w:rPr>
        <w:t xml:space="preserve"> post redline and clean</w:t>
      </w:r>
      <w:r w:rsidR="00D26F44" w:rsidRPr="00232785">
        <w:rPr>
          <w:rFonts w:ascii="Cambria" w:hAnsi="Cambria"/>
        </w:rPr>
        <w:t xml:space="preserve"> versions of the report</w:t>
      </w:r>
      <w:r w:rsidRPr="00232785">
        <w:rPr>
          <w:rFonts w:ascii="Cambria" w:hAnsi="Cambria"/>
        </w:rPr>
        <w:t xml:space="preserve"> (</w:t>
      </w:r>
      <w:r w:rsidR="00D26F44" w:rsidRPr="00232785">
        <w:rPr>
          <w:rFonts w:ascii="Cambria" w:hAnsi="Cambria"/>
        </w:rPr>
        <w:t>posted</w:t>
      </w:r>
      <w:r w:rsidRPr="00232785">
        <w:rPr>
          <w:rFonts w:ascii="Cambria" w:hAnsi="Cambria"/>
        </w:rPr>
        <w:t xml:space="preserve"> </w:t>
      </w:r>
      <w:r w:rsidR="00D26F44" w:rsidRPr="00232785">
        <w:rPr>
          <w:rFonts w:ascii="Cambria" w:hAnsi="Cambria"/>
        </w:rPr>
        <w:t>by 1/2</w:t>
      </w:r>
      <w:r w:rsidR="005931B4">
        <w:rPr>
          <w:rFonts w:ascii="Cambria" w:hAnsi="Cambria"/>
        </w:rPr>
        <w:t>5</w:t>
      </w:r>
      <w:r w:rsidRPr="00232785">
        <w:rPr>
          <w:rFonts w:ascii="Cambria" w:hAnsi="Cambria"/>
        </w:rPr>
        <w:t>)</w:t>
      </w:r>
    </w:p>
    <w:p w14:paraId="182469EB" w14:textId="66361C5A" w:rsidR="00A13AF9" w:rsidRPr="00B83ACE" w:rsidRDefault="0092743B" w:rsidP="00A13AF9">
      <w:pPr>
        <w:pStyle w:val="ListParagraph"/>
        <w:numPr>
          <w:ilvl w:val="0"/>
          <w:numId w:val="25"/>
        </w:numPr>
        <w:rPr>
          <w:rFonts w:ascii="Cambria" w:hAnsi="Cambria"/>
        </w:rPr>
      </w:pPr>
      <w:r w:rsidRPr="00232785">
        <w:rPr>
          <w:rFonts w:ascii="Cambria" w:hAnsi="Cambria"/>
        </w:rPr>
        <w:t xml:space="preserve">Circulate a signup process for </w:t>
      </w:r>
      <w:r w:rsidR="00D26F44" w:rsidRPr="00232785">
        <w:rPr>
          <w:rFonts w:ascii="Cambria" w:hAnsi="Cambria"/>
        </w:rPr>
        <w:t xml:space="preserve">the three </w:t>
      </w:r>
      <w:r w:rsidRPr="00232785">
        <w:rPr>
          <w:rFonts w:ascii="Cambria" w:hAnsi="Cambria"/>
        </w:rPr>
        <w:t xml:space="preserve">non-consensus items (sent </w:t>
      </w:r>
      <w:r w:rsidR="00D26F44" w:rsidRPr="00232785">
        <w:rPr>
          <w:rFonts w:ascii="Cambria" w:hAnsi="Cambria"/>
        </w:rPr>
        <w:t>1/26 with responses</w:t>
      </w:r>
      <w:r w:rsidRPr="00232785">
        <w:rPr>
          <w:rFonts w:ascii="Cambria" w:hAnsi="Cambria"/>
        </w:rPr>
        <w:t xml:space="preserve"> due </w:t>
      </w:r>
      <w:r w:rsidR="00D26F44" w:rsidRPr="00232785">
        <w:rPr>
          <w:rFonts w:ascii="Cambria" w:hAnsi="Cambria"/>
        </w:rPr>
        <w:t>2/</w:t>
      </w:r>
      <w:r w:rsidR="00DD05A6">
        <w:rPr>
          <w:rFonts w:ascii="Cambria" w:hAnsi="Cambria"/>
        </w:rPr>
        <w:t>1</w:t>
      </w:r>
      <w:r w:rsidRPr="00232785">
        <w:rPr>
          <w:rFonts w:ascii="Cambria" w:hAnsi="Cambria"/>
        </w:rPr>
        <w:t>)</w:t>
      </w:r>
      <w:r w:rsidR="0015251E">
        <w:rPr>
          <w:rFonts w:ascii="Cambria" w:hAnsi="Cambria"/>
        </w:rPr>
        <w:t>, include questions for cl</w:t>
      </w:r>
      <w:r w:rsidR="0015251E" w:rsidRPr="00232785">
        <w:rPr>
          <w:rFonts w:ascii="Cambria" w:hAnsi="Cambria"/>
        </w:rPr>
        <w:t xml:space="preserve">arifying or conditional comments </w:t>
      </w:r>
      <w:r w:rsidR="0015251E">
        <w:rPr>
          <w:rFonts w:ascii="Cambria" w:hAnsi="Cambria"/>
        </w:rPr>
        <w:t>that will</w:t>
      </w:r>
      <w:r w:rsidR="0015251E" w:rsidRPr="00232785">
        <w:rPr>
          <w:rFonts w:ascii="Cambria" w:hAnsi="Cambria"/>
        </w:rPr>
        <w:t xml:space="preserve"> be added in an appendix</w:t>
      </w:r>
      <w:r w:rsidR="00A13AF9">
        <w:rPr>
          <w:rFonts w:ascii="Cambria" w:hAnsi="Cambria"/>
        </w:rPr>
        <w:t xml:space="preserve"> </w:t>
      </w:r>
    </w:p>
    <w:p w14:paraId="07190594" w14:textId="02441D90" w:rsidR="00D26F44" w:rsidRDefault="00D26F44" w:rsidP="0092743B">
      <w:pPr>
        <w:pStyle w:val="ListParagraph"/>
        <w:numPr>
          <w:ilvl w:val="0"/>
          <w:numId w:val="25"/>
        </w:numPr>
        <w:rPr>
          <w:rFonts w:ascii="Cambria" w:hAnsi="Cambria"/>
        </w:rPr>
      </w:pPr>
      <w:r w:rsidRPr="00232785">
        <w:rPr>
          <w:rFonts w:ascii="Cambria" w:hAnsi="Cambria"/>
        </w:rPr>
        <w:t xml:space="preserve">Compile responses from the 8 outstanding WG members who have yet to respond to the </w:t>
      </w:r>
      <w:r w:rsidR="00201ECB" w:rsidRPr="00232785">
        <w:rPr>
          <w:rFonts w:ascii="Cambria" w:hAnsi="Cambria"/>
        </w:rPr>
        <w:t>pre-allocation of savings poll for the 4</w:t>
      </w:r>
      <w:r w:rsidR="00201ECB" w:rsidRPr="00232785">
        <w:rPr>
          <w:rFonts w:ascii="Cambria" w:hAnsi="Cambria"/>
          <w:vertAlign w:val="superscript"/>
        </w:rPr>
        <w:t>th</w:t>
      </w:r>
      <w:r w:rsidR="00201ECB" w:rsidRPr="00232785">
        <w:rPr>
          <w:rFonts w:ascii="Cambria" w:hAnsi="Cambria"/>
        </w:rPr>
        <w:t xml:space="preserve"> non-consensus issue (reminder sent 1/2</w:t>
      </w:r>
      <w:r w:rsidR="00DD05A6">
        <w:rPr>
          <w:rFonts w:ascii="Cambria" w:hAnsi="Cambria"/>
        </w:rPr>
        <w:t>5</w:t>
      </w:r>
      <w:r w:rsidR="00201ECB" w:rsidRPr="00232785">
        <w:rPr>
          <w:rFonts w:ascii="Cambria" w:hAnsi="Cambria"/>
        </w:rPr>
        <w:t xml:space="preserve"> with responses due </w:t>
      </w:r>
      <w:r w:rsidR="00DD05A6">
        <w:rPr>
          <w:rFonts w:ascii="Cambria" w:hAnsi="Cambria"/>
        </w:rPr>
        <w:t>1/28</w:t>
      </w:r>
      <w:r w:rsidR="00201ECB" w:rsidRPr="00232785">
        <w:rPr>
          <w:rFonts w:ascii="Cambria" w:hAnsi="Cambria"/>
        </w:rPr>
        <w:t>)</w:t>
      </w:r>
    </w:p>
    <w:p w14:paraId="0A2ED4FD" w14:textId="202701B5" w:rsidR="00B83ACE" w:rsidRDefault="00B83ACE" w:rsidP="0092743B">
      <w:pPr>
        <w:pStyle w:val="ListParagraph"/>
        <w:numPr>
          <w:ilvl w:val="0"/>
          <w:numId w:val="25"/>
        </w:numPr>
        <w:rPr>
          <w:rFonts w:ascii="Cambria" w:hAnsi="Cambria"/>
        </w:rPr>
      </w:pPr>
      <w:r>
        <w:rPr>
          <w:rFonts w:ascii="Cambria" w:hAnsi="Cambria"/>
        </w:rPr>
        <w:t>Note: WG members who do not complete the two sign-up polls (bullets above) will be dropped from the Working Group</w:t>
      </w:r>
    </w:p>
    <w:p w14:paraId="0E9A2FC9" w14:textId="45DC5DC7" w:rsidR="0015251E" w:rsidRPr="00232785" w:rsidRDefault="0015251E" w:rsidP="0092743B">
      <w:pPr>
        <w:pStyle w:val="ListParagraph"/>
        <w:numPr>
          <w:ilvl w:val="0"/>
          <w:numId w:val="25"/>
        </w:numPr>
        <w:rPr>
          <w:rFonts w:ascii="Cambria" w:hAnsi="Cambria"/>
        </w:rPr>
      </w:pPr>
      <w:r>
        <w:rPr>
          <w:rFonts w:ascii="Cambria" w:hAnsi="Cambria"/>
        </w:rPr>
        <w:t>Update, publish, and distribute final report (2/</w:t>
      </w:r>
      <w:r w:rsidR="00DD05A6">
        <w:rPr>
          <w:rFonts w:ascii="Cambria" w:hAnsi="Cambria"/>
        </w:rPr>
        <w:t>2</w:t>
      </w:r>
      <w:r>
        <w:rPr>
          <w:rFonts w:ascii="Cambria" w:hAnsi="Cambria"/>
        </w:rPr>
        <w:t>)</w:t>
      </w:r>
    </w:p>
    <w:p w14:paraId="2094EEF3" w14:textId="07D8870C" w:rsidR="00201ECB" w:rsidRPr="00232785" w:rsidRDefault="0092743B" w:rsidP="00B83ACE">
      <w:pPr>
        <w:pStyle w:val="ListParagraph"/>
        <w:rPr>
          <w:rFonts w:ascii="Cambria" w:hAnsi="Cambria"/>
        </w:rPr>
      </w:pPr>
      <w:r w:rsidRPr="0015251E">
        <w:rPr>
          <w:rFonts w:ascii="Cambria" w:hAnsi="Cambria"/>
        </w:rPr>
        <w:t xml:space="preserve"> </w:t>
      </w:r>
    </w:p>
    <w:p w14:paraId="1C6D20C4" w14:textId="0A35D49A" w:rsidR="003623FB" w:rsidRPr="00232785" w:rsidRDefault="007E0C6D" w:rsidP="00201ECB">
      <w:pPr>
        <w:rPr>
          <w:rFonts w:ascii="Cambria" w:hAnsi="Cambria"/>
        </w:rPr>
      </w:pPr>
      <w:r w:rsidRPr="00232785">
        <w:rPr>
          <w:rFonts w:ascii="Cambria" w:hAnsi="Cambria"/>
        </w:rPr>
        <w:t>J. Raab</w:t>
      </w:r>
      <w:r w:rsidR="00201ECB" w:rsidRPr="00232785">
        <w:rPr>
          <w:rFonts w:ascii="Cambria" w:hAnsi="Cambria"/>
        </w:rPr>
        <w:t xml:space="preserve"> concluded that n</w:t>
      </w:r>
      <w:r w:rsidR="0092743B" w:rsidRPr="00232785">
        <w:rPr>
          <w:rFonts w:ascii="Cambria" w:hAnsi="Cambria"/>
        </w:rPr>
        <w:t>o additional meetings</w:t>
      </w:r>
      <w:r w:rsidR="00201ECB" w:rsidRPr="00232785">
        <w:rPr>
          <w:rFonts w:ascii="Cambria" w:hAnsi="Cambria"/>
        </w:rPr>
        <w:t xml:space="preserve"> will be</w:t>
      </w:r>
      <w:r w:rsidR="0092743B" w:rsidRPr="00232785">
        <w:rPr>
          <w:rFonts w:ascii="Cambria" w:hAnsi="Cambria"/>
        </w:rPr>
        <w:t xml:space="preserve"> needed</w:t>
      </w:r>
      <w:r w:rsidR="00201ECB" w:rsidRPr="00232785">
        <w:rPr>
          <w:rFonts w:ascii="Cambria" w:hAnsi="Cambria"/>
        </w:rPr>
        <w:t xml:space="preserve"> to conclude this working group, and thanked members and participants for their engagement.</w:t>
      </w:r>
    </w:p>
    <w:p w14:paraId="4CE4F7B7" w14:textId="77777777" w:rsidR="0092743B" w:rsidRPr="00232785" w:rsidRDefault="0092743B" w:rsidP="0092743B">
      <w:pPr>
        <w:rPr>
          <w:rFonts w:ascii="Cambria" w:hAnsi="Cambria"/>
        </w:rPr>
      </w:pPr>
    </w:p>
    <w:p w14:paraId="69DAD594" w14:textId="0B408B00" w:rsidR="00566136" w:rsidRPr="00232785" w:rsidRDefault="00566136" w:rsidP="007860CC">
      <w:pPr>
        <w:rPr>
          <w:rFonts w:ascii="Cambria" w:hAnsi="Cambria"/>
        </w:rPr>
      </w:pPr>
    </w:p>
    <w:p w14:paraId="24D6B648" w14:textId="77777777" w:rsidR="00566136" w:rsidRPr="00232785" w:rsidRDefault="00566136">
      <w:pPr>
        <w:rPr>
          <w:rFonts w:ascii="Cambria" w:hAnsi="Cambria"/>
          <w:b/>
          <w:bCs/>
        </w:rPr>
      </w:pPr>
      <w:r w:rsidRPr="00232785">
        <w:rPr>
          <w:rFonts w:ascii="Cambria" w:hAnsi="Cambria"/>
          <w:b/>
          <w:bCs/>
        </w:rPr>
        <w:br w:type="page"/>
      </w:r>
    </w:p>
    <w:p w14:paraId="482DD9D7" w14:textId="323905C7" w:rsidR="005931B4" w:rsidRPr="0021365C" w:rsidRDefault="00566136" w:rsidP="007860CC">
      <w:pPr>
        <w:rPr>
          <w:rFonts w:ascii="Cambria" w:hAnsi="Cambria"/>
          <w:b/>
          <w:bCs/>
        </w:rPr>
      </w:pPr>
      <w:r w:rsidRPr="00B83ACE">
        <w:rPr>
          <w:rFonts w:ascii="Cambria" w:hAnsi="Cambria"/>
          <w:b/>
          <w:bCs/>
        </w:rPr>
        <w:lastRenderedPageBreak/>
        <w:t>Appendix A: Meeting Registrants</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820"/>
        <w:gridCol w:w="1820"/>
      </w:tblGrid>
      <w:tr w:rsidR="00B83ACE" w:rsidRPr="002114EB" w14:paraId="57A44025" w14:textId="77777777" w:rsidTr="00B80CC4">
        <w:trPr>
          <w:trHeight w:val="260"/>
        </w:trPr>
        <w:tc>
          <w:tcPr>
            <w:tcW w:w="7300" w:type="dxa"/>
            <w:gridSpan w:val="3"/>
            <w:shd w:val="clear" w:color="auto" w:fill="auto"/>
            <w:noWrap/>
            <w:vAlign w:val="bottom"/>
            <w:hideMark/>
          </w:tcPr>
          <w:p w14:paraId="4B2EA607" w14:textId="77777777" w:rsidR="00B83ACE" w:rsidRPr="002114EB" w:rsidRDefault="00B83ACE" w:rsidP="00B80CC4">
            <w:pPr>
              <w:rPr>
                <w:rFonts w:ascii="Cambria" w:eastAsia="Times New Roman" w:hAnsi="Cambria" w:cs="Times New Roman"/>
              </w:rPr>
            </w:pPr>
            <w:r w:rsidRPr="002114EB">
              <w:rPr>
                <w:rFonts w:ascii="Cambria" w:eastAsia="Times New Roman" w:hAnsi="Cambria" w:cs="Calibri"/>
                <w:b/>
                <w:bCs/>
                <w:color w:val="000000"/>
              </w:rPr>
              <w:t>1.22.21 MTWG Meeting Attendance</w:t>
            </w:r>
          </w:p>
        </w:tc>
      </w:tr>
      <w:tr w:rsidR="00B83ACE" w:rsidRPr="007E0C6D" w14:paraId="3C5A95A4" w14:textId="77777777" w:rsidTr="007E0C6D">
        <w:trPr>
          <w:trHeight w:val="320"/>
        </w:trPr>
        <w:tc>
          <w:tcPr>
            <w:tcW w:w="3660" w:type="dxa"/>
            <w:shd w:val="clear" w:color="auto" w:fill="D0CECE" w:themeFill="background2" w:themeFillShade="E6"/>
            <w:noWrap/>
            <w:vAlign w:val="bottom"/>
            <w:hideMark/>
          </w:tcPr>
          <w:p w14:paraId="533DB0F8" w14:textId="77777777" w:rsidR="00B83ACE" w:rsidRPr="002114EB" w:rsidRDefault="00B83ACE" w:rsidP="00B80CC4">
            <w:pPr>
              <w:rPr>
                <w:rFonts w:ascii="Cambria" w:eastAsia="Times New Roman" w:hAnsi="Cambria" w:cs="Calibri"/>
                <w:b/>
                <w:bCs/>
                <w:color w:val="000000"/>
                <w:sz w:val="22"/>
                <w:szCs w:val="22"/>
              </w:rPr>
            </w:pPr>
            <w:r w:rsidRPr="002114EB">
              <w:rPr>
                <w:rFonts w:ascii="Cambria" w:eastAsia="Times New Roman" w:hAnsi="Cambria" w:cs="Calibri"/>
                <w:b/>
                <w:bCs/>
                <w:color w:val="000000"/>
                <w:sz w:val="22"/>
                <w:szCs w:val="22"/>
              </w:rPr>
              <w:t xml:space="preserve">Company  </w:t>
            </w:r>
          </w:p>
        </w:tc>
        <w:tc>
          <w:tcPr>
            <w:tcW w:w="1820" w:type="dxa"/>
            <w:shd w:val="clear" w:color="auto" w:fill="D0CECE" w:themeFill="background2" w:themeFillShade="E6"/>
            <w:noWrap/>
            <w:vAlign w:val="bottom"/>
            <w:hideMark/>
          </w:tcPr>
          <w:p w14:paraId="00BAF8A8" w14:textId="77777777" w:rsidR="00B83ACE" w:rsidRPr="002114EB" w:rsidRDefault="00B83ACE" w:rsidP="00B80CC4">
            <w:pPr>
              <w:rPr>
                <w:rFonts w:ascii="Cambria" w:eastAsia="Times New Roman" w:hAnsi="Cambria" w:cs="Calibri"/>
                <w:b/>
                <w:bCs/>
                <w:color w:val="000000"/>
                <w:sz w:val="22"/>
                <w:szCs w:val="22"/>
              </w:rPr>
            </w:pPr>
            <w:r w:rsidRPr="002114EB">
              <w:rPr>
                <w:rFonts w:ascii="Cambria" w:eastAsia="Times New Roman" w:hAnsi="Cambria" w:cs="Calibri"/>
                <w:b/>
                <w:bCs/>
                <w:color w:val="000000"/>
                <w:sz w:val="22"/>
                <w:szCs w:val="22"/>
              </w:rPr>
              <w:t xml:space="preserve">First Name  </w:t>
            </w:r>
          </w:p>
        </w:tc>
        <w:tc>
          <w:tcPr>
            <w:tcW w:w="1820" w:type="dxa"/>
            <w:shd w:val="clear" w:color="auto" w:fill="D0CECE" w:themeFill="background2" w:themeFillShade="E6"/>
            <w:noWrap/>
            <w:vAlign w:val="bottom"/>
            <w:hideMark/>
          </w:tcPr>
          <w:p w14:paraId="1FE2015A" w14:textId="77777777" w:rsidR="00B83ACE" w:rsidRPr="002114EB" w:rsidRDefault="00B83ACE" w:rsidP="00B80CC4">
            <w:pPr>
              <w:rPr>
                <w:rFonts w:ascii="Cambria" w:eastAsia="Times New Roman" w:hAnsi="Cambria" w:cs="Calibri"/>
                <w:b/>
                <w:bCs/>
                <w:color w:val="000000"/>
                <w:sz w:val="22"/>
                <w:szCs w:val="22"/>
              </w:rPr>
            </w:pPr>
            <w:r w:rsidRPr="002114EB">
              <w:rPr>
                <w:rFonts w:ascii="Cambria" w:eastAsia="Times New Roman" w:hAnsi="Cambria" w:cs="Calibri"/>
                <w:b/>
                <w:bCs/>
                <w:color w:val="000000"/>
                <w:sz w:val="22"/>
                <w:szCs w:val="22"/>
              </w:rPr>
              <w:t xml:space="preserve">Last Name  </w:t>
            </w:r>
          </w:p>
        </w:tc>
      </w:tr>
      <w:tr w:rsidR="00B83ACE" w:rsidRPr="002114EB" w14:paraId="0EF86035" w14:textId="77777777" w:rsidTr="00B80CC4">
        <w:trPr>
          <w:trHeight w:val="320"/>
        </w:trPr>
        <w:tc>
          <w:tcPr>
            <w:tcW w:w="3660" w:type="dxa"/>
            <w:shd w:val="clear" w:color="auto" w:fill="auto"/>
            <w:noWrap/>
            <w:vAlign w:val="bottom"/>
            <w:hideMark/>
          </w:tcPr>
          <w:p w14:paraId="7A2B7F8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CEDMC</w:t>
            </w:r>
          </w:p>
        </w:tc>
        <w:tc>
          <w:tcPr>
            <w:tcW w:w="1820" w:type="dxa"/>
            <w:shd w:val="clear" w:color="auto" w:fill="auto"/>
            <w:noWrap/>
            <w:vAlign w:val="bottom"/>
            <w:hideMark/>
          </w:tcPr>
          <w:p w14:paraId="71C8DA4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Greg</w:t>
            </w:r>
          </w:p>
        </w:tc>
        <w:tc>
          <w:tcPr>
            <w:tcW w:w="1820" w:type="dxa"/>
            <w:shd w:val="clear" w:color="auto" w:fill="auto"/>
            <w:noWrap/>
            <w:vAlign w:val="bottom"/>
            <w:hideMark/>
          </w:tcPr>
          <w:p w14:paraId="4169B2AD"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Wikler</w:t>
            </w:r>
          </w:p>
        </w:tc>
      </w:tr>
      <w:tr w:rsidR="00B83ACE" w:rsidRPr="002114EB" w14:paraId="04B8A799" w14:textId="77777777" w:rsidTr="00B80CC4">
        <w:trPr>
          <w:trHeight w:val="320"/>
        </w:trPr>
        <w:tc>
          <w:tcPr>
            <w:tcW w:w="3660" w:type="dxa"/>
            <w:shd w:val="clear" w:color="auto" w:fill="auto"/>
            <w:noWrap/>
            <w:vAlign w:val="bottom"/>
            <w:hideMark/>
          </w:tcPr>
          <w:p w14:paraId="3BDC088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Center for Sustainable Energy</w:t>
            </w:r>
          </w:p>
        </w:tc>
        <w:tc>
          <w:tcPr>
            <w:tcW w:w="1820" w:type="dxa"/>
            <w:shd w:val="clear" w:color="auto" w:fill="auto"/>
            <w:noWrap/>
            <w:vAlign w:val="bottom"/>
            <w:hideMark/>
          </w:tcPr>
          <w:p w14:paraId="033FE775"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Stephen</w:t>
            </w:r>
          </w:p>
        </w:tc>
        <w:tc>
          <w:tcPr>
            <w:tcW w:w="1820" w:type="dxa"/>
            <w:shd w:val="clear" w:color="auto" w:fill="auto"/>
            <w:noWrap/>
            <w:vAlign w:val="bottom"/>
            <w:hideMark/>
          </w:tcPr>
          <w:p w14:paraId="459F20C3"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Gunther</w:t>
            </w:r>
          </w:p>
        </w:tc>
      </w:tr>
      <w:tr w:rsidR="00B83ACE" w:rsidRPr="002114EB" w14:paraId="6749DC63" w14:textId="77777777" w:rsidTr="00B80CC4">
        <w:trPr>
          <w:trHeight w:val="320"/>
        </w:trPr>
        <w:tc>
          <w:tcPr>
            <w:tcW w:w="3660" w:type="dxa"/>
            <w:shd w:val="clear" w:color="auto" w:fill="auto"/>
            <w:noWrap/>
            <w:vAlign w:val="bottom"/>
            <w:hideMark/>
          </w:tcPr>
          <w:p w14:paraId="3B02390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 xml:space="preserve">Center for Sustainable Energy  </w:t>
            </w:r>
          </w:p>
        </w:tc>
        <w:tc>
          <w:tcPr>
            <w:tcW w:w="1820" w:type="dxa"/>
            <w:shd w:val="clear" w:color="auto" w:fill="auto"/>
            <w:noWrap/>
            <w:vAlign w:val="bottom"/>
            <w:hideMark/>
          </w:tcPr>
          <w:p w14:paraId="5F528DF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Raghav</w:t>
            </w:r>
          </w:p>
        </w:tc>
        <w:tc>
          <w:tcPr>
            <w:tcW w:w="1820" w:type="dxa"/>
            <w:shd w:val="clear" w:color="auto" w:fill="auto"/>
            <w:noWrap/>
            <w:vAlign w:val="bottom"/>
            <w:hideMark/>
          </w:tcPr>
          <w:p w14:paraId="7D1D476B"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Murali</w:t>
            </w:r>
          </w:p>
        </w:tc>
      </w:tr>
      <w:tr w:rsidR="00B83ACE" w:rsidRPr="002114EB" w14:paraId="62241992" w14:textId="77777777" w:rsidTr="00B80CC4">
        <w:trPr>
          <w:trHeight w:val="320"/>
        </w:trPr>
        <w:tc>
          <w:tcPr>
            <w:tcW w:w="3660" w:type="dxa"/>
            <w:shd w:val="clear" w:color="auto" w:fill="auto"/>
            <w:noWrap/>
            <w:vAlign w:val="bottom"/>
            <w:hideMark/>
          </w:tcPr>
          <w:p w14:paraId="1798C05F" w14:textId="28151542" w:rsidR="00B83ACE" w:rsidRPr="002114EB" w:rsidRDefault="007E0C6D"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CodeCycle</w:t>
            </w:r>
          </w:p>
        </w:tc>
        <w:tc>
          <w:tcPr>
            <w:tcW w:w="1820" w:type="dxa"/>
            <w:shd w:val="clear" w:color="auto" w:fill="auto"/>
            <w:noWrap/>
            <w:vAlign w:val="bottom"/>
            <w:hideMark/>
          </w:tcPr>
          <w:p w14:paraId="5A18C065"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Dan</w:t>
            </w:r>
          </w:p>
        </w:tc>
        <w:tc>
          <w:tcPr>
            <w:tcW w:w="1820" w:type="dxa"/>
            <w:shd w:val="clear" w:color="auto" w:fill="auto"/>
            <w:noWrap/>
            <w:vAlign w:val="bottom"/>
            <w:hideMark/>
          </w:tcPr>
          <w:p w14:paraId="0299D244"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Suyeyasu</w:t>
            </w:r>
          </w:p>
        </w:tc>
      </w:tr>
      <w:tr w:rsidR="00B83ACE" w:rsidRPr="002114EB" w14:paraId="2AE9126B" w14:textId="77777777" w:rsidTr="00B80CC4">
        <w:trPr>
          <w:trHeight w:val="320"/>
        </w:trPr>
        <w:tc>
          <w:tcPr>
            <w:tcW w:w="3660" w:type="dxa"/>
            <w:shd w:val="clear" w:color="auto" w:fill="auto"/>
            <w:noWrap/>
            <w:vAlign w:val="bottom"/>
            <w:hideMark/>
          </w:tcPr>
          <w:p w14:paraId="705DE9C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Don Arambula Consulting</w:t>
            </w:r>
          </w:p>
        </w:tc>
        <w:tc>
          <w:tcPr>
            <w:tcW w:w="1820" w:type="dxa"/>
            <w:shd w:val="clear" w:color="auto" w:fill="auto"/>
            <w:noWrap/>
            <w:vAlign w:val="bottom"/>
            <w:hideMark/>
          </w:tcPr>
          <w:p w14:paraId="5DDEDCF2"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Don</w:t>
            </w:r>
          </w:p>
        </w:tc>
        <w:tc>
          <w:tcPr>
            <w:tcW w:w="1820" w:type="dxa"/>
            <w:shd w:val="clear" w:color="auto" w:fill="auto"/>
            <w:noWrap/>
            <w:vAlign w:val="bottom"/>
            <w:hideMark/>
          </w:tcPr>
          <w:p w14:paraId="49CF25C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Arambula</w:t>
            </w:r>
          </w:p>
        </w:tc>
      </w:tr>
      <w:tr w:rsidR="00B83ACE" w:rsidRPr="002114EB" w14:paraId="24C577C4" w14:textId="77777777" w:rsidTr="00B80CC4">
        <w:trPr>
          <w:trHeight w:val="320"/>
        </w:trPr>
        <w:tc>
          <w:tcPr>
            <w:tcW w:w="3660" w:type="dxa"/>
            <w:shd w:val="clear" w:color="auto" w:fill="auto"/>
            <w:noWrap/>
            <w:vAlign w:val="bottom"/>
            <w:hideMark/>
          </w:tcPr>
          <w:p w14:paraId="4A746584"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Energy Solutions</w:t>
            </w:r>
          </w:p>
        </w:tc>
        <w:tc>
          <w:tcPr>
            <w:tcW w:w="1820" w:type="dxa"/>
            <w:shd w:val="clear" w:color="auto" w:fill="auto"/>
            <w:noWrap/>
            <w:vAlign w:val="bottom"/>
            <w:hideMark/>
          </w:tcPr>
          <w:p w14:paraId="6E676034"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Teddy</w:t>
            </w:r>
          </w:p>
        </w:tc>
        <w:tc>
          <w:tcPr>
            <w:tcW w:w="1820" w:type="dxa"/>
            <w:shd w:val="clear" w:color="auto" w:fill="auto"/>
            <w:noWrap/>
            <w:vAlign w:val="bottom"/>
            <w:hideMark/>
          </w:tcPr>
          <w:p w14:paraId="0EE29046"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Kisch</w:t>
            </w:r>
          </w:p>
        </w:tc>
      </w:tr>
      <w:tr w:rsidR="00B83ACE" w:rsidRPr="002114EB" w14:paraId="44C94116" w14:textId="77777777" w:rsidTr="00B80CC4">
        <w:trPr>
          <w:trHeight w:val="320"/>
        </w:trPr>
        <w:tc>
          <w:tcPr>
            <w:tcW w:w="3660" w:type="dxa"/>
            <w:shd w:val="clear" w:color="auto" w:fill="auto"/>
            <w:noWrap/>
            <w:vAlign w:val="bottom"/>
            <w:hideMark/>
          </w:tcPr>
          <w:p w14:paraId="469065BB"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Enervee</w:t>
            </w:r>
          </w:p>
        </w:tc>
        <w:tc>
          <w:tcPr>
            <w:tcW w:w="1820" w:type="dxa"/>
            <w:shd w:val="clear" w:color="auto" w:fill="auto"/>
            <w:noWrap/>
            <w:vAlign w:val="bottom"/>
            <w:hideMark/>
          </w:tcPr>
          <w:p w14:paraId="2C9B945F"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Anne</w:t>
            </w:r>
          </w:p>
        </w:tc>
        <w:tc>
          <w:tcPr>
            <w:tcW w:w="1820" w:type="dxa"/>
            <w:shd w:val="clear" w:color="auto" w:fill="auto"/>
            <w:noWrap/>
            <w:vAlign w:val="bottom"/>
            <w:hideMark/>
          </w:tcPr>
          <w:p w14:paraId="6797C764"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Arquit</w:t>
            </w:r>
          </w:p>
        </w:tc>
      </w:tr>
      <w:tr w:rsidR="00B83ACE" w:rsidRPr="002114EB" w14:paraId="7F69F2F0" w14:textId="77777777" w:rsidTr="00B80CC4">
        <w:trPr>
          <w:trHeight w:val="320"/>
        </w:trPr>
        <w:tc>
          <w:tcPr>
            <w:tcW w:w="3660" w:type="dxa"/>
            <w:shd w:val="clear" w:color="auto" w:fill="auto"/>
            <w:noWrap/>
            <w:vAlign w:val="bottom"/>
            <w:hideMark/>
          </w:tcPr>
          <w:p w14:paraId="77D2C932"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Jay Luboff Consulting, LLC</w:t>
            </w:r>
          </w:p>
        </w:tc>
        <w:tc>
          <w:tcPr>
            <w:tcW w:w="1820" w:type="dxa"/>
            <w:shd w:val="clear" w:color="auto" w:fill="auto"/>
            <w:noWrap/>
            <w:vAlign w:val="bottom"/>
            <w:hideMark/>
          </w:tcPr>
          <w:p w14:paraId="6C7D8C0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Jay</w:t>
            </w:r>
          </w:p>
        </w:tc>
        <w:tc>
          <w:tcPr>
            <w:tcW w:w="1820" w:type="dxa"/>
            <w:shd w:val="clear" w:color="auto" w:fill="auto"/>
            <w:noWrap/>
            <w:vAlign w:val="bottom"/>
            <w:hideMark/>
          </w:tcPr>
          <w:p w14:paraId="2772EFE5"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Luboff</w:t>
            </w:r>
          </w:p>
        </w:tc>
      </w:tr>
      <w:tr w:rsidR="00B83ACE" w:rsidRPr="002114EB" w14:paraId="57A23C66" w14:textId="77777777" w:rsidTr="00FB76D3">
        <w:trPr>
          <w:trHeight w:val="320"/>
        </w:trPr>
        <w:tc>
          <w:tcPr>
            <w:tcW w:w="3660" w:type="dxa"/>
            <w:shd w:val="clear" w:color="auto" w:fill="auto"/>
            <w:noWrap/>
            <w:vAlign w:val="center"/>
            <w:hideMark/>
          </w:tcPr>
          <w:p w14:paraId="1E99DDB8" w14:textId="7A6FE2AE" w:rsidR="00B83ACE" w:rsidRPr="002114EB" w:rsidRDefault="00B83ACE" w:rsidP="00B83ACE">
            <w:pPr>
              <w:rPr>
                <w:rFonts w:ascii="Cambria" w:eastAsia="Times New Roman" w:hAnsi="Cambria" w:cs="Calibri"/>
                <w:color w:val="000000"/>
                <w:sz w:val="22"/>
                <w:szCs w:val="22"/>
              </w:rPr>
            </w:pPr>
            <w:r w:rsidRPr="00B83ACE">
              <w:rPr>
                <w:rFonts w:ascii="Cambria" w:eastAsia="Times New Roman" w:hAnsi="Cambria" w:cs="Calibri"/>
                <w:color w:val="000000"/>
                <w:sz w:val="22"/>
                <w:szCs w:val="22"/>
              </w:rPr>
              <w:t>Coalition for Energy Efficiency (CEE)</w:t>
            </w:r>
          </w:p>
        </w:tc>
        <w:tc>
          <w:tcPr>
            <w:tcW w:w="1820" w:type="dxa"/>
            <w:shd w:val="clear" w:color="auto" w:fill="auto"/>
            <w:noWrap/>
            <w:vAlign w:val="bottom"/>
            <w:hideMark/>
          </w:tcPr>
          <w:p w14:paraId="0FDBB17D" w14:textId="77777777" w:rsidR="00B83ACE" w:rsidRPr="002114EB" w:rsidRDefault="00B83ACE" w:rsidP="00B83ACE">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Bernie</w:t>
            </w:r>
          </w:p>
        </w:tc>
        <w:tc>
          <w:tcPr>
            <w:tcW w:w="1820" w:type="dxa"/>
            <w:shd w:val="clear" w:color="auto" w:fill="auto"/>
            <w:noWrap/>
            <w:vAlign w:val="bottom"/>
            <w:hideMark/>
          </w:tcPr>
          <w:p w14:paraId="7A34D37C" w14:textId="77777777" w:rsidR="00B83ACE" w:rsidRPr="002114EB" w:rsidRDefault="00B83ACE" w:rsidP="00B83ACE">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Kotlier</w:t>
            </w:r>
          </w:p>
        </w:tc>
      </w:tr>
      <w:tr w:rsidR="00B83ACE" w:rsidRPr="002114EB" w14:paraId="2295D86F" w14:textId="77777777" w:rsidTr="00B80CC4">
        <w:trPr>
          <w:trHeight w:val="320"/>
        </w:trPr>
        <w:tc>
          <w:tcPr>
            <w:tcW w:w="3660" w:type="dxa"/>
            <w:shd w:val="clear" w:color="auto" w:fill="auto"/>
            <w:noWrap/>
            <w:vAlign w:val="bottom"/>
            <w:hideMark/>
          </w:tcPr>
          <w:p w14:paraId="6DBCF94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NRDC</w:t>
            </w:r>
          </w:p>
        </w:tc>
        <w:tc>
          <w:tcPr>
            <w:tcW w:w="1820" w:type="dxa"/>
            <w:shd w:val="clear" w:color="auto" w:fill="auto"/>
            <w:noWrap/>
            <w:vAlign w:val="bottom"/>
            <w:hideMark/>
          </w:tcPr>
          <w:p w14:paraId="05B5179B"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Lara</w:t>
            </w:r>
          </w:p>
        </w:tc>
        <w:tc>
          <w:tcPr>
            <w:tcW w:w="1820" w:type="dxa"/>
            <w:shd w:val="clear" w:color="auto" w:fill="auto"/>
            <w:noWrap/>
            <w:vAlign w:val="bottom"/>
            <w:hideMark/>
          </w:tcPr>
          <w:p w14:paraId="0F5748F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Ettenson</w:t>
            </w:r>
          </w:p>
        </w:tc>
      </w:tr>
      <w:tr w:rsidR="00B83ACE" w:rsidRPr="002114EB" w14:paraId="3D0878E6" w14:textId="77777777" w:rsidTr="00B80CC4">
        <w:trPr>
          <w:trHeight w:val="320"/>
        </w:trPr>
        <w:tc>
          <w:tcPr>
            <w:tcW w:w="3660" w:type="dxa"/>
            <w:shd w:val="clear" w:color="auto" w:fill="auto"/>
            <w:noWrap/>
            <w:vAlign w:val="bottom"/>
            <w:hideMark/>
          </w:tcPr>
          <w:p w14:paraId="699CEB7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PG&amp;E</w:t>
            </w:r>
          </w:p>
        </w:tc>
        <w:tc>
          <w:tcPr>
            <w:tcW w:w="1820" w:type="dxa"/>
            <w:shd w:val="clear" w:color="auto" w:fill="auto"/>
            <w:noWrap/>
            <w:vAlign w:val="bottom"/>
            <w:hideMark/>
          </w:tcPr>
          <w:p w14:paraId="44024FE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Jonathan</w:t>
            </w:r>
          </w:p>
        </w:tc>
        <w:tc>
          <w:tcPr>
            <w:tcW w:w="1820" w:type="dxa"/>
            <w:shd w:val="clear" w:color="auto" w:fill="auto"/>
            <w:noWrap/>
            <w:vAlign w:val="bottom"/>
            <w:hideMark/>
          </w:tcPr>
          <w:p w14:paraId="27C1488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Burrows</w:t>
            </w:r>
          </w:p>
        </w:tc>
      </w:tr>
      <w:tr w:rsidR="00B83ACE" w:rsidRPr="002114EB" w14:paraId="3F0ECFC6" w14:textId="77777777" w:rsidTr="00B80CC4">
        <w:trPr>
          <w:trHeight w:val="320"/>
        </w:trPr>
        <w:tc>
          <w:tcPr>
            <w:tcW w:w="3660" w:type="dxa"/>
            <w:shd w:val="clear" w:color="auto" w:fill="auto"/>
            <w:noWrap/>
            <w:vAlign w:val="bottom"/>
            <w:hideMark/>
          </w:tcPr>
          <w:p w14:paraId="0912F43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PG&amp;E</w:t>
            </w:r>
          </w:p>
        </w:tc>
        <w:tc>
          <w:tcPr>
            <w:tcW w:w="1820" w:type="dxa"/>
            <w:shd w:val="clear" w:color="auto" w:fill="auto"/>
            <w:noWrap/>
            <w:vAlign w:val="bottom"/>
            <w:hideMark/>
          </w:tcPr>
          <w:p w14:paraId="372E86B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Pat</w:t>
            </w:r>
          </w:p>
        </w:tc>
        <w:tc>
          <w:tcPr>
            <w:tcW w:w="1820" w:type="dxa"/>
            <w:shd w:val="clear" w:color="auto" w:fill="auto"/>
            <w:noWrap/>
            <w:vAlign w:val="bottom"/>
            <w:hideMark/>
          </w:tcPr>
          <w:p w14:paraId="0EF3EE6F"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Eilert</w:t>
            </w:r>
          </w:p>
        </w:tc>
      </w:tr>
      <w:tr w:rsidR="00B83ACE" w:rsidRPr="002114EB" w14:paraId="06D4C29F" w14:textId="77777777" w:rsidTr="00B80CC4">
        <w:trPr>
          <w:trHeight w:val="320"/>
        </w:trPr>
        <w:tc>
          <w:tcPr>
            <w:tcW w:w="3660" w:type="dxa"/>
            <w:shd w:val="clear" w:color="auto" w:fill="auto"/>
            <w:noWrap/>
            <w:vAlign w:val="bottom"/>
            <w:hideMark/>
          </w:tcPr>
          <w:p w14:paraId="3645A24B"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Public Advocates Office</w:t>
            </w:r>
          </w:p>
        </w:tc>
        <w:tc>
          <w:tcPr>
            <w:tcW w:w="1820" w:type="dxa"/>
            <w:shd w:val="clear" w:color="auto" w:fill="auto"/>
            <w:noWrap/>
            <w:vAlign w:val="bottom"/>
            <w:hideMark/>
          </w:tcPr>
          <w:p w14:paraId="286FD60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Ashlyn</w:t>
            </w:r>
          </w:p>
        </w:tc>
        <w:tc>
          <w:tcPr>
            <w:tcW w:w="1820" w:type="dxa"/>
            <w:shd w:val="clear" w:color="auto" w:fill="auto"/>
            <w:noWrap/>
            <w:vAlign w:val="bottom"/>
            <w:hideMark/>
          </w:tcPr>
          <w:p w14:paraId="6572F95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Kong</w:t>
            </w:r>
          </w:p>
        </w:tc>
      </w:tr>
      <w:tr w:rsidR="00B83ACE" w:rsidRPr="002114EB" w14:paraId="4C124B75" w14:textId="77777777" w:rsidTr="00B80CC4">
        <w:trPr>
          <w:trHeight w:val="320"/>
        </w:trPr>
        <w:tc>
          <w:tcPr>
            <w:tcW w:w="3660" w:type="dxa"/>
            <w:shd w:val="clear" w:color="auto" w:fill="auto"/>
            <w:noWrap/>
            <w:vAlign w:val="bottom"/>
            <w:hideMark/>
          </w:tcPr>
          <w:p w14:paraId="6E69E4F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Resource Innovations</w:t>
            </w:r>
          </w:p>
        </w:tc>
        <w:tc>
          <w:tcPr>
            <w:tcW w:w="1820" w:type="dxa"/>
            <w:shd w:val="clear" w:color="auto" w:fill="auto"/>
            <w:noWrap/>
            <w:vAlign w:val="bottom"/>
            <w:hideMark/>
          </w:tcPr>
          <w:p w14:paraId="6F81E63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Margie</w:t>
            </w:r>
          </w:p>
        </w:tc>
        <w:tc>
          <w:tcPr>
            <w:tcW w:w="1820" w:type="dxa"/>
            <w:shd w:val="clear" w:color="auto" w:fill="auto"/>
            <w:noWrap/>
            <w:vAlign w:val="bottom"/>
            <w:hideMark/>
          </w:tcPr>
          <w:p w14:paraId="656AC4F1"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Gardner</w:t>
            </w:r>
          </w:p>
        </w:tc>
      </w:tr>
      <w:tr w:rsidR="00B83ACE" w:rsidRPr="002114EB" w14:paraId="1E09E924" w14:textId="77777777" w:rsidTr="00B80CC4">
        <w:trPr>
          <w:trHeight w:val="320"/>
        </w:trPr>
        <w:tc>
          <w:tcPr>
            <w:tcW w:w="3660" w:type="dxa"/>
            <w:shd w:val="clear" w:color="auto" w:fill="auto"/>
            <w:noWrap/>
            <w:vAlign w:val="bottom"/>
            <w:hideMark/>
          </w:tcPr>
          <w:p w14:paraId="74E5B5A5"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SCE</w:t>
            </w:r>
          </w:p>
        </w:tc>
        <w:tc>
          <w:tcPr>
            <w:tcW w:w="1820" w:type="dxa"/>
            <w:shd w:val="clear" w:color="auto" w:fill="auto"/>
            <w:noWrap/>
            <w:vAlign w:val="bottom"/>
            <w:hideMark/>
          </w:tcPr>
          <w:p w14:paraId="2B767B9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Randall</w:t>
            </w:r>
          </w:p>
        </w:tc>
        <w:tc>
          <w:tcPr>
            <w:tcW w:w="1820" w:type="dxa"/>
            <w:shd w:val="clear" w:color="auto" w:fill="auto"/>
            <w:noWrap/>
            <w:vAlign w:val="bottom"/>
            <w:hideMark/>
          </w:tcPr>
          <w:p w14:paraId="7B704B6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Higa</w:t>
            </w:r>
          </w:p>
        </w:tc>
      </w:tr>
      <w:tr w:rsidR="00B83ACE" w:rsidRPr="002114EB" w14:paraId="4F94A26F" w14:textId="77777777" w:rsidTr="00B80CC4">
        <w:trPr>
          <w:trHeight w:val="320"/>
        </w:trPr>
        <w:tc>
          <w:tcPr>
            <w:tcW w:w="3660" w:type="dxa"/>
            <w:shd w:val="clear" w:color="auto" w:fill="auto"/>
            <w:noWrap/>
            <w:vAlign w:val="bottom"/>
            <w:hideMark/>
          </w:tcPr>
          <w:p w14:paraId="7D41D66D"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SDG&amp;E</w:t>
            </w:r>
          </w:p>
        </w:tc>
        <w:tc>
          <w:tcPr>
            <w:tcW w:w="1820" w:type="dxa"/>
            <w:shd w:val="clear" w:color="auto" w:fill="auto"/>
            <w:noWrap/>
            <w:vAlign w:val="bottom"/>
            <w:hideMark/>
          </w:tcPr>
          <w:p w14:paraId="61CC1752"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Mike</w:t>
            </w:r>
          </w:p>
        </w:tc>
        <w:tc>
          <w:tcPr>
            <w:tcW w:w="1820" w:type="dxa"/>
            <w:shd w:val="clear" w:color="auto" w:fill="auto"/>
            <w:noWrap/>
            <w:vAlign w:val="bottom"/>
            <w:hideMark/>
          </w:tcPr>
          <w:p w14:paraId="6DA78B3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McConnell</w:t>
            </w:r>
          </w:p>
        </w:tc>
      </w:tr>
      <w:tr w:rsidR="00B83ACE" w:rsidRPr="002114EB" w14:paraId="5E8CF4BE" w14:textId="77777777" w:rsidTr="00B80CC4">
        <w:trPr>
          <w:trHeight w:val="320"/>
        </w:trPr>
        <w:tc>
          <w:tcPr>
            <w:tcW w:w="3660" w:type="dxa"/>
            <w:shd w:val="clear" w:color="auto" w:fill="auto"/>
            <w:noWrap/>
            <w:vAlign w:val="bottom"/>
            <w:hideMark/>
          </w:tcPr>
          <w:p w14:paraId="14285411"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SDG&amp;E</w:t>
            </w:r>
          </w:p>
        </w:tc>
        <w:tc>
          <w:tcPr>
            <w:tcW w:w="1820" w:type="dxa"/>
            <w:shd w:val="clear" w:color="auto" w:fill="auto"/>
            <w:noWrap/>
            <w:vAlign w:val="bottom"/>
            <w:hideMark/>
          </w:tcPr>
          <w:p w14:paraId="6A2DDE8C"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Kate</w:t>
            </w:r>
          </w:p>
        </w:tc>
        <w:tc>
          <w:tcPr>
            <w:tcW w:w="1820" w:type="dxa"/>
            <w:shd w:val="clear" w:color="auto" w:fill="auto"/>
            <w:noWrap/>
            <w:vAlign w:val="bottom"/>
            <w:hideMark/>
          </w:tcPr>
          <w:p w14:paraId="7CBFA0E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Zeng</w:t>
            </w:r>
          </w:p>
        </w:tc>
      </w:tr>
      <w:tr w:rsidR="00B83ACE" w:rsidRPr="002114EB" w14:paraId="0D1F4B15" w14:textId="77777777" w:rsidTr="00B80CC4">
        <w:trPr>
          <w:trHeight w:val="320"/>
        </w:trPr>
        <w:tc>
          <w:tcPr>
            <w:tcW w:w="3660" w:type="dxa"/>
            <w:shd w:val="clear" w:color="auto" w:fill="auto"/>
            <w:noWrap/>
            <w:vAlign w:val="bottom"/>
            <w:hideMark/>
          </w:tcPr>
          <w:p w14:paraId="6095FEA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Sheetmetal Workers Local 104</w:t>
            </w:r>
          </w:p>
        </w:tc>
        <w:tc>
          <w:tcPr>
            <w:tcW w:w="1820" w:type="dxa"/>
            <w:shd w:val="clear" w:color="auto" w:fill="auto"/>
            <w:noWrap/>
            <w:vAlign w:val="bottom"/>
            <w:hideMark/>
          </w:tcPr>
          <w:p w14:paraId="75574081"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Randy</w:t>
            </w:r>
          </w:p>
        </w:tc>
        <w:tc>
          <w:tcPr>
            <w:tcW w:w="1820" w:type="dxa"/>
            <w:shd w:val="clear" w:color="auto" w:fill="auto"/>
            <w:noWrap/>
            <w:vAlign w:val="bottom"/>
            <w:hideMark/>
          </w:tcPr>
          <w:p w14:paraId="2F528E06"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Young</w:t>
            </w:r>
          </w:p>
        </w:tc>
      </w:tr>
      <w:tr w:rsidR="00B83ACE" w:rsidRPr="002114EB" w14:paraId="65EAB7E8" w14:textId="77777777" w:rsidTr="00B80CC4">
        <w:trPr>
          <w:trHeight w:val="320"/>
        </w:trPr>
        <w:tc>
          <w:tcPr>
            <w:tcW w:w="3660" w:type="dxa"/>
            <w:shd w:val="clear" w:color="auto" w:fill="auto"/>
            <w:noWrap/>
            <w:vAlign w:val="bottom"/>
            <w:hideMark/>
          </w:tcPr>
          <w:p w14:paraId="0490226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Small Business Utility Advocates</w:t>
            </w:r>
          </w:p>
        </w:tc>
        <w:tc>
          <w:tcPr>
            <w:tcW w:w="1820" w:type="dxa"/>
            <w:shd w:val="clear" w:color="auto" w:fill="auto"/>
            <w:noWrap/>
            <w:vAlign w:val="bottom"/>
            <w:hideMark/>
          </w:tcPr>
          <w:p w14:paraId="288363C4"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Ted</w:t>
            </w:r>
          </w:p>
        </w:tc>
        <w:tc>
          <w:tcPr>
            <w:tcW w:w="1820" w:type="dxa"/>
            <w:shd w:val="clear" w:color="auto" w:fill="auto"/>
            <w:noWrap/>
            <w:vAlign w:val="bottom"/>
            <w:hideMark/>
          </w:tcPr>
          <w:p w14:paraId="5397141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Howard</w:t>
            </w:r>
          </w:p>
        </w:tc>
      </w:tr>
      <w:tr w:rsidR="00B83ACE" w:rsidRPr="002114EB" w14:paraId="3D18E6F5" w14:textId="77777777" w:rsidTr="00B80CC4">
        <w:trPr>
          <w:trHeight w:val="320"/>
        </w:trPr>
        <w:tc>
          <w:tcPr>
            <w:tcW w:w="3660" w:type="dxa"/>
            <w:shd w:val="clear" w:color="auto" w:fill="auto"/>
            <w:noWrap/>
            <w:vAlign w:val="bottom"/>
            <w:hideMark/>
          </w:tcPr>
          <w:p w14:paraId="789E1B4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Small Business Utility Advocates</w:t>
            </w:r>
          </w:p>
        </w:tc>
        <w:tc>
          <w:tcPr>
            <w:tcW w:w="1820" w:type="dxa"/>
            <w:shd w:val="clear" w:color="auto" w:fill="auto"/>
            <w:noWrap/>
            <w:vAlign w:val="bottom"/>
            <w:hideMark/>
          </w:tcPr>
          <w:p w14:paraId="6489E82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Ivan</w:t>
            </w:r>
          </w:p>
        </w:tc>
        <w:tc>
          <w:tcPr>
            <w:tcW w:w="1820" w:type="dxa"/>
            <w:shd w:val="clear" w:color="auto" w:fill="auto"/>
            <w:noWrap/>
            <w:vAlign w:val="bottom"/>
            <w:hideMark/>
          </w:tcPr>
          <w:p w14:paraId="199D281F"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Jimenez</w:t>
            </w:r>
          </w:p>
        </w:tc>
      </w:tr>
      <w:tr w:rsidR="00B83ACE" w:rsidRPr="002114EB" w14:paraId="5855A7A0" w14:textId="77777777" w:rsidTr="00B80CC4">
        <w:trPr>
          <w:trHeight w:val="320"/>
        </w:trPr>
        <w:tc>
          <w:tcPr>
            <w:tcW w:w="3660" w:type="dxa"/>
            <w:shd w:val="clear" w:color="auto" w:fill="auto"/>
            <w:noWrap/>
            <w:vAlign w:val="bottom"/>
            <w:hideMark/>
          </w:tcPr>
          <w:p w14:paraId="7F61199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SoCalGas</w:t>
            </w:r>
          </w:p>
        </w:tc>
        <w:tc>
          <w:tcPr>
            <w:tcW w:w="1820" w:type="dxa"/>
            <w:shd w:val="clear" w:color="auto" w:fill="auto"/>
            <w:noWrap/>
            <w:vAlign w:val="bottom"/>
            <w:hideMark/>
          </w:tcPr>
          <w:p w14:paraId="4B1FDF31"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Erin</w:t>
            </w:r>
          </w:p>
        </w:tc>
        <w:tc>
          <w:tcPr>
            <w:tcW w:w="1820" w:type="dxa"/>
            <w:shd w:val="clear" w:color="auto" w:fill="auto"/>
            <w:noWrap/>
            <w:vAlign w:val="bottom"/>
            <w:hideMark/>
          </w:tcPr>
          <w:p w14:paraId="20C2482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Brooks</w:t>
            </w:r>
          </w:p>
        </w:tc>
      </w:tr>
      <w:tr w:rsidR="00B83ACE" w:rsidRPr="002114EB" w14:paraId="43231482" w14:textId="77777777" w:rsidTr="00B80CC4">
        <w:trPr>
          <w:trHeight w:val="320"/>
        </w:trPr>
        <w:tc>
          <w:tcPr>
            <w:tcW w:w="3660" w:type="dxa"/>
            <w:shd w:val="clear" w:color="auto" w:fill="auto"/>
            <w:noWrap/>
            <w:vAlign w:val="bottom"/>
            <w:hideMark/>
          </w:tcPr>
          <w:p w14:paraId="690C8136"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SoCalGas</w:t>
            </w:r>
          </w:p>
        </w:tc>
        <w:tc>
          <w:tcPr>
            <w:tcW w:w="1820" w:type="dxa"/>
            <w:shd w:val="clear" w:color="auto" w:fill="auto"/>
            <w:noWrap/>
            <w:vAlign w:val="bottom"/>
            <w:hideMark/>
          </w:tcPr>
          <w:p w14:paraId="1FC5D786"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Benjamin</w:t>
            </w:r>
          </w:p>
        </w:tc>
        <w:tc>
          <w:tcPr>
            <w:tcW w:w="1820" w:type="dxa"/>
            <w:shd w:val="clear" w:color="auto" w:fill="auto"/>
            <w:noWrap/>
            <w:vAlign w:val="bottom"/>
            <w:hideMark/>
          </w:tcPr>
          <w:p w14:paraId="03EA0088"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Piiru</w:t>
            </w:r>
          </w:p>
        </w:tc>
      </w:tr>
      <w:tr w:rsidR="00B83ACE" w:rsidRPr="002114EB" w14:paraId="297B145D" w14:textId="77777777" w:rsidTr="00B80CC4">
        <w:trPr>
          <w:trHeight w:val="340"/>
        </w:trPr>
        <w:tc>
          <w:tcPr>
            <w:tcW w:w="3660" w:type="dxa"/>
            <w:shd w:val="clear" w:color="auto" w:fill="auto"/>
            <w:noWrap/>
            <w:vAlign w:val="bottom"/>
            <w:hideMark/>
          </w:tcPr>
          <w:p w14:paraId="33D6946C"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The Energy Coalition</w:t>
            </w:r>
          </w:p>
        </w:tc>
        <w:tc>
          <w:tcPr>
            <w:tcW w:w="1820" w:type="dxa"/>
            <w:shd w:val="clear" w:color="auto" w:fill="auto"/>
            <w:noWrap/>
            <w:vAlign w:val="bottom"/>
            <w:hideMark/>
          </w:tcPr>
          <w:p w14:paraId="4A08BAD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Marc</w:t>
            </w:r>
          </w:p>
        </w:tc>
        <w:tc>
          <w:tcPr>
            <w:tcW w:w="1820" w:type="dxa"/>
            <w:shd w:val="clear" w:color="auto" w:fill="auto"/>
            <w:noWrap/>
            <w:vAlign w:val="bottom"/>
            <w:hideMark/>
          </w:tcPr>
          <w:p w14:paraId="4BF5A30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Costa</w:t>
            </w:r>
          </w:p>
        </w:tc>
      </w:tr>
      <w:tr w:rsidR="00B83ACE" w:rsidRPr="007E0C6D" w14:paraId="7C900E59" w14:textId="77777777" w:rsidTr="00B8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0" w:type="auto"/>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0E1D8B" w14:textId="77777777" w:rsidR="00B83ACE" w:rsidRPr="007E0C6D" w:rsidRDefault="00B83ACE" w:rsidP="00B80CC4">
            <w:pPr>
              <w:rPr>
                <w:rFonts w:ascii="Calibri" w:hAnsi="Calibri" w:cs="Calibri"/>
                <w:b/>
                <w:bCs/>
                <w:sz w:val="20"/>
                <w:szCs w:val="20"/>
              </w:rPr>
            </w:pPr>
            <w:r w:rsidRPr="007E0C6D">
              <w:rPr>
                <w:rFonts w:ascii="Cambria" w:eastAsia="Times New Roman" w:hAnsi="Cambria" w:cs="Calibri"/>
                <w:b/>
                <w:bCs/>
                <w:color w:val="000000"/>
                <w:sz w:val="22"/>
                <w:szCs w:val="22"/>
              </w:rPr>
              <w:t>Ex-Officio/Resource (non-voting):</w:t>
            </w:r>
          </w:p>
        </w:tc>
      </w:tr>
      <w:tr w:rsidR="00B83ACE" w:rsidRPr="002114EB" w14:paraId="3772F423" w14:textId="77777777" w:rsidTr="00B80CC4">
        <w:trPr>
          <w:trHeight w:val="283"/>
        </w:trPr>
        <w:tc>
          <w:tcPr>
            <w:tcW w:w="3660" w:type="dxa"/>
            <w:shd w:val="clear" w:color="auto" w:fill="auto"/>
            <w:noWrap/>
            <w:vAlign w:val="bottom"/>
          </w:tcPr>
          <w:p w14:paraId="7890B8A6" w14:textId="77777777" w:rsidR="00B83ACE" w:rsidRPr="002114EB" w:rsidRDefault="00B83ACE" w:rsidP="00B80CC4">
            <w:pPr>
              <w:rPr>
                <w:rFonts w:ascii="Cambria" w:eastAsia="Times New Roman" w:hAnsi="Cambria" w:cs="Calibri"/>
                <w:b/>
                <w:bCs/>
                <w:color w:val="000000"/>
                <w:sz w:val="22"/>
                <w:szCs w:val="22"/>
              </w:rPr>
            </w:pPr>
            <w:r w:rsidRPr="002114EB">
              <w:rPr>
                <w:rFonts w:ascii="Cambria" w:eastAsia="Times New Roman" w:hAnsi="Cambria" w:cs="Calibri"/>
                <w:color w:val="000000"/>
                <w:sz w:val="22"/>
                <w:szCs w:val="22"/>
              </w:rPr>
              <w:t>Alcal</w:t>
            </w:r>
          </w:p>
        </w:tc>
        <w:tc>
          <w:tcPr>
            <w:tcW w:w="1820" w:type="dxa"/>
            <w:shd w:val="clear" w:color="auto" w:fill="auto"/>
            <w:noWrap/>
            <w:vAlign w:val="bottom"/>
          </w:tcPr>
          <w:p w14:paraId="6308A48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Gregory</w:t>
            </w:r>
          </w:p>
        </w:tc>
        <w:tc>
          <w:tcPr>
            <w:tcW w:w="1820" w:type="dxa"/>
            <w:shd w:val="clear" w:color="auto" w:fill="auto"/>
            <w:noWrap/>
            <w:vAlign w:val="bottom"/>
          </w:tcPr>
          <w:p w14:paraId="5D9BA76D"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Sutliff</w:t>
            </w:r>
          </w:p>
        </w:tc>
      </w:tr>
      <w:tr w:rsidR="00B83ACE" w:rsidRPr="002114EB" w14:paraId="46E9917D" w14:textId="77777777" w:rsidTr="00B80CC4">
        <w:trPr>
          <w:trHeight w:val="320"/>
        </w:trPr>
        <w:tc>
          <w:tcPr>
            <w:tcW w:w="3660" w:type="dxa"/>
            <w:shd w:val="clear" w:color="auto" w:fill="auto"/>
            <w:noWrap/>
            <w:vAlign w:val="bottom"/>
            <w:hideMark/>
          </w:tcPr>
          <w:p w14:paraId="1BCD48A3"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California Energy Commission</w:t>
            </w:r>
          </w:p>
        </w:tc>
        <w:tc>
          <w:tcPr>
            <w:tcW w:w="1820" w:type="dxa"/>
            <w:shd w:val="clear" w:color="auto" w:fill="auto"/>
            <w:noWrap/>
            <w:vAlign w:val="bottom"/>
            <w:hideMark/>
          </w:tcPr>
          <w:p w14:paraId="2D684C5D"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Brian</w:t>
            </w:r>
          </w:p>
        </w:tc>
        <w:tc>
          <w:tcPr>
            <w:tcW w:w="1820" w:type="dxa"/>
            <w:shd w:val="clear" w:color="auto" w:fill="auto"/>
            <w:noWrap/>
            <w:vAlign w:val="bottom"/>
            <w:hideMark/>
          </w:tcPr>
          <w:p w14:paraId="154659A3"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Samuelson</w:t>
            </w:r>
          </w:p>
        </w:tc>
      </w:tr>
      <w:tr w:rsidR="00B83ACE" w:rsidRPr="002114EB" w14:paraId="30F5FF1B" w14:textId="77777777" w:rsidTr="00B80CC4">
        <w:trPr>
          <w:trHeight w:val="320"/>
        </w:trPr>
        <w:tc>
          <w:tcPr>
            <w:tcW w:w="3660" w:type="dxa"/>
            <w:shd w:val="clear" w:color="auto" w:fill="auto"/>
            <w:noWrap/>
            <w:vAlign w:val="bottom"/>
            <w:hideMark/>
          </w:tcPr>
          <w:p w14:paraId="516FBC0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CPUC</w:t>
            </w:r>
          </w:p>
        </w:tc>
        <w:tc>
          <w:tcPr>
            <w:tcW w:w="1820" w:type="dxa"/>
            <w:shd w:val="clear" w:color="auto" w:fill="auto"/>
            <w:noWrap/>
            <w:vAlign w:val="bottom"/>
            <w:hideMark/>
          </w:tcPr>
          <w:p w14:paraId="468D39B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Christie</w:t>
            </w:r>
          </w:p>
        </w:tc>
        <w:tc>
          <w:tcPr>
            <w:tcW w:w="1820" w:type="dxa"/>
            <w:shd w:val="clear" w:color="auto" w:fill="auto"/>
            <w:noWrap/>
            <w:vAlign w:val="bottom"/>
            <w:hideMark/>
          </w:tcPr>
          <w:p w14:paraId="32EC5E9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Torok</w:t>
            </w:r>
          </w:p>
        </w:tc>
      </w:tr>
      <w:tr w:rsidR="00B83ACE" w:rsidRPr="002114EB" w14:paraId="027C43B4" w14:textId="77777777" w:rsidTr="00B80CC4">
        <w:trPr>
          <w:trHeight w:val="320"/>
        </w:trPr>
        <w:tc>
          <w:tcPr>
            <w:tcW w:w="3660" w:type="dxa"/>
            <w:shd w:val="clear" w:color="auto" w:fill="auto"/>
            <w:noWrap/>
            <w:vAlign w:val="bottom"/>
            <w:hideMark/>
          </w:tcPr>
          <w:p w14:paraId="500CC00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DNV GL</w:t>
            </w:r>
          </w:p>
        </w:tc>
        <w:tc>
          <w:tcPr>
            <w:tcW w:w="1820" w:type="dxa"/>
            <w:shd w:val="clear" w:color="auto" w:fill="auto"/>
            <w:noWrap/>
            <w:vAlign w:val="bottom"/>
            <w:hideMark/>
          </w:tcPr>
          <w:p w14:paraId="142E9F50"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Nick</w:t>
            </w:r>
          </w:p>
        </w:tc>
        <w:tc>
          <w:tcPr>
            <w:tcW w:w="1820" w:type="dxa"/>
            <w:shd w:val="clear" w:color="auto" w:fill="auto"/>
            <w:noWrap/>
            <w:vAlign w:val="bottom"/>
            <w:hideMark/>
          </w:tcPr>
          <w:p w14:paraId="5BA27556"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Brod</w:t>
            </w:r>
          </w:p>
        </w:tc>
      </w:tr>
      <w:tr w:rsidR="00B83ACE" w:rsidRPr="002114EB" w14:paraId="5E71E1AF" w14:textId="77777777" w:rsidTr="00B80CC4">
        <w:trPr>
          <w:trHeight w:val="320"/>
        </w:trPr>
        <w:tc>
          <w:tcPr>
            <w:tcW w:w="3660" w:type="dxa"/>
            <w:shd w:val="clear" w:color="auto" w:fill="auto"/>
            <w:noWrap/>
            <w:vAlign w:val="bottom"/>
            <w:hideMark/>
          </w:tcPr>
          <w:p w14:paraId="743E139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Greenbank Associates</w:t>
            </w:r>
          </w:p>
        </w:tc>
        <w:tc>
          <w:tcPr>
            <w:tcW w:w="1820" w:type="dxa"/>
            <w:shd w:val="clear" w:color="auto" w:fill="auto"/>
            <w:noWrap/>
            <w:vAlign w:val="bottom"/>
            <w:hideMark/>
          </w:tcPr>
          <w:p w14:paraId="0C82D22B"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Alice</w:t>
            </w:r>
          </w:p>
        </w:tc>
        <w:tc>
          <w:tcPr>
            <w:tcW w:w="1820" w:type="dxa"/>
            <w:shd w:val="clear" w:color="auto" w:fill="auto"/>
            <w:noWrap/>
            <w:vAlign w:val="bottom"/>
            <w:hideMark/>
          </w:tcPr>
          <w:p w14:paraId="11C5704D"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Sung</w:t>
            </w:r>
          </w:p>
        </w:tc>
      </w:tr>
      <w:tr w:rsidR="00B83ACE" w:rsidRPr="002114EB" w14:paraId="311C59A7" w14:textId="77777777" w:rsidTr="00B80CC4">
        <w:trPr>
          <w:trHeight w:val="320"/>
        </w:trPr>
        <w:tc>
          <w:tcPr>
            <w:tcW w:w="3660" w:type="dxa"/>
            <w:shd w:val="clear" w:color="auto" w:fill="auto"/>
            <w:noWrap/>
            <w:vAlign w:val="bottom"/>
            <w:hideMark/>
          </w:tcPr>
          <w:p w14:paraId="51EBDAC1"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Lincus, Inc.</w:t>
            </w:r>
          </w:p>
        </w:tc>
        <w:tc>
          <w:tcPr>
            <w:tcW w:w="1820" w:type="dxa"/>
            <w:shd w:val="clear" w:color="auto" w:fill="auto"/>
            <w:noWrap/>
            <w:vAlign w:val="bottom"/>
            <w:hideMark/>
          </w:tcPr>
          <w:p w14:paraId="6033F255"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Cody</w:t>
            </w:r>
          </w:p>
        </w:tc>
        <w:tc>
          <w:tcPr>
            <w:tcW w:w="1820" w:type="dxa"/>
            <w:shd w:val="clear" w:color="auto" w:fill="auto"/>
            <w:noWrap/>
            <w:vAlign w:val="bottom"/>
            <w:hideMark/>
          </w:tcPr>
          <w:p w14:paraId="43E48703"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Coeckelenbergh</w:t>
            </w:r>
          </w:p>
        </w:tc>
      </w:tr>
      <w:tr w:rsidR="00B83ACE" w:rsidRPr="002114EB" w14:paraId="20AFCE67" w14:textId="77777777" w:rsidTr="00B80CC4">
        <w:trPr>
          <w:trHeight w:val="320"/>
        </w:trPr>
        <w:tc>
          <w:tcPr>
            <w:tcW w:w="3660" w:type="dxa"/>
            <w:shd w:val="clear" w:color="auto" w:fill="auto"/>
            <w:noWrap/>
            <w:vAlign w:val="bottom"/>
            <w:hideMark/>
          </w:tcPr>
          <w:p w14:paraId="2D2FE536"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NEEA</w:t>
            </w:r>
          </w:p>
        </w:tc>
        <w:tc>
          <w:tcPr>
            <w:tcW w:w="1820" w:type="dxa"/>
            <w:shd w:val="clear" w:color="auto" w:fill="auto"/>
            <w:noWrap/>
            <w:vAlign w:val="bottom"/>
            <w:hideMark/>
          </w:tcPr>
          <w:p w14:paraId="2179144C"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Jeff</w:t>
            </w:r>
          </w:p>
        </w:tc>
        <w:tc>
          <w:tcPr>
            <w:tcW w:w="1820" w:type="dxa"/>
            <w:shd w:val="clear" w:color="auto" w:fill="auto"/>
            <w:noWrap/>
            <w:vAlign w:val="bottom"/>
            <w:hideMark/>
          </w:tcPr>
          <w:p w14:paraId="3D0C6C9E"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Harris</w:t>
            </w:r>
          </w:p>
        </w:tc>
      </w:tr>
      <w:tr w:rsidR="00B83ACE" w:rsidRPr="002114EB" w14:paraId="7D0C3390" w14:textId="77777777" w:rsidTr="00B80CC4">
        <w:trPr>
          <w:trHeight w:val="320"/>
        </w:trPr>
        <w:tc>
          <w:tcPr>
            <w:tcW w:w="3660" w:type="dxa"/>
            <w:shd w:val="clear" w:color="auto" w:fill="auto"/>
            <w:noWrap/>
            <w:vAlign w:val="bottom"/>
            <w:hideMark/>
          </w:tcPr>
          <w:p w14:paraId="27A8342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The Mendota Group, LLC</w:t>
            </w:r>
          </w:p>
        </w:tc>
        <w:tc>
          <w:tcPr>
            <w:tcW w:w="1820" w:type="dxa"/>
            <w:shd w:val="clear" w:color="auto" w:fill="auto"/>
            <w:noWrap/>
            <w:vAlign w:val="bottom"/>
            <w:hideMark/>
          </w:tcPr>
          <w:p w14:paraId="7AE5D03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Grey</w:t>
            </w:r>
          </w:p>
        </w:tc>
        <w:tc>
          <w:tcPr>
            <w:tcW w:w="1820" w:type="dxa"/>
            <w:shd w:val="clear" w:color="auto" w:fill="auto"/>
            <w:noWrap/>
            <w:vAlign w:val="bottom"/>
            <w:hideMark/>
          </w:tcPr>
          <w:p w14:paraId="5D7217E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Staples</w:t>
            </w:r>
          </w:p>
        </w:tc>
      </w:tr>
      <w:tr w:rsidR="00B83ACE" w:rsidRPr="002114EB" w14:paraId="3253319B" w14:textId="77777777" w:rsidTr="00B80CC4">
        <w:trPr>
          <w:trHeight w:val="320"/>
        </w:trPr>
        <w:tc>
          <w:tcPr>
            <w:tcW w:w="3660" w:type="dxa"/>
            <w:shd w:val="clear" w:color="auto" w:fill="auto"/>
            <w:noWrap/>
            <w:vAlign w:val="bottom"/>
            <w:hideMark/>
          </w:tcPr>
          <w:p w14:paraId="5823070F"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Tyler &amp; Associates</w:t>
            </w:r>
          </w:p>
        </w:tc>
        <w:tc>
          <w:tcPr>
            <w:tcW w:w="1820" w:type="dxa"/>
            <w:shd w:val="clear" w:color="auto" w:fill="auto"/>
            <w:noWrap/>
            <w:vAlign w:val="bottom"/>
            <w:hideMark/>
          </w:tcPr>
          <w:p w14:paraId="52D2AC14"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Craig</w:t>
            </w:r>
          </w:p>
        </w:tc>
        <w:tc>
          <w:tcPr>
            <w:tcW w:w="1820" w:type="dxa"/>
            <w:shd w:val="clear" w:color="auto" w:fill="auto"/>
            <w:noWrap/>
            <w:vAlign w:val="bottom"/>
            <w:hideMark/>
          </w:tcPr>
          <w:p w14:paraId="77206F1A"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Tyler</w:t>
            </w:r>
          </w:p>
        </w:tc>
      </w:tr>
      <w:tr w:rsidR="00B83ACE" w:rsidRPr="002114EB" w14:paraId="3E0D93BD" w14:textId="77777777" w:rsidTr="00B80CC4">
        <w:trPr>
          <w:trHeight w:val="320"/>
        </w:trPr>
        <w:tc>
          <w:tcPr>
            <w:tcW w:w="3660" w:type="dxa"/>
            <w:shd w:val="clear" w:color="auto" w:fill="auto"/>
            <w:noWrap/>
            <w:vAlign w:val="bottom"/>
            <w:hideMark/>
          </w:tcPr>
          <w:p w14:paraId="3CA2D635"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WRCOG</w:t>
            </w:r>
          </w:p>
        </w:tc>
        <w:tc>
          <w:tcPr>
            <w:tcW w:w="1820" w:type="dxa"/>
            <w:shd w:val="clear" w:color="auto" w:fill="auto"/>
            <w:noWrap/>
            <w:vAlign w:val="bottom"/>
            <w:hideMark/>
          </w:tcPr>
          <w:p w14:paraId="4E00935C"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Anthony</w:t>
            </w:r>
          </w:p>
        </w:tc>
        <w:tc>
          <w:tcPr>
            <w:tcW w:w="1820" w:type="dxa"/>
            <w:shd w:val="clear" w:color="auto" w:fill="auto"/>
            <w:noWrap/>
            <w:vAlign w:val="bottom"/>
            <w:hideMark/>
          </w:tcPr>
          <w:p w14:paraId="0721FDAD"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Segura</w:t>
            </w:r>
          </w:p>
        </w:tc>
      </w:tr>
      <w:tr w:rsidR="00B83ACE" w:rsidRPr="002114EB" w14:paraId="70D6C0C0" w14:textId="77777777" w:rsidTr="00B80CC4">
        <w:trPr>
          <w:trHeight w:val="320"/>
        </w:trPr>
        <w:tc>
          <w:tcPr>
            <w:tcW w:w="3660" w:type="dxa"/>
            <w:shd w:val="clear" w:color="auto" w:fill="auto"/>
            <w:noWrap/>
            <w:vAlign w:val="bottom"/>
            <w:hideMark/>
          </w:tcPr>
          <w:p w14:paraId="29E994D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Yinsight, Inc.</w:t>
            </w:r>
          </w:p>
        </w:tc>
        <w:tc>
          <w:tcPr>
            <w:tcW w:w="1820" w:type="dxa"/>
            <w:shd w:val="clear" w:color="auto" w:fill="auto"/>
            <w:noWrap/>
            <w:vAlign w:val="bottom"/>
            <w:hideMark/>
          </w:tcPr>
          <w:p w14:paraId="010024D9"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Carol</w:t>
            </w:r>
          </w:p>
        </w:tc>
        <w:tc>
          <w:tcPr>
            <w:tcW w:w="1820" w:type="dxa"/>
            <w:shd w:val="clear" w:color="auto" w:fill="auto"/>
            <w:noWrap/>
            <w:vAlign w:val="bottom"/>
            <w:hideMark/>
          </w:tcPr>
          <w:p w14:paraId="7D924E67" w14:textId="77777777" w:rsidR="00B83ACE" w:rsidRPr="002114EB" w:rsidRDefault="00B83ACE" w:rsidP="00B80CC4">
            <w:pPr>
              <w:rPr>
                <w:rFonts w:ascii="Cambria" w:eastAsia="Times New Roman" w:hAnsi="Cambria" w:cs="Calibri"/>
                <w:color w:val="000000"/>
                <w:sz w:val="22"/>
                <w:szCs w:val="22"/>
              </w:rPr>
            </w:pPr>
            <w:r w:rsidRPr="002114EB">
              <w:rPr>
                <w:rFonts w:ascii="Cambria" w:eastAsia="Times New Roman" w:hAnsi="Cambria" w:cs="Calibri"/>
                <w:color w:val="000000"/>
                <w:sz w:val="22"/>
                <w:szCs w:val="22"/>
              </w:rPr>
              <w:t>Yin</w:t>
            </w:r>
          </w:p>
        </w:tc>
      </w:tr>
    </w:tbl>
    <w:p w14:paraId="43770529" w14:textId="5CB8A81D" w:rsidR="005931B4" w:rsidRPr="005931B4" w:rsidRDefault="005931B4" w:rsidP="0021365C">
      <w:pPr>
        <w:rPr>
          <w:rFonts w:ascii="Cambria" w:hAnsi="Cambria"/>
        </w:rPr>
      </w:pPr>
    </w:p>
    <w:sectPr w:rsidR="005931B4" w:rsidRPr="005931B4" w:rsidSect="00A546B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55CB4" w14:textId="77777777" w:rsidR="001632EC" w:rsidRDefault="001632EC" w:rsidP="00307B32">
      <w:r>
        <w:separator/>
      </w:r>
    </w:p>
  </w:endnote>
  <w:endnote w:type="continuationSeparator" w:id="0">
    <w:p w14:paraId="71558900" w14:textId="77777777" w:rsidR="001632EC" w:rsidRDefault="001632EC" w:rsidP="0030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3726924"/>
      <w:docPartObj>
        <w:docPartGallery w:val="Page Numbers (Bottom of Page)"/>
        <w:docPartUnique/>
      </w:docPartObj>
    </w:sdtPr>
    <w:sdtEndPr>
      <w:rPr>
        <w:rStyle w:val="PageNumber"/>
      </w:rPr>
    </w:sdtEndPr>
    <w:sdtContent>
      <w:p w14:paraId="792D82D8" w14:textId="70456782" w:rsidR="00EA3B23" w:rsidRDefault="00EA3B23" w:rsidP="00EA3B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8A6A3" w14:textId="77777777" w:rsidR="00EA3B23" w:rsidRDefault="00EA3B23" w:rsidP="00307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5298255"/>
      <w:docPartObj>
        <w:docPartGallery w:val="Page Numbers (Bottom of Page)"/>
        <w:docPartUnique/>
      </w:docPartObj>
    </w:sdtPr>
    <w:sdtEndPr>
      <w:rPr>
        <w:rStyle w:val="PageNumber"/>
      </w:rPr>
    </w:sdtEndPr>
    <w:sdtContent>
      <w:p w14:paraId="06BA77B7" w14:textId="31EB69D1" w:rsidR="00EA3B23" w:rsidRDefault="00EA3B23" w:rsidP="00EA3B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200EF" w14:textId="77777777" w:rsidR="00EA3B23" w:rsidRDefault="00EA3B23" w:rsidP="00307B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D684" w14:textId="77777777" w:rsidR="001632EC" w:rsidRDefault="001632EC" w:rsidP="00307B32">
      <w:r>
        <w:separator/>
      </w:r>
    </w:p>
  </w:footnote>
  <w:footnote w:type="continuationSeparator" w:id="0">
    <w:p w14:paraId="1A1679F4" w14:textId="77777777" w:rsidR="001632EC" w:rsidRDefault="001632EC" w:rsidP="00307B32">
      <w:r>
        <w:continuationSeparator/>
      </w:r>
    </w:p>
  </w:footnote>
  <w:footnote w:id="1">
    <w:p w14:paraId="4EE47C0D" w14:textId="77777777" w:rsidR="003623FB" w:rsidRPr="005A1733" w:rsidRDefault="003623FB" w:rsidP="003623FB">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includes forecasting as part of the MTI Plan, bullet #3 on page 159.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301B"/>
    <w:multiLevelType w:val="hybridMultilevel"/>
    <w:tmpl w:val="9134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65F3"/>
    <w:multiLevelType w:val="hybridMultilevel"/>
    <w:tmpl w:val="D7DA41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71723"/>
    <w:multiLevelType w:val="hybridMultilevel"/>
    <w:tmpl w:val="B4BE8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E22959"/>
    <w:multiLevelType w:val="hybridMultilevel"/>
    <w:tmpl w:val="0CD0C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AE1879"/>
    <w:multiLevelType w:val="hybridMultilevel"/>
    <w:tmpl w:val="32288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72C75"/>
    <w:multiLevelType w:val="hybridMultilevel"/>
    <w:tmpl w:val="68867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0513B"/>
    <w:multiLevelType w:val="hybridMultilevel"/>
    <w:tmpl w:val="FD94B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87157"/>
    <w:multiLevelType w:val="hybridMultilevel"/>
    <w:tmpl w:val="C53E8E60"/>
    <w:lvl w:ilvl="0" w:tplc="40F20F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7BBA"/>
    <w:multiLevelType w:val="hybridMultilevel"/>
    <w:tmpl w:val="C7D275DE"/>
    <w:lvl w:ilvl="0" w:tplc="40F20F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B2ECA"/>
    <w:multiLevelType w:val="hybridMultilevel"/>
    <w:tmpl w:val="51F47C7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E04D2"/>
    <w:multiLevelType w:val="hybridMultilevel"/>
    <w:tmpl w:val="3D14B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E55732"/>
    <w:multiLevelType w:val="hybridMultilevel"/>
    <w:tmpl w:val="B49C4C6A"/>
    <w:lvl w:ilvl="0" w:tplc="40F20FD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254A8"/>
    <w:multiLevelType w:val="hybridMultilevel"/>
    <w:tmpl w:val="BC42B89E"/>
    <w:lvl w:ilvl="0" w:tplc="40F20FDC">
      <w:start w:val="1"/>
      <w:numFmt w:val="bullet"/>
      <w:lvlText w:val="•"/>
      <w:lvlJc w:val="left"/>
      <w:pPr>
        <w:ind w:left="720" w:hanging="360"/>
      </w:pPr>
      <w:rPr>
        <w:rFonts w:ascii="Arial" w:hAnsi="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24CDF"/>
    <w:multiLevelType w:val="hybridMultilevel"/>
    <w:tmpl w:val="8654B3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E595E"/>
    <w:multiLevelType w:val="hybridMultilevel"/>
    <w:tmpl w:val="5B5A1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0B0FE3"/>
    <w:multiLevelType w:val="hybridMultilevel"/>
    <w:tmpl w:val="622C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76DF"/>
    <w:multiLevelType w:val="hybridMultilevel"/>
    <w:tmpl w:val="F83EE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B5A96"/>
    <w:multiLevelType w:val="hybridMultilevel"/>
    <w:tmpl w:val="F8321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540E9"/>
    <w:multiLevelType w:val="hybridMultilevel"/>
    <w:tmpl w:val="DBB099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EE4904"/>
    <w:multiLevelType w:val="hybridMultilevel"/>
    <w:tmpl w:val="D2221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31699B"/>
    <w:multiLevelType w:val="hybridMultilevel"/>
    <w:tmpl w:val="4288C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B6F07"/>
    <w:multiLevelType w:val="hybridMultilevel"/>
    <w:tmpl w:val="5D504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147A1"/>
    <w:multiLevelType w:val="hybridMultilevel"/>
    <w:tmpl w:val="53E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508BE"/>
    <w:multiLevelType w:val="hybridMultilevel"/>
    <w:tmpl w:val="1F28C8B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2B33230"/>
    <w:multiLevelType w:val="hybridMultilevel"/>
    <w:tmpl w:val="1834C5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D70B41"/>
    <w:multiLevelType w:val="multilevel"/>
    <w:tmpl w:val="D8F86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1E78A6"/>
    <w:multiLevelType w:val="hybridMultilevel"/>
    <w:tmpl w:val="A4608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95FDA"/>
    <w:multiLevelType w:val="hybridMultilevel"/>
    <w:tmpl w:val="081E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44A46"/>
    <w:multiLevelType w:val="hybridMultilevel"/>
    <w:tmpl w:val="4C4ED2CC"/>
    <w:lvl w:ilvl="0" w:tplc="40F20F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A5076"/>
    <w:multiLevelType w:val="hybridMultilevel"/>
    <w:tmpl w:val="16D8D220"/>
    <w:lvl w:ilvl="0" w:tplc="40F20F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2"/>
  </w:num>
  <w:num w:numId="5">
    <w:abstractNumId w:val="21"/>
  </w:num>
  <w:num w:numId="6">
    <w:abstractNumId w:val="8"/>
  </w:num>
  <w:num w:numId="7">
    <w:abstractNumId w:val="7"/>
  </w:num>
  <w:num w:numId="8">
    <w:abstractNumId w:val="28"/>
  </w:num>
  <w:num w:numId="9">
    <w:abstractNumId w:val="29"/>
  </w:num>
  <w:num w:numId="10">
    <w:abstractNumId w:val="11"/>
  </w:num>
  <w:num w:numId="11">
    <w:abstractNumId w:val="13"/>
  </w:num>
  <w:num w:numId="12">
    <w:abstractNumId w:val="1"/>
  </w:num>
  <w:num w:numId="13">
    <w:abstractNumId w:val="23"/>
  </w:num>
  <w:num w:numId="14">
    <w:abstractNumId w:val="4"/>
  </w:num>
  <w:num w:numId="15">
    <w:abstractNumId w:val="6"/>
  </w:num>
  <w:num w:numId="16">
    <w:abstractNumId w:val="24"/>
  </w:num>
  <w:num w:numId="17">
    <w:abstractNumId w:val="18"/>
  </w:num>
  <w:num w:numId="18">
    <w:abstractNumId w:val="5"/>
  </w:num>
  <w:num w:numId="19">
    <w:abstractNumId w:val="25"/>
  </w:num>
  <w:num w:numId="20">
    <w:abstractNumId w:val="2"/>
  </w:num>
  <w:num w:numId="21">
    <w:abstractNumId w:val="19"/>
  </w:num>
  <w:num w:numId="22">
    <w:abstractNumId w:val="17"/>
  </w:num>
  <w:num w:numId="23">
    <w:abstractNumId w:val="16"/>
  </w:num>
  <w:num w:numId="24">
    <w:abstractNumId w:val="20"/>
  </w:num>
  <w:num w:numId="25">
    <w:abstractNumId w:val="26"/>
  </w:num>
  <w:num w:numId="26">
    <w:abstractNumId w:val="0"/>
  </w:num>
  <w:num w:numId="27">
    <w:abstractNumId w:val="27"/>
  </w:num>
  <w:num w:numId="28">
    <w:abstractNumId w:val="22"/>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93"/>
    <w:rsid w:val="00041DA0"/>
    <w:rsid w:val="00042462"/>
    <w:rsid w:val="00073B1E"/>
    <w:rsid w:val="000A1689"/>
    <w:rsid w:val="000B035B"/>
    <w:rsid w:val="000B0510"/>
    <w:rsid w:val="000B4059"/>
    <w:rsid w:val="000B4317"/>
    <w:rsid w:val="000B676D"/>
    <w:rsid w:val="000C2C8E"/>
    <w:rsid w:val="000D34ED"/>
    <w:rsid w:val="00112FC6"/>
    <w:rsid w:val="0012496F"/>
    <w:rsid w:val="00130AED"/>
    <w:rsid w:val="0013559A"/>
    <w:rsid w:val="0014457B"/>
    <w:rsid w:val="001505D1"/>
    <w:rsid w:val="0015251E"/>
    <w:rsid w:val="001632EC"/>
    <w:rsid w:val="00177CCF"/>
    <w:rsid w:val="00184A93"/>
    <w:rsid w:val="001A675A"/>
    <w:rsid w:val="001B0683"/>
    <w:rsid w:val="001B3F21"/>
    <w:rsid w:val="001C7B17"/>
    <w:rsid w:val="001D4CBA"/>
    <w:rsid w:val="001D52AC"/>
    <w:rsid w:val="001E04D0"/>
    <w:rsid w:val="00201ECB"/>
    <w:rsid w:val="0021365C"/>
    <w:rsid w:val="002238AA"/>
    <w:rsid w:val="00225CD6"/>
    <w:rsid w:val="00232785"/>
    <w:rsid w:val="0025253F"/>
    <w:rsid w:val="002A5015"/>
    <w:rsid w:val="002B2177"/>
    <w:rsid w:val="002C12E5"/>
    <w:rsid w:val="002C3FF0"/>
    <w:rsid w:val="002C5F3F"/>
    <w:rsid w:val="002D65A7"/>
    <w:rsid w:val="002F169D"/>
    <w:rsid w:val="00307B32"/>
    <w:rsid w:val="00322D5F"/>
    <w:rsid w:val="00334138"/>
    <w:rsid w:val="00336421"/>
    <w:rsid w:val="00353CAD"/>
    <w:rsid w:val="00360C41"/>
    <w:rsid w:val="003623FB"/>
    <w:rsid w:val="00362F62"/>
    <w:rsid w:val="00372B16"/>
    <w:rsid w:val="0037396E"/>
    <w:rsid w:val="0038163F"/>
    <w:rsid w:val="00382B22"/>
    <w:rsid w:val="003B04E5"/>
    <w:rsid w:val="003B4444"/>
    <w:rsid w:val="003B67E8"/>
    <w:rsid w:val="003D4320"/>
    <w:rsid w:val="003D7883"/>
    <w:rsid w:val="003E6CB4"/>
    <w:rsid w:val="004057AC"/>
    <w:rsid w:val="004343A6"/>
    <w:rsid w:val="004427A1"/>
    <w:rsid w:val="0044355F"/>
    <w:rsid w:val="004449AC"/>
    <w:rsid w:val="0045180A"/>
    <w:rsid w:val="00451D6E"/>
    <w:rsid w:val="00460F5D"/>
    <w:rsid w:val="00462965"/>
    <w:rsid w:val="00464287"/>
    <w:rsid w:val="00481482"/>
    <w:rsid w:val="004901F3"/>
    <w:rsid w:val="004B5624"/>
    <w:rsid w:val="004B6147"/>
    <w:rsid w:val="00515412"/>
    <w:rsid w:val="00517A37"/>
    <w:rsid w:val="00522A1C"/>
    <w:rsid w:val="0052450F"/>
    <w:rsid w:val="0053555C"/>
    <w:rsid w:val="00546E72"/>
    <w:rsid w:val="00566136"/>
    <w:rsid w:val="005931B4"/>
    <w:rsid w:val="00593FCD"/>
    <w:rsid w:val="00596E14"/>
    <w:rsid w:val="005A23B5"/>
    <w:rsid w:val="005A4D49"/>
    <w:rsid w:val="005A7342"/>
    <w:rsid w:val="005B29BE"/>
    <w:rsid w:val="005B2CF9"/>
    <w:rsid w:val="005D14A9"/>
    <w:rsid w:val="0061010F"/>
    <w:rsid w:val="00615C5D"/>
    <w:rsid w:val="0067507E"/>
    <w:rsid w:val="0067758A"/>
    <w:rsid w:val="00686CB4"/>
    <w:rsid w:val="00686E75"/>
    <w:rsid w:val="00690C02"/>
    <w:rsid w:val="006A7714"/>
    <w:rsid w:val="006C268D"/>
    <w:rsid w:val="006C7D8C"/>
    <w:rsid w:val="006D7084"/>
    <w:rsid w:val="006E7D67"/>
    <w:rsid w:val="007238CA"/>
    <w:rsid w:val="007376E6"/>
    <w:rsid w:val="00750EEC"/>
    <w:rsid w:val="00757785"/>
    <w:rsid w:val="00764ABC"/>
    <w:rsid w:val="0078138E"/>
    <w:rsid w:val="007860CC"/>
    <w:rsid w:val="007932C5"/>
    <w:rsid w:val="007A122B"/>
    <w:rsid w:val="007B77AA"/>
    <w:rsid w:val="007E0C6D"/>
    <w:rsid w:val="007E2A93"/>
    <w:rsid w:val="007F09C7"/>
    <w:rsid w:val="0080607C"/>
    <w:rsid w:val="00814415"/>
    <w:rsid w:val="008314A1"/>
    <w:rsid w:val="00847E93"/>
    <w:rsid w:val="00857F5C"/>
    <w:rsid w:val="00875CF6"/>
    <w:rsid w:val="008923AC"/>
    <w:rsid w:val="008D6322"/>
    <w:rsid w:val="008E6D05"/>
    <w:rsid w:val="008F47CA"/>
    <w:rsid w:val="008F6334"/>
    <w:rsid w:val="00903B46"/>
    <w:rsid w:val="009114B3"/>
    <w:rsid w:val="0092743B"/>
    <w:rsid w:val="00933A3E"/>
    <w:rsid w:val="00935AC3"/>
    <w:rsid w:val="009413A9"/>
    <w:rsid w:val="0095656D"/>
    <w:rsid w:val="00970C9C"/>
    <w:rsid w:val="00977CC3"/>
    <w:rsid w:val="00982B21"/>
    <w:rsid w:val="009A78E2"/>
    <w:rsid w:val="009C169A"/>
    <w:rsid w:val="009C4975"/>
    <w:rsid w:val="009C6D8B"/>
    <w:rsid w:val="009D3FD5"/>
    <w:rsid w:val="00A07A2F"/>
    <w:rsid w:val="00A13AF9"/>
    <w:rsid w:val="00A16371"/>
    <w:rsid w:val="00A21549"/>
    <w:rsid w:val="00A22849"/>
    <w:rsid w:val="00A339CF"/>
    <w:rsid w:val="00A33C0F"/>
    <w:rsid w:val="00A40B5C"/>
    <w:rsid w:val="00A421EA"/>
    <w:rsid w:val="00A47408"/>
    <w:rsid w:val="00A546B5"/>
    <w:rsid w:val="00A5669D"/>
    <w:rsid w:val="00A6689A"/>
    <w:rsid w:val="00A7795A"/>
    <w:rsid w:val="00AC2E71"/>
    <w:rsid w:val="00AC71C5"/>
    <w:rsid w:val="00AD79D2"/>
    <w:rsid w:val="00B12928"/>
    <w:rsid w:val="00B12A4F"/>
    <w:rsid w:val="00B25AA2"/>
    <w:rsid w:val="00B35197"/>
    <w:rsid w:val="00B47F69"/>
    <w:rsid w:val="00B51D0B"/>
    <w:rsid w:val="00B560A1"/>
    <w:rsid w:val="00B61BCB"/>
    <w:rsid w:val="00B66195"/>
    <w:rsid w:val="00B73EF2"/>
    <w:rsid w:val="00B83ACE"/>
    <w:rsid w:val="00B8595E"/>
    <w:rsid w:val="00B92524"/>
    <w:rsid w:val="00C101ED"/>
    <w:rsid w:val="00C32167"/>
    <w:rsid w:val="00C53E21"/>
    <w:rsid w:val="00C56387"/>
    <w:rsid w:val="00C56790"/>
    <w:rsid w:val="00C716C2"/>
    <w:rsid w:val="00C721AD"/>
    <w:rsid w:val="00CA0A37"/>
    <w:rsid w:val="00CB247D"/>
    <w:rsid w:val="00CB4D25"/>
    <w:rsid w:val="00CB6F1D"/>
    <w:rsid w:val="00CF4CAA"/>
    <w:rsid w:val="00D06A5F"/>
    <w:rsid w:val="00D26F44"/>
    <w:rsid w:val="00D360AD"/>
    <w:rsid w:val="00D6413D"/>
    <w:rsid w:val="00D75F86"/>
    <w:rsid w:val="00D7666F"/>
    <w:rsid w:val="00D95247"/>
    <w:rsid w:val="00DA2198"/>
    <w:rsid w:val="00DA3389"/>
    <w:rsid w:val="00DB7C8E"/>
    <w:rsid w:val="00DC1BBE"/>
    <w:rsid w:val="00DC4606"/>
    <w:rsid w:val="00DD05A6"/>
    <w:rsid w:val="00DE1109"/>
    <w:rsid w:val="00DF5237"/>
    <w:rsid w:val="00E1708D"/>
    <w:rsid w:val="00E20DFC"/>
    <w:rsid w:val="00E278D9"/>
    <w:rsid w:val="00E27EE0"/>
    <w:rsid w:val="00E306E6"/>
    <w:rsid w:val="00E31103"/>
    <w:rsid w:val="00E33851"/>
    <w:rsid w:val="00E473CD"/>
    <w:rsid w:val="00E50AC1"/>
    <w:rsid w:val="00E52B1C"/>
    <w:rsid w:val="00E742EB"/>
    <w:rsid w:val="00EA3B23"/>
    <w:rsid w:val="00EE15A7"/>
    <w:rsid w:val="00F00B71"/>
    <w:rsid w:val="00F10F1F"/>
    <w:rsid w:val="00F1480A"/>
    <w:rsid w:val="00F24A23"/>
    <w:rsid w:val="00F350D2"/>
    <w:rsid w:val="00F54B87"/>
    <w:rsid w:val="00F670D1"/>
    <w:rsid w:val="00F700DC"/>
    <w:rsid w:val="00F87F6A"/>
    <w:rsid w:val="00FA0582"/>
    <w:rsid w:val="00FD7FE4"/>
    <w:rsid w:val="00FE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50155"/>
  <w15:chartTrackingRefBased/>
  <w15:docId w15:val="{3F6B5DBC-596F-1941-9E02-7A16B5D1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93"/>
    <w:pPr>
      <w:ind w:left="720"/>
      <w:contextualSpacing/>
    </w:pPr>
    <w:rPr>
      <w:rFonts w:eastAsiaTheme="minorEastAsia"/>
    </w:rPr>
  </w:style>
  <w:style w:type="character" w:styleId="Hyperlink">
    <w:name w:val="Hyperlink"/>
    <w:basedOn w:val="DefaultParagraphFont"/>
    <w:uiPriority w:val="99"/>
    <w:unhideWhenUsed/>
    <w:rsid w:val="00184A93"/>
    <w:rPr>
      <w:color w:val="0563C1" w:themeColor="hyperlink"/>
      <w:u w:val="single"/>
    </w:rPr>
  </w:style>
  <w:style w:type="paragraph" w:customStyle="1" w:styleId="font8">
    <w:name w:val="font_8"/>
    <w:basedOn w:val="Normal"/>
    <w:rsid w:val="00184A9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84A93"/>
    <w:rPr>
      <w:color w:val="954F72" w:themeColor="followedHyperlink"/>
      <w:u w:val="single"/>
    </w:rPr>
  </w:style>
  <w:style w:type="paragraph" w:styleId="BalloonText">
    <w:name w:val="Balloon Text"/>
    <w:basedOn w:val="Normal"/>
    <w:link w:val="BalloonTextChar"/>
    <w:uiPriority w:val="99"/>
    <w:semiHidden/>
    <w:unhideWhenUsed/>
    <w:rsid w:val="007860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0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2462"/>
    <w:rPr>
      <w:sz w:val="16"/>
      <w:szCs w:val="16"/>
    </w:rPr>
  </w:style>
  <w:style w:type="paragraph" w:styleId="CommentText">
    <w:name w:val="annotation text"/>
    <w:basedOn w:val="Normal"/>
    <w:link w:val="CommentTextChar"/>
    <w:uiPriority w:val="99"/>
    <w:unhideWhenUsed/>
    <w:rsid w:val="00042462"/>
    <w:rPr>
      <w:sz w:val="20"/>
      <w:szCs w:val="20"/>
    </w:rPr>
  </w:style>
  <w:style w:type="character" w:customStyle="1" w:styleId="CommentTextChar">
    <w:name w:val="Comment Text Char"/>
    <w:basedOn w:val="DefaultParagraphFont"/>
    <w:link w:val="CommentText"/>
    <w:uiPriority w:val="99"/>
    <w:rsid w:val="00042462"/>
    <w:rPr>
      <w:sz w:val="20"/>
      <w:szCs w:val="20"/>
    </w:rPr>
  </w:style>
  <w:style w:type="paragraph" w:styleId="CommentSubject">
    <w:name w:val="annotation subject"/>
    <w:basedOn w:val="CommentText"/>
    <w:next w:val="CommentText"/>
    <w:link w:val="CommentSubjectChar"/>
    <w:uiPriority w:val="99"/>
    <w:semiHidden/>
    <w:unhideWhenUsed/>
    <w:rsid w:val="00042462"/>
    <w:rPr>
      <w:b/>
      <w:bCs/>
    </w:rPr>
  </w:style>
  <w:style w:type="character" w:customStyle="1" w:styleId="CommentSubjectChar">
    <w:name w:val="Comment Subject Char"/>
    <w:basedOn w:val="CommentTextChar"/>
    <w:link w:val="CommentSubject"/>
    <w:uiPriority w:val="99"/>
    <w:semiHidden/>
    <w:rsid w:val="00042462"/>
    <w:rPr>
      <w:b/>
      <w:bCs/>
      <w:sz w:val="20"/>
      <w:szCs w:val="20"/>
    </w:rPr>
  </w:style>
  <w:style w:type="paragraph" w:styleId="NormalWeb">
    <w:name w:val="Normal (Web)"/>
    <w:basedOn w:val="Normal"/>
    <w:uiPriority w:val="99"/>
    <w:unhideWhenUsed/>
    <w:rsid w:val="0067758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77CCF"/>
  </w:style>
  <w:style w:type="character" w:styleId="Strong">
    <w:name w:val="Strong"/>
    <w:basedOn w:val="DefaultParagraphFont"/>
    <w:uiPriority w:val="22"/>
    <w:qFormat/>
    <w:rsid w:val="0025253F"/>
    <w:rPr>
      <w:b/>
      <w:bCs/>
    </w:rPr>
  </w:style>
  <w:style w:type="character" w:styleId="UnresolvedMention">
    <w:name w:val="Unresolved Mention"/>
    <w:basedOn w:val="DefaultParagraphFont"/>
    <w:uiPriority w:val="99"/>
    <w:semiHidden/>
    <w:unhideWhenUsed/>
    <w:rsid w:val="00DF5237"/>
    <w:rPr>
      <w:color w:val="605E5C"/>
      <w:shd w:val="clear" w:color="auto" w:fill="E1DFDD"/>
    </w:rPr>
  </w:style>
  <w:style w:type="paragraph" w:styleId="Footer">
    <w:name w:val="footer"/>
    <w:basedOn w:val="Normal"/>
    <w:link w:val="FooterChar"/>
    <w:uiPriority w:val="99"/>
    <w:unhideWhenUsed/>
    <w:rsid w:val="00307B32"/>
    <w:pPr>
      <w:tabs>
        <w:tab w:val="center" w:pos="4680"/>
        <w:tab w:val="right" w:pos="9360"/>
      </w:tabs>
    </w:pPr>
  </w:style>
  <w:style w:type="character" w:customStyle="1" w:styleId="FooterChar">
    <w:name w:val="Footer Char"/>
    <w:basedOn w:val="DefaultParagraphFont"/>
    <w:link w:val="Footer"/>
    <w:uiPriority w:val="99"/>
    <w:rsid w:val="00307B32"/>
  </w:style>
  <w:style w:type="character" w:styleId="PageNumber">
    <w:name w:val="page number"/>
    <w:basedOn w:val="DefaultParagraphFont"/>
    <w:uiPriority w:val="99"/>
    <w:semiHidden/>
    <w:unhideWhenUsed/>
    <w:rsid w:val="00307B32"/>
  </w:style>
  <w:style w:type="character" w:styleId="FootnoteReference">
    <w:name w:val="footnote reference"/>
    <w:aliases w:val="Footnote_Reference,o,fr,TT - Footnote Reference,Style 17,o + Times New Roman,FC,Style 9"/>
    <w:basedOn w:val="DefaultParagraphFont"/>
    <w:uiPriority w:val="99"/>
    <w:unhideWhenUsed/>
    <w:qFormat/>
    <w:rsid w:val="00362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946275">
      <w:bodyDiv w:val="1"/>
      <w:marLeft w:val="0"/>
      <w:marRight w:val="0"/>
      <w:marTop w:val="0"/>
      <w:marBottom w:val="0"/>
      <w:divBdr>
        <w:top w:val="none" w:sz="0" w:space="0" w:color="auto"/>
        <w:left w:val="none" w:sz="0" w:space="0" w:color="auto"/>
        <w:bottom w:val="none" w:sz="0" w:space="0" w:color="auto"/>
        <w:right w:val="none" w:sz="0" w:space="0" w:color="auto"/>
      </w:divBdr>
    </w:div>
    <w:div w:id="496768676">
      <w:bodyDiv w:val="1"/>
      <w:marLeft w:val="0"/>
      <w:marRight w:val="0"/>
      <w:marTop w:val="0"/>
      <w:marBottom w:val="0"/>
      <w:divBdr>
        <w:top w:val="none" w:sz="0" w:space="0" w:color="auto"/>
        <w:left w:val="none" w:sz="0" w:space="0" w:color="auto"/>
        <w:bottom w:val="none" w:sz="0" w:space="0" w:color="auto"/>
        <w:right w:val="none" w:sz="0" w:space="0" w:color="auto"/>
      </w:divBdr>
    </w:div>
    <w:div w:id="574583764">
      <w:bodyDiv w:val="1"/>
      <w:marLeft w:val="0"/>
      <w:marRight w:val="0"/>
      <w:marTop w:val="0"/>
      <w:marBottom w:val="0"/>
      <w:divBdr>
        <w:top w:val="none" w:sz="0" w:space="0" w:color="auto"/>
        <w:left w:val="none" w:sz="0" w:space="0" w:color="auto"/>
        <w:bottom w:val="none" w:sz="0" w:space="0" w:color="auto"/>
        <w:right w:val="none" w:sz="0" w:space="0" w:color="auto"/>
      </w:divBdr>
    </w:div>
    <w:div w:id="736324590">
      <w:bodyDiv w:val="1"/>
      <w:marLeft w:val="0"/>
      <w:marRight w:val="0"/>
      <w:marTop w:val="0"/>
      <w:marBottom w:val="0"/>
      <w:divBdr>
        <w:top w:val="none" w:sz="0" w:space="0" w:color="auto"/>
        <w:left w:val="none" w:sz="0" w:space="0" w:color="auto"/>
        <w:bottom w:val="none" w:sz="0" w:space="0" w:color="auto"/>
        <w:right w:val="none" w:sz="0" w:space="0" w:color="auto"/>
      </w:divBdr>
      <w:divsChild>
        <w:div w:id="467631998">
          <w:marLeft w:val="0"/>
          <w:marRight w:val="0"/>
          <w:marTop w:val="0"/>
          <w:marBottom w:val="0"/>
          <w:divBdr>
            <w:top w:val="none" w:sz="0" w:space="0" w:color="auto"/>
            <w:left w:val="none" w:sz="0" w:space="0" w:color="auto"/>
            <w:bottom w:val="none" w:sz="0" w:space="0" w:color="auto"/>
            <w:right w:val="none" w:sz="0" w:space="0" w:color="auto"/>
          </w:divBdr>
          <w:divsChild>
            <w:div w:id="125901500">
              <w:marLeft w:val="0"/>
              <w:marRight w:val="0"/>
              <w:marTop w:val="0"/>
              <w:marBottom w:val="0"/>
              <w:divBdr>
                <w:top w:val="none" w:sz="0" w:space="0" w:color="auto"/>
                <w:left w:val="none" w:sz="0" w:space="0" w:color="auto"/>
                <w:bottom w:val="none" w:sz="0" w:space="0" w:color="auto"/>
                <w:right w:val="none" w:sz="0" w:space="0" w:color="auto"/>
              </w:divBdr>
              <w:divsChild>
                <w:div w:id="1793353789">
                  <w:marLeft w:val="0"/>
                  <w:marRight w:val="0"/>
                  <w:marTop w:val="0"/>
                  <w:marBottom w:val="0"/>
                  <w:divBdr>
                    <w:top w:val="none" w:sz="0" w:space="0" w:color="auto"/>
                    <w:left w:val="none" w:sz="0" w:space="0" w:color="auto"/>
                    <w:bottom w:val="none" w:sz="0" w:space="0" w:color="auto"/>
                    <w:right w:val="none" w:sz="0" w:space="0" w:color="auto"/>
                  </w:divBdr>
                  <w:divsChild>
                    <w:div w:id="9351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8146">
      <w:bodyDiv w:val="1"/>
      <w:marLeft w:val="0"/>
      <w:marRight w:val="0"/>
      <w:marTop w:val="0"/>
      <w:marBottom w:val="0"/>
      <w:divBdr>
        <w:top w:val="none" w:sz="0" w:space="0" w:color="auto"/>
        <w:left w:val="none" w:sz="0" w:space="0" w:color="auto"/>
        <w:bottom w:val="none" w:sz="0" w:space="0" w:color="auto"/>
        <w:right w:val="none" w:sz="0" w:space="0" w:color="auto"/>
      </w:divBdr>
    </w:div>
    <w:div w:id="1005135859">
      <w:bodyDiv w:val="1"/>
      <w:marLeft w:val="0"/>
      <w:marRight w:val="0"/>
      <w:marTop w:val="0"/>
      <w:marBottom w:val="0"/>
      <w:divBdr>
        <w:top w:val="none" w:sz="0" w:space="0" w:color="auto"/>
        <w:left w:val="none" w:sz="0" w:space="0" w:color="auto"/>
        <w:bottom w:val="none" w:sz="0" w:space="0" w:color="auto"/>
        <w:right w:val="none" w:sz="0" w:space="0" w:color="auto"/>
      </w:divBdr>
    </w:div>
    <w:div w:id="1076902599">
      <w:bodyDiv w:val="1"/>
      <w:marLeft w:val="0"/>
      <w:marRight w:val="0"/>
      <w:marTop w:val="0"/>
      <w:marBottom w:val="0"/>
      <w:divBdr>
        <w:top w:val="none" w:sz="0" w:space="0" w:color="auto"/>
        <w:left w:val="none" w:sz="0" w:space="0" w:color="auto"/>
        <w:bottom w:val="none" w:sz="0" w:space="0" w:color="auto"/>
        <w:right w:val="none" w:sz="0" w:space="0" w:color="auto"/>
      </w:divBdr>
    </w:div>
    <w:div w:id="1173103249">
      <w:bodyDiv w:val="1"/>
      <w:marLeft w:val="0"/>
      <w:marRight w:val="0"/>
      <w:marTop w:val="0"/>
      <w:marBottom w:val="0"/>
      <w:divBdr>
        <w:top w:val="none" w:sz="0" w:space="0" w:color="auto"/>
        <w:left w:val="none" w:sz="0" w:space="0" w:color="auto"/>
        <w:bottom w:val="none" w:sz="0" w:space="0" w:color="auto"/>
        <w:right w:val="none" w:sz="0" w:space="0" w:color="auto"/>
      </w:divBdr>
    </w:div>
    <w:div w:id="1412629225">
      <w:bodyDiv w:val="1"/>
      <w:marLeft w:val="0"/>
      <w:marRight w:val="0"/>
      <w:marTop w:val="0"/>
      <w:marBottom w:val="0"/>
      <w:divBdr>
        <w:top w:val="none" w:sz="0" w:space="0" w:color="auto"/>
        <w:left w:val="none" w:sz="0" w:space="0" w:color="auto"/>
        <w:bottom w:val="none" w:sz="0" w:space="0" w:color="auto"/>
        <w:right w:val="none" w:sz="0" w:space="0" w:color="auto"/>
      </w:divBdr>
    </w:div>
    <w:div w:id="1600020874">
      <w:bodyDiv w:val="1"/>
      <w:marLeft w:val="0"/>
      <w:marRight w:val="0"/>
      <w:marTop w:val="0"/>
      <w:marBottom w:val="0"/>
      <w:divBdr>
        <w:top w:val="none" w:sz="0" w:space="0" w:color="auto"/>
        <w:left w:val="none" w:sz="0" w:space="0" w:color="auto"/>
        <w:bottom w:val="none" w:sz="0" w:space="0" w:color="auto"/>
        <w:right w:val="none" w:sz="0" w:space="0" w:color="auto"/>
      </w:divBdr>
    </w:div>
    <w:div w:id="1697385054">
      <w:bodyDiv w:val="1"/>
      <w:marLeft w:val="0"/>
      <w:marRight w:val="0"/>
      <w:marTop w:val="0"/>
      <w:marBottom w:val="0"/>
      <w:divBdr>
        <w:top w:val="none" w:sz="0" w:space="0" w:color="auto"/>
        <w:left w:val="none" w:sz="0" w:space="0" w:color="auto"/>
        <w:bottom w:val="none" w:sz="0" w:space="0" w:color="auto"/>
        <w:right w:val="none" w:sz="0" w:space="0" w:color="auto"/>
      </w:divBdr>
    </w:div>
    <w:div w:id="1724939625">
      <w:bodyDiv w:val="1"/>
      <w:marLeft w:val="0"/>
      <w:marRight w:val="0"/>
      <w:marTop w:val="0"/>
      <w:marBottom w:val="0"/>
      <w:divBdr>
        <w:top w:val="none" w:sz="0" w:space="0" w:color="auto"/>
        <w:left w:val="none" w:sz="0" w:space="0" w:color="auto"/>
        <w:bottom w:val="none" w:sz="0" w:space="0" w:color="auto"/>
        <w:right w:val="none" w:sz="0" w:space="0" w:color="auto"/>
      </w:divBdr>
    </w:div>
    <w:div w:id="2055805384">
      <w:bodyDiv w:val="1"/>
      <w:marLeft w:val="0"/>
      <w:marRight w:val="0"/>
      <w:marTop w:val="0"/>
      <w:marBottom w:val="0"/>
      <w:divBdr>
        <w:top w:val="none" w:sz="0" w:space="0" w:color="auto"/>
        <w:left w:val="none" w:sz="0" w:space="0" w:color="auto"/>
        <w:bottom w:val="none" w:sz="0" w:space="0" w:color="auto"/>
        <w:right w:val="none" w:sz="0" w:space="0" w:color="auto"/>
      </w:divBdr>
    </w:div>
    <w:div w:id="21296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1-22-21-mtwg-m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328C-921C-C943-A7BC-B134B022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7771</Characters>
  <Application>Microsoft Office Word</Application>
  <DocSecurity>0</DocSecurity>
  <Lines>337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Cowart</dc:creator>
  <cp:keywords/>
  <dc:description/>
  <cp:lastModifiedBy>Susan Rivo</cp:lastModifiedBy>
  <cp:revision>2</cp:revision>
  <dcterms:created xsi:type="dcterms:W3CDTF">2021-01-26T16:43:00Z</dcterms:created>
  <dcterms:modified xsi:type="dcterms:W3CDTF">2021-01-26T16:43:00Z</dcterms:modified>
</cp:coreProperties>
</file>